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52"/>
          <w:szCs w:val="52"/>
        </w:rPr>
      </w:pPr>
    </w:p>
    <w:p>
      <w:pPr>
        <w:jc w:val="center"/>
        <w:rPr>
          <w:rFonts w:ascii="宋体" w:hAnsi="宋体" w:cs="宋体"/>
          <w:sz w:val="20"/>
          <w:szCs w:val="18"/>
        </w:rPr>
      </w:pPr>
      <w:r>
        <w:rPr>
          <w:rFonts w:hint="eastAsia" w:ascii="宋体" w:hAnsi="宋体" w:cs="宋体"/>
          <w:b/>
          <w:sz w:val="52"/>
          <w:szCs w:val="52"/>
        </w:rPr>
        <w:t>2023轨道专业群机电实训中心完善</w:t>
      </w:r>
    </w:p>
    <w:p>
      <w:pPr>
        <w:jc w:val="center"/>
        <w:rPr>
          <w:rFonts w:ascii="宋体" w:hAnsi="宋体" w:cs="宋体"/>
          <w:b/>
          <w:sz w:val="52"/>
          <w:szCs w:val="52"/>
        </w:rPr>
      </w:pPr>
    </w:p>
    <w:p>
      <w:pPr>
        <w:jc w:val="center"/>
        <w:rPr>
          <w:rFonts w:ascii="宋体" w:hAnsi="宋体" w:cs="宋体"/>
          <w:b/>
          <w:sz w:val="84"/>
          <w:szCs w:val="84"/>
        </w:rPr>
      </w:pPr>
      <w:r>
        <w:rPr>
          <w:rFonts w:hint="eastAsia" w:ascii="宋体" w:hAnsi="宋体" w:cs="宋体"/>
          <w:b/>
          <w:sz w:val="84"/>
          <w:szCs w:val="84"/>
        </w:rPr>
        <w:t>竞争性磋商文件</w:t>
      </w:r>
    </w:p>
    <w:p>
      <w:pPr>
        <w:jc w:val="center"/>
        <w:rPr>
          <w:rFonts w:hint="eastAsia" w:ascii="宋体" w:hAnsi="宋体" w:eastAsia="宋体" w:cs="宋体"/>
          <w:b/>
          <w:bCs/>
          <w:sz w:val="28"/>
          <w:szCs w:val="28"/>
          <w:lang w:eastAsia="zh-CN"/>
        </w:rPr>
      </w:pPr>
      <w:r>
        <w:rPr>
          <w:rFonts w:hint="eastAsia" w:ascii="宋体" w:hAnsi="宋体" w:cs="宋体"/>
          <w:b/>
          <w:bCs/>
          <w:sz w:val="28"/>
          <w:szCs w:val="28"/>
        </w:rPr>
        <w:t>项目编号：</w:t>
      </w:r>
      <w:r>
        <w:rPr>
          <w:rFonts w:hint="eastAsia" w:ascii="宋体" w:hAnsi="宋体" w:cs="宋体"/>
          <w:b/>
          <w:bCs/>
          <w:sz w:val="28"/>
          <w:szCs w:val="28"/>
          <w:lang w:eastAsia="zh-CN"/>
        </w:rPr>
        <w:t>JM-2023-09-00876</w:t>
      </w:r>
    </w:p>
    <w:p>
      <w:pPr>
        <w:jc w:val="center"/>
        <w:rPr>
          <w:rFonts w:ascii="宋体" w:hAnsi="宋体" w:cs="宋体"/>
          <w:b/>
          <w:sz w:val="32"/>
          <w:szCs w:val="32"/>
        </w:rPr>
      </w:pPr>
      <w:r>
        <w:rPr>
          <w:rFonts w:hint="eastAsia" w:ascii="宋体" w:hAnsi="宋体" w:cs="宋体"/>
          <w:b/>
          <w:sz w:val="32"/>
          <w:szCs w:val="32"/>
        </w:rPr>
        <w:drawing>
          <wp:inline distT="0" distB="0" distL="114300" distR="114300">
            <wp:extent cx="4234180" cy="3747770"/>
            <wp:effectExtent l="0" t="0" r="13970" b="5080"/>
            <wp:docPr id="2" name="图片 2" descr="bfbf9ddc6fc54cd2ab563f97b2cc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fbf9ddc6fc54cd2ab563f97b2ccbbe"/>
                    <pic:cNvPicPr>
                      <a:picLocks noChangeAspect="1"/>
                    </pic:cNvPicPr>
                  </pic:nvPicPr>
                  <pic:blipFill>
                    <a:blip r:embed="rId15" cstate="print"/>
                    <a:stretch>
                      <a:fillRect/>
                    </a:stretch>
                  </pic:blipFill>
                  <pic:spPr>
                    <a:xfrm>
                      <a:off x="0" y="0"/>
                      <a:ext cx="4234180" cy="3747770"/>
                    </a:xfrm>
                    <a:prstGeom prst="rect">
                      <a:avLst/>
                    </a:prstGeom>
                  </pic:spPr>
                </pic:pic>
              </a:graphicData>
            </a:graphic>
          </wp:inline>
        </w:drawing>
      </w:r>
    </w:p>
    <w:p>
      <w:pPr>
        <w:spacing w:line="360" w:lineRule="auto"/>
        <w:jc w:val="center"/>
        <w:rPr>
          <w:rFonts w:ascii="宋体" w:hAnsi="宋体" w:cs="宋体"/>
          <w:b/>
          <w:sz w:val="32"/>
          <w:szCs w:val="32"/>
        </w:rPr>
      </w:pPr>
      <w:r>
        <w:rPr>
          <w:rFonts w:hint="eastAsia" w:ascii="宋体" w:hAnsi="宋体" w:cs="宋体"/>
          <w:b/>
          <w:sz w:val="32"/>
          <w:szCs w:val="32"/>
        </w:rPr>
        <w:t>采购人：长春职业技术学校</w:t>
      </w:r>
    </w:p>
    <w:p>
      <w:pPr>
        <w:spacing w:line="360" w:lineRule="auto"/>
        <w:jc w:val="center"/>
        <w:rPr>
          <w:rFonts w:ascii="宋体" w:hAnsi="宋体" w:cs="宋体"/>
          <w:b/>
          <w:sz w:val="32"/>
          <w:szCs w:val="32"/>
        </w:rPr>
      </w:pPr>
      <w:r>
        <w:rPr>
          <w:rFonts w:hint="eastAsia" w:ascii="宋体" w:hAnsi="宋体" w:cs="宋体"/>
          <w:b/>
          <w:sz w:val="32"/>
          <w:szCs w:val="32"/>
        </w:rPr>
        <w:t>采购代理机构：吉林省冠甲精瑞工程项目管理有限公司</w:t>
      </w:r>
    </w:p>
    <w:p>
      <w:pPr>
        <w:autoSpaceDE w:val="0"/>
        <w:autoSpaceDN w:val="0"/>
        <w:adjustRightInd w:val="0"/>
        <w:spacing w:line="360" w:lineRule="auto"/>
        <w:jc w:val="center"/>
        <w:rPr>
          <w:rFonts w:ascii="宋体" w:hAnsi="宋体" w:cs="宋体"/>
          <w:b/>
          <w:sz w:val="32"/>
          <w:szCs w:val="32"/>
        </w:rPr>
      </w:pP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二零二三年·长春</w:t>
      </w:r>
    </w:p>
    <w:p>
      <w:pPr>
        <w:autoSpaceDE w:val="0"/>
        <w:autoSpaceDN w:val="0"/>
        <w:adjustRightInd w:val="0"/>
        <w:jc w:val="center"/>
        <w:rPr>
          <w:rFonts w:ascii="宋体" w:hAnsi="宋体" w:cs="宋体"/>
          <w:b/>
          <w:sz w:val="44"/>
          <w:lang w:val="zh-CN"/>
        </w:rPr>
      </w:pPr>
      <w:r>
        <w:rPr>
          <w:rFonts w:hint="eastAsia" w:ascii="宋体" w:hAnsi="宋体" w:cs="宋体"/>
          <w:b/>
          <w:sz w:val="44"/>
          <w:lang w:val="zh-CN"/>
        </w:rPr>
        <w:br w:type="page"/>
      </w:r>
      <w:r>
        <w:rPr>
          <w:rFonts w:hint="eastAsia" w:ascii="宋体" w:hAnsi="宋体" w:cs="宋体"/>
          <w:b/>
          <w:sz w:val="44"/>
          <w:lang w:val="zh-CN"/>
        </w:rPr>
        <w:t>目  录</w:t>
      </w:r>
    </w:p>
    <w:p>
      <w:pPr>
        <w:pStyle w:val="24"/>
        <w:tabs>
          <w:tab w:val="right" w:leader="dot" w:pos="9638"/>
        </w:tabs>
        <w:spacing w:line="360" w:lineRule="auto"/>
        <w:rPr>
          <w:rFonts w:ascii="宋体" w:hAnsi="宋体" w:cs="宋体"/>
          <w:sz w:val="28"/>
          <w:szCs w:val="24"/>
        </w:rPr>
      </w:pPr>
      <w:r>
        <w:rPr>
          <w:rFonts w:hint="eastAsia" w:ascii="宋体" w:hAnsi="宋体" w:cs="宋体"/>
          <w:b/>
          <w:szCs w:val="21"/>
          <w:lang w:val="zh-CN"/>
        </w:rPr>
        <w:fldChar w:fldCharType="begin"/>
      </w:r>
      <w:r>
        <w:rPr>
          <w:rFonts w:hint="eastAsia" w:ascii="宋体" w:hAnsi="宋体" w:cs="宋体"/>
          <w:b/>
          <w:szCs w:val="21"/>
          <w:lang w:val="zh-CN"/>
        </w:rPr>
        <w:instrText xml:space="preserve">TOC \o "1-1" \h \u </w:instrText>
      </w:r>
      <w:r>
        <w:rPr>
          <w:rFonts w:hint="eastAsia" w:ascii="宋体" w:hAnsi="宋体" w:cs="宋体"/>
          <w:b/>
          <w:szCs w:val="21"/>
          <w:lang w:val="zh-CN"/>
        </w:rPr>
        <w:fldChar w:fldCharType="separate"/>
      </w:r>
      <w:r>
        <w:fldChar w:fldCharType="begin"/>
      </w:r>
      <w:r>
        <w:instrText xml:space="preserve"> HYPERLINK \l "_Toc30126" </w:instrText>
      </w:r>
      <w:r>
        <w:fldChar w:fldCharType="separate"/>
      </w:r>
      <w:r>
        <w:rPr>
          <w:rFonts w:hint="eastAsia" w:ascii="宋体" w:hAnsi="宋体" w:cs="宋体"/>
          <w:sz w:val="28"/>
          <w:szCs w:val="24"/>
        </w:rPr>
        <w:t xml:space="preserve">第一章  </w:t>
      </w:r>
      <w:r>
        <w:rPr>
          <w:rFonts w:hint="eastAsia" w:ascii="宋体" w:hAnsi="宋体" w:cs="宋体"/>
          <w:bCs/>
          <w:sz w:val="28"/>
          <w:szCs w:val="52"/>
        </w:rPr>
        <w:t>竞争性磋商公告</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_Toc30126 \h </w:instrText>
      </w:r>
      <w:r>
        <w:rPr>
          <w:rFonts w:hint="eastAsia" w:ascii="宋体" w:hAnsi="宋体" w:cs="宋体"/>
          <w:sz w:val="28"/>
          <w:szCs w:val="24"/>
        </w:rPr>
        <w:fldChar w:fldCharType="separate"/>
      </w:r>
      <w:r>
        <w:rPr>
          <w:rFonts w:hint="eastAsia" w:ascii="宋体" w:hAnsi="宋体" w:cs="宋体"/>
          <w:sz w:val="28"/>
          <w:szCs w:val="24"/>
        </w:rPr>
        <w:t>2</w:t>
      </w:r>
      <w:r>
        <w:rPr>
          <w:rFonts w:hint="eastAsia" w:ascii="宋体" w:hAnsi="宋体" w:cs="宋体"/>
          <w:sz w:val="28"/>
          <w:szCs w:val="24"/>
        </w:rPr>
        <w:fldChar w:fldCharType="end"/>
      </w:r>
      <w:r>
        <w:rPr>
          <w:rFonts w:hint="eastAsia" w:ascii="宋体" w:hAnsi="宋体" w:cs="宋体"/>
          <w:sz w:val="28"/>
          <w:szCs w:val="24"/>
        </w:rPr>
        <w:fldChar w:fldCharType="end"/>
      </w:r>
    </w:p>
    <w:p>
      <w:pPr>
        <w:pStyle w:val="24"/>
        <w:tabs>
          <w:tab w:val="right" w:leader="dot" w:pos="9638"/>
        </w:tabs>
        <w:spacing w:line="360" w:lineRule="auto"/>
        <w:rPr>
          <w:rFonts w:ascii="宋体" w:hAnsi="宋体" w:cs="宋体"/>
          <w:sz w:val="28"/>
          <w:szCs w:val="24"/>
        </w:rPr>
      </w:pPr>
      <w:r>
        <w:fldChar w:fldCharType="begin"/>
      </w:r>
      <w:r>
        <w:instrText xml:space="preserve"> HYPERLINK \l "_Toc13976" </w:instrText>
      </w:r>
      <w:r>
        <w:fldChar w:fldCharType="separate"/>
      </w:r>
      <w:r>
        <w:rPr>
          <w:rFonts w:hint="eastAsia" w:ascii="宋体" w:hAnsi="宋体" w:cs="宋体"/>
          <w:sz w:val="28"/>
          <w:szCs w:val="24"/>
        </w:rPr>
        <w:t>第二章  供应商须知</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_Toc13976 \h </w:instrText>
      </w:r>
      <w:r>
        <w:rPr>
          <w:rFonts w:hint="eastAsia" w:ascii="宋体" w:hAnsi="宋体" w:cs="宋体"/>
          <w:sz w:val="28"/>
          <w:szCs w:val="24"/>
        </w:rPr>
        <w:fldChar w:fldCharType="separate"/>
      </w:r>
      <w:r>
        <w:rPr>
          <w:rFonts w:hint="eastAsia" w:ascii="宋体" w:hAnsi="宋体" w:cs="宋体"/>
          <w:sz w:val="28"/>
          <w:szCs w:val="24"/>
        </w:rPr>
        <w:t>5</w:t>
      </w:r>
      <w:r>
        <w:rPr>
          <w:rFonts w:hint="eastAsia" w:ascii="宋体" w:hAnsi="宋体" w:cs="宋体"/>
          <w:sz w:val="28"/>
          <w:szCs w:val="24"/>
        </w:rPr>
        <w:fldChar w:fldCharType="end"/>
      </w:r>
      <w:r>
        <w:rPr>
          <w:rFonts w:hint="eastAsia" w:ascii="宋体" w:hAnsi="宋体" w:cs="宋体"/>
          <w:sz w:val="28"/>
          <w:szCs w:val="24"/>
        </w:rPr>
        <w:fldChar w:fldCharType="end"/>
      </w:r>
    </w:p>
    <w:p>
      <w:pPr>
        <w:pStyle w:val="24"/>
        <w:tabs>
          <w:tab w:val="right" w:leader="dot" w:pos="9638"/>
        </w:tabs>
        <w:spacing w:line="360" w:lineRule="auto"/>
        <w:rPr>
          <w:rFonts w:ascii="宋体" w:hAnsi="宋体" w:cs="宋体"/>
          <w:sz w:val="28"/>
          <w:szCs w:val="24"/>
        </w:rPr>
      </w:pPr>
      <w:r>
        <w:fldChar w:fldCharType="begin"/>
      </w:r>
      <w:r>
        <w:instrText xml:space="preserve"> HYPERLINK \l "_Toc11606" </w:instrText>
      </w:r>
      <w:r>
        <w:fldChar w:fldCharType="separate"/>
      </w:r>
      <w:r>
        <w:rPr>
          <w:rFonts w:hint="eastAsia" w:ascii="宋体" w:hAnsi="宋体" w:cs="宋体"/>
          <w:sz w:val="28"/>
          <w:szCs w:val="24"/>
        </w:rPr>
        <w:t>第三章  评标办法（综合评分法）</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_Toc11606 \h </w:instrText>
      </w:r>
      <w:r>
        <w:rPr>
          <w:rFonts w:hint="eastAsia" w:ascii="宋体" w:hAnsi="宋体" w:cs="宋体"/>
          <w:sz w:val="28"/>
          <w:szCs w:val="24"/>
        </w:rPr>
        <w:fldChar w:fldCharType="separate"/>
      </w:r>
      <w:r>
        <w:rPr>
          <w:rFonts w:hint="eastAsia" w:ascii="宋体" w:hAnsi="宋体" w:cs="宋体"/>
          <w:sz w:val="28"/>
          <w:szCs w:val="24"/>
        </w:rPr>
        <w:t>26</w:t>
      </w:r>
      <w:r>
        <w:rPr>
          <w:rFonts w:hint="eastAsia" w:ascii="宋体" w:hAnsi="宋体" w:cs="宋体"/>
          <w:sz w:val="28"/>
          <w:szCs w:val="24"/>
        </w:rPr>
        <w:fldChar w:fldCharType="end"/>
      </w:r>
      <w:r>
        <w:rPr>
          <w:rFonts w:hint="eastAsia" w:ascii="宋体" w:hAnsi="宋体" w:cs="宋体"/>
          <w:sz w:val="28"/>
          <w:szCs w:val="24"/>
        </w:rPr>
        <w:fldChar w:fldCharType="end"/>
      </w:r>
    </w:p>
    <w:p>
      <w:pPr>
        <w:pStyle w:val="24"/>
        <w:tabs>
          <w:tab w:val="right" w:leader="dot" w:pos="9638"/>
        </w:tabs>
        <w:spacing w:line="360" w:lineRule="auto"/>
        <w:rPr>
          <w:rFonts w:ascii="宋体" w:hAnsi="宋体" w:cs="宋体"/>
          <w:sz w:val="28"/>
          <w:szCs w:val="24"/>
        </w:rPr>
      </w:pPr>
      <w:r>
        <w:fldChar w:fldCharType="begin"/>
      </w:r>
      <w:r>
        <w:instrText xml:space="preserve"> HYPERLINK \l "_Toc8586" </w:instrText>
      </w:r>
      <w:r>
        <w:fldChar w:fldCharType="separate"/>
      </w:r>
      <w:r>
        <w:rPr>
          <w:rFonts w:hint="eastAsia" w:ascii="宋体" w:hAnsi="宋体" w:cs="宋体"/>
          <w:kern w:val="44"/>
          <w:sz w:val="28"/>
          <w:szCs w:val="32"/>
        </w:rPr>
        <w:t>第四章  合同条款及格式（范本）</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_Toc8586 \h </w:instrText>
      </w:r>
      <w:r>
        <w:rPr>
          <w:rFonts w:hint="eastAsia" w:ascii="宋体" w:hAnsi="宋体" w:cs="宋体"/>
          <w:sz w:val="28"/>
          <w:szCs w:val="24"/>
        </w:rPr>
        <w:fldChar w:fldCharType="separate"/>
      </w:r>
      <w:r>
        <w:rPr>
          <w:rFonts w:hint="eastAsia" w:ascii="宋体" w:hAnsi="宋体" w:cs="宋体"/>
          <w:sz w:val="28"/>
          <w:szCs w:val="24"/>
        </w:rPr>
        <w:t>40</w:t>
      </w:r>
      <w:r>
        <w:rPr>
          <w:rFonts w:hint="eastAsia" w:ascii="宋体" w:hAnsi="宋体" w:cs="宋体"/>
          <w:sz w:val="28"/>
          <w:szCs w:val="24"/>
        </w:rPr>
        <w:fldChar w:fldCharType="end"/>
      </w:r>
      <w:r>
        <w:rPr>
          <w:rFonts w:hint="eastAsia" w:ascii="宋体" w:hAnsi="宋体" w:cs="宋体"/>
          <w:sz w:val="28"/>
          <w:szCs w:val="24"/>
        </w:rPr>
        <w:fldChar w:fldCharType="end"/>
      </w:r>
    </w:p>
    <w:p>
      <w:pPr>
        <w:pStyle w:val="24"/>
        <w:tabs>
          <w:tab w:val="right" w:leader="dot" w:pos="9638"/>
        </w:tabs>
        <w:spacing w:line="360" w:lineRule="auto"/>
        <w:rPr>
          <w:rFonts w:ascii="宋体" w:hAnsi="宋体" w:cs="宋体"/>
          <w:sz w:val="28"/>
          <w:szCs w:val="24"/>
        </w:rPr>
      </w:pPr>
      <w:r>
        <w:fldChar w:fldCharType="begin"/>
      </w:r>
      <w:r>
        <w:instrText xml:space="preserve"> HYPERLINK \l "_Toc3142" </w:instrText>
      </w:r>
      <w:r>
        <w:fldChar w:fldCharType="separate"/>
      </w:r>
      <w:r>
        <w:rPr>
          <w:rFonts w:hint="eastAsia" w:ascii="宋体" w:hAnsi="宋体" w:cs="宋体"/>
          <w:sz w:val="28"/>
          <w:szCs w:val="24"/>
        </w:rPr>
        <w:t>第五章  采购需求</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_Toc3142 \h </w:instrText>
      </w:r>
      <w:r>
        <w:rPr>
          <w:rFonts w:hint="eastAsia" w:ascii="宋体" w:hAnsi="宋体" w:cs="宋体"/>
          <w:sz w:val="28"/>
          <w:szCs w:val="24"/>
        </w:rPr>
        <w:fldChar w:fldCharType="separate"/>
      </w:r>
      <w:r>
        <w:rPr>
          <w:rFonts w:hint="eastAsia" w:ascii="宋体" w:hAnsi="宋体" w:cs="宋体"/>
          <w:sz w:val="28"/>
          <w:szCs w:val="24"/>
        </w:rPr>
        <w:t>51</w:t>
      </w:r>
      <w:r>
        <w:rPr>
          <w:rFonts w:hint="eastAsia" w:ascii="宋体" w:hAnsi="宋体" w:cs="宋体"/>
          <w:sz w:val="28"/>
          <w:szCs w:val="24"/>
        </w:rPr>
        <w:fldChar w:fldCharType="end"/>
      </w:r>
      <w:r>
        <w:rPr>
          <w:rFonts w:hint="eastAsia" w:ascii="宋体" w:hAnsi="宋体" w:cs="宋体"/>
          <w:sz w:val="28"/>
          <w:szCs w:val="24"/>
        </w:rPr>
        <w:fldChar w:fldCharType="end"/>
      </w:r>
    </w:p>
    <w:p>
      <w:pPr>
        <w:pStyle w:val="24"/>
        <w:tabs>
          <w:tab w:val="right" w:leader="dot" w:pos="9638"/>
        </w:tabs>
        <w:spacing w:line="360" w:lineRule="auto"/>
        <w:rPr>
          <w:rFonts w:ascii="宋体" w:hAnsi="宋体" w:cs="宋体"/>
        </w:rPr>
      </w:pPr>
      <w:r>
        <w:fldChar w:fldCharType="begin"/>
      </w:r>
      <w:r>
        <w:instrText xml:space="preserve"> HYPERLINK \l "_Toc23059" </w:instrText>
      </w:r>
      <w:r>
        <w:fldChar w:fldCharType="separate"/>
      </w:r>
      <w:r>
        <w:rPr>
          <w:rFonts w:hint="eastAsia" w:ascii="宋体" w:hAnsi="宋体" w:cs="宋体"/>
          <w:sz w:val="28"/>
          <w:szCs w:val="24"/>
        </w:rPr>
        <w:t>第六章  响应文件构成、要求及格式</w:t>
      </w:r>
      <w:r>
        <w:rPr>
          <w:rFonts w:hint="eastAsia" w:ascii="宋体" w:hAnsi="宋体" w:cs="宋体"/>
          <w:sz w:val="28"/>
          <w:szCs w:val="24"/>
        </w:rPr>
        <w:tab/>
      </w:r>
      <w:r>
        <w:rPr>
          <w:rFonts w:hint="eastAsia" w:ascii="宋体" w:hAnsi="宋体" w:cs="宋体"/>
          <w:sz w:val="28"/>
          <w:szCs w:val="24"/>
        </w:rPr>
        <w:fldChar w:fldCharType="begin"/>
      </w:r>
      <w:r>
        <w:rPr>
          <w:rFonts w:hint="eastAsia" w:ascii="宋体" w:hAnsi="宋体" w:cs="宋体"/>
          <w:sz w:val="28"/>
          <w:szCs w:val="24"/>
        </w:rPr>
        <w:instrText xml:space="preserve"> PAGEREF _Toc23059 \h </w:instrText>
      </w:r>
      <w:r>
        <w:rPr>
          <w:rFonts w:hint="eastAsia" w:ascii="宋体" w:hAnsi="宋体" w:cs="宋体"/>
          <w:sz w:val="28"/>
          <w:szCs w:val="24"/>
        </w:rPr>
        <w:fldChar w:fldCharType="separate"/>
      </w:r>
      <w:r>
        <w:rPr>
          <w:rFonts w:hint="eastAsia" w:ascii="宋体" w:hAnsi="宋体" w:cs="宋体"/>
          <w:sz w:val="28"/>
          <w:szCs w:val="24"/>
        </w:rPr>
        <w:t>69</w:t>
      </w:r>
      <w:r>
        <w:rPr>
          <w:rFonts w:hint="eastAsia" w:ascii="宋体" w:hAnsi="宋体" w:cs="宋体"/>
          <w:sz w:val="28"/>
          <w:szCs w:val="24"/>
        </w:rPr>
        <w:fldChar w:fldCharType="end"/>
      </w:r>
      <w:r>
        <w:rPr>
          <w:rFonts w:hint="eastAsia" w:ascii="宋体" w:hAnsi="宋体" w:cs="宋体"/>
          <w:sz w:val="28"/>
          <w:szCs w:val="24"/>
        </w:rPr>
        <w:fldChar w:fldCharType="end"/>
      </w:r>
    </w:p>
    <w:p>
      <w:pPr>
        <w:autoSpaceDE w:val="0"/>
        <w:autoSpaceDN w:val="0"/>
        <w:adjustRightInd w:val="0"/>
        <w:spacing w:line="360" w:lineRule="auto"/>
        <w:jc w:val="center"/>
        <w:rPr>
          <w:rFonts w:ascii="宋体" w:hAnsi="宋体" w:cs="宋体"/>
          <w:b/>
          <w:szCs w:val="21"/>
          <w:lang w:val="zh-CN"/>
        </w:rPr>
      </w:pPr>
      <w:r>
        <w:rPr>
          <w:rFonts w:hint="eastAsia" w:ascii="宋体" w:hAnsi="宋体" w:cs="宋体"/>
          <w:szCs w:val="21"/>
          <w:lang w:val="zh-CN"/>
        </w:rPr>
        <w:fldChar w:fldCharType="end"/>
      </w:r>
    </w:p>
    <w:p>
      <w:pPr>
        <w:autoSpaceDE w:val="0"/>
        <w:autoSpaceDN w:val="0"/>
        <w:adjustRightInd w:val="0"/>
        <w:jc w:val="center"/>
        <w:rPr>
          <w:rFonts w:ascii="宋体" w:hAnsi="宋体" w:cs="宋体"/>
          <w:b/>
          <w:szCs w:val="21"/>
          <w:lang w:val="zh-CN"/>
        </w:rPr>
      </w:pPr>
    </w:p>
    <w:p>
      <w:pPr>
        <w:autoSpaceDE w:val="0"/>
        <w:autoSpaceDN w:val="0"/>
        <w:adjustRightInd w:val="0"/>
        <w:jc w:val="center"/>
        <w:rPr>
          <w:rFonts w:ascii="宋体" w:hAnsi="宋体" w:cs="宋体"/>
          <w:b/>
          <w:szCs w:val="21"/>
          <w:lang w:val="zh-CN"/>
        </w:rPr>
      </w:pPr>
    </w:p>
    <w:p>
      <w:pPr>
        <w:autoSpaceDE w:val="0"/>
        <w:autoSpaceDN w:val="0"/>
        <w:adjustRightInd w:val="0"/>
        <w:jc w:val="center"/>
        <w:rPr>
          <w:rFonts w:ascii="宋体" w:hAnsi="宋体" w:cs="宋体"/>
          <w:b/>
          <w:szCs w:val="21"/>
          <w:lang w:val="zh-CN"/>
        </w:rPr>
      </w:pPr>
    </w:p>
    <w:p>
      <w:pPr>
        <w:autoSpaceDE w:val="0"/>
        <w:autoSpaceDN w:val="0"/>
        <w:adjustRightInd w:val="0"/>
        <w:jc w:val="center"/>
        <w:rPr>
          <w:rFonts w:ascii="宋体" w:hAnsi="宋体" w:cs="宋体"/>
          <w:b/>
          <w:szCs w:val="21"/>
          <w:lang w:val="zh-CN"/>
        </w:rPr>
      </w:pPr>
    </w:p>
    <w:p>
      <w:pPr>
        <w:autoSpaceDE w:val="0"/>
        <w:autoSpaceDN w:val="0"/>
        <w:adjustRightInd w:val="0"/>
        <w:jc w:val="center"/>
        <w:rPr>
          <w:rFonts w:ascii="宋体" w:hAnsi="宋体" w:cs="宋体"/>
          <w:b/>
          <w:szCs w:val="21"/>
          <w:lang w:val="zh-CN"/>
        </w:rPr>
      </w:pPr>
    </w:p>
    <w:p>
      <w:pPr>
        <w:autoSpaceDE w:val="0"/>
        <w:autoSpaceDN w:val="0"/>
        <w:adjustRightInd w:val="0"/>
        <w:jc w:val="center"/>
        <w:rPr>
          <w:rFonts w:ascii="宋体" w:hAnsi="宋体" w:cs="宋体"/>
          <w:b/>
          <w:szCs w:val="21"/>
          <w:lang w:val="zh-CN"/>
        </w:rPr>
      </w:pPr>
    </w:p>
    <w:p>
      <w:pPr>
        <w:autoSpaceDE w:val="0"/>
        <w:autoSpaceDN w:val="0"/>
        <w:adjustRightInd w:val="0"/>
        <w:jc w:val="center"/>
        <w:rPr>
          <w:rFonts w:ascii="宋体" w:hAnsi="宋体" w:cs="宋体"/>
          <w:b/>
          <w:szCs w:val="21"/>
          <w:lang w:val="zh-CN"/>
        </w:rPr>
      </w:pPr>
    </w:p>
    <w:p>
      <w:pPr>
        <w:autoSpaceDE w:val="0"/>
        <w:autoSpaceDN w:val="0"/>
        <w:adjustRightInd w:val="0"/>
        <w:rPr>
          <w:rFonts w:ascii="宋体" w:hAnsi="宋体" w:cs="宋体"/>
          <w:b/>
          <w:szCs w:val="21"/>
          <w:lang w:val="zh-CN"/>
        </w:rPr>
      </w:pPr>
    </w:p>
    <w:p>
      <w:pPr>
        <w:pStyle w:val="18"/>
        <w:jc w:val="center"/>
        <w:rPr>
          <w:rFonts w:hAnsi="宋体" w:cs="宋体"/>
          <w:b/>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tabs>
          <w:tab w:val="left" w:pos="6969"/>
        </w:tabs>
        <w:rPr>
          <w:rFonts w:ascii="宋体" w:hAnsi="宋体" w:cs="宋体"/>
        </w:rPr>
      </w:pPr>
      <w:r>
        <w:rPr>
          <w:rFonts w:hint="eastAsia" w:ascii="宋体" w:hAnsi="宋体" w:cs="宋体"/>
        </w:rPr>
        <w:tab/>
      </w:r>
    </w:p>
    <w:p>
      <w:pPr>
        <w:rPr>
          <w:rFonts w:ascii="宋体" w:hAnsi="宋体" w:cs="宋体"/>
        </w:rPr>
      </w:pPr>
    </w:p>
    <w:p>
      <w:pPr>
        <w:rPr>
          <w:rFonts w:ascii="宋体" w:hAnsi="宋体" w:cs="宋体"/>
        </w:rPr>
        <w:sectPr>
          <w:headerReference r:id="rId3" w:type="first"/>
          <w:footerReference r:id="rId6" w:type="first"/>
          <w:footerReference r:id="rId4" w:type="default"/>
          <w:footerReference r:id="rId5" w:type="even"/>
          <w:pgSz w:w="11906" w:h="16838"/>
          <w:pgMar w:top="1134" w:right="1134" w:bottom="1134" w:left="1134" w:header="567" w:footer="737" w:gutter="0"/>
          <w:pgNumType w:start="0"/>
          <w:cols w:space="720" w:num="1"/>
          <w:titlePg/>
          <w:docGrid w:type="lines" w:linePitch="490" w:charSpace="0"/>
        </w:sectPr>
      </w:pPr>
    </w:p>
    <w:p>
      <w:pPr>
        <w:pStyle w:val="3"/>
        <w:spacing w:line="360" w:lineRule="exact"/>
        <w:jc w:val="center"/>
        <w:rPr>
          <w:rFonts w:ascii="宋体" w:hAnsi="宋体" w:cs="宋体"/>
        </w:rPr>
      </w:pPr>
      <w:bookmarkStart w:id="0" w:name="_Toc29547239"/>
      <w:bookmarkStart w:id="1" w:name="_Toc23340"/>
      <w:bookmarkStart w:id="2" w:name="_Toc30126"/>
      <w:bookmarkStart w:id="3" w:name="_Toc23568"/>
      <w:r>
        <w:rPr>
          <w:rFonts w:hint="eastAsia" w:ascii="宋体" w:hAnsi="宋体" w:cs="宋体"/>
        </w:rPr>
        <w:t xml:space="preserve">第一章  </w:t>
      </w:r>
      <w:bookmarkEnd w:id="0"/>
      <w:bookmarkStart w:id="4" w:name="_Toc12966013"/>
      <w:r>
        <w:rPr>
          <w:rFonts w:hint="eastAsia" w:ascii="宋体" w:hAnsi="宋体" w:cs="宋体"/>
          <w:bCs/>
          <w:sz w:val="40"/>
          <w:szCs w:val="40"/>
        </w:rPr>
        <w:t>竞争性磋商公告</w:t>
      </w:r>
      <w:bookmarkEnd w:id="1"/>
      <w:bookmarkEnd w:id="2"/>
      <w:bookmarkEnd w:id="3"/>
      <w:bookmarkEnd w:id="4"/>
    </w:p>
    <w:p>
      <w:pPr>
        <w:jc w:val="center"/>
        <w:rPr>
          <w:rFonts w:ascii="宋体" w:hAnsi="宋体" w:cs="宋体"/>
          <w:sz w:val="28"/>
          <w:szCs w:val="28"/>
        </w:rPr>
      </w:pPr>
      <w:bookmarkStart w:id="5" w:name="_Toc359494608"/>
      <w:r>
        <w:rPr>
          <w:rFonts w:hint="eastAsia" w:ascii="宋体" w:hAnsi="宋体" w:cs="宋体"/>
          <w:sz w:val="28"/>
          <w:szCs w:val="28"/>
        </w:rPr>
        <w:t>2023轨道专业群机电实训中心完善</w:t>
      </w:r>
    </w:p>
    <w:p>
      <w:pPr>
        <w:jc w:val="center"/>
        <w:rPr>
          <w:rFonts w:hint="eastAsia" w:ascii="宋体" w:hAnsi="宋体" w:eastAsia="宋体" w:cs="宋体"/>
          <w:b/>
          <w:bCs/>
          <w:sz w:val="24"/>
          <w:szCs w:val="24"/>
          <w:lang w:eastAsia="zh-CN"/>
        </w:rPr>
      </w:pPr>
      <w:r>
        <w:rPr>
          <w:rFonts w:hint="eastAsia" w:ascii="宋体" w:hAnsi="宋体" w:cs="宋体"/>
          <w:kern w:val="0"/>
          <w:sz w:val="24"/>
          <w:szCs w:val="24"/>
        </w:rPr>
        <w:t>项目编号：</w:t>
      </w:r>
      <w:r>
        <w:rPr>
          <w:rFonts w:hint="eastAsia" w:ascii="宋体" w:hAnsi="宋体" w:cs="宋体"/>
          <w:kern w:val="0"/>
          <w:sz w:val="24"/>
          <w:szCs w:val="24"/>
          <w:lang w:eastAsia="zh-CN"/>
        </w:rPr>
        <w:t>JM-2023-09-00876</w:t>
      </w:r>
    </w:p>
    <w:p>
      <w:pPr>
        <w:widowControl/>
        <w:spacing w:line="23" w:lineRule="atLeast"/>
        <w:jc w:val="left"/>
        <w:rPr>
          <w:rFonts w:ascii="宋体" w:hAnsi="宋体" w:cs="宋体"/>
          <w:b/>
          <w:bCs/>
          <w:kern w:val="0"/>
          <w:szCs w:val="21"/>
        </w:rPr>
      </w:pPr>
      <w:r>
        <w:rPr>
          <w:rFonts w:hint="eastAsia" w:ascii="宋体" w:hAnsi="宋体" w:cs="宋体"/>
          <w:b/>
          <w:bCs/>
          <w:kern w:val="0"/>
          <w:szCs w:val="21"/>
        </w:rPr>
        <w:t>项目概况</w:t>
      </w:r>
    </w:p>
    <w:p>
      <w:pPr>
        <w:shd w:val="clear" w:color="auto" w:fill="FFFFFF"/>
        <w:spacing w:line="440" w:lineRule="exact"/>
        <w:ind w:firstLine="426"/>
        <w:rPr>
          <w:rFonts w:ascii="宋体" w:hAnsi="宋体" w:cs="宋体"/>
          <w:spacing w:val="6"/>
          <w:szCs w:val="21"/>
        </w:rPr>
      </w:pPr>
      <w:r>
        <w:rPr>
          <w:rFonts w:hint="eastAsia" w:ascii="宋体" w:hAnsi="宋体" w:cs="宋体"/>
          <w:spacing w:val="6"/>
          <w:szCs w:val="21"/>
          <w:u w:val="single"/>
        </w:rPr>
        <w:t>2023轨道专业群机电实训中心完善</w:t>
      </w:r>
      <w:r>
        <w:rPr>
          <w:rFonts w:hint="eastAsia" w:ascii="宋体" w:hAnsi="宋体" w:cs="宋体"/>
          <w:spacing w:val="6"/>
          <w:szCs w:val="21"/>
        </w:rPr>
        <w:t>采购项目的潜在供应商应在</w:t>
      </w:r>
      <w:r>
        <w:rPr>
          <w:rFonts w:hint="eastAsia" w:ascii="宋体" w:hAnsi="宋体" w:cs="宋体"/>
          <w:spacing w:val="6"/>
          <w:szCs w:val="21"/>
          <w:u w:val="single"/>
        </w:rPr>
        <w:t>“政采云”平台（https://www.zcygov.cn/）</w:t>
      </w:r>
      <w:r>
        <w:rPr>
          <w:rFonts w:hint="eastAsia" w:ascii="宋体" w:hAnsi="宋体" w:cs="宋体"/>
          <w:spacing w:val="6"/>
          <w:szCs w:val="21"/>
        </w:rPr>
        <w:t>获取采购文件，并于</w:t>
      </w:r>
      <w:r>
        <w:rPr>
          <w:rFonts w:hint="eastAsia" w:ascii="宋体" w:hAnsi="宋体" w:cs="宋体"/>
          <w:spacing w:val="6"/>
          <w:szCs w:val="21"/>
          <w:highlight w:val="none"/>
          <w:u w:val="single"/>
        </w:rPr>
        <w:t>2023年1</w:t>
      </w:r>
      <w:r>
        <w:rPr>
          <w:rFonts w:hint="eastAsia" w:ascii="宋体" w:hAnsi="宋体" w:cs="宋体"/>
          <w:spacing w:val="6"/>
          <w:szCs w:val="21"/>
          <w:highlight w:val="none"/>
          <w:u w:val="single"/>
          <w:lang w:val="en-US" w:eastAsia="zh-CN"/>
        </w:rPr>
        <w:t>2</w:t>
      </w:r>
      <w:r>
        <w:rPr>
          <w:rFonts w:hint="eastAsia" w:ascii="宋体" w:hAnsi="宋体" w:cs="宋体"/>
          <w:spacing w:val="6"/>
          <w:szCs w:val="21"/>
          <w:highlight w:val="none"/>
          <w:u w:val="single"/>
        </w:rPr>
        <w:t>月</w:t>
      </w:r>
      <w:r>
        <w:rPr>
          <w:rFonts w:hint="eastAsia" w:ascii="宋体" w:hAnsi="宋体" w:cs="宋体"/>
          <w:spacing w:val="6"/>
          <w:szCs w:val="21"/>
          <w:highlight w:val="none"/>
          <w:u w:val="single"/>
          <w:lang w:val="en-US" w:eastAsia="zh-CN"/>
        </w:rPr>
        <w:t>6</w:t>
      </w:r>
      <w:r>
        <w:rPr>
          <w:rFonts w:hint="eastAsia" w:ascii="宋体" w:hAnsi="宋体" w:cs="宋体"/>
          <w:spacing w:val="6"/>
          <w:szCs w:val="21"/>
          <w:highlight w:val="none"/>
          <w:u w:val="single"/>
        </w:rPr>
        <w:t>日13点</w:t>
      </w:r>
      <w:r>
        <w:rPr>
          <w:rFonts w:hint="eastAsia" w:ascii="宋体" w:hAnsi="宋体" w:cs="宋体"/>
          <w:spacing w:val="6"/>
          <w:szCs w:val="21"/>
          <w:highlight w:val="none"/>
          <w:u w:val="single"/>
          <w:lang w:val="en-US" w:eastAsia="zh-CN"/>
        </w:rPr>
        <w:t>3</w:t>
      </w:r>
      <w:r>
        <w:rPr>
          <w:rFonts w:hint="eastAsia" w:ascii="宋体" w:hAnsi="宋体" w:cs="宋体"/>
          <w:spacing w:val="6"/>
          <w:szCs w:val="21"/>
          <w:highlight w:val="none"/>
          <w:u w:val="single"/>
        </w:rPr>
        <w:t>0分</w:t>
      </w:r>
      <w:r>
        <w:rPr>
          <w:rFonts w:hint="eastAsia" w:ascii="宋体" w:hAnsi="宋体" w:cs="宋体"/>
          <w:spacing w:val="6"/>
          <w:szCs w:val="21"/>
        </w:rPr>
        <w:t>（北京时间）前提交响应文件。</w:t>
      </w:r>
    </w:p>
    <w:p>
      <w:pPr>
        <w:widowControl/>
        <w:spacing w:line="23" w:lineRule="atLeast"/>
        <w:jc w:val="left"/>
        <w:rPr>
          <w:rFonts w:ascii="宋体" w:hAnsi="宋体" w:cs="宋体"/>
          <w:b/>
          <w:bCs/>
        </w:rPr>
      </w:pPr>
      <w:r>
        <w:rPr>
          <w:rFonts w:hint="eastAsia" w:ascii="宋体" w:hAnsi="宋体" w:cs="宋体"/>
          <w:b/>
          <w:bCs/>
          <w:kern w:val="0"/>
          <w:szCs w:val="21"/>
        </w:rPr>
        <w:t>一、项目基本情况</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1.项目编号：</w:t>
      </w:r>
      <w:r>
        <w:rPr>
          <w:rFonts w:hint="eastAsia" w:ascii="宋体" w:hAnsi="宋体" w:cs="宋体"/>
          <w:kern w:val="0"/>
          <w:szCs w:val="21"/>
          <w:lang w:eastAsia="zh-CN"/>
        </w:rPr>
        <w:t>JM-2023-09-00876</w:t>
      </w:r>
    </w:p>
    <w:p>
      <w:pPr>
        <w:ind w:firstLine="420" w:firstLineChars="200"/>
        <w:rPr>
          <w:rFonts w:ascii="宋体" w:hAnsi="宋体" w:cs="宋体"/>
          <w:kern w:val="0"/>
          <w:szCs w:val="21"/>
        </w:rPr>
      </w:pPr>
      <w:r>
        <w:rPr>
          <w:rFonts w:hint="eastAsia" w:ascii="宋体" w:hAnsi="宋体" w:cs="宋体"/>
          <w:kern w:val="0"/>
          <w:szCs w:val="21"/>
        </w:rPr>
        <w:t>2.项目名称：2023轨道专业群机电实训中心完善</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 xml:space="preserve">3.采购方式：□竞争性谈判 </w:t>
      </w:r>
      <w:r>
        <w:rPr>
          <w:rFonts w:hint="eastAsia" w:ascii="宋体" w:hAnsi="宋体" w:cs="宋体"/>
          <w:kern w:val="0"/>
          <w:szCs w:val="21"/>
        </w:rPr>
        <w:sym w:font="Wingdings 2" w:char="0052"/>
      </w:r>
      <w:r>
        <w:rPr>
          <w:rFonts w:hint="eastAsia" w:ascii="宋体" w:hAnsi="宋体" w:cs="宋体"/>
          <w:kern w:val="0"/>
          <w:szCs w:val="21"/>
        </w:rPr>
        <w:t>竞争性磋商 □询价</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4.资金来源：财政资金</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5.预算金额：1500000元</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6.供货地点：中标供应商须将全部采购标的物送达采购人指定场所，并安装部署调试到位；</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7.采购需求：实现轨道机电专业设备软硬件的升级和补充，满足轨道信号、轨道机电方向的课程理实一体化教学及达到1+X考证所需设备功能.满足轨道机电专业设备软硬件的升级和补充需要，达到轨道信号、轨道机电方向的课程理实一体化教学及达到1+X考证所需设备功能，满足企业对学生技术技能要求（详见磋商文件采购需求）；</w:t>
      </w:r>
    </w:p>
    <w:p>
      <w:pPr>
        <w:ind w:firstLine="420" w:firstLineChars="200"/>
        <w:rPr>
          <w:rFonts w:ascii="宋体" w:hAnsi="宋体" w:cs="宋体"/>
        </w:rPr>
      </w:pPr>
      <w:r>
        <w:rPr>
          <w:rFonts w:hint="eastAsia" w:ascii="宋体" w:hAnsi="宋体" w:cs="宋体"/>
        </w:rPr>
        <w:t>8.质量要求：符合国家及行业相关规定；</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 xml:space="preserve">9.合同履约期限：采购合同签订之日起 </w:t>
      </w:r>
      <w:r>
        <w:rPr>
          <w:rFonts w:hint="eastAsia" w:ascii="宋体" w:hAnsi="宋体" w:cs="宋体"/>
          <w:kern w:val="0"/>
          <w:szCs w:val="21"/>
          <w:lang w:val="en-US" w:eastAsia="zh-CN"/>
        </w:rPr>
        <w:t>3</w:t>
      </w:r>
      <w:r>
        <w:rPr>
          <w:rFonts w:hint="eastAsia" w:ascii="宋体" w:hAnsi="宋体" w:cs="宋体"/>
          <w:kern w:val="0"/>
          <w:szCs w:val="21"/>
        </w:rPr>
        <w:t>0 天内；</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10.本项目不接受联合体。</w:t>
      </w:r>
    </w:p>
    <w:p>
      <w:pPr>
        <w:widowControl/>
        <w:spacing w:line="23" w:lineRule="atLeast"/>
        <w:jc w:val="left"/>
        <w:rPr>
          <w:rFonts w:ascii="宋体" w:hAnsi="宋体" w:cs="宋体"/>
        </w:rPr>
      </w:pPr>
      <w:r>
        <w:rPr>
          <w:rFonts w:hint="eastAsia" w:ascii="宋体" w:hAnsi="宋体" w:cs="宋体"/>
          <w:b/>
          <w:bCs/>
          <w:kern w:val="0"/>
          <w:szCs w:val="21"/>
        </w:rPr>
        <w:t>二、申请人的资格要求</w:t>
      </w:r>
      <w:r>
        <w:rPr>
          <w:rFonts w:hint="eastAsia" w:ascii="宋体" w:hAnsi="宋体" w:cs="宋体"/>
          <w:kern w:val="0"/>
          <w:szCs w:val="21"/>
        </w:rPr>
        <w:t>：</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1.满足《中华人民共和国政府采购法》第二十二条规定；</w:t>
      </w:r>
    </w:p>
    <w:p>
      <w:pPr>
        <w:ind w:firstLine="630" w:firstLineChars="300"/>
        <w:rPr>
          <w:rFonts w:ascii="宋体" w:hAnsi="宋体" w:cs="宋体"/>
        </w:rPr>
      </w:pPr>
      <w:r>
        <w:rPr>
          <w:rFonts w:hint="eastAsia" w:ascii="宋体" w:hAnsi="宋体" w:cs="宋体"/>
        </w:rPr>
        <w:t>(1)具有独立承担民事责任的能力；</w:t>
      </w:r>
    </w:p>
    <w:p>
      <w:pPr>
        <w:ind w:firstLine="630" w:firstLineChars="300"/>
        <w:rPr>
          <w:rFonts w:ascii="宋体" w:hAnsi="宋体" w:cs="宋体"/>
        </w:rPr>
      </w:pPr>
      <w:r>
        <w:rPr>
          <w:rFonts w:hint="eastAsia" w:ascii="宋体" w:hAnsi="宋体" w:cs="宋体"/>
        </w:rPr>
        <w:t>(2)具有良好的商业信誉和健全的财务会计制度；</w:t>
      </w:r>
    </w:p>
    <w:p>
      <w:pPr>
        <w:ind w:firstLine="630" w:firstLineChars="300"/>
        <w:rPr>
          <w:rFonts w:ascii="宋体" w:hAnsi="宋体" w:cs="宋体"/>
        </w:rPr>
      </w:pPr>
      <w:r>
        <w:rPr>
          <w:rFonts w:hint="eastAsia" w:ascii="宋体" w:hAnsi="宋体" w:cs="宋体"/>
        </w:rPr>
        <w:t>(3)具有履行合同所必需的设备和专业技术能力；</w:t>
      </w:r>
    </w:p>
    <w:p>
      <w:pPr>
        <w:ind w:firstLine="630" w:firstLineChars="300"/>
        <w:rPr>
          <w:rFonts w:ascii="宋体" w:hAnsi="宋体" w:cs="宋体"/>
        </w:rPr>
      </w:pPr>
      <w:r>
        <w:rPr>
          <w:rFonts w:hint="eastAsia" w:ascii="宋体" w:hAnsi="宋体" w:cs="宋体"/>
        </w:rPr>
        <w:t>(4)有依法缴纳税收和社会保障资金的良好记录；</w:t>
      </w:r>
    </w:p>
    <w:p>
      <w:pPr>
        <w:ind w:firstLine="630" w:firstLineChars="300"/>
        <w:rPr>
          <w:rFonts w:ascii="宋体" w:hAnsi="宋体" w:cs="宋体"/>
        </w:rPr>
      </w:pPr>
      <w:r>
        <w:rPr>
          <w:rFonts w:hint="eastAsia" w:ascii="宋体" w:hAnsi="宋体" w:cs="宋体"/>
        </w:rPr>
        <w:t>(5)参加政府采购活动前三年内，在经营活动中没有重大违法记录</w:t>
      </w:r>
      <w:r>
        <w:rPr>
          <w:rFonts w:hint="eastAsia" w:ascii="宋体" w:hAnsi="宋体" w:cs="宋体"/>
          <w:kern w:val="0"/>
          <w:szCs w:val="21"/>
        </w:rPr>
        <w:t>（重大违法记录是指供应商因违法经营受到刑事处罚或者责令停产停业、吊销许可证或者执照、较大数额罚款等行政处罚）</w:t>
      </w:r>
      <w:r>
        <w:rPr>
          <w:rFonts w:hint="eastAsia" w:ascii="宋体" w:hAnsi="宋体" w:cs="宋体"/>
        </w:rPr>
        <w:t>；</w:t>
      </w:r>
    </w:p>
    <w:p>
      <w:pPr>
        <w:ind w:firstLine="630" w:firstLineChars="300"/>
        <w:rPr>
          <w:rFonts w:ascii="宋体" w:hAnsi="宋体" w:cs="宋体"/>
        </w:rPr>
      </w:pPr>
      <w:r>
        <w:rPr>
          <w:rFonts w:hint="eastAsia" w:ascii="宋体" w:hAnsi="宋体" w:cs="宋体"/>
        </w:rPr>
        <w:t>(6)法律、行政法规规定的其他条件。</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2.落实政府采购政策需满足的资格要求：</w:t>
      </w:r>
      <w:r>
        <w:rPr>
          <w:rFonts w:hint="eastAsia" w:ascii="宋体" w:hAnsi="宋体" w:cs="宋体"/>
          <w:spacing w:val="6"/>
          <w:szCs w:val="21"/>
        </w:rPr>
        <w:t>本项目非专门面向中小企业</w:t>
      </w:r>
      <w:r>
        <w:rPr>
          <w:rFonts w:hint="eastAsia" w:ascii="宋体" w:hAnsi="宋体" w:cs="宋体"/>
          <w:szCs w:val="21"/>
        </w:rPr>
        <w:t>采购</w:t>
      </w:r>
      <w:r>
        <w:rPr>
          <w:rFonts w:hint="eastAsia" w:ascii="宋体" w:hAnsi="宋体" w:cs="宋体"/>
          <w:kern w:val="0"/>
          <w:szCs w:val="21"/>
        </w:rPr>
        <w:t>。</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3.本项目的特定资格要求：</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3.1申请人需具备独立承担民事行为能力的法人或其他组织，具备有效的营业执照；具有履行合同所必需的设备、资金和专业技术能力；</w:t>
      </w:r>
    </w:p>
    <w:p>
      <w:pPr>
        <w:widowControl/>
        <w:spacing w:line="23" w:lineRule="atLeast"/>
        <w:ind w:firstLine="420" w:firstLineChars="200"/>
        <w:jc w:val="left"/>
        <w:rPr>
          <w:rFonts w:ascii="宋体" w:hAnsi="宋体" w:cs="宋体"/>
        </w:rPr>
      </w:pPr>
      <w:r>
        <w:rPr>
          <w:rFonts w:hint="eastAsia" w:ascii="宋体" w:hAnsi="宋体" w:cs="宋体"/>
          <w:kern w:val="0"/>
          <w:szCs w:val="21"/>
        </w:rPr>
        <w:t>3.2供应商应按照《长春市财政局关于加强政府采购信用体系建设简化供应商资格条件有关事项的通知》（长财采购[2022]2066号）文件要求在响应文件中提交反映其财务状况、依法缴纳税收和社保保障资金情况的资格条件承诺函，并对资格条件承诺函有关内容的真实性、有效性、合法性负责；</w:t>
      </w:r>
    </w:p>
    <w:p>
      <w:pPr>
        <w:widowControl/>
        <w:tabs>
          <w:tab w:val="left" w:pos="654"/>
          <w:tab w:val="left" w:pos="684"/>
          <w:tab w:val="left" w:pos="714"/>
        </w:tabs>
        <w:spacing w:line="23" w:lineRule="atLeast"/>
        <w:ind w:firstLine="420" w:firstLineChars="200"/>
        <w:jc w:val="left"/>
        <w:rPr>
          <w:rFonts w:ascii="宋体" w:hAnsi="宋体" w:cs="宋体"/>
          <w:kern w:val="0"/>
          <w:szCs w:val="21"/>
        </w:rPr>
      </w:pPr>
      <w:r>
        <w:rPr>
          <w:rFonts w:hint="eastAsia" w:ascii="宋体" w:hAnsi="宋体" w:cs="宋体"/>
          <w:kern w:val="0"/>
          <w:szCs w:val="21"/>
        </w:rPr>
        <w:t>3.3信誉要求：</w:t>
      </w:r>
    </w:p>
    <w:p>
      <w:pPr>
        <w:widowControl/>
        <w:spacing w:line="23" w:lineRule="atLeast"/>
        <w:ind w:firstLine="945" w:firstLineChars="450"/>
        <w:jc w:val="left"/>
        <w:rPr>
          <w:rFonts w:ascii="宋体" w:hAnsi="宋体" w:cs="宋体"/>
          <w:kern w:val="0"/>
          <w:szCs w:val="21"/>
        </w:rPr>
      </w:pPr>
      <w:r>
        <w:rPr>
          <w:rFonts w:hint="eastAsia" w:ascii="宋体" w:hAnsi="宋体" w:cs="宋体"/>
          <w:kern w:val="0"/>
          <w:szCs w:val="21"/>
        </w:rPr>
        <w:t>①拒绝列入政府取消投标资格记录期间的企业或个人投标；</w:t>
      </w:r>
    </w:p>
    <w:p>
      <w:pPr>
        <w:widowControl/>
        <w:spacing w:line="23" w:lineRule="atLeast"/>
        <w:ind w:firstLine="945" w:firstLineChars="450"/>
        <w:jc w:val="left"/>
        <w:rPr>
          <w:rFonts w:ascii="宋体" w:hAnsi="宋体" w:cs="宋体"/>
          <w:kern w:val="0"/>
          <w:szCs w:val="21"/>
        </w:rPr>
      </w:pPr>
      <w:r>
        <w:rPr>
          <w:rFonts w:hint="eastAsia" w:ascii="宋体" w:hAnsi="宋体" w:cs="宋体"/>
          <w:kern w:val="0"/>
          <w:szCs w:val="21"/>
        </w:rPr>
        <w:t>②未被“中国政府采购网”列入政府采购严重违法失信行为记录名单；</w:t>
      </w:r>
    </w:p>
    <w:p>
      <w:pPr>
        <w:widowControl/>
        <w:spacing w:line="23" w:lineRule="atLeast"/>
        <w:ind w:firstLine="945" w:firstLineChars="450"/>
        <w:jc w:val="left"/>
        <w:rPr>
          <w:rFonts w:ascii="宋体" w:hAnsi="宋体" w:cs="宋体"/>
          <w:kern w:val="0"/>
          <w:szCs w:val="21"/>
        </w:rPr>
      </w:pPr>
      <w:r>
        <w:rPr>
          <w:rFonts w:hint="eastAsia" w:ascii="宋体" w:hAnsi="宋体" w:cs="宋体"/>
          <w:kern w:val="0"/>
          <w:szCs w:val="21"/>
        </w:rPr>
        <w:t>③本项目投标截止时间前未被“信用中国”网站中列入失信被执行人或重大税收违法案件当事人名单；</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3.4本项目不允许分包；</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3.5在政府采购活动中，采购人员及相关人员与供应商有利害关系的，必须回避；单位负责人为同一人或者存在直接控股、管理关系的不同供应商，不得参加同一合同项下的政府采购活动。违反这两款规定的，相关投标均无效。</w:t>
      </w:r>
    </w:p>
    <w:p>
      <w:pPr>
        <w:widowControl/>
        <w:spacing w:line="23" w:lineRule="atLeast"/>
        <w:jc w:val="left"/>
        <w:rPr>
          <w:rFonts w:ascii="宋体" w:hAnsi="宋体" w:cs="宋体"/>
          <w:b/>
          <w:bCs/>
        </w:rPr>
      </w:pPr>
      <w:r>
        <w:rPr>
          <w:rFonts w:hint="eastAsia" w:ascii="宋体" w:hAnsi="宋体" w:cs="宋体"/>
          <w:b/>
          <w:bCs/>
          <w:kern w:val="0"/>
          <w:szCs w:val="21"/>
        </w:rPr>
        <w:t>三、获取采购文件</w:t>
      </w:r>
    </w:p>
    <w:p>
      <w:pPr>
        <w:pStyle w:val="28"/>
        <w:widowControl w:val="0"/>
        <w:spacing w:before="0" w:beforeAutospacing="0" w:after="0" w:afterAutospacing="0" w:line="400" w:lineRule="exact"/>
        <w:ind w:firstLine="420" w:firstLineChars="200"/>
        <w:rPr>
          <w:rFonts w:hint="default" w:cs="宋体"/>
          <w:sz w:val="21"/>
          <w:szCs w:val="21"/>
        </w:rPr>
      </w:pPr>
      <w:r>
        <w:rPr>
          <w:rFonts w:cs="宋体"/>
          <w:sz w:val="21"/>
          <w:szCs w:val="21"/>
        </w:rPr>
        <w:t>1.时间：</w:t>
      </w:r>
      <w:r>
        <w:rPr>
          <w:rFonts w:cs="宋体"/>
          <w:sz w:val="21"/>
          <w:szCs w:val="21"/>
          <w:highlight w:val="none"/>
          <w:u w:val="single"/>
        </w:rPr>
        <w:t>2023年11月</w:t>
      </w:r>
      <w:r>
        <w:rPr>
          <w:rFonts w:hint="eastAsia" w:cs="宋体"/>
          <w:sz w:val="21"/>
          <w:szCs w:val="21"/>
          <w:highlight w:val="none"/>
          <w:u w:val="single"/>
          <w:lang w:val="en-US" w:eastAsia="zh-CN"/>
        </w:rPr>
        <w:t>22</w:t>
      </w:r>
      <w:r>
        <w:rPr>
          <w:rFonts w:cs="宋体"/>
          <w:sz w:val="21"/>
          <w:szCs w:val="21"/>
          <w:highlight w:val="none"/>
          <w:u w:val="single"/>
        </w:rPr>
        <w:t>日</w:t>
      </w:r>
      <w:r>
        <w:rPr>
          <w:rFonts w:cs="宋体"/>
          <w:sz w:val="21"/>
          <w:szCs w:val="21"/>
          <w:highlight w:val="none"/>
        </w:rPr>
        <w:t>至</w:t>
      </w:r>
      <w:r>
        <w:rPr>
          <w:rFonts w:cs="宋体"/>
          <w:sz w:val="21"/>
          <w:szCs w:val="21"/>
          <w:highlight w:val="none"/>
          <w:u w:val="single"/>
        </w:rPr>
        <w:t>2023年11月2</w:t>
      </w:r>
      <w:r>
        <w:rPr>
          <w:rFonts w:hint="eastAsia" w:cs="宋体"/>
          <w:sz w:val="21"/>
          <w:szCs w:val="21"/>
          <w:highlight w:val="none"/>
          <w:u w:val="single"/>
          <w:lang w:val="en-US" w:eastAsia="zh-CN"/>
        </w:rPr>
        <w:t>9</w:t>
      </w:r>
      <w:r>
        <w:rPr>
          <w:rFonts w:cs="宋体"/>
          <w:sz w:val="21"/>
          <w:szCs w:val="21"/>
          <w:highlight w:val="none"/>
          <w:u w:val="single"/>
        </w:rPr>
        <w:t>日</w:t>
      </w:r>
      <w:r>
        <w:rPr>
          <w:rFonts w:cs="宋体"/>
          <w:sz w:val="21"/>
          <w:szCs w:val="21"/>
          <w:highlight w:val="none"/>
        </w:rPr>
        <w:t>每</w:t>
      </w:r>
      <w:r>
        <w:rPr>
          <w:rFonts w:cs="宋体"/>
          <w:sz w:val="21"/>
          <w:szCs w:val="21"/>
        </w:rPr>
        <w:t xml:space="preserve">天上午08时30分至11时30分，下午13时00分至16时30分（北京时间，法定节假日除外）。 </w:t>
      </w:r>
    </w:p>
    <w:p>
      <w:pPr>
        <w:pStyle w:val="28"/>
        <w:widowControl w:val="0"/>
        <w:spacing w:before="0" w:beforeAutospacing="0" w:after="0" w:afterAutospacing="0" w:line="400" w:lineRule="exact"/>
        <w:ind w:firstLine="420" w:firstLineChars="200"/>
        <w:rPr>
          <w:rFonts w:hint="default" w:cs="宋体"/>
          <w:sz w:val="21"/>
          <w:szCs w:val="21"/>
        </w:rPr>
      </w:pPr>
      <w:r>
        <w:rPr>
          <w:rFonts w:cs="宋体"/>
          <w:sz w:val="21"/>
          <w:szCs w:val="21"/>
        </w:rPr>
        <w:t>2.获取方式：网上下载。本项目不发放纸质文件，供应商可自行在“政采云”平台（https://www.zcygov.cn/）免费下载磋商文件（操作路径：登录“政采云”平台-项目采购-获取采购文件-找到本项目-点击“申请获取采购文件”），电子磋商响应文件制作需要基于“政采云”平台获取的磋商文件编制。</w:t>
      </w:r>
    </w:p>
    <w:p>
      <w:pPr>
        <w:pStyle w:val="28"/>
        <w:widowControl w:val="0"/>
        <w:spacing w:before="0" w:beforeAutospacing="0" w:after="0" w:afterAutospacing="0" w:line="400" w:lineRule="exact"/>
        <w:ind w:firstLine="420" w:firstLineChars="200"/>
        <w:rPr>
          <w:rFonts w:hint="default" w:cs="宋体"/>
          <w:sz w:val="21"/>
          <w:szCs w:val="21"/>
        </w:rPr>
      </w:pPr>
      <w:r>
        <w:rPr>
          <w:rFonts w:cs="宋体"/>
          <w:sz w:val="21"/>
          <w:szCs w:val="21"/>
        </w:rPr>
        <w:t>3.数字证书办理方式联系电话：0431-80663516。</w:t>
      </w:r>
    </w:p>
    <w:p>
      <w:pPr>
        <w:pStyle w:val="28"/>
        <w:widowControl w:val="0"/>
        <w:spacing w:before="0" w:beforeAutospacing="0" w:after="0" w:afterAutospacing="0" w:line="400" w:lineRule="exact"/>
        <w:rPr>
          <w:rFonts w:hint="default" w:cs="宋体"/>
        </w:rPr>
      </w:pPr>
      <w:r>
        <w:rPr>
          <w:rFonts w:cs="宋体"/>
          <w:b/>
          <w:bCs/>
          <w:sz w:val="21"/>
          <w:szCs w:val="21"/>
        </w:rPr>
        <w:t>四、响应文件提交</w:t>
      </w:r>
    </w:p>
    <w:p>
      <w:pPr>
        <w:widowControl/>
        <w:spacing w:line="23" w:lineRule="atLeast"/>
        <w:ind w:firstLine="420" w:firstLineChars="200"/>
        <w:jc w:val="left"/>
        <w:rPr>
          <w:rFonts w:ascii="宋体" w:hAnsi="宋体" w:cs="宋体"/>
          <w:szCs w:val="21"/>
          <w:highlight w:val="none"/>
        </w:rPr>
      </w:pPr>
      <w:r>
        <w:rPr>
          <w:rFonts w:hint="eastAsia" w:ascii="宋体" w:hAnsi="宋体" w:cs="宋体"/>
          <w:szCs w:val="21"/>
        </w:rPr>
        <w:t>截止时间</w:t>
      </w:r>
      <w:r>
        <w:rPr>
          <w:rFonts w:hint="eastAsia" w:ascii="宋体" w:hAnsi="宋体" w:cs="宋体"/>
          <w:szCs w:val="21"/>
          <w:highlight w:val="none"/>
        </w:rPr>
        <w:t>：</w:t>
      </w:r>
      <w:r>
        <w:rPr>
          <w:rFonts w:hint="eastAsia" w:ascii="宋体" w:hAnsi="宋体" w:cs="宋体"/>
          <w:spacing w:val="6"/>
          <w:szCs w:val="21"/>
          <w:highlight w:val="none"/>
          <w:u w:val="single"/>
        </w:rPr>
        <w:t>2023年1</w:t>
      </w:r>
      <w:r>
        <w:rPr>
          <w:rFonts w:hint="eastAsia" w:ascii="宋体" w:hAnsi="宋体" w:cs="宋体"/>
          <w:spacing w:val="6"/>
          <w:szCs w:val="21"/>
          <w:highlight w:val="none"/>
          <w:u w:val="single"/>
          <w:lang w:val="en-US" w:eastAsia="zh-CN"/>
        </w:rPr>
        <w:t>2</w:t>
      </w:r>
      <w:r>
        <w:rPr>
          <w:rFonts w:hint="eastAsia" w:ascii="宋体" w:hAnsi="宋体" w:cs="宋体"/>
          <w:spacing w:val="6"/>
          <w:szCs w:val="21"/>
          <w:highlight w:val="none"/>
          <w:u w:val="single"/>
        </w:rPr>
        <w:t>月</w:t>
      </w:r>
      <w:r>
        <w:rPr>
          <w:rFonts w:hint="eastAsia" w:ascii="宋体" w:hAnsi="宋体" w:cs="宋体"/>
          <w:spacing w:val="6"/>
          <w:szCs w:val="21"/>
          <w:highlight w:val="none"/>
          <w:u w:val="single"/>
          <w:lang w:val="en-US" w:eastAsia="zh-CN"/>
        </w:rPr>
        <w:t>6</w:t>
      </w:r>
      <w:r>
        <w:rPr>
          <w:rFonts w:hint="eastAsia" w:ascii="宋体" w:hAnsi="宋体" w:cs="宋体"/>
          <w:spacing w:val="6"/>
          <w:szCs w:val="21"/>
          <w:highlight w:val="none"/>
          <w:u w:val="single"/>
        </w:rPr>
        <w:t>日13点</w:t>
      </w:r>
      <w:r>
        <w:rPr>
          <w:rFonts w:hint="eastAsia" w:ascii="宋体" w:hAnsi="宋体" w:cs="宋体"/>
          <w:spacing w:val="6"/>
          <w:szCs w:val="21"/>
          <w:highlight w:val="none"/>
          <w:u w:val="single"/>
          <w:lang w:val="en-US" w:eastAsia="zh-CN"/>
        </w:rPr>
        <w:t>3</w:t>
      </w:r>
      <w:r>
        <w:rPr>
          <w:rFonts w:hint="eastAsia" w:ascii="宋体" w:hAnsi="宋体" w:cs="宋体"/>
          <w:spacing w:val="6"/>
          <w:szCs w:val="21"/>
          <w:highlight w:val="none"/>
          <w:u w:val="single"/>
        </w:rPr>
        <w:t>0分</w:t>
      </w:r>
      <w:r>
        <w:rPr>
          <w:rFonts w:hint="eastAsia" w:ascii="宋体" w:hAnsi="宋体" w:cs="宋体"/>
          <w:szCs w:val="21"/>
          <w:highlight w:val="none"/>
        </w:rPr>
        <w:t>（北京时间）</w:t>
      </w:r>
    </w:p>
    <w:p>
      <w:pPr>
        <w:widowControl/>
        <w:spacing w:line="23" w:lineRule="atLeast"/>
        <w:ind w:firstLine="420" w:firstLineChars="200"/>
        <w:jc w:val="left"/>
        <w:rPr>
          <w:rFonts w:ascii="宋体" w:hAnsi="宋体" w:cs="宋体"/>
          <w:szCs w:val="21"/>
          <w:highlight w:val="none"/>
        </w:rPr>
      </w:pPr>
      <w:r>
        <w:rPr>
          <w:rFonts w:hint="eastAsia" w:ascii="宋体" w:hAnsi="宋体" w:cs="宋体"/>
          <w:szCs w:val="21"/>
          <w:highlight w:val="none"/>
        </w:rPr>
        <w:t>地点：长春市二道区洋浦大街6999号凯利中心AB栋开标二室</w:t>
      </w:r>
    </w:p>
    <w:p>
      <w:pPr>
        <w:widowControl/>
        <w:spacing w:line="23" w:lineRule="atLeast"/>
        <w:jc w:val="left"/>
        <w:rPr>
          <w:rFonts w:ascii="宋体" w:hAnsi="宋体" w:cs="宋体"/>
          <w:kern w:val="0"/>
          <w:szCs w:val="21"/>
        </w:rPr>
      </w:pPr>
      <w:r>
        <w:rPr>
          <w:rFonts w:hint="eastAsia" w:ascii="宋体" w:hAnsi="宋体" w:cs="宋体"/>
          <w:b/>
          <w:bCs/>
          <w:kern w:val="0"/>
          <w:szCs w:val="21"/>
        </w:rPr>
        <w:t>五、开启</w:t>
      </w:r>
    </w:p>
    <w:p>
      <w:pPr>
        <w:widowControl/>
        <w:spacing w:line="23" w:lineRule="atLeast"/>
        <w:ind w:firstLine="420" w:firstLineChars="200"/>
        <w:jc w:val="left"/>
        <w:rPr>
          <w:rFonts w:ascii="宋体" w:hAnsi="宋体" w:cs="宋体"/>
          <w:kern w:val="0"/>
          <w:szCs w:val="21"/>
          <w:highlight w:val="none"/>
        </w:rPr>
      </w:pPr>
      <w:r>
        <w:rPr>
          <w:rFonts w:hint="eastAsia" w:ascii="宋体" w:hAnsi="宋体" w:cs="宋体"/>
          <w:kern w:val="0"/>
          <w:szCs w:val="21"/>
        </w:rPr>
        <w:t>时间：</w:t>
      </w:r>
      <w:r>
        <w:rPr>
          <w:rFonts w:hint="eastAsia" w:ascii="宋体" w:hAnsi="宋体" w:cs="宋体"/>
          <w:spacing w:val="6"/>
          <w:szCs w:val="21"/>
          <w:highlight w:val="none"/>
          <w:u w:val="single"/>
        </w:rPr>
        <w:t>2023年1</w:t>
      </w:r>
      <w:r>
        <w:rPr>
          <w:rFonts w:hint="eastAsia" w:ascii="宋体" w:hAnsi="宋体" w:cs="宋体"/>
          <w:spacing w:val="6"/>
          <w:szCs w:val="21"/>
          <w:highlight w:val="none"/>
          <w:u w:val="single"/>
          <w:lang w:val="en-US" w:eastAsia="zh-CN"/>
        </w:rPr>
        <w:t>2</w:t>
      </w:r>
      <w:r>
        <w:rPr>
          <w:rFonts w:hint="eastAsia" w:ascii="宋体" w:hAnsi="宋体" w:cs="宋体"/>
          <w:spacing w:val="6"/>
          <w:szCs w:val="21"/>
          <w:highlight w:val="none"/>
          <w:u w:val="single"/>
        </w:rPr>
        <w:t>月</w:t>
      </w:r>
      <w:r>
        <w:rPr>
          <w:rFonts w:hint="eastAsia" w:ascii="宋体" w:hAnsi="宋体" w:cs="宋体"/>
          <w:spacing w:val="6"/>
          <w:szCs w:val="21"/>
          <w:highlight w:val="none"/>
          <w:u w:val="single"/>
          <w:lang w:val="en-US" w:eastAsia="zh-CN"/>
        </w:rPr>
        <w:t>6</w:t>
      </w:r>
      <w:r>
        <w:rPr>
          <w:rFonts w:hint="eastAsia" w:ascii="宋体" w:hAnsi="宋体" w:cs="宋体"/>
          <w:spacing w:val="6"/>
          <w:szCs w:val="21"/>
          <w:highlight w:val="none"/>
          <w:u w:val="single"/>
        </w:rPr>
        <w:t>日13点</w:t>
      </w:r>
      <w:r>
        <w:rPr>
          <w:rFonts w:hint="eastAsia" w:ascii="宋体" w:hAnsi="宋体" w:cs="宋体"/>
          <w:spacing w:val="6"/>
          <w:szCs w:val="21"/>
          <w:highlight w:val="none"/>
          <w:u w:val="single"/>
          <w:lang w:val="en-US" w:eastAsia="zh-CN"/>
        </w:rPr>
        <w:t>3</w:t>
      </w:r>
      <w:r>
        <w:rPr>
          <w:rFonts w:hint="eastAsia" w:ascii="宋体" w:hAnsi="宋体" w:cs="宋体"/>
          <w:spacing w:val="6"/>
          <w:szCs w:val="21"/>
          <w:highlight w:val="none"/>
          <w:u w:val="single"/>
        </w:rPr>
        <w:t>0分</w:t>
      </w:r>
      <w:r>
        <w:rPr>
          <w:rFonts w:hint="eastAsia" w:ascii="宋体" w:hAnsi="宋体" w:cs="宋体"/>
          <w:szCs w:val="21"/>
          <w:highlight w:val="none"/>
        </w:rPr>
        <w:t>（北京时间）</w:t>
      </w:r>
    </w:p>
    <w:p>
      <w:pPr>
        <w:widowControl/>
        <w:spacing w:line="23" w:lineRule="atLeast"/>
        <w:ind w:firstLine="420" w:firstLineChars="200"/>
        <w:jc w:val="left"/>
        <w:rPr>
          <w:rFonts w:ascii="宋体" w:hAnsi="宋体" w:cs="宋体"/>
          <w:kern w:val="0"/>
          <w:szCs w:val="21"/>
          <w:highlight w:val="none"/>
        </w:rPr>
      </w:pPr>
      <w:r>
        <w:rPr>
          <w:rFonts w:hint="eastAsia" w:ascii="宋体" w:hAnsi="宋体" w:cs="宋体"/>
          <w:kern w:val="0"/>
          <w:szCs w:val="21"/>
          <w:highlight w:val="none"/>
        </w:rPr>
        <w:t>地点：</w:t>
      </w:r>
      <w:r>
        <w:rPr>
          <w:rFonts w:hint="eastAsia" w:ascii="宋体" w:hAnsi="宋体" w:cs="宋体"/>
          <w:szCs w:val="21"/>
          <w:highlight w:val="none"/>
        </w:rPr>
        <w:t>长春市二道区洋浦大街6999号凯利中心AB栋开标二室</w:t>
      </w:r>
    </w:p>
    <w:p>
      <w:pPr>
        <w:widowControl/>
        <w:spacing w:line="23" w:lineRule="atLeast"/>
        <w:jc w:val="left"/>
        <w:rPr>
          <w:rFonts w:ascii="宋体" w:hAnsi="宋体" w:cs="宋体"/>
          <w:b/>
          <w:bCs/>
          <w:kern w:val="0"/>
          <w:szCs w:val="21"/>
        </w:rPr>
      </w:pPr>
      <w:r>
        <w:rPr>
          <w:rFonts w:hint="eastAsia" w:ascii="宋体" w:hAnsi="宋体" w:cs="宋体"/>
          <w:b/>
          <w:bCs/>
          <w:kern w:val="0"/>
          <w:szCs w:val="21"/>
        </w:rPr>
        <w:t>六、公告期限</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自本公告发布之日起5个工作日。</w:t>
      </w:r>
    </w:p>
    <w:p>
      <w:pPr>
        <w:widowControl/>
        <w:spacing w:line="23" w:lineRule="atLeast"/>
        <w:jc w:val="left"/>
        <w:rPr>
          <w:rFonts w:ascii="宋体" w:hAnsi="宋体" w:cs="宋体"/>
          <w:b/>
          <w:bCs/>
          <w:kern w:val="0"/>
          <w:szCs w:val="21"/>
        </w:rPr>
      </w:pPr>
      <w:r>
        <w:rPr>
          <w:rFonts w:hint="eastAsia" w:ascii="宋体" w:hAnsi="宋体" w:cs="宋体"/>
          <w:b/>
          <w:bCs/>
          <w:kern w:val="0"/>
          <w:szCs w:val="21"/>
        </w:rPr>
        <w:t>七、其他补充事宜</w:t>
      </w:r>
    </w:p>
    <w:p>
      <w:pPr>
        <w:widowControl/>
        <w:spacing w:line="23" w:lineRule="atLeast"/>
        <w:ind w:firstLine="420" w:firstLineChars="200"/>
        <w:jc w:val="left"/>
        <w:rPr>
          <w:rFonts w:ascii="宋体" w:hAnsi="宋体" w:cs="宋体"/>
        </w:rPr>
      </w:pPr>
      <w:r>
        <w:rPr>
          <w:rFonts w:hint="eastAsia" w:ascii="宋体" w:hAnsi="宋体" w:cs="宋体"/>
        </w:rPr>
        <w:t>1.本次磋商公告在《中国政府采购网》、《政府采购云平台》、《长春市公共资源交易网》上发布。</w:t>
      </w:r>
    </w:p>
    <w:p>
      <w:pPr>
        <w:widowControl/>
        <w:spacing w:line="23" w:lineRule="atLeast"/>
        <w:ind w:firstLine="420" w:firstLineChars="200"/>
        <w:jc w:val="left"/>
        <w:rPr>
          <w:rFonts w:ascii="宋体" w:hAnsi="宋体" w:cs="宋体"/>
          <w:kern w:val="0"/>
          <w:szCs w:val="21"/>
        </w:rPr>
      </w:pPr>
      <w:r>
        <w:rPr>
          <w:rFonts w:hint="eastAsia" w:ascii="宋体" w:hAnsi="宋体" w:cs="宋体"/>
        </w:rPr>
        <w:t>2.若对项目采购电子交易系统操作有疑问，可登录“政采云”平台（https://www.zcygov.cn/），点击右侧咨询小采，获取采小蜜智能服务管家帮助，或拨打政采云服务热线400-881-7190获取热线服务帮助。</w:t>
      </w:r>
    </w:p>
    <w:p>
      <w:pPr>
        <w:widowControl/>
        <w:spacing w:line="23" w:lineRule="atLeast"/>
        <w:ind w:firstLine="420" w:firstLineChars="200"/>
        <w:jc w:val="left"/>
        <w:rPr>
          <w:rFonts w:ascii="宋体" w:hAnsi="宋体" w:cs="宋体"/>
          <w:kern w:val="0"/>
          <w:szCs w:val="21"/>
        </w:rPr>
      </w:pPr>
      <w:r>
        <w:rPr>
          <w:rFonts w:hint="eastAsia" w:ascii="宋体" w:hAnsi="宋体" w:cs="宋体"/>
          <w:kern w:val="0"/>
          <w:szCs w:val="21"/>
        </w:rPr>
        <w:t>3.有效供应商不足三家时，采购人另行组织招标</w:t>
      </w:r>
      <w:r>
        <w:rPr>
          <w:rFonts w:hint="eastAsia" w:ascii="宋体" w:hAnsi="宋体" w:cs="宋体"/>
        </w:rPr>
        <w:t>。</w:t>
      </w:r>
    </w:p>
    <w:p>
      <w:pPr>
        <w:widowControl/>
        <w:spacing w:line="23" w:lineRule="atLeast"/>
        <w:jc w:val="left"/>
        <w:rPr>
          <w:rFonts w:ascii="宋体" w:hAnsi="宋体" w:cs="宋体"/>
          <w:b/>
          <w:bCs/>
        </w:rPr>
      </w:pPr>
      <w:r>
        <w:rPr>
          <w:rFonts w:hint="eastAsia" w:ascii="宋体" w:hAnsi="宋体" w:cs="宋体"/>
          <w:b/>
          <w:bCs/>
          <w:kern w:val="0"/>
          <w:szCs w:val="21"/>
        </w:rPr>
        <w:t>八、凡对本次采购提出询问，请按以下方式联系</w:t>
      </w:r>
    </w:p>
    <w:p>
      <w:pPr>
        <w:tabs>
          <w:tab w:val="left" w:pos="709"/>
        </w:tabs>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1.采购人信息</w:t>
      </w:r>
    </w:p>
    <w:p>
      <w:pPr>
        <w:tabs>
          <w:tab w:val="left" w:pos="709"/>
        </w:tabs>
        <w:autoSpaceDE w:val="0"/>
        <w:autoSpaceDN w:val="0"/>
        <w:adjustRightInd w:val="0"/>
        <w:snapToGrid w:val="0"/>
        <w:spacing w:line="360" w:lineRule="auto"/>
        <w:ind w:left="630" w:leftChars="300"/>
        <w:rPr>
          <w:rFonts w:ascii="宋体" w:hAnsi="宋体" w:cs="宋体"/>
          <w:szCs w:val="21"/>
        </w:rPr>
      </w:pPr>
      <w:r>
        <w:rPr>
          <w:rFonts w:hint="eastAsia" w:ascii="宋体" w:hAnsi="宋体" w:cs="宋体"/>
          <w:szCs w:val="21"/>
        </w:rPr>
        <w:t>名    称：长春职业技术学校</w:t>
      </w:r>
    </w:p>
    <w:p>
      <w:pPr>
        <w:tabs>
          <w:tab w:val="left" w:pos="709"/>
        </w:tabs>
        <w:autoSpaceDE w:val="0"/>
        <w:autoSpaceDN w:val="0"/>
        <w:adjustRightInd w:val="0"/>
        <w:snapToGrid w:val="0"/>
        <w:spacing w:line="360" w:lineRule="auto"/>
        <w:ind w:left="630" w:leftChars="300"/>
        <w:rPr>
          <w:rFonts w:ascii="宋体" w:hAnsi="宋体" w:cs="宋体"/>
          <w:szCs w:val="21"/>
        </w:rPr>
      </w:pPr>
      <w:r>
        <w:rPr>
          <w:rFonts w:hint="eastAsia" w:ascii="宋体" w:hAnsi="宋体" w:cs="宋体"/>
          <w:szCs w:val="21"/>
        </w:rPr>
        <w:t>地    址：长春市经济技术开发区兴隆大路5999号</w:t>
      </w:r>
    </w:p>
    <w:p>
      <w:pPr>
        <w:tabs>
          <w:tab w:val="left" w:pos="709"/>
        </w:tabs>
        <w:autoSpaceDE w:val="0"/>
        <w:autoSpaceDN w:val="0"/>
        <w:adjustRightInd w:val="0"/>
        <w:snapToGrid w:val="0"/>
        <w:spacing w:line="360" w:lineRule="auto"/>
        <w:ind w:left="630" w:leftChars="300"/>
        <w:rPr>
          <w:rFonts w:ascii="宋体" w:hAnsi="宋体" w:cs="宋体"/>
          <w:szCs w:val="21"/>
        </w:rPr>
      </w:pPr>
      <w:r>
        <w:rPr>
          <w:rFonts w:hint="eastAsia" w:ascii="宋体" w:hAnsi="宋体" w:cs="宋体"/>
          <w:szCs w:val="21"/>
        </w:rPr>
        <w:t>联系方式：18543172428</w:t>
      </w:r>
    </w:p>
    <w:p>
      <w:pPr>
        <w:tabs>
          <w:tab w:val="left" w:pos="709"/>
        </w:tabs>
        <w:autoSpaceDE w:val="0"/>
        <w:autoSpaceDN w:val="0"/>
        <w:adjustRightInd w:val="0"/>
        <w:snapToGrid w:val="0"/>
        <w:spacing w:line="360" w:lineRule="auto"/>
        <w:ind w:firstLine="420" w:firstLineChars="200"/>
        <w:rPr>
          <w:rFonts w:ascii="宋体" w:hAnsi="宋体" w:cs="宋体"/>
          <w:szCs w:val="21"/>
          <w:lang w:val="zh-CN"/>
        </w:rPr>
      </w:pPr>
      <w:r>
        <w:rPr>
          <w:rFonts w:hint="eastAsia" w:ascii="宋体" w:hAnsi="宋体" w:cs="宋体"/>
          <w:szCs w:val="21"/>
          <w:lang w:val="zh-CN"/>
        </w:rPr>
        <w:t>2.采购代理机构信息</w:t>
      </w:r>
    </w:p>
    <w:p>
      <w:pPr>
        <w:tabs>
          <w:tab w:val="left" w:pos="709"/>
        </w:tabs>
        <w:autoSpaceDE w:val="0"/>
        <w:autoSpaceDN w:val="0"/>
        <w:adjustRightInd w:val="0"/>
        <w:snapToGrid w:val="0"/>
        <w:spacing w:line="360" w:lineRule="auto"/>
        <w:ind w:left="630" w:leftChars="300"/>
        <w:rPr>
          <w:rFonts w:ascii="宋体" w:hAnsi="宋体" w:cs="宋体"/>
          <w:szCs w:val="21"/>
          <w:lang w:val="zh-CN"/>
        </w:rPr>
      </w:pPr>
      <w:r>
        <w:rPr>
          <w:rFonts w:hint="eastAsia" w:ascii="宋体" w:hAnsi="宋体" w:cs="宋体"/>
          <w:szCs w:val="21"/>
          <w:lang w:val="zh-CN"/>
        </w:rPr>
        <w:t>名</w:t>
      </w:r>
      <w:r>
        <w:rPr>
          <w:rFonts w:hint="eastAsia" w:ascii="宋体" w:hAnsi="宋体" w:cs="宋体"/>
          <w:szCs w:val="21"/>
        </w:rPr>
        <w:t xml:space="preserve">    </w:t>
      </w:r>
      <w:r>
        <w:rPr>
          <w:rFonts w:hint="eastAsia" w:ascii="宋体" w:hAnsi="宋体" w:cs="宋体"/>
          <w:szCs w:val="21"/>
          <w:lang w:val="zh-CN"/>
        </w:rPr>
        <w:t>称：吉林省冠甲精瑞工程项目管理有限公司</w:t>
      </w:r>
    </w:p>
    <w:p>
      <w:pPr>
        <w:tabs>
          <w:tab w:val="left" w:pos="709"/>
        </w:tabs>
        <w:autoSpaceDE w:val="0"/>
        <w:autoSpaceDN w:val="0"/>
        <w:adjustRightInd w:val="0"/>
        <w:snapToGrid w:val="0"/>
        <w:spacing w:line="360" w:lineRule="auto"/>
        <w:ind w:left="630" w:leftChars="300"/>
        <w:rPr>
          <w:rFonts w:ascii="宋体" w:hAnsi="宋体" w:cs="宋体"/>
          <w:szCs w:val="21"/>
        </w:rPr>
      </w:pPr>
      <w:r>
        <w:rPr>
          <w:rFonts w:hint="eastAsia" w:ascii="宋体" w:hAnsi="宋体" w:cs="宋体"/>
          <w:szCs w:val="21"/>
        </w:rPr>
        <w:t>地    址：</w:t>
      </w:r>
      <w:r>
        <w:rPr>
          <w:rFonts w:hint="eastAsia" w:ascii="宋体" w:hAnsi="宋体" w:cs="宋体"/>
          <w:spacing w:val="6"/>
          <w:szCs w:val="21"/>
        </w:rPr>
        <w:t>长春市经济开发区自由大路4776号凯麒大厦8楼807室</w:t>
      </w:r>
    </w:p>
    <w:p>
      <w:pPr>
        <w:tabs>
          <w:tab w:val="left" w:pos="709"/>
        </w:tabs>
        <w:autoSpaceDE w:val="0"/>
        <w:autoSpaceDN w:val="0"/>
        <w:adjustRightInd w:val="0"/>
        <w:snapToGrid w:val="0"/>
        <w:spacing w:line="360" w:lineRule="auto"/>
        <w:ind w:left="630" w:leftChars="300"/>
        <w:rPr>
          <w:rFonts w:ascii="宋体" w:hAnsi="宋体" w:cs="宋体"/>
          <w:szCs w:val="21"/>
        </w:rPr>
      </w:pPr>
      <w:r>
        <w:rPr>
          <w:rFonts w:hint="eastAsia" w:ascii="宋体" w:hAnsi="宋体" w:cs="宋体"/>
          <w:szCs w:val="21"/>
        </w:rPr>
        <w:t>联系方式：0431-80603134</w:t>
      </w:r>
    </w:p>
    <w:p>
      <w:pPr>
        <w:pStyle w:val="4"/>
        <w:snapToGrid w:val="0"/>
        <w:spacing w:before="0" w:after="0" w:line="240" w:lineRule="auto"/>
        <w:ind w:firstLine="420" w:firstLineChars="200"/>
        <w:jc w:val="both"/>
        <w:rPr>
          <w:rFonts w:ascii="宋体" w:hAnsi="宋体" w:cs="宋体"/>
          <w:b w:val="0"/>
          <w:kern w:val="2"/>
          <w:sz w:val="21"/>
          <w:szCs w:val="21"/>
        </w:rPr>
      </w:pPr>
      <w:bookmarkStart w:id="6" w:name="_Toc19115"/>
      <w:bookmarkStart w:id="7" w:name="_Toc7118"/>
      <w:bookmarkStart w:id="8" w:name="_Toc24773"/>
      <w:r>
        <w:rPr>
          <w:rFonts w:hint="eastAsia" w:ascii="宋体" w:hAnsi="宋体" w:cs="宋体"/>
          <w:b w:val="0"/>
          <w:kern w:val="2"/>
          <w:sz w:val="21"/>
          <w:szCs w:val="21"/>
        </w:rPr>
        <w:t>3.项目联系方式</w:t>
      </w:r>
      <w:bookmarkEnd w:id="6"/>
      <w:bookmarkEnd w:id="7"/>
      <w:bookmarkEnd w:id="8"/>
    </w:p>
    <w:p>
      <w:pPr>
        <w:pStyle w:val="4"/>
        <w:snapToGrid w:val="0"/>
        <w:spacing w:before="0" w:after="0"/>
        <w:ind w:firstLine="630" w:firstLineChars="300"/>
        <w:jc w:val="both"/>
        <w:rPr>
          <w:rFonts w:ascii="宋体" w:hAnsi="宋体" w:cs="宋体"/>
          <w:b w:val="0"/>
          <w:kern w:val="2"/>
          <w:sz w:val="21"/>
          <w:szCs w:val="21"/>
        </w:rPr>
      </w:pPr>
      <w:bookmarkStart w:id="9" w:name="_Toc6133"/>
      <w:bookmarkStart w:id="10" w:name="_Toc23102"/>
      <w:bookmarkStart w:id="11" w:name="_Toc6004"/>
      <w:r>
        <w:rPr>
          <w:rFonts w:hint="eastAsia" w:ascii="宋体" w:hAnsi="宋体" w:cs="宋体"/>
          <w:b w:val="0"/>
          <w:kern w:val="2"/>
          <w:sz w:val="21"/>
          <w:szCs w:val="21"/>
        </w:rPr>
        <w:t>项目联系人：</w:t>
      </w:r>
      <w:bookmarkEnd w:id="9"/>
      <w:bookmarkEnd w:id="10"/>
      <w:bookmarkEnd w:id="11"/>
      <w:r>
        <w:rPr>
          <w:rFonts w:hint="eastAsia" w:ascii="宋体" w:hAnsi="宋体" w:cs="宋体"/>
          <w:b w:val="0"/>
          <w:kern w:val="2"/>
          <w:sz w:val="21"/>
          <w:szCs w:val="21"/>
        </w:rPr>
        <w:t>赵宏林</w:t>
      </w:r>
    </w:p>
    <w:p>
      <w:pPr>
        <w:pStyle w:val="51"/>
        <w:ind w:firstLine="630" w:firstLineChars="300"/>
        <w:rPr>
          <w:rFonts w:ascii="宋体" w:hAnsi="宋体" w:cs="宋体"/>
        </w:rPr>
      </w:pPr>
      <w:r>
        <w:rPr>
          <w:rFonts w:hint="eastAsia" w:ascii="宋体" w:hAnsi="宋体" w:cs="宋体"/>
          <w:szCs w:val="21"/>
        </w:rPr>
        <w:t>电      话：0431-80603134</w:t>
      </w:r>
    </w:p>
    <w:p>
      <w:pPr>
        <w:rPr>
          <w:rFonts w:ascii="宋体" w:hAnsi="宋体" w:cs="宋体"/>
        </w:rPr>
      </w:pPr>
      <w:r>
        <w:rPr>
          <w:rFonts w:hint="eastAsia" w:ascii="宋体" w:hAnsi="宋体" w:cs="宋体"/>
        </w:rPr>
        <w:br w:type="page"/>
      </w:r>
    </w:p>
    <w:p>
      <w:pPr>
        <w:pStyle w:val="3"/>
        <w:spacing w:before="0" w:after="0" w:line="360" w:lineRule="auto"/>
        <w:jc w:val="center"/>
        <w:rPr>
          <w:rFonts w:ascii="宋体" w:hAnsi="宋体" w:cs="宋体"/>
        </w:rPr>
      </w:pPr>
      <w:bookmarkStart w:id="12" w:name="_Toc15490"/>
      <w:bookmarkStart w:id="13" w:name="_Toc13976"/>
      <w:bookmarkStart w:id="14" w:name="_Toc10415"/>
      <w:r>
        <w:rPr>
          <w:rFonts w:hint="eastAsia" w:ascii="宋体" w:hAnsi="宋体" w:cs="宋体"/>
        </w:rPr>
        <w:t>第二章  供应商须知</w:t>
      </w:r>
      <w:bookmarkEnd w:id="12"/>
      <w:bookmarkEnd w:id="13"/>
      <w:bookmarkEnd w:id="14"/>
    </w:p>
    <w:p>
      <w:pPr>
        <w:autoSpaceDE w:val="0"/>
        <w:autoSpaceDN w:val="0"/>
        <w:adjustRightInd w:val="0"/>
        <w:ind w:firstLine="482"/>
        <w:jc w:val="left"/>
        <w:rPr>
          <w:rFonts w:ascii="宋体" w:hAnsi="宋体" w:cs="宋体"/>
          <w:bCs/>
          <w:sz w:val="28"/>
          <w:szCs w:val="28"/>
          <w:lang w:val="zh-CN"/>
        </w:rPr>
      </w:pPr>
      <w:r>
        <w:rPr>
          <w:rFonts w:hint="eastAsia" w:ascii="宋体" w:hAnsi="宋体" w:cs="宋体"/>
          <w:bCs/>
          <w:sz w:val="28"/>
          <w:szCs w:val="28"/>
          <w:lang w:val="zh-CN"/>
        </w:rPr>
        <w:t>供应商须知前附表</w:t>
      </w:r>
    </w:p>
    <w:tbl>
      <w:tblPr>
        <w:tblStyle w:val="32"/>
        <w:tblW w:w="9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351"/>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138" w:type="dxa"/>
            <w:vAlign w:val="center"/>
          </w:tcPr>
          <w:p>
            <w:pPr>
              <w:autoSpaceDE w:val="0"/>
              <w:autoSpaceDN w:val="0"/>
              <w:adjustRightInd w:val="0"/>
              <w:spacing w:line="320" w:lineRule="exact"/>
              <w:jc w:val="center"/>
              <w:rPr>
                <w:rFonts w:ascii="宋体" w:hAnsi="宋体" w:cs="宋体"/>
                <w:szCs w:val="21"/>
                <w:lang w:val="zh-CN"/>
              </w:rPr>
            </w:pPr>
            <w:r>
              <w:rPr>
                <w:rFonts w:hint="eastAsia" w:ascii="宋体" w:hAnsi="宋体" w:cs="宋体"/>
                <w:szCs w:val="21"/>
                <w:lang w:val="zh-CN"/>
              </w:rPr>
              <w:t>序号</w:t>
            </w:r>
          </w:p>
        </w:tc>
        <w:tc>
          <w:tcPr>
            <w:tcW w:w="2351" w:type="dxa"/>
            <w:vAlign w:val="center"/>
          </w:tcPr>
          <w:p>
            <w:pPr>
              <w:pStyle w:val="23"/>
              <w:pBdr>
                <w:bottom w:val="none" w:color="auto" w:sz="0" w:space="0"/>
              </w:pBdr>
              <w:tabs>
                <w:tab w:val="clear" w:pos="4153"/>
                <w:tab w:val="clear" w:pos="8306"/>
              </w:tabs>
              <w:autoSpaceDE w:val="0"/>
              <w:autoSpaceDN w:val="0"/>
              <w:adjustRightInd w:val="0"/>
              <w:snapToGrid/>
              <w:spacing w:line="320" w:lineRule="exact"/>
              <w:rPr>
                <w:rFonts w:ascii="宋体" w:hAnsi="宋体" w:cs="宋体"/>
                <w:b/>
                <w:kern w:val="2"/>
                <w:sz w:val="21"/>
                <w:szCs w:val="21"/>
                <w:lang w:val="zh-CN"/>
              </w:rPr>
            </w:pPr>
            <w:r>
              <w:rPr>
                <w:rFonts w:hint="eastAsia" w:ascii="宋体" w:hAnsi="宋体" w:cs="宋体"/>
                <w:b/>
                <w:kern w:val="2"/>
                <w:sz w:val="21"/>
                <w:szCs w:val="21"/>
                <w:lang w:val="zh-CN"/>
              </w:rPr>
              <w:t>名  称</w:t>
            </w:r>
          </w:p>
        </w:tc>
        <w:tc>
          <w:tcPr>
            <w:tcW w:w="6302" w:type="dxa"/>
            <w:vAlign w:val="center"/>
          </w:tcPr>
          <w:p>
            <w:pPr>
              <w:pStyle w:val="23"/>
              <w:pBdr>
                <w:bottom w:val="none" w:color="auto" w:sz="0" w:space="0"/>
              </w:pBdr>
              <w:tabs>
                <w:tab w:val="clear" w:pos="4153"/>
                <w:tab w:val="clear" w:pos="8306"/>
              </w:tabs>
              <w:autoSpaceDE w:val="0"/>
              <w:autoSpaceDN w:val="0"/>
              <w:adjustRightInd w:val="0"/>
              <w:snapToGrid/>
              <w:spacing w:line="320" w:lineRule="exact"/>
              <w:rPr>
                <w:rFonts w:ascii="宋体" w:hAnsi="宋体" w:cs="宋体"/>
                <w:b/>
                <w:kern w:val="2"/>
                <w:sz w:val="21"/>
                <w:szCs w:val="21"/>
                <w:lang w:val="zh-CN"/>
              </w:rPr>
            </w:pPr>
            <w:r>
              <w:rPr>
                <w:rFonts w:hint="eastAsia" w:ascii="宋体" w:hAnsi="宋体" w:cs="宋体"/>
                <w:b/>
                <w:kern w:val="2"/>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1.1.2</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采购人</w:t>
            </w:r>
          </w:p>
        </w:tc>
        <w:tc>
          <w:tcPr>
            <w:tcW w:w="6302" w:type="dxa"/>
            <w:vAlign w:val="center"/>
          </w:tcPr>
          <w:p>
            <w:pPr>
              <w:spacing w:line="320" w:lineRule="exact"/>
              <w:jc w:val="left"/>
              <w:rPr>
                <w:rFonts w:ascii="宋体" w:hAnsi="宋体" w:cs="宋体"/>
                <w:szCs w:val="21"/>
              </w:rPr>
            </w:pPr>
            <w:r>
              <w:rPr>
                <w:rFonts w:hint="eastAsia" w:ascii="宋体" w:hAnsi="宋体" w:cs="宋体"/>
                <w:szCs w:val="21"/>
              </w:rPr>
              <w:t>采购人：长春职业技术学校</w:t>
            </w:r>
          </w:p>
          <w:p>
            <w:pPr>
              <w:spacing w:line="320" w:lineRule="exact"/>
              <w:jc w:val="left"/>
              <w:rPr>
                <w:rFonts w:ascii="宋体" w:hAnsi="宋体" w:cs="宋体"/>
                <w:szCs w:val="21"/>
              </w:rPr>
            </w:pPr>
            <w:r>
              <w:rPr>
                <w:rFonts w:hint="eastAsia" w:ascii="宋体" w:hAnsi="宋体" w:cs="宋体"/>
                <w:szCs w:val="21"/>
              </w:rPr>
              <w:t>地址：长春市经济技术开发区兴隆大路5999号</w:t>
            </w:r>
          </w:p>
          <w:p>
            <w:pPr>
              <w:spacing w:line="320" w:lineRule="exact"/>
              <w:jc w:val="left"/>
              <w:rPr>
                <w:rFonts w:ascii="宋体" w:hAnsi="宋体" w:cs="宋体"/>
                <w:szCs w:val="21"/>
              </w:rPr>
            </w:pPr>
            <w:r>
              <w:rPr>
                <w:rFonts w:hint="eastAsia" w:ascii="宋体" w:hAnsi="宋体" w:cs="宋体"/>
                <w:szCs w:val="21"/>
              </w:rPr>
              <w:t>联系人：杨艳杰</w:t>
            </w:r>
          </w:p>
          <w:p>
            <w:pPr>
              <w:spacing w:line="320" w:lineRule="exact"/>
              <w:jc w:val="left"/>
              <w:rPr>
                <w:rFonts w:ascii="宋体" w:hAnsi="宋体" w:cs="宋体"/>
                <w:szCs w:val="21"/>
              </w:rPr>
            </w:pPr>
            <w:r>
              <w:rPr>
                <w:rFonts w:hint="eastAsia" w:ascii="宋体" w:hAnsi="宋体" w:cs="宋体"/>
                <w:szCs w:val="21"/>
              </w:rPr>
              <w:t>电话：18543172428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1.1.3</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采购代理机构</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采购代理机构：吉林省冠甲精瑞工程项目管理有限公司</w:t>
            </w:r>
          </w:p>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地址：</w:t>
            </w:r>
            <w:r>
              <w:rPr>
                <w:rFonts w:hint="eastAsia" w:ascii="宋体" w:hAnsi="宋体" w:cs="宋体"/>
                <w:szCs w:val="21"/>
              </w:rPr>
              <w:t>长春市经济开发区自由大路4776号凯麒大厦8楼807室</w:t>
            </w:r>
          </w:p>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联系人：</w:t>
            </w:r>
            <w:r>
              <w:rPr>
                <w:rFonts w:hint="eastAsia" w:ascii="宋体" w:hAnsi="宋体" w:cs="宋体"/>
                <w:szCs w:val="21"/>
              </w:rPr>
              <w:t>赵宏林</w:t>
            </w:r>
          </w:p>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电  话：</w:t>
            </w:r>
            <w:r>
              <w:rPr>
                <w:rFonts w:hint="eastAsia" w:ascii="宋体" w:hAnsi="宋体" w:cs="宋体"/>
                <w:szCs w:val="21"/>
              </w:rPr>
              <w:t>0431-80603134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1.1.4</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项目名称及编号</w:t>
            </w:r>
          </w:p>
        </w:tc>
        <w:tc>
          <w:tcPr>
            <w:tcW w:w="6302" w:type="dxa"/>
            <w:vAlign w:val="center"/>
          </w:tcPr>
          <w:p>
            <w:pPr>
              <w:autoSpaceDE w:val="0"/>
              <w:autoSpaceDN w:val="0"/>
              <w:adjustRightInd w:val="0"/>
              <w:spacing w:line="320" w:lineRule="exact"/>
              <w:jc w:val="left"/>
              <w:rPr>
                <w:rFonts w:ascii="宋体" w:hAnsi="宋体" w:cs="宋体"/>
                <w:szCs w:val="21"/>
              </w:rPr>
            </w:pPr>
            <w:r>
              <w:rPr>
                <w:rFonts w:hint="eastAsia" w:ascii="宋体" w:hAnsi="宋体" w:cs="宋体"/>
                <w:bCs/>
                <w:szCs w:val="21"/>
                <w:lang w:val="zh-CN"/>
              </w:rPr>
              <w:t>项目名称：2023轨道专业群机电实训中心完善</w:t>
            </w:r>
          </w:p>
          <w:p>
            <w:pPr>
              <w:autoSpaceDE w:val="0"/>
              <w:autoSpaceDN w:val="0"/>
              <w:adjustRightInd w:val="0"/>
              <w:spacing w:line="320" w:lineRule="exact"/>
              <w:jc w:val="left"/>
              <w:rPr>
                <w:rFonts w:hint="eastAsia" w:ascii="宋体" w:hAnsi="宋体" w:eastAsia="宋体" w:cs="宋体"/>
                <w:bCs/>
                <w:szCs w:val="21"/>
                <w:lang w:eastAsia="zh-CN"/>
              </w:rPr>
            </w:pPr>
            <w:r>
              <w:rPr>
                <w:rFonts w:hint="eastAsia" w:ascii="宋体" w:hAnsi="宋体" w:cs="宋体"/>
                <w:szCs w:val="21"/>
              </w:rPr>
              <w:t>项目编号：</w:t>
            </w:r>
            <w:r>
              <w:rPr>
                <w:rFonts w:hint="eastAsia" w:ascii="宋体" w:hAnsi="宋体" w:cs="宋体"/>
                <w:kern w:val="0"/>
                <w:szCs w:val="21"/>
                <w:lang w:eastAsia="zh-CN"/>
              </w:rPr>
              <w:t>JM-2023-09-00876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1.2</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采购预算</w:t>
            </w:r>
          </w:p>
        </w:tc>
        <w:tc>
          <w:tcPr>
            <w:tcW w:w="6302" w:type="dxa"/>
            <w:shd w:val="clear" w:color="auto" w:fill="auto"/>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kern w:val="0"/>
                <w:szCs w:val="21"/>
              </w:rPr>
              <w:t>1500000元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1.3</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最高限价</w:t>
            </w:r>
          </w:p>
        </w:tc>
        <w:tc>
          <w:tcPr>
            <w:tcW w:w="6302" w:type="dxa"/>
            <w:shd w:val="clear" w:color="auto" w:fill="auto"/>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kern w:val="0"/>
                <w:szCs w:val="21"/>
              </w:rPr>
              <w:t>1500000元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38" w:type="dxa"/>
            <w:vMerge w:val="restart"/>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1.4</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招标范围</w:t>
            </w:r>
          </w:p>
        </w:tc>
        <w:tc>
          <w:tcPr>
            <w:tcW w:w="6302" w:type="dxa"/>
            <w:vAlign w:val="center"/>
          </w:tcPr>
          <w:p>
            <w:pPr>
              <w:autoSpaceDE w:val="0"/>
              <w:autoSpaceDN w:val="0"/>
              <w:adjustRightInd w:val="0"/>
              <w:spacing w:line="320" w:lineRule="exact"/>
              <w:jc w:val="left"/>
              <w:rPr>
                <w:rFonts w:ascii="宋体" w:hAnsi="宋体" w:cs="宋体"/>
                <w:szCs w:val="21"/>
              </w:rPr>
            </w:pPr>
            <w:r>
              <w:rPr>
                <w:rFonts w:hint="eastAsia" w:ascii="宋体" w:hAnsi="宋体" w:cs="宋体"/>
                <w:kern w:val="0"/>
                <w:szCs w:val="21"/>
              </w:rPr>
              <w:t>实现轨道机电专业设备软硬件的升级和补充，满足轨道信号、轨道机电方向的课程理实一体化教学及达到1+X考证所需设备功能.满足轨道机电专业设备软硬件的升级和补充需要，达到轨道信号、轨道机电方向的课程理实一体化教学及达到1+X考证所需设备功能，满足企业对学生技术技能要求（详见磋商文件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8" w:type="dxa"/>
            <w:vMerge w:val="continue"/>
            <w:vAlign w:val="center"/>
          </w:tcPr>
          <w:p>
            <w:pPr>
              <w:autoSpaceDE w:val="0"/>
              <w:autoSpaceDN w:val="0"/>
              <w:adjustRightInd w:val="0"/>
              <w:spacing w:line="320" w:lineRule="exact"/>
              <w:jc w:val="center"/>
              <w:rPr>
                <w:rFonts w:ascii="宋体" w:hAnsi="宋体" w:cs="宋体"/>
                <w:bCs/>
                <w:szCs w:val="21"/>
                <w:lang w:val="zh-CN"/>
              </w:rPr>
            </w:pP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供货期</w:t>
            </w:r>
          </w:p>
        </w:tc>
        <w:tc>
          <w:tcPr>
            <w:tcW w:w="6302" w:type="dxa"/>
            <w:vAlign w:val="center"/>
          </w:tcPr>
          <w:p>
            <w:pPr>
              <w:autoSpaceDE w:val="0"/>
              <w:autoSpaceDN w:val="0"/>
              <w:adjustRightInd w:val="0"/>
              <w:spacing w:line="320" w:lineRule="exact"/>
              <w:jc w:val="left"/>
              <w:rPr>
                <w:rFonts w:ascii="宋体" w:hAnsi="宋体" w:cs="宋体"/>
                <w:szCs w:val="21"/>
              </w:rPr>
            </w:pPr>
            <w:r>
              <w:rPr>
                <w:rFonts w:hint="eastAsia" w:ascii="宋体" w:hAnsi="宋体" w:cs="宋体"/>
                <w:kern w:val="0"/>
                <w:szCs w:val="21"/>
              </w:rPr>
              <w:t xml:space="preserve">采购合同签订之日起 </w:t>
            </w:r>
            <w:r>
              <w:rPr>
                <w:rFonts w:hint="eastAsia" w:ascii="宋体" w:hAnsi="宋体" w:cs="宋体"/>
                <w:kern w:val="0"/>
                <w:szCs w:val="21"/>
                <w:lang w:val="en-US" w:eastAsia="zh-CN"/>
              </w:rPr>
              <w:t>3</w:t>
            </w:r>
            <w:r>
              <w:rPr>
                <w:rFonts w:hint="eastAsia" w:ascii="宋体" w:hAnsi="宋体" w:cs="宋体"/>
                <w:kern w:val="0"/>
                <w:szCs w:val="21"/>
              </w:rPr>
              <w:t>0 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8" w:type="dxa"/>
            <w:vMerge w:val="continue"/>
            <w:vAlign w:val="center"/>
          </w:tcPr>
          <w:p>
            <w:pPr>
              <w:autoSpaceDE w:val="0"/>
              <w:autoSpaceDN w:val="0"/>
              <w:adjustRightInd w:val="0"/>
              <w:spacing w:line="320" w:lineRule="exact"/>
              <w:jc w:val="center"/>
              <w:rPr>
                <w:rFonts w:ascii="宋体" w:hAnsi="宋体" w:cs="宋体"/>
                <w:bCs/>
                <w:szCs w:val="21"/>
                <w:lang w:val="zh-CN"/>
              </w:rPr>
            </w:pPr>
          </w:p>
        </w:tc>
        <w:tc>
          <w:tcPr>
            <w:tcW w:w="2351" w:type="dxa"/>
            <w:vAlign w:val="center"/>
          </w:tcPr>
          <w:p>
            <w:pPr>
              <w:autoSpaceDE w:val="0"/>
              <w:autoSpaceDN w:val="0"/>
              <w:adjustRightInd w:val="0"/>
              <w:snapToGrid w:val="0"/>
              <w:spacing w:line="264" w:lineRule="auto"/>
              <w:jc w:val="both"/>
              <w:rPr>
                <w:rFonts w:hint="eastAsia" w:ascii="宋体" w:hAnsi="宋体" w:cs="宋体"/>
                <w:bCs/>
                <w:szCs w:val="21"/>
                <w:lang w:val="zh-CN"/>
              </w:rPr>
            </w:pPr>
            <w:r>
              <w:rPr>
                <w:rFonts w:hint="eastAsia" w:ascii="宋体" w:hAnsi="宋体" w:cs="宋体"/>
                <w:bCs/>
                <w:szCs w:val="21"/>
                <w:lang w:val="zh-CN"/>
              </w:rPr>
              <w:t>供货地点</w:t>
            </w:r>
          </w:p>
        </w:tc>
        <w:tc>
          <w:tcPr>
            <w:tcW w:w="6302" w:type="dxa"/>
            <w:vAlign w:val="center"/>
          </w:tcPr>
          <w:p>
            <w:pPr>
              <w:autoSpaceDE w:val="0"/>
              <w:autoSpaceDN w:val="0"/>
              <w:adjustRightInd w:val="0"/>
              <w:snapToGrid w:val="0"/>
              <w:spacing w:line="264" w:lineRule="auto"/>
              <w:rPr>
                <w:rFonts w:hint="eastAsia" w:ascii="宋体" w:hAnsi="宋体" w:cs="宋体"/>
                <w:kern w:val="0"/>
                <w:szCs w:val="21"/>
              </w:rPr>
            </w:pPr>
            <w:r>
              <w:rPr>
                <w:rFonts w:hint="eastAsia" w:ascii="宋体" w:hAnsi="宋体" w:cs="宋体"/>
                <w:bCs/>
                <w:szCs w:val="21"/>
              </w:rPr>
              <w:t>中标供应商须将全部采购标的物送达采购人指定场所，并安装部署调试到位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138" w:type="dxa"/>
            <w:vMerge w:val="continue"/>
            <w:vAlign w:val="center"/>
          </w:tcPr>
          <w:p>
            <w:pPr>
              <w:autoSpaceDE w:val="0"/>
              <w:autoSpaceDN w:val="0"/>
              <w:adjustRightInd w:val="0"/>
              <w:spacing w:line="320" w:lineRule="exact"/>
              <w:jc w:val="center"/>
              <w:rPr>
                <w:rFonts w:ascii="宋体" w:hAnsi="宋体" w:cs="宋体"/>
                <w:bCs/>
                <w:szCs w:val="21"/>
                <w:lang w:val="zh-CN"/>
              </w:rPr>
            </w:pP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rPr>
              <w:t>质量要求</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rPr>
              <w:t>符合国家及行业相关规定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1.5.1</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合格的供应商应具备以下条件</w:t>
            </w:r>
          </w:p>
        </w:tc>
        <w:tc>
          <w:tcPr>
            <w:tcW w:w="6302" w:type="dxa"/>
          </w:tcPr>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(2)具有良好的商业信誉和健全的财务会计制度；</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(3)具有履行合同所必需的设备和专业技术能力；</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(4)有依法缴纳税收和社会保障资金的良好记录；</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(5)参加政府采购活动前三年内，在经营活动中没有重大违法记录（重大违法记录是指供应商因违法经营受到刑事处罚或者责令停产停业、吊销许可证或者执照、较大数额罚款等行政处罚）；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(6)法律、行政法规规定的其他条件。</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2.落实政府采购政策需满足的资格要求：本项目非专门面向中小企业采购。</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3.1申请人需具备独立承担民事行为能力的法人或其他组织，具备有效的营业执照；具有履行合同所必需的设备、资金和专业技术能力；</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3.2供应商应按照《长春市财政局关于加强政府采购信用体系建设简化供应商资格条件有关事项的通知》（长财采购[2022]2066号）文件要求在响应文件中提交反映其财务状况、依法缴纳税收和社保保障资金情况的资格条件承诺函，并对资格条件承诺函有关内容的真实性、有效性、合法性负责；</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3.3信誉要求：</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①拒绝列入政府取消投标资格记录期间的企业或个人投标；</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②未被“中国政府采购网”列入政府采购严重违法失信行为记录名单；</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③本项目投标截止时间前未被“信用中国”网站中列入失信被执行人或重大税收违法案件当事人名单；</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3.4本项目不允许分包；</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rPr>
                <w:rFonts w:ascii="宋体" w:hAnsi="宋体" w:cs="宋体"/>
                <w:bCs/>
                <w:szCs w:val="21"/>
              </w:rPr>
            </w:pPr>
            <w:r>
              <w:rPr>
                <w:rFonts w:hint="eastAsia" w:ascii="宋体" w:hAnsi="宋体" w:cs="宋体"/>
                <w:bCs/>
                <w:szCs w:val="21"/>
              </w:rPr>
              <w:t>3.5在政府采购活动中，采购人员及相关人员与供应商有利害关系的，必须回避；单位负责人为同一人或者存在直接控股、管理关系的不同供应商，不得参加同一合同项下的政府采购活动。违反这两款规定的，相关投标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1.5.2</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rPr>
              <w:t>本项目是否专门面向中小企业或小型、微型企业采购</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☑否</w:t>
            </w:r>
          </w:p>
          <w:p>
            <w:pPr>
              <w:spacing w:line="320" w:lineRule="exact"/>
              <w:jc w:val="left"/>
              <w:rPr>
                <w:rFonts w:ascii="宋体" w:hAnsi="宋体" w:cs="宋体"/>
                <w:szCs w:val="21"/>
                <w:shd w:val="clear" w:color="auto" w:fill="FFFFFF"/>
              </w:rPr>
            </w:pPr>
            <w:r>
              <w:rPr>
                <w:rFonts w:hint="eastAsia" w:ascii="宋体" w:hAnsi="宋体" w:cs="宋体"/>
                <w:bCs/>
                <w:szCs w:val="21"/>
                <w:lang w:val="zh-CN"/>
              </w:rPr>
              <w:sym w:font="Wingdings 2" w:char="00A3"/>
            </w:r>
            <w:r>
              <w:rPr>
                <w:rFonts w:hint="eastAsia" w:ascii="宋体" w:hAnsi="宋体" w:cs="宋体"/>
                <w:bCs/>
                <w:szCs w:val="21"/>
                <w:lang w:val="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1.5.6</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是否接受联合体投标</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√不接受</w:t>
            </w:r>
          </w:p>
          <w:p>
            <w:pPr>
              <w:widowControl/>
              <w:adjustRightInd w:val="0"/>
              <w:spacing w:line="320" w:lineRule="exact"/>
              <w:jc w:val="left"/>
              <w:rPr>
                <w:rFonts w:ascii="宋体" w:hAnsi="宋体" w:cs="宋体"/>
                <w:kern w:val="0"/>
                <w:szCs w:val="21"/>
              </w:rPr>
            </w:pPr>
            <w:r>
              <w:rPr>
                <w:rFonts w:hint="eastAsia" w:ascii="宋体" w:hAnsi="宋体" w:cs="宋体"/>
                <w:bCs/>
                <w:szCs w:val="21"/>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1.6</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分包</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√不允许</w:t>
            </w:r>
          </w:p>
          <w:p>
            <w:pPr>
              <w:widowControl/>
              <w:adjustRightInd w:val="0"/>
              <w:spacing w:line="320" w:lineRule="exact"/>
              <w:jc w:val="left"/>
              <w:rPr>
                <w:rFonts w:ascii="宋体" w:hAnsi="宋体" w:cs="宋体"/>
                <w:bCs/>
                <w:szCs w:val="21"/>
                <w:lang w:val="zh-CN"/>
              </w:rPr>
            </w:pPr>
            <w:r>
              <w:rPr>
                <w:rFonts w:hint="eastAsia" w:ascii="宋体" w:hAnsi="宋体" w:cs="宋体"/>
                <w:bCs/>
                <w:szCs w:val="21"/>
                <w:lang w:val="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2.1</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构成竞争性磋商文件的其他材料</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kern w:val="0"/>
                <w:szCs w:val="21"/>
              </w:rPr>
              <w:t>竞争性磋商文件的澄清、修改、补充文件等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2.3.2</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供应商提出问题的截止时间</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时  间：供应商如对竞争性磋商文件不清楚或有异议需要澄清，请在投标截止日期</w:t>
            </w:r>
            <w:r>
              <w:rPr>
                <w:rFonts w:hint="eastAsia" w:ascii="宋体" w:hAnsi="宋体" w:cs="宋体"/>
                <w:bCs/>
                <w:szCs w:val="21"/>
              </w:rPr>
              <w:t>5</w:t>
            </w:r>
            <w:r>
              <w:rPr>
                <w:rFonts w:hint="eastAsia" w:ascii="宋体" w:hAnsi="宋体" w:cs="宋体"/>
                <w:bCs/>
                <w:szCs w:val="21"/>
                <w:lang w:val="zh-CN"/>
              </w:rPr>
              <w:t>日前将问题提交给采购代理机构。</w:t>
            </w:r>
          </w:p>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联系人：赵宏林</w:t>
            </w:r>
          </w:p>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电  话：</w:t>
            </w:r>
            <w:r>
              <w:rPr>
                <w:rFonts w:hint="eastAsia" w:ascii="宋体" w:hAnsi="宋体" w:cs="宋体"/>
                <w:szCs w:val="21"/>
              </w:rPr>
              <w:t>0431-80603134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2.3.3</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采购人发出澄清文件的时间</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szCs w:val="21"/>
              </w:rPr>
              <w:t>磋商截止时间5日前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2.3.4</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供应商确认收到</w:t>
            </w:r>
          </w:p>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竞争性磋商文件澄清的时间</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rPr>
              <w:t>供应商应在收到该澄清的24小时内或根据澄清通知中要求的时间内予以确认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2.4.1</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采购人发出修改文件的时间</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szCs w:val="21"/>
              </w:rPr>
              <w:t>磋商截止时间5日前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2.4.2</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供应商确认收到</w:t>
            </w:r>
          </w:p>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竞争性磋商文件修改的时间</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rPr>
              <w:t>供应商应在收到该修改的24小时内或根据修改通知中要求的时间内予以确认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2.5</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rPr>
              <w:t>接收质疑函的方式和联系方式</w:t>
            </w:r>
          </w:p>
        </w:tc>
        <w:tc>
          <w:tcPr>
            <w:tcW w:w="6302" w:type="dxa"/>
            <w:vAlign w:val="center"/>
          </w:tcPr>
          <w:p>
            <w:pPr>
              <w:autoSpaceDE w:val="0"/>
              <w:autoSpaceDN w:val="0"/>
              <w:adjustRightInd w:val="0"/>
              <w:spacing w:line="320" w:lineRule="exact"/>
              <w:jc w:val="left"/>
              <w:rPr>
                <w:rFonts w:ascii="宋体" w:hAnsi="宋体" w:cs="宋体"/>
                <w:bCs/>
                <w:szCs w:val="21"/>
              </w:rPr>
            </w:pPr>
            <w:r>
              <w:rPr>
                <w:rFonts w:hint="eastAsia" w:ascii="宋体" w:hAnsi="宋体" w:cs="宋体"/>
                <w:szCs w:val="21"/>
              </w:rPr>
              <w:t>供应商认为采购文件、采购过程和中标、成交结果使自己的权益受到损害的，可以在知道或者应知其权益受到损害之日起七个工作日内，在法定质疑期内以书面形式向采购代理机构一次性提出针对同一采购程序环节的质疑，</w:t>
            </w:r>
            <w:r>
              <w:rPr>
                <w:rFonts w:hint="eastAsia" w:ascii="宋体" w:hAnsi="宋体" w:cs="宋体"/>
                <w:kern w:val="0"/>
                <w:szCs w:val="21"/>
              </w:rPr>
              <w:t>质疑</w:t>
            </w:r>
            <w:r>
              <w:rPr>
                <w:rFonts w:hint="eastAsia" w:ascii="宋体" w:hAnsi="宋体" w:cs="宋体"/>
                <w:bCs/>
                <w:szCs w:val="21"/>
              </w:rPr>
              <w:t>以书面形式送达（仅接收派人送达、邮寄送达质疑函原件两种方式），质疑函的格式和内容应当符合《政府采购质疑和投诉办法》（财政部令第94号）的要求。</w:t>
            </w:r>
          </w:p>
          <w:p>
            <w:pPr>
              <w:autoSpaceDE w:val="0"/>
              <w:autoSpaceDN w:val="0"/>
              <w:adjustRightInd w:val="0"/>
              <w:spacing w:line="320" w:lineRule="exact"/>
              <w:jc w:val="left"/>
              <w:rPr>
                <w:rFonts w:ascii="宋体" w:hAnsi="宋体" w:cs="宋体"/>
                <w:bCs/>
                <w:szCs w:val="21"/>
              </w:rPr>
            </w:pPr>
            <w:r>
              <w:rPr>
                <w:rFonts w:hint="eastAsia" w:ascii="宋体" w:hAnsi="宋体" w:cs="宋体"/>
                <w:bCs/>
                <w:szCs w:val="21"/>
              </w:rPr>
              <w:t>联系部门：招标部</w:t>
            </w:r>
          </w:p>
          <w:p>
            <w:pPr>
              <w:autoSpaceDE w:val="0"/>
              <w:autoSpaceDN w:val="0"/>
              <w:adjustRightInd w:val="0"/>
              <w:spacing w:line="320" w:lineRule="exact"/>
              <w:jc w:val="left"/>
              <w:rPr>
                <w:rFonts w:ascii="宋体" w:hAnsi="宋体" w:cs="宋体"/>
                <w:bCs/>
                <w:szCs w:val="21"/>
              </w:rPr>
            </w:pPr>
            <w:r>
              <w:rPr>
                <w:rFonts w:hint="eastAsia" w:ascii="宋体" w:hAnsi="宋体" w:cs="宋体"/>
                <w:bCs/>
                <w:szCs w:val="21"/>
              </w:rPr>
              <w:t>联系人：</w:t>
            </w:r>
            <w:r>
              <w:rPr>
                <w:rFonts w:hint="eastAsia" w:ascii="宋体" w:hAnsi="宋体" w:cs="宋体"/>
                <w:szCs w:val="21"/>
              </w:rPr>
              <w:t>赵宏林</w:t>
            </w:r>
          </w:p>
          <w:p>
            <w:pPr>
              <w:autoSpaceDE w:val="0"/>
              <w:autoSpaceDN w:val="0"/>
              <w:adjustRightInd w:val="0"/>
              <w:spacing w:line="320" w:lineRule="exact"/>
              <w:jc w:val="left"/>
              <w:rPr>
                <w:rFonts w:ascii="宋体" w:hAnsi="宋体" w:cs="宋体"/>
                <w:bCs/>
                <w:szCs w:val="21"/>
              </w:rPr>
            </w:pPr>
            <w:r>
              <w:rPr>
                <w:rFonts w:hint="eastAsia" w:ascii="宋体" w:hAnsi="宋体" w:cs="宋体"/>
                <w:bCs/>
                <w:szCs w:val="21"/>
              </w:rPr>
              <w:t>联系电话：</w:t>
            </w:r>
            <w:r>
              <w:rPr>
                <w:rFonts w:hint="eastAsia" w:ascii="宋体" w:hAnsi="宋体" w:cs="宋体"/>
                <w:szCs w:val="21"/>
              </w:rPr>
              <w:t>0431-80603134</w:t>
            </w:r>
          </w:p>
          <w:p>
            <w:pPr>
              <w:autoSpaceDE w:val="0"/>
              <w:autoSpaceDN w:val="0"/>
              <w:adjustRightInd w:val="0"/>
              <w:spacing w:line="320" w:lineRule="exact"/>
              <w:jc w:val="left"/>
              <w:rPr>
                <w:rFonts w:ascii="宋体" w:hAnsi="宋体" w:cs="宋体"/>
                <w:bCs/>
                <w:szCs w:val="21"/>
              </w:rPr>
            </w:pPr>
            <w:r>
              <w:rPr>
                <w:rFonts w:hint="eastAsia" w:ascii="宋体" w:hAnsi="宋体" w:cs="宋体"/>
                <w:bCs/>
                <w:szCs w:val="21"/>
              </w:rPr>
              <w:t>邮箱：ysgc66666@163.com</w:t>
            </w:r>
          </w:p>
          <w:p>
            <w:pPr>
              <w:autoSpaceDE w:val="0"/>
              <w:autoSpaceDN w:val="0"/>
              <w:adjustRightInd w:val="0"/>
              <w:spacing w:line="320" w:lineRule="exact"/>
              <w:jc w:val="left"/>
              <w:rPr>
                <w:rFonts w:ascii="宋体" w:hAnsi="宋体" w:cs="宋体"/>
                <w:bCs/>
                <w:szCs w:val="21"/>
              </w:rPr>
            </w:pPr>
            <w:r>
              <w:rPr>
                <w:rFonts w:hint="eastAsia" w:ascii="宋体" w:hAnsi="宋体" w:cs="宋体"/>
                <w:bCs/>
                <w:szCs w:val="21"/>
              </w:rPr>
              <w:t>通信地址：</w:t>
            </w:r>
            <w:r>
              <w:rPr>
                <w:rFonts w:hint="eastAsia" w:ascii="宋体" w:hAnsi="宋体" w:cs="宋体"/>
                <w:szCs w:val="21"/>
              </w:rPr>
              <w:t>长春市经济开发区自由大路4776号凯麒大厦8楼807室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rPr>
            </w:pPr>
            <w:r>
              <w:rPr>
                <w:rFonts w:hint="eastAsia" w:ascii="宋体" w:hAnsi="宋体" w:cs="宋体"/>
                <w:bCs/>
                <w:szCs w:val="21"/>
              </w:rPr>
              <w:t>3.2</w:t>
            </w:r>
          </w:p>
        </w:tc>
        <w:tc>
          <w:tcPr>
            <w:tcW w:w="2351" w:type="dxa"/>
            <w:vAlign w:val="center"/>
          </w:tcPr>
          <w:p>
            <w:pPr>
              <w:rPr>
                <w:rFonts w:ascii="宋体" w:hAnsi="宋体" w:cs="宋体"/>
                <w:bCs/>
                <w:szCs w:val="21"/>
                <w:lang w:val="zh-CN"/>
              </w:rPr>
            </w:pPr>
            <w:r>
              <w:rPr>
                <w:rFonts w:hint="eastAsia" w:ascii="宋体" w:hAnsi="宋体" w:cs="宋体"/>
              </w:rPr>
              <w:t>投标报价</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3.6</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磋商有效期</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投标截止之日</w:t>
            </w:r>
            <w:r>
              <w:rPr>
                <w:rFonts w:hint="eastAsia" w:ascii="宋体" w:hAnsi="宋体" w:cs="宋体"/>
                <w:bCs/>
                <w:szCs w:val="21"/>
              </w:rPr>
              <w:t>起</w:t>
            </w:r>
            <w:r>
              <w:rPr>
                <w:rFonts w:hint="eastAsia" w:ascii="宋体" w:hAnsi="宋体" w:cs="宋体"/>
                <w:bCs/>
                <w:szCs w:val="21"/>
                <w:lang w:val="zh-CN"/>
              </w:rPr>
              <w:t>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3.7</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磋商保证金</w:t>
            </w:r>
          </w:p>
        </w:tc>
        <w:tc>
          <w:tcPr>
            <w:tcW w:w="6302" w:type="dxa"/>
            <w:vAlign w:val="center"/>
          </w:tcPr>
          <w:p>
            <w:pPr>
              <w:adjustRightInd w:val="0"/>
              <w:snapToGrid w:val="0"/>
              <w:spacing w:line="288" w:lineRule="auto"/>
              <w:jc w:val="left"/>
              <w:rPr>
                <w:rFonts w:ascii="宋体" w:hAnsi="宋体" w:cs="宋体"/>
                <w:b/>
                <w:bCs/>
                <w:szCs w:val="21"/>
              </w:rPr>
            </w:pPr>
            <w:r>
              <w:rPr>
                <w:rFonts w:hint="eastAsia" w:ascii="宋体" w:hAnsi="宋体" w:cs="宋体"/>
                <w:b/>
                <w:bCs/>
                <w:szCs w:val="21"/>
              </w:rPr>
              <w:t>根据长春市财政局《长春市财政局关于取消政府采购投标保证金及采购文件工本费等有关事项的通知》规定不得向诚信记录良好的供应商收取投标保证金，但对于满足《中华人民共和国政府采购法》第二十二条有关规定，经“信用中国”网站查询存在行政处罚信息的供应商，应当按规定收取投标保证金。</w:t>
            </w:r>
          </w:p>
          <w:p>
            <w:pPr>
              <w:pStyle w:val="125"/>
              <w:adjustRightInd w:val="0"/>
              <w:snapToGrid w:val="0"/>
              <w:spacing w:line="288" w:lineRule="auto"/>
              <w:rPr>
                <w:rFonts w:ascii="宋体" w:hAnsi="宋体" w:cs="宋体"/>
                <w:bCs/>
              </w:rPr>
            </w:pPr>
            <w:r>
              <w:rPr>
                <w:rFonts w:hint="eastAsia" w:ascii="宋体" w:hAnsi="宋体" w:cs="宋体"/>
                <w:bCs/>
              </w:rPr>
              <w:t>投标保证金的形式：现金、银行出具的现金支票、保兑支票、银行汇票、银行或专业担保公司或保险公司出具的保函、转账、电汇等形式提交；以现金或支票形式提交的投标保证金须从投标单位的基本账户转出。</w:t>
            </w:r>
          </w:p>
          <w:p>
            <w:pPr>
              <w:pStyle w:val="125"/>
              <w:adjustRightInd w:val="0"/>
              <w:snapToGrid w:val="0"/>
              <w:spacing w:line="288" w:lineRule="auto"/>
              <w:rPr>
                <w:rFonts w:ascii="宋体" w:hAnsi="宋体" w:cs="宋体"/>
                <w:bCs/>
              </w:rPr>
            </w:pPr>
            <w:r>
              <w:rPr>
                <w:rFonts w:hint="eastAsia" w:ascii="宋体" w:hAnsi="宋体" w:cs="宋体"/>
                <w:bCs/>
              </w:rPr>
              <w:t>投标保证金的金额：</w:t>
            </w:r>
            <w:r>
              <w:rPr>
                <w:rFonts w:hint="eastAsia" w:ascii="宋体" w:hAnsi="宋体" w:cs="宋体"/>
                <w:b/>
              </w:rPr>
              <w:t>30000.00</w:t>
            </w:r>
            <w:r>
              <w:rPr>
                <w:rFonts w:hint="eastAsia" w:ascii="宋体" w:hAnsi="宋体" w:cs="宋体"/>
                <w:bCs/>
              </w:rPr>
              <w:t>元</w:t>
            </w:r>
          </w:p>
          <w:p>
            <w:pPr>
              <w:adjustRightInd w:val="0"/>
              <w:snapToGrid w:val="0"/>
              <w:spacing w:line="288" w:lineRule="auto"/>
              <w:rPr>
                <w:rFonts w:ascii="宋体" w:hAnsi="宋体" w:cs="宋体"/>
                <w:b/>
                <w:bCs/>
                <w:spacing w:val="-8"/>
                <w:kern w:val="15"/>
                <w:szCs w:val="21"/>
              </w:rPr>
            </w:pPr>
            <w:r>
              <w:rPr>
                <w:rFonts w:hint="eastAsia" w:ascii="宋体" w:hAnsi="宋体" w:cs="宋体"/>
                <w:b/>
                <w:bCs/>
                <w:spacing w:val="-8"/>
                <w:kern w:val="15"/>
                <w:szCs w:val="21"/>
              </w:rPr>
              <w:t>递交方式</w:t>
            </w:r>
            <w:r>
              <w:rPr>
                <w:rFonts w:hint="eastAsia" w:ascii="宋体" w:hAnsi="宋体" w:cs="宋体"/>
                <w:bCs/>
                <w:szCs w:val="21"/>
                <w:lang w:val="zh-CN"/>
              </w:rPr>
              <w:t>：</w:t>
            </w:r>
          </w:p>
          <w:p>
            <w:pPr>
              <w:adjustRightInd w:val="0"/>
              <w:snapToGrid w:val="0"/>
              <w:spacing w:line="288" w:lineRule="auto"/>
              <w:rPr>
                <w:rFonts w:ascii="宋体" w:hAnsi="宋体" w:cs="宋体"/>
                <w:bCs/>
                <w:kern w:val="15"/>
                <w:szCs w:val="21"/>
              </w:rPr>
            </w:pPr>
            <w:r>
              <w:rPr>
                <w:rFonts w:hint="eastAsia" w:ascii="宋体" w:hAnsi="宋体" w:cs="宋体"/>
                <w:bCs/>
                <w:kern w:val="15"/>
                <w:szCs w:val="21"/>
              </w:rPr>
              <w:t>供应商须在</w:t>
            </w:r>
            <w:r>
              <w:rPr>
                <w:rFonts w:hint="eastAsia" w:ascii="宋体" w:hAnsi="宋体" w:cs="宋体"/>
                <w:b/>
                <w:bCs/>
                <w:kern w:val="15"/>
                <w:szCs w:val="21"/>
              </w:rPr>
              <w:t>投标截止时间前</w:t>
            </w:r>
            <w:r>
              <w:rPr>
                <w:rFonts w:hint="eastAsia" w:ascii="宋体" w:hAnsi="宋体" w:cs="宋体"/>
                <w:bCs/>
                <w:kern w:val="15"/>
                <w:szCs w:val="21"/>
              </w:rPr>
              <w:t>，以转账、电汇形式递交的投标保证金应当从投标单位的基本账户转出将投标保证金存入采购代理机构指定账户，银行进帐单或电汇凭证等凭证上应明确用途为【★</w:t>
            </w:r>
            <w:r>
              <w:rPr>
                <w:rFonts w:hint="eastAsia" w:ascii="宋体" w:hAnsi="宋体" w:cs="宋体"/>
                <w:b/>
                <w:bCs/>
                <w:kern w:val="15"/>
                <w:szCs w:val="21"/>
              </w:rPr>
              <w:t>投标保证金</w:t>
            </w:r>
            <w:r>
              <w:rPr>
                <w:rFonts w:hint="eastAsia" w:ascii="宋体" w:hAnsi="宋体" w:cs="宋体"/>
                <w:bCs/>
                <w:kern w:val="15"/>
                <w:szCs w:val="21"/>
              </w:rPr>
              <w:t>★】，以便核对查实。投标保证金的确认以最终到帐日期为准。以“保函”形式递交投标保证金的，应</w:t>
            </w:r>
            <w:r>
              <w:rPr>
                <w:rFonts w:hint="eastAsia" w:ascii="宋体" w:hAnsi="宋体" w:cs="宋体"/>
                <w:kern w:val="15"/>
                <w:szCs w:val="21"/>
              </w:rPr>
              <w:t>在</w:t>
            </w:r>
            <w:r>
              <w:rPr>
                <w:rFonts w:hint="eastAsia" w:ascii="宋体" w:hAnsi="宋体" w:cs="宋体"/>
                <w:b/>
                <w:bCs/>
                <w:kern w:val="15"/>
                <w:szCs w:val="21"/>
              </w:rPr>
              <w:t>投标截止时间前，</w:t>
            </w:r>
            <w:r>
              <w:rPr>
                <w:rFonts w:hint="eastAsia" w:ascii="宋体" w:hAnsi="宋体" w:cs="宋体"/>
                <w:bCs/>
                <w:kern w:val="15"/>
                <w:szCs w:val="21"/>
              </w:rPr>
              <w:t>将“保函”原件递到代理机构项目负责人处，并自留一份复印件附在投标文件。未按规定时间办理，投标将被拒绝。</w:t>
            </w:r>
          </w:p>
          <w:p>
            <w:pPr>
              <w:adjustRightInd w:val="0"/>
              <w:snapToGrid w:val="0"/>
              <w:spacing w:line="288" w:lineRule="auto"/>
              <w:rPr>
                <w:rFonts w:ascii="宋体" w:hAnsi="宋体" w:cs="宋体"/>
                <w:b/>
                <w:bCs/>
                <w:kern w:val="15"/>
                <w:szCs w:val="21"/>
              </w:rPr>
            </w:pPr>
            <w:r>
              <w:rPr>
                <w:rFonts w:hint="eastAsia" w:ascii="宋体" w:hAnsi="宋体" w:cs="宋体"/>
                <w:b/>
                <w:bCs/>
                <w:kern w:val="15"/>
                <w:szCs w:val="21"/>
              </w:rPr>
              <w:t>收款单位：吉林省冠甲精瑞工程项目管理有限公司</w:t>
            </w:r>
          </w:p>
          <w:p>
            <w:pPr>
              <w:adjustRightInd w:val="0"/>
              <w:snapToGrid w:val="0"/>
              <w:spacing w:line="288" w:lineRule="auto"/>
              <w:rPr>
                <w:rFonts w:ascii="宋体" w:hAnsi="宋体" w:cs="宋体"/>
                <w:b/>
                <w:bCs/>
                <w:kern w:val="15"/>
                <w:szCs w:val="21"/>
              </w:rPr>
            </w:pPr>
            <w:r>
              <w:rPr>
                <w:rFonts w:hint="eastAsia" w:ascii="宋体" w:hAnsi="宋体" w:cs="宋体"/>
                <w:b/>
                <w:bCs/>
                <w:kern w:val="15"/>
                <w:szCs w:val="21"/>
              </w:rPr>
              <w:t>开户行名称：招商银行股份有限公司长春自由大路支行</w:t>
            </w:r>
          </w:p>
          <w:p>
            <w:pPr>
              <w:adjustRightInd w:val="0"/>
              <w:snapToGrid w:val="0"/>
              <w:spacing w:line="288" w:lineRule="auto"/>
              <w:rPr>
                <w:rFonts w:ascii="宋体" w:hAnsi="宋体" w:cs="宋体"/>
                <w:b/>
                <w:bCs/>
                <w:kern w:val="15"/>
                <w:szCs w:val="21"/>
                <w:lang w:val="zh-CN"/>
              </w:rPr>
            </w:pPr>
            <w:r>
              <w:rPr>
                <w:rFonts w:hint="eastAsia" w:ascii="宋体" w:hAnsi="宋体" w:cs="宋体"/>
                <w:b/>
                <w:bCs/>
                <w:kern w:val="15"/>
                <w:szCs w:val="21"/>
              </w:rPr>
              <w:t>保证金接受账号：431901695210801</w:t>
            </w:r>
          </w:p>
          <w:p>
            <w:pPr>
              <w:adjustRightInd w:val="0"/>
              <w:snapToGrid w:val="0"/>
              <w:spacing w:line="288" w:lineRule="auto"/>
              <w:rPr>
                <w:rFonts w:ascii="宋体" w:hAnsi="宋体" w:cs="宋体"/>
                <w:b/>
                <w:bCs/>
                <w:kern w:val="15"/>
                <w:szCs w:val="21"/>
              </w:rPr>
            </w:pPr>
            <w:r>
              <w:rPr>
                <w:rFonts w:hint="eastAsia" w:ascii="宋体" w:hAnsi="宋体" w:cs="宋体"/>
                <w:b/>
                <w:bCs/>
                <w:kern w:val="15"/>
                <w:szCs w:val="21"/>
              </w:rPr>
              <w:t>联系人：赵宏林</w:t>
            </w:r>
          </w:p>
          <w:p>
            <w:pPr>
              <w:adjustRightInd w:val="0"/>
              <w:snapToGrid w:val="0"/>
              <w:spacing w:line="288" w:lineRule="auto"/>
              <w:rPr>
                <w:rFonts w:ascii="宋体" w:hAnsi="宋体" w:cs="宋体"/>
                <w:b/>
                <w:bCs/>
                <w:kern w:val="15"/>
                <w:szCs w:val="21"/>
              </w:rPr>
            </w:pPr>
            <w:r>
              <w:rPr>
                <w:rFonts w:hint="eastAsia" w:ascii="宋体" w:hAnsi="宋体" w:cs="宋体"/>
                <w:b/>
                <w:bCs/>
                <w:kern w:val="15"/>
                <w:szCs w:val="21"/>
              </w:rPr>
              <w:t>联系电话：0431-80603134</w:t>
            </w:r>
          </w:p>
          <w:p>
            <w:pPr>
              <w:adjustRightInd w:val="0"/>
              <w:snapToGrid w:val="0"/>
              <w:spacing w:line="288" w:lineRule="auto"/>
              <w:rPr>
                <w:rFonts w:ascii="宋体" w:hAnsi="宋体" w:cs="宋体"/>
                <w:b/>
                <w:bCs/>
                <w:kern w:val="15"/>
                <w:szCs w:val="21"/>
              </w:rPr>
            </w:pPr>
            <w:r>
              <w:rPr>
                <w:rFonts w:hint="eastAsia" w:ascii="宋体" w:hAnsi="宋体" w:cs="宋体"/>
                <w:b/>
                <w:bCs/>
                <w:kern w:val="15"/>
                <w:szCs w:val="21"/>
              </w:rPr>
              <w:t>注：各供应商应在汇款时认真核对收款单位、开户行名称、账号准确无误，确保保证金按时到账，否则后果自负。</w:t>
            </w:r>
          </w:p>
          <w:p>
            <w:pPr>
              <w:autoSpaceDE w:val="0"/>
              <w:autoSpaceDN w:val="0"/>
              <w:adjustRightInd w:val="0"/>
              <w:snapToGrid w:val="0"/>
              <w:spacing w:line="288" w:lineRule="auto"/>
              <w:jc w:val="left"/>
              <w:rPr>
                <w:rFonts w:ascii="宋体" w:hAnsi="宋体" w:cs="宋体"/>
                <w:bCs/>
                <w:szCs w:val="21"/>
                <w:lang w:val="zh-CN"/>
              </w:rPr>
            </w:pPr>
            <w:r>
              <w:rPr>
                <w:rFonts w:hint="eastAsia" w:ascii="宋体" w:hAnsi="宋体" w:cs="宋体"/>
                <w:b/>
                <w:bCs/>
                <w:kern w:val="15"/>
              </w:rPr>
              <w:t>投标保证金应写明项目编号(</w:t>
            </w:r>
            <w:r>
              <w:rPr>
                <w:rFonts w:hint="eastAsia" w:ascii="宋体" w:hAnsi="宋体" w:cs="宋体"/>
                <w:b/>
                <w:bCs/>
                <w:kern w:val="15"/>
                <w:lang w:eastAsia="zh-CN"/>
              </w:rPr>
              <w:t>JM-2023-09-00876</w:t>
            </w:r>
            <w:r>
              <w:rPr>
                <w:rFonts w:hint="eastAsia" w:ascii="宋体" w:hAnsi="宋体" w:cs="宋体"/>
                <w:b/>
                <w:bCs/>
                <w:kern w:val="15"/>
              </w:rPr>
              <w:t>)，否则后果自负。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3.8.2</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签字或盖章要求</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kern w:val="0"/>
                <w:szCs w:val="21"/>
                <w:shd w:val="clear" w:color="auto" w:fill="FFFFFF"/>
                <w:lang w:val="zh-CN"/>
              </w:rPr>
              <w:t>按磋商文件要求签字</w:t>
            </w:r>
            <w:r>
              <w:rPr>
                <w:rFonts w:hint="eastAsia" w:ascii="宋体" w:hAnsi="宋体" w:cs="宋体"/>
                <w:kern w:val="0"/>
                <w:szCs w:val="21"/>
                <w:shd w:val="clear" w:color="auto" w:fill="FFFFFF"/>
              </w:rPr>
              <w:t>盖章</w:t>
            </w: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3.8.3</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响应文件份数</w:t>
            </w:r>
          </w:p>
        </w:tc>
        <w:tc>
          <w:tcPr>
            <w:tcW w:w="6302" w:type="dxa"/>
            <w:vAlign w:val="center"/>
          </w:tcPr>
          <w:p>
            <w:pPr>
              <w:autoSpaceDE w:val="0"/>
              <w:autoSpaceDN w:val="0"/>
              <w:adjustRightInd w:val="0"/>
              <w:snapToGrid w:val="0"/>
              <w:spacing w:line="288" w:lineRule="auto"/>
              <w:jc w:val="left"/>
              <w:rPr>
                <w:rFonts w:ascii="宋体" w:hAnsi="宋体" w:cs="宋体"/>
                <w:bCs/>
                <w:szCs w:val="21"/>
                <w:lang w:val="zh-CN"/>
              </w:rPr>
            </w:pPr>
            <w:r>
              <w:rPr>
                <w:rFonts w:hint="eastAsia" w:ascii="宋体" w:hAnsi="宋体" w:cs="宋体"/>
                <w:bCs/>
                <w:szCs w:val="21"/>
                <w:lang w:val="zh-CN"/>
              </w:rPr>
              <w:t>供应商在“政采云”平台（https://www.zcygov.cn/）通过有效数字证书（CA认证）制作的响应文件（1正</w:t>
            </w:r>
            <w:r>
              <w:rPr>
                <w:rFonts w:hint="eastAsia" w:ascii="宋体" w:hAnsi="宋体" w:cs="宋体"/>
                <w:bCs/>
                <w:szCs w:val="21"/>
              </w:rPr>
              <w:t>3</w:t>
            </w:r>
            <w:r>
              <w:rPr>
                <w:rFonts w:hint="eastAsia" w:ascii="宋体" w:hAnsi="宋体" w:cs="宋体"/>
                <w:bCs/>
                <w:szCs w:val="21"/>
                <w:lang w:val="zh-CN"/>
              </w:rPr>
              <w:t>副）及电子版文件2份（此响应文件须上传至“政采云”平台）。</w:t>
            </w:r>
          </w:p>
          <w:p>
            <w:pPr>
              <w:autoSpaceDE w:val="0"/>
              <w:autoSpaceDN w:val="0"/>
              <w:adjustRightInd w:val="0"/>
              <w:snapToGrid w:val="0"/>
              <w:spacing w:line="288" w:lineRule="auto"/>
              <w:jc w:val="left"/>
              <w:rPr>
                <w:rFonts w:ascii="宋体" w:hAnsi="宋体" w:cs="宋体"/>
                <w:bCs/>
                <w:szCs w:val="21"/>
                <w:lang w:val="zh-CN"/>
              </w:rPr>
            </w:pPr>
            <w:r>
              <w:rPr>
                <w:rFonts w:hint="eastAsia" w:ascii="宋体" w:hAnsi="宋体" w:cs="宋体"/>
                <w:bCs/>
                <w:szCs w:val="21"/>
                <w:lang w:val="zh-CN"/>
              </w:rPr>
              <w:t>供应商须在磋商截止日</w:t>
            </w:r>
            <w:r>
              <w:rPr>
                <w:rFonts w:hint="eastAsia" w:ascii="宋体" w:hAnsi="宋体" w:cs="宋体"/>
                <w:bCs/>
                <w:szCs w:val="21"/>
                <w:highlight w:val="none"/>
                <w:lang w:val="zh-CN"/>
              </w:rPr>
              <w:t>1</w:t>
            </w:r>
            <w:r>
              <w:rPr>
                <w:rFonts w:hint="eastAsia" w:ascii="宋体" w:hAnsi="宋体" w:cs="宋体"/>
                <w:bCs/>
                <w:szCs w:val="21"/>
                <w:highlight w:val="none"/>
                <w:lang w:val="en-US" w:eastAsia="zh-CN"/>
              </w:rPr>
              <w:t>3</w:t>
            </w:r>
            <w:r>
              <w:rPr>
                <w:rFonts w:hint="eastAsia" w:ascii="宋体" w:hAnsi="宋体" w:cs="宋体"/>
                <w:bCs/>
                <w:szCs w:val="21"/>
                <w:highlight w:val="none"/>
                <w:lang w:val="zh-CN"/>
              </w:rPr>
              <w:t>:</w:t>
            </w:r>
            <w:r>
              <w:rPr>
                <w:rFonts w:hint="eastAsia" w:ascii="宋体" w:hAnsi="宋体" w:cs="宋体"/>
                <w:bCs/>
                <w:szCs w:val="21"/>
                <w:highlight w:val="none"/>
                <w:lang w:val="en-US" w:eastAsia="zh-CN"/>
              </w:rPr>
              <w:t>3</w:t>
            </w:r>
            <w:r>
              <w:rPr>
                <w:rFonts w:hint="eastAsia" w:ascii="宋体" w:hAnsi="宋体" w:cs="宋体"/>
                <w:bCs/>
                <w:szCs w:val="21"/>
                <w:highlight w:val="none"/>
                <w:lang w:val="zh-CN"/>
              </w:rPr>
              <w:t>0-1</w:t>
            </w:r>
            <w:r>
              <w:rPr>
                <w:rFonts w:hint="eastAsia" w:ascii="宋体" w:hAnsi="宋体" w:cs="宋体"/>
                <w:bCs/>
                <w:szCs w:val="21"/>
                <w:highlight w:val="none"/>
                <w:lang w:val="en-US" w:eastAsia="zh-CN"/>
              </w:rPr>
              <w:t>6</w:t>
            </w:r>
            <w:r>
              <w:rPr>
                <w:rFonts w:hint="eastAsia" w:ascii="宋体" w:hAnsi="宋体" w:cs="宋体"/>
                <w:bCs/>
                <w:szCs w:val="21"/>
                <w:highlight w:val="none"/>
                <w:lang w:val="zh-CN"/>
              </w:rPr>
              <w:t>:00</w:t>
            </w:r>
            <w:r>
              <w:rPr>
                <w:rFonts w:hint="eastAsia" w:ascii="宋体" w:hAnsi="宋体" w:cs="宋体"/>
                <w:bCs/>
                <w:szCs w:val="21"/>
                <w:lang w:val="zh-CN"/>
              </w:rPr>
              <w:t>递交纸质版文件（正本1份、副本</w:t>
            </w:r>
            <w:r>
              <w:rPr>
                <w:rFonts w:hint="eastAsia" w:ascii="宋体" w:hAnsi="宋体" w:cs="宋体"/>
                <w:bCs/>
                <w:szCs w:val="21"/>
              </w:rPr>
              <w:t>3</w:t>
            </w:r>
            <w:r>
              <w:rPr>
                <w:rFonts w:hint="eastAsia" w:ascii="宋体" w:hAnsi="宋体" w:cs="宋体"/>
                <w:bCs/>
                <w:szCs w:val="21"/>
                <w:lang w:val="zh-CN"/>
              </w:rPr>
              <w:t>份）及2份u盘存档的电子版文件用于项目存档使用，递交地点为长春市经济开发区自由大路4776号凯麒大厦8楼807室。纸质版及电子版应与上传的加密文件一致。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3.8.4</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装订编制要求</w:t>
            </w:r>
          </w:p>
        </w:tc>
        <w:tc>
          <w:tcPr>
            <w:tcW w:w="6302"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rPr>
              <w:t>每册采用</w:t>
            </w:r>
            <w:r>
              <w:rPr>
                <w:rFonts w:hint="eastAsia" w:ascii="宋体" w:hAnsi="宋体" w:cs="宋体"/>
                <w:bCs/>
                <w:szCs w:val="21"/>
                <w:u w:val="single"/>
              </w:rPr>
              <w:t xml:space="preserve"> 胶装 </w:t>
            </w:r>
            <w:r>
              <w:rPr>
                <w:rFonts w:hint="eastAsia" w:ascii="宋体" w:hAnsi="宋体" w:cs="宋体"/>
                <w:bCs/>
                <w:szCs w:val="21"/>
              </w:rPr>
              <w:t>方式装订成册，装订应牢固、不易拆散和换页，不得采用活页装订。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4.1.1</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响应文件密封</w:t>
            </w:r>
          </w:p>
        </w:tc>
        <w:tc>
          <w:tcPr>
            <w:tcW w:w="6302" w:type="dxa"/>
            <w:vAlign w:val="center"/>
          </w:tcPr>
          <w:p>
            <w:pPr>
              <w:autoSpaceDE w:val="0"/>
              <w:autoSpaceDN w:val="0"/>
              <w:adjustRightInd w:val="0"/>
              <w:spacing w:line="320" w:lineRule="exact"/>
              <w:jc w:val="left"/>
              <w:rPr>
                <w:rFonts w:ascii="宋体" w:hAnsi="宋体" w:cs="宋体"/>
                <w:bCs/>
                <w:szCs w:val="21"/>
              </w:rPr>
            </w:pPr>
            <w:r>
              <w:rPr>
                <w:rFonts w:hint="eastAsia" w:ascii="宋体" w:hAnsi="宋体" w:cs="宋体"/>
                <w:bCs/>
                <w:szCs w:val="21"/>
              </w:rPr>
              <w:t>无需密封，明确正副本即可。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4.2.1</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响应文件上传截止时间</w:t>
            </w:r>
          </w:p>
        </w:tc>
        <w:tc>
          <w:tcPr>
            <w:tcW w:w="6302" w:type="dxa"/>
            <w:vAlign w:val="center"/>
          </w:tcPr>
          <w:p>
            <w:pPr>
              <w:autoSpaceDE w:val="0"/>
              <w:autoSpaceDN w:val="0"/>
              <w:adjustRightInd w:val="0"/>
              <w:spacing w:line="320" w:lineRule="exact"/>
              <w:jc w:val="left"/>
              <w:rPr>
                <w:rFonts w:ascii="宋体" w:hAnsi="宋体" w:cs="宋体"/>
                <w:b/>
                <w:bCs/>
                <w:szCs w:val="21"/>
                <w:lang w:val="zh-CN"/>
              </w:rPr>
            </w:pPr>
            <w:r>
              <w:rPr>
                <w:rFonts w:hint="eastAsia" w:ascii="宋体" w:hAnsi="宋体" w:cs="宋体"/>
                <w:spacing w:val="6"/>
                <w:szCs w:val="21"/>
                <w:highlight w:val="none"/>
                <w:u w:val="single"/>
              </w:rPr>
              <w:t>2023年1</w:t>
            </w:r>
            <w:r>
              <w:rPr>
                <w:rFonts w:hint="eastAsia" w:ascii="宋体" w:hAnsi="宋体" w:cs="宋体"/>
                <w:spacing w:val="6"/>
                <w:szCs w:val="21"/>
                <w:highlight w:val="none"/>
                <w:u w:val="single"/>
                <w:lang w:val="en-US" w:eastAsia="zh-CN"/>
              </w:rPr>
              <w:t>2</w:t>
            </w:r>
            <w:r>
              <w:rPr>
                <w:rFonts w:hint="eastAsia" w:ascii="宋体" w:hAnsi="宋体" w:cs="宋体"/>
                <w:spacing w:val="6"/>
                <w:szCs w:val="21"/>
                <w:highlight w:val="none"/>
                <w:u w:val="single"/>
              </w:rPr>
              <w:t>月</w:t>
            </w:r>
            <w:r>
              <w:rPr>
                <w:rFonts w:hint="eastAsia" w:ascii="宋体" w:hAnsi="宋体" w:cs="宋体"/>
                <w:spacing w:val="6"/>
                <w:szCs w:val="21"/>
                <w:highlight w:val="none"/>
                <w:u w:val="single"/>
                <w:lang w:val="en-US" w:eastAsia="zh-CN"/>
              </w:rPr>
              <w:t>6</w:t>
            </w:r>
            <w:r>
              <w:rPr>
                <w:rFonts w:hint="eastAsia" w:ascii="宋体" w:hAnsi="宋体" w:cs="宋体"/>
                <w:spacing w:val="6"/>
                <w:szCs w:val="21"/>
                <w:highlight w:val="none"/>
                <w:u w:val="single"/>
              </w:rPr>
              <w:t>日13点</w:t>
            </w:r>
            <w:r>
              <w:rPr>
                <w:rFonts w:hint="eastAsia" w:ascii="宋体" w:hAnsi="宋体" w:cs="宋体"/>
                <w:spacing w:val="6"/>
                <w:szCs w:val="21"/>
                <w:highlight w:val="none"/>
                <w:u w:val="single"/>
                <w:lang w:val="en-US" w:eastAsia="zh-CN"/>
              </w:rPr>
              <w:t>3</w:t>
            </w:r>
            <w:r>
              <w:rPr>
                <w:rFonts w:hint="eastAsia" w:ascii="宋体" w:hAnsi="宋体" w:cs="宋体"/>
                <w:spacing w:val="6"/>
                <w:szCs w:val="21"/>
                <w:highlight w:val="none"/>
                <w:u w:val="single"/>
              </w:rPr>
              <w:t>0分</w:t>
            </w:r>
            <w:r>
              <w:rPr>
                <w:rFonts w:hint="eastAsia" w:ascii="宋体" w:hAnsi="宋体" w:cs="宋体"/>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4.4</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构成响应文件的其他材料</w:t>
            </w:r>
          </w:p>
        </w:tc>
        <w:tc>
          <w:tcPr>
            <w:tcW w:w="6302" w:type="dxa"/>
            <w:vAlign w:val="center"/>
          </w:tcPr>
          <w:p>
            <w:pPr>
              <w:spacing w:line="320" w:lineRule="exact"/>
              <w:rPr>
                <w:rFonts w:ascii="宋体" w:hAnsi="宋体" w:cs="宋体"/>
                <w:b/>
                <w:szCs w:val="21"/>
              </w:rPr>
            </w:pPr>
            <w:r>
              <w:rPr>
                <w:rFonts w:hint="eastAsia" w:ascii="宋体" w:hAnsi="宋体" w:cs="宋体"/>
                <w:b/>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5.1</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开标时间</w:t>
            </w:r>
          </w:p>
        </w:tc>
        <w:tc>
          <w:tcPr>
            <w:tcW w:w="6302" w:type="dxa"/>
            <w:vAlign w:val="center"/>
          </w:tcPr>
          <w:p>
            <w:pPr>
              <w:autoSpaceDE w:val="0"/>
              <w:autoSpaceDN w:val="0"/>
              <w:adjustRightInd w:val="0"/>
              <w:spacing w:line="320" w:lineRule="exact"/>
              <w:rPr>
                <w:rFonts w:ascii="宋体" w:hAnsi="宋体" w:cs="宋体"/>
                <w:bCs/>
                <w:szCs w:val="21"/>
                <w:lang w:val="zh-CN"/>
              </w:rPr>
            </w:pPr>
            <w:r>
              <w:rPr>
                <w:rFonts w:hint="eastAsia" w:ascii="宋体" w:hAnsi="宋体" w:cs="宋体"/>
                <w:b/>
                <w:szCs w:val="21"/>
              </w:rPr>
              <w:t>同响应文件上传截止时间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6.1</w:t>
            </w:r>
          </w:p>
        </w:tc>
        <w:tc>
          <w:tcPr>
            <w:tcW w:w="2351" w:type="dxa"/>
            <w:vAlign w:val="center"/>
          </w:tcPr>
          <w:p>
            <w:pPr>
              <w:autoSpaceDE w:val="0"/>
              <w:autoSpaceDN w:val="0"/>
              <w:adjustRightInd w:val="0"/>
              <w:spacing w:line="320" w:lineRule="exact"/>
              <w:jc w:val="left"/>
              <w:rPr>
                <w:rFonts w:ascii="宋体" w:hAnsi="宋体" w:cs="宋体"/>
                <w:kern w:val="0"/>
                <w:sz w:val="24"/>
              </w:rPr>
            </w:pPr>
            <w:r>
              <w:rPr>
                <w:rFonts w:hint="eastAsia" w:ascii="宋体" w:hAnsi="宋体" w:cs="宋体"/>
                <w:bCs/>
                <w:szCs w:val="21"/>
                <w:lang w:val="zh-CN"/>
              </w:rPr>
              <w:t>资格审查主体</w:t>
            </w:r>
          </w:p>
        </w:tc>
        <w:tc>
          <w:tcPr>
            <w:tcW w:w="6302" w:type="dxa"/>
            <w:vAlign w:val="center"/>
          </w:tcPr>
          <w:p>
            <w:pPr>
              <w:autoSpaceDE w:val="0"/>
              <w:autoSpaceDN w:val="0"/>
              <w:adjustRightInd w:val="0"/>
              <w:spacing w:line="320" w:lineRule="exact"/>
              <w:rPr>
                <w:rFonts w:ascii="宋体" w:hAnsi="宋体" w:cs="宋体"/>
                <w:kern w:val="0"/>
                <w:sz w:val="24"/>
              </w:rPr>
            </w:pPr>
            <w:r>
              <w:rPr>
                <w:rFonts w:hint="eastAsia" w:ascii="宋体" w:hAnsi="宋体" w:cs="宋体"/>
                <w:bCs/>
                <w:szCs w:val="21"/>
                <w:lang w:val="zh-CN"/>
              </w:rPr>
              <w:t>竞争性磋商小组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7.1.1</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磋商小组的组建</w:t>
            </w:r>
          </w:p>
        </w:tc>
        <w:tc>
          <w:tcPr>
            <w:tcW w:w="6302" w:type="dxa"/>
            <w:vAlign w:val="center"/>
          </w:tcPr>
          <w:p>
            <w:pPr>
              <w:autoSpaceDE w:val="0"/>
              <w:autoSpaceDN w:val="0"/>
              <w:adjustRightInd w:val="0"/>
              <w:spacing w:line="320" w:lineRule="exact"/>
              <w:rPr>
                <w:rFonts w:ascii="宋体" w:hAnsi="宋体" w:cs="宋体"/>
                <w:bCs/>
                <w:szCs w:val="21"/>
                <w:lang w:val="zh-CN"/>
              </w:rPr>
            </w:pPr>
            <w:r>
              <w:rPr>
                <w:rFonts w:hint="eastAsia" w:ascii="宋体" w:hAnsi="宋体" w:cs="宋体"/>
                <w:bCs/>
                <w:szCs w:val="21"/>
                <w:lang w:val="zh-CN"/>
              </w:rPr>
              <w:t>磋商小组构成：有关社会专家</w:t>
            </w:r>
            <w:r>
              <w:rPr>
                <w:rFonts w:hint="eastAsia" w:ascii="宋体" w:hAnsi="宋体" w:cs="宋体"/>
                <w:bCs/>
                <w:szCs w:val="21"/>
                <w:u w:val="single"/>
              </w:rPr>
              <w:t xml:space="preserve"> 3 </w:t>
            </w:r>
            <w:r>
              <w:rPr>
                <w:rFonts w:hint="eastAsia" w:ascii="宋体" w:hAnsi="宋体" w:cs="宋体"/>
                <w:bCs/>
                <w:szCs w:val="21"/>
                <w:lang w:val="zh-CN"/>
              </w:rPr>
              <w:t>人</w:t>
            </w:r>
          </w:p>
          <w:p>
            <w:pPr>
              <w:autoSpaceDE w:val="0"/>
              <w:autoSpaceDN w:val="0"/>
              <w:adjustRightInd w:val="0"/>
              <w:spacing w:line="320" w:lineRule="exact"/>
              <w:rPr>
                <w:rFonts w:ascii="宋体" w:hAnsi="宋体" w:cs="宋体"/>
                <w:bCs/>
                <w:szCs w:val="21"/>
              </w:rPr>
            </w:pPr>
            <w:r>
              <w:rPr>
                <w:rFonts w:hint="eastAsia" w:ascii="宋体" w:hAnsi="宋体" w:cs="宋体"/>
                <w:bCs/>
                <w:szCs w:val="21"/>
                <w:lang w:val="zh-CN"/>
              </w:rPr>
              <w:t>评标专家确定方式：</w:t>
            </w:r>
            <w:r>
              <w:rPr>
                <w:rFonts w:hint="eastAsia" w:ascii="宋体" w:hAnsi="宋体" w:cs="宋体"/>
                <w:bCs/>
                <w:szCs w:val="21"/>
              </w:rPr>
              <w:t>从吉林省依法组建的评标专家库中随机抽取组成。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rPr>
            </w:pPr>
            <w:r>
              <w:rPr>
                <w:rFonts w:hint="eastAsia" w:ascii="宋体" w:hAnsi="宋体" w:cs="宋体"/>
                <w:bCs/>
                <w:szCs w:val="21"/>
              </w:rPr>
              <w:t>7.4</w:t>
            </w:r>
          </w:p>
        </w:tc>
        <w:tc>
          <w:tcPr>
            <w:tcW w:w="2351" w:type="dxa"/>
            <w:vAlign w:val="center"/>
          </w:tcPr>
          <w:p>
            <w:pPr>
              <w:spacing w:line="320" w:lineRule="exact"/>
              <w:jc w:val="left"/>
              <w:rPr>
                <w:rFonts w:ascii="宋体" w:hAnsi="宋体" w:cs="宋体"/>
                <w:bCs/>
                <w:kern w:val="15"/>
                <w:szCs w:val="21"/>
              </w:rPr>
            </w:pPr>
            <w:r>
              <w:rPr>
                <w:rFonts w:hint="eastAsia" w:ascii="宋体" w:hAnsi="宋体" w:cs="宋体"/>
                <w:bCs/>
                <w:kern w:val="15"/>
                <w:szCs w:val="21"/>
                <w:lang w:val="zh-CN"/>
              </w:rPr>
              <w:t>评标办法</w:t>
            </w:r>
          </w:p>
        </w:tc>
        <w:tc>
          <w:tcPr>
            <w:tcW w:w="6302" w:type="dxa"/>
            <w:vAlign w:val="center"/>
          </w:tcPr>
          <w:p>
            <w:pPr>
              <w:spacing w:line="320" w:lineRule="exact"/>
              <w:jc w:val="left"/>
              <w:rPr>
                <w:rFonts w:ascii="宋体" w:hAnsi="宋体" w:cs="宋体"/>
                <w:bCs/>
                <w:szCs w:val="21"/>
                <w:lang w:val="zh-CN"/>
              </w:rPr>
            </w:pPr>
            <w:r>
              <w:rPr>
                <w:rFonts w:hint="eastAsia" w:ascii="宋体" w:hAnsi="宋体" w:cs="宋体"/>
                <w:bCs/>
                <w:szCs w:val="21"/>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8.1</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lang w:val="zh-CN"/>
              </w:rPr>
              <w:t>是否授权磋商小组确定中标人</w:t>
            </w:r>
          </w:p>
        </w:tc>
        <w:tc>
          <w:tcPr>
            <w:tcW w:w="6302" w:type="dxa"/>
            <w:vAlign w:val="center"/>
          </w:tcPr>
          <w:p>
            <w:pPr>
              <w:spacing w:line="320" w:lineRule="exact"/>
              <w:jc w:val="left"/>
              <w:rPr>
                <w:rFonts w:ascii="宋体" w:hAnsi="宋体" w:cs="宋体"/>
                <w:bCs/>
                <w:szCs w:val="21"/>
              </w:rPr>
            </w:pPr>
            <w:r>
              <w:rPr>
                <w:rFonts w:hint="eastAsia" w:ascii="宋体" w:hAnsi="宋体" w:cs="宋体"/>
                <w:bCs/>
                <w:szCs w:val="21"/>
              </w:rPr>
              <w:t>否，推荐的中标候选人数：</w:t>
            </w:r>
            <w:r>
              <w:rPr>
                <w:rFonts w:hint="eastAsia" w:ascii="宋体" w:hAnsi="宋体" w:cs="宋体"/>
                <w:bCs/>
                <w:szCs w:val="21"/>
                <w:u w:val="single"/>
              </w:rPr>
              <w:t>3</w:t>
            </w:r>
            <w:r>
              <w:rPr>
                <w:rFonts w:hint="eastAsia" w:ascii="宋体" w:hAnsi="宋体" w:cs="宋体"/>
                <w:bCs/>
                <w:szCs w:val="21"/>
              </w:rPr>
              <w:t>名</w:t>
            </w:r>
            <w:r>
              <w:rPr>
                <w:rFonts w:hint="eastAsia" w:ascii="宋体" w:hAnsi="宋体" w:cs="宋体"/>
                <w:kern w:val="0"/>
                <w:szCs w:val="21"/>
                <w:shd w:val="clear" w:color="auto" w:fill="FFFFFF"/>
              </w:rPr>
              <w:t>，并标明推荐顺序。采购人将依据</w:t>
            </w:r>
            <w:r>
              <w:rPr>
                <w:rFonts w:hint="eastAsia" w:ascii="宋体" w:hAnsi="宋体" w:cs="宋体"/>
                <w:bCs/>
                <w:szCs w:val="21"/>
                <w:lang w:val="zh-CN"/>
              </w:rPr>
              <w:t>磋商小组</w:t>
            </w:r>
            <w:r>
              <w:rPr>
                <w:rFonts w:hint="eastAsia" w:ascii="宋体" w:hAnsi="宋体" w:cs="宋体"/>
                <w:kern w:val="0"/>
                <w:szCs w:val="21"/>
                <w:shd w:val="clear" w:color="auto" w:fill="FFFFFF"/>
              </w:rPr>
              <w:t>推荐的中标候选人确定中标人。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8.2</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bCs/>
                <w:szCs w:val="21"/>
              </w:rPr>
              <w:t>成交</w:t>
            </w:r>
            <w:r>
              <w:rPr>
                <w:rFonts w:hint="eastAsia" w:ascii="宋体" w:hAnsi="宋体" w:cs="宋体"/>
                <w:bCs/>
                <w:szCs w:val="21"/>
                <w:lang w:val="zh-CN"/>
              </w:rPr>
              <w:t>结果公告</w:t>
            </w:r>
          </w:p>
        </w:tc>
        <w:tc>
          <w:tcPr>
            <w:tcW w:w="6302" w:type="dxa"/>
            <w:vAlign w:val="center"/>
          </w:tcPr>
          <w:p>
            <w:pPr>
              <w:spacing w:line="320" w:lineRule="exact"/>
              <w:jc w:val="left"/>
              <w:rPr>
                <w:rFonts w:ascii="宋体" w:hAnsi="宋体" w:cs="宋体"/>
                <w:bCs/>
                <w:szCs w:val="21"/>
              </w:rPr>
            </w:pPr>
            <w:r>
              <w:rPr>
                <w:rFonts w:hint="eastAsia" w:ascii="宋体" w:hAnsi="宋体" w:cs="宋体"/>
                <w:bCs/>
                <w:szCs w:val="21"/>
              </w:rPr>
              <w:t>期限为1个工作日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8.4.1</w:t>
            </w:r>
          </w:p>
        </w:tc>
        <w:tc>
          <w:tcPr>
            <w:tcW w:w="2351" w:type="dxa"/>
            <w:vAlign w:val="center"/>
          </w:tcPr>
          <w:p>
            <w:pPr>
              <w:spacing w:line="320" w:lineRule="exact"/>
              <w:jc w:val="left"/>
              <w:rPr>
                <w:rFonts w:ascii="宋体" w:hAnsi="宋体" w:cs="宋体"/>
                <w:bCs/>
                <w:szCs w:val="21"/>
              </w:rPr>
            </w:pPr>
            <w:bookmarkStart w:id="15" w:name="_Toc8885"/>
            <w:bookmarkStart w:id="16" w:name="_Toc27528"/>
            <w:r>
              <w:rPr>
                <w:rFonts w:hint="eastAsia" w:ascii="宋体" w:hAnsi="宋体" w:cs="宋体"/>
                <w:bCs/>
                <w:szCs w:val="21"/>
              </w:rPr>
              <w:t>履约保证金</w:t>
            </w:r>
            <w:bookmarkEnd w:id="15"/>
            <w:bookmarkEnd w:id="16"/>
          </w:p>
        </w:tc>
        <w:tc>
          <w:tcPr>
            <w:tcW w:w="6302" w:type="dxa"/>
            <w:vAlign w:val="center"/>
          </w:tcPr>
          <w:p>
            <w:pPr>
              <w:autoSpaceDE w:val="0"/>
              <w:autoSpaceDN w:val="0"/>
              <w:adjustRightInd w:val="0"/>
              <w:spacing w:line="320" w:lineRule="exact"/>
              <w:jc w:val="left"/>
              <w:rPr>
                <w:rFonts w:ascii="宋体" w:hAnsi="宋体" w:cs="宋体"/>
              </w:rPr>
            </w:pPr>
            <w:r>
              <w:rPr>
                <w:rFonts w:hint="eastAsia" w:ascii="宋体" w:hAnsi="宋体" w:cs="宋体"/>
              </w:rPr>
              <w:t>非中小企业中标的：中标金额的 5 %（0-5%）。</w:t>
            </w:r>
          </w:p>
          <w:p>
            <w:pPr>
              <w:autoSpaceDE w:val="0"/>
              <w:autoSpaceDN w:val="0"/>
              <w:adjustRightInd w:val="0"/>
              <w:spacing w:line="320" w:lineRule="exact"/>
              <w:jc w:val="left"/>
              <w:rPr>
                <w:rFonts w:ascii="宋体" w:hAnsi="宋体" w:cs="宋体"/>
              </w:rPr>
            </w:pPr>
            <w:r>
              <w:rPr>
                <w:rFonts w:hint="eastAsia" w:ascii="宋体" w:hAnsi="宋体" w:cs="宋体"/>
              </w:rPr>
              <w:t>中小企业中标的：中标金额的 2 %（0-2%）。</w:t>
            </w:r>
          </w:p>
          <w:p>
            <w:pPr>
              <w:autoSpaceDE w:val="0"/>
              <w:autoSpaceDN w:val="0"/>
              <w:adjustRightInd w:val="0"/>
              <w:spacing w:line="320" w:lineRule="exact"/>
              <w:jc w:val="left"/>
              <w:rPr>
                <w:rFonts w:ascii="宋体" w:hAnsi="宋体" w:cs="宋体"/>
              </w:rPr>
            </w:pPr>
            <w:r>
              <w:rPr>
                <w:rFonts w:hint="eastAsia" w:ascii="宋体" w:hAnsi="宋体" w:cs="宋体"/>
              </w:rPr>
              <w:t>中标人交纳履约保证金须在转账凭证备注栏里填写（采购项目+采购项目编号）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10</w:t>
            </w:r>
          </w:p>
        </w:tc>
        <w:tc>
          <w:tcPr>
            <w:tcW w:w="8653" w:type="dxa"/>
            <w:gridSpan w:val="2"/>
            <w:vAlign w:val="center"/>
          </w:tcPr>
          <w:p>
            <w:pPr>
              <w:autoSpaceDE w:val="0"/>
              <w:autoSpaceDN w:val="0"/>
              <w:adjustRightInd w:val="0"/>
              <w:spacing w:line="320" w:lineRule="exact"/>
              <w:jc w:val="left"/>
              <w:rPr>
                <w:rFonts w:ascii="宋体" w:hAnsi="宋体" w:cs="宋体"/>
                <w:szCs w:val="21"/>
                <w:shd w:val="clear" w:color="auto" w:fill="FFFFFF"/>
                <w:lang w:val="zh-CN"/>
              </w:rPr>
            </w:pPr>
            <w:r>
              <w:rPr>
                <w:rFonts w:hint="eastAsia" w:ascii="宋体" w:hAnsi="宋体" w:cs="宋体"/>
                <w:bCs/>
                <w:szCs w:val="21"/>
                <w:lang w:val="zh-CN"/>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10.1</w:t>
            </w:r>
          </w:p>
        </w:tc>
        <w:tc>
          <w:tcPr>
            <w:tcW w:w="2351" w:type="dxa"/>
            <w:vAlign w:val="center"/>
          </w:tcPr>
          <w:p>
            <w:pPr>
              <w:spacing w:line="320" w:lineRule="exact"/>
              <w:jc w:val="left"/>
              <w:rPr>
                <w:rFonts w:ascii="宋体" w:hAnsi="宋体" w:cs="宋体"/>
                <w:bCs/>
                <w:kern w:val="15"/>
                <w:szCs w:val="21"/>
              </w:rPr>
            </w:pPr>
            <w:r>
              <w:rPr>
                <w:rFonts w:hint="eastAsia" w:ascii="宋体" w:hAnsi="宋体" w:cs="宋体"/>
                <w:bCs/>
                <w:kern w:val="15"/>
                <w:szCs w:val="21"/>
              </w:rPr>
              <w:t>采购代理服务费</w:t>
            </w:r>
          </w:p>
        </w:tc>
        <w:tc>
          <w:tcPr>
            <w:tcW w:w="6302" w:type="dxa"/>
            <w:vAlign w:val="center"/>
          </w:tcPr>
          <w:p>
            <w:pPr>
              <w:spacing w:line="320" w:lineRule="exact"/>
              <w:jc w:val="left"/>
              <w:rPr>
                <w:rFonts w:ascii="宋体" w:hAnsi="宋体" w:cs="宋体"/>
                <w:bCs/>
                <w:szCs w:val="21"/>
                <w:lang w:val="zh-CN"/>
              </w:rPr>
            </w:pPr>
            <w:r>
              <w:rPr>
                <w:rFonts w:hint="eastAsia" w:ascii="宋体" w:hAnsi="宋体" w:cs="宋体"/>
                <w:bCs/>
                <w:szCs w:val="21"/>
                <w:lang w:val="zh-CN"/>
              </w:rPr>
              <w:t>采购代理机构按如下标准收取代理服务费：</w:t>
            </w:r>
          </w:p>
          <w:p>
            <w:pPr>
              <w:spacing w:line="320" w:lineRule="exact"/>
              <w:jc w:val="left"/>
              <w:rPr>
                <w:rFonts w:ascii="宋体" w:hAnsi="宋体" w:cs="宋体"/>
                <w:bCs/>
                <w:szCs w:val="21"/>
              </w:rPr>
            </w:pPr>
            <w:r>
              <w:rPr>
                <w:rFonts w:hint="eastAsia" w:ascii="宋体" w:hAnsi="宋体" w:cs="宋体"/>
                <w:bCs/>
                <w:szCs w:val="21"/>
              </w:rPr>
              <w:t>收费依据：依据国家发展改革委“发改价格【2015】299号”文件要求。</w:t>
            </w:r>
          </w:p>
          <w:p>
            <w:pPr>
              <w:spacing w:line="320" w:lineRule="exact"/>
              <w:jc w:val="left"/>
              <w:rPr>
                <w:rFonts w:ascii="宋体" w:hAnsi="宋体" w:cs="宋体"/>
                <w:bCs/>
                <w:szCs w:val="21"/>
              </w:rPr>
            </w:pPr>
            <w:r>
              <w:rPr>
                <w:rFonts w:hint="eastAsia" w:ascii="宋体" w:hAnsi="宋体" w:cs="宋体"/>
                <w:bCs/>
                <w:szCs w:val="21"/>
              </w:rPr>
              <w:t>收取对象：</w:t>
            </w:r>
            <w:r>
              <w:rPr>
                <w:rFonts w:hint="eastAsia" w:ascii="宋体" w:hAnsi="宋体" w:cs="宋体"/>
                <w:szCs w:val="21"/>
              </w:rPr>
              <w:t>发放成交通知书后五个工作日内中标人一次性支付</w:t>
            </w:r>
            <w:r>
              <w:rPr>
                <w:rFonts w:hint="eastAsia" w:ascii="宋体" w:hAnsi="宋体" w:cs="宋体"/>
                <w:bCs/>
                <w:szCs w:val="21"/>
              </w:rPr>
              <w:t>。</w:t>
            </w:r>
          </w:p>
          <w:p>
            <w:pPr>
              <w:spacing w:line="320" w:lineRule="exact"/>
              <w:jc w:val="left"/>
              <w:rPr>
                <w:rFonts w:ascii="宋体" w:hAnsi="宋体" w:cs="宋体"/>
                <w:bCs/>
                <w:szCs w:val="21"/>
              </w:rPr>
            </w:pPr>
            <w:r>
              <w:rPr>
                <w:rFonts w:hint="eastAsia" w:ascii="宋体" w:hAnsi="宋体" w:cs="宋体"/>
                <w:bCs/>
                <w:szCs w:val="21"/>
              </w:rPr>
              <w:t>收费比例：中标金额2%。</w:t>
            </w:r>
          </w:p>
          <w:p>
            <w:pPr>
              <w:spacing w:line="320" w:lineRule="exact"/>
              <w:jc w:val="left"/>
              <w:rPr>
                <w:rFonts w:ascii="宋体" w:hAnsi="宋体" w:cs="宋体"/>
                <w:b/>
                <w:bCs/>
                <w:szCs w:val="21"/>
              </w:rPr>
            </w:pPr>
            <w:r>
              <w:rPr>
                <w:rFonts w:hint="eastAsia" w:ascii="宋体" w:hAnsi="宋体" w:cs="宋体"/>
                <w:b/>
                <w:bCs/>
                <w:szCs w:val="21"/>
              </w:rPr>
              <w:t>账号名称：吉林省冠甲精瑞工程项目管理有限公司</w:t>
            </w:r>
          </w:p>
          <w:p>
            <w:pPr>
              <w:spacing w:line="320" w:lineRule="exact"/>
              <w:jc w:val="left"/>
              <w:rPr>
                <w:rFonts w:ascii="宋体" w:hAnsi="宋体" w:cs="宋体"/>
                <w:b/>
                <w:bCs/>
                <w:szCs w:val="21"/>
              </w:rPr>
            </w:pPr>
            <w:r>
              <w:rPr>
                <w:rFonts w:hint="eastAsia" w:ascii="宋体" w:hAnsi="宋体" w:cs="宋体"/>
                <w:b/>
                <w:bCs/>
                <w:szCs w:val="21"/>
              </w:rPr>
              <w:t>开户行：招商银行股份有限公司长春自由大路支行</w:t>
            </w:r>
          </w:p>
          <w:p>
            <w:pPr>
              <w:spacing w:line="320" w:lineRule="exact"/>
              <w:jc w:val="left"/>
              <w:rPr>
                <w:rFonts w:ascii="宋体" w:hAnsi="宋体" w:cs="宋体"/>
                <w:b/>
                <w:bCs/>
                <w:szCs w:val="21"/>
              </w:rPr>
            </w:pPr>
            <w:r>
              <w:rPr>
                <w:rFonts w:hint="eastAsia" w:ascii="宋体" w:hAnsi="宋体" w:cs="宋体"/>
                <w:b/>
                <w:bCs/>
                <w:szCs w:val="21"/>
              </w:rPr>
              <w:t>账号：431901695210801</w:t>
            </w:r>
          </w:p>
          <w:p>
            <w:pPr>
              <w:spacing w:line="320" w:lineRule="exact"/>
              <w:jc w:val="left"/>
              <w:rPr>
                <w:rFonts w:ascii="宋体" w:hAnsi="宋体" w:cs="宋体"/>
                <w:bCs/>
                <w:szCs w:val="21"/>
              </w:rPr>
            </w:pPr>
            <w:r>
              <w:rPr>
                <w:rFonts w:hint="eastAsia" w:ascii="宋体" w:hAnsi="宋体" w:cs="宋体"/>
                <w:bCs/>
                <w:szCs w:val="21"/>
              </w:rPr>
              <w:t>代理服务费以现金或公对公转账方式均可。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8" w:type="dxa"/>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10.2</w:t>
            </w:r>
          </w:p>
        </w:tc>
        <w:tc>
          <w:tcPr>
            <w:tcW w:w="2351" w:type="dxa"/>
            <w:vAlign w:val="center"/>
          </w:tcPr>
          <w:p>
            <w:pPr>
              <w:pStyle w:val="12"/>
              <w:widowControl/>
              <w:spacing w:line="360" w:lineRule="auto"/>
              <w:rPr>
                <w:rFonts w:ascii="宋体" w:hAnsi="宋体" w:cs="宋体"/>
                <w:bCs/>
                <w:szCs w:val="21"/>
                <w:lang w:val="zh-CN"/>
              </w:rPr>
            </w:pPr>
            <w:r>
              <w:rPr>
                <w:rFonts w:hint="eastAsia" w:ascii="宋体" w:hAnsi="宋体" w:cs="宋体"/>
                <w:bCs/>
                <w:szCs w:val="21"/>
                <w:lang w:val="zh-CN"/>
              </w:rPr>
              <w:t>合同类型及定价方式</w:t>
            </w:r>
          </w:p>
        </w:tc>
        <w:tc>
          <w:tcPr>
            <w:tcW w:w="6302" w:type="dxa"/>
            <w:vAlign w:val="center"/>
          </w:tcPr>
          <w:p>
            <w:pPr>
              <w:pStyle w:val="12"/>
              <w:widowControl/>
              <w:adjustRightInd w:val="0"/>
              <w:snapToGrid w:val="0"/>
              <w:spacing w:line="288" w:lineRule="auto"/>
              <w:jc w:val="left"/>
              <w:rPr>
                <w:rFonts w:ascii="宋体" w:hAnsi="宋体" w:cs="宋体"/>
                <w:bCs/>
                <w:szCs w:val="21"/>
              </w:rPr>
            </w:pPr>
            <w:r>
              <w:rPr>
                <w:rFonts w:hint="eastAsia" w:ascii="宋体" w:hAnsi="宋体" w:cs="宋体"/>
                <w:bCs/>
                <w:szCs w:val="21"/>
              </w:rPr>
              <w:t>本项目为固定总价合同。</w:t>
            </w:r>
          </w:p>
          <w:p>
            <w:pPr>
              <w:pStyle w:val="12"/>
              <w:widowControl/>
              <w:adjustRightInd w:val="0"/>
              <w:snapToGrid w:val="0"/>
              <w:spacing w:line="288" w:lineRule="auto"/>
              <w:jc w:val="left"/>
              <w:rPr>
                <w:rFonts w:ascii="宋体" w:hAnsi="宋体" w:cs="宋体"/>
                <w:bCs/>
                <w:szCs w:val="21"/>
              </w:rPr>
            </w:pPr>
            <w:r>
              <w:rPr>
                <w:rFonts w:hint="eastAsia" w:ascii="宋体" w:hAnsi="宋体" w:cs="宋体"/>
                <w:bCs/>
                <w:szCs w:val="21"/>
              </w:rPr>
              <w:t>说明：供应商的报价应当包含为完成本项目全部工作所需的一切费用，包括成本、利润、税金等。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8" w:type="dxa"/>
            <w:vAlign w:val="center"/>
          </w:tcPr>
          <w:p>
            <w:pPr>
              <w:autoSpaceDE w:val="0"/>
              <w:autoSpaceDN w:val="0"/>
              <w:adjustRightInd w:val="0"/>
              <w:spacing w:line="320" w:lineRule="exact"/>
              <w:jc w:val="center"/>
              <w:rPr>
                <w:rFonts w:ascii="宋体" w:hAnsi="宋体" w:cs="宋体"/>
                <w:bCs/>
                <w:szCs w:val="21"/>
              </w:rPr>
            </w:pPr>
            <w:r>
              <w:rPr>
                <w:rFonts w:hint="eastAsia" w:ascii="宋体" w:hAnsi="宋体" w:cs="宋体"/>
                <w:bCs/>
                <w:szCs w:val="21"/>
              </w:rPr>
              <w:t>10.3</w:t>
            </w:r>
          </w:p>
        </w:tc>
        <w:tc>
          <w:tcPr>
            <w:tcW w:w="2351" w:type="dxa"/>
            <w:vAlign w:val="center"/>
          </w:tcPr>
          <w:p>
            <w:pPr>
              <w:pStyle w:val="12"/>
              <w:widowControl/>
              <w:adjustRightInd w:val="0"/>
              <w:snapToGrid w:val="0"/>
              <w:spacing w:line="288" w:lineRule="auto"/>
              <w:jc w:val="left"/>
              <w:rPr>
                <w:rFonts w:ascii="宋体" w:hAnsi="宋体" w:cs="宋体"/>
                <w:bCs/>
                <w:szCs w:val="21"/>
                <w:lang w:val="zh-CN"/>
              </w:rPr>
            </w:pPr>
            <w:r>
              <w:rPr>
                <w:rFonts w:hint="eastAsia" w:ascii="宋体" w:hAnsi="宋体" w:cs="宋体"/>
                <w:bCs/>
                <w:szCs w:val="21"/>
              </w:rPr>
              <w:t>包装和运输要求</w:t>
            </w:r>
          </w:p>
        </w:tc>
        <w:tc>
          <w:tcPr>
            <w:tcW w:w="6302" w:type="dxa"/>
            <w:vAlign w:val="center"/>
          </w:tcPr>
          <w:p>
            <w:pPr>
              <w:pStyle w:val="12"/>
              <w:widowControl/>
              <w:adjustRightInd w:val="0"/>
              <w:snapToGrid w:val="0"/>
              <w:spacing w:line="288" w:lineRule="auto"/>
              <w:jc w:val="left"/>
              <w:rPr>
                <w:rFonts w:ascii="宋体" w:hAnsi="宋体" w:cs="宋体"/>
                <w:bCs/>
                <w:szCs w:val="21"/>
              </w:rPr>
            </w:pPr>
            <w:r>
              <w:rPr>
                <w:rFonts w:hint="eastAsia" w:ascii="宋体" w:hAnsi="宋体" w:cs="宋体"/>
                <w:bCs/>
                <w:szCs w:val="21"/>
              </w:rPr>
              <w:t>符合《商品包装政府采购需求标准（试行）》和《快递包装政府采购需求标准（试行）》</w:t>
            </w:r>
            <w:r>
              <w:rPr>
                <w:rFonts w:hint="eastAsia" w:ascii="宋体" w:hAnsi="宋体" w:cs="宋体"/>
                <w:b/>
                <w:szCs w:val="21"/>
              </w:rPr>
              <w:t>（提供法定代表人或授权代表人签字或盖章并加盖公章的承诺书）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8" w:type="dxa"/>
            <w:vAlign w:val="center"/>
          </w:tcPr>
          <w:p>
            <w:pPr>
              <w:autoSpaceDE w:val="0"/>
              <w:autoSpaceDN w:val="0"/>
              <w:adjustRightInd w:val="0"/>
              <w:spacing w:line="320" w:lineRule="exact"/>
              <w:jc w:val="center"/>
              <w:rPr>
                <w:rFonts w:ascii="宋体" w:hAnsi="宋体" w:cs="宋体"/>
                <w:bCs/>
                <w:szCs w:val="21"/>
              </w:rPr>
            </w:pPr>
            <w:r>
              <w:rPr>
                <w:rFonts w:hint="eastAsia" w:ascii="宋体" w:hAnsi="宋体" w:cs="宋体"/>
                <w:bCs/>
                <w:szCs w:val="21"/>
              </w:rPr>
              <w:t>10.4</w:t>
            </w:r>
          </w:p>
        </w:tc>
        <w:tc>
          <w:tcPr>
            <w:tcW w:w="2351" w:type="dxa"/>
            <w:vAlign w:val="center"/>
          </w:tcPr>
          <w:p>
            <w:pPr>
              <w:pStyle w:val="12"/>
              <w:widowControl/>
              <w:adjustRightInd w:val="0"/>
              <w:snapToGrid w:val="0"/>
              <w:spacing w:line="288" w:lineRule="auto"/>
              <w:jc w:val="left"/>
              <w:rPr>
                <w:rFonts w:ascii="宋体" w:hAnsi="宋体" w:cs="宋体"/>
                <w:bCs/>
                <w:szCs w:val="21"/>
              </w:rPr>
            </w:pPr>
            <w:r>
              <w:rPr>
                <w:rFonts w:hint="eastAsia" w:ascii="宋体" w:hAnsi="宋体" w:cs="宋体"/>
                <w:bCs/>
                <w:szCs w:val="21"/>
              </w:rPr>
              <w:t>保险要求</w:t>
            </w:r>
          </w:p>
        </w:tc>
        <w:tc>
          <w:tcPr>
            <w:tcW w:w="6302" w:type="dxa"/>
            <w:vAlign w:val="center"/>
          </w:tcPr>
          <w:p>
            <w:pPr>
              <w:pStyle w:val="12"/>
              <w:widowControl/>
              <w:adjustRightInd w:val="0"/>
              <w:snapToGrid w:val="0"/>
              <w:spacing w:line="288" w:lineRule="auto"/>
              <w:jc w:val="left"/>
              <w:rPr>
                <w:rFonts w:ascii="宋体" w:hAnsi="宋体" w:cs="宋体"/>
                <w:bCs/>
                <w:szCs w:val="21"/>
              </w:rPr>
            </w:pPr>
            <w:r>
              <w:rPr>
                <w:rFonts w:hint="eastAsia" w:ascii="宋体" w:hAnsi="宋体" w:cs="宋体"/>
                <w:bCs/>
                <w:color w:val="000000"/>
                <w:szCs w:val="21"/>
                <w:highlight w:val="white"/>
                <w:lang w:val="zh-CN"/>
              </w:rPr>
              <w:t>货物在系统安装调试验收合格前的保险由中标人负责，中标人负责其派出的现场服务人员人身意外保险。</w:t>
            </w:r>
            <w:r>
              <w:rPr>
                <w:rFonts w:hint="eastAsia" w:ascii="宋体" w:hAnsi="宋体" w:cs="宋体"/>
                <w:b/>
                <w:szCs w:val="21"/>
              </w:rPr>
              <w:t>（提供法定代表人或授权代表人签字或盖章并加盖公章的承诺书）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138" w:type="dxa"/>
            <w:vAlign w:val="center"/>
          </w:tcPr>
          <w:p>
            <w:pPr>
              <w:autoSpaceDE w:val="0"/>
              <w:autoSpaceDN w:val="0"/>
              <w:adjustRightInd w:val="0"/>
              <w:spacing w:line="320" w:lineRule="exact"/>
              <w:jc w:val="center"/>
              <w:rPr>
                <w:rFonts w:ascii="宋体" w:hAnsi="宋体" w:cs="宋体"/>
                <w:bCs/>
                <w:szCs w:val="21"/>
              </w:rPr>
            </w:pPr>
            <w:r>
              <w:rPr>
                <w:rFonts w:hint="eastAsia" w:ascii="宋体" w:hAnsi="宋体" w:cs="宋体"/>
                <w:bCs/>
                <w:szCs w:val="21"/>
              </w:rPr>
              <w:t>10.5</w:t>
            </w:r>
          </w:p>
        </w:tc>
        <w:tc>
          <w:tcPr>
            <w:tcW w:w="2351" w:type="dxa"/>
            <w:vAlign w:val="center"/>
          </w:tcPr>
          <w:p>
            <w:pPr>
              <w:pStyle w:val="12"/>
              <w:widowControl/>
              <w:adjustRightInd w:val="0"/>
              <w:snapToGrid w:val="0"/>
              <w:spacing w:line="288" w:lineRule="auto"/>
              <w:jc w:val="left"/>
              <w:rPr>
                <w:rFonts w:ascii="宋体" w:hAnsi="宋体" w:cs="宋体"/>
                <w:bCs/>
                <w:szCs w:val="21"/>
              </w:rPr>
            </w:pPr>
            <w:r>
              <w:rPr>
                <w:rFonts w:hint="eastAsia" w:ascii="宋体" w:hAnsi="宋体" w:cs="宋体"/>
                <w:bCs/>
                <w:szCs w:val="21"/>
              </w:rPr>
              <w:t>付款条件（进度和方式）</w:t>
            </w:r>
          </w:p>
        </w:tc>
        <w:tc>
          <w:tcPr>
            <w:tcW w:w="6302" w:type="dxa"/>
            <w:vAlign w:val="center"/>
          </w:tcPr>
          <w:p>
            <w:pPr>
              <w:pStyle w:val="12"/>
              <w:widowControl/>
              <w:adjustRightInd w:val="0"/>
              <w:snapToGrid w:val="0"/>
              <w:spacing w:line="288" w:lineRule="auto"/>
              <w:jc w:val="left"/>
              <w:rPr>
                <w:rFonts w:hint="eastAsia" w:ascii="宋体" w:hAnsi="宋体" w:cs="宋体"/>
                <w:bCs/>
                <w:szCs w:val="21"/>
              </w:rPr>
            </w:pPr>
            <w:r>
              <w:rPr>
                <w:rFonts w:hint="eastAsia" w:ascii="宋体" w:hAnsi="宋体" w:cs="宋体"/>
                <w:bCs/>
                <w:szCs w:val="21"/>
              </w:rPr>
              <w:t>项目建设完成，涉及的硬件设备和软件均运行正常，验收合格，且完成相关技术培训后付项目全款90%；项目验收合格之日起1年后，所有产品无质量问题，一次付清10%余款。</w:t>
            </w:r>
          </w:p>
          <w:p>
            <w:pPr>
              <w:pStyle w:val="12"/>
              <w:widowControl/>
              <w:adjustRightInd w:val="0"/>
              <w:snapToGrid w:val="0"/>
              <w:spacing w:line="288" w:lineRule="auto"/>
              <w:jc w:val="left"/>
              <w:rPr>
                <w:rFonts w:ascii="宋体" w:hAnsi="宋体" w:cs="宋体"/>
                <w:bCs/>
                <w:szCs w:val="21"/>
              </w:rPr>
            </w:pPr>
            <w:r>
              <w:rPr>
                <w:rFonts w:hint="eastAsia" w:ascii="宋体" w:hAnsi="宋体" w:cs="宋体"/>
                <w:bCs/>
                <w:szCs w:val="21"/>
              </w:rPr>
              <w:t>本项目合同款通过国库集中支付，采购人按约定的付款时间向长春市财政局提出资金支付申请，则视同采购人已履行了合同付款</w:t>
            </w:r>
            <w:r>
              <w:rPr>
                <w:rFonts w:hint="eastAsia" w:ascii="宋体" w:hAnsi="宋体" w:cs="宋体"/>
                <w:bCs/>
                <w:szCs w:val="21"/>
                <w:lang w:eastAsia="zh-CN"/>
              </w:rPr>
              <w:t>义务</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138" w:type="dxa"/>
            <w:vAlign w:val="center"/>
          </w:tcPr>
          <w:p>
            <w:pPr>
              <w:pStyle w:val="12"/>
              <w:widowControl/>
              <w:adjustRightInd w:val="0"/>
              <w:snapToGrid w:val="0"/>
              <w:spacing w:line="288" w:lineRule="auto"/>
              <w:jc w:val="center"/>
              <w:rPr>
                <w:rFonts w:ascii="宋体" w:hAnsi="宋体" w:cs="宋体"/>
                <w:bCs/>
                <w:szCs w:val="21"/>
              </w:rPr>
            </w:pPr>
            <w:r>
              <w:rPr>
                <w:rFonts w:hint="eastAsia" w:ascii="宋体" w:hAnsi="宋体" w:cs="宋体"/>
                <w:bCs/>
                <w:szCs w:val="21"/>
              </w:rPr>
              <w:t>10.6</w:t>
            </w:r>
          </w:p>
        </w:tc>
        <w:tc>
          <w:tcPr>
            <w:tcW w:w="2351" w:type="dxa"/>
            <w:vAlign w:val="center"/>
          </w:tcPr>
          <w:p>
            <w:pPr>
              <w:pStyle w:val="12"/>
              <w:widowControl/>
              <w:adjustRightInd w:val="0"/>
              <w:snapToGrid w:val="0"/>
              <w:spacing w:line="288" w:lineRule="auto"/>
              <w:jc w:val="left"/>
              <w:rPr>
                <w:rFonts w:ascii="宋体" w:hAnsi="宋体" w:cs="宋体"/>
                <w:bCs/>
                <w:szCs w:val="21"/>
              </w:rPr>
            </w:pPr>
            <w:r>
              <w:rPr>
                <w:rFonts w:hint="eastAsia" w:ascii="宋体" w:hAnsi="宋体" w:cs="宋体"/>
                <w:bCs/>
                <w:szCs w:val="21"/>
              </w:rPr>
              <w:t>售后服务</w:t>
            </w:r>
          </w:p>
        </w:tc>
        <w:tc>
          <w:tcPr>
            <w:tcW w:w="6302" w:type="dxa"/>
            <w:vAlign w:val="center"/>
          </w:tcPr>
          <w:p>
            <w:pPr>
              <w:pStyle w:val="12"/>
              <w:widowControl/>
              <w:adjustRightInd w:val="0"/>
              <w:snapToGrid w:val="0"/>
              <w:spacing w:line="288" w:lineRule="auto"/>
              <w:jc w:val="left"/>
              <w:rPr>
                <w:rFonts w:ascii="宋体" w:hAnsi="宋体" w:cs="宋体"/>
                <w:bCs/>
                <w:szCs w:val="21"/>
              </w:rPr>
            </w:pPr>
            <w:r>
              <w:rPr>
                <w:rFonts w:hint="eastAsia" w:ascii="宋体" w:hAnsi="宋体" w:cs="宋体"/>
                <w:bCs/>
                <w:szCs w:val="21"/>
              </w:rPr>
              <w:t>1.免费质保期：提供至少</w:t>
            </w:r>
            <w:r>
              <w:rPr>
                <w:rFonts w:hint="eastAsia" w:ascii="宋体" w:hAnsi="宋体" w:cs="宋体"/>
                <w:bCs/>
                <w:szCs w:val="21"/>
                <w:lang w:val="en-US" w:eastAsia="zh-CN"/>
              </w:rPr>
              <w:t>3</w:t>
            </w:r>
            <w:r>
              <w:rPr>
                <w:rFonts w:hint="eastAsia" w:ascii="宋体" w:hAnsi="宋体" w:cs="宋体"/>
                <w:bCs/>
                <w:szCs w:val="21"/>
              </w:rPr>
              <w:t>年免费的硬件质保、质保期满后，以优惠价提供维修及换件服务；提供软件终身免费技术支持和升级。质保期自验收合格之日起计算。</w:t>
            </w:r>
          </w:p>
          <w:p>
            <w:pPr>
              <w:pStyle w:val="12"/>
              <w:widowControl/>
              <w:adjustRightInd w:val="0"/>
              <w:snapToGrid w:val="0"/>
              <w:spacing w:line="288" w:lineRule="auto"/>
              <w:jc w:val="left"/>
              <w:rPr>
                <w:rFonts w:hint="eastAsia" w:ascii="宋体" w:hAnsi="宋体" w:cs="宋体"/>
                <w:bCs/>
                <w:szCs w:val="21"/>
              </w:rPr>
            </w:pPr>
            <w:r>
              <w:rPr>
                <w:rFonts w:hint="eastAsia" w:ascii="宋体" w:hAnsi="宋体" w:cs="宋体"/>
                <w:bCs/>
                <w:szCs w:val="21"/>
              </w:rPr>
              <w:t>2.售后服务保障或故障响应时间要求：出现故障必须2小时内响应，24小时修复故障。</w:t>
            </w:r>
          </w:p>
          <w:p>
            <w:pPr>
              <w:pStyle w:val="12"/>
              <w:widowControl/>
              <w:adjustRightInd w:val="0"/>
              <w:snapToGrid w:val="0"/>
              <w:spacing w:line="288" w:lineRule="auto"/>
              <w:jc w:val="left"/>
              <w:rPr>
                <w:rFonts w:ascii="宋体" w:hAnsi="宋体" w:cs="宋体"/>
                <w:bCs/>
                <w:szCs w:val="21"/>
              </w:rPr>
            </w:pPr>
            <w:r>
              <w:rPr>
                <w:rFonts w:hint="eastAsia" w:ascii="宋体" w:hAnsi="宋体" w:cs="宋体"/>
                <w:bCs/>
                <w:szCs w:val="21"/>
                <w:lang w:val="en-US" w:eastAsia="zh-CN"/>
              </w:rPr>
              <w:t>3.中标人须保证对学校有关师生的技术的培训，培训人数不少于2人，培训时间不少于7天，每天不少于6小时，培训方案要求具备完整的人员培训的目标、对象、课程体系、培训方法等。</w:t>
            </w:r>
            <w:r>
              <w:rPr>
                <w:rFonts w:hint="eastAsia" w:ascii="宋体" w:hAnsi="宋体" w:cs="宋体"/>
                <w:b/>
                <w:szCs w:val="21"/>
              </w:rPr>
              <w:t>（提供法定代表人或授权代表人签字或盖章并加盖公章的承诺书）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38" w:type="dxa"/>
            <w:vAlign w:val="center"/>
          </w:tcPr>
          <w:p>
            <w:pPr>
              <w:pStyle w:val="12"/>
              <w:widowControl/>
              <w:adjustRightInd w:val="0"/>
              <w:snapToGrid w:val="0"/>
              <w:spacing w:line="288" w:lineRule="auto"/>
              <w:jc w:val="center"/>
              <w:rPr>
                <w:rFonts w:ascii="宋体" w:hAnsi="宋体" w:cs="宋体"/>
                <w:bCs/>
                <w:szCs w:val="21"/>
              </w:rPr>
            </w:pPr>
            <w:r>
              <w:rPr>
                <w:rFonts w:hint="eastAsia" w:ascii="宋体" w:hAnsi="宋体" w:cs="宋体"/>
                <w:bCs/>
                <w:szCs w:val="21"/>
              </w:rPr>
              <w:t>10.7</w:t>
            </w:r>
          </w:p>
        </w:tc>
        <w:tc>
          <w:tcPr>
            <w:tcW w:w="2351" w:type="dxa"/>
            <w:vAlign w:val="center"/>
          </w:tcPr>
          <w:p>
            <w:pPr>
              <w:autoSpaceDE w:val="0"/>
              <w:autoSpaceDN w:val="0"/>
              <w:adjustRightInd w:val="0"/>
              <w:spacing w:line="320" w:lineRule="exact"/>
              <w:jc w:val="left"/>
              <w:rPr>
                <w:rFonts w:ascii="宋体" w:hAnsi="宋体" w:cs="宋体"/>
                <w:bCs/>
                <w:szCs w:val="21"/>
                <w:lang w:val="zh-CN"/>
              </w:rPr>
            </w:pPr>
            <w:r>
              <w:rPr>
                <w:rFonts w:hint="eastAsia" w:ascii="宋体" w:hAnsi="宋体" w:cs="宋体"/>
                <w:color w:val="000000"/>
                <w:spacing w:val="-3"/>
                <w:szCs w:val="21"/>
                <w:highlight w:val="white"/>
              </w:rPr>
              <w:t>中小企业行业划分</w:t>
            </w:r>
          </w:p>
        </w:tc>
        <w:tc>
          <w:tcPr>
            <w:tcW w:w="6302" w:type="dxa"/>
            <w:vAlign w:val="center"/>
          </w:tcPr>
          <w:p>
            <w:pPr>
              <w:autoSpaceDE w:val="0"/>
              <w:autoSpaceDN w:val="0"/>
              <w:adjustRightInd w:val="0"/>
              <w:spacing w:line="320" w:lineRule="exact"/>
              <w:jc w:val="left"/>
              <w:rPr>
                <w:rFonts w:ascii="宋体" w:hAnsi="宋体" w:cs="宋体"/>
                <w:szCs w:val="21"/>
              </w:rPr>
            </w:pPr>
            <w:r>
              <w:rPr>
                <w:rFonts w:hint="eastAsia" w:ascii="宋体" w:hAnsi="宋体" w:cs="宋体"/>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38" w:type="dxa"/>
            <w:vAlign w:val="center"/>
          </w:tcPr>
          <w:p>
            <w:pPr>
              <w:pStyle w:val="12"/>
              <w:widowControl/>
              <w:adjustRightInd w:val="0"/>
              <w:snapToGrid w:val="0"/>
              <w:spacing w:line="288" w:lineRule="auto"/>
              <w:jc w:val="center"/>
              <w:rPr>
                <w:rFonts w:ascii="宋体" w:hAnsi="宋体" w:cs="宋体"/>
                <w:bCs/>
                <w:szCs w:val="21"/>
              </w:rPr>
            </w:pPr>
            <w:r>
              <w:rPr>
                <w:rFonts w:hint="eastAsia" w:ascii="宋体" w:hAnsi="宋体" w:cs="宋体"/>
                <w:bCs/>
                <w:szCs w:val="21"/>
              </w:rPr>
              <w:t>10.8</w:t>
            </w:r>
          </w:p>
        </w:tc>
        <w:tc>
          <w:tcPr>
            <w:tcW w:w="2351" w:type="dxa"/>
            <w:vAlign w:val="center"/>
          </w:tcPr>
          <w:p>
            <w:pPr>
              <w:autoSpaceDE w:val="0"/>
              <w:autoSpaceDN w:val="0"/>
              <w:adjustRightInd w:val="0"/>
              <w:spacing w:line="320" w:lineRule="exact"/>
              <w:jc w:val="left"/>
              <w:rPr>
                <w:rFonts w:ascii="宋体" w:hAnsi="宋体" w:cs="宋体"/>
                <w:color w:val="000000"/>
                <w:spacing w:val="-3"/>
                <w:szCs w:val="21"/>
                <w:highlight w:val="white"/>
              </w:rPr>
            </w:pPr>
            <w:r>
              <w:rPr>
                <w:rFonts w:hint="eastAsia" w:ascii="宋体" w:hAnsi="宋体" w:cs="宋体"/>
                <w:color w:val="000000"/>
                <w:spacing w:val="-3"/>
                <w:szCs w:val="21"/>
                <w:highlight w:val="white"/>
              </w:rPr>
              <w:t>核心产品</w:t>
            </w:r>
          </w:p>
        </w:tc>
        <w:tc>
          <w:tcPr>
            <w:tcW w:w="6302" w:type="dxa"/>
            <w:vAlign w:val="center"/>
          </w:tcPr>
          <w:p>
            <w:pPr>
              <w:autoSpaceDE w:val="0"/>
              <w:autoSpaceDN w:val="0"/>
              <w:adjustRightInd w:val="0"/>
              <w:spacing w:line="320" w:lineRule="exact"/>
              <w:jc w:val="left"/>
              <w:rPr>
                <w:rFonts w:ascii="宋体" w:hAnsi="宋体" w:cs="宋体"/>
                <w:color w:val="000000"/>
                <w:spacing w:val="-3"/>
                <w:szCs w:val="21"/>
                <w:highlight w:val="white"/>
              </w:rPr>
            </w:pPr>
            <w:r>
              <w:rPr>
                <w:rFonts w:hint="eastAsia" w:ascii="宋体" w:hAnsi="宋体" w:cs="宋体"/>
                <w:b/>
                <w:bCs/>
                <w:szCs w:val="21"/>
                <w:highlight w:val="none"/>
              </w:rPr>
              <w:t>车辆电气控制原理虚拟仿真实训系统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38" w:type="dxa"/>
            <w:vAlign w:val="center"/>
          </w:tcPr>
          <w:p>
            <w:pPr>
              <w:pStyle w:val="12"/>
              <w:widowControl/>
              <w:adjustRightInd w:val="0"/>
              <w:snapToGrid w:val="0"/>
              <w:spacing w:line="288" w:lineRule="auto"/>
              <w:jc w:val="center"/>
              <w:rPr>
                <w:rFonts w:ascii="宋体" w:hAnsi="宋体" w:cs="宋体"/>
                <w:bCs/>
                <w:szCs w:val="21"/>
              </w:rPr>
            </w:pPr>
            <w:r>
              <w:rPr>
                <w:rFonts w:hint="eastAsia" w:ascii="宋体" w:hAnsi="宋体" w:cs="宋体"/>
                <w:bCs/>
                <w:szCs w:val="21"/>
              </w:rPr>
              <w:t>10.9</w:t>
            </w:r>
          </w:p>
        </w:tc>
        <w:tc>
          <w:tcPr>
            <w:tcW w:w="2351" w:type="dxa"/>
            <w:vAlign w:val="center"/>
          </w:tcPr>
          <w:p>
            <w:pPr>
              <w:autoSpaceDE w:val="0"/>
              <w:autoSpaceDN w:val="0"/>
              <w:adjustRightInd w:val="0"/>
              <w:spacing w:line="320" w:lineRule="exact"/>
              <w:jc w:val="left"/>
              <w:rPr>
                <w:rFonts w:ascii="宋体" w:hAnsi="宋体" w:cs="宋体"/>
                <w:color w:val="000000"/>
                <w:spacing w:val="-3"/>
                <w:szCs w:val="21"/>
                <w:highlight w:val="white"/>
              </w:rPr>
            </w:pPr>
            <w:r>
              <w:rPr>
                <w:rFonts w:hint="eastAsia" w:ascii="宋体" w:hAnsi="宋体" w:cs="宋体"/>
                <w:color w:val="000000"/>
                <w:spacing w:val="-3"/>
                <w:szCs w:val="21"/>
                <w:highlight w:val="white"/>
              </w:rPr>
              <w:t>进口产品</w:t>
            </w:r>
          </w:p>
        </w:tc>
        <w:tc>
          <w:tcPr>
            <w:tcW w:w="6302" w:type="dxa"/>
            <w:vAlign w:val="center"/>
          </w:tcPr>
          <w:p>
            <w:pPr>
              <w:autoSpaceDE w:val="0"/>
              <w:autoSpaceDN w:val="0"/>
              <w:adjustRightInd w:val="0"/>
              <w:spacing w:line="320" w:lineRule="exact"/>
              <w:jc w:val="left"/>
              <w:rPr>
                <w:rFonts w:ascii="宋体" w:hAnsi="宋体" w:cs="宋体"/>
                <w:szCs w:val="21"/>
              </w:rPr>
            </w:pPr>
            <w:r>
              <w:rPr>
                <w:rFonts w:hint="eastAsia" w:ascii="宋体" w:hAnsi="宋体" w:cs="宋体"/>
                <w:szCs w:val="21"/>
              </w:rPr>
              <w:t>本项目不允许进口产品投标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91" w:type="dxa"/>
            <w:gridSpan w:val="3"/>
            <w:vAlign w:val="center"/>
          </w:tcPr>
          <w:p>
            <w:pPr>
              <w:spacing w:line="320" w:lineRule="exact"/>
              <w:jc w:val="center"/>
              <w:rPr>
                <w:rFonts w:ascii="宋体" w:hAnsi="宋体" w:cs="宋体"/>
                <w:bCs/>
                <w:szCs w:val="21"/>
                <w:lang w:val="zh-CN"/>
              </w:rPr>
            </w:pPr>
            <w:r>
              <w:rPr>
                <w:rFonts w:hint="eastAsia" w:ascii="宋体" w:hAnsi="宋体" w:cs="宋体"/>
                <w:bCs/>
                <w:szCs w:val="21"/>
                <w:lang w:val="zh-CN"/>
              </w:rPr>
              <w:t>竞争性磋商公告与竞争性磋商文件有不一致处，以竞争性磋商文件为准。</w:t>
            </w:r>
          </w:p>
        </w:tc>
      </w:tr>
    </w:tbl>
    <w:p>
      <w:pPr>
        <w:autoSpaceDE w:val="0"/>
        <w:autoSpaceDN w:val="0"/>
        <w:adjustRightInd w:val="0"/>
        <w:snapToGrid w:val="0"/>
        <w:spacing w:afterLines="50"/>
        <w:jc w:val="center"/>
        <w:outlineLvl w:val="1"/>
        <w:rPr>
          <w:rFonts w:ascii="宋体" w:hAnsi="宋体" w:cs="宋体"/>
          <w:kern w:val="0"/>
          <w:sz w:val="28"/>
          <w:szCs w:val="28"/>
        </w:rPr>
      </w:pPr>
      <w:r>
        <w:rPr>
          <w:rFonts w:hint="eastAsia" w:ascii="宋体" w:hAnsi="宋体" w:cs="宋体"/>
          <w:b/>
          <w:szCs w:val="21"/>
          <w:lang w:val="zh-CN"/>
        </w:rPr>
        <w:br w:type="page"/>
      </w:r>
      <w:bookmarkStart w:id="17" w:name="_Toc8496"/>
      <w:bookmarkStart w:id="18" w:name="_Toc26328"/>
      <w:r>
        <w:rPr>
          <w:rFonts w:hint="eastAsia" w:ascii="宋体" w:hAnsi="宋体" w:cs="宋体"/>
          <w:kern w:val="0"/>
          <w:sz w:val="28"/>
          <w:szCs w:val="28"/>
        </w:rPr>
        <w:t>（二）供应商须知</w:t>
      </w:r>
      <w:bookmarkEnd w:id="17"/>
      <w:bookmarkEnd w:id="18"/>
    </w:p>
    <w:p>
      <w:pPr>
        <w:numPr>
          <w:ilvl w:val="0"/>
          <w:numId w:val="1"/>
        </w:numPr>
        <w:autoSpaceDE w:val="0"/>
        <w:autoSpaceDN w:val="0"/>
        <w:adjustRightInd w:val="0"/>
        <w:spacing w:line="360" w:lineRule="auto"/>
        <w:outlineLvl w:val="2"/>
        <w:rPr>
          <w:rFonts w:ascii="宋体" w:hAnsi="宋体" w:cs="宋体"/>
          <w:kern w:val="0"/>
          <w:szCs w:val="21"/>
        </w:rPr>
      </w:pPr>
      <w:bookmarkStart w:id="19" w:name="_Toc23205"/>
      <w:bookmarkStart w:id="20" w:name="_Toc195921793"/>
      <w:bookmarkStart w:id="21" w:name="_Toc21866"/>
      <w:r>
        <w:rPr>
          <w:rFonts w:hint="eastAsia" w:ascii="宋体" w:hAnsi="宋体" w:cs="宋体"/>
          <w:kern w:val="0"/>
          <w:szCs w:val="21"/>
        </w:rPr>
        <w:t>总则</w:t>
      </w:r>
      <w:bookmarkEnd w:id="19"/>
      <w:bookmarkEnd w:id="20"/>
      <w:bookmarkEnd w:id="21"/>
    </w:p>
    <w:p>
      <w:pPr>
        <w:numPr>
          <w:ilvl w:val="1"/>
          <w:numId w:val="1"/>
        </w:numPr>
        <w:autoSpaceDE w:val="0"/>
        <w:autoSpaceDN w:val="0"/>
        <w:adjustRightInd w:val="0"/>
        <w:snapToGrid w:val="0"/>
        <w:spacing w:line="360" w:lineRule="auto"/>
        <w:rPr>
          <w:rFonts w:ascii="宋体" w:hAnsi="宋体" w:cs="宋体"/>
          <w:kern w:val="0"/>
          <w:szCs w:val="21"/>
        </w:rPr>
      </w:pPr>
      <w:bookmarkStart w:id="22" w:name="_Toc195921794"/>
      <w:r>
        <w:rPr>
          <w:rFonts w:hint="eastAsia" w:ascii="宋体" w:hAnsi="宋体" w:cs="宋体"/>
          <w:kern w:val="0"/>
          <w:szCs w:val="21"/>
        </w:rPr>
        <w:t>项目概况</w:t>
      </w:r>
      <w:bookmarkEnd w:id="22"/>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根据《中华人民共和国政府采购法》和《政府采购竞争性磋商采购方式管理暂行办法》等有关法律、法规和规章的规定，对本招标项目进行招标。</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采购人：</w:t>
      </w:r>
      <w:r>
        <w:rPr>
          <w:rFonts w:hint="eastAsia" w:ascii="宋体" w:hAnsi="宋体" w:cs="宋体"/>
          <w:szCs w:val="21"/>
        </w:rPr>
        <w:t>指依法进行政府采购的国家机关、事业单位、团体组织。本项目采购人见招标公告</w:t>
      </w:r>
      <w:r>
        <w:rPr>
          <w:rFonts w:hint="eastAsia" w:ascii="宋体" w:hAnsi="宋体" w:cs="宋体"/>
          <w:kern w:val="0"/>
          <w:szCs w:val="21"/>
        </w:rPr>
        <w:t>。</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采购代理机构：</w:t>
      </w:r>
      <w:r>
        <w:rPr>
          <w:rFonts w:hint="eastAsia" w:ascii="宋体" w:hAnsi="宋体" w:cs="宋体"/>
          <w:szCs w:val="21"/>
        </w:rPr>
        <w:t>指采购人委托的采购代理机构。本项目采购代理机构见招标公告</w:t>
      </w:r>
      <w:r>
        <w:rPr>
          <w:rFonts w:hint="eastAsia" w:ascii="宋体" w:hAnsi="宋体" w:cs="宋体"/>
          <w:kern w:val="0"/>
          <w:szCs w:val="21"/>
        </w:rPr>
        <w:t>。</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采购项目名称及编号：</w:t>
      </w:r>
    </w:p>
    <w:p>
      <w:pPr>
        <w:autoSpaceDE w:val="0"/>
        <w:autoSpaceDN w:val="0"/>
        <w:adjustRightInd w:val="0"/>
        <w:snapToGrid w:val="0"/>
        <w:spacing w:line="360" w:lineRule="auto"/>
        <w:ind w:left="1079"/>
        <w:rPr>
          <w:rFonts w:ascii="宋体" w:hAnsi="宋体" w:cs="宋体"/>
          <w:szCs w:val="21"/>
        </w:rPr>
      </w:pPr>
      <w:r>
        <w:rPr>
          <w:rFonts w:hint="eastAsia" w:ascii="宋体" w:hAnsi="宋体" w:cs="宋体"/>
          <w:szCs w:val="21"/>
        </w:rPr>
        <w:t>见招标公告。</w:t>
      </w:r>
    </w:p>
    <w:p>
      <w:pPr>
        <w:numPr>
          <w:ilvl w:val="1"/>
          <w:numId w:val="1"/>
        </w:numPr>
        <w:autoSpaceDE w:val="0"/>
        <w:autoSpaceDN w:val="0"/>
        <w:adjustRightInd w:val="0"/>
        <w:snapToGrid w:val="0"/>
        <w:spacing w:line="360" w:lineRule="auto"/>
        <w:rPr>
          <w:rFonts w:ascii="宋体" w:hAnsi="宋体" w:cs="宋体"/>
          <w:kern w:val="0"/>
          <w:szCs w:val="21"/>
        </w:rPr>
      </w:pPr>
      <w:bookmarkStart w:id="23" w:name="_Toc195921795"/>
      <w:r>
        <w:rPr>
          <w:rFonts w:hint="eastAsia" w:ascii="宋体" w:hAnsi="宋体" w:cs="宋体"/>
          <w:kern w:val="0"/>
          <w:szCs w:val="21"/>
        </w:rPr>
        <w:t>采购预算</w:t>
      </w:r>
      <w:bookmarkEnd w:id="23"/>
    </w:p>
    <w:p>
      <w:pPr>
        <w:autoSpaceDE w:val="0"/>
        <w:autoSpaceDN w:val="0"/>
        <w:adjustRightInd w:val="0"/>
        <w:snapToGrid w:val="0"/>
        <w:spacing w:line="360" w:lineRule="auto"/>
        <w:ind w:left="1079"/>
        <w:rPr>
          <w:rFonts w:ascii="宋体" w:hAnsi="宋体" w:cs="宋体"/>
          <w:szCs w:val="21"/>
        </w:rPr>
      </w:pPr>
      <w:r>
        <w:rPr>
          <w:rFonts w:hint="eastAsia" w:ascii="宋体" w:hAnsi="宋体" w:cs="宋体"/>
          <w:szCs w:val="21"/>
        </w:rPr>
        <w:t>见招标公告。</w:t>
      </w:r>
    </w:p>
    <w:p>
      <w:pPr>
        <w:numPr>
          <w:ilvl w:val="1"/>
          <w:numId w:val="1"/>
        </w:numPr>
        <w:autoSpaceDE w:val="0"/>
        <w:autoSpaceDN w:val="0"/>
        <w:adjustRightInd w:val="0"/>
        <w:snapToGrid w:val="0"/>
        <w:spacing w:line="360" w:lineRule="auto"/>
        <w:rPr>
          <w:rFonts w:ascii="宋体" w:hAnsi="宋体" w:cs="宋体"/>
          <w:kern w:val="0"/>
          <w:szCs w:val="21"/>
        </w:rPr>
      </w:pPr>
      <w:bookmarkStart w:id="24" w:name="_Toc195921796"/>
      <w:r>
        <w:rPr>
          <w:rFonts w:hint="eastAsia" w:ascii="宋体" w:hAnsi="宋体" w:cs="宋体"/>
          <w:kern w:val="0"/>
          <w:szCs w:val="21"/>
        </w:rPr>
        <w:t>最高限价（如有）</w:t>
      </w:r>
    </w:p>
    <w:p>
      <w:pPr>
        <w:autoSpaceDE w:val="0"/>
        <w:autoSpaceDN w:val="0"/>
        <w:adjustRightInd w:val="0"/>
        <w:snapToGrid w:val="0"/>
        <w:spacing w:line="360" w:lineRule="auto"/>
        <w:ind w:left="1079"/>
        <w:rPr>
          <w:rFonts w:ascii="宋体" w:hAnsi="宋体" w:cs="宋体"/>
          <w:szCs w:val="21"/>
        </w:rPr>
      </w:pPr>
      <w:r>
        <w:rPr>
          <w:rFonts w:hint="eastAsia" w:ascii="宋体" w:hAnsi="宋体" w:cs="宋体"/>
          <w:szCs w:val="21"/>
        </w:rPr>
        <w:t>见招标公告。</w:t>
      </w:r>
    </w:p>
    <w:p>
      <w:pPr>
        <w:numPr>
          <w:ilvl w:val="1"/>
          <w:numId w:val="1"/>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招标范围、供货期和质量</w:t>
      </w:r>
      <w:bookmarkEnd w:id="24"/>
      <w:r>
        <w:rPr>
          <w:rFonts w:hint="eastAsia" w:ascii="宋体" w:hAnsi="宋体" w:cs="宋体"/>
          <w:kern w:val="0"/>
          <w:szCs w:val="21"/>
        </w:rPr>
        <w:t>要求</w:t>
      </w:r>
    </w:p>
    <w:p>
      <w:pPr>
        <w:autoSpaceDE w:val="0"/>
        <w:autoSpaceDN w:val="0"/>
        <w:adjustRightInd w:val="0"/>
        <w:snapToGrid w:val="0"/>
        <w:spacing w:line="360" w:lineRule="auto"/>
        <w:ind w:left="1079"/>
        <w:rPr>
          <w:rFonts w:ascii="宋体" w:hAnsi="宋体" w:cs="宋体"/>
          <w:szCs w:val="21"/>
        </w:rPr>
      </w:pPr>
      <w:r>
        <w:rPr>
          <w:rFonts w:hint="eastAsia" w:ascii="宋体" w:hAnsi="宋体" w:cs="宋体"/>
          <w:szCs w:val="21"/>
        </w:rPr>
        <w:t>见供应商须知前附表。</w:t>
      </w:r>
    </w:p>
    <w:p>
      <w:pPr>
        <w:numPr>
          <w:ilvl w:val="1"/>
          <w:numId w:val="1"/>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w:t>
      </w:r>
      <w:r>
        <w:rPr>
          <w:rFonts w:hint="eastAsia" w:ascii="宋体" w:hAnsi="宋体" w:cs="宋体"/>
          <w:szCs w:val="21"/>
        </w:rPr>
        <w:t>指响应招标、参加投标竞争的法人、其他组织或者自然人</w:t>
      </w:r>
      <w:r>
        <w:rPr>
          <w:rFonts w:hint="eastAsia" w:ascii="宋体" w:hAnsi="宋体" w:cs="宋体"/>
          <w:kern w:val="0"/>
          <w:szCs w:val="21"/>
        </w:rPr>
        <w:t>。</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bookmarkStart w:id="25" w:name="_Ref426956497"/>
      <w:r>
        <w:rPr>
          <w:rFonts w:hint="eastAsia" w:ascii="宋体" w:hAnsi="宋体" w:cs="宋体"/>
          <w:kern w:val="0"/>
          <w:szCs w:val="21"/>
        </w:rPr>
        <w:t>合格的供应商应具备以下条件：</w:t>
      </w:r>
      <w:bookmarkEnd w:id="25"/>
    </w:p>
    <w:p>
      <w:pPr>
        <w:autoSpaceDE w:val="0"/>
        <w:autoSpaceDN w:val="0"/>
        <w:adjustRightInd w:val="0"/>
        <w:snapToGrid w:val="0"/>
        <w:spacing w:line="360" w:lineRule="auto"/>
        <w:ind w:left="1079"/>
        <w:rPr>
          <w:rFonts w:ascii="宋体" w:hAnsi="宋体" w:cs="宋体"/>
          <w:szCs w:val="21"/>
        </w:rPr>
      </w:pPr>
      <w:r>
        <w:rPr>
          <w:rFonts w:hint="eastAsia" w:ascii="宋体" w:hAnsi="宋体" w:cs="宋体"/>
          <w:szCs w:val="21"/>
        </w:rPr>
        <w:t>见招标公告“供应商资格要求”。</w:t>
      </w:r>
    </w:p>
    <w:p>
      <w:pPr>
        <w:numPr>
          <w:ilvl w:val="255"/>
          <w:numId w:val="0"/>
        </w:numPr>
        <w:tabs>
          <w:tab w:val="left" w:pos="1260"/>
        </w:tabs>
        <w:autoSpaceDE w:val="0"/>
        <w:autoSpaceDN w:val="0"/>
        <w:adjustRightInd w:val="0"/>
        <w:snapToGrid w:val="0"/>
        <w:spacing w:line="360" w:lineRule="auto"/>
        <w:rPr>
          <w:rFonts w:hint="eastAsia" w:ascii="宋体" w:hAnsi="宋体" w:eastAsia="宋体" w:cs="宋体"/>
          <w:kern w:val="0"/>
          <w:szCs w:val="21"/>
          <w:lang w:eastAsia="zh-CN"/>
        </w:rPr>
      </w:pPr>
      <w:r>
        <w:rPr>
          <w:rFonts w:hint="eastAsia" w:ascii="宋体" w:hAnsi="宋体" w:cs="宋体"/>
          <w:kern w:val="0"/>
          <w:szCs w:val="21"/>
        </w:rPr>
        <w:t xml:space="preserve">1.5.2   本项目是否专门面向中小企业或小型、微型企业采购：  </w:t>
      </w:r>
      <w:r>
        <w:rPr>
          <w:rFonts w:hint="eastAsia" w:ascii="宋体" w:hAnsi="宋体" w:cs="宋体"/>
          <w:kern w:val="0"/>
          <w:szCs w:val="21"/>
          <w:lang w:eastAsia="zh-CN"/>
        </w:rPr>
        <w:t>否</w:t>
      </w:r>
    </w:p>
    <w:p>
      <w:pPr>
        <w:numPr>
          <w:ilvl w:val="255"/>
          <w:numId w:val="0"/>
        </w:numPr>
        <w:tabs>
          <w:tab w:val="left" w:pos="1060"/>
        </w:tabs>
        <w:autoSpaceDE w:val="0"/>
        <w:autoSpaceDN w:val="0"/>
        <w:adjustRightInd w:val="0"/>
        <w:snapToGrid w:val="0"/>
        <w:spacing w:line="360" w:lineRule="auto"/>
        <w:ind w:left="926" w:hanging="926" w:hangingChars="441"/>
        <w:rPr>
          <w:rFonts w:ascii="宋体" w:hAnsi="宋体" w:cs="宋体"/>
          <w:kern w:val="0"/>
          <w:szCs w:val="21"/>
        </w:rPr>
      </w:pPr>
      <w:r>
        <w:rPr>
          <w:rFonts w:hint="eastAsia" w:ascii="宋体" w:hAnsi="宋体" w:cs="宋体"/>
          <w:kern w:val="0"/>
          <w:szCs w:val="21"/>
        </w:rPr>
        <w:t xml:space="preserve">1.5.3   </w:t>
      </w:r>
      <w:r>
        <w:rPr>
          <w:rFonts w:hint="eastAsia" w:ascii="宋体" w:hAnsi="宋体" w:cs="宋体"/>
          <w:szCs w:val="21"/>
        </w:rPr>
        <w:t>供应商应当遵循公平竞争的原则，不得恶意串通，不得妨碍其他供应商的竞争行为，不得损害采购人或者其他供应商的合法权益。</w:t>
      </w:r>
    </w:p>
    <w:p>
      <w:pPr>
        <w:numPr>
          <w:ilvl w:val="255"/>
          <w:numId w:val="0"/>
        </w:numPr>
        <w:tabs>
          <w:tab w:val="left" w:pos="840"/>
        </w:tabs>
        <w:autoSpaceDE w:val="0"/>
        <w:autoSpaceDN w:val="0"/>
        <w:adjustRightInd w:val="0"/>
        <w:snapToGrid w:val="0"/>
        <w:spacing w:line="360" w:lineRule="auto"/>
        <w:ind w:left="924" w:hanging="924" w:hangingChars="440"/>
        <w:rPr>
          <w:rFonts w:ascii="宋体" w:hAnsi="宋体" w:cs="宋体"/>
          <w:kern w:val="0"/>
          <w:szCs w:val="21"/>
        </w:rPr>
      </w:pPr>
      <w:r>
        <w:rPr>
          <w:rFonts w:hint="eastAsia" w:ascii="宋体" w:hAnsi="宋体" w:cs="宋体"/>
          <w:kern w:val="0"/>
          <w:szCs w:val="21"/>
        </w:rPr>
        <w:t>1.5.4   供应商不得以向采购人、磋商小组成员行贿或者采取其他不正当手段谋取中标。</w:t>
      </w:r>
    </w:p>
    <w:p>
      <w:pPr>
        <w:numPr>
          <w:ilvl w:val="255"/>
          <w:numId w:val="0"/>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1.5.5   本项目将执行在政府采购活动中查询及使用信用记录的规定，具体要求为：</w:t>
      </w:r>
    </w:p>
    <w:p>
      <w:pPr>
        <w:numPr>
          <w:ilvl w:val="0"/>
          <w:numId w:val="2"/>
        </w:numPr>
        <w:tabs>
          <w:tab w:val="left" w:pos="1701"/>
        </w:tabs>
        <w:autoSpaceDE w:val="0"/>
        <w:autoSpaceDN w:val="0"/>
        <w:adjustRightInd w:val="0"/>
        <w:snapToGrid w:val="0"/>
        <w:spacing w:line="360" w:lineRule="auto"/>
        <w:ind w:left="1701" w:hanging="622"/>
        <w:rPr>
          <w:rFonts w:ascii="宋体" w:hAnsi="宋体" w:cs="宋体"/>
          <w:szCs w:val="21"/>
        </w:rPr>
      </w:pPr>
      <w:r>
        <w:rPr>
          <w:rFonts w:hint="eastAsia" w:ascii="宋体" w:hAnsi="宋体" w:cs="宋体"/>
          <w:szCs w:val="21"/>
        </w:rPr>
        <w:t>信用信息查询的截止时点：投标截止时间。</w:t>
      </w:r>
    </w:p>
    <w:p>
      <w:pPr>
        <w:numPr>
          <w:ilvl w:val="0"/>
          <w:numId w:val="2"/>
        </w:numPr>
        <w:tabs>
          <w:tab w:val="left" w:pos="1701"/>
        </w:tabs>
        <w:autoSpaceDE w:val="0"/>
        <w:autoSpaceDN w:val="0"/>
        <w:adjustRightInd w:val="0"/>
        <w:snapToGrid w:val="0"/>
        <w:spacing w:line="360" w:lineRule="auto"/>
        <w:ind w:left="1701" w:hanging="622"/>
        <w:rPr>
          <w:rFonts w:ascii="宋体" w:hAnsi="宋体" w:cs="宋体"/>
          <w:szCs w:val="21"/>
        </w:rPr>
      </w:pPr>
      <w:r>
        <w:rPr>
          <w:rFonts w:hint="eastAsia" w:ascii="宋体" w:hAnsi="宋体" w:cs="宋体"/>
          <w:szCs w:val="21"/>
        </w:rPr>
        <w:t xml:space="preserve">查询渠道：“信用中国”网站（www.creditchina.gov.cn）和“中国政府采购网”（www.ccgp.gov.cn）； </w:t>
      </w:r>
    </w:p>
    <w:p>
      <w:pPr>
        <w:numPr>
          <w:ilvl w:val="0"/>
          <w:numId w:val="2"/>
        </w:numPr>
        <w:tabs>
          <w:tab w:val="left" w:pos="1701"/>
        </w:tabs>
        <w:autoSpaceDE w:val="0"/>
        <w:autoSpaceDN w:val="0"/>
        <w:adjustRightInd w:val="0"/>
        <w:snapToGrid w:val="0"/>
        <w:spacing w:line="360" w:lineRule="auto"/>
        <w:ind w:left="1701" w:hanging="622"/>
        <w:rPr>
          <w:rFonts w:ascii="宋体" w:hAnsi="宋体" w:cs="宋体"/>
          <w:szCs w:val="21"/>
        </w:rPr>
      </w:pPr>
      <w:r>
        <w:rPr>
          <w:rFonts w:hint="eastAsia" w:ascii="宋体" w:hAnsi="宋体" w:cs="宋体"/>
          <w:szCs w:val="21"/>
        </w:rPr>
        <w:t>信用信息查询记录和证据留存具体方式：将经查询存在不良信用记录的潜在供应商的查询结果网页截图作为查询记录和证据，与其他采购文件一并保存；</w:t>
      </w:r>
    </w:p>
    <w:p>
      <w:pPr>
        <w:numPr>
          <w:ilvl w:val="255"/>
          <w:numId w:val="0"/>
        </w:numPr>
        <w:tabs>
          <w:tab w:val="left" w:pos="840"/>
        </w:tabs>
        <w:autoSpaceDE w:val="0"/>
        <w:autoSpaceDN w:val="0"/>
        <w:adjustRightInd w:val="0"/>
        <w:snapToGrid w:val="0"/>
        <w:spacing w:line="360" w:lineRule="auto"/>
        <w:ind w:left="924" w:hanging="924" w:hangingChars="440"/>
        <w:rPr>
          <w:rFonts w:ascii="宋体" w:hAnsi="宋体" w:cs="宋体"/>
          <w:kern w:val="0"/>
          <w:szCs w:val="21"/>
        </w:rPr>
      </w:pPr>
      <w:r>
        <w:rPr>
          <w:rFonts w:hint="eastAsia" w:ascii="宋体" w:hAnsi="宋体" w:cs="宋体"/>
          <w:kern w:val="0"/>
          <w:szCs w:val="21"/>
        </w:rPr>
        <w:t>1.5.6    招标公告规定接受联合体投标的，除应符合本章第</w:t>
      </w:r>
      <w:r>
        <w:fldChar w:fldCharType="begin"/>
      </w:r>
      <w:r>
        <w:instrText xml:space="preserve">REF _Ref426956497 \r \h \* MERGEFORMAT </w:instrText>
      </w:r>
      <w:r>
        <w:fldChar w:fldCharType="separate"/>
      </w:r>
      <w:r>
        <w:rPr>
          <w:rFonts w:hint="eastAsia" w:ascii="宋体" w:hAnsi="宋体" w:cs="宋体"/>
          <w:kern w:val="0"/>
          <w:szCs w:val="21"/>
        </w:rPr>
        <w:t>1.5.1</w:t>
      </w:r>
      <w:r>
        <w:rPr>
          <w:rFonts w:hint="eastAsia" w:ascii="宋体" w:hAnsi="宋体" w:cs="宋体"/>
          <w:kern w:val="0"/>
          <w:szCs w:val="21"/>
        </w:rPr>
        <w:fldChar w:fldCharType="end"/>
      </w:r>
      <w:r>
        <w:rPr>
          <w:rFonts w:hint="eastAsia" w:ascii="宋体" w:hAnsi="宋体" w:cs="宋体"/>
          <w:kern w:val="0"/>
          <w:szCs w:val="21"/>
        </w:rPr>
        <w:t>项要求外，还应遵守以下规定：</w:t>
      </w:r>
    </w:p>
    <w:p>
      <w:pPr>
        <w:tabs>
          <w:tab w:val="left" w:pos="1701"/>
        </w:tabs>
        <w:autoSpaceDE w:val="0"/>
        <w:autoSpaceDN w:val="0"/>
        <w:adjustRightInd w:val="0"/>
        <w:snapToGrid w:val="0"/>
        <w:spacing w:line="360" w:lineRule="auto"/>
        <w:ind w:left="1079"/>
        <w:rPr>
          <w:rFonts w:ascii="宋体" w:hAnsi="宋体" w:cs="宋体"/>
          <w:szCs w:val="21"/>
        </w:rPr>
      </w:pPr>
      <w:r>
        <w:rPr>
          <w:rFonts w:hint="eastAsia" w:ascii="宋体" w:hAnsi="宋体" w:cs="宋体"/>
          <w:szCs w:val="21"/>
        </w:rPr>
        <w:t>联合体各方应按竞争性磋商文件提供的格式签订联合体协议书，明确联合体牵头人和各方工作内容和义务；</w:t>
      </w:r>
    </w:p>
    <w:p>
      <w:pPr>
        <w:tabs>
          <w:tab w:val="left" w:pos="1701"/>
        </w:tabs>
        <w:autoSpaceDE w:val="0"/>
        <w:autoSpaceDN w:val="0"/>
        <w:adjustRightInd w:val="0"/>
        <w:snapToGrid w:val="0"/>
        <w:spacing w:line="360" w:lineRule="auto"/>
        <w:ind w:left="1079"/>
        <w:rPr>
          <w:rFonts w:ascii="宋体" w:hAnsi="宋体" w:cs="宋体"/>
          <w:szCs w:val="21"/>
        </w:rPr>
      </w:pPr>
      <w:r>
        <w:rPr>
          <w:rFonts w:hint="eastAsia" w:ascii="宋体" w:hAnsi="宋体" w:cs="宋体"/>
          <w:szCs w:val="21"/>
        </w:rPr>
        <w:t>联合体中有同类资质的供应商按照联合体分工承担相同工作的，应当按照资质等级较低的供应商确定联合体的资质等级。</w:t>
      </w:r>
    </w:p>
    <w:p>
      <w:pPr>
        <w:tabs>
          <w:tab w:val="left" w:pos="1701"/>
        </w:tabs>
        <w:autoSpaceDE w:val="0"/>
        <w:autoSpaceDN w:val="0"/>
        <w:adjustRightInd w:val="0"/>
        <w:snapToGrid w:val="0"/>
        <w:spacing w:line="360" w:lineRule="auto"/>
        <w:ind w:left="1079"/>
        <w:rPr>
          <w:rFonts w:ascii="宋体" w:hAnsi="宋体" w:cs="宋体"/>
          <w:szCs w:val="21"/>
        </w:rPr>
      </w:pPr>
      <w:r>
        <w:rPr>
          <w:rFonts w:hint="eastAsia" w:ascii="宋体" w:hAnsi="宋体" w:cs="宋体"/>
          <w:szCs w:val="21"/>
        </w:rPr>
        <w:t>联合体各方不得再单独参加或者与其他供应商另外组成联合体参加同一合同项下的投标。</w:t>
      </w:r>
    </w:p>
    <w:p>
      <w:pPr>
        <w:tabs>
          <w:tab w:val="left" w:pos="1701"/>
        </w:tabs>
        <w:autoSpaceDE w:val="0"/>
        <w:autoSpaceDN w:val="0"/>
        <w:adjustRightInd w:val="0"/>
        <w:snapToGrid w:val="0"/>
        <w:spacing w:line="360" w:lineRule="auto"/>
        <w:ind w:left="1079"/>
        <w:rPr>
          <w:rFonts w:ascii="宋体" w:hAnsi="宋体" w:cs="宋体"/>
          <w:szCs w:val="21"/>
        </w:rPr>
      </w:pPr>
      <w:r>
        <w:rPr>
          <w:rFonts w:hint="eastAsia" w:ascii="宋体" w:hAnsi="宋体" w:cs="宋体"/>
          <w:szCs w:val="21"/>
        </w:rPr>
        <w:t>联合体各方应当共同与采购人签订采购合同，就采购合同约定的事项对采购人承担连带责任。</w:t>
      </w:r>
    </w:p>
    <w:p>
      <w:pPr>
        <w:numPr>
          <w:ilvl w:val="1"/>
          <w:numId w:val="1"/>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分包</w:t>
      </w:r>
    </w:p>
    <w:p>
      <w:pPr>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kern w:val="0"/>
          <w:szCs w:val="21"/>
        </w:rPr>
        <w:t>供应商根据竞争性磋商文件的规定和采购项目的实际情况，拟在中标后将中标项目的非主体、非关键性工作分包的，应当在响应文件中载明分包承担主体，分包承担主体应当具备相应资质条件且不得再次分包。政府采购合同分包履行的，中标、成交供应商就采购项目和分包项目向采购人负责，分包人就分包项目承担责任。</w:t>
      </w:r>
    </w:p>
    <w:p>
      <w:pPr>
        <w:numPr>
          <w:ilvl w:val="1"/>
          <w:numId w:val="1"/>
        </w:numPr>
        <w:autoSpaceDE w:val="0"/>
        <w:autoSpaceDN w:val="0"/>
        <w:adjustRightInd w:val="0"/>
        <w:snapToGrid w:val="0"/>
        <w:spacing w:line="360" w:lineRule="auto"/>
        <w:rPr>
          <w:rFonts w:ascii="宋体" w:hAnsi="宋体" w:cs="宋体"/>
          <w:kern w:val="0"/>
          <w:szCs w:val="21"/>
        </w:rPr>
      </w:pPr>
      <w:bookmarkStart w:id="26" w:name="_Toc195921799"/>
      <w:r>
        <w:rPr>
          <w:rFonts w:hint="eastAsia" w:ascii="宋体" w:hAnsi="宋体" w:cs="宋体"/>
          <w:kern w:val="0"/>
          <w:szCs w:val="21"/>
        </w:rPr>
        <w:t>合格的服务</w:t>
      </w:r>
    </w:p>
    <w:p>
      <w:pPr>
        <w:numPr>
          <w:ilvl w:val="2"/>
          <w:numId w:val="1"/>
        </w:numPr>
        <w:snapToGrid w:val="0"/>
        <w:spacing w:line="360" w:lineRule="auto"/>
        <w:rPr>
          <w:rFonts w:ascii="宋体" w:hAnsi="宋体" w:cs="宋体"/>
          <w:szCs w:val="21"/>
        </w:rPr>
      </w:pPr>
      <w:r>
        <w:rPr>
          <w:rFonts w:hint="eastAsia" w:ascii="宋体" w:hAnsi="宋体" w:cs="宋体"/>
          <w:szCs w:val="21"/>
        </w:rPr>
        <w:t>合同中提供的所有服务，均应来自上述</w:t>
      </w:r>
      <w:r>
        <w:fldChar w:fldCharType="begin"/>
      </w:r>
      <w:r>
        <w:instrText xml:space="preserve">REF _Ref426956497 \r \h \* MERGEFORMAT </w:instrText>
      </w:r>
      <w:r>
        <w:fldChar w:fldCharType="separate"/>
      </w:r>
      <w:r>
        <w:rPr>
          <w:rFonts w:hint="eastAsia" w:ascii="宋体" w:hAnsi="宋体" w:cs="宋体"/>
          <w:szCs w:val="21"/>
        </w:rPr>
        <w:t>1.5.1</w:t>
      </w:r>
      <w:r>
        <w:rPr>
          <w:rFonts w:hint="eastAsia" w:ascii="宋体" w:hAnsi="宋体" w:cs="宋体"/>
          <w:szCs w:val="21"/>
        </w:rPr>
        <w:fldChar w:fldCharType="end"/>
      </w:r>
      <w:r>
        <w:rPr>
          <w:rFonts w:hint="eastAsia" w:ascii="宋体" w:hAnsi="宋体" w:cs="宋体"/>
          <w:szCs w:val="21"/>
        </w:rPr>
        <w:t>项所规定的合格供应商。</w:t>
      </w:r>
    </w:p>
    <w:p>
      <w:pPr>
        <w:snapToGrid w:val="0"/>
        <w:spacing w:line="360" w:lineRule="auto"/>
        <w:ind w:left="1134" w:leftChars="540"/>
        <w:rPr>
          <w:rFonts w:ascii="宋体" w:hAnsi="宋体" w:cs="宋体"/>
          <w:kern w:val="0"/>
          <w:szCs w:val="21"/>
        </w:rPr>
      </w:pPr>
      <w:r>
        <w:rPr>
          <w:rFonts w:hint="eastAsia" w:ascii="宋体" w:hAnsi="宋体" w:cs="宋体"/>
          <w:kern w:val="0"/>
          <w:szCs w:val="21"/>
        </w:rPr>
        <w:t>服务系指竞争性磋商文件规定的供应商须承担的与本次招标需求有关的招标代理服务及其他相关的服务。</w:t>
      </w:r>
    </w:p>
    <w:p>
      <w:pPr>
        <w:numPr>
          <w:ilvl w:val="1"/>
          <w:numId w:val="1"/>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费用承担</w:t>
      </w:r>
      <w:bookmarkEnd w:id="26"/>
    </w:p>
    <w:p>
      <w:pPr>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kern w:val="0"/>
          <w:szCs w:val="21"/>
        </w:rPr>
        <w:t>供应商准备和参加投标活动发生的费用自理。</w:t>
      </w:r>
    </w:p>
    <w:p>
      <w:pPr>
        <w:numPr>
          <w:ilvl w:val="1"/>
          <w:numId w:val="1"/>
        </w:numPr>
        <w:autoSpaceDE w:val="0"/>
        <w:autoSpaceDN w:val="0"/>
        <w:adjustRightInd w:val="0"/>
        <w:snapToGrid w:val="0"/>
        <w:spacing w:line="360" w:lineRule="auto"/>
        <w:rPr>
          <w:rFonts w:ascii="宋体" w:hAnsi="宋体" w:cs="宋体"/>
          <w:kern w:val="0"/>
          <w:szCs w:val="21"/>
        </w:rPr>
      </w:pPr>
      <w:bookmarkStart w:id="27" w:name="_Toc195921800"/>
      <w:r>
        <w:rPr>
          <w:rFonts w:hint="eastAsia" w:ascii="宋体" w:hAnsi="宋体" w:cs="宋体"/>
          <w:kern w:val="0"/>
          <w:szCs w:val="21"/>
        </w:rPr>
        <w:t>保密</w:t>
      </w:r>
      <w:bookmarkEnd w:id="27"/>
    </w:p>
    <w:p>
      <w:pPr>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kern w:val="0"/>
          <w:szCs w:val="21"/>
        </w:rPr>
        <w:t>参与招标投标活动的各方应对竞争性磋商文件和响应文件中的商业和技术等秘密保密，违者应对由此造成的后果承担法律责任。</w:t>
      </w:r>
    </w:p>
    <w:p>
      <w:pPr>
        <w:numPr>
          <w:ilvl w:val="1"/>
          <w:numId w:val="1"/>
        </w:numPr>
        <w:autoSpaceDE w:val="0"/>
        <w:autoSpaceDN w:val="0"/>
        <w:adjustRightInd w:val="0"/>
        <w:snapToGrid w:val="0"/>
        <w:spacing w:line="360" w:lineRule="auto"/>
        <w:rPr>
          <w:rFonts w:ascii="宋体" w:hAnsi="宋体" w:cs="宋体"/>
          <w:kern w:val="0"/>
          <w:szCs w:val="21"/>
        </w:rPr>
      </w:pPr>
      <w:bookmarkStart w:id="28" w:name="_Toc195921801"/>
      <w:r>
        <w:rPr>
          <w:rFonts w:hint="eastAsia" w:ascii="宋体" w:hAnsi="宋体" w:cs="宋体"/>
          <w:kern w:val="0"/>
          <w:szCs w:val="21"/>
        </w:rPr>
        <w:t>语言文字</w:t>
      </w:r>
      <w:bookmarkEnd w:id="28"/>
    </w:p>
    <w:p>
      <w:pPr>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kern w:val="0"/>
          <w:szCs w:val="21"/>
        </w:rPr>
        <w:t>除专用术语外，与招标投标有关的语言均使用中文。必要时专用术语应附有中文注释。</w:t>
      </w:r>
    </w:p>
    <w:p>
      <w:pPr>
        <w:numPr>
          <w:ilvl w:val="1"/>
          <w:numId w:val="1"/>
        </w:numPr>
        <w:autoSpaceDE w:val="0"/>
        <w:autoSpaceDN w:val="0"/>
        <w:adjustRightInd w:val="0"/>
        <w:snapToGrid w:val="0"/>
        <w:spacing w:line="360" w:lineRule="auto"/>
        <w:rPr>
          <w:rFonts w:ascii="宋体" w:hAnsi="宋体" w:cs="宋体"/>
          <w:kern w:val="0"/>
          <w:szCs w:val="21"/>
        </w:rPr>
      </w:pPr>
      <w:bookmarkStart w:id="29" w:name="_Toc195921802"/>
      <w:r>
        <w:rPr>
          <w:rFonts w:hint="eastAsia" w:ascii="宋体" w:hAnsi="宋体" w:cs="宋体"/>
          <w:kern w:val="0"/>
          <w:szCs w:val="21"/>
        </w:rPr>
        <w:t>计量单位</w:t>
      </w:r>
      <w:bookmarkEnd w:id="29"/>
    </w:p>
    <w:p>
      <w:pPr>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kern w:val="0"/>
          <w:szCs w:val="21"/>
        </w:rPr>
        <w:t>所有计量均采用中华人民共和国法定计量单位。</w:t>
      </w:r>
    </w:p>
    <w:p>
      <w:pPr>
        <w:numPr>
          <w:ilvl w:val="0"/>
          <w:numId w:val="1"/>
        </w:numPr>
        <w:autoSpaceDE w:val="0"/>
        <w:autoSpaceDN w:val="0"/>
        <w:adjustRightInd w:val="0"/>
        <w:spacing w:line="360" w:lineRule="auto"/>
        <w:outlineLvl w:val="2"/>
        <w:rPr>
          <w:rFonts w:ascii="宋体" w:hAnsi="宋体" w:cs="宋体"/>
          <w:kern w:val="0"/>
          <w:szCs w:val="21"/>
        </w:rPr>
      </w:pPr>
      <w:bookmarkStart w:id="30" w:name="_Toc17376"/>
      <w:r>
        <w:rPr>
          <w:rFonts w:hint="eastAsia" w:ascii="宋体" w:hAnsi="宋体" w:cs="宋体"/>
          <w:kern w:val="0"/>
          <w:szCs w:val="21"/>
        </w:rPr>
        <w:t>竞争性磋商文件</w:t>
      </w:r>
      <w:bookmarkEnd w:id="30"/>
    </w:p>
    <w:p>
      <w:pPr>
        <w:numPr>
          <w:ilvl w:val="1"/>
          <w:numId w:val="1"/>
        </w:numPr>
        <w:autoSpaceDE w:val="0"/>
        <w:autoSpaceDN w:val="0"/>
        <w:adjustRightInd w:val="0"/>
        <w:snapToGrid w:val="0"/>
        <w:spacing w:line="360" w:lineRule="auto"/>
        <w:rPr>
          <w:rFonts w:ascii="宋体" w:hAnsi="宋体" w:cs="宋体"/>
          <w:kern w:val="0"/>
          <w:szCs w:val="21"/>
        </w:rPr>
      </w:pPr>
      <w:bookmarkStart w:id="31" w:name="_Toc195921808"/>
      <w:r>
        <w:rPr>
          <w:rFonts w:hint="eastAsia" w:ascii="宋体" w:hAnsi="宋体" w:cs="宋体"/>
          <w:kern w:val="0"/>
          <w:szCs w:val="21"/>
        </w:rPr>
        <w:t>竞争性磋商文件的组成</w:t>
      </w:r>
      <w:bookmarkEnd w:id="31"/>
    </w:p>
    <w:p>
      <w:pPr>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kern w:val="0"/>
          <w:szCs w:val="21"/>
        </w:rPr>
        <w:t>本竞争性磋商文件包括：</w:t>
      </w:r>
    </w:p>
    <w:p>
      <w:pPr>
        <w:autoSpaceDE w:val="0"/>
        <w:autoSpaceDN w:val="0"/>
        <w:adjustRightInd w:val="0"/>
        <w:snapToGrid w:val="0"/>
        <w:spacing w:line="360" w:lineRule="auto"/>
        <w:ind w:left="1549" w:leftChars="513" w:hanging="472" w:hangingChars="225"/>
        <w:rPr>
          <w:rFonts w:ascii="宋体" w:hAnsi="宋体" w:cs="宋体"/>
          <w:kern w:val="0"/>
          <w:szCs w:val="21"/>
        </w:rPr>
      </w:pPr>
      <w:r>
        <w:rPr>
          <w:rFonts w:hint="eastAsia" w:ascii="宋体" w:hAnsi="宋体" w:cs="宋体"/>
          <w:kern w:val="0"/>
          <w:szCs w:val="21"/>
        </w:rPr>
        <w:t>（1）竞争性磋商公告（或投标邀请书）；</w:t>
      </w:r>
    </w:p>
    <w:p>
      <w:pPr>
        <w:autoSpaceDE w:val="0"/>
        <w:autoSpaceDN w:val="0"/>
        <w:adjustRightInd w:val="0"/>
        <w:snapToGrid w:val="0"/>
        <w:spacing w:line="360" w:lineRule="auto"/>
        <w:ind w:left="1549" w:leftChars="513" w:hanging="472" w:hangingChars="225"/>
        <w:rPr>
          <w:rFonts w:ascii="宋体" w:hAnsi="宋体" w:cs="宋体"/>
          <w:kern w:val="0"/>
          <w:szCs w:val="21"/>
        </w:rPr>
      </w:pPr>
      <w:r>
        <w:rPr>
          <w:rFonts w:hint="eastAsia" w:ascii="宋体" w:hAnsi="宋体" w:cs="宋体"/>
          <w:kern w:val="0"/>
          <w:szCs w:val="21"/>
        </w:rPr>
        <w:t>（2）供应商须知；</w:t>
      </w:r>
    </w:p>
    <w:p>
      <w:pPr>
        <w:autoSpaceDE w:val="0"/>
        <w:autoSpaceDN w:val="0"/>
        <w:adjustRightInd w:val="0"/>
        <w:snapToGrid w:val="0"/>
        <w:spacing w:line="360" w:lineRule="auto"/>
        <w:ind w:left="1549" w:leftChars="513" w:hanging="472" w:hangingChars="225"/>
        <w:rPr>
          <w:rFonts w:ascii="宋体" w:hAnsi="宋体" w:cs="宋体"/>
          <w:kern w:val="0"/>
          <w:szCs w:val="21"/>
        </w:rPr>
      </w:pPr>
      <w:r>
        <w:rPr>
          <w:rFonts w:hint="eastAsia" w:ascii="宋体" w:hAnsi="宋体" w:cs="宋体"/>
          <w:kern w:val="0"/>
          <w:szCs w:val="21"/>
        </w:rPr>
        <w:t>（3）评标办法（综合评分法）；</w:t>
      </w:r>
    </w:p>
    <w:p>
      <w:pPr>
        <w:autoSpaceDE w:val="0"/>
        <w:autoSpaceDN w:val="0"/>
        <w:adjustRightInd w:val="0"/>
        <w:snapToGrid w:val="0"/>
        <w:spacing w:line="360" w:lineRule="auto"/>
        <w:ind w:left="1549" w:leftChars="513" w:hanging="472" w:hangingChars="225"/>
        <w:rPr>
          <w:rFonts w:ascii="宋体" w:hAnsi="宋体" w:cs="宋体"/>
          <w:kern w:val="0"/>
          <w:szCs w:val="21"/>
        </w:rPr>
      </w:pPr>
      <w:r>
        <w:rPr>
          <w:rFonts w:hint="eastAsia" w:ascii="宋体" w:hAnsi="宋体" w:cs="宋体"/>
          <w:kern w:val="0"/>
          <w:szCs w:val="21"/>
        </w:rPr>
        <w:t>（4）合同条款及格式（范本）；</w:t>
      </w:r>
    </w:p>
    <w:p>
      <w:pPr>
        <w:autoSpaceDE w:val="0"/>
        <w:autoSpaceDN w:val="0"/>
        <w:adjustRightInd w:val="0"/>
        <w:snapToGrid w:val="0"/>
        <w:spacing w:line="360" w:lineRule="auto"/>
        <w:ind w:left="1549" w:leftChars="513" w:hanging="472" w:hangingChars="225"/>
        <w:rPr>
          <w:rFonts w:ascii="宋体" w:hAnsi="宋体" w:cs="宋体"/>
          <w:kern w:val="0"/>
          <w:szCs w:val="21"/>
        </w:rPr>
      </w:pPr>
      <w:r>
        <w:rPr>
          <w:rFonts w:hint="eastAsia" w:ascii="宋体" w:hAnsi="宋体" w:cs="宋体"/>
          <w:kern w:val="0"/>
          <w:szCs w:val="21"/>
        </w:rPr>
        <w:t>（5）</w:t>
      </w:r>
      <w:r>
        <w:rPr>
          <w:rFonts w:hint="eastAsia" w:ascii="宋体" w:hAnsi="宋体" w:cs="宋体"/>
          <w:szCs w:val="21"/>
        </w:rPr>
        <w:t>采购需求</w:t>
      </w:r>
      <w:r>
        <w:rPr>
          <w:rFonts w:hint="eastAsia" w:ascii="宋体" w:hAnsi="宋体" w:cs="宋体"/>
          <w:kern w:val="0"/>
          <w:szCs w:val="21"/>
        </w:rPr>
        <w:t>；</w:t>
      </w:r>
    </w:p>
    <w:p>
      <w:pPr>
        <w:autoSpaceDE w:val="0"/>
        <w:autoSpaceDN w:val="0"/>
        <w:adjustRightInd w:val="0"/>
        <w:snapToGrid w:val="0"/>
        <w:spacing w:line="360" w:lineRule="auto"/>
        <w:ind w:left="1549" w:leftChars="513" w:hanging="472" w:hangingChars="225"/>
        <w:rPr>
          <w:rFonts w:ascii="宋体" w:hAnsi="宋体" w:cs="宋体"/>
          <w:kern w:val="0"/>
          <w:szCs w:val="21"/>
        </w:rPr>
      </w:pPr>
      <w:r>
        <w:rPr>
          <w:rFonts w:hint="eastAsia" w:ascii="宋体" w:hAnsi="宋体" w:cs="宋体"/>
          <w:kern w:val="0"/>
          <w:szCs w:val="21"/>
        </w:rPr>
        <w:t>（6）</w:t>
      </w:r>
      <w:r>
        <w:rPr>
          <w:rFonts w:hint="eastAsia" w:ascii="宋体" w:hAnsi="宋体" w:cs="宋体"/>
        </w:rPr>
        <w:t>响应文件构成、要求及格式</w:t>
      </w:r>
      <w:r>
        <w:rPr>
          <w:rFonts w:hint="eastAsia" w:ascii="宋体" w:hAnsi="宋体" w:cs="宋体"/>
          <w:kern w:val="0"/>
          <w:szCs w:val="21"/>
        </w:rPr>
        <w:t>。</w:t>
      </w:r>
    </w:p>
    <w:p>
      <w:pPr>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kern w:val="0"/>
          <w:szCs w:val="21"/>
        </w:rPr>
        <w:t>根据本章对竞争性磋商文件所作的澄清、修改，构成竞争性磋商文件的组成部分。</w:t>
      </w:r>
    </w:p>
    <w:p>
      <w:pPr>
        <w:numPr>
          <w:ilvl w:val="1"/>
          <w:numId w:val="1"/>
        </w:numPr>
        <w:autoSpaceDE w:val="0"/>
        <w:autoSpaceDN w:val="0"/>
        <w:adjustRightInd w:val="0"/>
        <w:snapToGrid w:val="0"/>
        <w:spacing w:line="360" w:lineRule="auto"/>
        <w:rPr>
          <w:rFonts w:ascii="宋体" w:hAnsi="宋体" w:cs="宋体"/>
          <w:kern w:val="0"/>
          <w:szCs w:val="21"/>
        </w:rPr>
      </w:pPr>
      <w:bookmarkStart w:id="32" w:name="_Ref426441946"/>
      <w:bookmarkStart w:id="33" w:name="_Toc195921809"/>
      <w:r>
        <w:rPr>
          <w:rFonts w:hint="eastAsia" w:ascii="宋体" w:hAnsi="宋体" w:cs="宋体"/>
          <w:kern w:val="0"/>
          <w:szCs w:val="21"/>
        </w:rPr>
        <w:t>根据采购项目技术构成、产品价格比重等确定核心产品，核心产品见供应商须知前附表。</w:t>
      </w:r>
    </w:p>
    <w:p>
      <w:pPr>
        <w:numPr>
          <w:ilvl w:val="1"/>
          <w:numId w:val="1"/>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竞争性磋商文件的澄清</w:t>
      </w:r>
      <w:bookmarkEnd w:id="32"/>
      <w:bookmarkEnd w:id="33"/>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供应商应仔细阅读和检查竞争性磋商文件的全部内容。如发现缺页或附件不全，应及时向采购人提出，以便补齐。</w:t>
      </w:r>
    </w:p>
    <w:p>
      <w:pPr>
        <w:numPr>
          <w:ilvl w:val="2"/>
          <w:numId w:val="1"/>
        </w:numPr>
        <w:tabs>
          <w:tab w:val="left" w:pos="1260"/>
        </w:tabs>
        <w:autoSpaceDE w:val="0"/>
        <w:autoSpaceDN w:val="0"/>
        <w:adjustRightInd w:val="0"/>
        <w:snapToGrid w:val="0"/>
        <w:spacing w:line="360" w:lineRule="auto"/>
        <w:rPr>
          <w:rFonts w:ascii="宋体" w:hAnsi="宋体" w:cs="宋体"/>
          <w:szCs w:val="21"/>
        </w:rPr>
      </w:pPr>
      <w:r>
        <w:rPr>
          <w:rFonts w:hint="eastAsia" w:ascii="宋体" w:hAnsi="宋体" w:cs="宋体"/>
          <w:szCs w:val="21"/>
        </w:rPr>
        <w:t>供应商</w:t>
      </w:r>
      <w:r>
        <w:rPr>
          <w:rFonts w:hint="eastAsia" w:ascii="宋体" w:hAnsi="宋体" w:cs="宋体"/>
          <w:kern w:val="0"/>
          <w:szCs w:val="21"/>
        </w:rPr>
        <w:t>如有疑问</w:t>
      </w:r>
      <w:r>
        <w:rPr>
          <w:rFonts w:hint="eastAsia" w:ascii="宋体" w:hAnsi="宋体" w:cs="宋体"/>
          <w:szCs w:val="21"/>
        </w:rPr>
        <w:t>可以向采购人提出询问</w:t>
      </w:r>
      <w:r>
        <w:rPr>
          <w:rFonts w:hint="eastAsia" w:ascii="宋体" w:hAnsi="宋体" w:cs="宋体"/>
          <w:kern w:val="0"/>
          <w:szCs w:val="21"/>
        </w:rPr>
        <w:t>，要求采购人对竞争性磋商文件予以澄清。</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szCs w:val="21"/>
        </w:rPr>
        <w:t>采购人或者采购代理机构可以对已发出的竞争性磋商文件进行必要的澄清。该澄清在原公告发布媒体上发布澄清（更正）公告，同时以书面形式通知所有供应商。澄清的内容为竞争性磋商文件的组成部分。</w:t>
      </w:r>
      <w:r>
        <w:rPr>
          <w:rFonts w:hint="eastAsia" w:ascii="宋体" w:hAnsi="宋体" w:cs="宋体"/>
          <w:kern w:val="0"/>
          <w:szCs w:val="21"/>
        </w:rPr>
        <w:t>供应商须</w:t>
      </w:r>
      <w:r>
        <w:rPr>
          <w:rFonts w:hint="eastAsia" w:ascii="宋体" w:hAnsi="宋体" w:cs="宋体"/>
          <w:szCs w:val="21"/>
        </w:rPr>
        <w:t>在招标公告中规定的投标截止日前，随时查询招标公告发布媒体的信息，获取对竞争性磋商文件澄清的信息。采购人的澄清以书面形式通知供应商的，供应商应在收到该澄清的24小时内或根据澄清通知中要求的时间内予以确认。</w:t>
      </w:r>
    </w:p>
    <w:p>
      <w:pPr>
        <w:tabs>
          <w:tab w:val="left" w:pos="1260"/>
        </w:tabs>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szCs w:val="21"/>
        </w:rPr>
        <w:t>澄清的内容可能影响响应文件编制的，采购人或者采购代理机构在投标截止时间至少5日前，以书面形式通知所有获取竞争性磋商文件的潜在供应商；不足5日的，采购人或者采购代理机构将顺延提交响应文件的截止时间。</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供应商在收到澄清文件后，应将加盖公章的回执以书面方式通知采购人，确认已收到该澄清。</w:t>
      </w:r>
    </w:p>
    <w:p>
      <w:pPr>
        <w:numPr>
          <w:ilvl w:val="1"/>
          <w:numId w:val="1"/>
        </w:numPr>
        <w:autoSpaceDE w:val="0"/>
        <w:autoSpaceDN w:val="0"/>
        <w:adjustRightInd w:val="0"/>
        <w:snapToGrid w:val="0"/>
        <w:spacing w:line="360" w:lineRule="auto"/>
        <w:rPr>
          <w:rFonts w:ascii="宋体" w:hAnsi="宋体" w:cs="宋体"/>
          <w:kern w:val="0"/>
          <w:szCs w:val="21"/>
        </w:rPr>
      </w:pPr>
      <w:bookmarkStart w:id="34" w:name="_Ref426441954"/>
      <w:bookmarkStart w:id="35" w:name="_Toc195921810"/>
      <w:r>
        <w:rPr>
          <w:rFonts w:hint="eastAsia" w:ascii="宋体" w:hAnsi="宋体" w:cs="宋体"/>
          <w:kern w:val="0"/>
          <w:szCs w:val="21"/>
        </w:rPr>
        <w:t>竞争性磋商文件的修改</w:t>
      </w:r>
      <w:bookmarkEnd w:id="34"/>
      <w:bookmarkEnd w:id="35"/>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szCs w:val="21"/>
        </w:rPr>
        <w:t>采购人或者采购代理机构可以对已发出的竞争性磋商文件进行必要的修改。该修改在原公告发布媒体上发布澄清（更正）公告，同时以书面形式通知所有供应商。修改的内容为竞争性磋商文件的组成部分。</w:t>
      </w:r>
      <w:r>
        <w:rPr>
          <w:rFonts w:hint="eastAsia" w:ascii="宋体" w:hAnsi="宋体" w:cs="宋体"/>
          <w:kern w:val="0"/>
          <w:szCs w:val="21"/>
        </w:rPr>
        <w:t>供应商须</w:t>
      </w:r>
      <w:r>
        <w:rPr>
          <w:rFonts w:hint="eastAsia" w:ascii="宋体" w:hAnsi="宋体" w:cs="宋体"/>
          <w:szCs w:val="21"/>
        </w:rPr>
        <w:t>在投标截止日前，随时查询招标公告发布媒体的信息，获取对竞争性磋商文件修改的信息。采购人的修改以书面形式通知供应商的，供应商应在收到该修改通知的24小时内或根据修改通知中要求的时间内予以确认。</w:t>
      </w:r>
    </w:p>
    <w:p>
      <w:pPr>
        <w:tabs>
          <w:tab w:val="left" w:pos="1260"/>
        </w:tabs>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szCs w:val="21"/>
        </w:rPr>
        <w:t>修改的内容可能影响响应文件编制的，采购人或者采购代理机构在投标截止时间至少5日前，以书面形式通知所有获取竞争性磋商文件的潜在供应商；不足5日的，采购人或者采购代理机构将顺延提交响应文件的截止时间。</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供应商收到修改文件后，应将加盖公章的回执以书面方式通知采购人，确认已收到该修改。</w:t>
      </w:r>
    </w:p>
    <w:p>
      <w:pPr>
        <w:numPr>
          <w:ilvl w:val="1"/>
          <w:numId w:val="1"/>
        </w:numPr>
        <w:autoSpaceDE w:val="0"/>
        <w:autoSpaceDN w:val="0"/>
        <w:adjustRightInd w:val="0"/>
        <w:snapToGrid w:val="0"/>
        <w:spacing w:line="360" w:lineRule="auto"/>
        <w:rPr>
          <w:rFonts w:ascii="宋体" w:hAnsi="宋体" w:cs="宋体"/>
          <w:kern w:val="0"/>
          <w:szCs w:val="21"/>
        </w:rPr>
      </w:pPr>
      <w:r>
        <w:rPr>
          <w:rFonts w:hint="eastAsia" w:ascii="宋体" w:hAnsi="宋体" w:cs="宋体"/>
          <w:szCs w:val="21"/>
        </w:rPr>
        <w:t>供应商认为竞争性磋商文件使其权益受到损害的，在收到竞争性磋商文件之日或竞争性磋商文件公告期限届满之日起七个工作日内，按供应商须知前附表中接收质疑函的方式以书面形式一次性提出质疑。</w:t>
      </w:r>
    </w:p>
    <w:p>
      <w:pPr>
        <w:numPr>
          <w:ilvl w:val="0"/>
          <w:numId w:val="1"/>
        </w:numPr>
        <w:autoSpaceDE w:val="0"/>
        <w:autoSpaceDN w:val="0"/>
        <w:adjustRightInd w:val="0"/>
        <w:spacing w:line="360" w:lineRule="auto"/>
        <w:outlineLvl w:val="2"/>
        <w:rPr>
          <w:rFonts w:ascii="宋体" w:hAnsi="宋体" w:cs="宋体"/>
          <w:kern w:val="0"/>
          <w:szCs w:val="21"/>
        </w:rPr>
      </w:pPr>
      <w:bookmarkStart w:id="36" w:name="_Toc318"/>
      <w:r>
        <w:rPr>
          <w:rFonts w:hint="eastAsia" w:ascii="宋体" w:hAnsi="宋体" w:cs="宋体"/>
          <w:kern w:val="0"/>
          <w:szCs w:val="21"/>
        </w:rPr>
        <w:t>响应文件</w:t>
      </w:r>
      <w:bookmarkEnd w:id="36"/>
    </w:p>
    <w:p>
      <w:pPr>
        <w:numPr>
          <w:ilvl w:val="1"/>
          <w:numId w:val="1"/>
        </w:numPr>
        <w:autoSpaceDE w:val="0"/>
        <w:autoSpaceDN w:val="0"/>
        <w:adjustRightInd w:val="0"/>
        <w:snapToGrid w:val="0"/>
        <w:spacing w:line="360" w:lineRule="auto"/>
        <w:rPr>
          <w:rFonts w:ascii="宋体" w:hAnsi="宋体" w:cs="宋体"/>
          <w:kern w:val="0"/>
          <w:szCs w:val="21"/>
        </w:rPr>
      </w:pPr>
      <w:bookmarkStart w:id="37" w:name="_Toc195921812"/>
      <w:r>
        <w:rPr>
          <w:rFonts w:hint="eastAsia" w:ascii="宋体" w:hAnsi="宋体" w:cs="宋体"/>
          <w:kern w:val="0"/>
          <w:szCs w:val="21"/>
        </w:rPr>
        <w:t>响应文件的组成</w:t>
      </w:r>
      <w:bookmarkEnd w:id="37"/>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响应文件应包括下列内容：</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投标函及投标函附录</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磋商保证金</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技术规格偏离表</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商务条款偏离表</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分项报价表</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技术文件</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承诺</w:t>
      </w:r>
      <w:r>
        <w:rPr>
          <w:rFonts w:hint="eastAsia" w:ascii="宋体" w:hAnsi="宋体" w:cs="宋体"/>
          <w:kern w:val="0"/>
          <w:szCs w:val="21"/>
          <w:lang w:eastAsia="zh-CN"/>
        </w:rPr>
        <w:t>书</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售后服务承诺</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lang w:eastAsia="zh-CN"/>
        </w:rPr>
        <w:t>相应资质</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资格证明文件及相关资料</w:t>
      </w:r>
    </w:p>
    <w:p>
      <w:pPr>
        <w:numPr>
          <w:ilvl w:val="0"/>
          <w:numId w:val="3"/>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其他供应商认为有必要提供的材料</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38" w:name="_Toc195921813"/>
      <w:r>
        <w:rPr>
          <w:rFonts w:hint="eastAsia" w:ascii="宋体" w:hAnsi="宋体" w:cs="宋体"/>
          <w:kern w:val="0"/>
          <w:szCs w:val="21"/>
        </w:rPr>
        <w:t>投标报价</w:t>
      </w:r>
      <w:bookmarkEnd w:id="38"/>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bookmarkStart w:id="39" w:name="_Toc195921814"/>
      <w:r>
        <w:rPr>
          <w:rFonts w:hint="eastAsia" w:ascii="宋体" w:hAnsi="宋体" w:cs="宋体"/>
          <w:kern w:val="0"/>
          <w:szCs w:val="21"/>
        </w:rPr>
        <w:t>供应商应按竞争性磋商文件第六章提供的格式进行投标报价。</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所有根据合同或其它原因应由供应商支付的税款和其它应交纳的费用都应包括在供应商提交的投标价格中。</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报价应包含本项目所有税项。</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供应商应仔细阅读所有竞争性磋商文件，填报自己认为正确的报价。</w:t>
      </w:r>
    </w:p>
    <w:p>
      <w:pPr>
        <w:numPr>
          <w:ilvl w:val="1"/>
          <w:numId w:val="1"/>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供应商对采购内容只允许有一个报价，采购人不接受任何有选择的报价。</w:t>
      </w:r>
    </w:p>
    <w:p>
      <w:pPr>
        <w:numPr>
          <w:ilvl w:val="1"/>
          <w:numId w:val="1"/>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供应商根据本竞争性磋商文件的规定将投标价分成几部分，只是为了方便招标方对响应文件进行比较，并不限制采购人以上述任何条件订立合同的权力。</w:t>
      </w:r>
    </w:p>
    <w:p>
      <w:pPr>
        <w:numPr>
          <w:ilvl w:val="1"/>
          <w:numId w:val="1"/>
        </w:num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除非合同另有约定，供应商所报的投标价在合同执行过程中是固定不变的，不得以任何理由予以变更。任何包含价格调整要求的投标，将被认为是非响应性投标而予以拒绝。</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40" w:name="_Ref421009326"/>
      <w:r>
        <w:rPr>
          <w:rFonts w:hint="eastAsia" w:ascii="宋体" w:hAnsi="宋体" w:cs="宋体"/>
          <w:kern w:val="0"/>
          <w:szCs w:val="21"/>
        </w:rPr>
        <w:t>投标有效期</w:t>
      </w:r>
      <w:bookmarkEnd w:id="39"/>
      <w:bookmarkEnd w:id="40"/>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szCs w:val="21"/>
        </w:rPr>
        <w:t>本项目投标有效期见供应商须知前附表。投标有效期从提交响应文件的截止之日起算。响应文件中承诺的投标有效期应当不少于竞争性磋商文件中载明的投标有效期。</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在供应商须知前附表规定的投标有效期内，供应商不得要求撤销或修改其响应文件。</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r>
        <w:rPr>
          <w:rFonts w:hint="eastAsia" w:ascii="宋体" w:hAnsi="宋体" w:cs="宋体"/>
          <w:kern w:val="0"/>
          <w:szCs w:val="21"/>
        </w:rPr>
        <w:t>磋商保证金</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bookmarkStart w:id="41" w:name="_Ref419361076"/>
      <w:r>
        <w:rPr>
          <w:rFonts w:hint="eastAsia" w:ascii="宋体" w:hAnsi="宋体" w:cs="宋体"/>
          <w:kern w:val="0"/>
          <w:szCs w:val="21"/>
        </w:rPr>
        <w:t>供应商应按供应商须知前附表规定的金额、形式递交磋商保证金，并作为其响应文件的组成部分。联合体投标的，可以由联合体中的一方或者共同提交磋商保证金，以一方名义提交磋商保证金的，对联合体各方均具有约束力。</w:t>
      </w:r>
      <w:bookmarkEnd w:id="41"/>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供应商不按本章第3.7.1项要求提交磋商保证金的，其响应文件无效。</w:t>
      </w:r>
    </w:p>
    <w:p>
      <w:pPr>
        <w:numPr>
          <w:ilvl w:val="2"/>
          <w:numId w:val="1"/>
        </w:numPr>
        <w:tabs>
          <w:tab w:val="left" w:pos="1260"/>
        </w:tabs>
        <w:autoSpaceDE w:val="0"/>
        <w:autoSpaceDN w:val="0"/>
        <w:adjustRightInd w:val="0"/>
        <w:snapToGrid w:val="0"/>
        <w:spacing w:line="360" w:lineRule="auto"/>
        <w:rPr>
          <w:rFonts w:ascii="宋体" w:hAnsi="宋体" w:cs="宋体"/>
          <w:szCs w:val="21"/>
        </w:rPr>
      </w:pPr>
      <w:bookmarkStart w:id="42" w:name="_Ref419361088"/>
      <w:r>
        <w:rPr>
          <w:rFonts w:hint="eastAsia" w:ascii="宋体" w:hAnsi="宋体" w:cs="宋体"/>
          <w:szCs w:val="21"/>
        </w:rPr>
        <w:t>供应商在投标截止时间前，按竞争性磋商文件的要求向采购代理机构递交磋商保证金，投标截止时间之后递交的磋商保证金将被拒绝。</w:t>
      </w:r>
      <w:bookmarkEnd w:id="42"/>
    </w:p>
    <w:p>
      <w:pPr>
        <w:numPr>
          <w:ilvl w:val="2"/>
          <w:numId w:val="1"/>
        </w:numPr>
        <w:tabs>
          <w:tab w:val="left" w:pos="1260"/>
        </w:tabs>
        <w:autoSpaceDE w:val="0"/>
        <w:autoSpaceDN w:val="0"/>
        <w:adjustRightInd w:val="0"/>
        <w:snapToGrid w:val="0"/>
        <w:spacing w:line="360" w:lineRule="auto"/>
        <w:rPr>
          <w:rFonts w:ascii="宋体" w:hAnsi="宋体" w:cs="宋体"/>
          <w:szCs w:val="21"/>
        </w:rPr>
      </w:pPr>
      <w:r>
        <w:rPr>
          <w:rFonts w:hint="eastAsia" w:ascii="宋体" w:hAnsi="宋体" w:cs="宋体"/>
          <w:szCs w:val="21"/>
        </w:rPr>
        <w:t>供应商在汇款时务必注明所投标项目的招标编号及用途，否则，因款项用途不明导致投标无效等后果由供应商自行承担。</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采购人或者采购代理机构应当自成交通知书发出之日起5个工作日内退还未中标人的磋商保证金，自政府采购合同签订之日起5个工作日内退还中标人的磋商保证金</w:t>
      </w:r>
      <w:r>
        <w:rPr>
          <w:rFonts w:hint="eastAsia" w:ascii="宋体" w:hAnsi="宋体" w:cs="宋体"/>
          <w:szCs w:val="21"/>
        </w:rPr>
        <w:t>或者转为中标人的履约保证金</w:t>
      </w:r>
      <w:r>
        <w:rPr>
          <w:rFonts w:hint="eastAsia" w:ascii="宋体" w:hAnsi="宋体" w:cs="宋体"/>
          <w:kern w:val="0"/>
          <w:szCs w:val="21"/>
        </w:rPr>
        <w:t>。</w:t>
      </w:r>
    </w:p>
    <w:p>
      <w:pPr>
        <w:tabs>
          <w:tab w:val="left" w:pos="1260"/>
        </w:tabs>
        <w:autoSpaceDE w:val="0"/>
        <w:autoSpaceDN w:val="0"/>
        <w:adjustRightInd w:val="0"/>
        <w:snapToGrid w:val="0"/>
        <w:spacing w:line="360" w:lineRule="auto"/>
        <w:ind w:left="926" w:hanging="926" w:hangingChars="441"/>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采购人或者采购代理机构逾期退还磋商保证金的，除退还磋商保证金本金外，还应当按中国人民银行同期贷款基准利率上浮20％后的利率支付超期资金占用费，但因供应商自身原因导致无法及时退还的除外。</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szCs w:val="21"/>
        </w:rPr>
        <w:t>供应商有下列行为之一者，其磋商保证金可不予退还：</w:t>
      </w:r>
    </w:p>
    <w:p>
      <w:pPr>
        <w:tabs>
          <w:tab w:val="left" w:pos="1843"/>
        </w:tabs>
        <w:autoSpaceDE w:val="0"/>
        <w:autoSpaceDN w:val="0"/>
        <w:adjustRightInd w:val="0"/>
        <w:snapToGrid w:val="0"/>
        <w:spacing w:line="360" w:lineRule="auto"/>
        <w:ind w:left="1659" w:leftChars="540" w:hanging="525" w:hangingChars="250"/>
        <w:rPr>
          <w:rFonts w:ascii="宋体" w:hAnsi="宋体" w:cs="宋体"/>
          <w:kern w:val="0"/>
          <w:szCs w:val="21"/>
        </w:rPr>
      </w:pPr>
      <w:r>
        <w:rPr>
          <w:rFonts w:hint="eastAsia" w:ascii="宋体" w:hAnsi="宋体" w:cs="宋体"/>
          <w:kern w:val="0"/>
          <w:szCs w:val="21"/>
        </w:rPr>
        <w:t>（1）供应商在投标有效期内撤回响应文件的；</w:t>
      </w:r>
    </w:p>
    <w:p>
      <w:pPr>
        <w:tabs>
          <w:tab w:val="left" w:pos="1843"/>
        </w:tabs>
        <w:autoSpaceDE w:val="0"/>
        <w:autoSpaceDN w:val="0"/>
        <w:adjustRightInd w:val="0"/>
        <w:snapToGrid w:val="0"/>
        <w:spacing w:line="360" w:lineRule="auto"/>
        <w:ind w:left="1659" w:leftChars="540" w:hanging="525" w:hangingChars="250"/>
        <w:rPr>
          <w:rFonts w:ascii="宋体" w:hAnsi="宋体" w:cs="宋体"/>
          <w:kern w:val="0"/>
          <w:szCs w:val="21"/>
        </w:rPr>
      </w:pPr>
      <w:r>
        <w:rPr>
          <w:rFonts w:hint="eastAsia" w:ascii="宋体" w:hAnsi="宋体" w:cs="宋体"/>
          <w:kern w:val="0"/>
          <w:szCs w:val="21"/>
        </w:rPr>
        <w:t>（2）供应商在响应文件中提供虚假材料的；</w:t>
      </w:r>
    </w:p>
    <w:p>
      <w:pPr>
        <w:tabs>
          <w:tab w:val="left" w:pos="1843"/>
        </w:tabs>
        <w:autoSpaceDE w:val="0"/>
        <w:autoSpaceDN w:val="0"/>
        <w:adjustRightInd w:val="0"/>
        <w:snapToGrid w:val="0"/>
        <w:spacing w:line="360" w:lineRule="auto"/>
        <w:ind w:left="1659" w:leftChars="540" w:hanging="525" w:hangingChars="250"/>
        <w:rPr>
          <w:rFonts w:ascii="宋体" w:hAnsi="宋体" w:cs="宋体"/>
          <w:kern w:val="0"/>
          <w:szCs w:val="21"/>
        </w:rPr>
      </w:pPr>
      <w:r>
        <w:rPr>
          <w:rFonts w:hint="eastAsia" w:ascii="宋体" w:hAnsi="宋体" w:cs="宋体"/>
          <w:kern w:val="0"/>
          <w:szCs w:val="21"/>
        </w:rPr>
        <w:t>（3）除因不可抗力或竞争性磋商文件认可的情形以外，中标人不与采购人签订合同的；</w:t>
      </w:r>
    </w:p>
    <w:p>
      <w:pPr>
        <w:tabs>
          <w:tab w:val="left" w:pos="1843"/>
        </w:tabs>
        <w:autoSpaceDE w:val="0"/>
        <w:autoSpaceDN w:val="0"/>
        <w:adjustRightInd w:val="0"/>
        <w:snapToGrid w:val="0"/>
        <w:spacing w:line="360" w:lineRule="auto"/>
        <w:ind w:left="1659" w:leftChars="540" w:hanging="525" w:hangingChars="250"/>
        <w:rPr>
          <w:rFonts w:ascii="宋体" w:hAnsi="宋体" w:cs="宋体"/>
          <w:kern w:val="0"/>
          <w:szCs w:val="21"/>
        </w:rPr>
      </w:pPr>
      <w:r>
        <w:rPr>
          <w:rFonts w:hint="eastAsia" w:ascii="宋体" w:hAnsi="宋体" w:cs="宋体"/>
          <w:kern w:val="0"/>
          <w:szCs w:val="21"/>
        </w:rPr>
        <w:t>（4）供应商与采购人、其他供应商或者采购代理机构恶意串通的；</w:t>
      </w:r>
    </w:p>
    <w:p>
      <w:pPr>
        <w:tabs>
          <w:tab w:val="left" w:pos="1843"/>
        </w:tabs>
        <w:autoSpaceDE w:val="0"/>
        <w:autoSpaceDN w:val="0"/>
        <w:adjustRightInd w:val="0"/>
        <w:snapToGrid w:val="0"/>
        <w:spacing w:line="360" w:lineRule="auto"/>
        <w:ind w:left="1659" w:leftChars="540" w:hanging="525" w:hangingChars="250"/>
        <w:rPr>
          <w:rFonts w:ascii="宋体" w:hAnsi="宋体" w:cs="宋体"/>
          <w:kern w:val="0"/>
          <w:szCs w:val="21"/>
        </w:rPr>
      </w:pPr>
      <w:r>
        <w:rPr>
          <w:rFonts w:hint="eastAsia" w:ascii="宋体" w:hAnsi="宋体" w:cs="宋体"/>
          <w:kern w:val="0"/>
          <w:szCs w:val="21"/>
        </w:rPr>
        <w:t>（5）竞争性磋商文件规定应由中标人缴纳招标服务费而中标人未缴纳的；</w:t>
      </w:r>
    </w:p>
    <w:p>
      <w:pPr>
        <w:tabs>
          <w:tab w:val="left" w:pos="1843"/>
        </w:tabs>
        <w:autoSpaceDE w:val="0"/>
        <w:autoSpaceDN w:val="0"/>
        <w:adjustRightInd w:val="0"/>
        <w:snapToGrid w:val="0"/>
        <w:spacing w:line="360" w:lineRule="auto"/>
        <w:ind w:left="1659" w:leftChars="540" w:hanging="525" w:hangingChars="250"/>
        <w:rPr>
          <w:rFonts w:ascii="宋体" w:hAnsi="宋体" w:cs="宋体"/>
          <w:kern w:val="0"/>
          <w:szCs w:val="21"/>
        </w:rPr>
      </w:pPr>
      <w:r>
        <w:rPr>
          <w:rFonts w:hint="eastAsia" w:ascii="宋体" w:hAnsi="宋体" w:cs="宋体"/>
          <w:kern w:val="0"/>
          <w:szCs w:val="21"/>
        </w:rPr>
        <w:t>（6）竞争性磋商文件规定的其他情形。</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43" w:name="_Toc195921818"/>
      <w:r>
        <w:rPr>
          <w:rFonts w:hint="eastAsia" w:ascii="宋体" w:hAnsi="宋体" w:cs="宋体"/>
          <w:kern w:val="0"/>
          <w:szCs w:val="21"/>
        </w:rPr>
        <w:t>响应文件的编制</w:t>
      </w:r>
      <w:bookmarkEnd w:id="43"/>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响应文件应按第六章“响应文件构成、要求及格式”进行编写，如有必要，可以增加附页，作为响应文件的组成部分。供应商可以提出比竞争性磋商文件要求更有利于采购人的承诺。</w:t>
      </w:r>
    </w:p>
    <w:p>
      <w:pPr>
        <w:tabs>
          <w:tab w:val="left" w:pos="1260"/>
        </w:tabs>
        <w:autoSpaceDE w:val="0"/>
        <w:autoSpaceDN w:val="0"/>
        <w:adjustRightInd w:val="0"/>
        <w:snapToGrid w:val="0"/>
        <w:spacing w:line="360" w:lineRule="auto"/>
        <w:ind w:left="1134"/>
        <w:rPr>
          <w:rFonts w:ascii="宋体" w:hAnsi="宋体" w:cs="宋体"/>
          <w:kern w:val="0"/>
          <w:szCs w:val="21"/>
        </w:rPr>
      </w:pPr>
      <w:r>
        <w:rPr>
          <w:rFonts w:hint="eastAsia" w:ascii="宋体" w:hAnsi="宋体" w:cs="宋体"/>
          <w:kern w:val="0"/>
          <w:szCs w:val="21"/>
        </w:rPr>
        <w:t>响应文件应当对竞争性磋商文件有关交供货期、投标有效期、对招标范围以及</w:t>
      </w:r>
      <w:r>
        <w:rPr>
          <w:rFonts w:hint="eastAsia" w:ascii="宋体" w:hAnsi="宋体" w:cs="宋体"/>
          <w:szCs w:val="21"/>
        </w:rPr>
        <w:t>采购项目的技术要求、服务内容、服务标准、验收</w:t>
      </w:r>
      <w:r>
        <w:rPr>
          <w:rFonts w:hint="eastAsia" w:ascii="宋体" w:hAnsi="宋体" w:cs="宋体"/>
          <w:kern w:val="0"/>
          <w:szCs w:val="21"/>
        </w:rPr>
        <w:t>等实质性内容作出响应。</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响应文件正本需打印或用不褪色墨水书写，供应商的法定代表人或经授权的代表须根据竞争性磋商文件第六章的规定在响应文件中需要签字或盖章的位置签字（加盖人名章）或加盖单位公章。授权代表须持有书面的“法定代表人授权书”（标准格式附后），并将其附在响应文件中。签字或加盖人名章的其他要求见供应商须知前附表。</w:t>
      </w:r>
    </w:p>
    <w:p>
      <w:pPr>
        <w:tabs>
          <w:tab w:val="left" w:pos="1260"/>
        </w:tabs>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kern w:val="0"/>
          <w:szCs w:val="21"/>
        </w:rPr>
        <w:t>投标截止时间前，如对响应文件进行了修改，包括对响应文件行间插字、涂改和增删，均应由供应商的法定代表人或经正式授权的代表在修改的每一页上签字。</w:t>
      </w:r>
    </w:p>
    <w:p>
      <w:pPr>
        <w:tabs>
          <w:tab w:val="left" w:pos="1260"/>
        </w:tabs>
        <w:autoSpaceDE w:val="0"/>
        <w:autoSpaceDN w:val="0"/>
        <w:adjustRightInd w:val="0"/>
        <w:snapToGrid w:val="0"/>
        <w:spacing w:line="360" w:lineRule="auto"/>
        <w:ind w:left="1134" w:leftChars="540"/>
        <w:rPr>
          <w:rFonts w:ascii="宋体" w:hAnsi="宋体" w:cs="宋体"/>
          <w:kern w:val="0"/>
          <w:szCs w:val="21"/>
        </w:rPr>
      </w:pPr>
      <w:r>
        <w:rPr>
          <w:rFonts w:hint="eastAsia" w:ascii="宋体" w:hAnsi="宋体" w:cs="宋体"/>
          <w:kern w:val="0"/>
          <w:szCs w:val="21"/>
        </w:rPr>
        <w:t>响应文件的副本可采用正本的复印件。</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响应文件正本一份，副本份数见供应商须知前附表。正本和副本的封面上应清楚地标记“正本”或“副本”的字样。当副本和正本不一致时，以正本为准。</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响应文件的正本与副本应分别装订成册，并编制目录，具体分册及装订要求见供应商须知前附表规定。</w:t>
      </w:r>
    </w:p>
    <w:p>
      <w:pPr>
        <w:numPr>
          <w:ilvl w:val="0"/>
          <w:numId w:val="1"/>
        </w:numPr>
        <w:autoSpaceDE w:val="0"/>
        <w:autoSpaceDN w:val="0"/>
        <w:adjustRightInd w:val="0"/>
        <w:spacing w:line="360" w:lineRule="auto"/>
        <w:outlineLvl w:val="2"/>
        <w:rPr>
          <w:rFonts w:ascii="宋体" w:hAnsi="宋体" w:cs="宋体"/>
          <w:kern w:val="0"/>
          <w:szCs w:val="21"/>
        </w:rPr>
      </w:pPr>
      <w:bookmarkStart w:id="44" w:name="_Toc28752"/>
      <w:bookmarkStart w:id="45" w:name="_Toc15970"/>
      <w:bookmarkStart w:id="46" w:name="_Toc195921819"/>
      <w:r>
        <w:rPr>
          <w:rFonts w:hint="eastAsia" w:ascii="宋体" w:hAnsi="宋体" w:cs="宋体"/>
          <w:kern w:val="0"/>
          <w:szCs w:val="21"/>
        </w:rPr>
        <w:t>投标</w:t>
      </w:r>
      <w:bookmarkEnd w:id="44"/>
      <w:bookmarkEnd w:id="45"/>
      <w:bookmarkEnd w:id="46"/>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47" w:name="_Toc195921820"/>
      <w:r>
        <w:rPr>
          <w:rFonts w:hint="eastAsia" w:ascii="宋体" w:hAnsi="宋体" w:cs="宋体"/>
          <w:kern w:val="0"/>
          <w:szCs w:val="21"/>
        </w:rPr>
        <w:t>响应文件的密封和标记</w:t>
      </w:r>
      <w:bookmarkEnd w:id="47"/>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bookmarkStart w:id="48" w:name="_Ref421008470"/>
      <w:r>
        <w:rPr>
          <w:rFonts w:hint="eastAsia" w:ascii="宋体" w:hAnsi="宋体" w:cs="宋体"/>
          <w:kern w:val="0"/>
          <w:szCs w:val="21"/>
        </w:rPr>
        <w:t>响应文件应当密封。</w:t>
      </w:r>
      <w:bookmarkEnd w:id="48"/>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bookmarkStart w:id="49" w:name="_Ref421008478"/>
      <w:r>
        <w:rPr>
          <w:rFonts w:hint="eastAsia" w:ascii="宋体" w:hAnsi="宋体" w:cs="宋体"/>
          <w:kern w:val="0"/>
          <w:szCs w:val="21"/>
        </w:rPr>
        <w:t>响应文件的封套上应标识的其他内容见供应商须知前附表。</w:t>
      </w:r>
      <w:bookmarkEnd w:id="49"/>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未按本章第</w:t>
      </w:r>
      <w:r>
        <w:fldChar w:fldCharType="begin"/>
      </w:r>
      <w:r>
        <w:instrText xml:space="preserve">REF _Ref421008470 \r \h \* MERGEFORMAT </w:instrText>
      </w:r>
      <w:r>
        <w:fldChar w:fldCharType="separate"/>
      </w:r>
      <w:r>
        <w:rPr>
          <w:rFonts w:hint="eastAsia" w:ascii="宋体" w:hAnsi="宋体" w:cs="宋体"/>
          <w:kern w:val="0"/>
          <w:szCs w:val="21"/>
        </w:rPr>
        <w:t>4.1.1</w:t>
      </w:r>
      <w:r>
        <w:rPr>
          <w:rFonts w:hint="eastAsia" w:ascii="宋体" w:hAnsi="宋体" w:cs="宋体"/>
          <w:kern w:val="0"/>
          <w:szCs w:val="21"/>
        </w:rPr>
        <w:fldChar w:fldCharType="end"/>
      </w:r>
      <w:r>
        <w:rPr>
          <w:rFonts w:hint="eastAsia" w:ascii="宋体" w:hAnsi="宋体" w:cs="宋体"/>
          <w:kern w:val="0"/>
          <w:szCs w:val="21"/>
        </w:rPr>
        <w:t>项或第</w:t>
      </w:r>
      <w:r>
        <w:fldChar w:fldCharType="begin"/>
      </w:r>
      <w:r>
        <w:instrText xml:space="preserve">REF _Ref421008478 \r \h \* MERGEFORMAT </w:instrText>
      </w:r>
      <w:r>
        <w:fldChar w:fldCharType="separate"/>
      </w:r>
      <w:r>
        <w:rPr>
          <w:rFonts w:hint="eastAsia" w:ascii="宋体" w:hAnsi="宋体" w:cs="宋体"/>
          <w:kern w:val="0"/>
          <w:szCs w:val="21"/>
        </w:rPr>
        <w:t>4.1.2</w:t>
      </w:r>
      <w:r>
        <w:rPr>
          <w:rFonts w:hint="eastAsia" w:ascii="宋体" w:hAnsi="宋体" w:cs="宋体"/>
          <w:kern w:val="0"/>
          <w:szCs w:val="21"/>
        </w:rPr>
        <w:fldChar w:fldCharType="end"/>
      </w:r>
      <w:r>
        <w:rPr>
          <w:rFonts w:hint="eastAsia" w:ascii="宋体" w:hAnsi="宋体" w:cs="宋体"/>
          <w:kern w:val="0"/>
          <w:szCs w:val="21"/>
        </w:rPr>
        <w:t>项要求密封和加写标识的响应文件，采购人不予受理。</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50" w:name="_Toc195921821"/>
      <w:r>
        <w:rPr>
          <w:rFonts w:hint="eastAsia" w:ascii="宋体" w:hAnsi="宋体" w:cs="宋体"/>
          <w:kern w:val="0"/>
          <w:szCs w:val="21"/>
        </w:rPr>
        <w:t>响应文件的递交</w:t>
      </w:r>
      <w:bookmarkEnd w:id="50"/>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供应商应在</w:t>
      </w:r>
      <w:r>
        <w:rPr>
          <w:rFonts w:hint="eastAsia" w:ascii="宋体" w:hAnsi="宋体" w:cs="宋体"/>
          <w:szCs w:val="21"/>
        </w:rPr>
        <w:t>在竞争性磋商文件要求提交响应文件的截止时间前，将响应文件密封送达投标地点</w:t>
      </w:r>
      <w:r>
        <w:rPr>
          <w:rFonts w:hint="eastAsia" w:ascii="宋体" w:hAnsi="宋体" w:cs="宋体"/>
          <w:kern w:val="0"/>
          <w:szCs w:val="21"/>
        </w:rPr>
        <w:t>。</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供应商递交响应文件的地点：见招标公告。</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除供应商不足3家未开标情形外，供应商所递交的响应文件不予退还。</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szCs w:val="21"/>
        </w:rPr>
        <w:t>逾期送达或者未按照竞争性磋商文件要求密封的响应文件，采购人、采购代理机构应当拒收</w:t>
      </w:r>
      <w:r>
        <w:rPr>
          <w:rFonts w:hint="eastAsia" w:ascii="宋体" w:hAnsi="宋体" w:cs="宋体"/>
          <w:kern w:val="0"/>
          <w:szCs w:val="21"/>
        </w:rPr>
        <w:t>。</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51" w:name="_Toc195921822"/>
      <w:r>
        <w:rPr>
          <w:rFonts w:hint="eastAsia" w:ascii="宋体" w:hAnsi="宋体" w:cs="宋体"/>
          <w:kern w:val="0"/>
          <w:szCs w:val="21"/>
        </w:rPr>
        <w:t>响应文件的修改与撤回</w:t>
      </w:r>
      <w:bookmarkEnd w:id="51"/>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在招标公告规定的投标截止时间前，供应商可以修改或撤回已递交的响应文件，但应以书面形式通知采购人。</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修改的内容为响应文件的组成部分。修改的响应文件应按照本章第3条、第4条规定进行编制、密封、标记和递交，并标明“修改”字样。</w:t>
      </w:r>
    </w:p>
    <w:p>
      <w:pPr>
        <w:numPr>
          <w:ilvl w:val="1"/>
          <w:numId w:val="1"/>
        </w:numPr>
        <w:autoSpaceDE w:val="0"/>
        <w:autoSpaceDN w:val="0"/>
        <w:adjustRightInd w:val="0"/>
        <w:snapToGrid w:val="0"/>
        <w:spacing w:line="360" w:lineRule="auto"/>
        <w:ind w:left="991" w:hanging="991" w:hangingChars="472"/>
        <w:rPr>
          <w:rFonts w:ascii="宋体" w:hAnsi="宋体" w:cs="宋体"/>
        </w:rPr>
      </w:pPr>
      <w:r>
        <w:rPr>
          <w:rFonts w:hint="eastAsia" w:ascii="宋体" w:hAnsi="宋体" w:cs="宋体"/>
        </w:rPr>
        <w:t>构成响应文件的其他材料，见供应商须知前附表。</w:t>
      </w:r>
    </w:p>
    <w:p>
      <w:pPr>
        <w:numPr>
          <w:ilvl w:val="0"/>
          <w:numId w:val="1"/>
        </w:numPr>
        <w:autoSpaceDE w:val="0"/>
        <w:autoSpaceDN w:val="0"/>
        <w:adjustRightInd w:val="0"/>
        <w:spacing w:line="360" w:lineRule="auto"/>
        <w:outlineLvl w:val="2"/>
        <w:rPr>
          <w:rFonts w:ascii="宋体" w:hAnsi="宋体" w:cs="宋体"/>
          <w:kern w:val="0"/>
          <w:szCs w:val="21"/>
        </w:rPr>
      </w:pPr>
      <w:bookmarkStart w:id="52" w:name="_Toc16836"/>
      <w:bookmarkStart w:id="53" w:name="_Toc195921823"/>
      <w:bookmarkStart w:id="54" w:name="_Toc10568"/>
      <w:r>
        <w:rPr>
          <w:rFonts w:hint="eastAsia" w:ascii="宋体" w:hAnsi="宋体" w:cs="宋体"/>
          <w:kern w:val="0"/>
          <w:szCs w:val="21"/>
        </w:rPr>
        <w:t>开标</w:t>
      </w:r>
      <w:bookmarkEnd w:id="52"/>
      <w:bookmarkEnd w:id="53"/>
      <w:bookmarkEnd w:id="54"/>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55" w:name="_Toc195921824"/>
      <w:r>
        <w:rPr>
          <w:rFonts w:hint="eastAsia" w:ascii="宋体" w:hAnsi="宋体" w:cs="宋体"/>
          <w:kern w:val="0"/>
          <w:szCs w:val="21"/>
        </w:rPr>
        <w:t>开标时间和地点</w:t>
      </w:r>
      <w:bookmarkEnd w:id="55"/>
    </w:p>
    <w:p>
      <w:pPr>
        <w:tabs>
          <w:tab w:val="left" w:pos="1260"/>
        </w:tabs>
        <w:autoSpaceDE w:val="0"/>
        <w:autoSpaceDN w:val="0"/>
        <w:adjustRightInd w:val="0"/>
        <w:snapToGrid w:val="0"/>
        <w:spacing w:line="360" w:lineRule="auto"/>
        <w:ind w:left="1134"/>
        <w:rPr>
          <w:rFonts w:ascii="宋体" w:hAnsi="宋体" w:cs="宋体"/>
          <w:kern w:val="0"/>
          <w:szCs w:val="21"/>
        </w:rPr>
      </w:pPr>
      <w:r>
        <w:rPr>
          <w:rFonts w:hint="eastAsia" w:ascii="宋体" w:hAnsi="宋体" w:cs="宋体"/>
          <w:kern w:val="0"/>
          <w:szCs w:val="21"/>
        </w:rPr>
        <w:t>采购人在招标公告规定的投标截止时间（开标时间）和地点公开开标，并邀请所有供应商的法定代表人或其委托代理人准时参加。供应商未参加开标的，视同认可开标结果。</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r>
        <w:rPr>
          <w:rFonts w:hint="eastAsia" w:ascii="宋体" w:hAnsi="宋体" w:cs="宋体"/>
          <w:kern w:val="0"/>
          <w:szCs w:val="21"/>
        </w:rPr>
        <w:t>开标时，应当由供应商或者其推选的代表检查响应文件的密封情况；确认密封情况完好，直接进行评标。</w:t>
      </w:r>
    </w:p>
    <w:p>
      <w:pPr>
        <w:pStyle w:val="151"/>
        <w:snapToGrid w:val="0"/>
        <w:spacing w:line="360" w:lineRule="auto"/>
        <w:ind w:left="1659" w:leftChars="540" w:hanging="525" w:hangingChars="250"/>
        <w:rPr>
          <w:rFonts w:hAnsi="宋体" w:cs="宋体"/>
        </w:rPr>
      </w:pPr>
      <w:r>
        <w:rPr>
          <w:rFonts w:hint="eastAsia" w:hAnsi="宋体" w:cs="宋体"/>
        </w:rPr>
        <w:t>供应商不足3家的，不进行开标。</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r>
        <w:rPr>
          <w:rFonts w:hint="eastAsia" w:ascii="宋体" w:hAnsi="宋体" w:cs="宋体"/>
          <w:kern w:val="0"/>
          <w:szCs w:val="21"/>
        </w:rPr>
        <w:t>开标过程由采购人或者采购代理机构负责记录，由参加开标的各供应商代表和相关工作人员签字确认后随采购文件一并存档。</w:t>
      </w:r>
    </w:p>
    <w:p>
      <w:pPr>
        <w:pStyle w:val="151"/>
        <w:snapToGrid w:val="0"/>
        <w:spacing w:line="360" w:lineRule="auto"/>
        <w:ind w:left="1132" w:leftChars="539"/>
        <w:rPr>
          <w:rFonts w:hAnsi="宋体" w:cs="宋体"/>
        </w:rPr>
      </w:pPr>
      <w:r>
        <w:rPr>
          <w:rFonts w:hint="eastAsia" w:hAnsi="宋体" w:cs="宋体"/>
        </w:rPr>
        <w:t>供应商代表对开标过程和开标记录有疑义，以及认为采购人、采购代理机构相关工作人员有需要回避的情形的，应当场提出询问或者回避申请。</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r>
        <w:rPr>
          <w:rFonts w:hint="eastAsia" w:ascii="宋体" w:hAnsi="宋体" w:cs="宋体"/>
          <w:kern w:val="0"/>
          <w:szCs w:val="21"/>
        </w:rPr>
        <w:t>供应商对开标过程有疑义的，在开标结束后七个工作日内，按本须知2.5款接收质疑函的方式以书面形式一次性提出质疑。</w:t>
      </w:r>
    </w:p>
    <w:p>
      <w:pPr>
        <w:numPr>
          <w:ilvl w:val="0"/>
          <w:numId w:val="1"/>
        </w:numPr>
        <w:autoSpaceDE w:val="0"/>
        <w:autoSpaceDN w:val="0"/>
        <w:adjustRightInd w:val="0"/>
        <w:spacing w:line="360" w:lineRule="auto"/>
        <w:outlineLvl w:val="2"/>
        <w:rPr>
          <w:rFonts w:ascii="宋体" w:hAnsi="宋体" w:cs="宋体"/>
          <w:kern w:val="0"/>
          <w:szCs w:val="21"/>
        </w:rPr>
      </w:pPr>
      <w:bookmarkStart w:id="56" w:name="_Toc14534"/>
      <w:bookmarkStart w:id="57" w:name="_Toc6719"/>
      <w:bookmarkStart w:id="58" w:name="_Toc195921826"/>
      <w:r>
        <w:rPr>
          <w:rFonts w:hint="eastAsia" w:ascii="宋体" w:hAnsi="宋体" w:cs="宋体"/>
          <w:kern w:val="0"/>
          <w:szCs w:val="21"/>
        </w:rPr>
        <w:t>资格审查</w:t>
      </w:r>
      <w:bookmarkEnd w:id="56"/>
      <w:bookmarkEnd w:id="57"/>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r>
        <w:rPr>
          <w:rFonts w:hint="eastAsia" w:ascii="宋体" w:hAnsi="宋体" w:cs="宋体"/>
          <w:kern w:val="0"/>
          <w:szCs w:val="21"/>
        </w:rPr>
        <w:t>开标结束后，竞争性磋商小组依法对供应商的资格进行审查。</w:t>
      </w:r>
    </w:p>
    <w:p>
      <w:pPr>
        <w:pStyle w:val="151"/>
        <w:snapToGrid w:val="0"/>
        <w:spacing w:line="360" w:lineRule="auto"/>
        <w:ind w:left="1132" w:leftChars="539"/>
        <w:rPr>
          <w:rFonts w:hAnsi="宋体" w:cs="宋体"/>
        </w:rPr>
      </w:pPr>
      <w:r>
        <w:rPr>
          <w:rFonts w:hint="eastAsia" w:hAnsi="宋体" w:cs="宋体"/>
        </w:rPr>
        <w:t>合格供应商不足3家的，不进行评标。</w:t>
      </w:r>
    </w:p>
    <w:p>
      <w:pPr>
        <w:numPr>
          <w:ilvl w:val="0"/>
          <w:numId w:val="1"/>
        </w:numPr>
        <w:autoSpaceDE w:val="0"/>
        <w:autoSpaceDN w:val="0"/>
        <w:adjustRightInd w:val="0"/>
        <w:spacing w:line="360" w:lineRule="auto"/>
        <w:outlineLvl w:val="2"/>
        <w:rPr>
          <w:rFonts w:ascii="宋体" w:hAnsi="宋体" w:cs="宋体"/>
          <w:kern w:val="0"/>
          <w:szCs w:val="21"/>
        </w:rPr>
      </w:pPr>
      <w:bookmarkStart w:id="59" w:name="_Toc30234"/>
      <w:bookmarkStart w:id="60" w:name="_Toc13389"/>
      <w:r>
        <w:rPr>
          <w:rFonts w:hint="eastAsia" w:ascii="宋体" w:hAnsi="宋体" w:cs="宋体"/>
          <w:kern w:val="0"/>
          <w:szCs w:val="21"/>
        </w:rPr>
        <w:t>评标</w:t>
      </w:r>
      <w:bookmarkEnd w:id="58"/>
      <w:bookmarkEnd w:id="59"/>
      <w:bookmarkEnd w:id="60"/>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r>
        <w:rPr>
          <w:rFonts w:hint="eastAsia" w:ascii="宋体" w:hAnsi="宋体" w:cs="宋体"/>
          <w:kern w:val="0"/>
          <w:szCs w:val="21"/>
        </w:rPr>
        <w:t>磋商小组</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评标由采购人依法组建的磋商小组负责。磋商小组由采购人代表和有关技术、经济等方面的专家组成。</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磋商小组成员有下列情形之一的，应当回避：</w:t>
      </w:r>
    </w:p>
    <w:p>
      <w:pPr>
        <w:pStyle w:val="151"/>
        <w:snapToGrid w:val="0"/>
        <w:spacing w:line="360" w:lineRule="auto"/>
        <w:ind w:left="1659" w:leftChars="540" w:hanging="525" w:hangingChars="250"/>
        <w:rPr>
          <w:rFonts w:hAnsi="宋体" w:cs="宋体"/>
        </w:rPr>
      </w:pPr>
      <w:r>
        <w:rPr>
          <w:rFonts w:hint="eastAsia" w:hAnsi="宋体" w:cs="宋体"/>
        </w:rPr>
        <w:t>（1）参加采购活动前3年内与供应商存在劳动关系；</w:t>
      </w:r>
    </w:p>
    <w:p>
      <w:pPr>
        <w:pStyle w:val="151"/>
        <w:snapToGrid w:val="0"/>
        <w:spacing w:line="360" w:lineRule="auto"/>
        <w:ind w:left="1659" w:leftChars="540" w:hanging="525" w:hangingChars="250"/>
        <w:rPr>
          <w:rFonts w:hAnsi="宋体" w:cs="宋体"/>
        </w:rPr>
      </w:pPr>
      <w:r>
        <w:rPr>
          <w:rFonts w:hint="eastAsia" w:hAnsi="宋体" w:cs="宋体"/>
        </w:rPr>
        <w:t>（2）参加采购活动前3年内担任供应商的董事、监事；</w:t>
      </w:r>
    </w:p>
    <w:p>
      <w:pPr>
        <w:pStyle w:val="151"/>
        <w:snapToGrid w:val="0"/>
        <w:spacing w:line="360" w:lineRule="auto"/>
        <w:ind w:left="1659" w:leftChars="540" w:hanging="525" w:hangingChars="250"/>
        <w:rPr>
          <w:rFonts w:hAnsi="宋体" w:cs="宋体"/>
        </w:rPr>
      </w:pPr>
      <w:r>
        <w:rPr>
          <w:rFonts w:hint="eastAsia" w:hAnsi="宋体" w:cs="宋体"/>
        </w:rPr>
        <w:t>（3）参加采购活动前3年内是供应商的控股股东或者实际控制人；</w:t>
      </w:r>
    </w:p>
    <w:p>
      <w:pPr>
        <w:pStyle w:val="151"/>
        <w:snapToGrid w:val="0"/>
        <w:spacing w:line="360" w:lineRule="auto"/>
        <w:ind w:left="1659" w:leftChars="540" w:hanging="525" w:hangingChars="250"/>
        <w:rPr>
          <w:rFonts w:hAnsi="宋体" w:cs="宋体"/>
        </w:rPr>
      </w:pPr>
      <w:r>
        <w:rPr>
          <w:rFonts w:hint="eastAsia" w:hAnsi="宋体" w:cs="宋体"/>
        </w:rPr>
        <w:t>（4）与供应商的法定代表人或者负责人有夫妻、直系血亲、三代以内旁系血亲或者近姻亲关系；</w:t>
      </w:r>
    </w:p>
    <w:p>
      <w:pPr>
        <w:pStyle w:val="151"/>
        <w:snapToGrid w:val="0"/>
        <w:spacing w:line="360" w:lineRule="auto"/>
        <w:ind w:left="1659" w:leftChars="540" w:hanging="525" w:hangingChars="250"/>
        <w:rPr>
          <w:rFonts w:hAnsi="宋体" w:cs="宋体"/>
        </w:rPr>
      </w:pPr>
      <w:r>
        <w:rPr>
          <w:rFonts w:hint="eastAsia" w:hAnsi="宋体" w:cs="宋体"/>
        </w:rPr>
        <w:t>（5）与供应商有其他可能影响政府采购活动公平、公正进行的关系。</w:t>
      </w:r>
    </w:p>
    <w:p>
      <w:pPr>
        <w:numPr>
          <w:ilvl w:val="2"/>
          <w:numId w:val="1"/>
        </w:numPr>
        <w:tabs>
          <w:tab w:val="left" w:pos="1260"/>
          <w:tab w:val="left" w:pos="1418"/>
          <w:tab w:val="left" w:pos="180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磋商小组</w:t>
      </w:r>
      <w:r>
        <w:rPr>
          <w:rFonts w:hint="eastAsia" w:ascii="宋体" w:hAnsi="宋体" w:cs="宋体"/>
          <w:szCs w:val="21"/>
        </w:rPr>
        <w:t>负责具体评标事务，并独立履行下列职责</w:t>
      </w:r>
      <w:r>
        <w:rPr>
          <w:rFonts w:hint="eastAsia" w:ascii="宋体" w:hAnsi="宋体" w:cs="宋体"/>
          <w:kern w:val="0"/>
          <w:szCs w:val="21"/>
        </w:rPr>
        <w:t>：</w:t>
      </w:r>
    </w:p>
    <w:p>
      <w:pPr>
        <w:pStyle w:val="151"/>
        <w:snapToGrid w:val="0"/>
        <w:spacing w:line="360" w:lineRule="auto"/>
        <w:ind w:left="1751" w:leftChars="539" w:hanging="619" w:hangingChars="295"/>
        <w:rPr>
          <w:rFonts w:hAnsi="宋体" w:cs="宋体"/>
        </w:rPr>
      </w:pPr>
      <w:bookmarkStart w:id="61" w:name="_Toc195921828"/>
      <w:r>
        <w:rPr>
          <w:rFonts w:hint="eastAsia" w:hAnsi="宋体" w:cs="宋体"/>
        </w:rPr>
        <w:t>（1）</w:t>
      </w:r>
      <w:r>
        <w:rPr>
          <w:rFonts w:hint="eastAsia" w:hAnsi="宋体" w:cs="宋体"/>
        </w:rPr>
        <w:tab/>
      </w:r>
      <w:r>
        <w:rPr>
          <w:rFonts w:hint="eastAsia" w:hAnsi="宋体" w:cs="宋体"/>
        </w:rPr>
        <w:t>审查、评价响应文件是否符合竞争性磋商文件的商务、技术等实质性要求；</w:t>
      </w:r>
    </w:p>
    <w:p>
      <w:pPr>
        <w:pStyle w:val="151"/>
        <w:snapToGrid w:val="0"/>
        <w:spacing w:line="360" w:lineRule="auto"/>
        <w:ind w:left="1751" w:leftChars="539" w:hanging="619" w:hangingChars="295"/>
        <w:rPr>
          <w:rFonts w:hAnsi="宋体" w:cs="宋体"/>
        </w:rPr>
      </w:pPr>
      <w:r>
        <w:rPr>
          <w:rFonts w:hint="eastAsia" w:hAnsi="宋体" w:cs="宋体"/>
        </w:rPr>
        <w:t>（2）</w:t>
      </w:r>
      <w:r>
        <w:rPr>
          <w:rFonts w:hint="eastAsia" w:hAnsi="宋体" w:cs="宋体"/>
        </w:rPr>
        <w:tab/>
      </w:r>
      <w:r>
        <w:rPr>
          <w:rFonts w:hint="eastAsia" w:hAnsi="宋体" w:cs="宋体"/>
        </w:rPr>
        <w:t>要求供应商对响应文件有关事项作出澄清或者说明；</w:t>
      </w:r>
    </w:p>
    <w:p>
      <w:pPr>
        <w:pStyle w:val="151"/>
        <w:snapToGrid w:val="0"/>
        <w:spacing w:line="360" w:lineRule="auto"/>
        <w:ind w:left="1751" w:leftChars="539" w:hanging="619" w:hangingChars="295"/>
        <w:rPr>
          <w:rFonts w:hAnsi="宋体" w:cs="宋体"/>
        </w:rPr>
      </w:pPr>
      <w:r>
        <w:rPr>
          <w:rFonts w:hint="eastAsia" w:hAnsi="宋体" w:cs="宋体"/>
        </w:rPr>
        <w:t>（3）</w:t>
      </w:r>
      <w:r>
        <w:rPr>
          <w:rFonts w:hint="eastAsia" w:hAnsi="宋体" w:cs="宋体"/>
        </w:rPr>
        <w:tab/>
      </w:r>
      <w:r>
        <w:rPr>
          <w:rFonts w:hint="eastAsia" w:hAnsi="宋体" w:cs="宋体"/>
        </w:rPr>
        <w:t>对响应文件进行比较和评价；</w:t>
      </w:r>
    </w:p>
    <w:p>
      <w:pPr>
        <w:pStyle w:val="151"/>
        <w:snapToGrid w:val="0"/>
        <w:spacing w:line="360" w:lineRule="auto"/>
        <w:ind w:left="1751" w:leftChars="539" w:hanging="619" w:hangingChars="295"/>
        <w:rPr>
          <w:rFonts w:hAnsi="宋体" w:cs="宋体"/>
        </w:rPr>
      </w:pPr>
      <w:r>
        <w:rPr>
          <w:rFonts w:hint="eastAsia" w:hAnsi="宋体" w:cs="宋体"/>
        </w:rPr>
        <w:t>（4）</w:t>
      </w:r>
      <w:r>
        <w:rPr>
          <w:rFonts w:hint="eastAsia" w:hAnsi="宋体" w:cs="宋体"/>
        </w:rPr>
        <w:tab/>
      </w:r>
      <w:r>
        <w:rPr>
          <w:rFonts w:hint="eastAsia" w:hAnsi="宋体" w:cs="宋体"/>
        </w:rPr>
        <w:t>确定中标候选人名单，以及根据采购人委托直接确定中标人；</w:t>
      </w:r>
    </w:p>
    <w:p>
      <w:pPr>
        <w:pStyle w:val="151"/>
        <w:snapToGrid w:val="0"/>
        <w:spacing w:line="360" w:lineRule="auto"/>
        <w:ind w:left="1751" w:leftChars="539" w:hanging="619" w:hangingChars="295"/>
        <w:rPr>
          <w:rFonts w:hAnsi="宋体" w:cs="宋体"/>
        </w:rPr>
      </w:pPr>
      <w:r>
        <w:rPr>
          <w:rFonts w:hint="eastAsia" w:hAnsi="宋体" w:cs="宋体"/>
        </w:rPr>
        <w:t>（5）</w:t>
      </w:r>
      <w:r>
        <w:rPr>
          <w:rFonts w:hint="eastAsia" w:hAnsi="宋体" w:cs="宋体"/>
        </w:rPr>
        <w:tab/>
      </w:r>
      <w:r>
        <w:rPr>
          <w:rFonts w:hint="eastAsia" w:hAnsi="宋体" w:cs="宋体"/>
        </w:rPr>
        <w:t>向采购人、采购代理机构或者有关部门报告评标中发现的违法行为。</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r>
        <w:rPr>
          <w:rFonts w:hint="eastAsia" w:ascii="宋体" w:hAnsi="宋体" w:cs="宋体"/>
          <w:szCs w:val="21"/>
        </w:rPr>
        <w:t>磋商小组应当对符合资格的供应商的响应文件进行符合性审查，以确定其是否满足竞争性磋商文件的实质性要求。</w:t>
      </w:r>
      <w:bookmarkEnd w:id="61"/>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r>
        <w:rPr>
          <w:rFonts w:hint="eastAsia" w:ascii="宋体" w:hAnsi="宋体" w:cs="宋体"/>
          <w:kern w:val="0"/>
          <w:szCs w:val="21"/>
        </w:rPr>
        <w:t>不同供应商以相同品牌产品参加同一合同项下投标，且通过资格审查、符合性审查的，按一家供应商计算，评审后得分最高的同品牌供应商获得中标人推荐资格；其他同品牌供应商不作为中标候选人。</w:t>
      </w:r>
    </w:p>
    <w:p>
      <w:pPr>
        <w:tabs>
          <w:tab w:val="left" w:pos="1260"/>
        </w:tabs>
        <w:autoSpaceDE w:val="0"/>
        <w:autoSpaceDN w:val="0"/>
        <w:adjustRightInd w:val="0"/>
        <w:snapToGrid w:val="0"/>
        <w:spacing w:line="360" w:lineRule="auto"/>
        <w:ind w:left="1132" w:leftChars="539"/>
        <w:rPr>
          <w:rFonts w:ascii="宋体" w:hAnsi="宋体" w:cs="宋体"/>
          <w:kern w:val="0"/>
          <w:szCs w:val="21"/>
        </w:rPr>
      </w:pPr>
      <w:r>
        <w:rPr>
          <w:rFonts w:hint="eastAsia" w:ascii="宋体" w:hAnsi="宋体" w:cs="宋体"/>
          <w:kern w:val="0"/>
          <w:szCs w:val="21"/>
        </w:rPr>
        <w:t>非单一产品采购项目，多家供应商提供的核心产品品牌相同的，按前款规定处理。</w:t>
      </w:r>
    </w:p>
    <w:p>
      <w:pPr>
        <w:numPr>
          <w:ilvl w:val="1"/>
          <w:numId w:val="1"/>
        </w:numPr>
        <w:autoSpaceDE w:val="0"/>
        <w:autoSpaceDN w:val="0"/>
        <w:adjustRightInd w:val="0"/>
        <w:snapToGrid w:val="0"/>
        <w:spacing w:line="360" w:lineRule="auto"/>
        <w:ind w:left="991" w:hanging="991" w:hangingChars="472"/>
        <w:rPr>
          <w:rFonts w:ascii="宋体" w:hAnsi="宋体" w:cs="宋体"/>
          <w:szCs w:val="21"/>
        </w:rPr>
      </w:pPr>
      <w:r>
        <w:rPr>
          <w:rFonts w:hint="eastAsia" w:ascii="宋体" w:hAnsi="宋体" w:cs="宋体"/>
          <w:szCs w:val="21"/>
        </w:rPr>
        <w:t>磋商小组按照第三章“资格审查、评标办法和标准”规定的评标方法和标准，对符合性审查合格的响应文件进行商务和技术评估，综合比较与评价。“评标办法”没有规定的方法、评审因素和标准，不作为评标依据。</w:t>
      </w:r>
    </w:p>
    <w:p>
      <w:pPr>
        <w:numPr>
          <w:ilvl w:val="1"/>
          <w:numId w:val="1"/>
        </w:numPr>
        <w:autoSpaceDE w:val="0"/>
        <w:autoSpaceDN w:val="0"/>
        <w:adjustRightInd w:val="0"/>
        <w:snapToGrid w:val="0"/>
        <w:spacing w:line="360" w:lineRule="auto"/>
        <w:ind w:left="991" w:hanging="991" w:hangingChars="472"/>
        <w:rPr>
          <w:rFonts w:ascii="宋体" w:hAnsi="宋体" w:cs="宋体"/>
          <w:szCs w:val="21"/>
        </w:rPr>
      </w:pPr>
      <w:r>
        <w:rPr>
          <w:rFonts w:hint="eastAsia" w:ascii="宋体" w:hAnsi="宋体" w:cs="宋体"/>
          <w:szCs w:val="21"/>
        </w:rPr>
        <w:t>在评标过程中发现供应商有不遵循公平竞争的原则，恶意串通，妨碍其他供应商的竞争行为，损害采购人或者其他供应商的合法权益的，磋商小组应当认定其投标无效，并书面报告本级财政部门。</w:t>
      </w:r>
    </w:p>
    <w:p>
      <w:pPr>
        <w:numPr>
          <w:ilvl w:val="1"/>
          <w:numId w:val="1"/>
        </w:numPr>
        <w:autoSpaceDE w:val="0"/>
        <w:autoSpaceDN w:val="0"/>
        <w:adjustRightInd w:val="0"/>
        <w:snapToGrid w:val="0"/>
        <w:spacing w:line="360" w:lineRule="auto"/>
        <w:ind w:left="991" w:hanging="991" w:hangingChars="472"/>
        <w:rPr>
          <w:rFonts w:ascii="宋体" w:hAnsi="宋体" w:cs="宋体"/>
          <w:szCs w:val="21"/>
        </w:rPr>
      </w:pPr>
      <w:r>
        <w:rPr>
          <w:rFonts w:hint="eastAsia" w:ascii="宋体" w:hAnsi="宋体" w:cs="宋体"/>
          <w:szCs w:val="21"/>
        </w:rPr>
        <w:t>公开招标数额标准以上的采购项目，投标截止后供应商不足3家或者通过资格审查或符合性审查的供应商不足3家的，除采购任务取消情形外，将重新招标或采用其他采购方式采购。</w:t>
      </w:r>
    </w:p>
    <w:p>
      <w:pPr>
        <w:numPr>
          <w:ilvl w:val="0"/>
          <w:numId w:val="1"/>
        </w:numPr>
        <w:autoSpaceDE w:val="0"/>
        <w:autoSpaceDN w:val="0"/>
        <w:adjustRightInd w:val="0"/>
        <w:spacing w:line="360" w:lineRule="auto"/>
        <w:outlineLvl w:val="2"/>
        <w:rPr>
          <w:rFonts w:ascii="宋体" w:hAnsi="宋体" w:cs="宋体"/>
          <w:kern w:val="0"/>
          <w:szCs w:val="21"/>
        </w:rPr>
      </w:pPr>
      <w:bookmarkStart w:id="62" w:name="_Toc19223"/>
      <w:bookmarkStart w:id="63" w:name="_Toc30754"/>
      <w:bookmarkStart w:id="64" w:name="_Toc195921830"/>
      <w:r>
        <w:rPr>
          <w:rFonts w:hint="eastAsia" w:ascii="宋体" w:hAnsi="宋体" w:cs="宋体"/>
          <w:kern w:val="0"/>
          <w:szCs w:val="21"/>
        </w:rPr>
        <w:t>合同授予</w:t>
      </w:r>
      <w:bookmarkEnd w:id="62"/>
      <w:bookmarkEnd w:id="63"/>
      <w:bookmarkEnd w:id="64"/>
    </w:p>
    <w:p>
      <w:pPr>
        <w:numPr>
          <w:ilvl w:val="1"/>
          <w:numId w:val="1"/>
        </w:numPr>
        <w:autoSpaceDE w:val="0"/>
        <w:autoSpaceDN w:val="0"/>
        <w:adjustRightInd w:val="0"/>
        <w:snapToGrid w:val="0"/>
        <w:spacing w:line="360" w:lineRule="auto"/>
        <w:ind w:left="1470" w:hanging="1470" w:hangingChars="700"/>
        <w:rPr>
          <w:rFonts w:ascii="宋体" w:hAnsi="宋体" w:cs="宋体"/>
          <w:kern w:val="0"/>
          <w:szCs w:val="21"/>
        </w:rPr>
      </w:pPr>
      <w:bookmarkStart w:id="65" w:name="_Toc195921831"/>
      <w:r>
        <w:rPr>
          <w:rFonts w:hint="eastAsia" w:ascii="宋体" w:hAnsi="宋体" w:cs="宋体"/>
          <w:kern w:val="0"/>
          <w:szCs w:val="21"/>
        </w:rPr>
        <w:t>定标方式</w:t>
      </w:r>
      <w:bookmarkEnd w:id="65"/>
    </w:p>
    <w:p>
      <w:pPr>
        <w:tabs>
          <w:tab w:val="left" w:pos="1260"/>
        </w:tabs>
        <w:autoSpaceDE w:val="0"/>
        <w:autoSpaceDN w:val="0"/>
        <w:adjustRightInd w:val="0"/>
        <w:snapToGrid w:val="0"/>
        <w:spacing w:line="360" w:lineRule="auto"/>
        <w:ind w:left="1134"/>
        <w:rPr>
          <w:rFonts w:ascii="宋体" w:hAnsi="宋体" w:cs="宋体"/>
          <w:kern w:val="0"/>
          <w:szCs w:val="21"/>
        </w:rPr>
      </w:pPr>
      <w:r>
        <w:rPr>
          <w:rFonts w:hint="eastAsia" w:ascii="宋体" w:hAnsi="宋体" w:cs="宋体"/>
          <w:szCs w:val="21"/>
        </w:rPr>
        <w:t>采购人按评标报告确定的中标候选人名单中按顺序确定中标人。磋商小组确定的中标候选人的人数见供应商须知前附表。</w:t>
      </w:r>
    </w:p>
    <w:p>
      <w:pPr>
        <w:numPr>
          <w:ilvl w:val="1"/>
          <w:numId w:val="1"/>
        </w:numPr>
        <w:autoSpaceDE w:val="0"/>
        <w:autoSpaceDN w:val="0"/>
        <w:adjustRightInd w:val="0"/>
        <w:snapToGrid w:val="0"/>
        <w:spacing w:line="360" w:lineRule="auto"/>
        <w:ind w:left="1470" w:hanging="1470" w:hangingChars="700"/>
        <w:rPr>
          <w:rFonts w:ascii="宋体" w:hAnsi="宋体" w:cs="宋体"/>
          <w:kern w:val="0"/>
          <w:szCs w:val="21"/>
        </w:rPr>
      </w:pPr>
      <w:r>
        <w:rPr>
          <w:rFonts w:hint="eastAsia" w:ascii="宋体" w:hAnsi="宋体" w:cs="宋体"/>
          <w:kern w:val="0"/>
          <w:szCs w:val="21"/>
        </w:rPr>
        <w:t>中标公告</w:t>
      </w:r>
    </w:p>
    <w:p>
      <w:pPr>
        <w:numPr>
          <w:ilvl w:val="2"/>
          <w:numId w:val="1"/>
        </w:numPr>
        <w:tabs>
          <w:tab w:val="left" w:pos="1260"/>
        </w:tabs>
        <w:autoSpaceDE w:val="0"/>
        <w:autoSpaceDN w:val="0"/>
        <w:adjustRightInd w:val="0"/>
        <w:snapToGrid w:val="0"/>
        <w:spacing w:line="360" w:lineRule="auto"/>
        <w:rPr>
          <w:rFonts w:ascii="宋体" w:hAnsi="宋体" w:cs="宋体"/>
          <w:szCs w:val="21"/>
        </w:rPr>
      </w:pPr>
      <w:r>
        <w:rPr>
          <w:rFonts w:hint="eastAsia" w:ascii="宋体" w:hAnsi="宋体" w:cs="宋体"/>
          <w:szCs w:val="21"/>
        </w:rPr>
        <w:t>采购人或者采购代理机构应当自中标人确定之日起2个工作日内，在省级以上财政部门指定的媒体上公告中标结果。</w:t>
      </w:r>
    </w:p>
    <w:p>
      <w:pPr>
        <w:tabs>
          <w:tab w:val="left" w:pos="1260"/>
        </w:tabs>
        <w:autoSpaceDE w:val="0"/>
        <w:autoSpaceDN w:val="0"/>
        <w:adjustRightInd w:val="0"/>
        <w:snapToGrid w:val="0"/>
        <w:spacing w:line="360" w:lineRule="auto"/>
        <w:ind w:left="1134"/>
        <w:rPr>
          <w:rFonts w:ascii="宋体" w:hAnsi="宋体" w:cs="宋体"/>
          <w:szCs w:val="21"/>
        </w:rPr>
      </w:pPr>
      <w:r>
        <w:rPr>
          <w:rFonts w:hint="eastAsia" w:ascii="宋体" w:hAnsi="宋体" w:cs="宋体"/>
          <w:szCs w:val="21"/>
        </w:rPr>
        <w:t>中标公告期限为1个工作日。</w:t>
      </w:r>
    </w:p>
    <w:p>
      <w:pPr>
        <w:numPr>
          <w:ilvl w:val="2"/>
          <w:numId w:val="1"/>
        </w:numPr>
        <w:tabs>
          <w:tab w:val="left" w:pos="1260"/>
        </w:tabs>
        <w:autoSpaceDE w:val="0"/>
        <w:autoSpaceDN w:val="0"/>
        <w:adjustRightInd w:val="0"/>
        <w:snapToGrid w:val="0"/>
        <w:spacing w:line="360" w:lineRule="auto"/>
        <w:rPr>
          <w:rFonts w:ascii="宋体" w:hAnsi="宋体" w:cs="宋体"/>
          <w:szCs w:val="21"/>
        </w:rPr>
      </w:pPr>
      <w:r>
        <w:rPr>
          <w:rFonts w:hint="eastAsia" w:ascii="宋体" w:hAnsi="宋体" w:cs="宋体"/>
          <w:kern w:val="0"/>
          <w:szCs w:val="21"/>
        </w:rPr>
        <w:t>供应商对中标结果有疑义的，在中标公告期限届满之日</w:t>
      </w:r>
      <w:r>
        <w:rPr>
          <w:rFonts w:hint="eastAsia" w:ascii="宋体" w:hAnsi="宋体" w:cs="宋体"/>
          <w:szCs w:val="21"/>
        </w:rPr>
        <w:t>起七个工作日内，按本须知2.5款接收质疑函的方式以书面形式一次性提出对中标结果的质疑。</w:t>
      </w:r>
    </w:p>
    <w:p>
      <w:pPr>
        <w:numPr>
          <w:ilvl w:val="1"/>
          <w:numId w:val="1"/>
        </w:numPr>
        <w:autoSpaceDE w:val="0"/>
        <w:autoSpaceDN w:val="0"/>
        <w:adjustRightInd w:val="0"/>
        <w:snapToGrid w:val="0"/>
        <w:spacing w:line="360" w:lineRule="auto"/>
        <w:ind w:left="1470" w:hanging="1470" w:hangingChars="700"/>
        <w:rPr>
          <w:rFonts w:ascii="宋体" w:hAnsi="宋体" w:cs="宋体"/>
          <w:kern w:val="0"/>
          <w:szCs w:val="21"/>
        </w:rPr>
      </w:pPr>
      <w:bookmarkStart w:id="66" w:name="_Toc195921832"/>
      <w:r>
        <w:rPr>
          <w:rFonts w:hint="eastAsia" w:ascii="宋体" w:hAnsi="宋体" w:cs="宋体"/>
          <w:kern w:val="0"/>
          <w:szCs w:val="21"/>
        </w:rPr>
        <w:t>中标通知</w:t>
      </w:r>
      <w:bookmarkEnd w:id="66"/>
    </w:p>
    <w:p>
      <w:pPr>
        <w:tabs>
          <w:tab w:val="left" w:pos="1260"/>
        </w:tabs>
        <w:autoSpaceDE w:val="0"/>
        <w:autoSpaceDN w:val="0"/>
        <w:adjustRightInd w:val="0"/>
        <w:snapToGrid w:val="0"/>
        <w:spacing w:line="360" w:lineRule="auto"/>
        <w:ind w:left="1134"/>
        <w:rPr>
          <w:rFonts w:ascii="宋体" w:hAnsi="宋体" w:cs="宋体"/>
          <w:kern w:val="0"/>
          <w:szCs w:val="21"/>
        </w:rPr>
      </w:pPr>
      <w:r>
        <w:rPr>
          <w:rFonts w:hint="eastAsia" w:ascii="宋体" w:hAnsi="宋体" w:cs="宋体"/>
          <w:kern w:val="0"/>
          <w:szCs w:val="21"/>
        </w:rPr>
        <w:t>在公告中标结果的同时，采购人以书面形式向中标人发出成交通知书，同时将中标结果通知未中标的供应商。</w:t>
      </w:r>
    </w:p>
    <w:p>
      <w:pPr>
        <w:tabs>
          <w:tab w:val="left" w:pos="1260"/>
        </w:tabs>
        <w:autoSpaceDE w:val="0"/>
        <w:autoSpaceDN w:val="0"/>
        <w:adjustRightInd w:val="0"/>
        <w:snapToGrid w:val="0"/>
        <w:spacing w:line="360" w:lineRule="auto"/>
        <w:ind w:left="1134"/>
        <w:rPr>
          <w:rFonts w:ascii="宋体" w:hAnsi="宋体" w:cs="宋体"/>
          <w:kern w:val="0"/>
          <w:szCs w:val="21"/>
        </w:rPr>
      </w:pPr>
      <w:r>
        <w:rPr>
          <w:rFonts w:hint="eastAsia" w:ascii="宋体" w:hAnsi="宋体" w:cs="宋体"/>
          <w:szCs w:val="21"/>
        </w:rPr>
        <w:t>成交通知书发出后，采购人不得违法改变中标结果，中标人无正当理由不得放弃中标。</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r>
        <w:rPr>
          <w:rFonts w:hint="eastAsia" w:ascii="宋体" w:hAnsi="宋体" w:cs="宋体"/>
          <w:kern w:val="0"/>
          <w:szCs w:val="21"/>
        </w:rPr>
        <w:t>履约保证金</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bookmarkStart w:id="67" w:name="_Ref421009348"/>
      <w:r>
        <w:rPr>
          <w:rFonts w:hint="eastAsia" w:ascii="宋体" w:hAnsi="宋体" w:cs="宋体"/>
          <w:kern w:val="0"/>
          <w:szCs w:val="21"/>
        </w:rPr>
        <w:t>在签订合同前，中标人应按供应商须知前附表规定的金额、担保形式和竞争性磋商文件第四章“合同条款及格式”规定的履约保证金格式向采购人提交履约保证金。</w:t>
      </w:r>
      <w:bookmarkEnd w:id="67"/>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中标人不能按本章第</w:t>
      </w:r>
      <w:r>
        <w:fldChar w:fldCharType="begin"/>
      </w:r>
      <w:r>
        <w:instrText xml:space="preserve">REF _Ref421009348 \r \h \* MERGEFORMAT </w:instrText>
      </w:r>
      <w:r>
        <w:fldChar w:fldCharType="separate"/>
      </w:r>
      <w:r>
        <w:rPr>
          <w:rFonts w:hint="eastAsia" w:ascii="宋体" w:hAnsi="宋体" w:cs="宋体"/>
          <w:kern w:val="0"/>
          <w:szCs w:val="21"/>
        </w:rPr>
        <w:t>8.4.1</w:t>
      </w:r>
      <w:r>
        <w:rPr>
          <w:rFonts w:hint="eastAsia" w:ascii="宋体" w:hAnsi="宋体" w:cs="宋体"/>
          <w:kern w:val="0"/>
          <w:szCs w:val="21"/>
        </w:rPr>
        <w:fldChar w:fldCharType="end"/>
      </w:r>
      <w:r>
        <w:rPr>
          <w:rFonts w:hint="eastAsia" w:ascii="宋体" w:hAnsi="宋体" w:cs="宋体"/>
          <w:kern w:val="0"/>
          <w:szCs w:val="21"/>
        </w:rPr>
        <w:t>项要求提交履约保证金的，视为放弃中标，其磋商保证金不予退还，给采购人造成的损失超过磋商保证金数额的，中标人还应当对超过部分予以赔偿。</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68" w:name="_Toc195921834"/>
      <w:r>
        <w:rPr>
          <w:rFonts w:hint="eastAsia" w:ascii="宋体" w:hAnsi="宋体" w:cs="宋体"/>
          <w:kern w:val="0"/>
          <w:szCs w:val="21"/>
        </w:rPr>
        <w:t>签订合同</w:t>
      </w:r>
      <w:bookmarkEnd w:id="68"/>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szCs w:val="21"/>
        </w:rPr>
        <w:t>采购人应当自成交通知书发出之日起30日内，按照竞争性磋商文件和中标人响应文件的规定，与中标人签订书面合同。所签订的合同不得对竞争性磋商文件确定的事项和中标人响应文件作实质性修改。</w:t>
      </w:r>
    </w:p>
    <w:p>
      <w:pPr>
        <w:tabs>
          <w:tab w:val="left" w:pos="1260"/>
        </w:tabs>
        <w:autoSpaceDE w:val="0"/>
        <w:autoSpaceDN w:val="0"/>
        <w:adjustRightInd w:val="0"/>
        <w:snapToGrid w:val="0"/>
        <w:spacing w:line="360" w:lineRule="auto"/>
        <w:ind w:left="1134"/>
        <w:rPr>
          <w:rFonts w:ascii="宋体" w:hAnsi="宋体" w:cs="宋体"/>
          <w:szCs w:val="21"/>
        </w:rPr>
      </w:pPr>
      <w:r>
        <w:rPr>
          <w:rFonts w:hint="eastAsia" w:ascii="宋体" w:hAnsi="宋体" w:cs="宋体"/>
          <w:szCs w:val="21"/>
        </w:rPr>
        <w:t>采购人不得向中标人提出任何不合理的要求作为签订合同的条件。</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中标人无正当理由拒签合同的，采购人取消其中标资格，其磋商保证金不予退还；给采购人造成的损失超过磋商保证金数额的，中标人还应当对超过部分予以赔偿。</w:t>
      </w:r>
    </w:p>
    <w:p>
      <w:pPr>
        <w:numPr>
          <w:ilvl w:val="2"/>
          <w:numId w:val="1"/>
        </w:numPr>
        <w:tabs>
          <w:tab w:val="left" w:pos="1260"/>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发出成交通知书后，采购人无正当理由拒签合同的，采购人向中标人退还磋商保证金；给中标人造成损失的，还应当赔偿损失。</w:t>
      </w:r>
    </w:p>
    <w:p>
      <w:pPr>
        <w:numPr>
          <w:ilvl w:val="0"/>
          <w:numId w:val="1"/>
        </w:numPr>
        <w:autoSpaceDE w:val="0"/>
        <w:autoSpaceDN w:val="0"/>
        <w:adjustRightInd w:val="0"/>
        <w:spacing w:line="360" w:lineRule="auto"/>
        <w:outlineLvl w:val="2"/>
        <w:rPr>
          <w:rFonts w:ascii="宋体" w:hAnsi="宋体" w:cs="宋体"/>
          <w:kern w:val="0"/>
          <w:szCs w:val="21"/>
        </w:rPr>
      </w:pPr>
      <w:bookmarkStart w:id="69" w:name="_Toc2343"/>
      <w:bookmarkStart w:id="70" w:name="_Toc11289"/>
      <w:bookmarkStart w:id="71" w:name="_Toc195921838"/>
      <w:r>
        <w:rPr>
          <w:rFonts w:hint="eastAsia" w:ascii="宋体" w:hAnsi="宋体" w:cs="宋体"/>
          <w:kern w:val="0"/>
          <w:szCs w:val="21"/>
        </w:rPr>
        <w:t>纪律和监督</w:t>
      </w:r>
      <w:bookmarkEnd w:id="69"/>
      <w:bookmarkEnd w:id="70"/>
      <w:bookmarkEnd w:id="71"/>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72" w:name="_Toc195921839"/>
      <w:r>
        <w:rPr>
          <w:rFonts w:hint="eastAsia" w:ascii="宋体" w:hAnsi="宋体" w:cs="宋体"/>
          <w:kern w:val="0"/>
          <w:szCs w:val="21"/>
        </w:rPr>
        <w:t>对采购人的要求</w:t>
      </w:r>
      <w:bookmarkEnd w:id="72"/>
    </w:p>
    <w:p>
      <w:pPr>
        <w:tabs>
          <w:tab w:val="left" w:pos="1260"/>
        </w:tabs>
        <w:autoSpaceDE w:val="0"/>
        <w:autoSpaceDN w:val="0"/>
        <w:adjustRightInd w:val="0"/>
        <w:snapToGrid w:val="0"/>
        <w:spacing w:line="360" w:lineRule="auto"/>
        <w:ind w:left="1134"/>
        <w:rPr>
          <w:rFonts w:ascii="宋体" w:hAnsi="宋体" w:cs="宋体"/>
          <w:kern w:val="0"/>
          <w:szCs w:val="21"/>
        </w:rPr>
      </w:pPr>
      <w:r>
        <w:rPr>
          <w:rFonts w:hint="eastAsia" w:ascii="宋体" w:hAnsi="宋体" w:cs="宋体"/>
          <w:szCs w:val="21"/>
        </w:rPr>
        <w:t>采购人在政府采购活动中应当维护国家利益和社会公共利益，公正廉洁，诚实守信，执行政府采购政策。采购人不得向供应商索要或者接受其给予的赠品、回扣或者与采购无关的其他商品、服务</w:t>
      </w:r>
      <w:r>
        <w:rPr>
          <w:rFonts w:hint="eastAsia" w:ascii="宋体" w:hAnsi="宋体" w:cs="宋体"/>
          <w:kern w:val="0"/>
          <w:szCs w:val="21"/>
        </w:rPr>
        <w:t>。</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73" w:name="_Toc195921840"/>
      <w:r>
        <w:rPr>
          <w:rFonts w:hint="eastAsia" w:ascii="宋体" w:hAnsi="宋体" w:cs="宋体"/>
          <w:kern w:val="0"/>
          <w:szCs w:val="21"/>
        </w:rPr>
        <w:t>对采购代理机构的要求</w:t>
      </w:r>
    </w:p>
    <w:p>
      <w:pPr>
        <w:tabs>
          <w:tab w:val="left" w:pos="1260"/>
        </w:tabs>
        <w:autoSpaceDE w:val="0"/>
        <w:autoSpaceDN w:val="0"/>
        <w:adjustRightInd w:val="0"/>
        <w:snapToGrid w:val="0"/>
        <w:spacing w:line="360" w:lineRule="auto"/>
        <w:ind w:left="1134"/>
        <w:rPr>
          <w:rFonts w:ascii="宋体" w:hAnsi="宋体" w:cs="宋体"/>
          <w:szCs w:val="21"/>
        </w:rPr>
      </w:pPr>
      <w:r>
        <w:rPr>
          <w:rFonts w:hint="eastAsia" w:ascii="宋体" w:hAnsi="宋体" w:cs="宋体"/>
          <w:szCs w:val="21"/>
        </w:rPr>
        <w:t>采购代理机构不得与采购人、供应商恶意串通操纵政府采购活动。</w:t>
      </w:r>
    </w:p>
    <w:p>
      <w:pPr>
        <w:tabs>
          <w:tab w:val="left" w:pos="1260"/>
        </w:tabs>
        <w:autoSpaceDE w:val="0"/>
        <w:autoSpaceDN w:val="0"/>
        <w:adjustRightInd w:val="0"/>
        <w:snapToGrid w:val="0"/>
        <w:spacing w:line="360" w:lineRule="auto"/>
        <w:ind w:left="1134"/>
        <w:rPr>
          <w:rFonts w:ascii="宋体" w:hAnsi="宋体" w:cs="宋体"/>
          <w:szCs w:val="21"/>
        </w:rPr>
      </w:pPr>
      <w:r>
        <w:rPr>
          <w:rFonts w:hint="eastAsia" w:ascii="宋体" w:hAnsi="宋体" w:cs="宋体"/>
          <w:szCs w:val="21"/>
        </w:rPr>
        <w:t>采购代理机构工作人员不得接受采购人或者供应商组织的宴请、旅游、娱乐，不得收受礼品、现金、有价证券等，不得向采购人或者供应商报销应当由个人承担的费用。</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r>
        <w:rPr>
          <w:rFonts w:hint="eastAsia" w:ascii="宋体" w:hAnsi="宋体" w:cs="宋体"/>
          <w:kern w:val="0"/>
          <w:szCs w:val="21"/>
        </w:rPr>
        <w:t>对供应商的纪律要求</w:t>
      </w:r>
      <w:bookmarkEnd w:id="73"/>
    </w:p>
    <w:p>
      <w:pPr>
        <w:tabs>
          <w:tab w:val="left" w:pos="1260"/>
        </w:tabs>
        <w:autoSpaceDE w:val="0"/>
        <w:autoSpaceDN w:val="0"/>
        <w:adjustRightInd w:val="0"/>
        <w:snapToGrid w:val="0"/>
        <w:spacing w:line="360" w:lineRule="auto"/>
        <w:ind w:left="1134"/>
        <w:rPr>
          <w:rFonts w:ascii="宋体" w:hAnsi="宋体" w:cs="宋体"/>
          <w:kern w:val="0"/>
          <w:szCs w:val="21"/>
        </w:rPr>
      </w:pPr>
      <w:r>
        <w:rPr>
          <w:rFonts w:hint="eastAsia" w:ascii="宋体" w:hAnsi="宋体" w:cs="宋体"/>
          <w:kern w:val="0"/>
          <w:szCs w:val="21"/>
        </w:rPr>
        <w:t>供应商不得相互串通投标或者与采购人串通投标，不得向采购人或者磋商小组成员行贿谋取中标，不得以他人名义投标或者以其他方式弄虚作假骗取中标；供应商不得以任何方式干扰、影响评标工作。</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74" w:name="_Toc195921841"/>
      <w:r>
        <w:rPr>
          <w:rFonts w:hint="eastAsia" w:ascii="宋体" w:hAnsi="宋体" w:cs="宋体"/>
          <w:kern w:val="0"/>
          <w:szCs w:val="21"/>
        </w:rPr>
        <w:t>磋商小组及其成员不得有下列行为</w:t>
      </w:r>
      <w:bookmarkEnd w:id="74"/>
    </w:p>
    <w:p>
      <w:pPr>
        <w:snapToGrid w:val="0"/>
        <w:spacing w:line="360" w:lineRule="auto"/>
        <w:ind w:left="1751" w:leftChars="539" w:hanging="619" w:hangingChars="295"/>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确定参与评标至评标结束前私自接触供应商；</w:t>
      </w:r>
    </w:p>
    <w:p>
      <w:pPr>
        <w:snapToGrid w:val="0"/>
        <w:spacing w:line="360" w:lineRule="auto"/>
        <w:ind w:left="1751" w:leftChars="539" w:hanging="619" w:hangingChars="295"/>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接受供应商提出的与响应文件不一致的澄清或者说明，磋商小组要求供应商作出必要的澄清、说明或者补正的情形除外；</w:t>
      </w:r>
    </w:p>
    <w:p>
      <w:pPr>
        <w:snapToGrid w:val="0"/>
        <w:spacing w:line="360" w:lineRule="auto"/>
        <w:ind w:left="1751" w:leftChars="539" w:hanging="619" w:hangingChars="295"/>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违反评标纪律发表倾向性意见或者征询采购人的倾向性意见；</w:t>
      </w:r>
    </w:p>
    <w:p>
      <w:pPr>
        <w:snapToGrid w:val="0"/>
        <w:spacing w:line="360" w:lineRule="auto"/>
        <w:ind w:left="1751" w:leftChars="539" w:hanging="619" w:hangingChars="295"/>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对需要专业判断的主观评审因素协商评分；</w:t>
      </w:r>
    </w:p>
    <w:p>
      <w:pPr>
        <w:snapToGrid w:val="0"/>
        <w:spacing w:line="360" w:lineRule="auto"/>
        <w:ind w:left="1751" w:leftChars="539" w:hanging="619" w:hangingChars="295"/>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在评标过程中擅离职守，影响评标程序正常进行的；</w:t>
      </w:r>
    </w:p>
    <w:p>
      <w:pPr>
        <w:snapToGrid w:val="0"/>
        <w:spacing w:line="360" w:lineRule="auto"/>
        <w:ind w:left="1751" w:leftChars="539" w:hanging="619" w:hangingChars="295"/>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记录、复制或者带走任何评标资料；</w:t>
      </w:r>
    </w:p>
    <w:p>
      <w:pPr>
        <w:snapToGrid w:val="0"/>
        <w:spacing w:line="360" w:lineRule="auto"/>
        <w:ind w:left="1751" w:leftChars="539" w:hanging="619" w:hangingChars="295"/>
        <w:rPr>
          <w:rFonts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其他不遵守评标纪律的行为。</w:t>
      </w:r>
    </w:p>
    <w:p>
      <w:pPr>
        <w:numPr>
          <w:ilvl w:val="1"/>
          <w:numId w:val="1"/>
        </w:numPr>
        <w:autoSpaceDE w:val="0"/>
        <w:autoSpaceDN w:val="0"/>
        <w:adjustRightInd w:val="0"/>
        <w:snapToGrid w:val="0"/>
        <w:spacing w:line="360" w:lineRule="auto"/>
        <w:ind w:left="991" w:hanging="991" w:hangingChars="472"/>
        <w:rPr>
          <w:rFonts w:ascii="宋体" w:hAnsi="宋体" w:cs="宋体"/>
          <w:kern w:val="0"/>
          <w:szCs w:val="21"/>
        </w:rPr>
      </w:pPr>
      <w:bookmarkStart w:id="75" w:name="_Toc195921842"/>
      <w:r>
        <w:rPr>
          <w:rFonts w:hint="eastAsia" w:ascii="宋体" w:hAnsi="宋体" w:cs="宋体"/>
          <w:kern w:val="0"/>
          <w:szCs w:val="21"/>
        </w:rPr>
        <w:t>对与评标活动有关的工作人员的纪律要求</w:t>
      </w:r>
      <w:bookmarkEnd w:id="75"/>
    </w:p>
    <w:p>
      <w:pPr>
        <w:tabs>
          <w:tab w:val="left" w:pos="1260"/>
        </w:tabs>
        <w:autoSpaceDE w:val="0"/>
        <w:autoSpaceDN w:val="0"/>
        <w:adjustRightInd w:val="0"/>
        <w:snapToGrid w:val="0"/>
        <w:spacing w:line="360" w:lineRule="auto"/>
        <w:ind w:left="1134"/>
        <w:rPr>
          <w:rFonts w:ascii="宋体" w:hAnsi="宋体" w:cs="宋体"/>
          <w:kern w:val="0"/>
          <w:szCs w:val="21"/>
        </w:rPr>
      </w:pPr>
      <w:r>
        <w:rPr>
          <w:rFonts w:hint="eastAsia" w:ascii="宋体" w:hAnsi="宋体" w:cs="宋体"/>
          <w:kern w:val="0"/>
          <w:szCs w:val="21"/>
        </w:rPr>
        <w:t>与评标活动有关的工作人员不得收受他人的财物或者其他好处，不得向他人透漏对响应文件的评审和比较、中标候选人的推荐情况以及评标有关的其他情况。在评标活动中，与评标活动有关的工作人员不得擅离职守，影响评标程序正常进行。</w:t>
      </w:r>
    </w:p>
    <w:p>
      <w:pPr>
        <w:numPr>
          <w:ilvl w:val="1"/>
          <w:numId w:val="1"/>
        </w:numPr>
        <w:autoSpaceDE w:val="0"/>
        <w:autoSpaceDN w:val="0"/>
        <w:adjustRightInd w:val="0"/>
        <w:snapToGrid w:val="0"/>
        <w:spacing w:line="360" w:lineRule="auto"/>
        <w:ind w:left="1680" w:hanging="1680" w:hangingChars="800"/>
        <w:rPr>
          <w:rFonts w:ascii="宋体" w:hAnsi="宋体" w:cs="宋体"/>
          <w:kern w:val="0"/>
          <w:szCs w:val="21"/>
        </w:rPr>
      </w:pPr>
      <w:bookmarkStart w:id="76" w:name="_Toc195921843"/>
      <w:r>
        <w:rPr>
          <w:rFonts w:hint="eastAsia" w:ascii="宋体" w:hAnsi="宋体" w:cs="宋体"/>
          <w:kern w:val="0"/>
          <w:szCs w:val="21"/>
        </w:rPr>
        <w:t>投诉</w:t>
      </w:r>
      <w:bookmarkEnd w:id="76"/>
    </w:p>
    <w:p>
      <w:pPr>
        <w:tabs>
          <w:tab w:val="left" w:pos="1260"/>
        </w:tabs>
        <w:autoSpaceDE w:val="0"/>
        <w:autoSpaceDN w:val="0"/>
        <w:adjustRightInd w:val="0"/>
        <w:snapToGrid w:val="0"/>
        <w:spacing w:line="360" w:lineRule="auto"/>
        <w:ind w:left="1134"/>
        <w:rPr>
          <w:rFonts w:ascii="宋体" w:hAnsi="宋体" w:cs="宋体"/>
          <w:kern w:val="0"/>
          <w:szCs w:val="21"/>
        </w:rPr>
      </w:pPr>
      <w:r>
        <w:rPr>
          <w:rFonts w:hint="eastAsia" w:ascii="宋体" w:hAnsi="宋体" w:cs="宋体"/>
          <w:kern w:val="0"/>
          <w:szCs w:val="21"/>
        </w:rPr>
        <w:t>供应商和其他利害关系人认为本次招标活动违反法律、法规和规章规定的，有权向有关行政监督部门投诉。</w:t>
      </w:r>
    </w:p>
    <w:p>
      <w:pPr>
        <w:numPr>
          <w:ilvl w:val="0"/>
          <w:numId w:val="1"/>
        </w:numPr>
        <w:autoSpaceDE w:val="0"/>
        <w:autoSpaceDN w:val="0"/>
        <w:adjustRightInd w:val="0"/>
        <w:spacing w:line="360" w:lineRule="auto"/>
        <w:outlineLvl w:val="2"/>
        <w:rPr>
          <w:rFonts w:ascii="宋体" w:hAnsi="宋体" w:cs="宋体"/>
          <w:kern w:val="0"/>
          <w:szCs w:val="21"/>
        </w:rPr>
      </w:pPr>
      <w:bookmarkStart w:id="77" w:name="_Toc29652"/>
      <w:bookmarkStart w:id="78" w:name="_Toc27074"/>
      <w:bookmarkStart w:id="79" w:name="_Toc195921844"/>
      <w:r>
        <w:rPr>
          <w:rFonts w:hint="eastAsia" w:ascii="宋体" w:hAnsi="宋体" w:cs="宋体"/>
          <w:kern w:val="0"/>
          <w:szCs w:val="21"/>
        </w:rPr>
        <w:t>需要补充的其他内容</w:t>
      </w:r>
      <w:bookmarkEnd w:id="77"/>
      <w:bookmarkEnd w:id="78"/>
      <w:bookmarkEnd w:id="79"/>
    </w:p>
    <w:p>
      <w:pPr>
        <w:numPr>
          <w:ilvl w:val="0"/>
          <w:numId w:val="4"/>
        </w:numPr>
        <w:tabs>
          <w:tab w:val="left" w:pos="1843"/>
        </w:tabs>
        <w:autoSpaceDE w:val="0"/>
        <w:autoSpaceDN w:val="0"/>
        <w:adjustRightInd w:val="0"/>
        <w:snapToGrid w:val="0"/>
        <w:spacing w:line="360" w:lineRule="auto"/>
        <w:ind w:left="1843" w:hanging="822"/>
        <w:rPr>
          <w:rFonts w:ascii="宋体" w:hAnsi="宋体" w:cs="宋体"/>
          <w:kern w:val="0"/>
          <w:szCs w:val="21"/>
        </w:rPr>
      </w:pPr>
      <w:r>
        <w:rPr>
          <w:rFonts w:hint="eastAsia" w:ascii="宋体" w:hAnsi="宋体" w:cs="宋体"/>
          <w:kern w:val="0"/>
          <w:szCs w:val="21"/>
        </w:rPr>
        <w:t>向采购代理机构交纳招标服务费。</w:t>
      </w:r>
    </w:p>
    <w:p>
      <w:pPr>
        <w:tabs>
          <w:tab w:val="left" w:pos="1843"/>
        </w:tabs>
        <w:autoSpaceDE w:val="0"/>
        <w:autoSpaceDN w:val="0"/>
        <w:adjustRightInd w:val="0"/>
        <w:snapToGrid w:val="0"/>
        <w:spacing w:line="360" w:lineRule="auto"/>
        <w:ind w:left="1843"/>
        <w:rPr>
          <w:rFonts w:ascii="宋体" w:hAnsi="宋体" w:cs="宋体"/>
          <w:kern w:val="0"/>
          <w:szCs w:val="21"/>
        </w:rPr>
      </w:pPr>
      <w:r>
        <w:rPr>
          <w:rFonts w:hint="eastAsia" w:ascii="宋体" w:hAnsi="宋体" w:cs="宋体"/>
          <w:kern w:val="0"/>
          <w:szCs w:val="21"/>
        </w:rPr>
        <w:t>依据国家发展改革委“发改价格【2015】299号”文件要求。</w:t>
      </w:r>
    </w:p>
    <w:p>
      <w:pPr>
        <w:numPr>
          <w:ilvl w:val="0"/>
          <w:numId w:val="4"/>
        </w:numPr>
        <w:tabs>
          <w:tab w:val="left" w:pos="1843"/>
        </w:tabs>
        <w:autoSpaceDE w:val="0"/>
        <w:autoSpaceDN w:val="0"/>
        <w:adjustRightInd w:val="0"/>
        <w:snapToGrid w:val="0"/>
        <w:spacing w:line="360" w:lineRule="auto"/>
        <w:ind w:left="1843" w:hanging="822"/>
        <w:rPr>
          <w:rFonts w:ascii="宋体" w:hAnsi="宋体" w:cs="宋体"/>
          <w:kern w:val="0"/>
          <w:szCs w:val="21"/>
        </w:rPr>
      </w:pPr>
      <w:r>
        <w:rPr>
          <w:rFonts w:hint="eastAsia" w:ascii="宋体" w:hAnsi="宋体" w:cs="宋体"/>
          <w:kern w:val="0"/>
          <w:szCs w:val="21"/>
        </w:rPr>
        <w:t>需要补充的其他内容：见供应商须知前附表。</w:t>
      </w:r>
    </w:p>
    <w:p>
      <w:pPr>
        <w:widowControl/>
        <w:jc w:val="left"/>
        <w:rPr>
          <w:rFonts w:ascii="宋体" w:hAnsi="宋体" w:cs="宋体"/>
          <w:kern w:val="0"/>
          <w:sz w:val="24"/>
        </w:rPr>
      </w:pPr>
    </w:p>
    <w:p>
      <w:pPr>
        <w:rPr>
          <w:rFonts w:ascii="宋体" w:hAnsi="宋体" w:cs="宋体"/>
          <w:b/>
          <w:sz w:val="32"/>
          <w:szCs w:val="32"/>
        </w:rPr>
      </w:pPr>
      <w:bookmarkStart w:id="80" w:name="_Toc11311827"/>
      <w:bookmarkStart w:id="81" w:name="_Toc152042358"/>
      <w:bookmarkStart w:id="82" w:name="_Toc152045581"/>
      <w:bookmarkStart w:id="83" w:name="_Toc5357"/>
      <w:bookmarkStart w:id="84" w:name="_Toc179632599"/>
      <w:bookmarkStart w:id="85" w:name="_Toc247085739"/>
      <w:bookmarkStart w:id="86" w:name="_Toc144974548"/>
      <w:bookmarkStart w:id="87" w:name="_Toc324863678"/>
      <w:r>
        <w:rPr>
          <w:rFonts w:hint="eastAsia" w:ascii="宋体" w:hAnsi="宋体" w:cs="宋体"/>
          <w:b/>
          <w:sz w:val="32"/>
          <w:szCs w:val="32"/>
        </w:rPr>
        <w:br w:type="page"/>
      </w:r>
    </w:p>
    <w:p>
      <w:pPr>
        <w:spacing w:line="400" w:lineRule="exact"/>
        <w:jc w:val="left"/>
        <w:rPr>
          <w:rFonts w:ascii="宋体" w:hAnsi="宋体" w:cs="宋体"/>
          <w:b/>
          <w:sz w:val="32"/>
          <w:szCs w:val="32"/>
        </w:rPr>
      </w:pPr>
      <w:r>
        <w:rPr>
          <w:rFonts w:hint="eastAsia" w:ascii="宋体" w:hAnsi="宋体" w:cs="宋体"/>
          <w:b/>
          <w:sz w:val="32"/>
          <w:szCs w:val="32"/>
        </w:rPr>
        <w:t>附件一：最后报价记录表</w:t>
      </w:r>
      <w:bookmarkEnd w:id="80"/>
      <w:bookmarkEnd w:id="81"/>
      <w:bookmarkEnd w:id="82"/>
      <w:bookmarkEnd w:id="83"/>
      <w:bookmarkEnd w:id="84"/>
      <w:bookmarkEnd w:id="85"/>
      <w:bookmarkEnd w:id="86"/>
      <w:bookmarkEnd w:id="87"/>
    </w:p>
    <w:p>
      <w:pPr>
        <w:spacing w:line="400" w:lineRule="exact"/>
        <w:jc w:val="center"/>
        <w:rPr>
          <w:rFonts w:ascii="宋体" w:hAnsi="宋体" w:cs="宋体"/>
          <w:szCs w:val="21"/>
          <w:u w:val="single"/>
        </w:rPr>
      </w:pPr>
    </w:p>
    <w:p>
      <w:pPr>
        <w:spacing w:line="400" w:lineRule="exact"/>
        <w:jc w:val="center"/>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（项目名称）最后报价记录表</w:t>
      </w:r>
    </w:p>
    <w:p>
      <w:pPr>
        <w:spacing w:line="400" w:lineRule="exact"/>
        <w:jc w:val="center"/>
        <w:rPr>
          <w:rFonts w:ascii="宋体" w:hAnsi="宋体" w:cs="宋体"/>
          <w:szCs w:val="21"/>
        </w:rPr>
      </w:pPr>
      <w:r>
        <w:rPr>
          <w:rFonts w:hint="eastAsia" w:ascii="宋体" w:hAnsi="宋体" w:cs="宋体"/>
          <w:szCs w:val="21"/>
        </w:rPr>
        <w:t>最后报价时间：年月日时分</w:t>
      </w:r>
    </w:p>
    <w:p>
      <w:pPr>
        <w:spacing w:line="400" w:lineRule="exact"/>
        <w:jc w:val="center"/>
        <w:rPr>
          <w:rFonts w:ascii="宋体" w:hAnsi="宋体" w:cs="宋体"/>
          <w:szCs w:val="21"/>
        </w:rPr>
      </w:pPr>
    </w:p>
    <w:tbl>
      <w:tblPr>
        <w:tblStyle w:val="32"/>
        <w:tblW w:w="4995" w:type="pct"/>
        <w:tblInd w:w="0" w:type="dxa"/>
        <w:tblLayout w:type="autofit"/>
        <w:tblCellMar>
          <w:top w:w="0" w:type="dxa"/>
          <w:left w:w="108" w:type="dxa"/>
          <w:bottom w:w="0" w:type="dxa"/>
          <w:right w:w="108" w:type="dxa"/>
        </w:tblCellMar>
      </w:tblPr>
      <w:tblGrid>
        <w:gridCol w:w="857"/>
        <w:gridCol w:w="3820"/>
        <w:gridCol w:w="2569"/>
        <w:gridCol w:w="2146"/>
      </w:tblGrid>
      <w:tr>
        <w:tblPrEx>
          <w:tblCellMar>
            <w:top w:w="0" w:type="dxa"/>
            <w:left w:w="108" w:type="dxa"/>
            <w:bottom w:w="0" w:type="dxa"/>
            <w:right w:w="108" w:type="dxa"/>
          </w:tblCellMar>
        </w:tblPrEx>
        <w:trPr>
          <w:trHeight w:val="1302" w:hRule="atLeast"/>
        </w:trPr>
        <w:tc>
          <w:tcPr>
            <w:tcW w:w="456"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r>
              <w:rPr>
                <w:rFonts w:hint="eastAsia" w:ascii="宋体" w:hAnsi="宋体" w:cs="宋体"/>
                <w:szCs w:val="16"/>
              </w:rPr>
              <w:t>序号</w:t>
            </w:r>
          </w:p>
        </w:tc>
        <w:tc>
          <w:tcPr>
            <w:tcW w:w="2033"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r>
              <w:rPr>
                <w:rFonts w:hint="eastAsia" w:ascii="宋体" w:hAnsi="宋体" w:cs="宋体"/>
                <w:szCs w:val="16"/>
              </w:rPr>
              <w:t>供应商</w:t>
            </w:r>
          </w:p>
        </w:tc>
        <w:tc>
          <w:tcPr>
            <w:tcW w:w="1367"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r>
              <w:rPr>
                <w:rFonts w:hint="eastAsia" w:ascii="宋体" w:hAnsi="宋体" w:cs="宋体"/>
                <w:szCs w:val="16"/>
              </w:rPr>
              <w:t>最后报价（元）</w:t>
            </w:r>
          </w:p>
        </w:tc>
        <w:tc>
          <w:tcPr>
            <w:tcW w:w="1142"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r>
              <w:rPr>
                <w:rFonts w:hint="eastAsia" w:ascii="宋体" w:hAnsi="宋体" w:cs="宋体"/>
                <w:szCs w:val="16"/>
              </w:rPr>
              <w:t>备注</w:t>
            </w:r>
          </w:p>
        </w:tc>
      </w:tr>
      <w:tr>
        <w:tblPrEx>
          <w:tblCellMar>
            <w:top w:w="0" w:type="dxa"/>
            <w:left w:w="108" w:type="dxa"/>
            <w:bottom w:w="0" w:type="dxa"/>
            <w:right w:w="108" w:type="dxa"/>
          </w:tblCellMar>
        </w:tblPrEx>
        <w:trPr>
          <w:trHeight w:val="1000" w:hRule="atLeast"/>
        </w:trPr>
        <w:tc>
          <w:tcPr>
            <w:tcW w:w="456"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r>
              <w:rPr>
                <w:rFonts w:hint="eastAsia" w:ascii="宋体" w:hAnsi="宋体" w:cs="宋体"/>
                <w:szCs w:val="16"/>
              </w:rPr>
              <w:t>1</w:t>
            </w:r>
          </w:p>
        </w:tc>
        <w:tc>
          <w:tcPr>
            <w:tcW w:w="2033"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p>
        </w:tc>
        <w:tc>
          <w:tcPr>
            <w:tcW w:w="1367" w:type="pct"/>
            <w:tcBorders>
              <w:top w:val="single" w:color="auto" w:sz="6" w:space="0"/>
              <w:left w:val="single" w:color="auto" w:sz="6" w:space="0"/>
              <w:bottom w:val="single" w:color="auto" w:sz="4" w:space="0"/>
              <w:right w:val="single" w:color="auto" w:sz="6" w:space="0"/>
              <w:tl2br w:val="nil"/>
              <w:tr2bl w:val="nil"/>
            </w:tcBorders>
            <w:vAlign w:val="center"/>
          </w:tcPr>
          <w:p>
            <w:pPr>
              <w:jc w:val="center"/>
              <w:rPr>
                <w:rFonts w:ascii="宋体" w:hAnsi="宋体" w:cs="宋体"/>
                <w:szCs w:val="16"/>
              </w:rPr>
            </w:pPr>
          </w:p>
        </w:tc>
        <w:tc>
          <w:tcPr>
            <w:tcW w:w="1142" w:type="pct"/>
            <w:tcBorders>
              <w:top w:val="single" w:color="auto" w:sz="6" w:space="0"/>
              <w:left w:val="single" w:color="auto" w:sz="6" w:space="0"/>
              <w:bottom w:val="single" w:color="auto" w:sz="4" w:space="0"/>
              <w:right w:val="single" w:color="auto" w:sz="6" w:space="0"/>
              <w:tl2br w:val="nil"/>
              <w:tr2bl w:val="nil"/>
            </w:tcBorders>
            <w:vAlign w:val="center"/>
          </w:tcPr>
          <w:p>
            <w:pPr>
              <w:jc w:val="center"/>
              <w:rPr>
                <w:rFonts w:ascii="宋体" w:hAnsi="宋体" w:cs="宋体"/>
                <w:szCs w:val="16"/>
              </w:rPr>
            </w:pPr>
          </w:p>
        </w:tc>
      </w:tr>
      <w:tr>
        <w:tblPrEx>
          <w:tblCellMar>
            <w:top w:w="0" w:type="dxa"/>
            <w:left w:w="108" w:type="dxa"/>
            <w:bottom w:w="0" w:type="dxa"/>
            <w:right w:w="108" w:type="dxa"/>
          </w:tblCellMar>
        </w:tblPrEx>
        <w:trPr>
          <w:trHeight w:val="1000" w:hRule="atLeast"/>
        </w:trPr>
        <w:tc>
          <w:tcPr>
            <w:tcW w:w="456"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r>
              <w:rPr>
                <w:rFonts w:hint="eastAsia" w:ascii="宋体" w:hAnsi="宋体" w:cs="宋体"/>
                <w:szCs w:val="16"/>
              </w:rPr>
              <w:t>2</w:t>
            </w:r>
          </w:p>
        </w:tc>
        <w:tc>
          <w:tcPr>
            <w:tcW w:w="2033"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p>
        </w:tc>
        <w:tc>
          <w:tcPr>
            <w:tcW w:w="1367" w:type="pct"/>
            <w:tcBorders>
              <w:top w:val="single" w:color="auto" w:sz="4" w:space="0"/>
              <w:left w:val="single" w:color="auto" w:sz="6" w:space="0"/>
              <w:bottom w:val="single" w:color="auto" w:sz="4" w:space="0"/>
              <w:right w:val="single" w:color="auto" w:sz="6" w:space="0"/>
              <w:tl2br w:val="nil"/>
              <w:tr2bl w:val="nil"/>
            </w:tcBorders>
            <w:vAlign w:val="center"/>
          </w:tcPr>
          <w:p>
            <w:pPr>
              <w:jc w:val="center"/>
              <w:rPr>
                <w:rFonts w:ascii="宋体" w:hAnsi="宋体" w:cs="宋体"/>
                <w:szCs w:val="16"/>
              </w:rPr>
            </w:pPr>
          </w:p>
        </w:tc>
        <w:tc>
          <w:tcPr>
            <w:tcW w:w="1142" w:type="pct"/>
            <w:tcBorders>
              <w:top w:val="single" w:color="auto" w:sz="4" w:space="0"/>
              <w:left w:val="single" w:color="auto" w:sz="6" w:space="0"/>
              <w:bottom w:val="single" w:color="auto" w:sz="4" w:space="0"/>
              <w:right w:val="single" w:color="auto" w:sz="6" w:space="0"/>
              <w:tl2br w:val="nil"/>
              <w:tr2bl w:val="nil"/>
            </w:tcBorders>
            <w:vAlign w:val="center"/>
          </w:tcPr>
          <w:p>
            <w:pPr>
              <w:jc w:val="center"/>
              <w:rPr>
                <w:rFonts w:ascii="宋体" w:hAnsi="宋体" w:cs="宋体"/>
                <w:szCs w:val="16"/>
              </w:rPr>
            </w:pPr>
          </w:p>
        </w:tc>
      </w:tr>
      <w:tr>
        <w:tblPrEx>
          <w:tblCellMar>
            <w:top w:w="0" w:type="dxa"/>
            <w:left w:w="108" w:type="dxa"/>
            <w:bottom w:w="0" w:type="dxa"/>
            <w:right w:w="108" w:type="dxa"/>
          </w:tblCellMar>
        </w:tblPrEx>
        <w:trPr>
          <w:trHeight w:val="1000" w:hRule="atLeast"/>
        </w:trPr>
        <w:tc>
          <w:tcPr>
            <w:tcW w:w="456"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r>
              <w:rPr>
                <w:rFonts w:hint="eastAsia" w:ascii="宋体" w:hAnsi="宋体" w:cs="宋体"/>
                <w:szCs w:val="16"/>
              </w:rPr>
              <w:t>3</w:t>
            </w:r>
          </w:p>
        </w:tc>
        <w:tc>
          <w:tcPr>
            <w:tcW w:w="2033"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p>
        </w:tc>
        <w:tc>
          <w:tcPr>
            <w:tcW w:w="1367" w:type="pct"/>
            <w:tcBorders>
              <w:top w:val="single" w:color="auto" w:sz="4"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p>
        </w:tc>
        <w:tc>
          <w:tcPr>
            <w:tcW w:w="1142" w:type="pct"/>
            <w:tcBorders>
              <w:top w:val="single" w:color="auto" w:sz="4" w:space="0"/>
              <w:left w:val="single" w:color="auto" w:sz="6" w:space="0"/>
              <w:bottom w:val="single" w:color="auto" w:sz="6" w:space="0"/>
              <w:right w:val="single" w:color="auto" w:sz="6" w:space="0"/>
              <w:tl2br w:val="nil"/>
              <w:tr2bl w:val="nil"/>
            </w:tcBorders>
            <w:vAlign w:val="center"/>
          </w:tcPr>
          <w:p>
            <w:pPr>
              <w:jc w:val="center"/>
              <w:rPr>
                <w:rFonts w:ascii="宋体" w:hAnsi="宋体" w:cs="宋体"/>
                <w:szCs w:val="16"/>
              </w:rPr>
            </w:pPr>
          </w:p>
        </w:tc>
      </w:tr>
    </w:tbl>
    <w:p>
      <w:pPr>
        <w:spacing w:line="500" w:lineRule="exact"/>
        <w:ind w:firstLine="3465" w:firstLineChars="1650"/>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u w:val="single"/>
        </w:rPr>
      </w:pPr>
      <w:r>
        <w:rPr>
          <w:rFonts w:hint="eastAsia" w:ascii="宋体" w:hAnsi="宋体" w:cs="宋体"/>
          <w:szCs w:val="21"/>
        </w:rPr>
        <w:t>采购人：</w:t>
      </w:r>
      <w:r>
        <w:rPr>
          <w:rFonts w:hint="eastAsia" w:ascii="宋体" w:hAnsi="宋体" w:cs="宋体"/>
          <w:szCs w:val="21"/>
          <w:u w:val="single"/>
        </w:rPr>
        <w:t xml:space="preserve">              </w:t>
      </w:r>
      <w:r>
        <w:rPr>
          <w:rFonts w:hint="eastAsia" w:ascii="宋体" w:hAnsi="宋体" w:cs="宋体"/>
          <w:szCs w:val="21"/>
        </w:rPr>
        <w:t>监督人：</w:t>
      </w:r>
      <w:r>
        <w:rPr>
          <w:rFonts w:hint="eastAsia" w:ascii="宋体" w:hAnsi="宋体" w:cs="宋体"/>
          <w:szCs w:val="21"/>
          <w:u w:val="single"/>
        </w:rPr>
        <w:t xml:space="preserve">       </w:t>
      </w:r>
    </w:p>
    <w:p>
      <w:pPr>
        <w:spacing w:line="440" w:lineRule="exact"/>
        <w:rPr>
          <w:rFonts w:ascii="宋体" w:hAnsi="宋体" w:cs="宋体"/>
          <w:szCs w:val="21"/>
        </w:rPr>
      </w:pPr>
      <w:r>
        <w:rPr>
          <w:rFonts w:hint="eastAsia" w:ascii="宋体" w:hAnsi="宋体" w:cs="宋体"/>
        </w:rPr>
        <w:t>磋商组长：</w:t>
      </w:r>
      <w:r>
        <w:rPr>
          <w:rFonts w:hint="eastAsia" w:ascii="宋体" w:hAnsi="宋体" w:cs="宋体"/>
          <w:u w:val="single"/>
        </w:rPr>
        <w:t xml:space="preserve">             </w:t>
      </w:r>
      <w:r>
        <w:rPr>
          <w:rFonts w:hint="eastAsia" w:ascii="宋体" w:hAnsi="宋体" w:cs="宋体"/>
        </w:rPr>
        <w:t>磋商组员：</w:t>
      </w:r>
      <w:r>
        <w:rPr>
          <w:rFonts w:hint="eastAsia" w:ascii="宋体" w:hAnsi="宋体" w:cs="宋体"/>
          <w:u w:val="single"/>
        </w:rPr>
        <w:t xml:space="preserve">              </w:t>
      </w:r>
      <w:r>
        <w:rPr>
          <w:rFonts w:hint="eastAsia" w:ascii="宋体" w:hAnsi="宋体" w:cs="宋体"/>
          <w:szCs w:val="21"/>
        </w:rPr>
        <w:t xml:space="preserve">                                               </w:t>
      </w:r>
    </w:p>
    <w:p>
      <w:pPr>
        <w:spacing w:line="440" w:lineRule="exact"/>
        <w:ind w:firstLine="5880" w:firstLineChars="2800"/>
        <w:rPr>
          <w:rFonts w:ascii="宋体" w:hAnsi="宋体" w:cs="宋体"/>
          <w:szCs w:val="21"/>
          <w:u w:val="single"/>
        </w:rPr>
      </w:pPr>
    </w:p>
    <w:p>
      <w:pPr>
        <w:spacing w:line="440" w:lineRule="exact"/>
        <w:rPr>
          <w:rFonts w:ascii="宋体" w:hAnsi="宋体" w:cs="宋体"/>
          <w:szCs w:val="21"/>
        </w:rPr>
        <w:sectPr>
          <w:pgSz w:w="11906" w:h="16838"/>
          <w:pgMar w:top="1417" w:right="1304" w:bottom="1417" w:left="1417" w:header="851" w:footer="850" w:gutter="0"/>
          <w:cols w:space="720" w:num="1"/>
          <w:docGrid w:type="lines" w:linePitch="490" w:charSpace="0"/>
        </w:sectPr>
      </w:pPr>
    </w:p>
    <w:p>
      <w:pPr>
        <w:spacing w:line="400" w:lineRule="exact"/>
        <w:jc w:val="center"/>
        <w:rPr>
          <w:rFonts w:ascii="宋体" w:hAnsi="宋体" w:cs="宋体"/>
          <w:szCs w:val="21"/>
        </w:rPr>
      </w:pPr>
      <w:r>
        <w:rPr>
          <w:rFonts w:hint="eastAsia" w:ascii="宋体" w:hAnsi="宋体" w:cs="宋体"/>
          <w:szCs w:val="21"/>
        </w:rPr>
        <w:t>项目名称：</w:t>
      </w:r>
    </w:p>
    <w:p>
      <w:pPr>
        <w:spacing w:line="400" w:lineRule="exact"/>
        <w:jc w:val="center"/>
        <w:rPr>
          <w:rFonts w:ascii="宋体" w:hAnsi="宋体" w:cs="宋体"/>
          <w:szCs w:val="21"/>
        </w:rPr>
      </w:pPr>
      <w:r>
        <w:rPr>
          <w:rFonts w:hint="eastAsia" w:ascii="宋体" w:hAnsi="宋体" w:cs="宋体"/>
          <w:szCs w:val="21"/>
        </w:rPr>
        <w:t>项目编号:</w:t>
      </w:r>
    </w:p>
    <w:p>
      <w:pPr>
        <w:spacing w:line="400" w:lineRule="exact"/>
        <w:jc w:val="center"/>
        <w:rPr>
          <w:rFonts w:ascii="宋体" w:hAnsi="宋体" w:cs="宋体"/>
          <w:szCs w:val="21"/>
        </w:rPr>
      </w:pPr>
      <w:r>
        <w:rPr>
          <w:rFonts w:hint="eastAsia" w:ascii="宋体" w:hAnsi="宋体" w:cs="宋体"/>
          <w:szCs w:val="21"/>
        </w:rPr>
        <w:t>最后报价表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2" w:hRule="atLeast"/>
        </w:trPr>
        <w:tc>
          <w:tcPr>
            <w:tcW w:w="9938" w:type="dxa"/>
            <w:noWrap/>
          </w:tcPr>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供应商：</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最高限价：</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最后报价：               （元）</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供应商法定代表人或授权委托代理人（签字或盖章）：             </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时间：         年        月       日</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tc>
      </w:tr>
    </w:tbl>
    <w:p>
      <w:pPr>
        <w:spacing w:line="400" w:lineRule="exact"/>
        <w:jc w:val="left"/>
        <w:rPr>
          <w:rFonts w:ascii="宋体" w:hAnsi="宋体" w:cs="宋体"/>
          <w:b/>
          <w:sz w:val="32"/>
          <w:szCs w:val="32"/>
        </w:rPr>
        <w:sectPr>
          <w:pgSz w:w="11906" w:h="16838"/>
          <w:pgMar w:top="1440" w:right="1247" w:bottom="1361" w:left="1247" w:header="851" w:footer="992" w:gutter="0"/>
          <w:cols w:space="720" w:num="1"/>
          <w:docGrid w:type="lines" w:linePitch="312" w:charSpace="0"/>
        </w:sectPr>
      </w:pPr>
    </w:p>
    <w:p>
      <w:pPr>
        <w:spacing w:line="400" w:lineRule="exact"/>
        <w:jc w:val="left"/>
        <w:rPr>
          <w:rFonts w:ascii="宋体" w:hAnsi="宋体" w:cs="宋体"/>
          <w:b/>
          <w:sz w:val="32"/>
          <w:szCs w:val="32"/>
        </w:rPr>
      </w:pPr>
      <w:r>
        <w:rPr>
          <w:rFonts w:hint="eastAsia" w:ascii="宋体" w:hAnsi="宋体" w:cs="宋体"/>
          <w:b/>
          <w:sz w:val="32"/>
          <w:szCs w:val="32"/>
        </w:rPr>
        <w:t>附件二：问题澄清通知</w:t>
      </w:r>
    </w:p>
    <w:p>
      <w:pPr>
        <w:spacing w:line="440" w:lineRule="exact"/>
        <w:jc w:val="center"/>
        <w:rPr>
          <w:rFonts w:ascii="宋体" w:hAnsi="宋体" w:cs="宋体"/>
          <w:szCs w:val="21"/>
        </w:rPr>
      </w:pPr>
    </w:p>
    <w:p>
      <w:pPr>
        <w:spacing w:line="440" w:lineRule="exact"/>
        <w:jc w:val="center"/>
        <w:rPr>
          <w:rFonts w:ascii="宋体" w:hAnsi="宋体" w:cs="宋体"/>
          <w:szCs w:val="21"/>
        </w:rPr>
      </w:pPr>
      <w:r>
        <w:rPr>
          <w:rFonts w:hint="eastAsia" w:ascii="宋体" w:hAnsi="宋体" w:cs="宋体"/>
          <w:szCs w:val="21"/>
        </w:rPr>
        <w:t>问题澄清通知</w:t>
      </w:r>
    </w:p>
    <w:p>
      <w:pPr>
        <w:spacing w:line="440" w:lineRule="exact"/>
        <w:rPr>
          <w:rFonts w:ascii="宋体" w:hAnsi="宋体" w:cs="宋体"/>
          <w:szCs w:val="21"/>
        </w:rPr>
      </w:pPr>
      <w:r>
        <w:rPr>
          <w:rFonts w:hint="eastAsia" w:ascii="宋体" w:hAnsi="宋体" w:cs="宋体"/>
          <w:szCs w:val="21"/>
        </w:rPr>
        <w:t xml:space="preserve">                                编号：</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（供应商名称）：</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 xml:space="preserve"> （项目名称）采购的磋商小组，对你方的响应文件进行了仔细的审查，现需你方对下列问题以书面形式予以澄清：</w:t>
      </w:r>
    </w:p>
    <w:p>
      <w:pPr>
        <w:spacing w:line="440" w:lineRule="exact"/>
        <w:rPr>
          <w:rFonts w:ascii="宋体" w:hAnsi="宋体" w:cs="宋体"/>
          <w:szCs w:val="21"/>
        </w:rPr>
      </w:pPr>
      <w:r>
        <w:rPr>
          <w:rFonts w:hint="eastAsia" w:ascii="宋体" w:hAnsi="宋体" w:cs="宋体"/>
          <w:szCs w:val="21"/>
        </w:rPr>
        <w:t>　　</w:t>
      </w:r>
    </w:p>
    <w:p>
      <w:pPr>
        <w:spacing w:line="440" w:lineRule="exact"/>
        <w:rPr>
          <w:rFonts w:ascii="宋体" w:hAnsi="宋体" w:cs="宋体"/>
          <w:szCs w:val="21"/>
        </w:rPr>
      </w:pPr>
      <w:r>
        <w:rPr>
          <w:rFonts w:hint="eastAsia" w:ascii="宋体" w:hAnsi="宋体" w:cs="宋体"/>
          <w:szCs w:val="21"/>
        </w:rPr>
        <w:t xml:space="preserve">    1.</w:t>
      </w:r>
    </w:p>
    <w:p>
      <w:pPr>
        <w:spacing w:line="440" w:lineRule="exact"/>
        <w:rPr>
          <w:rFonts w:ascii="宋体" w:hAnsi="宋体" w:cs="宋体"/>
          <w:szCs w:val="21"/>
        </w:rPr>
      </w:pPr>
      <w:r>
        <w:rPr>
          <w:rFonts w:hint="eastAsia" w:ascii="宋体" w:hAnsi="宋体" w:cs="宋体"/>
          <w:szCs w:val="21"/>
        </w:rPr>
        <w:t xml:space="preserve">    2.</w:t>
      </w:r>
    </w:p>
    <w:p>
      <w:pPr>
        <w:spacing w:line="440" w:lineRule="exact"/>
        <w:rPr>
          <w:rFonts w:ascii="宋体" w:hAnsi="宋体" w:cs="宋体"/>
          <w:szCs w:val="21"/>
        </w:rPr>
      </w:pPr>
      <w:r>
        <w:rPr>
          <w:rFonts w:hint="eastAsia" w:ascii="宋体" w:hAnsi="宋体" w:cs="宋体"/>
          <w:szCs w:val="21"/>
        </w:rPr>
        <w:t xml:space="preserve">     ......   </w:t>
      </w:r>
    </w:p>
    <w:p>
      <w:pPr>
        <w:spacing w:line="440" w:lineRule="exact"/>
        <w:rPr>
          <w:rFonts w:ascii="宋体" w:hAnsi="宋体" w:cs="宋体"/>
          <w:szCs w:val="21"/>
        </w:rPr>
      </w:pPr>
      <w:r>
        <w:rPr>
          <w:rFonts w:hint="eastAsia" w:ascii="宋体" w:hAnsi="宋体" w:cs="宋体"/>
          <w:szCs w:val="21"/>
        </w:rPr>
        <w:t>　　　</w:t>
      </w:r>
    </w:p>
    <w:p>
      <w:pPr>
        <w:spacing w:line="440" w:lineRule="exact"/>
        <w:rPr>
          <w:rFonts w:ascii="宋体" w:hAnsi="宋体" w:cs="宋体"/>
          <w:szCs w:val="21"/>
        </w:rPr>
      </w:pPr>
      <w:r>
        <w:rPr>
          <w:rFonts w:hint="eastAsia" w:ascii="宋体" w:hAnsi="宋体" w:cs="宋体"/>
          <w:szCs w:val="21"/>
        </w:rPr>
        <w:t>　　请将上述问题的澄清于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时前递交至</w:t>
      </w:r>
      <w:r>
        <w:rPr>
          <w:rFonts w:hint="eastAsia" w:ascii="宋体" w:hAnsi="宋体" w:cs="宋体"/>
          <w:szCs w:val="21"/>
          <w:u w:val="single"/>
        </w:rPr>
        <w:t xml:space="preserve">            </w:t>
      </w:r>
      <w:r>
        <w:rPr>
          <w:rFonts w:hint="eastAsia" w:ascii="宋体" w:hAnsi="宋体" w:cs="宋体"/>
          <w:szCs w:val="21"/>
        </w:rPr>
        <w:t>（详细地址）或传真至</w:t>
      </w:r>
      <w:r>
        <w:rPr>
          <w:rFonts w:hint="eastAsia" w:ascii="宋体" w:hAnsi="宋体" w:cs="宋体"/>
          <w:szCs w:val="21"/>
          <w:u w:val="single"/>
        </w:rPr>
        <w:t xml:space="preserve">         </w:t>
      </w:r>
      <w:r>
        <w:rPr>
          <w:rFonts w:hint="eastAsia" w:ascii="宋体" w:hAnsi="宋体" w:cs="宋体"/>
          <w:szCs w:val="21"/>
        </w:rPr>
        <w:t>（传真号码）。采用传真方式的，应在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时前将原件递交至</w:t>
      </w:r>
      <w:r>
        <w:rPr>
          <w:rFonts w:hint="eastAsia" w:ascii="宋体" w:hAnsi="宋体" w:cs="宋体"/>
          <w:szCs w:val="21"/>
          <w:u w:val="single"/>
        </w:rPr>
        <w:t xml:space="preserve">                       </w:t>
      </w:r>
      <w:r>
        <w:rPr>
          <w:rFonts w:hint="eastAsia" w:ascii="宋体" w:hAnsi="宋体" w:cs="宋体"/>
          <w:szCs w:val="21"/>
        </w:rPr>
        <w:t>（详细地址）。</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jc w:val="righ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（项目名称）磋商小组</w:t>
      </w:r>
    </w:p>
    <w:p>
      <w:pPr>
        <w:spacing w:line="440" w:lineRule="exact"/>
        <w:rPr>
          <w:rFonts w:ascii="宋体" w:hAnsi="宋体" w:cs="宋体"/>
          <w:szCs w:val="21"/>
        </w:rPr>
      </w:pPr>
      <w:r>
        <w:rPr>
          <w:rFonts w:hint="eastAsia" w:ascii="宋体" w:hAnsi="宋体" w:cs="宋体"/>
          <w:szCs w:val="21"/>
        </w:rPr>
        <w:t xml:space="preserve">                                   （经磋商小组授权的采购人代表签字或采购人加盖单位公章）</w:t>
      </w:r>
    </w:p>
    <w:p>
      <w:pPr>
        <w:spacing w:line="440" w:lineRule="exact"/>
        <w:ind w:firstLine="3045" w:firstLineChars="1450"/>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ascii="宋体" w:hAnsi="宋体" w:cs="宋体"/>
          <w:szCs w:val="21"/>
        </w:rPr>
      </w:pPr>
    </w:p>
    <w:p>
      <w:pPr>
        <w:spacing w:line="400" w:lineRule="exact"/>
        <w:jc w:val="left"/>
        <w:rPr>
          <w:rFonts w:ascii="宋体" w:hAnsi="宋体" w:cs="宋体"/>
          <w:sz w:val="36"/>
          <w:szCs w:val="36"/>
        </w:rPr>
      </w:pPr>
      <w:r>
        <w:rPr>
          <w:rFonts w:hint="eastAsia" w:ascii="宋体" w:hAnsi="宋体" w:cs="宋体"/>
          <w:szCs w:val="21"/>
        </w:rPr>
        <w:br w:type="page"/>
      </w:r>
      <w:bookmarkStart w:id="88" w:name="_Toc454"/>
      <w:bookmarkStart w:id="89" w:name="_Toc144974550"/>
      <w:bookmarkStart w:id="90" w:name="_Toc324863680"/>
      <w:bookmarkStart w:id="91" w:name="_Toc152045583"/>
      <w:bookmarkStart w:id="92" w:name="_Toc246996226"/>
      <w:bookmarkStart w:id="93" w:name="_Toc246996969"/>
      <w:bookmarkStart w:id="94" w:name="_Toc179632601"/>
      <w:bookmarkStart w:id="95" w:name="_Toc152042360"/>
      <w:bookmarkStart w:id="96" w:name="_Toc247085741"/>
      <w:r>
        <w:rPr>
          <w:rFonts w:hint="eastAsia" w:ascii="宋体" w:hAnsi="宋体" w:cs="宋体"/>
          <w:b/>
          <w:sz w:val="32"/>
          <w:szCs w:val="32"/>
        </w:rPr>
        <w:t>附件三：问题的澄清</w:t>
      </w:r>
      <w:bookmarkEnd w:id="88"/>
      <w:bookmarkEnd w:id="89"/>
      <w:bookmarkEnd w:id="90"/>
      <w:bookmarkEnd w:id="91"/>
      <w:bookmarkEnd w:id="92"/>
      <w:bookmarkEnd w:id="93"/>
      <w:bookmarkEnd w:id="94"/>
      <w:bookmarkEnd w:id="95"/>
      <w:bookmarkEnd w:id="96"/>
    </w:p>
    <w:p>
      <w:pPr>
        <w:spacing w:line="400" w:lineRule="exact"/>
        <w:jc w:val="center"/>
        <w:rPr>
          <w:rFonts w:ascii="宋体" w:hAnsi="宋体" w:cs="宋体"/>
          <w:szCs w:val="21"/>
        </w:rPr>
      </w:pPr>
    </w:p>
    <w:p>
      <w:pPr>
        <w:spacing w:line="400" w:lineRule="exact"/>
        <w:jc w:val="center"/>
        <w:rPr>
          <w:rFonts w:ascii="宋体" w:hAnsi="宋体" w:cs="宋体"/>
          <w:szCs w:val="21"/>
        </w:rPr>
      </w:pPr>
      <w:r>
        <w:rPr>
          <w:rFonts w:hint="eastAsia" w:ascii="宋体" w:hAnsi="宋体" w:cs="宋体"/>
          <w:szCs w:val="21"/>
        </w:rPr>
        <w:t>问题的澄清</w:t>
      </w:r>
    </w:p>
    <w:p>
      <w:pPr>
        <w:spacing w:line="400" w:lineRule="exact"/>
        <w:ind w:firstLine="3465" w:firstLineChars="1650"/>
        <w:rPr>
          <w:rFonts w:ascii="宋体" w:hAnsi="宋体" w:cs="宋体"/>
          <w:szCs w:val="21"/>
        </w:rPr>
      </w:pPr>
      <w:r>
        <w:rPr>
          <w:rFonts w:hint="eastAsia" w:ascii="宋体" w:hAnsi="宋体" w:cs="宋体"/>
          <w:szCs w:val="21"/>
        </w:rPr>
        <w:t xml:space="preserve">编号： </w:t>
      </w:r>
    </w:p>
    <w:p>
      <w:pPr>
        <w:spacing w:line="40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项目名称）采购磋商小组：</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问题澄清通知（编号：</w:t>
      </w:r>
      <w:r>
        <w:rPr>
          <w:rFonts w:hint="eastAsia" w:ascii="宋体" w:hAnsi="宋体" w:cs="宋体"/>
          <w:szCs w:val="21"/>
          <w:u w:val="single"/>
        </w:rPr>
        <w:t xml:space="preserve">        </w:t>
      </w:r>
      <w:r>
        <w:rPr>
          <w:rFonts w:hint="eastAsia" w:ascii="宋体" w:hAnsi="宋体" w:cs="宋体"/>
          <w:szCs w:val="21"/>
        </w:rPr>
        <w:t>）已收悉，现澄清如下：</w:t>
      </w:r>
    </w:p>
    <w:p>
      <w:pPr>
        <w:spacing w:line="440" w:lineRule="exact"/>
        <w:rPr>
          <w:rFonts w:ascii="宋体" w:hAnsi="宋体" w:cs="宋体"/>
          <w:szCs w:val="21"/>
        </w:rPr>
      </w:pPr>
      <w:r>
        <w:rPr>
          <w:rFonts w:hint="eastAsia" w:ascii="宋体" w:hAnsi="宋体" w:cs="宋体"/>
          <w:szCs w:val="21"/>
        </w:rPr>
        <w:t>　     1.</w:t>
      </w:r>
    </w:p>
    <w:p>
      <w:pPr>
        <w:spacing w:line="440" w:lineRule="exact"/>
        <w:rPr>
          <w:rFonts w:ascii="宋体" w:hAnsi="宋体" w:cs="宋体"/>
          <w:szCs w:val="21"/>
        </w:rPr>
      </w:pPr>
      <w:r>
        <w:rPr>
          <w:rFonts w:hint="eastAsia" w:ascii="宋体" w:hAnsi="宋体" w:cs="宋体"/>
          <w:szCs w:val="21"/>
        </w:rPr>
        <w:t>　     2.</w:t>
      </w:r>
    </w:p>
    <w:p>
      <w:pPr>
        <w:spacing w:line="440" w:lineRule="exact"/>
        <w:rPr>
          <w:rFonts w:ascii="宋体" w:hAnsi="宋体" w:cs="宋体"/>
          <w:szCs w:val="21"/>
        </w:rPr>
      </w:pPr>
      <w:r>
        <w:rPr>
          <w:rFonts w:hint="eastAsia" w:ascii="宋体" w:hAnsi="宋体" w:cs="宋体"/>
          <w:szCs w:val="21"/>
        </w:rPr>
        <w:t xml:space="preserve">　   </w:t>
      </w:r>
    </w:p>
    <w:p>
      <w:pPr>
        <w:spacing w:line="440" w:lineRule="exact"/>
        <w:rPr>
          <w:rFonts w:ascii="宋体" w:hAnsi="宋体" w:cs="宋体"/>
          <w:szCs w:val="21"/>
        </w:rPr>
      </w:pPr>
      <w:r>
        <w:rPr>
          <w:rFonts w:hint="eastAsia" w:ascii="宋体" w:hAnsi="宋体" w:cs="宋体"/>
          <w:szCs w:val="21"/>
        </w:rPr>
        <w:t>　    .....</w:t>
      </w:r>
    </w:p>
    <w:p>
      <w:pPr>
        <w:spacing w:line="440" w:lineRule="exact"/>
        <w:rPr>
          <w:rFonts w:ascii="宋体" w:hAnsi="宋体" w:cs="宋体"/>
          <w:szCs w:val="21"/>
        </w:rPr>
      </w:pPr>
      <w:r>
        <w:rPr>
          <w:rFonts w:hint="eastAsia" w:ascii="宋体" w:hAnsi="宋体" w:cs="宋体"/>
          <w:szCs w:val="21"/>
        </w:rPr>
        <w:t xml:space="preserve">                       </w:t>
      </w:r>
    </w:p>
    <w:p>
      <w:pPr>
        <w:spacing w:line="440" w:lineRule="exact"/>
        <w:rPr>
          <w:rFonts w:ascii="宋体" w:hAnsi="宋体" w:cs="宋体"/>
          <w:szCs w:val="21"/>
        </w:rPr>
      </w:pPr>
      <w:r>
        <w:rPr>
          <w:rFonts w:hint="eastAsia" w:ascii="宋体" w:hAnsi="宋体" w:cs="宋体"/>
          <w:szCs w:val="21"/>
        </w:rPr>
        <w:t xml:space="preserve">　 </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供应商：</w:t>
      </w:r>
      <w:r>
        <w:rPr>
          <w:rFonts w:hint="eastAsia" w:ascii="宋体" w:hAnsi="宋体" w:cs="宋体"/>
          <w:szCs w:val="21"/>
          <w:u w:val="single"/>
        </w:rPr>
        <w:t xml:space="preserve">                        </w:t>
      </w:r>
      <w:r>
        <w:rPr>
          <w:rFonts w:hint="eastAsia" w:ascii="宋体" w:hAnsi="宋体" w:cs="宋体"/>
          <w:szCs w:val="21"/>
        </w:rPr>
        <w:t>（盖单位章）</w:t>
      </w:r>
    </w:p>
    <w:p>
      <w:pPr>
        <w:spacing w:line="440" w:lineRule="exact"/>
        <w:rPr>
          <w:rFonts w:ascii="宋体" w:hAnsi="宋体" w:cs="宋体"/>
          <w:szCs w:val="21"/>
        </w:rPr>
      </w:pPr>
      <w:r>
        <w:rPr>
          <w:rFonts w:hint="eastAsia" w:ascii="宋体" w:hAnsi="宋体" w:cs="宋体"/>
          <w:szCs w:val="21"/>
        </w:rPr>
        <w:t>　　　　　　　　　　　　　　　</w:t>
      </w:r>
    </w:p>
    <w:p>
      <w:pPr>
        <w:spacing w:line="440" w:lineRule="exact"/>
        <w:rPr>
          <w:rFonts w:ascii="宋体" w:hAnsi="宋体" w:cs="宋体"/>
          <w:szCs w:val="21"/>
        </w:rPr>
      </w:pPr>
      <w:r>
        <w:rPr>
          <w:rFonts w:hint="eastAsia" w:ascii="宋体" w:hAnsi="宋体" w:cs="宋体"/>
          <w:szCs w:val="21"/>
        </w:rPr>
        <w:t>　　　　　　　　　　　　　　　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440" w:lineRule="exact"/>
        <w:rPr>
          <w:rFonts w:ascii="宋体" w:hAnsi="宋体" w:cs="宋体"/>
          <w:szCs w:val="21"/>
        </w:rPr>
      </w:pPr>
      <w:r>
        <w:rPr>
          <w:rFonts w:hint="eastAsia" w:ascii="宋体" w:hAnsi="宋体" w:cs="宋体"/>
          <w:szCs w:val="21"/>
        </w:rPr>
        <w:t>　　　　　　　　　　　　　　　</w:t>
      </w:r>
    </w:p>
    <w:p>
      <w:pPr>
        <w:spacing w:line="44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ascii="宋体" w:hAnsi="宋体" w:cs="宋体"/>
          <w:szCs w:val="21"/>
        </w:rPr>
      </w:pPr>
    </w:p>
    <w:p>
      <w:pPr>
        <w:spacing w:line="400" w:lineRule="exact"/>
        <w:jc w:val="left"/>
        <w:rPr>
          <w:rFonts w:ascii="宋体" w:hAnsi="宋体" w:cs="宋体"/>
          <w:b/>
          <w:szCs w:val="21"/>
        </w:rPr>
      </w:pPr>
      <w:r>
        <w:rPr>
          <w:rFonts w:hint="eastAsia" w:ascii="宋体" w:hAnsi="宋体" w:cs="宋体"/>
          <w:szCs w:val="21"/>
        </w:rPr>
        <w:br w:type="page"/>
      </w:r>
      <w:bookmarkStart w:id="97" w:name="_Toc246996970"/>
      <w:bookmarkStart w:id="98" w:name="_Toc144974551"/>
      <w:bookmarkStart w:id="99" w:name="_Toc179632602"/>
      <w:bookmarkStart w:id="100" w:name="_Toc21125"/>
      <w:bookmarkStart w:id="101" w:name="_Toc324863681"/>
      <w:bookmarkStart w:id="102" w:name="_Toc152042361"/>
      <w:bookmarkStart w:id="103" w:name="_Toc152045584"/>
      <w:bookmarkStart w:id="104" w:name="_Toc247085742"/>
      <w:bookmarkStart w:id="105" w:name="_Toc246996227"/>
      <w:r>
        <w:rPr>
          <w:rFonts w:hint="eastAsia" w:ascii="宋体" w:hAnsi="宋体" w:cs="宋体"/>
          <w:b/>
          <w:sz w:val="32"/>
          <w:szCs w:val="32"/>
        </w:rPr>
        <w:t>附件四：成交通知书</w:t>
      </w:r>
      <w:bookmarkEnd w:id="97"/>
      <w:bookmarkEnd w:id="98"/>
      <w:bookmarkEnd w:id="99"/>
      <w:bookmarkEnd w:id="100"/>
      <w:bookmarkEnd w:id="101"/>
      <w:bookmarkEnd w:id="102"/>
      <w:bookmarkEnd w:id="103"/>
      <w:bookmarkEnd w:id="104"/>
      <w:bookmarkEnd w:id="105"/>
    </w:p>
    <w:p>
      <w:pPr>
        <w:spacing w:line="400" w:lineRule="exact"/>
        <w:rPr>
          <w:rFonts w:ascii="宋体" w:hAnsi="宋体" w:cs="宋体"/>
          <w:szCs w:val="21"/>
        </w:rPr>
      </w:pPr>
    </w:p>
    <w:p>
      <w:pPr>
        <w:spacing w:line="480" w:lineRule="auto"/>
        <w:jc w:val="center"/>
        <w:rPr>
          <w:rFonts w:ascii="宋体" w:hAnsi="宋体" w:cs="宋体"/>
          <w:b/>
          <w:sz w:val="32"/>
          <w:szCs w:val="32"/>
        </w:rPr>
      </w:pPr>
      <w:r>
        <w:rPr>
          <w:rFonts w:hint="eastAsia" w:ascii="宋体" w:hAnsi="宋体" w:cs="宋体"/>
          <w:b/>
          <w:sz w:val="32"/>
          <w:szCs w:val="32"/>
        </w:rPr>
        <w:t>成 交 通 知 书</w:t>
      </w:r>
    </w:p>
    <w:tbl>
      <w:tblPr>
        <w:tblStyle w:val="3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2899"/>
        <w:gridCol w:w="204"/>
        <w:gridCol w:w="1315"/>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rPr>
              <w:t>项目名称</w:t>
            </w:r>
          </w:p>
        </w:tc>
        <w:tc>
          <w:tcPr>
            <w:tcW w:w="4076" w:type="pct"/>
            <w:gridSpan w:val="4"/>
            <w:tcBorders>
              <w:top w:val="single" w:color="auto" w:sz="4" w:space="0"/>
              <w:left w:val="nil"/>
              <w:bottom w:val="single" w:color="auto" w:sz="4" w:space="0"/>
              <w:right w:val="single" w:color="auto" w:sz="4" w:space="0"/>
            </w:tcBorders>
            <w:vAlign w:val="center"/>
          </w:tcPr>
          <w:p>
            <w:pPr>
              <w:keepNext/>
              <w:keepLines/>
              <w:adjustRightInd w:val="0"/>
              <w:snapToGrid w:val="0"/>
              <w:spacing w:before="10" w:after="10"/>
              <w:jc w:val="center"/>
              <w:outlineLvl w:val="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rPr>
              <w:t>项目编号</w:t>
            </w:r>
          </w:p>
        </w:tc>
        <w:tc>
          <w:tcPr>
            <w:tcW w:w="4076" w:type="pct"/>
            <w:gridSpan w:val="4"/>
            <w:tcBorders>
              <w:top w:val="single" w:color="auto" w:sz="4" w:space="0"/>
              <w:left w:val="nil"/>
              <w:bottom w:val="single" w:color="auto" w:sz="4" w:space="0"/>
              <w:right w:val="single" w:color="auto" w:sz="4" w:space="0"/>
            </w:tcBorders>
            <w:vAlign w:val="center"/>
          </w:tcPr>
          <w:p>
            <w:pPr>
              <w:keepNext/>
              <w:keepLines/>
              <w:adjustRightInd w:val="0"/>
              <w:snapToGrid w:val="0"/>
              <w:spacing w:before="10" w:after="10"/>
              <w:jc w:val="center"/>
              <w:outlineLvl w:val="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9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Cs w:val="21"/>
              </w:rPr>
              <w:t>成交供应商名称</w:t>
            </w:r>
          </w:p>
        </w:tc>
        <w:tc>
          <w:tcPr>
            <w:tcW w:w="4076" w:type="pct"/>
            <w:gridSpan w:val="4"/>
            <w:tcBorders>
              <w:top w:val="single" w:color="auto" w:sz="4" w:space="0"/>
              <w:left w:val="nil"/>
              <w:bottom w:val="single" w:color="auto" w:sz="4" w:space="0"/>
              <w:right w:val="single" w:color="auto" w:sz="4" w:space="0"/>
            </w:tcBorders>
            <w:vAlign w:val="center"/>
          </w:tcPr>
          <w:p>
            <w:pPr>
              <w:keepNext/>
              <w:keepLines/>
              <w:adjustRightInd w:val="0"/>
              <w:snapToGrid w:val="0"/>
              <w:spacing w:before="10" w:after="10"/>
              <w:jc w:val="center"/>
              <w:outlineLvl w:val="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9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rPr>
              <w:t>项目地点</w:t>
            </w:r>
          </w:p>
        </w:tc>
        <w:tc>
          <w:tcPr>
            <w:tcW w:w="1612" w:type="pct"/>
            <w:gridSpan w:val="2"/>
            <w:tcBorders>
              <w:top w:val="single" w:color="auto" w:sz="4" w:space="0"/>
              <w:left w:val="nil"/>
              <w:bottom w:val="single" w:color="auto" w:sz="4" w:space="0"/>
              <w:right w:val="single" w:color="auto" w:sz="4" w:space="0"/>
            </w:tcBorders>
            <w:vAlign w:val="center"/>
          </w:tcPr>
          <w:p>
            <w:pPr>
              <w:keepNext/>
              <w:keepLines/>
              <w:adjustRightInd w:val="0"/>
              <w:snapToGrid w:val="0"/>
              <w:spacing w:before="10" w:after="10"/>
              <w:jc w:val="center"/>
              <w:outlineLvl w:val="0"/>
              <w:rPr>
                <w:rFonts w:ascii="宋体" w:hAnsi="宋体" w:cs="宋体"/>
                <w:sz w:val="24"/>
                <w:szCs w:val="24"/>
              </w:rPr>
            </w:pPr>
          </w:p>
        </w:tc>
        <w:tc>
          <w:tcPr>
            <w:tcW w:w="683" w:type="pct"/>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rPr>
              <w:t>采购人</w:t>
            </w:r>
          </w:p>
        </w:tc>
        <w:tc>
          <w:tcPr>
            <w:tcW w:w="1780" w:type="pct"/>
            <w:tcBorders>
              <w:top w:val="single" w:color="auto" w:sz="4" w:space="0"/>
              <w:left w:val="nil"/>
              <w:bottom w:val="single" w:color="auto" w:sz="4" w:space="0"/>
              <w:right w:val="single" w:color="auto" w:sz="4" w:space="0"/>
            </w:tcBorders>
            <w:vAlign w:val="center"/>
          </w:tcPr>
          <w:p>
            <w:pPr>
              <w:keepNext/>
              <w:keepLines/>
              <w:adjustRightInd w:val="0"/>
              <w:snapToGrid w:val="0"/>
              <w:spacing w:before="10" w:after="10"/>
              <w:jc w:val="center"/>
              <w:outlineLvl w:val="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9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rPr>
              <w:t>开标日期</w:t>
            </w:r>
          </w:p>
        </w:tc>
        <w:tc>
          <w:tcPr>
            <w:tcW w:w="1612" w:type="pct"/>
            <w:gridSpan w:val="2"/>
            <w:tcBorders>
              <w:top w:val="single" w:color="auto" w:sz="4" w:space="0"/>
              <w:left w:val="nil"/>
              <w:bottom w:val="single" w:color="auto" w:sz="4" w:space="0"/>
              <w:right w:val="single" w:color="auto" w:sz="4" w:space="0"/>
            </w:tcBorders>
            <w:vAlign w:val="center"/>
          </w:tcPr>
          <w:p>
            <w:pPr>
              <w:keepNext/>
              <w:keepLines/>
              <w:adjustRightInd w:val="0"/>
              <w:snapToGrid w:val="0"/>
              <w:spacing w:before="10" w:after="10"/>
              <w:jc w:val="center"/>
              <w:outlineLvl w:val="0"/>
              <w:rPr>
                <w:rFonts w:ascii="宋体" w:hAnsi="宋体" w:cs="宋体"/>
                <w:sz w:val="24"/>
                <w:szCs w:val="24"/>
              </w:rPr>
            </w:pPr>
          </w:p>
        </w:tc>
        <w:tc>
          <w:tcPr>
            <w:tcW w:w="683" w:type="pct"/>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rPr>
              <w:t>采购方式</w:t>
            </w:r>
          </w:p>
        </w:tc>
        <w:tc>
          <w:tcPr>
            <w:tcW w:w="1780" w:type="pct"/>
            <w:tcBorders>
              <w:top w:val="single" w:color="auto" w:sz="4" w:space="0"/>
              <w:left w:val="nil"/>
              <w:bottom w:val="single" w:color="auto" w:sz="4" w:space="0"/>
              <w:right w:val="single" w:color="auto" w:sz="4" w:space="0"/>
            </w:tcBorders>
            <w:vAlign w:val="center"/>
          </w:tcPr>
          <w:p>
            <w:pPr>
              <w:keepNext/>
              <w:keepLines/>
              <w:adjustRightInd w:val="0"/>
              <w:snapToGrid w:val="0"/>
              <w:spacing w:before="10" w:after="10"/>
              <w:jc w:val="center"/>
              <w:outlineLvl w:val="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9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rPr>
              <w:t>成交价格</w:t>
            </w:r>
          </w:p>
        </w:tc>
        <w:tc>
          <w:tcPr>
            <w:tcW w:w="4076" w:type="pct"/>
            <w:gridSpan w:val="4"/>
            <w:tcBorders>
              <w:top w:val="single" w:color="auto" w:sz="4" w:space="0"/>
              <w:left w:val="nil"/>
              <w:bottom w:val="single" w:color="auto" w:sz="4" w:space="0"/>
              <w:right w:val="single" w:color="auto" w:sz="4" w:space="0"/>
            </w:tcBorders>
            <w:vAlign w:val="center"/>
          </w:tcPr>
          <w:p>
            <w:pPr>
              <w:keepNext/>
              <w:keepLines/>
              <w:adjustRightInd w:val="0"/>
              <w:snapToGrid w:val="0"/>
              <w:spacing w:before="10" w:after="10"/>
              <w:jc w:val="center"/>
              <w:outlineLvl w:val="0"/>
              <w:rPr>
                <w:rFonts w:ascii="宋体" w:hAnsi="宋体" w:cs="宋体"/>
                <w:sz w:val="24"/>
                <w:szCs w:val="24"/>
              </w:rPr>
            </w:pPr>
            <w:bookmarkStart w:id="106" w:name="_Toc17750"/>
            <w:r>
              <w:rPr>
                <w:rFonts w:hint="eastAsia" w:ascii="宋体" w:hAnsi="宋体" w:cs="宋体"/>
                <w:szCs w:val="21"/>
              </w:rPr>
              <w:t>人民币：大写</w:t>
            </w:r>
            <w:r>
              <w:rPr>
                <w:rFonts w:hint="eastAsia" w:ascii="宋体" w:hAnsi="宋体" w:cs="宋体"/>
                <w:szCs w:val="21"/>
                <w:u w:val="single"/>
              </w:rPr>
              <w:t xml:space="preserve">                       元</w:t>
            </w:r>
            <w:r>
              <w:rPr>
                <w:rFonts w:hint="eastAsia" w:ascii="宋体" w:hAnsi="宋体" w:cs="宋体"/>
                <w:szCs w:val="21"/>
              </w:rPr>
              <w:t xml:space="preserve"> ；  小写</w:t>
            </w:r>
            <w:r>
              <w:rPr>
                <w:rFonts w:hint="eastAsia" w:ascii="宋体" w:hAnsi="宋体" w:cs="宋体"/>
                <w:szCs w:val="21"/>
                <w:u w:val="single"/>
              </w:rPr>
              <w:t xml:space="preserve">          元</w:t>
            </w:r>
            <w:r>
              <w:rPr>
                <w:rFonts w:hint="eastAsia" w:ascii="宋体" w:hAnsi="宋体" w:cs="宋体"/>
                <w:szCs w:val="21"/>
              </w:rPr>
              <w:t xml:space="preserve"> ；</w:t>
            </w:r>
            <w:bookmark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9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rPr>
              <w:t>质量标准</w:t>
            </w:r>
          </w:p>
        </w:tc>
        <w:tc>
          <w:tcPr>
            <w:tcW w:w="4076" w:type="pct"/>
            <w:gridSpan w:val="4"/>
            <w:tcBorders>
              <w:top w:val="single" w:color="auto" w:sz="4" w:space="0"/>
              <w:left w:val="nil"/>
              <w:bottom w:val="single" w:color="auto" w:sz="4" w:space="0"/>
              <w:right w:val="single" w:color="auto" w:sz="4" w:space="0"/>
            </w:tcBorders>
            <w:vAlign w:val="center"/>
          </w:tcPr>
          <w:p>
            <w:pPr>
              <w:keepNext/>
              <w:keepLines/>
              <w:adjustRightInd w:val="0"/>
              <w:snapToGrid w:val="0"/>
              <w:spacing w:before="10" w:after="10"/>
              <w:jc w:val="center"/>
              <w:outlineLvl w:val="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9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rPr>
              <w:t>招标范围</w:t>
            </w:r>
          </w:p>
        </w:tc>
        <w:tc>
          <w:tcPr>
            <w:tcW w:w="4076" w:type="pct"/>
            <w:gridSpan w:val="4"/>
            <w:tcBorders>
              <w:top w:val="single" w:color="auto" w:sz="4" w:space="0"/>
              <w:left w:val="nil"/>
              <w:bottom w:val="single" w:color="auto" w:sz="4" w:space="0"/>
              <w:right w:val="single" w:color="auto" w:sz="4" w:space="0"/>
            </w:tcBorders>
            <w:vAlign w:val="center"/>
          </w:tcPr>
          <w:p>
            <w:pPr>
              <w:keepNext/>
              <w:keepLines/>
              <w:adjustRightInd w:val="0"/>
              <w:snapToGrid w:val="0"/>
              <w:spacing w:before="10" w:after="10"/>
              <w:jc w:val="center"/>
              <w:outlineLvl w:val="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Cs w:val="22"/>
              </w:rPr>
              <w:t>采购人与成交供应商应当在成交通知书发出之日起三十日内，按照采购文件确定的事项签订政府采购合同。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2" w:hRule="atLeast"/>
          <w:jc w:val="center"/>
        </w:trPr>
        <w:tc>
          <w:tcPr>
            <w:tcW w:w="2429" w:type="pct"/>
            <w:gridSpan w:val="2"/>
            <w:tcBorders>
              <w:top w:val="single" w:color="auto" w:sz="4" w:space="0"/>
              <w:left w:val="single" w:color="auto" w:sz="4" w:space="0"/>
              <w:bottom w:val="single" w:color="auto" w:sz="4" w:space="0"/>
              <w:right w:val="single" w:color="auto" w:sz="4" w:space="0"/>
            </w:tcBorders>
          </w:tcPr>
          <w:p>
            <w:pPr>
              <w:jc w:val="left"/>
              <w:rPr>
                <w:rFonts w:ascii="宋体" w:hAnsi="宋体" w:cs="宋体"/>
              </w:rPr>
            </w:pPr>
          </w:p>
          <w:p>
            <w:pPr>
              <w:jc w:val="left"/>
              <w:rPr>
                <w:rFonts w:ascii="宋体" w:hAnsi="宋体" w:cs="宋体"/>
              </w:rPr>
            </w:pPr>
          </w:p>
          <w:p>
            <w:pPr>
              <w:jc w:val="left"/>
              <w:rPr>
                <w:rFonts w:ascii="宋体" w:hAnsi="宋体" w:cs="宋体"/>
              </w:rPr>
            </w:pPr>
          </w:p>
          <w:p>
            <w:pPr>
              <w:jc w:val="left"/>
              <w:rPr>
                <w:rFonts w:ascii="宋体" w:hAnsi="宋体" w:cs="宋体"/>
                <w:sz w:val="24"/>
                <w:szCs w:val="24"/>
              </w:rPr>
            </w:pPr>
            <w:r>
              <w:rPr>
                <w:rFonts w:hint="eastAsia" w:ascii="宋体" w:hAnsi="宋体" w:cs="宋体"/>
              </w:rPr>
              <w:t>采购人（盖章）</w:t>
            </w:r>
          </w:p>
          <w:p>
            <w:pPr>
              <w:rPr>
                <w:rFonts w:ascii="宋体" w:hAnsi="宋体" w:cs="宋体"/>
              </w:rPr>
            </w:pPr>
          </w:p>
          <w:p>
            <w:pPr>
              <w:rPr>
                <w:rFonts w:ascii="宋体" w:hAnsi="宋体" w:cs="宋体"/>
              </w:rPr>
            </w:pPr>
          </w:p>
          <w:p>
            <w:pPr>
              <w:jc w:val="left"/>
              <w:rPr>
                <w:rFonts w:ascii="宋体" w:hAnsi="宋体" w:cs="宋体"/>
              </w:rPr>
            </w:pPr>
            <w:r>
              <w:rPr>
                <w:rFonts w:hint="eastAsia" w:ascii="宋体" w:hAnsi="宋体" w:cs="宋体"/>
              </w:rPr>
              <w:t>法定代表人或其委托代理人（签字或盖章）</w:t>
            </w:r>
          </w:p>
          <w:p>
            <w:pPr>
              <w:jc w:val="left"/>
              <w:rPr>
                <w:rFonts w:ascii="宋体" w:hAnsi="宋体" w:cs="宋体"/>
              </w:rPr>
            </w:pPr>
          </w:p>
          <w:p>
            <w:pPr>
              <w:jc w:val="left"/>
              <w:rPr>
                <w:rFonts w:ascii="宋体" w:hAnsi="宋体" w:cs="宋体"/>
              </w:rPr>
            </w:pPr>
          </w:p>
          <w:p>
            <w:pPr>
              <w:jc w:val="right"/>
              <w:rPr>
                <w:rFonts w:ascii="宋体" w:hAnsi="宋体" w:cs="宋体"/>
                <w:sz w:val="24"/>
                <w:szCs w:val="24"/>
              </w:rPr>
            </w:pPr>
            <w:r>
              <w:rPr>
                <w:rFonts w:hint="eastAsia" w:ascii="宋体" w:hAnsi="宋体" w:cs="宋体"/>
              </w:rPr>
              <w:t>年 月 日</w:t>
            </w:r>
          </w:p>
        </w:tc>
        <w:tc>
          <w:tcPr>
            <w:tcW w:w="2570" w:type="pct"/>
            <w:gridSpan w:val="3"/>
            <w:tcBorders>
              <w:top w:val="single" w:color="auto" w:sz="4" w:space="0"/>
              <w:left w:val="nil"/>
              <w:bottom w:val="single" w:color="auto" w:sz="4" w:space="0"/>
              <w:right w:val="single" w:color="auto" w:sz="4" w:space="0"/>
            </w:tcBorders>
          </w:tcPr>
          <w:p>
            <w:pPr>
              <w:jc w:val="left"/>
              <w:rPr>
                <w:rFonts w:ascii="宋体" w:hAnsi="宋体" w:cs="宋体"/>
              </w:rPr>
            </w:pPr>
          </w:p>
          <w:p>
            <w:pPr>
              <w:jc w:val="left"/>
              <w:rPr>
                <w:rFonts w:ascii="宋体" w:hAnsi="宋体" w:cs="宋体"/>
              </w:rPr>
            </w:pPr>
          </w:p>
          <w:p>
            <w:pPr>
              <w:jc w:val="left"/>
              <w:rPr>
                <w:rFonts w:ascii="宋体" w:hAnsi="宋体" w:cs="宋体"/>
              </w:rPr>
            </w:pPr>
          </w:p>
          <w:p>
            <w:pPr>
              <w:jc w:val="left"/>
              <w:rPr>
                <w:rFonts w:ascii="宋体" w:hAnsi="宋体" w:cs="宋体"/>
                <w:sz w:val="24"/>
                <w:szCs w:val="24"/>
              </w:rPr>
            </w:pPr>
            <w:r>
              <w:rPr>
                <w:rFonts w:hint="eastAsia" w:ascii="宋体" w:hAnsi="宋体" w:cs="宋体"/>
              </w:rPr>
              <w:t>采购代理机构（盖章）</w:t>
            </w:r>
          </w:p>
          <w:p>
            <w:pPr>
              <w:jc w:val="left"/>
              <w:rPr>
                <w:rFonts w:ascii="宋体" w:hAnsi="宋体" w:cs="宋体"/>
              </w:rPr>
            </w:pPr>
          </w:p>
          <w:p>
            <w:pPr>
              <w:jc w:val="left"/>
              <w:rPr>
                <w:rFonts w:ascii="宋体" w:hAnsi="宋体" w:cs="宋体"/>
              </w:rPr>
            </w:pPr>
          </w:p>
          <w:p>
            <w:pPr>
              <w:jc w:val="left"/>
              <w:rPr>
                <w:rFonts w:ascii="宋体" w:hAnsi="宋体" w:cs="宋体"/>
              </w:rPr>
            </w:pPr>
            <w:r>
              <w:rPr>
                <w:rFonts w:hint="eastAsia" w:ascii="宋体" w:hAnsi="宋体" w:cs="宋体"/>
              </w:rPr>
              <w:t>法定代表人（签字或盖章）</w:t>
            </w:r>
          </w:p>
          <w:p>
            <w:pPr>
              <w:rPr>
                <w:rFonts w:ascii="宋体" w:hAnsi="宋体" w:cs="宋体"/>
              </w:rPr>
            </w:pPr>
          </w:p>
          <w:p>
            <w:pPr>
              <w:rPr>
                <w:rFonts w:ascii="宋体" w:hAnsi="宋体" w:cs="宋体"/>
              </w:rPr>
            </w:pPr>
          </w:p>
          <w:p>
            <w:pPr>
              <w:jc w:val="right"/>
              <w:rPr>
                <w:rFonts w:ascii="宋体" w:hAnsi="宋体" w:cs="宋体"/>
                <w:sz w:val="24"/>
                <w:szCs w:val="24"/>
              </w:rPr>
            </w:pPr>
            <w:r>
              <w:rPr>
                <w:rFonts w:hint="eastAsia" w:ascii="宋体" w:hAnsi="宋体" w:cs="宋体"/>
              </w:rPr>
              <w:t>年 月 日</w:t>
            </w:r>
          </w:p>
        </w:tc>
      </w:tr>
    </w:tbl>
    <w:p>
      <w:pPr>
        <w:rPr>
          <w:rFonts w:ascii="宋体" w:hAnsi="宋体" w:cs="宋体"/>
          <w:b/>
          <w:bCs/>
          <w:szCs w:val="21"/>
        </w:rPr>
      </w:pPr>
    </w:p>
    <w:p>
      <w:pPr>
        <w:spacing w:line="400" w:lineRule="exact"/>
        <w:jc w:val="left"/>
        <w:rPr>
          <w:rFonts w:ascii="宋体" w:hAnsi="宋体" w:cs="宋体"/>
          <w:sz w:val="36"/>
          <w:szCs w:val="36"/>
        </w:rPr>
      </w:pPr>
      <w:r>
        <w:rPr>
          <w:rFonts w:hint="eastAsia" w:ascii="宋体" w:hAnsi="宋体" w:cs="宋体"/>
          <w:szCs w:val="21"/>
        </w:rPr>
        <w:br w:type="page"/>
      </w:r>
      <w:bookmarkStart w:id="107" w:name="_Toc247085743"/>
      <w:bookmarkStart w:id="108" w:name="_Toc246996228"/>
      <w:bookmarkStart w:id="109" w:name="_Toc16609"/>
      <w:bookmarkStart w:id="110" w:name="_Toc179632603"/>
      <w:bookmarkStart w:id="111" w:name="_Toc144974552"/>
      <w:bookmarkStart w:id="112" w:name="_Toc246996971"/>
      <w:bookmarkStart w:id="113" w:name="_Toc152042362"/>
      <w:bookmarkStart w:id="114" w:name="_Toc324863682"/>
      <w:bookmarkStart w:id="115" w:name="_Toc152045585"/>
      <w:r>
        <w:rPr>
          <w:rFonts w:hint="eastAsia" w:ascii="宋体" w:hAnsi="宋体" w:cs="宋体"/>
          <w:b/>
          <w:sz w:val="32"/>
          <w:szCs w:val="32"/>
        </w:rPr>
        <w:t>附件五：中标结果通知书</w:t>
      </w:r>
      <w:bookmarkEnd w:id="107"/>
      <w:bookmarkEnd w:id="108"/>
      <w:bookmarkEnd w:id="109"/>
      <w:bookmarkEnd w:id="110"/>
      <w:bookmarkEnd w:id="111"/>
      <w:bookmarkEnd w:id="112"/>
      <w:bookmarkEnd w:id="113"/>
      <w:bookmarkEnd w:id="114"/>
      <w:bookmarkEnd w:id="115"/>
    </w:p>
    <w:p>
      <w:pPr>
        <w:spacing w:line="400" w:lineRule="exact"/>
        <w:rPr>
          <w:rFonts w:ascii="宋体" w:hAnsi="宋体" w:cs="宋体"/>
          <w:szCs w:val="21"/>
        </w:rPr>
      </w:pPr>
    </w:p>
    <w:p>
      <w:pPr>
        <w:spacing w:line="400" w:lineRule="exact"/>
        <w:jc w:val="center"/>
        <w:rPr>
          <w:rFonts w:ascii="宋体" w:hAnsi="宋体" w:cs="宋体"/>
          <w:szCs w:val="21"/>
        </w:rPr>
      </w:pPr>
      <w:r>
        <w:rPr>
          <w:rFonts w:hint="eastAsia" w:ascii="宋体" w:hAnsi="宋体" w:cs="宋体"/>
          <w:szCs w:val="21"/>
        </w:rPr>
        <w:t>中标结果通知书</w:t>
      </w:r>
    </w:p>
    <w:p>
      <w:pPr>
        <w:spacing w:line="40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（未中标人名称）：</w:t>
      </w:r>
    </w:p>
    <w:p>
      <w:pPr>
        <w:spacing w:line="440" w:lineRule="exact"/>
        <w:rPr>
          <w:rFonts w:ascii="宋体" w:hAnsi="宋体" w:cs="宋体"/>
          <w:szCs w:val="21"/>
        </w:rPr>
      </w:pPr>
      <w:r>
        <w:rPr>
          <w:rFonts w:hint="eastAsia" w:ascii="宋体" w:hAnsi="宋体" w:cs="宋体"/>
          <w:szCs w:val="21"/>
        </w:rPr>
        <w:t xml:space="preserve">    </w:t>
      </w:r>
    </w:p>
    <w:p>
      <w:pPr>
        <w:spacing w:line="440" w:lineRule="exact"/>
        <w:rPr>
          <w:rFonts w:ascii="宋体" w:hAnsi="宋体" w:cs="宋体"/>
          <w:szCs w:val="21"/>
        </w:rPr>
      </w:pPr>
      <w:r>
        <w:rPr>
          <w:rFonts w:hint="eastAsia" w:ascii="宋体" w:hAnsi="宋体" w:cs="宋体"/>
          <w:szCs w:val="21"/>
        </w:rPr>
        <w:t>　　我方已接受</w:t>
      </w:r>
      <w:r>
        <w:rPr>
          <w:rFonts w:hint="eastAsia" w:ascii="宋体" w:hAnsi="宋体" w:cs="宋体"/>
          <w:szCs w:val="21"/>
          <w:u w:val="single"/>
        </w:rPr>
        <w:t xml:space="preserve">                  </w:t>
      </w:r>
      <w:r>
        <w:rPr>
          <w:rFonts w:hint="eastAsia" w:ascii="宋体" w:hAnsi="宋体" w:cs="宋体"/>
          <w:szCs w:val="21"/>
        </w:rPr>
        <w:t>（中标人名称）于</w:t>
      </w:r>
      <w:r>
        <w:rPr>
          <w:rFonts w:hint="eastAsia" w:ascii="宋体" w:hAnsi="宋体" w:cs="宋体"/>
          <w:szCs w:val="21"/>
          <w:u w:val="single"/>
        </w:rPr>
        <w:t xml:space="preserve">                  </w:t>
      </w:r>
      <w:r>
        <w:rPr>
          <w:rFonts w:hint="eastAsia" w:ascii="宋体" w:hAnsi="宋体" w:cs="宋体"/>
          <w:szCs w:val="21"/>
        </w:rPr>
        <w:t>（开标日期）所递交的</w:t>
      </w:r>
      <w:r>
        <w:rPr>
          <w:rFonts w:hint="eastAsia" w:ascii="宋体" w:hAnsi="宋体" w:cs="宋体"/>
          <w:szCs w:val="21"/>
          <w:u w:val="single"/>
        </w:rPr>
        <w:t xml:space="preserve">            </w:t>
      </w:r>
      <w:r>
        <w:rPr>
          <w:rFonts w:hint="eastAsia" w:ascii="宋体" w:hAnsi="宋体" w:cs="宋体"/>
          <w:szCs w:val="21"/>
        </w:rPr>
        <w:t>（项目名称）响应文件，确定</w:t>
      </w:r>
      <w:r>
        <w:rPr>
          <w:rFonts w:hint="eastAsia" w:ascii="宋体" w:hAnsi="宋体" w:cs="宋体"/>
          <w:szCs w:val="21"/>
          <w:u w:val="single"/>
        </w:rPr>
        <w:t xml:space="preserve">            </w:t>
      </w:r>
      <w:r>
        <w:rPr>
          <w:rFonts w:hint="eastAsia" w:ascii="宋体" w:hAnsi="宋体" w:cs="宋体"/>
          <w:szCs w:val="21"/>
        </w:rPr>
        <w:t>（中标人名称）为中标人。</w:t>
      </w:r>
    </w:p>
    <w:p>
      <w:pPr>
        <w:spacing w:line="440" w:lineRule="exact"/>
        <w:rPr>
          <w:rFonts w:ascii="宋体" w:hAnsi="宋体" w:cs="宋体"/>
          <w:szCs w:val="21"/>
        </w:rPr>
      </w:pPr>
      <w:r>
        <w:rPr>
          <w:rFonts w:hint="eastAsia" w:ascii="宋体" w:hAnsi="宋体" w:cs="宋体"/>
          <w:szCs w:val="21"/>
        </w:rPr>
        <w:t>　　</w:t>
      </w:r>
    </w:p>
    <w:p>
      <w:pPr>
        <w:spacing w:line="440" w:lineRule="exact"/>
        <w:rPr>
          <w:rFonts w:ascii="宋体" w:hAnsi="宋体" w:cs="宋体"/>
          <w:szCs w:val="21"/>
        </w:rPr>
      </w:pPr>
      <w:r>
        <w:rPr>
          <w:rFonts w:hint="eastAsia" w:ascii="宋体" w:hAnsi="宋体" w:cs="宋体"/>
          <w:szCs w:val="21"/>
        </w:rPr>
        <w:t>　　感谢你单位对我们工作的大力支持！</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采购代理机构：</w:t>
      </w:r>
      <w:r>
        <w:rPr>
          <w:rFonts w:hint="eastAsia" w:ascii="宋体" w:hAnsi="宋体" w:cs="宋体"/>
          <w:szCs w:val="21"/>
          <w:u w:val="single"/>
        </w:rPr>
        <w:t xml:space="preserve">                </w:t>
      </w:r>
      <w:r>
        <w:rPr>
          <w:rFonts w:hint="eastAsia" w:ascii="宋体" w:hAnsi="宋体" w:cs="宋体"/>
          <w:szCs w:val="21"/>
        </w:rPr>
        <w:t>（盖单位章）</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44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ascii="宋体" w:hAnsi="宋体" w:cs="宋体"/>
          <w:szCs w:val="21"/>
        </w:rPr>
      </w:pPr>
    </w:p>
    <w:p>
      <w:pPr>
        <w:spacing w:line="400" w:lineRule="exact"/>
        <w:jc w:val="left"/>
        <w:rPr>
          <w:rFonts w:ascii="宋体" w:hAnsi="宋体" w:cs="宋体"/>
          <w:sz w:val="36"/>
          <w:szCs w:val="36"/>
        </w:rPr>
      </w:pPr>
      <w:r>
        <w:rPr>
          <w:rFonts w:hint="eastAsia" w:ascii="宋体" w:hAnsi="宋体" w:cs="宋体"/>
          <w:szCs w:val="21"/>
        </w:rPr>
        <w:br w:type="page"/>
      </w:r>
      <w:bookmarkStart w:id="116" w:name="_Toc246996229"/>
      <w:bookmarkStart w:id="117" w:name="_Toc152042363"/>
      <w:bookmarkStart w:id="118" w:name="_Toc246996972"/>
      <w:bookmarkStart w:id="119" w:name="_Toc179632604"/>
      <w:bookmarkStart w:id="120" w:name="_Toc247085744"/>
      <w:bookmarkStart w:id="121" w:name="_Toc31351"/>
      <w:bookmarkStart w:id="122" w:name="_Toc144974553"/>
      <w:bookmarkStart w:id="123" w:name="_Toc324863683"/>
      <w:bookmarkStart w:id="124" w:name="_Toc152045586"/>
      <w:r>
        <w:rPr>
          <w:rFonts w:hint="eastAsia" w:ascii="宋体" w:hAnsi="宋体" w:cs="宋体"/>
          <w:b/>
          <w:sz w:val="32"/>
          <w:szCs w:val="32"/>
        </w:rPr>
        <w:t>附件六：确认通知</w:t>
      </w:r>
      <w:bookmarkEnd w:id="116"/>
      <w:bookmarkEnd w:id="117"/>
      <w:bookmarkEnd w:id="118"/>
      <w:bookmarkEnd w:id="119"/>
      <w:bookmarkEnd w:id="120"/>
      <w:bookmarkEnd w:id="121"/>
      <w:bookmarkEnd w:id="122"/>
      <w:bookmarkEnd w:id="123"/>
      <w:bookmarkEnd w:id="124"/>
    </w:p>
    <w:p>
      <w:pPr>
        <w:spacing w:line="400" w:lineRule="exact"/>
        <w:rPr>
          <w:rFonts w:ascii="宋体" w:hAnsi="宋体" w:cs="宋体"/>
          <w:szCs w:val="21"/>
        </w:rPr>
      </w:pPr>
    </w:p>
    <w:p>
      <w:pPr>
        <w:spacing w:line="400" w:lineRule="exact"/>
        <w:jc w:val="center"/>
        <w:rPr>
          <w:rFonts w:ascii="宋体" w:hAnsi="宋体" w:cs="宋体"/>
          <w:szCs w:val="21"/>
        </w:rPr>
      </w:pPr>
      <w:r>
        <w:rPr>
          <w:rFonts w:hint="eastAsia" w:ascii="宋体" w:hAnsi="宋体" w:cs="宋体"/>
          <w:szCs w:val="21"/>
        </w:rPr>
        <w:t>确认通知</w:t>
      </w:r>
    </w:p>
    <w:p>
      <w:pPr>
        <w:spacing w:line="40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（采购人名称）：</w:t>
      </w:r>
    </w:p>
    <w:p>
      <w:pPr>
        <w:spacing w:line="440" w:lineRule="exact"/>
        <w:rPr>
          <w:rFonts w:ascii="宋体" w:hAnsi="宋体" w:cs="宋体"/>
          <w:szCs w:val="21"/>
        </w:rPr>
      </w:pPr>
      <w:r>
        <w:rPr>
          <w:rFonts w:hint="eastAsia" w:ascii="宋体" w:hAnsi="宋体" w:cs="宋体"/>
          <w:szCs w:val="21"/>
        </w:rPr>
        <w:t>　　</w:t>
      </w:r>
    </w:p>
    <w:p>
      <w:pPr>
        <w:spacing w:line="440" w:lineRule="exact"/>
        <w:ind w:firstLine="420" w:firstLineChars="200"/>
        <w:rPr>
          <w:rFonts w:ascii="宋体" w:hAnsi="宋体" w:cs="宋体"/>
          <w:szCs w:val="21"/>
          <w:u w:val="single"/>
        </w:rPr>
      </w:pPr>
      <w:r>
        <w:rPr>
          <w:rFonts w:hint="eastAsia" w:ascii="宋体" w:hAnsi="宋体" w:cs="宋体"/>
          <w:szCs w:val="21"/>
        </w:rPr>
        <w:t>你方于</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日发出的</w:t>
      </w:r>
      <w:r>
        <w:rPr>
          <w:rFonts w:hint="eastAsia" w:ascii="宋体" w:hAnsi="宋体" w:cs="宋体"/>
          <w:szCs w:val="21"/>
          <w:u w:val="single"/>
        </w:rPr>
        <w:t xml:space="preserve">              </w:t>
      </w:r>
      <w:r>
        <w:rPr>
          <w:rFonts w:hint="eastAsia" w:ascii="宋体" w:hAnsi="宋体" w:cs="宋体"/>
          <w:szCs w:val="21"/>
        </w:rPr>
        <w:t>（项目名称）关于</w:t>
      </w:r>
      <w:r>
        <w:rPr>
          <w:rFonts w:hint="eastAsia" w:ascii="宋体" w:hAnsi="宋体" w:cs="宋体"/>
          <w:szCs w:val="21"/>
          <w:u w:val="single"/>
        </w:rPr>
        <w:t xml:space="preserve">       </w:t>
      </w:r>
    </w:p>
    <w:p>
      <w:pPr>
        <w:spacing w:line="44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的通知，我方已于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日收到。</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特此确认。</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供应商：</w:t>
      </w:r>
      <w:r>
        <w:rPr>
          <w:rFonts w:hint="eastAsia" w:ascii="宋体" w:hAnsi="宋体" w:cs="宋体"/>
          <w:szCs w:val="21"/>
          <w:u w:val="single"/>
        </w:rPr>
        <w:t xml:space="preserve">             </w:t>
      </w:r>
      <w:r>
        <w:rPr>
          <w:rFonts w:hint="eastAsia" w:ascii="宋体" w:hAnsi="宋体" w:cs="宋体"/>
          <w:szCs w:val="21"/>
        </w:rPr>
        <w:t xml:space="preserve"> （盖单位章）</w:t>
      </w:r>
    </w:p>
    <w:p>
      <w:pPr>
        <w:spacing w:line="44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tabs>
          <w:tab w:val="left" w:pos="1843"/>
        </w:tabs>
        <w:autoSpaceDE w:val="0"/>
        <w:autoSpaceDN w:val="0"/>
        <w:adjustRightInd w:val="0"/>
        <w:snapToGrid w:val="0"/>
        <w:spacing w:afterLines="50"/>
        <w:rPr>
          <w:rFonts w:ascii="宋体" w:hAnsi="宋体" w:cs="宋体"/>
          <w:kern w:val="0"/>
          <w:sz w:val="24"/>
        </w:rPr>
      </w:pPr>
    </w:p>
    <w:p>
      <w:pPr>
        <w:rPr>
          <w:rFonts w:ascii="宋体" w:hAnsi="宋体" w:cs="宋体"/>
        </w:rPr>
      </w:pPr>
    </w:p>
    <w:p>
      <w:pPr>
        <w:spacing w:line="440" w:lineRule="exact"/>
        <w:rPr>
          <w:rFonts w:ascii="宋体" w:hAnsi="宋体" w:cs="宋体"/>
          <w:b/>
          <w:szCs w:val="21"/>
        </w:rPr>
      </w:pPr>
      <w:bookmarkStart w:id="125" w:name="_Toc179632600"/>
      <w:bookmarkStart w:id="126" w:name="_Toc324863679"/>
      <w:bookmarkStart w:id="127" w:name="_Toc246996225"/>
      <w:bookmarkStart w:id="128" w:name="_Toc246996968"/>
      <w:bookmarkStart w:id="129" w:name="_Toc23200"/>
      <w:bookmarkStart w:id="130" w:name="_Toc152045582"/>
      <w:bookmarkStart w:id="131" w:name="_Toc144974549"/>
      <w:bookmarkStart w:id="132" w:name="_Toc152042359"/>
      <w:bookmarkStart w:id="133" w:name="_Toc247085740"/>
    </w:p>
    <w:p>
      <w:pPr>
        <w:spacing w:line="400" w:lineRule="exact"/>
        <w:jc w:val="left"/>
        <w:rPr>
          <w:rFonts w:ascii="宋体" w:hAnsi="宋体" w:cs="宋体"/>
          <w:b/>
          <w:sz w:val="32"/>
          <w:szCs w:val="32"/>
        </w:rPr>
        <w:sectPr>
          <w:footerReference r:id="rId7" w:type="default"/>
          <w:pgSz w:w="11906" w:h="16838"/>
          <w:pgMar w:top="1440" w:right="1247" w:bottom="1361" w:left="1247" w:header="851" w:footer="992" w:gutter="0"/>
          <w:cols w:space="720" w:num="1"/>
          <w:docGrid w:type="lines" w:linePitch="312" w:charSpace="0"/>
        </w:sectPr>
      </w:pPr>
    </w:p>
    <w:bookmarkEnd w:id="5"/>
    <w:bookmarkEnd w:id="125"/>
    <w:bookmarkEnd w:id="126"/>
    <w:bookmarkEnd w:id="127"/>
    <w:bookmarkEnd w:id="128"/>
    <w:bookmarkEnd w:id="129"/>
    <w:bookmarkEnd w:id="130"/>
    <w:bookmarkEnd w:id="131"/>
    <w:bookmarkEnd w:id="132"/>
    <w:bookmarkEnd w:id="133"/>
    <w:p>
      <w:pPr>
        <w:pStyle w:val="3"/>
        <w:spacing w:before="0" w:after="0"/>
        <w:jc w:val="center"/>
        <w:rPr>
          <w:rFonts w:ascii="宋体" w:hAnsi="宋体" w:cs="宋体"/>
          <w:highlight w:val="yellow"/>
        </w:rPr>
      </w:pPr>
      <w:bookmarkStart w:id="134" w:name="_Toc2582"/>
      <w:bookmarkStart w:id="135" w:name="_Toc23622"/>
      <w:bookmarkStart w:id="136" w:name="_Toc29547241"/>
      <w:bookmarkStart w:id="137" w:name="_Toc11606"/>
      <w:r>
        <w:rPr>
          <w:rFonts w:hint="eastAsia" w:ascii="宋体" w:hAnsi="宋体" w:cs="宋体"/>
        </w:rPr>
        <w:t>第三章  评标办法</w:t>
      </w:r>
      <w:bookmarkEnd w:id="134"/>
      <w:bookmarkEnd w:id="135"/>
      <w:bookmarkEnd w:id="136"/>
      <w:r>
        <w:rPr>
          <w:rFonts w:hint="eastAsia" w:ascii="宋体" w:hAnsi="宋体" w:cs="宋体"/>
        </w:rPr>
        <w:t>（综合评分法）</w:t>
      </w:r>
      <w:bookmarkEnd w:id="137"/>
    </w:p>
    <w:p>
      <w:pPr>
        <w:spacing w:line="360" w:lineRule="exact"/>
        <w:jc w:val="center"/>
        <w:rPr>
          <w:rFonts w:ascii="宋体" w:hAnsi="宋体" w:cs="宋体"/>
          <w:b/>
          <w:sz w:val="28"/>
          <w:szCs w:val="28"/>
        </w:rPr>
      </w:pPr>
      <w:r>
        <w:rPr>
          <w:rFonts w:hint="eastAsia" w:ascii="宋体" w:hAnsi="宋体" w:cs="宋体"/>
          <w:b/>
          <w:sz w:val="28"/>
          <w:szCs w:val="28"/>
        </w:rPr>
        <w:t>评标办法前附表（一）</w:t>
      </w:r>
    </w:p>
    <w:p>
      <w:pPr>
        <w:pStyle w:val="14"/>
        <w:jc w:val="center"/>
        <w:rPr>
          <w:rFonts w:ascii="宋体" w:hAnsi="宋体" w:eastAsia="宋体" w:cs="宋体"/>
          <w:b/>
          <w:kern w:val="2"/>
          <w:sz w:val="28"/>
          <w:szCs w:val="28"/>
        </w:rPr>
      </w:pPr>
      <w:r>
        <w:rPr>
          <w:rFonts w:hint="eastAsia" w:ascii="宋体" w:hAnsi="宋体" w:eastAsia="宋体" w:cs="宋体"/>
          <w:b/>
          <w:kern w:val="2"/>
          <w:sz w:val="28"/>
          <w:szCs w:val="28"/>
        </w:rPr>
        <w:t>资格审查表</w:t>
      </w:r>
    </w:p>
    <w:tbl>
      <w:tblPr>
        <w:tblStyle w:val="3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2274"/>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8"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序号</w:t>
            </w:r>
          </w:p>
        </w:tc>
        <w:tc>
          <w:tcPr>
            <w:tcW w:w="2274"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评审因素</w:t>
            </w:r>
          </w:p>
        </w:tc>
        <w:tc>
          <w:tcPr>
            <w:tcW w:w="6124"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888"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1</w:t>
            </w:r>
          </w:p>
        </w:tc>
        <w:tc>
          <w:tcPr>
            <w:tcW w:w="2274"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具有独立承担民事责任的能力</w:t>
            </w:r>
          </w:p>
        </w:tc>
        <w:tc>
          <w:tcPr>
            <w:tcW w:w="6124" w:type="dxa"/>
            <w:noWrap/>
            <w:vAlign w:val="center"/>
          </w:tcPr>
          <w:p>
            <w:pPr>
              <w:autoSpaceDE w:val="0"/>
              <w:autoSpaceDN w:val="0"/>
              <w:adjustRightInd w:val="0"/>
              <w:snapToGrid w:val="0"/>
              <w:spacing w:line="264" w:lineRule="auto"/>
              <w:rPr>
                <w:rFonts w:ascii="宋体" w:hAnsi="宋体" w:cs="宋体"/>
                <w:bCs/>
                <w:szCs w:val="21"/>
                <w:lang w:val="zh-CN"/>
              </w:rPr>
            </w:pPr>
            <w:r>
              <w:rPr>
                <w:rFonts w:hint="eastAsia" w:ascii="宋体" w:hAnsi="宋体" w:cs="宋体"/>
                <w:kern w:val="0"/>
                <w:szCs w:val="21"/>
              </w:rPr>
              <w:t>申请人需具备独立承担民事行为能力的法人或其他组织，具备有效的营业执照；具有履行合同所必需的设备、资金和专业技术能力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88"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2</w:t>
            </w:r>
          </w:p>
        </w:tc>
        <w:tc>
          <w:tcPr>
            <w:tcW w:w="2274"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具有履行合同所必需的设备和专业技术能力</w:t>
            </w:r>
          </w:p>
        </w:tc>
        <w:tc>
          <w:tcPr>
            <w:tcW w:w="6124" w:type="dxa"/>
            <w:noWrap/>
            <w:vAlign w:val="center"/>
          </w:tcPr>
          <w:p>
            <w:pPr>
              <w:autoSpaceDE w:val="0"/>
              <w:autoSpaceDN w:val="0"/>
              <w:adjustRightInd w:val="0"/>
              <w:snapToGrid w:val="0"/>
              <w:spacing w:line="264" w:lineRule="auto"/>
              <w:rPr>
                <w:rFonts w:ascii="宋体" w:hAnsi="宋体" w:cs="宋体"/>
                <w:bCs/>
                <w:szCs w:val="21"/>
              </w:rPr>
            </w:pPr>
            <w:r>
              <w:rPr>
                <w:rFonts w:hint="eastAsia" w:ascii="宋体" w:hAnsi="宋体" w:cs="宋体"/>
                <w:bCs/>
                <w:szCs w:val="21"/>
              </w:rPr>
              <w:t>提供了可充分满足履行合同所需设备和专业技术能力的证明材料或承诺，标书内附复印件加盖公章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888"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3</w:t>
            </w:r>
          </w:p>
        </w:tc>
        <w:tc>
          <w:tcPr>
            <w:tcW w:w="2274"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rPr>
              <w:t>其他资格要求</w:t>
            </w:r>
          </w:p>
        </w:tc>
        <w:tc>
          <w:tcPr>
            <w:tcW w:w="6124" w:type="dxa"/>
            <w:noWrap/>
            <w:vAlign w:val="center"/>
          </w:tcPr>
          <w:p>
            <w:pPr>
              <w:autoSpaceDE w:val="0"/>
              <w:autoSpaceDN w:val="0"/>
              <w:adjustRightInd w:val="0"/>
              <w:snapToGrid w:val="0"/>
              <w:spacing w:line="264" w:lineRule="auto"/>
              <w:rPr>
                <w:rFonts w:ascii="宋体" w:hAnsi="宋体" w:cs="宋体"/>
                <w:bCs/>
                <w:szCs w:val="21"/>
              </w:rPr>
            </w:pPr>
            <w:r>
              <w:rPr>
                <w:rFonts w:hint="eastAsia" w:ascii="宋体" w:hAnsi="宋体" w:cs="宋体"/>
                <w:bCs/>
              </w:rPr>
              <w:t>供应商应按照《长春市财政局关于加强政府采购信用体系建设简化供应商资格条件有关事项的通知》（长财采购[2022]2066号）文件要在响应文件中提交反映其财务状况、依法缴纳税收和社保保障资金情况的资格条件承诺函，并对资格条件承诺函有关内容的真实性、有效性、合法性负责。(承诺函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88"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4</w:t>
            </w:r>
          </w:p>
        </w:tc>
        <w:tc>
          <w:tcPr>
            <w:tcW w:w="2274"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参加政府采购活动前三年内，在经营活动中没有重大违法记录</w:t>
            </w:r>
          </w:p>
        </w:tc>
        <w:tc>
          <w:tcPr>
            <w:tcW w:w="6124" w:type="dxa"/>
            <w:noWrap/>
            <w:vAlign w:val="center"/>
          </w:tcPr>
          <w:p>
            <w:pPr>
              <w:autoSpaceDE w:val="0"/>
              <w:autoSpaceDN w:val="0"/>
              <w:adjustRightInd w:val="0"/>
              <w:snapToGrid w:val="0"/>
              <w:spacing w:line="264" w:lineRule="auto"/>
              <w:rPr>
                <w:rFonts w:ascii="宋体" w:hAnsi="宋体" w:cs="宋体"/>
                <w:bCs/>
                <w:szCs w:val="21"/>
              </w:rPr>
            </w:pPr>
            <w:r>
              <w:rPr>
                <w:rFonts w:hint="eastAsia" w:ascii="宋体" w:hAnsi="宋体" w:cs="宋体"/>
                <w:bCs/>
                <w:szCs w:val="21"/>
              </w:rPr>
              <w:t>提供了有效的参加政府采购活动前3年内在经营活动中没有重大违法记录的承诺书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888" w:type="dxa"/>
            <w:shd w:val="clear" w:color="auto" w:fill="auto"/>
            <w:noWrap/>
            <w:vAlign w:val="center"/>
          </w:tcPr>
          <w:p>
            <w:pPr>
              <w:adjustRightInd w:val="0"/>
              <w:snapToGrid w:val="0"/>
              <w:spacing w:line="264" w:lineRule="auto"/>
              <w:jc w:val="center"/>
              <w:rPr>
                <w:rFonts w:ascii="宋体" w:hAnsi="宋体" w:cs="宋体"/>
                <w:szCs w:val="21"/>
              </w:rPr>
            </w:pPr>
            <w:r>
              <w:rPr>
                <w:rFonts w:hint="eastAsia" w:ascii="宋体" w:hAnsi="宋体" w:cs="宋体"/>
                <w:szCs w:val="21"/>
              </w:rPr>
              <w:t>5</w:t>
            </w:r>
          </w:p>
        </w:tc>
        <w:tc>
          <w:tcPr>
            <w:tcW w:w="2274" w:type="dxa"/>
            <w:shd w:val="clear" w:color="auto" w:fill="auto"/>
            <w:noWrap/>
            <w:vAlign w:val="center"/>
          </w:tcPr>
          <w:p>
            <w:pPr>
              <w:adjustRightInd w:val="0"/>
              <w:snapToGrid w:val="0"/>
              <w:spacing w:line="264" w:lineRule="auto"/>
              <w:jc w:val="center"/>
              <w:rPr>
                <w:rFonts w:ascii="宋体" w:hAnsi="宋体" w:cs="宋体"/>
                <w:szCs w:val="21"/>
              </w:rPr>
            </w:pPr>
            <w:r>
              <w:rPr>
                <w:rFonts w:hint="eastAsia" w:ascii="宋体" w:hAnsi="宋体" w:cs="宋体"/>
                <w:szCs w:val="21"/>
              </w:rPr>
              <w:t>信誉要求</w:t>
            </w:r>
          </w:p>
        </w:tc>
        <w:tc>
          <w:tcPr>
            <w:tcW w:w="6124" w:type="dxa"/>
            <w:shd w:val="clear" w:color="auto" w:fill="auto"/>
            <w:noWrap/>
            <w:vAlign w:val="center"/>
          </w:tcPr>
          <w:p>
            <w:pPr>
              <w:adjustRightInd w:val="0"/>
              <w:snapToGrid w:val="0"/>
              <w:spacing w:line="264" w:lineRule="auto"/>
              <w:rPr>
                <w:rFonts w:ascii="宋体" w:hAnsi="宋体" w:cs="宋体"/>
                <w:szCs w:val="21"/>
              </w:rPr>
            </w:pPr>
            <w:r>
              <w:rPr>
                <w:rFonts w:hint="eastAsia" w:ascii="宋体" w:hAnsi="宋体" w:cs="宋体"/>
                <w:szCs w:val="21"/>
              </w:rPr>
              <w:t>①拒绝列入政府取消投标资格记录期间的企业或个人投标；</w:t>
            </w:r>
          </w:p>
          <w:p>
            <w:pPr>
              <w:adjustRightInd w:val="0"/>
              <w:snapToGrid w:val="0"/>
              <w:spacing w:line="264" w:lineRule="auto"/>
              <w:rPr>
                <w:rFonts w:ascii="宋体" w:hAnsi="宋体" w:cs="宋体"/>
                <w:szCs w:val="21"/>
              </w:rPr>
            </w:pPr>
            <w:r>
              <w:rPr>
                <w:rFonts w:hint="eastAsia" w:ascii="宋体" w:hAnsi="宋体" w:cs="宋体"/>
                <w:szCs w:val="21"/>
              </w:rPr>
              <w:t>②未被“中国政府采购网”列入政府采购严重违法失信行为记录名单；</w:t>
            </w:r>
          </w:p>
          <w:p>
            <w:pPr>
              <w:adjustRightInd w:val="0"/>
              <w:snapToGrid w:val="0"/>
              <w:spacing w:line="264" w:lineRule="auto"/>
              <w:rPr>
                <w:rFonts w:ascii="宋体" w:hAnsi="宋体" w:cs="宋体"/>
                <w:szCs w:val="21"/>
              </w:rPr>
            </w:pPr>
            <w:r>
              <w:rPr>
                <w:rFonts w:hint="eastAsia" w:ascii="宋体" w:hAnsi="宋体" w:cs="宋体"/>
                <w:szCs w:val="21"/>
              </w:rPr>
              <w:t>③本项目投标截止时间前未被“信用中国”网站中列入失信被执行人或重大税收违法案件当事人名单；</w:t>
            </w:r>
          </w:p>
          <w:p>
            <w:pPr>
              <w:adjustRightInd w:val="0"/>
              <w:snapToGrid w:val="0"/>
              <w:spacing w:line="264" w:lineRule="auto"/>
              <w:rPr>
                <w:rFonts w:ascii="宋体" w:hAnsi="宋体" w:cs="宋体"/>
                <w:szCs w:val="21"/>
              </w:rPr>
            </w:pPr>
            <w:r>
              <w:rPr>
                <w:rFonts w:hint="eastAsia" w:ascii="宋体" w:hAnsi="宋体" w:cs="宋体"/>
                <w:kern w:val="0"/>
                <w:szCs w:val="21"/>
              </w:rPr>
              <w:t>在政府采购活动中，采购人员及相关人员与供应商有利害关系的，必须回避；单位负责人为同一人或者存在直接控股、管理关系的不同供应商，不得参加同一合同项下的政府采购活动。违反这两款规定的，相关投标均无效。</w:t>
            </w:r>
            <w:r>
              <w:rPr>
                <w:rFonts w:hint="eastAsia" w:ascii="宋体" w:hAnsi="宋体" w:cs="宋体"/>
                <w:b/>
                <w:szCs w:val="21"/>
              </w:rPr>
              <w:t>（提供法定代表人或授权代表人签字或盖章并加盖公章的承诺书）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888" w:type="dxa"/>
            <w:shd w:val="clear" w:color="auto" w:fill="auto"/>
            <w:noWrap/>
            <w:vAlign w:val="center"/>
          </w:tcPr>
          <w:p>
            <w:pPr>
              <w:adjustRightInd w:val="0"/>
              <w:snapToGrid w:val="0"/>
              <w:spacing w:line="264" w:lineRule="auto"/>
              <w:jc w:val="center"/>
              <w:rPr>
                <w:rFonts w:ascii="宋体" w:hAnsi="宋体" w:cs="宋体"/>
                <w:szCs w:val="21"/>
              </w:rPr>
            </w:pPr>
            <w:r>
              <w:rPr>
                <w:rFonts w:hint="eastAsia" w:ascii="宋体" w:hAnsi="宋体" w:cs="宋体"/>
                <w:szCs w:val="21"/>
              </w:rPr>
              <w:t>6</w:t>
            </w:r>
          </w:p>
        </w:tc>
        <w:tc>
          <w:tcPr>
            <w:tcW w:w="2274" w:type="dxa"/>
            <w:shd w:val="clear" w:color="auto" w:fill="auto"/>
            <w:noWrap/>
            <w:vAlign w:val="center"/>
          </w:tcPr>
          <w:p>
            <w:pPr>
              <w:adjustRightInd w:val="0"/>
              <w:snapToGrid w:val="0"/>
              <w:spacing w:line="264" w:lineRule="auto"/>
              <w:jc w:val="center"/>
              <w:rPr>
                <w:rFonts w:ascii="宋体" w:hAnsi="宋体" w:cs="宋体"/>
                <w:szCs w:val="21"/>
              </w:rPr>
            </w:pPr>
            <w:r>
              <w:rPr>
                <w:rFonts w:hint="eastAsia" w:ascii="宋体" w:hAnsi="宋体" w:cs="宋体"/>
                <w:szCs w:val="21"/>
              </w:rPr>
              <w:t>法律、行政法规规定的其他条件</w:t>
            </w:r>
          </w:p>
        </w:tc>
        <w:tc>
          <w:tcPr>
            <w:tcW w:w="6124" w:type="dxa"/>
            <w:shd w:val="clear" w:color="auto" w:fill="auto"/>
            <w:noWrap/>
            <w:vAlign w:val="center"/>
          </w:tcPr>
          <w:p>
            <w:pPr>
              <w:adjustRightInd w:val="0"/>
              <w:snapToGrid w:val="0"/>
              <w:spacing w:line="264" w:lineRule="auto"/>
              <w:rPr>
                <w:rFonts w:ascii="宋体" w:hAnsi="宋体" w:cs="宋体"/>
                <w:kern w:val="0"/>
                <w:szCs w:val="21"/>
              </w:rPr>
            </w:pPr>
            <w:r>
              <w:rPr>
                <w:rFonts w:hint="eastAsia" w:ascii="宋体" w:hAnsi="宋体" w:cs="宋体"/>
                <w:szCs w:val="21"/>
              </w:rPr>
              <w:t>不存在违反法律、法规的情况</w:t>
            </w:r>
          </w:p>
        </w:tc>
      </w:tr>
    </w:tbl>
    <w:p>
      <w:pPr>
        <w:tabs>
          <w:tab w:val="left" w:pos="1260"/>
          <w:tab w:val="left" w:pos="1620"/>
        </w:tabs>
        <w:adjustRightInd w:val="0"/>
        <w:snapToGrid w:val="0"/>
        <w:jc w:val="left"/>
        <w:textAlignment w:val="baseline"/>
        <w:rPr>
          <w:rFonts w:ascii="宋体" w:hAnsi="宋体" w:cs="宋体"/>
          <w:b/>
          <w:szCs w:val="21"/>
        </w:rPr>
      </w:pPr>
    </w:p>
    <w:p>
      <w:pPr>
        <w:rPr>
          <w:rFonts w:ascii="宋体" w:hAnsi="宋体" w:cs="宋体"/>
          <w:b/>
          <w:szCs w:val="21"/>
        </w:rPr>
      </w:pPr>
      <w:r>
        <w:rPr>
          <w:rFonts w:hint="eastAsia" w:ascii="宋体" w:hAnsi="宋体" w:cs="宋体"/>
          <w:b/>
          <w:szCs w:val="21"/>
        </w:rPr>
        <w:br w:type="page"/>
      </w:r>
    </w:p>
    <w:p>
      <w:pPr>
        <w:pStyle w:val="14"/>
        <w:jc w:val="center"/>
        <w:rPr>
          <w:rFonts w:ascii="宋体" w:hAnsi="宋体" w:eastAsia="宋体" w:cs="宋体"/>
          <w:b/>
          <w:kern w:val="2"/>
          <w:sz w:val="28"/>
          <w:szCs w:val="28"/>
        </w:rPr>
      </w:pPr>
      <w:r>
        <w:rPr>
          <w:rFonts w:hint="eastAsia" w:ascii="宋体" w:hAnsi="宋体" w:eastAsia="宋体" w:cs="宋体"/>
          <w:b/>
          <w:kern w:val="2"/>
          <w:sz w:val="28"/>
          <w:szCs w:val="28"/>
        </w:rPr>
        <w:t>符合性审查表</w:t>
      </w:r>
    </w:p>
    <w:tbl>
      <w:tblPr>
        <w:tblStyle w:val="32"/>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309"/>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序号</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评审因素</w:t>
            </w:r>
          </w:p>
        </w:tc>
        <w:tc>
          <w:tcPr>
            <w:tcW w:w="6387"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1</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供应商名称</w:t>
            </w:r>
          </w:p>
        </w:tc>
        <w:tc>
          <w:tcPr>
            <w:tcW w:w="6387" w:type="dxa"/>
            <w:noWrap/>
            <w:vAlign w:val="center"/>
          </w:tcPr>
          <w:p>
            <w:pPr>
              <w:autoSpaceDE w:val="0"/>
              <w:autoSpaceDN w:val="0"/>
              <w:adjustRightInd w:val="0"/>
              <w:snapToGrid w:val="0"/>
              <w:spacing w:line="264" w:lineRule="auto"/>
              <w:rPr>
                <w:rFonts w:ascii="宋体" w:hAnsi="宋体" w:cs="宋体"/>
                <w:bCs/>
                <w:szCs w:val="21"/>
                <w:lang w:val="zh-CN"/>
              </w:rPr>
            </w:pPr>
            <w:r>
              <w:rPr>
                <w:rFonts w:hint="eastAsia" w:ascii="宋体" w:hAnsi="宋体" w:cs="宋体"/>
                <w:bCs/>
                <w:szCs w:val="21"/>
                <w:lang w:val="zh-CN"/>
              </w:rPr>
              <w:t>与磋商文件获取、营业执照一致（</w:t>
            </w:r>
            <w:r>
              <w:rPr>
                <w:rFonts w:hint="eastAsia" w:ascii="宋体" w:hAnsi="宋体" w:cs="宋体"/>
                <w:szCs w:val="21"/>
              </w:rPr>
              <w:t>符合法定工商变更程序除外</w:t>
            </w: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2</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签字盖章</w:t>
            </w:r>
          </w:p>
        </w:tc>
        <w:tc>
          <w:tcPr>
            <w:tcW w:w="6387" w:type="dxa"/>
            <w:noWrap/>
            <w:vAlign w:val="center"/>
          </w:tcPr>
          <w:p>
            <w:pPr>
              <w:autoSpaceDE w:val="0"/>
              <w:autoSpaceDN w:val="0"/>
              <w:adjustRightInd w:val="0"/>
              <w:snapToGrid w:val="0"/>
              <w:spacing w:line="264" w:lineRule="auto"/>
              <w:rPr>
                <w:rFonts w:ascii="宋体" w:hAnsi="宋体" w:cs="宋体"/>
                <w:bCs/>
                <w:szCs w:val="21"/>
                <w:lang w:val="zh-CN"/>
              </w:rPr>
            </w:pPr>
            <w:r>
              <w:rPr>
                <w:rFonts w:hint="eastAsia" w:ascii="宋体" w:hAnsi="宋体" w:cs="宋体"/>
                <w:bCs/>
                <w:szCs w:val="21"/>
                <w:lang w:val="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3</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响应文件格式</w:t>
            </w:r>
          </w:p>
        </w:tc>
        <w:tc>
          <w:tcPr>
            <w:tcW w:w="6387" w:type="dxa"/>
            <w:noWrap/>
            <w:vAlign w:val="center"/>
          </w:tcPr>
          <w:p>
            <w:pPr>
              <w:autoSpaceDE w:val="0"/>
              <w:autoSpaceDN w:val="0"/>
              <w:adjustRightInd w:val="0"/>
              <w:snapToGrid w:val="0"/>
              <w:spacing w:line="264" w:lineRule="auto"/>
              <w:rPr>
                <w:rFonts w:ascii="宋体" w:hAnsi="宋体" w:cs="宋体"/>
                <w:bCs/>
                <w:szCs w:val="21"/>
                <w:lang w:val="zh-CN"/>
              </w:rPr>
            </w:pPr>
            <w:r>
              <w:rPr>
                <w:rFonts w:hint="eastAsia" w:ascii="宋体" w:hAnsi="宋体" w:cs="宋体"/>
                <w:bCs/>
                <w:szCs w:val="21"/>
                <w:lang w:val="zh-CN"/>
              </w:rPr>
              <w:t>符合第六章“响应文件构成、要求及格式”的要求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23" w:type="dxa"/>
            <w:tcBorders>
              <w:bottom w:val="single" w:color="auto" w:sz="4" w:space="0"/>
            </w:tcBorders>
            <w:noWrap/>
            <w:vAlign w:val="center"/>
          </w:tcPr>
          <w:p>
            <w:pPr>
              <w:adjustRightInd w:val="0"/>
              <w:snapToGrid w:val="0"/>
              <w:spacing w:line="264" w:lineRule="auto"/>
              <w:jc w:val="center"/>
              <w:rPr>
                <w:rFonts w:ascii="宋体" w:hAnsi="宋体" w:cs="宋体"/>
                <w:szCs w:val="21"/>
              </w:rPr>
            </w:pPr>
            <w:r>
              <w:rPr>
                <w:rFonts w:hint="eastAsia" w:ascii="宋体" w:hAnsi="宋体" w:cs="宋体"/>
                <w:szCs w:val="21"/>
              </w:rPr>
              <w:t>4</w:t>
            </w:r>
          </w:p>
        </w:tc>
        <w:tc>
          <w:tcPr>
            <w:tcW w:w="2309" w:type="dxa"/>
            <w:tcBorders>
              <w:bottom w:val="single" w:color="auto" w:sz="4" w:space="0"/>
            </w:tcBorders>
            <w:noWrap/>
            <w:vAlign w:val="center"/>
          </w:tcPr>
          <w:p>
            <w:pPr>
              <w:adjustRightInd w:val="0"/>
              <w:snapToGrid w:val="0"/>
              <w:spacing w:line="264" w:lineRule="auto"/>
              <w:jc w:val="center"/>
              <w:rPr>
                <w:rFonts w:ascii="宋体" w:hAnsi="宋体" w:cs="宋体"/>
                <w:bCs/>
                <w:szCs w:val="21"/>
                <w:lang w:val="zh-CN"/>
              </w:rPr>
            </w:pPr>
            <w:r>
              <w:rPr>
                <w:rFonts w:hint="eastAsia" w:ascii="宋体" w:hAnsi="宋体" w:cs="宋体"/>
                <w:szCs w:val="21"/>
              </w:rPr>
              <w:t>报价唯一</w:t>
            </w:r>
          </w:p>
        </w:tc>
        <w:tc>
          <w:tcPr>
            <w:tcW w:w="6387" w:type="dxa"/>
            <w:tcBorders>
              <w:bottom w:val="single" w:color="auto" w:sz="4" w:space="0"/>
            </w:tcBorders>
            <w:noWrap/>
            <w:vAlign w:val="center"/>
          </w:tcPr>
          <w:p>
            <w:pPr>
              <w:adjustRightInd w:val="0"/>
              <w:snapToGrid w:val="0"/>
              <w:spacing w:line="264" w:lineRule="auto"/>
              <w:rPr>
                <w:rFonts w:ascii="宋体" w:hAnsi="宋体" w:cs="宋体"/>
                <w:bCs/>
                <w:szCs w:val="21"/>
                <w:lang w:val="zh-CN"/>
              </w:rPr>
            </w:pPr>
            <w:r>
              <w:rPr>
                <w:rFonts w:hint="eastAsia" w:ascii="宋体" w:hAnsi="宋体" w:cs="宋体"/>
                <w:szCs w:val="21"/>
              </w:rPr>
              <w:t>只能有一个有效报价，投标报价是固定价且未超过预算金额（竞争性磋商文件有最高限价的，报价未超过最高限价）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5</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合同履约期限</w:t>
            </w:r>
          </w:p>
        </w:tc>
        <w:tc>
          <w:tcPr>
            <w:tcW w:w="6387" w:type="dxa"/>
            <w:noWrap/>
            <w:vAlign w:val="center"/>
          </w:tcPr>
          <w:p>
            <w:pPr>
              <w:autoSpaceDE w:val="0"/>
              <w:autoSpaceDN w:val="0"/>
              <w:adjustRightInd w:val="0"/>
              <w:snapToGrid w:val="0"/>
              <w:spacing w:line="264" w:lineRule="auto"/>
              <w:rPr>
                <w:rFonts w:ascii="宋体" w:hAnsi="宋体" w:cs="宋体"/>
                <w:szCs w:val="21"/>
              </w:rPr>
            </w:pPr>
            <w:r>
              <w:rPr>
                <w:rFonts w:hint="eastAsia" w:ascii="宋体" w:hAnsi="宋体" w:cs="宋体"/>
                <w:kern w:val="0"/>
                <w:szCs w:val="21"/>
              </w:rPr>
              <w:t xml:space="preserve">采购合同签订之日起 </w:t>
            </w:r>
            <w:r>
              <w:rPr>
                <w:rFonts w:hint="eastAsia" w:ascii="宋体" w:hAnsi="宋体" w:cs="宋体"/>
                <w:kern w:val="0"/>
                <w:szCs w:val="21"/>
                <w:lang w:val="en-US" w:eastAsia="zh-CN"/>
              </w:rPr>
              <w:t>3</w:t>
            </w:r>
            <w:r>
              <w:rPr>
                <w:rFonts w:hint="eastAsia" w:ascii="宋体" w:hAnsi="宋体" w:cs="宋体"/>
                <w:kern w:val="0"/>
                <w:szCs w:val="21"/>
              </w:rPr>
              <w:t>0 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rPr>
            </w:pPr>
            <w:r>
              <w:rPr>
                <w:rFonts w:hint="eastAsia" w:ascii="宋体" w:hAnsi="宋体" w:cs="宋体"/>
              </w:rPr>
              <w:t>6</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rPr>
              <w:t>质量要求</w:t>
            </w:r>
          </w:p>
        </w:tc>
        <w:tc>
          <w:tcPr>
            <w:tcW w:w="6387" w:type="dxa"/>
            <w:noWrap/>
            <w:vAlign w:val="center"/>
          </w:tcPr>
          <w:p>
            <w:pPr>
              <w:autoSpaceDE w:val="0"/>
              <w:autoSpaceDN w:val="0"/>
              <w:adjustRightInd w:val="0"/>
              <w:snapToGrid w:val="0"/>
              <w:spacing w:line="264" w:lineRule="auto"/>
              <w:rPr>
                <w:rFonts w:ascii="宋体" w:hAnsi="宋体" w:cs="宋体"/>
                <w:bCs/>
                <w:szCs w:val="21"/>
              </w:rPr>
            </w:pPr>
            <w:r>
              <w:rPr>
                <w:rFonts w:hint="eastAsia" w:ascii="宋体" w:hAnsi="宋体" w:cs="宋体"/>
              </w:rPr>
              <w:t>符合国家及行业相关规定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7</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磋商有效期</w:t>
            </w:r>
          </w:p>
        </w:tc>
        <w:tc>
          <w:tcPr>
            <w:tcW w:w="6387" w:type="dxa"/>
            <w:noWrap/>
            <w:vAlign w:val="center"/>
          </w:tcPr>
          <w:p>
            <w:pPr>
              <w:autoSpaceDE w:val="0"/>
              <w:autoSpaceDN w:val="0"/>
              <w:adjustRightInd w:val="0"/>
              <w:snapToGrid w:val="0"/>
              <w:spacing w:line="264" w:lineRule="auto"/>
              <w:rPr>
                <w:rFonts w:ascii="宋体" w:hAnsi="宋体" w:cs="宋体"/>
                <w:bCs/>
                <w:szCs w:val="21"/>
                <w:lang w:val="zh-CN"/>
              </w:rPr>
            </w:pPr>
            <w:r>
              <w:rPr>
                <w:rFonts w:hint="eastAsia" w:ascii="宋体" w:hAnsi="宋体" w:cs="宋体"/>
                <w:bCs/>
                <w:szCs w:val="21"/>
              </w:rPr>
              <w:t>磋商有效期满足磋商文件要求</w:t>
            </w: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8</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磋商保证金</w:t>
            </w:r>
          </w:p>
        </w:tc>
        <w:tc>
          <w:tcPr>
            <w:tcW w:w="6387" w:type="dxa"/>
            <w:noWrap/>
            <w:vAlign w:val="center"/>
          </w:tcPr>
          <w:p>
            <w:pPr>
              <w:autoSpaceDE w:val="0"/>
              <w:autoSpaceDN w:val="0"/>
              <w:adjustRightInd w:val="0"/>
              <w:snapToGrid w:val="0"/>
              <w:spacing w:line="264" w:lineRule="auto"/>
              <w:rPr>
                <w:rFonts w:ascii="宋体" w:hAnsi="宋体" w:cs="宋体"/>
                <w:bCs/>
                <w:szCs w:val="21"/>
                <w:lang w:val="zh-CN"/>
              </w:rPr>
            </w:pPr>
            <w:r>
              <w:rPr>
                <w:rFonts w:hint="eastAsia" w:ascii="宋体" w:hAnsi="宋体" w:cs="宋体"/>
                <w:bCs/>
                <w:szCs w:val="21"/>
              </w:rPr>
              <w:t>满足磋商文件供应商须知前附表磋商保证金要求。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9</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报价修正</w:t>
            </w:r>
          </w:p>
        </w:tc>
        <w:tc>
          <w:tcPr>
            <w:tcW w:w="6387" w:type="dxa"/>
            <w:noWrap/>
            <w:vAlign w:val="center"/>
          </w:tcPr>
          <w:p>
            <w:pPr>
              <w:autoSpaceDE w:val="0"/>
              <w:autoSpaceDN w:val="0"/>
              <w:adjustRightInd w:val="0"/>
              <w:snapToGrid w:val="0"/>
              <w:spacing w:line="264" w:lineRule="auto"/>
              <w:jc w:val="left"/>
              <w:rPr>
                <w:rFonts w:ascii="宋体" w:hAnsi="宋体" w:cs="宋体"/>
                <w:bCs/>
                <w:szCs w:val="21"/>
                <w:lang w:val="zh-CN"/>
              </w:rPr>
            </w:pPr>
            <w:r>
              <w:rPr>
                <w:rFonts w:hint="eastAsia" w:ascii="宋体" w:hAnsi="宋体" w:cs="宋体"/>
                <w:bCs/>
                <w:szCs w:val="21"/>
                <w:lang w:val="zh-CN"/>
              </w:rPr>
              <w:t>报价出现前后不一致时，供应商按照磋商文件评标办法要求确认修正后的报价。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10</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权利义务</w:t>
            </w:r>
          </w:p>
        </w:tc>
        <w:tc>
          <w:tcPr>
            <w:tcW w:w="6387" w:type="dxa"/>
            <w:noWrap/>
            <w:vAlign w:val="center"/>
          </w:tcPr>
          <w:p>
            <w:pPr>
              <w:autoSpaceDE w:val="0"/>
              <w:autoSpaceDN w:val="0"/>
              <w:adjustRightInd w:val="0"/>
              <w:snapToGrid w:val="0"/>
              <w:spacing w:line="264" w:lineRule="auto"/>
              <w:rPr>
                <w:rFonts w:ascii="宋体" w:hAnsi="宋体" w:cs="宋体"/>
                <w:bCs/>
                <w:szCs w:val="21"/>
              </w:rPr>
            </w:pPr>
            <w:r>
              <w:rPr>
                <w:rFonts w:hint="eastAsia" w:ascii="宋体" w:hAnsi="宋体" w:cs="宋体"/>
                <w:bCs/>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23" w:type="dxa"/>
            <w:noWrap/>
            <w:vAlign w:val="center"/>
          </w:tcPr>
          <w:p>
            <w:pPr>
              <w:autoSpaceDE w:val="0"/>
              <w:autoSpaceDN w:val="0"/>
              <w:adjustRightInd w:val="0"/>
              <w:spacing w:line="320" w:lineRule="exact"/>
              <w:jc w:val="center"/>
              <w:rPr>
                <w:rFonts w:ascii="宋体" w:hAnsi="宋体" w:cs="宋体"/>
                <w:bCs/>
                <w:szCs w:val="21"/>
              </w:rPr>
            </w:pPr>
            <w:r>
              <w:rPr>
                <w:rFonts w:hint="eastAsia" w:ascii="宋体" w:hAnsi="宋体" w:cs="宋体"/>
                <w:bCs/>
                <w:szCs w:val="21"/>
              </w:rPr>
              <w:t>11</w:t>
            </w:r>
          </w:p>
        </w:tc>
        <w:tc>
          <w:tcPr>
            <w:tcW w:w="2309" w:type="dxa"/>
            <w:noWrap/>
            <w:vAlign w:val="center"/>
          </w:tcPr>
          <w:p>
            <w:pPr>
              <w:autoSpaceDE w:val="0"/>
              <w:autoSpaceDN w:val="0"/>
              <w:adjustRightInd w:val="0"/>
              <w:spacing w:line="320" w:lineRule="exact"/>
              <w:jc w:val="center"/>
              <w:rPr>
                <w:rFonts w:ascii="宋体" w:hAnsi="宋体" w:cs="宋体"/>
                <w:bCs/>
                <w:szCs w:val="21"/>
                <w:lang w:val="zh-CN"/>
              </w:rPr>
            </w:pPr>
            <w:r>
              <w:rPr>
                <w:rFonts w:hint="eastAsia" w:ascii="宋体" w:hAnsi="宋体" w:cs="宋体"/>
                <w:bCs/>
                <w:szCs w:val="21"/>
                <w:lang w:val="zh-CN"/>
              </w:rPr>
              <w:t>技术要求</w:t>
            </w:r>
          </w:p>
        </w:tc>
        <w:tc>
          <w:tcPr>
            <w:tcW w:w="6387" w:type="dxa"/>
            <w:noWrap/>
            <w:vAlign w:val="center"/>
          </w:tcPr>
          <w:p>
            <w:pPr>
              <w:autoSpaceDE w:val="0"/>
              <w:autoSpaceDN w:val="0"/>
              <w:adjustRightInd w:val="0"/>
              <w:spacing w:line="320" w:lineRule="exact"/>
              <w:jc w:val="left"/>
              <w:rPr>
                <w:rFonts w:ascii="宋体" w:hAnsi="宋体" w:cs="宋体"/>
                <w:bCs/>
                <w:szCs w:val="21"/>
              </w:rPr>
            </w:pPr>
            <w:r>
              <w:rPr>
                <w:rFonts w:hint="eastAsia" w:ascii="宋体" w:hAnsi="宋体" w:cs="宋体"/>
                <w:bCs/>
                <w:szCs w:val="21"/>
              </w:rPr>
              <w:t>投标人应在投标文件《技术条款偏离表》中对本部分技术条款逐条说明响应和偏离情况，技术条款中的“具体参数值或功能要求表述”中“*”条款为实质性条款，投标人的投标必须完全满足或者正偏离，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12</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公平竞争</w:t>
            </w:r>
          </w:p>
        </w:tc>
        <w:tc>
          <w:tcPr>
            <w:tcW w:w="6387" w:type="dxa"/>
            <w:noWrap/>
            <w:vAlign w:val="center"/>
          </w:tcPr>
          <w:p>
            <w:pPr>
              <w:autoSpaceDE w:val="0"/>
              <w:autoSpaceDN w:val="0"/>
              <w:adjustRightInd w:val="0"/>
              <w:snapToGrid w:val="0"/>
              <w:spacing w:line="264" w:lineRule="auto"/>
              <w:rPr>
                <w:rFonts w:ascii="宋体" w:hAnsi="宋体" w:cs="宋体"/>
                <w:bCs/>
                <w:szCs w:val="21"/>
              </w:rPr>
            </w:pPr>
            <w:r>
              <w:rPr>
                <w:rFonts w:hint="eastAsia" w:ascii="宋体" w:hAnsi="宋体" w:cs="宋体"/>
                <w:bCs/>
                <w:szCs w:val="21"/>
              </w:rPr>
              <w:t>遵循公平竞争的原则，没有弄虚作假、恶意串通或妨碍其他供应商的竞争行为，损害采购人或者其他供应商的合法权益。</w:t>
            </w:r>
          </w:p>
          <w:p>
            <w:pPr>
              <w:autoSpaceDE w:val="0"/>
              <w:autoSpaceDN w:val="0"/>
              <w:adjustRightInd w:val="0"/>
              <w:snapToGrid w:val="0"/>
              <w:spacing w:line="264" w:lineRule="auto"/>
              <w:rPr>
                <w:rFonts w:ascii="宋体" w:hAnsi="宋体" w:cs="宋体"/>
                <w:bCs/>
                <w:szCs w:val="21"/>
              </w:rPr>
            </w:pPr>
            <w:r>
              <w:rPr>
                <w:rFonts w:hint="eastAsia" w:ascii="宋体" w:hAnsi="宋体" w:cs="宋体"/>
                <w:bCs/>
                <w:szCs w:val="21"/>
              </w:rPr>
              <w:t>弄虚作假、串通投标的情形见附注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13</w:t>
            </w:r>
          </w:p>
        </w:tc>
        <w:tc>
          <w:tcPr>
            <w:tcW w:w="2309" w:type="dxa"/>
            <w:noWrap/>
            <w:vAlign w:val="center"/>
          </w:tcPr>
          <w:p>
            <w:pPr>
              <w:autoSpaceDE w:val="0"/>
              <w:autoSpaceDN w:val="0"/>
              <w:adjustRightInd w:val="0"/>
              <w:snapToGrid w:val="0"/>
              <w:spacing w:line="264" w:lineRule="auto"/>
              <w:jc w:val="center"/>
              <w:rPr>
                <w:rFonts w:ascii="宋体" w:hAnsi="宋体" w:cs="宋体"/>
                <w:bCs/>
                <w:szCs w:val="21"/>
                <w:lang w:val="zh-CN"/>
              </w:rPr>
            </w:pPr>
            <w:r>
              <w:rPr>
                <w:rFonts w:hint="eastAsia" w:ascii="宋体" w:hAnsi="宋体" w:cs="宋体"/>
                <w:bCs/>
                <w:szCs w:val="21"/>
                <w:lang w:val="zh-CN"/>
              </w:rPr>
              <w:t>供货地点</w:t>
            </w:r>
          </w:p>
        </w:tc>
        <w:tc>
          <w:tcPr>
            <w:tcW w:w="6387" w:type="dxa"/>
            <w:noWrap/>
            <w:vAlign w:val="center"/>
          </w:tcPr>
          <w:p>
            <w:pPr>
              <w:autoSpaceDE w:val="0"/>
              <w:autoSpaceDN w:val="0"/>
              <w:adjustRightInd w:val="0"/>
              <w:snapToGrid w:val="0"/>
              <w:spacing w:line="264" w:lineRule="auto"/>
              <w:rPr>
                <w:rFonts w:ascii="宋体" w:hAnsi="宋体" w:cs="宋体"/>
                <w:bCs/>
                <w:szCs w:val="21"/>
              </w:rPr>
            </w:pPr>
            <w:r>
              <w:rPr>
                <w:rFonts w:hint="eastAsia" w:ascii="宋体" w:hAnsi="宋体" w:cs="宋体"/>
                <w:bCs/>
                <w:szCs w:val="21"/>
              </w:rPr>
              <w:t>中标供应商须将全部采购标的物送达采购人指定场所，并安装部署调试到位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14</w:t>
            </w:r>
          </w:p>
        </w:tc>
        <w:tc>
          <w:tcPr>
            <w:tcW w:w="2309" w:type="dxa"/>
            <w:noWrap/>
            <w:vAlign w:val="center"/>
          </w:tcPr>
          <w:p>
            <w:pPr>
              <w:pStyle w:val="12"/>
              <w:widowControl/>
              <w:adjustRightInd w:val="0"/>
              <w:snapToGrid w:val="0"/>
              <w:spacing w:line="288" w:lineRule="auto"/>
              <w:jc w:val="center"/>
              <w:rPr>
                <w:rFonts w:ascii="宋体" w:hAnsi="宋体" w:cs="宋体"/>
                <w:bCs/>
                <w:szCs w:val="21"/>
                <w:lang w:val="zh-CN"/>
              </w:rPr>
            </w:pPr>
            <w:r>
              <w:rPr>
                <w:rFonts w:hint="eastAsia" w:ascii="宋体" w:hAnsi="宋体" w:cs="宋体"/>
                <w:bCs/>
                <w:szCs w:val="21"/>
              </w:rPr>
              <w:t>包装和运输要求</w:t>
            </w:r>
          </w:p>
        </w:tc>
        <w:tc>
          <w:tcPr>
            <w:tcW w:w="6387" w:type="dxa"/>
            <w:noWrap/>
            <w:vAlign w:val="center"/>
          </w:tcPr>
          <w:p>
            <w:pPr>
              <w:pStyle w:val="12"/>
              <w:widowControl/>
              <w:adjustRightInd w:val="0"/>
              <w:snapToGrid w:val="0"/>
              <w:spacing w:line="288" w:lineRule="auto"/>
              <w:jc w:val="left"/>
              <w:rPr>
                <w:rFonts w:ascii="宋体" w:hAnsi="宋体" w:cs="宋体"/>
                <w:bCs/>
                <w:szCs w:val="21"/>
              </w:rPr>
            </w:pPr>
            <w:r>
              <w:rPr>
                <w:rFonts w:hint="eastAsia" w:ascii="宋体" w:hAnsi="宋体" w:cs="宋体"/>
                <w:bCs/>
                <w:szCs w:val="21"/>
              </w:rPr>
              <w:t>符合《商品包装政府采购需求标准（试行）》和《快递包装政府采购需求标准（试行）》。</w:t>
            </w:r>
            <w:r>
              <w:rPr>
                <w:rFonts w:hint="eastAsia" w:ascii="宋体" w:hAnsi="宋体" w:cs="宋体"/>
                <w:b/>
                <w:szCs w:val="21"/>
              </w:rPr>
              <w:t>（提供法定代表人或授权代表人签字或盖章并加盖公章的承诺书）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923" w:type="dxa"/>
            <w:noWrap/>
            <w:vAlign w:val="center"/>
          </w:tcPr>
          <w:p>
            <w:pPr>
              <w:autoSpaceDE w:val="0"/>
              <w:autoSpaceDN w:val="0"/>
              <w:adjustRightInd w:val="0"/>
              <w:snapToGrid w:val="0"/>
              <w:spacing w:line="264" w:lineRule="auto"/>
              <w:jc w:val="center"/>
              <w:rPr>
                <w:rFonts w:hint="eastAsia" w:ascii="宋体" w:hAnsi="宋体" w:eastAsia="宋体" w:cs="宋体"/>
                <w:bCs/>
                <w:kern w:val="2"/>
                <w:sz w:val="21"/>
                <w:szCs w:val="21"/>
                <w:lang w:val="en-US" w:eastAsia="zh-CN" w:bidi="ar-SA"/>
              </w:rPr>
            </w:pPr>
            <w:r>
              <w:rPr>
                <w:rFonts w:hint="eastAsia" w:ascii="宋体" w:hAnsi="宋体" w:cs="宋体"/>
                <w:bCs/>
                <w:szCs w:val="21"/>
              </w:rPr>
              <w:t>15</w:t>
            </w:r>
          </w:p>
        </w:tc>
        <w:tc>
          <w:tcPr>
            <w:tcW w:w="2309" w:type="dxa"/>
            <w:noWrap/>
            <w:vAlign w:val="center"/>
          </w:tcPr>
          <w:p>
            <w:pPr>
              <w:pStyle w:val="12"/>
              <w:widowControl/>
              <w:spacing w:line="360" w:lineRule="auto"/>
              <w:jc w:val="center"/>
              <w:rPr>
                <w:rFonts w:hint="eastAsia" w:ascii="宋体" w:hAnsi="宋体" w:cs="宋体"/>
                <w:bCs/>
                <w:szCs w:val="21"/>
              </w:rPr>
            </w:pPr>
            <w:r>
              <w:rPr>
                <w:rFonts w:hint="eastAsia" w:ascii="宋体" w:hAnsi="宋体" w:cs="宋体"/>
                <w:bCs/>
                <w:color w:val="000000"/>
                <w:szCs w:val="21"/>
                <w:highlight w:val="white"/>
              </w:rPr>
              <w:t>保险要求</w:t>
            </w:r>
          </w:p>
        </w:tc>
        <w:tc>
          <w:tcPr>
            <w:tcW w:w="6387" w:type="dxa"/>
            <w:noWrap/>
            <w:vAlign w:val="center"/>
          </w:tcPr>
          <w:p>
            <w:pPr>
              <w:pStyle w:val="12"/>
              <w:widowControl/>
              <w:adjustRightInd w:val="0"/>
              <w:snapToGrid w:val="0"/>
              <w:spacing w:line="360" w:lineRule="auto"/>
              <w:jc w:val="left"/>
              <w:rPr>
                <w:rFonts w:hint="eastAsia" w:ascii="宋体" w:hAnsi="宋体" w:cs="宋体"/>
                <w:bCs/>
                <w:szCs w:val="21"/>
              </w:rPr>
            </w:pPr>
            <w:r>
              <w:rPr>
                <w:rFonts w:hint="eastAsia" w:ascii="宋体" w:hAnsi="宋体" w:cs="宋体"/>
                <w:bCs/>
                <w:color w:val="000000"/>
                <w:szCs w:val="21"/>
                <w:highlight w:val="white"/>
                <w:lang w:val="zh-CN"/>
              </w:rPr>
              <w:t>货物在系统安装调试验收合格前的保险由中标人负责，中标人负责其派出的现场服务人员人身意外保险。</w:t>
            </w:r>
            <w:r>
              <w:rPr>
                <w:rFonts w:hint="eastAsia" w:ascii="宋体" w:hAnsi="宋体" w:cs="宋体"/>
                <w:b/>
                <w:szCs w:val="21"/>
              </w:rPr>
              <w:t>（提供法定代表人或授权代表人签字或盖章并加盖公章的承诺书）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923" w:type="dxa"/>
            <w:noWrap/>
            <w:vAlign w:val="center"/>
          </w:tcPr>
          <w:p>
            <w:pPr>
              <w:autoSpaceDE w:val="0"/>
              <w:autoSpaceDN w:val="0"/>
              <w:adjustRightInd w:val="0"/>
              <w:snapToGrid w:val="0"/>
              <w:spacing w:line="264" w:lineRule="auto"/>
              <w:jc w:val="center"/>
              <w:rPr>
                <w:rFonts w:ascii="宋体" w:hAnsi="宋体" w:eastAsia="宋体" w:cs="宋体"/>
                <w:kern w:val="2"/>
                <w:sz w:val="21"/>
                <w:lang w:val="en-US" w:eastAsia="zh-CN" w:bidi="ar-SA"/>
              </w:rPr>
            </w:pPr>
            <w:r>
              <w:rPr>
                <w:rFonts w:hint="eastAsia" w:ascii="宋体" w:hAnsi="宋体" w:cs="宋体"/>
              </w:rPr>
              <w:t>16</w:t>
            </w:r>
          </w:p>
        </w:tc>
        <w:tc>
          <w:tcPr>
            <w:tcW w:w="2309" w:type="dxa"/>
            <w:noWrap/>
            <w:vAlign w:val="center"/>
          </w:tcPr>
          <w:p>
            <w:pPr>
              <w:pStyle w:val="12"/>
              <w:widowControl/>
              <w:adjustRightInd w:val="0"/>
              <w:snapToGrid w:val="0"/>
              <w:spacing w:line="288" w:lineRule="auto"/>
              <w:jc w:val="center"/>
              <w:rPr>
                <w:rFonts w:ascii="宋体" w:hAnsi="宋体" w:cs="宋体"/>
                <w:bCs/>
                <w:szCs w:val="21"/>
                <w:highlight w:val="none"/>
                <w:lang w:val="zh-CN"/>
              </w:rPr>
            </w:pPr>
            <w:r>
              <w:rPr>
                <w:rFonts w:hint="eastAsia" w:ascii="宋体" w:hAnsi="宋体" w:cs="宋体"/>
                <w:bCs/>
                <w:szCs w:val="21"/>
                <w:highlight w:val="none"/>
              </w:rPr>
              <w:t>付款条件（进度和方式）</w:t>
            </w:r>
          </w:p>
        </w:tc>
        <w:tc>
          <w:tcPr>
            <w:tcW w:w="6387" w:type="dxa"/>
            <w:noWrap/>
            <w:vAlign w:val="center"/>
          </w:tcPr>
          <w:p>
            <w:pPr>
              <w:pStyle w:val="12"/>
              <w:widowControl/>
              <w:adjustRightInd w:val="0"/>
              <w:snapToGrid w:val="0"/>
              <w:spacing w:line="360" w:lineRule="auto"/>
              <w:jc w:val="left"/>
              <w:rPr>
                <w:rFonts w:ascii="宋体" w:hAnsi="宋体" w:cs="宋体"/>
                <w:bCs/>
                <w:color w:val="000000"/>
                <w:szCs w:val="21"/>
                <w:highlight w:val="none"/>
                <w:lang w:val="zh-CN"/>
              </w:rPr>
            </w:pPr>
            <w:r>
              <w:rPr>
                <w:rFonts w:hint="eastAsia" w:ascii="宋体" w:hAnsi="宋体" w:cs="宋体"/>
                <w:bCs/>
                <w:color w:val="000000"/>
                <w:szCs w:val="21"/>
                <w:highlight w:val="none"/>
                <w:lang w:val="zh-CN"/>
              </w:rPr>
              <w:t>项目建设完成，涉及的硬件设备和软件均运行正常，验收合格，且完成相关技术培训后付项目全款90%；项目验收合格之日起1年后，所有产品无质量问题，一次付清10%余款。</w:t>
            </w:r>
          </w:p>
          <w:p>
            <w:pPr>
              <w:pStyle w:val="12"/>
              <w:widowControl/>
              <w:adjustRightInd w:val="0"/>
              <w:snapToGrid w:val="0"/>
              <w:spacing w:line="360" w:lineRule="auto"/>
              <w:jc w:val="left"/>
              <w:rPr>
                <w:rFonts w:ascii="宋体" w:hAnsi="宋体" w:cs="宋体"/>
                <w:bCs/>
                <w:szCs w:val="21"/>
                <w:highlight w:val="none"/>
                <w:lang w:val="zh-CN"/>
              </w:rPr>
            </w:pPr>
            <w:r>
              <w:rPr>
                <w:rFonts w:hint="eastAsia" w:ascii="宋体" w:hAnsi="宋体" w:cs="宋体"/>
                <w:bCs/>
                <w:color w:val="000000"/>
                <w:szCs w:val="21"/>
                <w:highlight w:val="none"/>
                <w:lang w:val="zh-CN"/>
              </w:rPr>
              <w:t>本项目合同款通过国库集中支付，采购人按约定的付款时间向长春市财政局提出资金支付申请，则视同采购人已履行了合同付款义务。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923" w:type="dxa"/>
            <w:noWrap/>
            <w:vAlign w:val="center"/>
          </w:tcPr>
          <w:p>
            <w:pPr>
              <w:autoSpaceDE w:val="0"/>
              <w:autoSpaceDN w:val="0"/>
              <w:adjustRightInd w:val="0"/>
              <w:snapToGrid w:val="0"/>
              <w:spacing w:line="264" w:lineRule="auto"/>
              <w:jc w:val="center"/>
              <w:rPr>
                <w:rFonts w:ascii="宋体" w:hAnsi="宋体" w:eastAsia="宋体" w:cs="宋体"/>
                <w:bCs/>
                <w:kern w:val="2"/>
                <w:sz w:val="21"/>
                <w:szCs w:val="21"/>
                <w:lang w:val="en-US" w:eastAsia="zh-CN" w:bidi="ar-SA"/>
              </w:rPr>
            </w:pPr>
            <w:r>
              <w:rPr>
                <w:rFonts w:hint="eastAsia" w:ascii="宋体" w:hAnsi="宋体" w:cs="宋体"/>
                <w:bCs/>
                <w:szCs w:val="21"/>
              </w:rPr>
              <w:t>17</w:t>
            </w:r>
          </w:p>
        </w:tc>
        <w:tc>
          <w:tcPr>
            <w:tcW w:w="2309" w:type="dxa"/>
            <w:noWrap/>
            <w:vAlign w:val="center"/>
          </w:tcPr>
          <w:p>
            <w:pPr>
              <w:pStyle w:val="12"/>
              <w:widowControl/>
              <w:adjustRightInd w:val="0"/>
              <w:snapToGrid w:val="0"/>
              <w:spacing w:line="288" w:lineRule="auto"/>
              <w:jc w:val="center"/>
              <w:rPr>
                <w:rFonts w:ascii="宋体" w:hAnsi="宋体" w:cs="宋体"/>
              </w:rPr>
            </w:pPr>
            <w:r>
              <w:rPr>
                <w:rFonts w:hint="eastAsia" w:ascii="宋体" w:hAnsi="宋体" w:cs="宋体"/>
                <w:bCs/>
                <w:szCs w:val="21"/>
              </w:rPr>
              <w:t>售后服务</w:t>
            </w:r>
          </w:p>
        </w:tc>
        <w:tc>
          <w:tcPr>
            <w:tcW w:w="6387" w:type="dxa"/>
            <w:noWrap/>
            <w:vAlign w:val="center"/>
          </w:tcPr>
          <w:p>
            <w:pPr>
              <w:pStyle w:val="12"/>
              <w:widowControl/>
              <w:adjustRightInd w:val="0"/>
              <w:snapToGrid w:val="0"/>
              <w:spacing w:line="360" w:lineRule="auto"/>
              <w:jc w:val="left"/>
              <w:rPr>
                <w:rFonts w:ascii="宋体" w:hAnsi="宋体" w:cs="宋体"/>
                <w:bCs/>
                <w:szCs w:val="21"/>
                <w:lang w:val="zh-CN"/>
              </w:rPr>
            </w:pPr>
            <w:r>
              <w:rPr>
                <w:rFonts w:hint="eastAsia" w:ascii="宋体" w:hAnsi="宋体" w:cs="宋体"/>
                <w:bCs/>
                <w:color w:val="000000"/>
                <w:szCs w:val="21"/>
                <w:highlight w:val="white"/>
                <w:lang w:val="zh-CN"/>
              </w:rPr>
              <w:t>1.免费质保期：提供至少</w:t>
            </w:r>
            <w:r>
              <w:rPr>
                <w:rFonts w:hint="eastAsia" w:ascii="宋体" w:hAnsi="宋体" w:cs="宋体"/>
                <w:bCs/>
                <w:color w:val="000000"/>
                <w:szCs w:val="21"/>
                <w:highlight w:val="white"/>
                <w:lang w:val="en-US" w:eastAsia="zh-CN"/>
              </w:rPr>
              <w:t>3</w:t>
            </w:r>
            <w:r>
              <w:rPr>
                <w:rFonts w:hint="eastAsia" w:ascii="宋体" w:hAnsi="宋体" w:cs="宋体"/>
                <w:bCs/>
                <w:color w:val="000000"/>
                <w:szCs w:val="21"/>
                <w:highlight w:val="white"/>
                <w:lang w:val="zh-CN"/>
              </w:rPr>
              <w:t>年免费的硬件质保、质保期满后，以优惠价提供维修及换件服务；提供软件终身免费技术支持和升级。质保期自验收合格之日起计算。</w:t>
            </w:r>
          </w:p>
          <w:p>
            <w:pPr>
              <w:pStyle w:val="12"/>
              <w:widowControl/>
              <w:adjustRightInd w:val="0"/>
              <w:snapToGrid w:val="0"/>
              <w:spacing w:line="360" w:lineRule="auto"/>
              <w:jc w:val="left"/>
              <w:rPr>
                <w:rFonts w:ascii="宋体" w:hAnsi="宋体" w:cs="宋体"/>
                <w:bCs/>
                <w:color w:val="000000"/>
                <w:szCs w:val="21"/>
                <w:lang w:val="zh-CN"/>
              </w:rPr>
            </w:pPr>
            <w:r>
              <w:rPr>
                <w:rFonts w:hint="eastAsia" w:ascii="宋体" w:hAnsi="宋体" w:cs="宋体"/>
                <w:bCs/>
                <w:color w:val="000000"/>
                <w:szCs w:val="21"/>
                <w:highlight w:val="white"/>
                <w:lang w:val="zh-CN"/>
              </w:rPr>
              <w:t>2.售后服务保障或故障响应时间要求：出现故障必须2小时内响应，24小时修复故障。</w:t>
            </w:r>
          </w:p>
          <w:p>
            <w:pPr>
              <w:pStyle w:val="12"/>
              <w:widowControl/>
              <w:adjustRightInd w:val="0"/>
              <w:snapToGrid w:val="0"/>
              <w:spacing w:line="360" w:lineRule="auto"/>
              <w:jc w:val="left"/>
              <w:rPr>
                <w:rFonts w:ascii="宋体" w:hAnsi="宋体" w:cs="宋体"/>
                <w:bCs/>
                <w:szCs w:val="21"/>
              </w:rPr>
            </w:pPr>
            <w:r>
              <w:rPr>
                <w:rFonts w:hint="eastAsia" w:ascii="宋体" w:hAnsi="宋体" w:cs="宋体"/>
                <w:bCs/>
                <w:color w:val="000000"/>
                <w:szCs w:val="21"/>
                <w:highlight w:val="none"/>
                <w:lang w:val="zh-CN"/>
              </w:rPr>
              <w:t>3.中标人须保证对学校有关师生的技术的培训，培训人数不少于2人，培训时间不少于7天，每天不少于6小时，培训方案要求具备完整的人员培训的目标、对象、课程体系、培训方法等。</w:t>
            </w:r>
            <w:r>
              <w:rPr>
                <w:rFonts w:hint="eastAsia" w:ascii="宋体" w:hAnsi="宋体" w:cs="宋体"/>
                <w:b/>
                <w:szCs w:val="21"/>
              </w:rPr>
              <w:t>（提供法定代表人或授权代表人签字或盖章并加盖公章的承诺书）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23" w:type="dxa"/>
            <w:noWrap/>
            <w:vAlign w:val="center"/>
          </w:tcPr>
          <w:p>
            <w:pPr>
              <w:autoSpaceDE w:val="0"/>
              <w:autoSpaceDN w:val="0"/>
              <w:adjustRightInd w:val="0"/>
              <w:snapToGrid w:val="0"/>
              <w:spacing w:line="264" w:lineRule="auto"/>
              <w:jc w:val="center"/>
              <w:rPr>
                <w:rFonts w:ascii="宋体" w:hAnsi="宋体" w:eastAsia="宋体" w:cs="宋体"/>
                <w:bCs/>
                <w:kern w:val="2"/>
                <w:sz w:val="21"/>
                <w:szCs w:val="21"/>
                <w:lang w:val="en-US" w:eastAsia="zh-CN" w:bidi="ar-SA"/>
              </w:rPr>
            </w:pPr>
            <w:r>
              <w:rPr>
                <w:rFonts w:hint="eastAsia" w:ascii="宋体" w:hAnsi="宋体" w:cs="宋体"/>
                <w:bCs/>
                <w:szCs w:val="21"/>
              </w:rPr>
              <w:t>18</w:t>
            </w:r>
          </w:p>
        </w:tc>
        <w:tc>
          <w:tcPr>
            <w:tcW w:w="2309" w:type="dxa"/>
            <w:noWrap/>
            <w:vAlign w:val="center"/>
          </w:tcPr>
          <w:p>
            <w:pPr>
              <w:pStyle w:val="12"/>
              <w:widowControl/>
              <w:adjustRightInd w:val="0"/>
              <w:snapToGrid w:val="0"/>
              <w:spacing w:line="288" w:lineRule="auto"/>
              <w:jc w:val="center"/>
              <w:rPr>
                <w:rFonts w:ascii="宋体" w:hAnsi="宋体" w:cs="宋体"/>
                <w:bCs/>
                <w:szCs w:val="21"/>
              </w:rPr>
            </w:pPr>
            <w:r>
              <w:rPr>
                <w:rFonts w:hint="eastAsia" w:ascii="宋体" w:hAnsi="宋体" w:cs="宋体"/>
                <w:bCs/>
                <w:szCs w:val="21"/>
              </w:rPr>
              <w:t>进口产品</w:t>
            </w:r>
          </w:p>
        </w:tc>
        <w:tc>
          <w:tcPr>
            <w:tcW w:w="6387" w:type="dxa"/>
            <w:noWrap/>
            <w:vAlign w:val="center"/>
          </w:tcPr>
          <w:p>
            <w:pPr>
              <w:pStyle w:val="12"/>
              <w:widowControl/>
              <w:adjustRightInd w:val="0"/>
              <w:snapToGrid w:val="0"/>
              <w:spacing w:line="288" w:lineRule="auto"/>
              <w:jc w:val="left"/>
              <w:rPr>
                <w:rFonts w:ascii="宋体" w:hAnsi="宋体" w:cs="宋体"/>
                <w:b/>
                <w:szCs w:val="21"/>
              </w:rPr>
            </w:pPr>
            <w:r>
              <w:rPr>
                <w:rFonts w:hint="eastAsia" w:ascii="宋体" w:hAnsi="宋体" w:cs="宋体"/>
                <w:bCs/>
                <w:szCs w:val="21"/>
              </w:rPr>
              <w:t>本项目不允许进口产品投标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23" w:type="dxa"/>
            <w:noWrap/>
            <w:vAlign w:val="center"/>
          </w:tcPr>
          <w:p>
            <w:pPr>
              <w:adjustRightInd w:val="0"/>
              <w:snapToGrid w:val="0"/>
              <w:spacing w:line="264" w:lineRule="auto"/>
              <w:jc w:val="center"/>
              <w:rPr>
                <w:rFonts w:ascii="宋体" w:hAnsi="宋体" w:eastAsia="宋体" w:cs="宋体"/>
                <w:kern w:val="2"/>
                <w:sz w:val="21"/>
                <w:szCs w:val="21"/>
                <w:lang w:val="en-US" w:eastAsia="zh-CN" w:bidi="ar-SA"/>
              </w:rPr>
            </w:pPr>
            <w:r>
              <w:rPr>
                <w:rFonts w:hint="eastAsia" w:ascii="宋体" w:hAnsi="宋体" w:cs="宋体"/>
                <w:szCs w:val="21"/>
              </w:rPr>
              <w:t>19</w:t>
            </w:r>
          </w:p>
        </w:tc>
        <w:tc>
          <w:tcPr>
            <w:tcW w:w="2309"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备选方案</w:t>
            </w:r>
          </w:p>
        </w:tc>
        <w:tc>
          <w:tcPr>
            <w:tcW w:w="6387" w:type="dxa"/>
            <w:noWrap/>
            <w:vAlign w:val="center"/>
          </w:tcPr>
          <w:p>
            <w:pPr>
              <w:autoSpaceDE w:val="0"/>
              <w:autoSpaceDN w:val="0"/>
              <w:adjustRightInd w:val="0"/>
              <w:snapToGrid w:val="0"/>
              <w:spacing w:line="264" w:lineRule="auto"/>
              <w:rPr>
                <w:rFonts w:ascii="宋体" w:hAnsi="宋体" w:cs="宋体"/>
                <w:bCs/>
                <w:szCs w:val="21"/>
              </w:rPr>
            </w:pPr>
            <w:r>
              <w:rPr>
                <w:rFonts w:hint="eastAsia" w:ascii="宋体" w:hAnsi="宋体" w:cs="宋体"/>
                <w:bCs/>
                <w:szCs w:val="21"/>
              </w:rPr>
              <w:t>供应商不得提交两份或者多份内容不同的响应文件，或者在同一份响应文件中对同一招标项目有两个或者多个报价。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23" w:type="dxa"/>
            <w:noWrap/>
            <w:vAlign w:val="center"/>
          </w:tcPr>
          <w:p>
            <w:pPr>
              <w:autoSpaceDE w:val="0"/>
              <w:autoSpaceDN w:val="0"/>
              <w:adjustRightInd w:val="0"/>
              <w:snapToGrid w:val="0"/>
              <w:spacing w:line="264" w:lineRule="auto"/>
              <w:jc w:val="center"/>
              <w:rPr>
                <w:rFonts w:ascii="宋体" w:hAnsi="宋体" w:eastAsia="宋体" w:cs="宋体"/>
                <w:bCs/>
                <w:kern w:val="2"/>
                <w:sz w:val="21"/>
                <w:szCs w:val="21"/>
                <w:lang w:val="en-US" w:eastAsia="zh-CN" w:bidi="ar-SA"/>
              </w:rPr>
            </w:pPr>
            <w:r>
              <w:rPr>
                <w:rFonts w:hint="eastAsia" w:ascii="宋体" w:hAnsi="宋体" w:cs="宋体"/>
                <w:bCs/>
                <w:szCs w:val="21"/>
              </w:rPr>
              <w:t>20</w:t>
            </w:r>
          </w:p>
        </w:tc>
        <w:tc>
          <w:tcPr>
            <w:tcW w:w="2309" w:type="dxa"/>
            <w:noWrap/>
            <w:vAlign w:val="center"/>
          </w:tcPr>
          <w:p>
            <w:pPr>
              <w:adjustRightInd w:val="0"/>
              <w:snapToGrid w:val="0"/>
              <w:spacing w:line="264" w:lineRule="auto"/>
              <w:jc w:val="center"/>
              <w:rPr>
                <w:rFonts w:ascii="宋体" w:hAnsi="宋体" w:cs="宋体"/>
                <w:bCs/>
                <w:szCs w:val="21"/>
              </w:rPr>
            </w:pPr>
            <w:r>
              <w:rPr>
                <w:rFonts w:hint="eastAsia" w:ascii="宋体" w:hAnsi="宋体" w:cs="宋体"/>
                <w:szCs w:val="21"/>
              </w:rPr>
              <w:t>其他要求</w:t>
            </w:r>
          </w:p>
        </w:tc>
        <w:tc>
          <w:tcPr>
            <w:tcW w:w="6387" w:type="dxa"/>
            <w:noWrap/>
            <w:vAlign w:val="center"/>
          </w:tcPr>
          <w:p>
            <w:pPr>
              <w:adjustRightInd w:val="0"/>
              <w:snapToGrid w:val="0"/>
              <w:spacing w:line="264" w:lineRule="auto"/>
              <w:rPr>
                <w:rFonts w:ascii="宋体" w:hAnsi="宋体" w:cs="宋体"/>
                <w:bCs/>
                <w:szCs w:val="21"/>
              </w:rPr>
            </w:pPr>
            <w:r>
              <w:rPr>
                <w:rFonts w:hint="eastAsia" w:ascii="宋体" w:hAnsi="宋体" w:cs="宋体"/>
                <w:szCs w:val="21"/>
              </w:rPr>
              <w:t>满足磋商文件其他实质性要求及相关法律法规规定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23" w:type="dxa"/>
            <w:noWrap/>
            <w:vAlign w:val="center"/>
          </w:tcPr>
          <w:p>
            <w:pPr>
              <w:autoSpaceDE w:val="0"/>
              <w:autoSpaceDN w:val="0"/>
              <w:adjustRightInd w:val="0"/>
              <w:snapToGrid w:val="0"/>
              <w:spacing w:line="264" w:lineRule="auto"/>
              <w:jc w:val="center"/>
              <w:rPr>
                <w:rFonts w:hint="default" w:ascii="宋体" w:hAnsi="宋体" w:eastAsia="宋体" w:cs="宋体"/>
                <w:bCs/>
                <w:szCs w:val="21"/>
                <w:lang w:val="en-US" w:eastAsia="zh-CN"/>
              </w:rPr>
            </w:pPr>
            <w:r>
              <w:rPr>
                <w:rFonts w:hint="eastAsia" w:ascii="宋体" w:hAnsi="宋体" w:cs="宋体"/>
                <w:bCs/>
                <w:szCs w:val="21"/>
                <w:lang w:val="en-US" w:eastAsia="zh-CN"/>
              </w:rPr>
              <w:t>21</w:t>
            </w:r>
          </w:p>
        </w:tc>
        <w:tc>
          <w:tcPr>
            <w:tcW w:w="2309" w:type="dxa"/>
            <w:noWrap/>
            <w:vAlign w:val="center"/>
          </w:tcPr>
          <w:p>
            <w:pPr>
              <w:autoSpaceDE w:val="0"/>
              <w:autoSpaceDN w:val="0"/>
              <w:adjustRightInd w:val="0"/>
              <w:snapToGrid w:val="0"/>
              <w:spacing w:line="264" w:lineRule="auto"/>
              <w:jc w:val="center"/>
              <w:rPr>
                <w:rFonts w:ascii="宋体" w:hAnsi="宋体" w:cs="宋体"/>
                <w:bCs/>
                <w:szCs w:val="21"/>
              </w:rPr>
            </w:pPr>
            <w:r>
              <w:rPr>
                <w:rFonts w:hint="eastAsia" w:ascii="宋体" w:hAnsi="宋体" w:cs="宋体"/>
                <w:bCs/>
                <w:szCs w:val="21"/>
              </w:rPr>
              <w:t>附加条件</w:t>
            </w:r>
          </w:p>
        </w:tc>
        <w:tc>
          <w:tcPr>
            <w:tcW w:w="6387" w:type="dxa"/>
            <w:noWrap/>
            <w:vAlign w:val="center"/>
          </w:tcPr>
          <w:p>
            <w:pPr>
              <w:autoSpaceDE w:val="0"/>
              <w:autoSpaceDN w:val="0"/>
              <w:adjustRightInd w:val="0"/>
              <w:snapToGrid w:val="0"/>
              <w:spacing w:line="264" w:lineRule="auto"/>
              <w:rPr>
                <w:rFonts w:ascii="宋体" w:hAnsi="宋体" w:cs="宋体"/>
                <w:bCs/>
                <w:szCs w:val="21"/>
              </w:rPr>
            </w:pPr>
            <w:r>
              <w:rPr>
                <w:rFonts w:hint="eastAsia" w:ascii="宋体" w:hAnsi="宋体" w:cs="宋体"/>
                <w:bCs/>
                <w:szCs w:val="21"/>
              </w:rPr>
              <w:t>响应文件未含有采购人不能接受的附加条件</w:t>
            </w:r>
          </w:p>
        </w:tc>
      </w:tr>
    </w:tbl>
    <w:p>
      <w:pPr>
        <w:tabs>
          <w:tab w:val="left" w:pos="1260"/>
          <w:tab w:val="left" w:pos="1620"/>
        </w:tabs>
        <w:adjustRightInd w:val="0"/>
        <w:snapToGrid w:val="0"/>
        <w:jc w:val="left"/>
        <w:textAlignment w:val="baseline"/>
        <w:rPr>
          <w:rFonts w:ascii="宋体" w:hAnsi="宋体" w:cs="宋体"/>
          <w:b/>
          <w:szCs w:val="21"/>
        </w:rPr>
      </w:pP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注：</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1、符合磋商文件要求用“√”表示，不符合用“×”表示。有一项不符合要求，结论为不合格。</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2、有下列情形之一的，视为供应商相互串通投标：</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（1）不同供应商的响应文件由同一单位或者个人编制；</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（2）不同供应商委托同一单位或者个人办理投标事宜；</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（3）不同供应商的响应文件载明的项目管理成员或者联系人员为同一人；</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（4）不同供应商的响应文件异常一致或者投标报价呈规律性差异；</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（5）不同供应商的响应文件相互混装；</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（6）不同供应商的磋商保证金从同一单位或者个人的账户转出。</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3、有下列情形之一的，属于提供虚假材料谋取中标的行为：</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（1）使用伪造、变造的许可证件；</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（2）提供虚假的财务状况或者业绩；</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（3）提供虚假的项目负责人或者主要技术人员简历、劳动关系证明；</w:t>
      </w:r>
    </w:p>
    <w:p>
      <w:pPr>
        <w:tabs>
          <w:tab w:val="left" w:pos="1260"/>
          <w:tab w:val="left" w:pos="1620"/>
        </w:tabs>
        <w:adjustRightInd w:val="0"/>
        <w:snapToGrid w:val="0"/>
        <w:jc w:val="left"/>
        <w:textAlignment w:val="baseline"/>
        <w:rPr>
          <w:rFonts w:ascii="宋体" w:hAnsi="宋体" w:cs="宋体"/>
          <w:b/>
          <w:szCs w:val="21"/>
        </w:rPr>
      </w:pPr>
      <w:r>
        <w:rPr>
          <w:rFonts w:hint="eastAsia" w:ascii="宋体" w:hAnsi="宋体" w:cs="宋体"/>
          <w:b/>
          <w:szCs w:val="21"/>
        </w:rPr>
        <w:t>（4）提供虚假的信用状况；</w:t>
      </w:r>
    </w:p>
    <w:p>
      <w:pPr>
        <w:spacing w:line="360" w:lineRule="exact"/>
        <w:outlineLvl w:val="2"/>
        <w:rPr>
          <w:rFonts w:ascii="宋体" w:hAnsi="宋体" w:cs="宋体"/>
          <w:b/>
          <w:szCs w:val="21"/>
        </w:rPr>
      </w:pPr>
      <w:r>
        <w:rPr>
          <w:rFonts w:hint="eastAsia" w:ascii="宋体" w:hAnsi="宋体" w:cs="宋体"/>
          <w:b/>
          <w:szCs w:val="21"/>
        </w:rPr>
        <w:t>（5）其他弄虚作假的行为。</w:t>
      </w:r>
    </w:p>
    <w:p>
      <w:pPr>
        <w:wordWrap w:val="0"/>
        <w:spacing w:line="360" w:lineRule="exact"/>
        <w:jc w:val="center"/>
        <w:outlineLvl w:val="2"/>
        <w:rPr>
          <w:rFonts w:ascii="宋体" w:hAnsi="宋体" w:cs="宋体"/>
          <w:szCs w:val="21"/>
        </w:rPr>
      </w:pPr>
      <w:r>
        <w:rPr>
          <w:rFonts w:hint="eastAsia" w:ascii="宋体" w:hAnsi="宋体" w:cs="宋体"/>
          <w:sz w:val="22"/>
          <w:szCs w:val="22"/>
        </w:rPr>
        <w:br w:type="page"/>
      </w:r>
      <w:r>
        <w:rPr>
          <w:rFonts w:hint="eastAsia" w:ascii="宋体" w:hAnsi="宋体" w:cs="宋体"/>
          <w:b/>
          <w:sz w:val="30"/>
          <w:szCs w:val="30"/>
        </w:rPr>
        <w:t>评标办法前附表（二）</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1116"/>
        <w:gridCol w:w="7357"/>
        <w:gridCol w:w="686"/>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 w:type="pct"/>
            <w:vAlign w:val="center"/>
          </w:tcPr>
          <w:p>
            <w:pPr>
              <w:pStyle w:val="167"/>
              <w:widowControl w:val="0"/>
              <w:adjustRightInd w:val="0"/>
              <w:snapToGrid w:val="0"/>
              <w:spacing w:line="288" w:lineRule="auto"/>
              <w:jc w:val="center"/>
              <w:rPr>
                <w:rFonts w:ascii="宋体" w:hAnsi="宋体" w:eastAsia="宋体" w:cs="宋体"/>
                <w:color w:val="000000"/>
                <w:spacing w:val="10"/>
                <w:sz w:val="21"/>
                <w:szCs w:val="21"/>
                <w:highlight w:val="none"/>
              </w:rPr>
            </w:pPr>
            <w:r>
              <w:rPr>
                <w:rFonts w:ascii="宋体" w:hAnsi="宋体" w:eastAsia="宋体" w:cs="宋体"/>
                <w:b/>
                <w:color w:val="000000"/>
                <w:sz w:val="21"/>
                <w:szCs w:val="21"/>
                <w:highlight w:val="none"/>
              </w:rPr>
              <w:t>序号</w:t>
            </w:r>
          </w:p>
        </w:tc>
        <w:tc>
          <w:tcPr>
            <w:tcW w:w="558" w:type="pct"/>
            <w:vAlign w:val="center"/>
          </w:tcPr>
          <w:p>
            <w:pPr>
              <w:pStyle w:val="167"/>
              <w:widowControl w:val="0"/>
              <w:adjustRightInd w:val="0"/>
              <w:snapToGrid w:val="0"/>
              <w:spacing w:line="288" w:lineRule="auto"/>
              <w:jc w:val="center"/>
              <w:rPr>
                <w:rFonts w:ascii="宋体" w:hAnsi="宋体" w:eastAsia="宋体" w:cs="宋体"/>
                <w:color w:val="000000"/>
                <w:spacing w:val="10"/>
                <w:sz w:val="21"/>
                <w:szCs w:val="21"/>
                <w:highlight w:val="none"/>
              </w:rPr>
            </w:pPr>
            <w:r>
              <w:rPr>
                <w:rFonts w:ascii="宋体" w:hAnsi="宋体" w:eastAsia="宋体" w:cs="宋体"/>
                <w:b/>
                <w:color w:val="000000"/>
                <w:sz w:val="21"/>
                <w:szCs w:val="21"/>
                <w:highlight w:val="none"/>
              </w:rPr>
              <w:t>评审因素</w:t>
            </w:r>
          </w:p>
        </w:tc>
        <w:tc>
          <w:tcPr>
            <w:tcW w:w="3679" w:type="pct"/>
            <w:vAlign w:val="center"/>
          </w:tcPr>
          <w:p>
            <w:pPr>
              <w:pStyle w:val="167"/>
              <w:widowControl w:val="0"/>
              <w:adjustRightInd w:val="0"/>
              <w:snapToGrid w:val="0"/>
              <w:spacing w:line="288" w:lineRule="auto"/>
              <w:jc w:val="center"/>
              <w:rPr>
                <w:rFonts w:ascii="宋体" w:hAnsi="宋体" w:eastAsia="宋体" w:cs="宋体"/>
                <w:color w:val="000000"/>
                <w:spacing w:val="10"/>
                <w:sz w:val="21"/>
                <w:szCs w:val="21"/>
                <w:highlight w:val="none"/>
              </w:rPr>
            </w:pPr>
            <w:r>
              <w:rPr>
                <w:rFonts w:ascii="宋体" w:hAnsi="宋体" w:eastAsia="宋体" w:cs="宋体"/>
                <w:b/>
                <w:color w:val="000000"/>
                <w:sz w:val="21"/>
                <w:szCs w:val="21"/>
                <w:highlight w:val="none"/>
              </w:rPr>
              <w:t>评分标准</w:t>
            </w:r>
          </w:p>
        </w:tc>
        <w:tc>
          <w:tcPr>
            <w:tcW w:w="343" w:type="pct"/>
            <w:vAlign w:val="center"/>
          </w:tcPr>
          <w:p>
            <w:pPr>
              <w:pStyle w:val="167"/>
              <w:widowControl w:val="0"/>
              <w:adjustRightInd w:val="0"/>
              <w:snapToGrid w:val="0"/>
              <w:spacing w:line="288" w:lineRule="auto"/>
              <w:jc w:val="center"/>
              <w:rPr>
                <w:rFonts w:ascii="宋体" w:hAnsi="宋体" w:eastAsia="宋体" w:cs="宋体"/>
                <w:color w:val="000000"/>
                <w:spacing w:val="10"/>
                <w:sz w:val="21"/>
                <w:szCs w:val="21"/>
                <w:highlight w:val="none"/>
              </w:rPr>
            </w:pPr>
            <w:r>
              <w:rPr>
                <w:rFonts w:ascii="宋体" w:hAnsi="宋体" w:eastAsia="宋体" w:cs="宋体"/>
                <w:b/>
                <w:color w:val="000000"/>
                <w:sz w:val="21"/>
                <w:szCs w:val="21"/>
                <w:highlight w:val="none"/>
              </w:rPr>
              <w:t>分值</w:t>
            </w:r>
          </w:p>
        </w:tc>
        <w:tc>
          <w:tcPr>
            <w:tcW w:w="207" w:type="pct"/>
            <w:vAlign w:val="center"/>
          </w:tcPr>
          <w:p>
            <w:pPr>
              <w:pStyle w:val="167"/>
              <w:widowControl w:val="0"/>
              <w:adjustRightInd w:val="0"/>
              <w:snapToGrid w:val="0"/>
              <w:spacing w:line="288" w:lineRule="auto"/>
              <w:jc w:val="center"/>
              <w:rPr>
                <w:rFonts w:ascii="宋体" w:hAnsi="宋体" w:eastAsia="宋体" w:cs="宋体"/>
                <w:color w:val="000000"/>
                <w:spacing w:val="10"/>
                <w:sz w:val="21"/>
                <w:szCs w:val="21"/>
                <w:highlight w:val="none"/>
              </w:rPr>
            </w:pPr>
            <w:r>
              <w:rPr>
                <w:rFonts w:ascii="宋体" w:hAnsi="宋体" w:eastAsia="宋体" w:cs="宋体"/>
                <w:b/>
                <w:color w:val="000000"/>
                <w:sz w:val="21"/>
                <w:szCs w:val="21"/>
                <w:highlight w:val="none"/>
              </w:rPr>
              <w:t>主、客项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5"/>
            <w:vAlign w:val="center"/>
          </w:tcPr>
          <w:p>
            <w:pPr>
              <w:pStyle w:val="168"/>
              <w:widowControl w:val="0"/>
              <w:adjustRightInd w:val="0"/>
              <w:snapToGrid w:val="0"/>
              <w:spacing w:line="288" w:lineRule="auto"/>
              <w:jc w:val="both"/>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(一）价格评分（30.00分）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1</w:t>
            </w:r>
          </w:p>
        </w:tc>
        <w:tc>
          <w:tcPr>
            <w:tcW w:w="558"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价格评分</w:t>
            </w:r>
          </w:p>
        </w:tc>
        <w:tc>
          <w:tcPr>
            <w:tcW w:w="3679" w:type="pct"/>
            <w:vAlign w:val="center"/>
          </w:tcPr>
          <w:p>
            <w:pPr>
              <w:pStyle w:val="168"/>
              <w:widowControl w:val="0"/>
              <w:adjustRightInd w:val="0"/>
              <w:snapToGrid w:val="0"/>
              <w:spacing w:line="288" w:lineRule="auto"/>
              <w:jc w:val="left"/>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价格分采用低价优先法计算，即满足招标文件要求且投标价格最低的投标报价为评标基准价，其价格分为满分30分。其他投标人的价格分按照下列公式计算：</w:t>
            </w:r>
          </w:p>
          <w:p>
            <w:pPr>
              <w:pStyle w:val="168"/>
              <w:widowControl w:val="0"/>
              <w:adjustRightInd w:val="0"/>
              <w:snapToGrid w:val="0"/>
              <w:spacing w:line="288" w:lineRule="auto"/>
              <w:jc w:val="left"/>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投标报价得分=（评标基准价／投标报价）×30，结果保留到小数点后两位。</w:t>
            </w:r>
          </w:p>
        </w:tc>
        <w:tc>
          <w:tcPr>
            <w:tcW w:w="343"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30.0</w:t>
            </w:r>
          </w:p>
        </w:tc>
        <w:tc>
          <w:tcPr>
            <w:tcW w:w="207"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客观项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00" w:type="pct"/>
            <w:gridSpan w:val="5"/>
            <w:vAlign w:val="center"/>
          </w:tcPr>
          <w:p>
            <w:pPr>
              <w:pStyle w:val="168"/>
              <w:widowControl w:val="0"/>
              <w:adjustRightInd w:val="0"/>
              <w:snapToGrid w:val="0"/>
              <w:spacing w:line="288" w:lineRule="auto"/>
              <w:jc w:val="both"/>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（二）技术评分（50.00分）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212"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1</w:t>
            </w:r>
          </w:p>
        </w:tc>
        <w:tc>
          <w:tcPr>
            <w:tcW w:w="558"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Style w:val="82"/>
                <w:color w:val="auto"/>
                <w:sz w:val="21"/>
                <w:szCs w:val="21"/>
                <w:highlight w:val="none"/>
              </w:rPr>
              <w:t>车辆电气控制原理虚拟仿真实训系统</w:t>
            </w:r>
          </w:p>
        </w:tc>
        <w:tc>
          <w:tcPr>
            <w:tcW w:w="3679" w:type="pct"/>
          </w:tcPr>
          <w:p>
            <w:pPr>
              <w:pStyle w:val="168"/>
              <w:widowControl w:val="0"/>
              <w:adjustRightInd w:val="0"/>
              <w:snapToGrid w:val="0"/>
              <w:spacing w:line="288" w:lineRule="auto"/>
              <w:jc w:val="both"/>
              <w:rPr>
                <w:rStyle w:val="82"/>
                <w:rFonts w:hint="eastAsia" w:ascii="宋体" w:hAnsi="宋体" w:eastAsia="宋体" w:cs="宋体"/>
                <w:color w:val="auto"/>
                <w:sz w:val="21"/>
                <w:szCs w:val="21"/>
                <w:highlight w:val="none"/>
                <w:lang w:eastAsia="zh-CN"/>
              </w:rPr>
            </w:pPr>
            <w:r>
              <w:rPr>
                <w:rStyle w:val="82"/>
                <w:rFonts w:hint="eastAsia" w:ascii="宋体" w:hAnsi="宋体" w:eastAsia="宋体" w:cs="宋体"/>
                <w:color w:val="auto"/>
                <w:sz w:val="21"/>
                <w:szCs w:val="21"/>
                <w:highlight w:val="none"/>
                <w:lang w:eastAsia="zh-CN"/>
              </w:rPr>
              <w:t>技术要求中</w:t>
            </w:r>
            <w:r>
              <w:rPr>
                <w:rStyle w:val="82"/>
                <w:rFonts w:hint="eastAsia" w:ascii="宋体" w:hAnsi="宋体" w:eastAsia="宋体" w:cs="宋体"/>
                <w:color w:val="auto"/>
                <w:sz w:val="21"/>
                <w:szCs w:val="21"/>
                <w:highlight w:val="none"/>
              </w:rPr>
              <w:t>具体参数值或功能要求表述</w:t>
            </w:r>
            <w:r>
              <w:rPr>
                <w:rStyle w:val="82"/>
                <w:rFonts w:hint="eastAsia" w:ascii="宋体" w:hAnsi="宋体" w:eastAsia="宋体" w:cs="宋体"/>
                <w:color w:val="auto"/>
                <w:sz w:val="21"/>
                <w:szCs w:val="21"/>
                <w:highlight w:val="none"/>
                <w:lang w:eastAsia="zh-CN"/>
              </w:rPr>
              <w:t>：</w:t>
            </w:r>
          </w:p>
          <w:p>
            <w:pPr>
              <w:pStyle w:val="168"/>
              <w:widowControl w:val="0"/>
              <w:adjustRightInd w:val="0"/>
              <w:snapToGrid w:val="0"/>
              <w:spacing w:line="288" w:lineRule="auto"/>
              <w:jc w:val="both"/>
              <w:rPr>
                <w:rFonts w:ascii="宋体" w:hAnsi="宋体" w:eastAsia="宋体" w:cs="宋体"/>
                <w:color w:val="000000"/>
                <w:spacing w:val="10"/>
                <w:sz w:val="21"/>
                <w:szCs w:val="21"/>
                <w:highlight w:val="none"/>
              </w:rPr>
            </w:pPr>
            <w:r>
              <w:rPr>
                <w:rStyle w:val="82"/>
                <w:rFonts w:hint="eastAsia" w:ascii="宋体" w:hAnsi="宋体" w:eastAsia="宋体" w:cs="宋体"/>
                <w:color w:val="auto"/>
                <w:sz w:val="21"/>
                <w:szCs w:val="21"/>
                <w:highlight w:val="none"/>
                <w:lang w:eastAsia="zh-CN"/>
              </w:rPr>
              <w:t>参数</w:t>
            </w:r>
            <w:r>
              <w:rPr>
                <w:rStyle w:val="82"/>
                <w:rFonts w:hint="eastAsia" w:ascii="宋体" w:hAnsi="宋体" w:eastAsia="宋体" w:cs="宋体"/>
                <w:color w:val="auto"/>
                <w:sz w:val="21"/>
                <w:szCs w:val="21"/>
                <w:highlight w:val="none"/>
              </w:rPr>
              <w:t>8.虚拟场景漫游，并展示动车组整体外貌、特点概述、技术参数、车顶设备、车内设备、车体构架、原理示意图以及可视化场景展示；每满足一个场景得1分（提供功能截图），全部满足得8分，不满足不得分；</w:t>
            </w:r>
            <w:r>
              <w:rPr>
                <w:rFonts w:ascii="宋体" w:hAnsi="宋体" w:eastAsia="宋体" w:cs="宋体"/>
                <w:color w:val="000000"/>
                <w:sz w:val="21"/>
                <w:highlight w:val="none"/>
              </w:rPr>
              <w:t>（以投标文件中加盖供应商公章的</w:t>
            </w:r>
            <w:r>
              <w:rPr>
                <w:rFonts w:hint="eastAsia" w:ascii="宋体" w:hAnsi="宋体" w:eastAsia="宋体" w:cs="宋体"/>
                <w:color w:val="000000"/>
                <w:sz w:val="21"/>
                <w:highlight w:val="none"/>
              </w:rPr>
              <w:t>证明材料</w:t>
            </w:r>
            <w:r>
              <w:rPr>
                <w:rFonts w:ascii="宋体" w:hAnsi="宋体" w:eastAsia="宋体" w:cs="宋体"/>
                <w:color w:val="000000"/>
                <w:sz w:val="21"/>
                <w:highlight w:val="none"/>
              </w:rPr>
              <w:t>为评分依据）</w:t>
            </w:r>
          </w:p>
        </w:tc>
        <w:tc>
          <w:tcPr>
            <w:tcW w:w="343"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8.0</w:t>
            </w:r>
          </w:p>
        </w:tc>
        <w:tc>
          <w:tcPr>
            <w:tcW w:w="207"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客观项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2</w:t>
            </w:r>
          </w:p>
        </w:tc>
        <w:tc>
          <w:tcPr>
            <w:tcW w:w="558" w:type="pct"/>
            <w:vAlign w:val="center"/>
          </w:tcPr>
          <w:p>
            <w:pPr>
              <w:adjustRightInd w:val="0"/>
              <w:snapToGrid w:val="0"/>
              <w:spacing w:line="288" w:lineRule="auto"/>
              <w:jc w:val="left"/>
              <w:rPr>
                <w:rFonts w:ascii="宋体" w:hAnsi="宋体" w:cs="宋体"/>
                <w:szCs w:val="21"/>
                <w:highlight w:val="none"/>
              </w:rPr>
            </w:pPr>
            <w:r>
              <w:rPr>
                <w:rFonts w:hint="eastAsia" w:ascii="宋体" w:hAnsi="宋体" w:cs="宋体"/>
                <w:kern w:val="0"/>
                <w:szCs w:val="21"/>
                <w:highlight w:val="none"/>
              </w:rPr>
              <w:t>车辆部件增强现实虚拟仿真软件及其控制系统</w:t>
            </w:r>
          </w:p>
        </w:tc>
        <w:tc>
          <w:tcPr>
            <w:tcW w:w="3679" w:type="pct"/>
          </w:tcPr>
          <w:p>
            <w:pPr>
              <w:pStyle w:val="168"/>
              <w:widowControl w:val="0"/>
              <w:adjustRightInd w:val="0"/>
              <w:snapToGrid w:val="0"/>
              <w:spacing w:line="288" w:lineRule="auto"/>
              <w:jc w:val="both"/>
              <w:rPr>
                <w:rStyle w:val="82"/>
                <w:rFonts w:hint="eastAsia" w:ascii="宋体" w:hAnsi="宋体" w:eastAsia="宋体" w:cs="宋体"/>
                <w:color w:val="auto"/>
                <w:sz w:val="21"/>
                <w:szCs w:val="21"/>
                <w:highlight w:val="none"/>
                <w:lang w:eastAsia="zh-CN"/>
              </w:rPr>
            </w:pPr>
            <w:r>
              <w:rPr>
                <w:rStyle w:val="82"/>
                <w:rFonts w:hint="eastAsia" w:ascii="宋体" w:hAnsi="宋体" w:eastAsia="宋体" w:cs="宋体"/>
                <w:color w:val="auto"/>
                <w:sz w:val="21"/>
                <w:szCs w:val="21"/>
                <w:highlight w:val="none"/>
                <w:lang w:eastAsia="zh-CN"/>
              </w:rPr>
              <w:t>技术要求中</w:t>
            </w:r>
            <w:r>
              <w:rPr>
                <w:rStyle w:val="82"/>
                <w:rFonts w:hint="eastAsia" w:ascii="宋体" w:hAnsi="宋体" w:eastAsia="宋体" w:cs="宋体"/>
                <w:color w:val="auto"/>
                <w:sz w:val="21"/>
                <w:szCs w:val="21"/>
                <w:highlight w:val="none"/>
              </w:rPr>
              <w:t>具体参数值或功能要求表述</w:t>
            </w:r>
            <w:r>
              <w:rPr>
                <w:rStyle w:val="82"/>
                <w:rFonts w:hint="eastAsia" w:ascii="宋体" w:hAnsi="宋体" w:eastAsia="宋体" w:cs="宋体"/>
                <w:color w:val="auto"/>
                <w:sz w:val="21"/>
                <w:szCs w:val="21"/>
                <w:highlight w:val="none"/>
                <w:lang w:eastAsia="zh-CN"/>
              </w:rPr>
              <w:t>：</w:t>
            </w:r>
          </w:p>
          <w:p>
            <w:pPr>
              <w:widowControl/>
              <w:adjustRightInd w:val="0"/>
              <w:snapToGrid w:val="0"/>
              <w:spacing w:line="288" w:lineRule="auto"/>
              <w:jc w:val="left"/>
              <w:textAlignment w:val="center"/>
              <w:rPr>
                <w:rStyle w:val="82"/>
                <w:rFonts w:hint="eastAsia" w:ascii="宋体" w:hAnsi="宋体" w:eastAsia="宋体" w:cs="宋体"/>
                <w:b/>
                <w:color w:val="auto"/>
                <w:sz w:val="21"/>
                <w:szCs w:val="21"/>
                <w:highlight w:val="none"/>
                <w:lang w:eastAsia="zh-CN"/>
              </w:rPr>
            </w:pPr>
            <w:r>
              <w:rPr>
                <w:rStyle w:val="82"/>
                <w:rFonts w:hint="eastAsia" w:ascii="宋体" w:hAnsi="宋体" w:eastAsia="宋体" w:cs="宋体"/>
                <w:b/>
                <w:color w:val="auto"/>
                <w:sz w:val="21"/>
                <w:szCs w:val="21"/>
                <w:highlight w:val="none"/>
              </w:rPr>
              <w:t>软件系统要求</w:t>
            </w:r>
            <w:r>
              <w:rPr>
                <w:rStyle w:val="82"/>
                <w:rFonts w:hint="eastAsia" w:ascii="宋体" w:hAnsi="宋体" w:cs="宋体"/>
                <w:b/>
                <w:color w:val="auto"/>
                <w:sz w:val="21"/>
                <w:szCs w:val="21"/>
                <w:highlight w:val="none"/>
                <w:lang w:eastAsia="zh-CN"/>
              </w:rPr>
              <w:t>中</w:t>
            </w:r>
          </w:p>
          <w:p>
            <w:pPr>
              <w:widowControl/>
              <w:adjustRightInd w:val="0"/>
              <w:snapToGrid w:val="0"/>
              <w:spacing w:line="288" w:lineRule="auto"/>
              <w:jc w:val="left"/>
              <w:textAlignment w:val="center"/>
              <w:rPr>
                <w:rStyle w:val="82"/>
                <w:rFonts w:ascii="宋体" w:hAnsi="宋体" w:eastAsia="宋体" w:cs="宋体"/>
                <w:color w:val="auto"/>
                <w:sz w:val="21"/>
                <w:szCs w:val="21"/>
                <w:highlight w:val="none"/>
              </w:rPr>
            </w:pPr>
            <w:r>
              <w:rPr>
                <w:rStyle w:val="82"/>
                <w:rFonts w:hint="eastAsia" w:ascii="宋体" w:hAnsi="宋体" w:eastAsia="宋体" w:cs="宋体"/>
                <w:color w:val="auto"/>
                <w:sz w:val="21"/>
                <w:szCs w:val="21"/>
                <w:highlight w:val="none"/>
                <w:lang w:eastAsia="zh-CN"/>
              </w:rPr>
              <w:t>参数</w:t>
            </w:r>
            <w:r>
              <w:rPr>
                <w:rStyle w:val="82"/>
                <w:rFonts w:hint="eastAsia" w:ascii="宋体" w:hAnsi="宋体" w:eastAsia="宋体" w:cs="宋体"/>
                <w:color w:val="auto"/>
                <w:sz w:val="21"/>
                <w:szCs w:val="21"/>
                <w:highlight w:val="none"/>
              </w:rPr>
              <w:t>12. 在满足混合现实头戴式设备相关技术参数（详见硬件技术参数表格）的终端下，展示某车辆设备（空调、起落架或受电弓）虚拟数字模型结构（提供功能截图）；</w:t>
            </w:r>
          </w:p>
          <w:p>
            <w:pPr>
              <w:adjustRightInd w:val="0"/>
              <w:snapToGrid w:val="0"/>
              <w:spacing w:line="288" w:lineRule="auto"/>
              <w:rPr>
                <w:rStyle w:val="82"/>
                <w:rFonts w:ascii="宋体" w:hAnsi="宋体" w:eastAsia="宋体" w:cs="宋体"/>
                <w:color w:val="auto"/>
                <w:sz w:val="21"/>
                <w:szCs w:val="21"/>
                <w:highlight w:val="none"/>
              </w:rPr>
            </w:pPr>
            <w:r>
              <w:rPr>
                <w:rStyle w:val="82"/>
                <w:rFonts w:hint="eastAsia" w:ascii="宋体" w:hAnsi="宋体" w:eastAsia="宋体" w:cs="宋体"/>
                <w:color w:val="auto"/>
                <w:sz w:val="21"/>
                <w:szCs w:val="21"/>
                <w:highlight w:val="none"/>
                <w:lang w:eastAsia="zh-CN"/>
              </w:rPr>
              <w:t>参数</w:t>
            </w:r>
            <w:r>
              <w:rPr>
                <w:rStyle w:val="82"/>
                <w:rFonts w:hint="eastAsia" w:ascii="宋体" w:hAnsi="宋体" w:eastAsia="宋体" w:cs="宋体"/>
                <w:color w:val="auto"/>
                <w:sz w:val="21"/>
                <w:szCs w:val="21"/>
                <w:highlight w:val="none"/>
              </w:rPr>
              <w:t>13.系统可根据现场地的变化，通过便捷的操作方式改变虚拟模型在真实场地的位置（提供功能截图）；</w:t>
            </w:r>
          </w:p>
          <w:p>
            <w:pPr>
              <w:widowControl/>
              <w:adjustRightInd w:val="0"/>
              <w:snapToGrid w:val="0"/>
              <w:spacing w:line="288" w:lineRule="auto"/>
              <w:jc w:val="left"/>
              <w:textAlignment w:val="center"/>
              <w:rPr>
                <w:rStyle w:val="82"/>
                <w:rFonts w:ascii="宋体" w:hAnsi="宋体" w:eastAsia="宋体" w:cs="宋体"/>
                <w:color w:val="auto"/>
                <w:sz w:val="21"/>
                <w:szCs w:val="21"/>
                <w:highlight w:val="none"/>
              </w:rPr>
            </w:pPr>
            <w:r>
              <w:rPr>
                <w:rStyle w:val="82"/>
                <w:rFonts w:hint="eastAsia" w:ascii="宋体" w:hAnsi="宋体" w:eastAsia="宋体" w:cs="宋体"/>
                <w:color w:val="auto"/>
                <w:sz w:val="21"/>
                <w:szCs w:val="21"/>
                <w:highlight w:val="none"/>
                <w:lang w:eastAsia="zh-CN"/>
              </w:rPr>
              <w:t>参数</w:t>
            </w:r>
            <w:r>
              <w:rPr>
                <w:rStyle w:val="82"/>
                <w:rFonts w:hint="eastAsia" w:ascii="宋体" w:hAnsi="宋体" w:eastAsia="宋体" w:cs="宋体"/>
                <w:color w:val="auto"/>
                <w:sz w:val="21"/>
                <w:szCs w:val="21"/>
                <w:highlight w:val="none"/>
              </w:rPr>
              <w:t>14.用户操作的多种方式需要实现以下操作交互方式，包括：</w:t>
            </w:r>
            <w:r>
              <w:rPr>
                <w:rStyle w:val="82"/>
                <w:rFonts w:hint="eastAsia" w:ascii="宋体" w:hAnsi="宋体" w:eastAsia="宋体" w:cs="宋体"/>
                <w:color w:val="auto"/>
                <w:sz w:val="21"/>
                <w:szCs w:val="21"/>
                <w:highlight w:val="none"/>
              </w:rPr>
              <w:br w:type="textWrapping"/>
            </w:r>
            <w:r>
              <w:rPr>
                <w:rStyle w:val="82"/>
                <w:rFonts w:hint="eastAsia" w:ascii="宋体" w:hAnsi="宋体" w:eastAsia="宋体" w:cs="宋体"/>
                <w:color w:val="auto"/>
                <w:sz w:val="21"/>
                <w:szCs w:val="21"/>
                <w:highlight w:val="none"/>
              </w:rPr>
              <w:t xml:space="preserve">  1）手势识别交互</w:t>
            </w:r>
            <w:r>
              <w:rPr>
                <w:rStyle w:val="82"/>
                <w:rFonts w:hint="eastAsia" w:ascii="宋体" w:hAnsi="宋体" w:eastAsia="宋体" w:cs="宋体"/>
                <w:color w:val="auto"/>
                <w:sz w:val="21"/>
                <w:szCs w:val="21"/>
                <w:highlight w:val="none"/>
              </w:rPr>
              <w:br w:type="textWrapping"/>
            </w:r>
            <w:r>
              <w:rPr>
                <w:rStyle w:val="82"/>
                <w:rFonts w:hint="eastAsia" w:ascii="宋体" w:hAnsi="宋体" w:eastAsia="宋体" w:cs="宋体"/>
                <w:color w:val="auto"/>
                <w:sz w:val="21"/>
                <w:szCs w:val="21"/>
                <w:highlight w:val="none"/>
              </w:rPr>
              <w:t xml:space="preserve">  2）终端物理按键交互</w:t>
            </w:r>
            <w:r>
              <w:rPr>
                <w:rStyle w:val="82"/>
                <w:rFonts w:hint="eastAsia" w:ascii="宋体" w:hAnsi="宋体" w:eastAsia="宋体" w:cs="宋体"/>
                <w:color w:val="auto"/>
                <w:sz w:val="21"/>
                <w:szCs w:val="21"/>
                <w:highlight w:val="none"/>
              </w:rPr>
              <w:br w:type="textWrapping"/>
            </w:r>
            <w:r>
              <w:rPr>
                <w:rStyle w:val="82"/>
                <w:rFonts w:hint="eastAsia" w:ascii="宋体" w:hAnsi="宋体" w:eastAsia="宋体" w:cs="宋体"/>
                <w:color w:val="auto"/>
                <w:sz w:val="21"/>
                <w:szCs w:val="21"/>
                <w:highlight w:val="none"/>
              </w:rPr>
              <w:t xml:space="preserve">  3）终端虚拟射线交互</w:t>
            </w:r>
            <w:r>
              <w:rPr>
                <w:rStyle w:val="82"/>
                <w:rFonts w:hint="eastAsia" w:ascii="宋体" w:hAnsi="宋体" w:eastAsia="宋体" w:cs="宋体"/>
                <w:color w:val="auto"/>
                <w:sz w:val="21"/>
                <w:szCs w:val="21"/>
                <w:highlight w:val="none"/>
              </w:rPr>
              <w:br w:type="textWrapping"/>
            </w:r>
            <w:r>
              <w:rPr>
                <w:rStyle w:val="82"/>
                <w:rFonts w:hint="eastAsia" w:ascii="宋体" w:hAnsi="宋体" w:eastAsia="宋体" w:cs="宋体"/>
                <w:color w:val="auto"/>
                <w:sz w:val="21"/>
                <w:szCs w:val="21"/>
                <w:highlight w:val="none"/>
              </w:rPr>
              <w:t xml:space="preserve">  4） 终端触屏案件交互 （提供功能截图）</w:t>
            </w:r>
          </w:p>
          <w:p>
            <w:pPr>
              <w:numPr>
                <w:numId w:val="0"/>
              </w:numPr>
              <w:adjustRightInd w:val="0"/>
              <w:snapToGrid w:val="0"/>
              <w:spacing w:line="288" w:lineRule="auto"/>
              <w:rPr>
                <w:rStyle w:val="82"/>
                <w:rFonts w:ascii="宋体" w:hAnsi="宋体" w:eastAsia="宋体" w:cs="宋体"/>
                <w:color w:val="auto"/>
                <w:sz w:val="21"/>
                <w:szCs w:val="21"/>
                <w:highlight w:val="none"/>
              </w:rPr>
            </w:pPr>
            <w:r>
              <w:rPr>
                <w:rStyle w:val="82"/>
                <w:rFonts w:hint="eastAsia" w:ascii="宋体" w:hAnsi="宋体" w:eastAsia="宋体" w:cs="宋体"/>
                <w:color w:val="auto"/>
                <w:sz w:val="21"/>
                <w:szCs w:val="21"/>
                <w:highlight w:val="none"/>
                <w:lang w:eastAsia="zh-CN"/>
              </w:rPr>
              <w:t>参数</w:t>
            </w:r>
            <w:r>
              <w:rPr>
                <w:rStyle w:val="82"/>
                <w:rFonts w:hint="eastAsia" w:ascii="宋体" w:hAnsi="宋体" w:cs="宋体"/>
                <w:color w:val="auto"/>
                <w:sz w:val="21"/>
                <w:szCs w:val="21"/>
                <w:highlight w:val="none"/>
                <w:lang w:val="en-US" w:eastAsia="zh-CN"/>
              </w:rPr>
              <w:t>15.</w:t>
            </w:r>
            <w:r>
              <w:rPr>
                <w:rStyle w:val="82"/>
                <w:rFonts w:hint="eastAsia" w:ascii="宋体" w:hAnsi="宋体" w:eastAsia="宋体" w:cs="宋体"/>
                <w:color w:val="auto"/>
                <w:sz w:val="21"/>
                <w:szCs w:val="21"/>
                <w:highlight w:val="none"/>
              </w:rPr>
              <w:t>支持以多种交互方式，实现设备的爆炸分解展示，同时展示部件名称信息（提供功能截图）；</w:t>
            </w:r>
          </w:p>
          <w:p>
            <w:pPr>
              <w:widowControl/>
              <w:adjustRightInd w:val="0"/>
              <w:snapToGrid w:val="0"/>
              <w:spacing w:line="288" w:lineRule="auto"/>
              <w:jc w:val="left"/>
              <w:textAlignment w:val="center"/>
              <w:rPr>
                <w:rStyle w:val="82"/>
                <w:rFonts w:ascii="宋体" w:hAnsi="宋体" w:eastAsia="宋体" w:cs="宋体"/>
                <w:color w:val="auto"/>
                <w:sz w:val="21"/>
                <w:szCs w:val="21"/>
                <w:highlight w:val="none"/>
              </w:rPr>
            </w:pPr>
            <w:r>
              <w:rPr>
                <w:rStyle w:val="82"/>
                <w:rFonts w:hint="eastAsia" w:ascii="宋体" w:hAnsi="宋体" w:eastAsia="宋体" w:cs="宋体"/>
                <w:color w:val="auto"/>
                <w:sz w:val="21"/>
                <w:szCs w:val="21"/>
                <w:highlight w:val="none"/>
                <w:lang w:eastAsia="zh-CN"/>
              </w:rPr>
              <w:t>参数</w:t>
            </w:r>
            <w:r>
              <w:rPr>
                <w:rStyle w:val="82"/>
                <w:rFonts w:hint="eastAsia" w:ascii="宋体" w:hAnsi="宋体" w:eastAsia="宋体" w:cs="宋体"/>
                <w:color w:val="auto"/>
                <w:sz w:val="21"/>
                <w:szCs w:val="21"/>
                <w:highlight w:val="none"/>
              </w:rPr>
              <w:t>16.根据相关设备的维修手册，以多种交互方式进行某项维护的完整流程操作演示（提供功能截图）</w:t>
            </w:r>
          </w:p>
          <w:p>
            <w:pPr>
              <w:widowControl/>
              <w:adjustRightInd w:val="0"/>
              <w:snapToGrid w:val="0"/>
              <w:spacing w:line="288" w:lineRule="auto"/>
              <w:jc w:val="left"/>
              <w:textAlignment w:val="center"/>
              <w:rPr>
                <w:rStyle w:val="82"/>
                <w:rFonts w:ascii="宋体" w:hAnsi="宋体" w:eastAsia="宋体" w:cs="宋体"/>
                <w:color w:val="auto"/>
                <w:sz w:val="21"/>
                <w:szCs w:val="21"/>
                <w:highlight w:val="none"/>
              </w:rPr>
            </w:pPr>
            <w:r>
              <w:rPr>
                <w:rStyle w:val="82"/>
                <w:rFonts w:hint="eastAsia" w:ascii="宋体" w:hAnsi="宋体" w:eastAsia="宋体" w:cs="宋体"/>
                <w:color w:val="auto"/>
                <w:sz w:val="21"/>
                <w:szCs w:val="21"/>
                <w:highlight w:val="none"/>
                <w:lang w:eastAsia="zh-CN"/>
              </w:rPr>
              <w:t>参数</w:t>
            </w:r>
            <w:r>
              <w:rPr>
                <w:rStyle w:val="82"/>
                <w:rFonts w:hint="eastAsia" w:ascii="宋体" w:hAnsi="宋体" w:eastAsia="宋体" w:cs="宋体"/>
                <w:color w:val="auto"/>
                <w:sz w:val="21"/>
                <w:szCs w:val="21"/>
                <w:highlight w:val="none"/>
              </w:rPr>
              <w:t>17.系统支持第一视角视频信息通过网络回传720/1080P高清视频至同一局域网下的电脑终端，将使用混合现实设备的人员的第一视角以第三视角的形式同步到大屏幕上，便于教师讲解和学员观摩（提供功能截图）</w:t>
            </w:r>
          </w:p>
          <w:p>
            <w:pPr>
              <w:adjustRightInd w:val="0"/>
              <w:snapToGrid w:val="0"/>
              <w:spacing w:line="288" w:lineRule="auto"/>
              <w:rPr>
                <w:rFonts w:ascii="宋体" w:hAnsi="宋体" w:cs="宋体"/>
                <w:b/>
                <w:bCs/>
                <w:kern w:val="0"/>
                <w:szCs w:val="21"/>
                <w:highlight w:val="none"/>
              </w:rPr>
            </w:pPr>
            <w:r>
              <w:rPr>
                <w:rFonts w:hint="eastAsia" w:ascii="宋体" w:hAnsi="宋体" w:cs="宋体"/>
                <w:b/>
                <w:bCs/>
                <w:kern w:val="0"/>
                <w:szCs w:val="21"/>
                <w:highlight w:val="none"/>
              </w:rPr>
              <w:t>虚拟仿真安全管理系统</w:t>
            </w:r>
            <w:r>
              <w:rPr>
                <w:rStyle w:val="82"/>
                <w:rFonts w:hint="eastAsia" w:ascii="宋体" w:hAnsi="宋体" w:cs="宋体"/>
                <w:b/>
                <w:color w:val="auto"/>
                <w:sz w:val="21"/>
                <w:szCs w:val="21"/>
                <w:highlight w:val="none"/>
                <w:lang w:eastAsia="zh-CN"/>
              </w:rPr>
              <w:t>中</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6.支持将其他硬件安全设备（包括但不限于防火墙、IPS、IDS、WAF、行为管理、流量探针等）加入网元组，并接受流量编排；支持将同类型安全设备划归同一网元组，组成硬件安全资源池（如WAF安全资源池），并将流量通过负载均衡（“源地址哈希”、“源目的地址哈希”，“加权源地址哈希”、“加权源目的地址哈希”、“加权地址端口哈希”、“轮询”和“权重轮询”）的方法编排给组内所有网元，提供能够体现上述功能及配置选项的截图</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7.支持对网元进行健康检查，健康检查至少包括链路健康检查和回环探测，提供能够体现上述功能及配置选项的截图</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8.支持灵活的服务链编排功能（服务量管理），支持串接链和旁路链，支持网元组的方向和目的位置设置。提供能够体现上述功能及配置选项的截图</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9.支持灵活的细粒度引流策略，可基于源安全域、目的安全域、源用户、源地址、目的地址、服务、VLAN、服务链、流量方向（内网到外网/外网到内网）的引流策略，并详细记录日志。提供能够体现上述功能及配置选项的截图</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10.支持对编排的流量（服务链）进行监控，以图形化的形式展示出服务链中的流量大小，提供能够体现上述功能及配置选项的截图</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11.支持日志模板功能，可以设置置各种日志发送的哪些字段以及字段的顺序，满足日志字段定制化需求。提供能够体现上述功能及配置选项的截图</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12.支持漏洞扫描策略，且至少支持WEB漏扫、系统漏扫和物联网漏扫三种漏扫类型，可自定TCP和UDP的端口范围，扫描方式支持手动扫描和定期自动扫描。提供能够体现上述功能及配置选项的截图</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13.支持RA管控策略， 用于防止RA攻击。支持基于源MAC、SSLA MAC、源地址、VLAN、前缀、跳数等条件进行RA管控。能够基于M标记、O标记进行置位和不置位检测管控。提供能够体现上述功能及配置选项的截图</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14.支持弱口令检测，支持主动检测和被动检测两种检测方式；支持基于网段、协议、用户名字典、弱口令字典进行完整扫描，制行方式包含手动和自动；能够基于数字、字母、数字和字母、自然顺序、键盘顺序、特殊字符、用户名、重复字符进行检测。提供能够体现上述功能及配置选项的截图</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15.产品应具备网元管理、网元服务链配置、网元引流功能，产品提供能够体现以上功能的公安部信息安全产品检测中心颁发的检验检测报告</w:t>
            </w:r>
          </w:p>
          <w:p>
            <w:pPr>
              <w:pStyle w:val="8"/>
              <w:adjustRightInd w:val="0"/>
              <w:snapToGrid w:val="0"/>
              <w:spacing w:line="288" w:lineRule="auto"/>
              <w:ind w:left="0" w:leftChars="0"/>
              <w:rPr>
                <w:rFonts w:ascii="宋体" w:hAnsi="宋体" w:cs="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16.产品具备威胁情报检测、威胁情报库升级、失陷主机展示及处置功能，提供能够体现以上功能的公安部信息安全产品检测中心颁发的检验检测报告。</w:t>
            </w:r>
          </w:p>
          <w:p>
            <w:pPr>
              <w:adjustRightInd w:val="0"/>
              <w:snapToGrid w:val="0"/>
              <w:spacing w:line="288" w:lineRule="auto"/>
              <w:rPr>
                <w:rFonts w:ascii="宋体" w:hAnsi="宋体" w:cs="宋体"/>
                <w:kern w:val="0"/>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cs="宋体"/>
                <w:szCs w:val="21"/>
                <w:highlight w:val="none"/>
              </w:rPr>
              <w:t>17.产品应充分降低后续上线部署难度，提升部署效率，产品应具备快速上线部署功能，要求提供能够体现以上功能的国家网络与信息系统安全产品质量监督检验中心出具测试报告</w:t>
            </w:r>
          </w:p>
          <w:p>
            <w:pPr>
              <w:adjustRightInd w:val="0"/>
              <w:snapToGrid w:val="0"/>
              <w:spacing w:line="288" w:lineRule="auto"/>
              <w:rPr>
                <w:rFonts w:ascii="宋体" w:hAnsi="宋体" w:cs="宋体"/>
                <w:szCs w:val="21"/>
                <w:highlight w:val="none"/>
              </w:rPr>
            </w:pPr>
            <w:r>
              <w:rPr>
                <w:rFonts w:hint="eastAsia" w:ascii="宋体" w:hAnsi="宋体" w:cs="宋体"/>
                <w:color w:val="000000"/>
                <w:szCs w:val="24"/>
                <w:highlight w:val="none"/>
              </w:rPr>
              <w:t>每满足1条得2分，满分36分，不提供证明材料不得分</w:t>
            </w:r>
            <w:r>
              <w:rPr>
                <w:rFonts w:ascii="宋体" w:hAnsi="宋体" w:cs="宋体"/>
                <w:color w:val="000000"/>
                <w:szCs w:val="24"/>
                <w:highlight w:val="none"/>
              </w:rPr>
              <w:t>（以投标文件中加盖供应商公章的</w:t>
            </w:r>
            <w:r>
              <w:rPr>
                <w:rFonts w:hint="eastAsia" w:ascii="宋体" w:hAnsi="宋体" w:cs="宋体"/>
                <w:color w:val="000000"/>
                <w:szCs w:val="24"/>
                <w:highlight w:val="none"/>
              </w:rPr>
              <w:t>证明材料</w:t>
            </w:r>
            <w:r>
              <w:rPr>
                <w:rFonts w:ascii="宋体" w:hAnsi="宋体" w:cs="宋体"/>
                <w:color w:val="000000"/>
                <w:szCs w:val="24"/>
                <w:highlight w:val="none"/>
              </w:rPr>
              <w:t>为评分依据）</w:t>
            </w:r>
          </w:p>
        </w:tc>
        <w:tc>
          <w:tcPr>
            <w:tcW w:w="343"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36.0</w:t>
            </w:r>
          </w:p>
        </w:tc>
        <w:tc>
          <w:tcPr>
            <w:tcW w:w="207"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客观项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3</w:t>
            </w:r>
          </w:p>
        </w:tc>
        <w:tc>
          <w:tcPr>
            <w:tcW w:w="558" w:type="pct"/>
            <w:vAlign w:val="center"/>
          </w:tcPr>
          <w:p>
            <w:pPr>
              <w:adjustRightInd w:val="0"/>
              <w:snapToGrid w:val="0"/>
              <w:spacing w:line="288" w:lineRule="auto"/>
              <w:jc w:val="left"/>
              <w:rPr>
                <w:rFonts w:ascii="宋体" w:hAnsi="宋体" w:cs="宋体"/>
                <w:szCs w:val="21"/>
                <w:highlight w:val="none"/>
              </w:rPr>
            </w:pPr>
            <w:r>
              <w:rPr>
                <w:rFonts w:hint="eastAsia" w:ascii="宋体" w:hAnsi="宋体" w:cs="宋体"/>
                <w:kern w:val="0"/>
                <w:szCs w:val="21"/>
                <w:highlight w:val="none"/>
              </w:rPr>
              <w:t>国赛机器人焊接系统</w:t>
            </w:r>
          </w:p>
        </w:tc>
        <w:tc>
          <w:tcPr>
            <w:tcW w:w="3679" w:type="pct"/>
          </w:tcPr>
          <w:p>
            <w:pPr>
              <w:pStyle w:val="168"/>
              <w:widowControl w:val="0"/>
              <w:adjustRightInd w:val="0"/>
              <w:snapToGrid w:val="0"/>
              <w:spacing w:line="288" w:lineRule="auto"/>
              <w:jc w:val="both"/>
              <w:rPr>
                <w:rStyle w:val="82"/>
                <w:rFonts w:hint="eastAsia" w:ascii="宋体" w:hAnsi="宋体" w:eastAsia="宋体" w:cs="宋体"/>
                <w:color w:val="auto"/>
                <w:sz w:val="21"/>
                <w:szCs w:val="21"/>
                <w:highlight w:val="none"/>
                <w:lang w:eastAsia="zh-CN"/>
              </w:rPr>
            </w:pPr>
            <w:r>
              <w:rPr>
                <w:rStyle w:val="82"/>
                <w:rFonts w:hint="eastAsia" w:ascii="宋体" w:hAnsi="宋体" w:eastAsia="宋体" w:cs="宋体"/>
                <w:color w:val="auto"/>
                <w:sz w:val="21"/>
                <w:szCs w:val="21"/>
                <w:highlight w:val="none"/>
                <w:lang w:eastAsia="zh-CN"/>
              </w:rPr>
              <w:t>技术要求中</w:t>
            </w:r>
            <w:r>
              <w:rPr>
                <w:rStyle w:val="82"/>
                <w:rFonts w:hint="eastAsia" w:ascii="宋体" w:hAnsi="宋体" w:eastAsia="宋体" w:cs="宋体"/>
                <w:color w:val="auto"/>
                <w:sz w:val="21"/>
                <w:szCs w:val="21"/>
                <w:highlight w:val="none"/>
              </w:rPr>
              <w:t>具体参数值或功能要求表述</w:t>
            </w:r>
            <w:r>
              <w:rPr>
                <w:rStyle w:val="82"/>
                <w:rFonts w:hint="eastAsia" w:ascii="宋体" w:hAnsi="宋体" w:eastAsia="宋体" w:cs="宋体"/>
                <w:color w:val="auto"/>
                <w:sz w:val="21"/>
                <w:szCs w:val="21"/>
                <w:highlight w:val="none"/>
                <w:lang w:eastAsia="zh-CN"/>
              </w:rPr>
              <w:t>：</w:t>
            </w:r>
          </w:p>
          <w:p>
            <w:pPr>
              <w:autoSpaceDN w:val="0"/>
              <w:adjustRightInd w:val="0"/>
              <w:snapToGrid w:val="0"/>
              <w:spacing w:line="288" w:lineRule="auto"/>
              <w:rPr>
                <w:rFonts w:ascii="宋体" w:hAnsi="宋体" w:cs="宋体"/>
                <w:szCs w:val="21"/>
                <w:highlight w:val="none"/>
              </w:rPr>
            </w:pPr>
            <w:r>
              <w:rPr>
                <w:rFonts w:hint="eastAsia" w:ascii="宋体" w:hAnsi="宋体" w:cs="宋体"/>
                <w:szCs w:val="21"/>
                <w:highlight w:val="none"/>
              </w:rPr>
              <w:t>5.6智能数据采集终端</w:t>
            </w:r>
          </w:p>
          <w:p>
            <w:pPr>
              <w:widowControl/>
              <w:autoSpaceDN w:val="0"/>
              <w:adjustRightInd w:val="0"/>
              <w:snapToGrid w:val="0"/>
              <w:spacing w:line="288" w:lineRule="auto"/>
              <w:rPr>
                <w:rFonts w:ascii="宋体" w:hAnsi="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szCs w:val="21"/>
                <w:highlight w:val="none"/>
              </w:rPr>
              <w:t>2、系统： Android4.4 以上，实现设备采集上传、远程的设备管理和控制。机器人集成终端后可实现机器人及焊接数据的监控和记录功能，可在本地查看数据设备运行记录、通过 USB 导出记录文件</w:t>
            </w:r>
            <w:r>
              <w:rPr>
                <w:rStyle w:val="82"/>
                <w:rFonts w:hint="eastAsia" w:ascii="宋体" w:hAnsi="宋体" w:eastAsia="宋体" w:cs="宋体"/>
                <w:color w:val="auto"/>
                <w:sz w:val="21"/>
                <w:szCs w:val="21"/>
                <w:highlight w:val="none"/>
              </w:rPr>
              <w:t>（提供功能截图）</w:t>
            </w:r>
            <w:r>
              <w:rPr>
                <w:rFonts w:hint="eastAsia" w:ascii="宋体" w:hAnsi="宋体"/>
                <w:szCs w:val="21"/>
                <w:highlight w:val="none"/>
              </w:rPr>
              <w:t>。</w:t>
            </w:r>
          </w:p>
          <w:p>
            <w:pPr>
              <w:autoSpaceDN w:val="0"/>
              <w:adjustRightInd w:val="0"/>
              <w:snapToGrid w:val="0"/>
              <w:spacing w:line="288" w:lineRule="auto"/>
              <w:rPr>
                <w:rFonts w:ascii="宋体" w:hAnsi="宋体" w:cs="宋体"/>
                <w:color w:val="000000" w:themeColor="text1"/>
                <w:szCs w:val="21"/>
                <w:highlight w:val="none"/>
              </w:rPr>
            </w:pPr>
            <w:r>
              <w:rPr>
                <w:rFonts w:hint="eastAsia" w:ascii="宋体" w:hAnsi="宋体" w:cs="宋体"/>
                <w:color w:val="000000" w:themeColor="text1"/>
                <w:szCs w:val="21"/>
                <w:highlight w:val="none"/>
              </w:rPr>
              <w:t>七、智能型烟尘净化单机要求：</w:t>
            </w:r>
          </w:p>
          <w:p>
            <w:pPr>
              <w:widowControl/>
              <w:autoSpaceDN w:val="0"/>
              <w:adjustRightInd w:val="0"/>
              <w:snapToGrid w:val="0"/>
              <w:spacing w:line="288" w:lineRule="auto"/>
              <w:rPr>
                <w:rFonts w:ascii="宋体" w:hAnsi="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szCs w:val="21"/>
                <w:highlight w:val="none"/>
              </w:rPr>
              <w:t>1、智能控制，自动焊接烟尘吸附，可重置自适应延时关闭焊烟吸风</w:t>
            </w:r>
            <w:r>
              <w:rPr>
                <w:rStyle w:val="82"/>
                <w:rFonts w:hint="eastAsia" w:ascii="宋体" w:hAnsi="宋体" w:eastAsia="宋体" w:cs="宋体"/>
                <w:color w:val="auto"/>
                <w:sz w:val="21"/>
                <w:szCs w:val="21"/>
                <w:highlight w:val="none"/>
              </w:rPr>
              <w:t>（提供功能截图）</w:t>
            </w:r>
            <w:r>
              <w:rPr>
                <w:rFonts w:hint="eastAsia" w:ascii="宋体" w:hAnsi="宋体"/>
                <w:szCs w:val="21"/>
                <w:highlight w:val="none"/>
              </w:rPr>
              <w:t>。</w:t>
            </w:r>
          </w:p>
          <w:p>
            <w:pPr>
              <w:widowControl/>
              <w:autoSpaceDN w:val="0"/>
              <w:adjustRightInd w:val="0"/>
              <w:snapToGrid w:val="0"/>
              <w:spacing w:line="288" w:lineRule="auto"/>
              <w:rPr>
                <w:rFonts w:ascii="宋体" w:hAnsi="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szCs w:val="21"/>
                <w:highlight w:val="none"/>
              </w:rPr>
              <w:t>2、具有一键（自动吸风和手动吸风）功能切换模式，长按后进入通用模式，智能传感0-100可调，低于70自动进入手动吸风模式、控制保护功能可重置恢复</w:t>
            </w:r>
            <w:r>
              <w:rPr>
                <w:rStyle w:val="82"/>
                <w:rFonts w:hint="eastAsia" w:ascii="宋体" w:hAnsi="宋体" w:eastAsia="宋体" w:cs="宋体"/>
                <w:color w:val="auto"/>
                <w:sz w:val="21"/>
                <w:szCs w:val="21"/>
                <w:highlight w:val="none"/>
              </w:rPr>
              <w:t>（提供功能截图）</w:t>
            </w:r>
            <w:r>
              <w:rPr>
                <w:rFonts w:hint="eastAsia" w:ascii="宋体" w:hAnsi="宋体"/>
                <w:szCs w:val="21"/>
                <w:highlight w:val="none"/>
              </w:rPr>
              <w:t>。</w:t>
            </w:r>
          </w:p>
          <w:p>
            <w:pPr>
              <w:widowControl/>
              <w:autoSpaceDN w:val="0"/>
              <w:adjustRightInd w:val="0"/>
              <w:snapToGrid w:val="0"/>
              <w:spacing w:line="288" w:lineRule="auto"/>
              <w:rPr>
                <w:rFonts w:ascii="宋体" w:hAnsi="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szCs w:val="21"/>
                <w:highlight w:val="none"/>
              </w:rPr>
              <w:t>3、隧道式双圆筒型设计，双静音两级回风装置</w:t>
            </w:r>
            <w:r>
              <w:rPr>
                <w:rStyle w:val="82"/>
                <w:rFonts w:hint="eastAsia" w:ascii="宋体" w:hAnsi="宋体" w:eastAsia="宋体" w:cs="宋体"/>
                <w:color w:val="auto"/>
                <w:sz w:val="21"/>
                <w:szCs w:val="21"/>
                <w:highlight w:val="none"/>
              </w:rPr>
              <w:t>（提供功能截图）</w:t>
            </w:r>
            <w:r>
              <w:rPr>
                <w:rFonts w:hint="eastAsia" w:ascii="宋体" w:hAnsi="宋体"/>
                <w:szCs w:val="21"/>
                <w:highlight w:val="none"/>
              </w:rPr>
              <w:t>。</w:t>
            </w:r>
          </w:p>
          <w:p>
            <w:pPr>
              <w:widowControl/>
              <w:autoSpaceDN w:val="0"/>
              <w:adjustRightInd w:val="0"/>
              <w:snapToGrid w:val="0"/>
              <w:spacing w:line="288" w:lineRule="auto"/>
              <w:rPr>
                <w:rFonts w:ascii="宋体" w:hAnsi="宋体"/>
                <w:szCs w:val="21"/>
                <w:highlight w:val="none"/>
              </w:rPr>
            </w:pPr>
            <w:r>
              <w:rPr>
                <w:rStyle w:val="82"/>
                <w:rFonts w:hint="eastAsia" w:ascii="宋体" w:hAnsi="宋体" w:eastAsia="宋体" w:cs="宋体"/>
                <w:color w:val="auto"/>
                <w:sz w:val="21"/>
                <w:szCs w:val="21"/>
                <w:highlight w:val="none"/>
                <w:lang w:eastAsia="zh-CN"/>
              </w:rPr>
              <w:t>参数</w:t>
            </w:r>
            <w:r>
              <w:rPr>
                <w:rFonts w:hint="eastAsia" w:ascii="宋体" w:hAnsi="宋体"/>
                <w:szCs w:val="21"/>
                <w:highlight w:val="none"/>
              </w:rPr>
              <w:t>10、无组织废气检测：≤0.001mg/m³颗粒物</w:t>
            </w:r>
            <w:r>
              <w:rPr>
                <w:rStyle w:val="82"/>
                <w:rFonts w:hint="eastAsia" w:ascii="宋体" w:hAnsi="宋体" w:eastAsia="宋体" w:cs="宋体"/>
                <w:color w:val="auto"/>
                <w:sz w:val="21"/>
                <w:szCs w:val="21"/>
                <w:highlight w:val="none"/>
              </w:rPr>
              <w:t>（提供功能截图）</w:t>
            </w:r>
          </w:p>
          <w:p>
            <w:pPr>
              <w:autoSpaceDN w:val="0"/>
              <w:adjustRightInd w:val="0"/>
              <w:snapToGrid w:val="0"/>
              <w:spacing w:line="288" w:lineRule="auto"/>
              <w:rPr>
                <w:rFonts w:ascii="宋体" w:hAnsi="宋体" w:cs="宋体"/>
                <w:szCs w:val="21"/>
                <w:highlight w:val="none"/>
              </w:rPr>
            </w:pPr>
            <w:r>
              <w:rPr>
                <w:rFonts w:hint="eastAsia" w:ascii="宋体" w:hAnsi="宋体" w:cs="宋体"/>
                <w:szCs w:val="21"/>
                <w:highlight w:val="none"/>
              </w:rPr>
              <w:t>八、清枪剪丝站要求;</w:t>
            </w:r>
          </w:p>
          <w:p>
            <w:pPr>
              <w:widowControl/>
              <w:autoSpaceDN w:val="0"/>
              <w:adjustRightInd w:val="0"/>
              <w:snapToGrid w:val="0"/>
              <w:spacing w:line="288" w:lineRule="auto"/>
              <w:rPr>
                <w:rFonts w:hint="eastAsia" w:ascii="宋体" w:hAnsi="宋体" w:eastAsia="宋体"/>
                <w:szCs w:val="21"/>
                <w:highlight w:val="none"/>
                <w:lang w:eastAsia="zh-CN"/>
              </w:rPr>
            </w:pPr>
            <w:r>
              <w:rPr>
                <w:rStyle w:val="82"/>
                <w:rFonts w:hint="eastAsia" w:ascii="宋体" w:hAnsi="宋体" w:eastAsia="宋体" w:cs="宋体"/>
                <w:color w:val="auto"/>
                <w:sz w:val="21"/>
                <w:szCs w:val="21"/>
                <w:highlight w:val="none"/>
                <w:lang w:eastAsia="zh-CN"/>
              </w:rPr>
              <w:t>参数</w:t>
            </w:r>
            <w:r>
              <w:rPr>
                <w:rFonts w:hint="eastAsia" w:ascii="宋体" w:hAnsi="宋体"/>
                <w:szCs w:val="21"/>
                <w:highlight w:val="none"/>
              </w:rPr>
              <w:t>4、清枪站配置喷油时间调整六挡位开关，可调整喷油时间0.5秒，1秒，1.5秒，2秒，2.5秒，3秒任意挡位，</w:t>
            </w:r>
            <w:r>
              <w:rPr>
                <w:rStyle w:val="82"/>
                <w:rFonts w:hint="eastAsia" w:ascii="宋体" w:hAnsi="宋体" w:eastAsia="宋体" w:cs="宋体"/>
                <w:color w:val="auto"/>
                <w:sz w:val="21"/>
                <w:szCs w:val="21"/>
                <w:highlight w:val="none"/>
              </w:rPr>
              <w:t>（提供功能截图）</w:t>
            </w:r>
            <w:r>
              <w:rPr>
                <w:rStyle w:val="82"/>
                <w:rFonts w:hint="eastAsia" w:ascii="宋体" w:hAnsi="宋体" w:cs="宋体"/>
                <w:color w:val="auto"/>
                <w:sz w:val="21"/>
                <w:szCs w:val="21"/>
                <w:highlight w:val="none"/>
                <w:lang w:eastAsia="zh-CN"/>
              </w:rPr>
              <w:t>。</w:t>
            </w:r>
          </w:p>
          <w:p>
            <w:pPr>
              <w:adjustRightInd w:val="0"/>
              <w:snapToGrid w:val="0"/>
              <w:spacing w:line="288" w:lineRule="auto"/>
              <w:rPr>
                <w:rFonts w:ascii="宋体" w:hAnsi="宋体" w:cs="宋体"/>
                <w:color w:val="000000"/>
                <w:szCs w:val="24"/>
                <w:highlight w:val="none"/>
              </w:rPr>
            </w:pPr>
            <w:r>
              <w:rPr>
                <w:rFonts w:hint="eastAsia" w:ascii="宋体" w:hAnsi="宋体" w:cs="宋体"/>
                <w:color w:val="000000"/>
                <w:szCs w:val="24"/>
                <w:highlight w:val="none"/>
              </w:rPr>
              <w:t>每满足1条得1分，满分6分，不提供证明材料不得分</w:t>
            </w:r>
            <w:r>
              <w:rPr>
                <w:rFonts w:ascii="宋体" w:hAnsi="宋体" w:cs="宋体"/>
                <w:color w:val="000000"/>
                <w:szCs w:val="24"/>
                <w:highlight w:val="none"/>
              </w:rPr>
              <w:t>（以投标文件中加盖供应商公章的</w:t>
            </w:r>
            <w:r>
              <w:rPr>
                <w:rFonts w:hint="eastAsia" w:ascii="宋体" w:hAnsi="宋体" w:cs="宋体"/>
                <w:color w:val="000000"/>
                <w:szCs w:val="24"/>
                <w:highlight w:val="none"/>
              </w:rPr>
              <w:t>证明材料</w:t>
            </w:r>
            <w:r>
              <w:rPr>
                <w:rFonts w:ascii="宋体" w:hAnsi="宋体" w:cs="宋体"/>
                <w:color w:val="000000"/>
                <w:szCs w:val="24"/>
                <w:highlight w:val="none"/>
              </w:rPr>
              <w:t>为评分依据）</w:t>
            </w:r>
          </w:p>
        </w:tc>
        <w:tc>
          <w:tcPr>
            <w:tcW w:w="343"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6.0</w:t>
            </w:r>
          </w:p>
        </w:tc>
        <w:tc>
          <w:tcPr>
            <w:tcW w:w="207"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客观项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000" w:type="pct"/>
            <w:gridSpan w:val="5"/>
            <w:vAlign w:val="center"/>
          </w:tcPr>
          <w:p>
            <w:pPr>
              <w:pStyle w:val="168"/>
              <w:widowControl w:val="0"/>
              <w:adjustRightInd w:val="0"/>
              <w:snapToGrid w:val="0"/>
              <w:spacing w:line="288" w:lineRule="auto"/>
              <w:jc w:val="both"/>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（三）商务评分（20.00分）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12"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1</w:t>
            </w:r>
          </w:p>
        </w:tc>
        <w:tc>
          <w:tcPr>
            <w:tcW w:w="558"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cs="宋体"/>
                <w:sz w:val="21"/>
                <w:szCs w:val="21"/>
                <w:highlight w:val="none"/>
              </w:rPr>
              <w:t>售后服务能力</w:t>
            </w:r>
          </w:p>
        </w:tc>
        <w:tc>
          <w:tcPr>
            <w:tcW w:w="3679" w:type="pct"/>
            <w:vAlign w:val="center"/>
          </w:tcPr>
          <w:p>
            <w:pPr>
              <w:pStyle w:val="168"/>
              <w:widowControl w:val="0"/>
              <w:adjustRightInd w:val="0"/>
              <w:snapToGrid w:val="0"/>
              <w:spacing w:line="288" w:lineRule="auto"/>
              <w:jc w:val="both"/>
              <w:rPr>
                <w:rFonts w:ascii="宋体" w:hAnsi="宋体" w:eastAsia="宋体" w:cs="宋体"/>
                <w:color w:val="000000"/>
                <w:spacing w:val="10"/>
                <w:sz w:val="21"/>
                <w:szCs w:val="21"/>
                <w:highlight w:val="none"/>
              </w:rPr>
            </w:pPr>
            <w:r>
              <w:rPr>
                <w:rFonts w:hint="eastAsia" w:ascii="宋体" w:hAnsi="宋体" w:cs="宋体"/>
                <w:sz w:val="21"/>
                <w:szCs w:val="21"/>
                <w:highlight w:val="none"/>
              </w:rPr>
              <w:t>供应商提供优质的售后服务方案（包含售后服务承诺、定期维护、维修响应时间、紧急故障处理办法、解决时间等），（优秀得</w:t>
            </w:r>
            <w:r>
              <w:rPr>
                <w:rFonts w:hint="eastAsia" w:ascii="宋体" w:hAnsi="宋体" w:eastAsia="宋体" w:cs="宋体"/>
                <w:sz w:val="21"/>
                <w:szCs w:val="21"/>
                <w:highlight w:val="none"/>
              </w:rPr>
              <w:t>5</w:t>
            </w:r>
            <w:r>
              <w:rPr>
                <w:rFonts w:hint="eastAsia" w:ascii="宋体" w:hAnsi="宋体" w:cs="宋体"/>
                <w:sz w:val="21"/>
                <w:szCs w:val="21"/>
                <w:highlight w:val="none"/>
              </w:rPr>
              <w:t>分，良好得</w:t>
            </w:r>
            <w:r>
              <w:rPr>
                <w:rFonts w:hint="eastAsia" w:ascii="宋体" w:hAnsi="宋体" w:eastAsia="宋体" w:cs="宋体"/>
                <w:sz w:val="21"/>
                <w:szCs w:val="21"/>
                <w:highlight w:val="none"/>
              </w:rPr>
              <w:t>3</w:t>
            </w:r>
            <w:r>
              <w:rPr>
                <w:rFonts w:hint="eastAsia" w:ascii="宋体" w:hAnsi="宋体" w:cs="宋体"/>
                <w:sz w:val="21"/>
                <w:szCs w:val="21"/>
                <w:highlight w:val="none"/>
              </w:rPr>
              <w:t>分，一般得1分，提供不完整的不得分）</w:t>
            </w:r>
          </w:p>
        </w:tc>
        <w:tc>
          <w:tcPr>
            <w:tcW w:w="343"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5.0</w:t>
            </w:r>
          </w:p>
        </w:tc>
        <w:tc>
          <w:tcPr>
            <w:tcW w:w="207"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主观项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12"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2</w:t>
            </w:r>
          </w:p>
        </w:tc>
        <w:tc>
          <w:tcPr>
            <w:tcW w:w="558" w:type="pct"/>
            <w:vAlign w:val="center"/>
          </w:tcPr>
          <w:p>
            <w:pPr>
              <w:pStyle w:val="168"/>
              <w:widowControl w:val="0"/>
              <w:adjustRightInd w:val="0"/>
              <w:snapToGrid w:val="0"/>
              <w:spacing w:line="288" w:lineRule="auto"/>
              <w:jc w:val="center"/>
              <w:rPr>
                <w:rFonts w:ascii="宋体" w:hAnsi="宋体" w:eastAsia="宋体" w:cs="宋体"/>
                <w:sz w:val="21"/>
                <w:szCs w:val="21"/>
                <w:highlight w:val="none"/>
              </w:rPr>
            </w:pPr>
            <w:r>
              <w:rPr>
                <w:rFonts w:hint="eastAsia" w:ascii="宋体" w:hAnsi="宋体" w:eastAsia="宋体" w:cs="宋体"/>
                <w:sz w:val="21"/>
                <w:szCs w:val="21"/>
                <w:highlight w:val="none"/>
              </w:rPr>
              <w:t>供货周期</w:t>
            </w:r>
          </w:p>
        </w:tc>
        <w:tc>
          <w:tcPr>
            <w:tcW w:w="3679" w:type="pct"/>
            <w:vAlign w:val="center"/>
          </w:tcPr>
          <w:p>
            <w:pPr>
              <w:pStyle w:val="168"/>
              <w:widowControl w:val="0"/>
              <w:adjustRightInd w:val="0"/>
              <w:snapToGrid w:val="0"/>
              <w:spacing w:line="288" w:lineRule="auto"/>
              <w:jc w:val="both"/>
              <w:rPr>
                <w:rFonts w:ascii="宋体" w:hAnsi="宋体" w:eastAsia="宋体" w:cs="宋体"/>
                <w:sz w:val="21"/>
                <w:szCs w:val="21"/>
                <w:highlight w:val="none"/>
              </w:rPr>
            </w:pPr>
            <w:r>
              <w:rPr>
                <w:rFonts w:hint="eastAsia" w:ascii="宋体" w:hAnsi="宋体" w:eastAsia="宋体" w:cs="宋体"/>
                <w:sz w:val="21"/>
                <w:szCs w:val="21"/>
                <w:highlight w:val="none"/>
              </w:rPr>
              <w:t>投标供应商供货周期等于30天得0分；小于30天大于等于20天得2分；小于20天得5分</w:t>
            </w:r>
          </w:p>
        </w:tc>
        <w:tc>
          <w:tcPr>
            <w:tcW w:w="343"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5.0</w:t>
            </w:r>
          </w:p>
        </w:tc>
        <w:tc>
          <w:tcPr>
            <w:tcW w:w="207"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客观项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2</w:t>
            </w:r>
          </w:p>
        </w:tc>
        <w:tc>
          <w:tcPr>
            <w:tcW w:w="558"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相应资质</w:t>
            </w:r>
          </w:p>
        </w:tc>
        <w:tc>
          <w:tcPr>
            <w:tcW w:w="3679" w:type="pct"/>
          </w:tcPr>
          <w:p>
            <w:pPr>
              <w:pStyle w:val="168"/>
              <w:widowControl w:val="0"/>
              <w:adjustRightInd w:val="0"/>
              <w:snapToGrid w:val="0"/>
              <w:spacing w:line="288" w:lineRule="auto"/>
              <w:jc w:val="both"/>
              <w:rPr>
                <w:rFonts w:ascii="宋体" w:hAnsi="宋体" w:eastAsia="宋体" w:cs="宋体"/>
                <w:sz w:val="21"/>
                <w:szCs w:val="21"/>
                <w:highlight w:val="none"/>
              </w:rPr>
            </w:pPr>
            <w:r>
              <w:rPr>
                <w:rFonts w:hint="eastAsia" w:ascii="宋体" w:hAnsi="宋体" w:eastAsia="宋体" w:cs="宋体"/>
                <w:sz w:val="21"/>
                <w:szCs w:val="21"/>
                <w:highlight w:val="none"/>
              </w:rPr>
              <w:t>1.供应商所投的虚拟仿真安全管理系统具有高性能IPV6防火墙软件著作权登记证书得2分；</w:t>
            </w:r>
          </w:p>
          <w:p>
            <w:pPr>
              <w:pStyle w:val="168"/>
              <w:widowControl w:val="0"/>
              <w:adjustRightInd w:val="0"/>
              <w:snapToGrid w:val="0"/>
              <w:spacing w:line="288" w:lineRule="auto"/>
              <w:jc w:val="both"/>
              <w:rPr>
                <w:rFonts w:ascii="宋体" w:hAnsi="宋体" w:eastAsia="宋体" w:cs="宋体"/>
                <w:sz w:val="21"/>
                <w:szCs w:val="21"/>
                <w:highlight w:val="none"/>
              </w:rPr>
            </w:pPr>
            <w:r>
              <w:rPr>
                <w:rFonts w:hint="eastAsia" w:ascii="宋体" w:hAnsi="宋体" w:eastAsia="宋体" w:cs="宋体"/>
                <w:sz w:val="21"/>
                <w:szCs w:val="21"/>
                <w:highlight w:val="none"/>
              </w:rPr>
              <w:t>2.供应商所投的虚拟仿真安全管理系统具有高性能一体化防火墙软件著作权登记证书得2分；</w:t>
            </w:r>
          </w:p>
          <w:p>
            <w:pPr>
              <w:pStyle w:val="168"/>
              <w:widowControl w:val="0"/>
              <w:adjustRightInd w:val="0"/>
              <w:snapToGrid w:val="0"/>
              <w:spacing w:line="288" w:lineRule="auto"/>
              <w:jc w:val="both"/>
              <w:rPr>
                <w:rFonts w:ascii="宋体" w:hAnsi="宋体" w:eastAsia="宋体" w:cs="宋体"/>
                <w:color w:val="000000"/>
                <w:sz w:val="21"/>
                <w:highlight w:val="none"/>
              </w:rPr>
            </w:pPr>
            <w:r>
              <w:rPr>
                <w:rFonts w:hint="eastAsia" w:ascii="宋体" w:hAnsi="宋体" w:eastAsia="宋体" w:cs="宋体"/>
                <w:sz w:val="21"/>
                <w:szCs w:val="21"/>
                <w:highlight w:val="none"/>
              </w:rPr>
              <w:t>3.供应商所投的虚拟仿真安全管理系统具有语境关联分析引擎软件著作权登记证书得2分；</w:t>
            </w:r>
          </w:p>
          <w:p>
            <w:pPr>
              <w:pStyle w:val="168"/>
              <w:widowControl w:val="0"/>
              <w:adjustRightInd w:val="0"/>
              <w:snapToGrid w:val="0"/>
              <w:spacing w:line="288" w:lineRule="auto"/>
              <w:jc w:val="both"/>
              <w:rPr>
                <w:rFonts w:ascii="宋体" w:hAnsi="宋体" w:eastAsia="宋体" w:cs="宋体"/>
                <w:color w:val="000000"/>
                <w:sz w:val="21"/>
                <w:highlight w:val="none"/>
              </w:rPr>
            </w:pPr>
            <w:r>
              <w:rPr>
                <w:rFonts w:hint="eastAsia" w:ascii="宋体" w:hAnsi="宋体" w:eastAsia="宋体" w:cs="宋体"/>
                <w:sz w:val="21"/>
                <w:szCs w:val="21"/>
                <w:highlight w:val="none"/>
              </w:rPr>
              <w:t>4.供应商所投的国赛机器人焊接系统，</w:t>
            </w:r>
            <w:r>
              <w:rPr>
                <w:rFonts w:hint="eastAsia" w:ascii="宋体" w:hAnsi="宋体" w:eastAsia="宋体"/>
                <w:kern w:val="2"/>
                <w:sz w:val="21"/>
                <w:szCs w:val="21"/>
                <w:highlight w:val="none"/>
              </w:rPr>
              <w:t>提供中华人民共和国第二届职业技能大赛竞赛项使用机证明文件得2分；</w:t>
            </w:r>
          </w:p>
          <w:p>
            <w:pPr>
              <w:widowControl/>
              <w:autoSpaceDN w:val="0"/>
              <w:adjustRightInd w:val="0"/>
              <w:snapToGrid w:val="0"/>
              <w:spacing w:line="288" w:lineRule="auto"/>
              <w:rPr>
                <w:rFonts w:ascii="宋体" w:hAnsi="宋体"/>
                <w:szCs w:val="21"/>
                <w:highlight w:val="none"/>
              </w:rPr>
            </w:pPr>
            <w:r>
              <w:rPr>
                <w:rFonts w:hint="eastAsia" w:ascii="宋体" w:hAnsi="宋体"/>
                <w:szCs w:val="21"/>
                <w:highlight w:val="none"/>
              </w:rPr>
              <w:t>5.</w:t>
            </w:r>
            <w:r>
              <w:rPr>
                <w:rFonts w:hint="eastAsia" w:ascii="宋体" w:hAnsi="宋体" w:cs="宋体"/>
                <w:szCs w:val="21"/>
                <w:highlight w:val="none"/>
              </w:rPr>
              <w:t>供应商所投的</w:t>
            </w:r>
            <w:r>
              <w:rPr>
                <w:rFonts w:hint="eastAsia" w:ascii="宋体" w:hAnsi="宋体" w:cs="宋体"/>
                <w:kern w:val="0"/>
                <w:szCs w:val="21"/>
                <w:highlight w:val="none"/>
              </w:rPr>
              <w:t>国赛机器人焊接系统，</w:t>
            </w:r>
            <w:r>
              <w:rPr>
                <w:rFonts w:hint="eastAsia" w:ascii="宋体" w:hAnsi="宋体"/>
                <w:szCs w:val="21"/>
                <w:highlight w:val="none"/>
              </w:rPr>
              <w:t>投标提供</w:t>
            </w:r>
            <w:r>
              <w:rPr>
                <w:rFonts w:hint="eastAsia" w:ascii="宋体" w:hAnsi="宋体"/>
                <w:szCs w:val="21"/>
                <w:highlight w:val="none"/>
                <w:lang w:val="fr-FR"/>
              </w:rPr>
              <w:t>工业机器人拆装</w:t>
            </w:r>
            <w:r>
              <w:rPr>
                <w:rFonts w:hint="eastAsia" w:ascii="宋体" w:hAnsi="宋体"/>
                <w:szCs w:val="21"/>
                <w:highlight w:val="none"/>
              </w:rPr>
              <w:t>仿真</w:t>
            </w:r>
            <w:r>
              <w:rPr>
                <w:rFonts w:hint="eastAsia" w:ascii="宋体" w:hAnsi="宋体"/>
                <w:szCs w:val="21"/>
                <w:highlight w:val="none"/>
                <w:lang w:val="fr-FR"/>
              </w:rPr>
              <w:t>实训软件</w:t>
            </w:r>
            <w:r>
              <w:rPr>
                <w:rFonts w:hint="eastAsia" w:ascii="宋体" w:hAnsi="宋体"/>
                <w:szCs w:val="21"/>
                <w:highlight w:val="none"/>
              </w:rPr>
              <w:t>软件著作权证书复印件得2分</w:t>
            </w:r>
          </w:p>
          <w:p>
            <w:pPr>
              <w:pStyle w:val="168"/>
              <w:widowControl w:val="0"/>
              <w:adjustRightInd w:val="0"/>
              <w:snapToGrid w:val="0"/>
              <w:spacing w:line="288" w:lineRule="auto"/>
              <w:jc w:val="both"/>
              <w:rPr>
                <w:rFonts w:ascii="宋体" w:hAnsi="宋体" w:eastAsia="宋体" w:cs="宋体"/>
                <w:color w:val="000000"/>
                <w:sz w:val="21"/>
                <w:highlight w:val="none"/>
              </w:rPr>
            </w:pPr>
            <w:r>
              <w:rPr>
                <w:rFonts w:hint="eastAsia" w:ascii="宋体" w:hAnsi="宋体" w:eastAsia="宋体" w:cs="宋体"/>
                <w:color w:val="000000"/>
                <w:sz w:val="21"/>
                <w:highlight w:val="none"/>
              </w:rPr>
              <w:t>每满足1条得2分，满分10分，不提供证明材料不得分</w:t>
            </w:r>
            <w:r>
              <w:rPr>
                <w:rFonts w:ascii="宋体" w:hAnsi="宋体" w:eastAsia="宋体" w:cs="宋体"/>
                <w:color w:val="000000"/>
                <w:sz w:val="21"/>
                <w:highlight w:val="none"/>
              </w:rPr>
              <w:t>（以投标文件中加盖供应商公章的</w:t>
            </w:r>
            <w:r>
              <w:rPr>
                <w:rFonts w:hint="eastAsia" w:ascii="宋体" w:hAnsi="宋体" w:eastAsia="宋体" w:cs="宋体"/>
                <w:color w:val="000000"/>
                <w:sz w:val="21"/>
                <w:highlight w:val="none"/>
              </w:rPr>
              <w:t>证明材料</w:t>
            </w:r>
            <w:r>
              <w:rPr>
                <w:rFonts w:ascii="宋体" w:hAnsi="宋体" w:eastAsia="宋体" w:cs="宋体"/>
                <w:color w:val="000000"/>
                <w:sz w:val="21"/>
                <w:highlight w:val="none"/>
              </w:rPr>
              <w:t>为评分依据）</w:t>
            </w:r>
          </w:p>
        </w:tc>
        <w:tc>
          <w:tcPr>
            <w:tcW w:w="343"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10.0</w:t>
            </w:r>
          </w:p>
        </w:tc>
        <w:tc>
          <w:tcPr>
            <w:tcW w:w="207" w:type="pct"/>
            <w:vAlign w:val="center"/>
          </w:tcPr>
          <w:p>
            <w:pPr>
              <w:pStyle w:val="168"/>
              <w:widowControl w:val="0"/>
              <w:adjustRightInd w:val="0"/>
              <w:snapToGrid w:val="0"/>
              <w:spacing w:line="288" w:lineRule="auto"/>
              <w:jc w:val="center"/>
              <w:rPr>
                <w:rFonts w:ascii="宋体" w:hAnsi="宋体" w:eastAsia="宋体" w:cs="宋体"/>
                <w:color w:val="000000"/>
                <w:spacing w:val="10"/>
                <w:sz w:val="21"/>
                <w:szCs w:val="21"/>
                <w:highlight w:val="none"/>
              </w:rPr>
            </w:pPr>
            <w:r>
              <w:rPr>
                <w:rFonts w:hint="eastAsia" w:ascii="宋体" w:hAnsi="宋体" w:eastAsia="宋体" w:cs="宋体"/>
                <w:color w:val="000000"/>
                <w:spacing w:val="10"/>
                <w:sz w:val="21"/>
                <w:szCs w:val="21"/>
                <w:highlight w:val="none"/>
              </w:rPr>
              <w:t>客观项</w:t>
            </w:r>
          </w:p>
        </w:tc>
      </w:tr>
    </w:tbl>
    <w:p>
      <w:pPr>
        <w:rPr>
          <w:rFonts w:ascii="宋体" w:hAnsi="宋体" w:cs="宋体"/>
          <w:bCs/>
          <w:szCs w:val="21"/>
          <w:lang w:val="zh-CN"/>
        </w:rPr>
      </w:pPr>
    </w:p>
    <w:p>
      <w:pPr>
        <w:rPr>
          <w:rFonts w:ascii="宋体" w:hAnsi="宋体" w:cs="宋体"/>
          <w:bCs/>
          <w:szCs w:val="21"/>
          <w:lang w:val="zh-CN"/>
        </w:rPr>
      </w:pPr>
      <w:r>
        <w:rPr>
          <w:rFonts w:hint="eastAsia" w:ascii="宋体" w:hAnsi="宋体" w:cs="宋体"/>
          <w:bCs/>
          <w:szCs w:val="21"/>
          <w:lang w:val="zh-CN"/>
        </w:rPr>
        <w:br w:type="page"/>
      </w:r>
    </w:p>
    <w:p>
      <w:pPr>
        <w:autoSpaceDE w:val="0"/>
        <w:autoSpaceDN w:val="0"/>
        <w:adjustRightInd w:val="0"/>
        <w:jc w:val="left"/>
        <w:rPr>
          <w:rFonts w:ascii="宋体" w:hAnsi="宋体" w:cs="宋体"/>
          <w:b/>
          <w:sz w:val="30"/>
          <w:szCs w:val="30"/>
        </w:rPr>
        <w:sectPr>
          <w:footerReference r:id="rId9" w:type="first"/>
          <w:footerReference r:id="rId8" w:type="default"/>
          <w:pgSz w:w="11906" w:h="16838"/>
          <w:pgMar w:top="1276" w:right="991" w:bottom="1247" w:left="964" w:header="1134" w:footer="851" w:gutter="170"/>
          <w:cols w:space="720" w:num="1"/>
          <w:titlePg/>
          <w:docGrid w:type="linesAndChars" w:linePitch="328" w:charSpace="0"/>
        </w:sectPr>
      </w:pPr>
    </w:p>
    <w:p>
      <w:pPr>
        <w:autoSpaceDE w:val="0"/>
        <w:autoSpaceDN w:val="0"/>
        <w:adjustRightInd w:val="0"/>
        <w:spacing w:line="360" w:lineRule="auto"/>
        <w:ind w:firstLine="600" w:firstLineChars="200"/>
        <w:jc w:val="left"/>
        <w:rPr>
          <w:rFonts w:ascii="宋体" w:hAnsi="宋体" w:cs="宋体"/>
          <w:b/>
          <w:sz w:val="30"/>
          <w:szCs w:val="30"/>
        </w:rPr>
      </w:pPr>
      <w:r>
        <w:rPr>
          <w:rFonts w:hint="eastAsia" w:ascii="宋体" w:hAnsi="宋体" w:cs="宋体"/>
          <w:b/>
          <w:sz w:val="30"/>
          <w:szCs w:val="30"/>
        </w:rPr>
        <w:t>一、评标方法</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本项目采用综合评分法评审。</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综合评分法，是指响应文件满足磋商文件全部实质性要求且按评审因素的量化指标评审得分最高的供应商为成交候选供应商的评审方法。</w:t>
      </w:r>
    </w:p>
    <w:p>
      <w:pPr>
        <w:autoSpaceDE w:val="0"/>
        <w:autoSpaceDN w:val="0"/>
        <w:adjustRightInd w:val="0"/>
        <w:spacing w:line="360" w:lineRule="auto"/>
        <w:ind w:firstLine="600" w:firstLineChars="200"/>
        <w:jc w:val="left"/>
        <w:rPr>
          <w:rFonts w:ascii="宋体" w:hAnsi="宋体" w:cs="宋体"/>
          <w:b/>
          <w:sz w:val="30"/>
          <w:szCs w:val="30"/>
        </w:rPr>
      </w:pPr>
      <w:r>
        <w:rPr>
          <w:rFonts w:hint="eastAsia" w:ascii="宋体" w:hAnsi="宋体" w:cs="宋体"/>
          <w:b/>
          <w:sz w:val="30"/>
          <w:szCs w:val="30"/>
        </w:rPr>
        <w:t>二、评标程序</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竞争性磋商小组按以下工作程序进行评审：符合性审查、同一品牌产品的审查、澄清有关问题、磋商、综合评分、复核评审结果、推荐成交候选人名单、确定成交供应商和编写评审报告。</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 xml:space="preserve">（一）符合性审查 </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竞争性磋商小组应当对符合资格的供应商的响应文件进行符合性审查，以确定其是否满足竞争性磋商文件的实质性要求。</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（二）同一品牌产品的审查</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1．单一产品采购项目。如果有多家供应商投报同一品牌产品的，应当作为一个供应商计算，当供应商不足三家的，应当终止采购活动。</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2．非单一产品采购项目。以核心产品为标准计算同一品牌供应商家数，即核心产品报价同一品牌产品，多家供应商应当作为一个供应商计算。</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提供相同品牌产品且通过资格审查、符合性审查的不同供应商参加同一合同项下采购活动的，按一家供应商计算，评审后得分最高的同品牌供应商获得成交人推荐资格，其他同品牌供应商不作为成交候选人。评审后得分相同的，依次按照投报产品的技术指标优劣、服务承诺优劣、提交响应文件时间先后确定一个作为成交候选人。</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（三）澄清有关问题</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1.对于响应文件中含义不明确、同类问题表述不一致或者有明显文字和计算错误的内容，磋商小组将向参与供应商发出通知并要求供应商在通知的时间内作出必要的澄清、说明或者补正。</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2.供应商应当按照要求提交澄清、说明或者补正，并在澄清（说明）上签字。供应商的澄清、说明或者补正不得超出响应文件的范围或者改变响应文件的实质性内容。</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磋商小组认为参与供应商的报价明显低于其他通过符合性审查参与供应商的报价，有可能影响产品质量或者不能诚信履约的，应当要求其在合理时间内进行说明，必要时提交相关证明材料；供应商不能证明其报价合理性的，磋商小组应当将其作为响应无效。</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 xml:space="preserve">（四）磋商 </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1.磋商小组所有成员应当集中与单一供应商分别进行磋商，并给予所有参加磋商的供应商平等的磋商机会。</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2.在磋商过程中，竞争性磋商小组可以根据磋商文件和磋商情况实质性变动采购需求中的技术、服务要求以及合同草案条款，但不得变动磋商文件中的其他内容。实质性变动的内容，须经采购人代表确认。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对磋商文件作出的实质性变动是磋商文件的有效组成部分，竞争性磋商小组应当及时以书面形式同时通知所有参加磋商的供应商。</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供应商应当按照磋商文件的变动情况和竞争性磋商小组的要求重新提交响应文件，并由其法定代表人（单位负责人）签字。供应商为自然人的，应当由本人签字。</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3.竞争性磋商文件已详细列明采购标的的技术、服务要求的，磋商结束后，竞争性磋商小组应当要求所有实质性响应的供应商在规定时间内提交最后报价，提交最后报价的供应商不得少于三家。</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竞争性磋商文件未详细列明采购标的的技术、服务要求，需经磋商由供应商提供最终设计方案或解决方案的，磋商结束后，竞争性磋商小组应当按照少数服从多数的原则投票推荐三家以上供应商的设计方案或者解决方案，并要求其在规定时间内提交最后报价。</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最后报价是供应商响应文件的有效组成部分。</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4.已提交响应文件的供应商，在提交最后报价之前，可以根据磋商情况退出磋商。</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（五）综合评分</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经磋商确定最终采购需求和提交最后报价的供应商后，由竞争性磋商小组采用综合评分法对提交最后报价的供应商的响应文件和最后报价进行综合评分。</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（六）复核评审结果</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评审结果汇总完成后，除下列情形外，任何人不得修改评标结果：</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（1）资格性检查认定错误的；</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（2）分值汇总计算错误的；</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（3）分项评分超出评分标准范围的；</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（4）竞争性磋商小组成员对客观评审因素评分不一致的；</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（5）经竞争性磋商小组认定评分畸高、畸低的。</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评审报告签署前，经复核发现存在以上情形之一的，竞争性磋商小组应当当场修改评标结果，并在评审报告中记载。评审报告签署后，采购人或者采购代理机构发现存在以上情形之一的，应当组织原竞争性磋商小组进行重新评审，重新评审改变评审结果的，书面报告本级财政部门。</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（七）推荐成交候选人名单</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评审结果按评审后得分由高到低顺序排列；得分相同的，按报价（经算数修正和落实政府采购政策需进行的价格扣除后的价格）由低到高顺序排列；得分且报价（经算数修正和落实政府采购政策需进行的价格扣除后的价格）相同的，按技术评分由高到低顺序排列；得分、报价（经算数修正和落实政府采购政策需进行的价格扣除后的价格）且技术评分相同的，按所投报产品列入政府优先采购产品类别认证证书多少顺序排列；以上均相同的，按递交响应文件时间先后顺序排列。</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2.竞争性磋商小组按照评审结果排列顺序确定成交候选人排名。</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 xml:space="preserve">（八）确定成交供应商 </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采购人应当自收到评审报告之日起５个工作日内，在评审报告确定的成交候选人名单中按顺序由高到低的原则确定成交供应商，也可以书面授权竞争性磋商小组直接确定成交供应商。采购人逾期未确定成交供应商且不提出异议的，视为确定评审报告提出的排序第一的供应商为成交供应商。</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注：</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出现下列情形之一的，采购人或者采购代理机构应当终止竞争性磋商采购活动，发布项目终止公告并说明原因，重新开展采购活动：</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（1）因情况变化，不再符合规定的竞争性磋商采购方式适用情形的；</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（2）出现影响采购公正的违法、违规行为的；</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（3）除《政府采购竞争性磋商采购方式管理暂行办法》第二十一条第三款规定的情形外，在采购过程中符合要求的供应商或者报价未超过采购预算的供应商不足3家的。</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（九）编写评审报告</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竞争性磋商小组根据全体评审成员签字的原始评审记录和评审结果编写评审报告。竞争性磋商小组应当在评审报告上签字，对自己的评审意见承担法律责任。对评审报告有异议的，应当在评审报告上签署不同意见，并说明理由，否则视为同意评审报告。竞争性磋商小组成员拒绝在报告上签字又不书面说明其不同意见和理由的，视为同意评审报告。</w:t>
      </w:r>
    </w:p>
    <w:p>
      <w:pPr>
        <w:autoSpaceDE w:val="0"/>
        <w:autoSpaceDN w:val="0"/>
        <w:adjustRightInd w:val="0"/>
        <w:spacing w:line="360" w:lineRule="auto"/>
        <w:ind w:firstLine="600" w:firstLineChars="200"/>
        <w:jc w:val="left"/>
        <w:rPr>
          <w:rFonts w:ascii="宋体" w:hAnsi="宋体" w:cs="宋体"/>
          <w:szCs w:val="21"/>
          <w:shd w:val="clear" w:color="auto" w:fill="FFFFFF"/>
        </w:rPr>
      </w:pPr>
      <w:r>
        <w:rPr>
          <w:rFonts w:hint="eastAsia" w:ascii="宋体" w:hAnsi="宋体" w:cs="宋体"/>
          <w:b/>
          <w:sz w:val="30"/>
          <w:szCs w:val="30"/>
        </w:rPr>
        <w:t>三、评审标准</w:t>
      </w:r>
    </w:p>
    <w:p>
      <w:pPr>
        <w:autoSpaceDE w:val="0"/>
        <w:autoSpaceDN w:val="0"/>
        <w:adjustRightInd w:val="0"/>
        <w:spacing w:line="360" w:lineRule="auto"/>
        <w:ind w:firstLine="420" w:firstLineChars="200"/>
        <w:jc w:val="left"/>
        <w:rPr>
          <w:rFonts w:ascii="宋体" w:hAnsi="宋体" w:cs="宋体"/>
          <w:szCs w:val="21"/>
          <w:shd w:val="clear" w:color="auto" w:fill="FFFFFF"/>
          <w:lang w:val="zh-CN"/>
        </w:rPr>
      </w:pPr>
      <w:r>
        <w:rPr>
          <w:rFonts w:hint="eastAsia" w:ascii="宋体" w:hAnsi="宋体" w:cs="宋体"/>
          <w:szCs w:val="21"/>
          <w:shd w:val="clear" w:color="auto" w:fill="FFFFFF"/>
        </w:rPr>
        <w:t>1.</w:t>
      </w:r>
      <w:r>
        <w:rPr>
          <w:rFonts w:hint="eastAsia" w:ascii="宋体" w:hAnsi="宋体" w:cs="宋体"/>
          <w:szCs w:val="21"/>
          <w:shd w:val="clear" w:color="auto" w:fill="FFFFFF"/>
          <w:lang w:val="zh-CN"/>
        </w:rPr>
        <w:t>本项目评分满分100分，由价格评分、技术服务评分和商务评分三部分构成，具体评分细则见前附表，每项评分按四舍五入原则精确到小数点后两位。</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2.价格评分按以下两个步骤进行：</w:t>
      </w:r>
    </w:p>
    <w:p>
      <w:pPr>
        <w:autoSpaceDE w:val="0"/>
        <w:autoSpaceDN w:val="0"/>
        <w:adjustRightInd w:val="0"/>
        <w:spacing w:line="360" w:lineRule="auto"/>
        <w:ind w:firstLine="420" w:firstLineChars="200"/>
        <w:jc w:val="left"/>
        <w:rPr>
          <w:rFonts w:ascii="宋体" w:hAnsi="宋体" w:cs="宋体"/>
          <w:szCs w:val="21"/>
          <w:shd w:val="clear" w:color="auto" w:fill="FFFFFF"/>
          <w:lang w:val="zh-CN"/>
        </w:rPr>
      </w:pPr>
      <w:r>
        <w:rPr>
          <w:rFonts w:hint="eastAsia" w:ascii="宋体" w:hAnsi="宋体" w:cs="宋体"/>
          <w:szCs w:val="21"/>
          <w:shd w:val="clear" w:color="auto" w:fill="FFFFFF"/>
          <w:lang w:val="zh-CN"/>
        </w:rPr>
        <w:t>2.</w:t>
      </w:r>
      <w:r>
        <w:rPr>
          <w:rFonts w:hint="eastAsia" w:ascii="宋体" w:hAnsi="宋体" w:cs="宋体"/>
          <w:szCs w:val="21"/>
          <w:shd w:val="clear" w:color="auto" w:fill="FFFFFF"/>
        </w:rPr>
        <w:t>1</w:t>
      </w:r>
      <w:r>
        <w:rPr>
          <w:rFonts w:hint="eastAsia" w:ascii="宋体" w:hAnsi="宋体" w:cs="宋体"/>
          <w:szCs w:val="21"/>
          <w:shd w:val="clear" w:color="auto" w:fill="FFFFFF"/>
          <w:lang w:val="zh-CN"/>
        </w:rPr>
        <w:t xml:space="preserve"> 落实政府采购政策需进行的价格扣除</w:t>
      </w:r>
    </w:p>
    <w:p>
      <w:pPr>
        <w:autoSpaceDE w:val="0"/>
        <w:autoSpaceDN w:val="0"/>
        <w:adjustRightInd w:val="0"/>
        <w:spacing w:line="360" w:lineRule="auto"/>
        <w:ind w:firstLine="420" w:firstLineChars="200"/>
        <w:jc w:val="left"/>
        <w:rPr>
          <w:rFonts w:ascii="宋体" w:hAnsi="宋体" w:cs="宋体"/>
          <w:color w:val="000000"/>
          <w:sz w:val="24"/>
        </w:rPr>
      </w:pPr>
      <w:r>
        <w:rPr>
          <w:rFonts w:hint="eastAsia" w:ascii="宋体" w:hAnsi="宋体" w:cs="宋体"/>
          <w:szCs w:val="21"/>
          <w:shd w:val="clear" w:color="auto" w:fill="FFFFFF"/>
          <w:lang w:val="zh-CN"/>
        </w:rPr>
        <w:t>对于非专门面</w:t>
      </w:r>
      <w:r>
        <w:rPr>
          <w:rFonts w:hint="eastAsia" w:ascii="宋体" w:hAnsi="宋体" w:cs="宋体"/>
          <w:szCs w:val="21"/>
          <w:shd w:val="clear" w:color="auto" w:fill="FFFFFF"/>
        </w:rPr>
        <w:t>向中小微企业采购的项目，依照《关于进一步加大政府采购支持中小企业力度的通知》的规定，凡符合要求的有效供应商，按照以下比例给予相应的价格扣除：</w:t>
      </w:r>
    </w:p>
    <w:tbl>
      <w:tblPr>
        <w:tblStyle w:val="32"/>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2885"/>
        <w:gridCol w:w="2907"/>
        <w:gridCol w:w="33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39" w:type="pct"/>
            <w:vAlign w:val="center"/>
          </w:tcPr>
          <w:p>
            <w:pPr>
              <w:autoSpaceDE w:val="0"/>
              <w:autoSpaceDN w:val="0"/>
              <w:adjustRightInd w:val="0"/>
              <w:jc w:val="center"/>
              <w:rPr>
                <w:rFonts w:ascii="宋体" w:hAnsi="宋体" w:cs="宋体"/>
                <w:color w:val="000000"/>
                <w:szCs w:val="21"/>
                <w:lang w:val="en-GB"/>
              </w:rPr>
            </w:pPr>
            <w:r>
              <w:rPr>
                <w:rFonts w:hint="eastAsia" w:ascii="宋体" w:hAnsi="宋体" w:cs="宋体"/>
                <w:color w:val="000000"/>
                <w:szCs w:val="21"/>
                <w:lang w:val="en-GB"/>
              </w:rPr>
              <w:t>序号</w:t>
            </w:r>
          </w:p>
        </w:tc>
        <w:tc>
          <w:tcPr>
            <w:tcW w:w="1443" w:type="pct"/>
            <w:vAlign w:val="center"/>
          </w:tcPr>
          <w:p>
            <w:pPr>
              <w:autoSpaceDE w:val="0"/>
              <w:autoSpaceDN w:val="0"/>
              <w:adjustRightInd w:val="0"/>
              <w:jc w:val="center"/>
              <w:rPr>
                <w:rFonts w:ascii="宋体" w:hAnsi="宋体" w:cs="宋体"/>
                <w:color w:val="000000"/>
                <w:szCs w:val="21"/>
                <w:lang w:val="en-GB"/>
              </w:rPr>
            </w:pPr>
            <w:r>
              <w:rPr>
                <w:rFonts w:hint="eastAsia" w:ascii="宋体" w:hAnsi="宋体" w:cs="宋体"/>
                <w:color w:val="000000"/>
                <w:szCs w:val="21"/>
                <w:lang w:val="en-GB"/>
              </w:rPr>
              <w:t>情形</w:t>
            </w:r>
          </w:p>
        </w:tc>
        <w:tc>
          <w:tcPr>
            <w:tcW w:w="1454" w:type="pct"/>
            <w:vAlign w:val="center"/>
          </w:tcPr>
          <w:p>
            <w:pPr>
              <w:autoSpaceDE w:val="0"/>
              <w:autoSpaceDN w:val="0"/>
              <w:adjustRightInd w:val="0"/>
              <w:jc w:val="center"/>
              <w:rPr>
                <w:rFonts w:ascii="宋体" w:hAnsi="宋体" w:cs="宋体"/>
                <w:color w:val="000000"/>
                <w:szCs w:val="21"/>
                <w:lang w:val="en-GB"/>
              </w:rPr>
            </w:pPr>
            <w:r>
              <w:rPr>
                <w:rFonts w:hint="eastAsia" w:ascii="宋体" w:hAnsi="宋体" w:cs="宋体"/>
                <w:color w:val="000000"/>
                <w:szCs w:val="21"/>
                <w:lang w:val="zh-CN"/>
              </w:rPr>
              <w:t>价格扣除</w:t>
            </w:r>
            <w:r>
              <w:rPr>
                <w:rFonts w:hint="eastAsia" w:ascii="宋体" w:hAnsi="宋体" w:cs="宋体"/>
                <w:color w:val="000000"/>
                <w:szCs w:val="21"/>
                <w:lang w:val="en-GB"/>
              </w:rPr>
              <w:t>比例</w:t>
            </w:r>
          </w:p>
        </w:tc>
        <w:tc>
          <w:tcPr>
            <w:tcW w:w="1663" w:type="pct"/>
            <w:vAlign w:val="center"/>
          </w:tcPr>
          <w:p>
            <w:pPr>
              <w:autoSpaceDE w:val="0"/>
              <w:autoSpaceDN w:val="0"/>
              <w:adjustRightInd w:val="0"/>
              <w:jc w:val="center"/>
              <w:rPr>
                <w:rFonts w:ascii="宋体" w:hAnsi="宋体" w:cs="宋体"/>
                <w:color w:val="000000"/>
                <w:szCs w:val="21"/>
                <w:lang w:val="en-GB"/>
              </w:rPr>
            </w:pPr>
            <w:r>
              <w:rPr>
                <w:rFonts w:hint="eastAsia" w:ascii="宋体" w:hAnsi="宋体" w:cs="宋体"/>
                <w:color w:val="000000"/>
                <w:szCs w:val="21"/>
                <w:lang w:val="en-GB"/>
              </w:rPr>
              <w:t>计算公式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39" w:type="pct"/>
            <w:vAlign w:val="center"/>
          </w:tcPr>
          <w:p>
            <w:pPr>
              <w:jc w:val="center"/>
              <w:rPr>
                <w:rFonts w:ascii="宋体" w:hAnsi="宋体" w:cs="宋体"/>
                <w:bCs/>
                <w:color w:val="000000"/>
                <w:szCs w:val="21"/>
                <w:lang w:val="en-GB"/>
              </w:rPr>
            </w:pPr>
            <w:r>
              <w:rPr>
                <w:rFonts w:hint="eastAsia" w:ascii="宋体" w:hAnsi="宋体" w:cs="宋体"/>
                <w:bCs/>
                <w:color w:val="000000"/>
                <w:szCs w:val="21"/>
                <w:lang w:val="en-GB"/>
              </w:rPr>
              <w:t>1</w:t>
            </w:r>
          </w:p>
        </w:tc>
        <w:tc>
          <w:tcPr>
            <w:tcW w:w="1443" w:type="pct"/>
            <w:vAlign w:val="center"/>
          </w:tcPr>
          <w:p>
            <w:pPr>
              <w:jc w:val="center"/>
              <w:rPr>
                <w:rFonts w:ascii="宋体" w:hAnsi="宋体" w:cs="宋体"/>
                <w:color w:val="000000"/>
                <w:szCs w:val="21"/>
                <w:lang w:val="en-GB"/>
              </w:rPr>
            </w:pPr>
            <w:r>
              <w:rPr>
                <w:rFonts w:hint="eastAsia" w:ascii="宋体" w:hAnsi="宋体" w:cs="宋体"/>
                <w:color w:val="000000"/>
                <w:szCs w:val="21"/>
                <w:lang w:val="en-GB"/>
              </w:rPr>
              <w:t>非联合体供应商</w:t>
            </w:r>
          </w:p>
          <w:p>
            <w:pPr>
              <w:jc w:val="center"/>
              <w:rPr>
                <w:rFonts w:ascii="宋体" w:hAnsi="宋体" w:cs="宋体"/>
                <w:b/>
                <w:color w:val="000000"/>
                <w:szCs w:val="21"/>
                <w:lang w:val="en-GB"/>
              </w:rPr>
            </w:pPr>
            <w:r>
              <w:rPr>
                <w:rFonts w:hint="eastAsia" w:ascii="宋体" w:hAnsi="宋体" w:cs="宋体"/>
                <w:color w:val="000000"/>
                <w:szCs w:val="21"/>
                <w:lang w:val="en-GB"/>
              </w:rPr>
              <w:t>（供应商须为小型、微型企业）</w:t>
            </w:r>
          </w:p>
        </w:tc>
        <w:tc>
          <w:tcPr>
            <w:tcW w:w="1454" w:type="pct"/>
            <w:vAlign w:val="center"/>
          </w:tcPr>
          <w:p>
            <w:pPr>
              <w:jc w:val="center"/>
              <w:rPr>
                <w:rFonts w:ascii="宋体" w:hAnsi="宋体" w:cs="宋体"/>
                <w:b/>
                <w:color w:val="000000"/>
                <w:szCs w:val="21"/>
                <w:lang w:val="en-GB"/>
              </w:rPr>
            </w:pPr>
            <w:r>
              <w:rPr>
                <w:rFonts w:hint="eastAsia" w:ascii="宋体" w:hAnsi="宋体" w:cs="宋体"/>
                <w:color w:val="000000"/>
                <w:szCs w:val="21"/>
              </w:rPr>
              <w:t>对小型和微型企业产品的价格扣除</w:t>
            </w:r>
            <w:r>
              <w:rPr>
                <w:rFonts w:hint="eastAsia" w:ascii="宋体" w:hAnsi="宋体" w:cs="宋体"/>
                <w:color w:val="000000"/>
                <w:szCs w:val="21"/>
                <w:u w:val="single"/>
              </w:rPr>
              <w:t>10</w:t>
            </w:r>
            <w:r>
              <w:rPr>
                <w:rFonts w:hint="eastAsia" w:ascii="宋体" w:hAnsi="宋体" w:cs="宋体"/>
                <w:color w:val="000000"/>
                <w:szCs w:val="21"/>
              </w:rPr>
              <w:t>%</w:t>
            </w:r>
          </w:p>
        </w:tc>
        <w:tc>
          <w:tcPr>
            <w:tcW w:w="1663" w:type="pct"/>
            <w:vMerge w:val="restart"/>
            <w:vAlign w:val="center"/>
          </w:tcPr>
          <w:p>
            <w:pPr>
              <w:jc w:val="center"/>
              <w:rPr>
                <w:rFonts w:ascii="宋体" w:hAnsi="宋体" w:cs="宋体"/>
                <w:color w:val="000000"/>
                <w:szCs w:val="21"/>
                <w:lang w:val="en-GB"/>
              </w:rPr>
            </w:pPr>
            <w:r>
              <w:rPr>
                <w:rFonts w:hint="eastAsia" w:ascii="宋体" w:hAnsi="宋体" w:cs="宋体"/>
                <w:color w:val="000000"/>
                <w:szCs w:val="21"/>
                <w:lang w:val="en-GB"/>
              </w:rPr>
              <w:t>评</w:t>
            </w:r>
            <w:r>
              <w:rPr>
                <w:rFonts w:hint="eastAsia" w:ascii="宋体" w:hAnsi="宋体" w:cs="宋体"/>
                <w:color w:val="000000"/>
                <w:szCs w:val="21"/>
              </w:rPr>
              <w:t>审</w:t>
            </w:r>
            <w:r>
              <w:rPr>
                <w:rFonts w:hint="eastAsia" w:ascii="宋体" w:hAnsi="宋体" w:cs="宋体"/>
                <w:color w:val="000000"/>
                <w:szCs w:val="21"/>
                <w:lang w:val="en-GB"/>
              </w:rPr>
              <w:t>价＝</w:t>
            </w:r>
            <w:r>
              <w:rPr>
                <w:rFonts w:hint="eastAsia" w:ascii="宋体" w:hAnsi="宋体" w:cs="宋体"/>
                <w:color w:val="000000"/>
                <w:szCs w:val="21"/>
              </w:rPr>
              <w:t>最后</w:t>
            </w:r>
            <w:r>
              <w:rPr>
                <w:rFonts w:hint="eastAsia" w:ascii="宋体" w:hAnsi="宋体" w:cs="宋体"/>
                <w:color w:val="000000"/>
                <w:szCs w:val="21"/>
                <w:lang w:val="en-GB"/>
              </w:rPr>
              <w:t>报价—</w:t>
            </w:r>
            <w:r>
              <w:rPr>
                <w:rFonts w:hint="eastAsia" w:ascii="宋体" w:hAnsi="宋体" w:cs="宋体"/>
                <w:color w:val="000000"/>
                <w:szCs w:val="21"/>
              </w:rPr>
              <w:t>小型和微型企业产品的价格</w:t>
            </w:r>
            <w:r>
              <w:rPr>
                <w:rFonts w:hint="eastAsia" w:ascii="宋体" w:hAnsi="宋体" w:cs="宋体"/>
                <w:color w:val="000000"/>
                <w:szCs w:val="21"/>
                <w:lang w:val="en-GB"/>
              </w:rPr>
              <w:t>×</w:t>
            </w:r>
            <w:r>
              <w:rPr>
                <w:rFonts w:hint="eastAsia" w:ascii="宋体" w:hAnsi="宋体" w:cs="宋体"/>
                <w:color w:val="000000"/>
                <w:szCs w:val="21"/>
                <w:u w:val="single"/>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39" w:type="pct"/>
            <w:vAlign w:val="center"/>
          </w:tcPr>
          <w:p>
            <w:pPr>
              <w:jc w:val="center"/>
              <w:rPr>
                <w:rFonts w:ascii="宋体" w:hAnsi="宋体" w:cs="宋体"/>
                <w:bCs/>
                <w:color w:val="000000"/>
                <w:szCs w:val="21"/>
                <w:lang w:val="en-GB"/>
              </w:rPr>
            </w:pPr>
            <w:r>
              <w:rPr>
                <w:rFonts w:hint="eastAsia" w:ascii="宋体" w:hAnsi="宋体" w:cs="宋体"/>
                <w:bCs/>
                <w:color w:val="000000"/>
                <w:szCs w:val="21"/>
                <w:lang w:val="en-GB"/>
              </w:rPr>
              <w:t>2</w:t>
            </w:r>
          </w:p>
        </w:tc>
        <w:tc>
          <w:tcPr>
            <w:tcW w:w="1443" w:type="pct"/>
            <w:vAlign w:val="center"/>
          </w:tcPr>
          <w:p>
            <w:pPr>
              <w:jc w:val="center"/>
              <w:rPr>
                <w:rFonts w:ascii="宋体" w:hAnsi="宋体" w:cs="宋体"/>
                <w:b/>
                <w:color w:val="000000"/>
                <w:szCs w:val="21"/>
              </w:rPr>
            </w:pPr>
            <w:r>
              <w:rPr>
                <w:rFonts w:hint="eastAsia" w:ascii="宋体" w:hAnsi="宋体" w:cs="宋体"/>
                <w:color w:val="000000"/>
                <w:szCs w:val="21"/>
                <w:lang w:val="en-GB"/>
              </w:rPr>
              <w:t>联合体各方均为小型、微型企业</w:t>
            </w:r>
          </w:p>
        </w:tc>
        <w:tc>
          <w:tcPr>
            <w:tcW w:w="1454" w:type="pct"/>
            <w:vAlign w:val="center"/>
          </w:tcPr>
          <w:p>
            <w:pPr>
              <w:jc w:val="center"/>
              <w:rPr>
                <w:rFonts w:ascii="宋体" w:hAnsi="宋体" w:cs="宋体"/>
                <w:color w:val="000000"/>
                <w:szCs w:val="21"/>
              </w:rPr>
            </w:pPr>
            <w:r>
              <w:rPr>
                <w:rFonts w:hint="eastAsia" w:ascii="宋体" w:hAnsi="宋体" w:cs="宋体"/>
                <w:color w:val="000000"/>
                <w:szCs w:val="21"/>
              </w:rPr>
              <w:t>对小型和微型企业产品的价格扣除</w:t>
            </w:r>
            <w:r>
              <w:rPr>
                <w:rFonts w:hint="eastAsia" w:ascii="宋体" w:hAnsi="宋体" w:cs="宋体"/>
                <w:color w:val="000000"/>
                <w:szCs w:val="21"/>
                <w:u w:val="single"/>
              </w:rPr>
              <w:t>10</w:t>
            </w:r>
            <w:r>
              <w:rPr>
                <w:rFonts w:hint="eastAsia" w:ascii="宋体" w:hAnsi="宋体" w:cs="宋体"/>
                <w:color w:val="000000"/>
                <w:szCs w:val="21"/>
              </w:rPr>
              <w:t>%</w:t>
            </w:r>
          </w:p>
          <w:p>
            <w:pPr>
              <w:jc w:val="center"/>
              <w:rPr>
                <w:rFonts w:ascii="宋体" w:hAnsi="宋体" w:cs="宋体"/>
                <w:b/>
                <w:color w:val="000000"/>
                <w:szCs w:val="21"/>
                <w:lang w:val="en-GB"/>
              </w:rPr>
            </w:pPr>
            <w:r>
              <w:rPr>
                <w:rFonts w:hint="eastAsia" w:ascii="宋体" w:hAnsi="宋体" w:cs="宋体"/>
                <w:color w:val="000000"/>
                <w:szCs w:val="21"/>
              </w:rPr>
              <w:t>（不再享受序号3的价格折扣）</w:t>
            </w:r>
          </w:p>
        </w:tc>
        <w:tc>
          <w:tcPr>
            <w:tcW w:w="1663" w:type="pct"/>
            <w:vMerge w:val="continue"/>
          </w:tcPr>
          <w:p>
            <w:pPr>
              <w:rPr>
                <w:rFonts w:ascii="宋体" w:hAnsi="宋体" w:cs="宋体"/>
                <w:color w:val="000000"/>
                <w:szCs w:val="21"/>
                <w:lang w:val="en-G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439" w:type="pct"/>
            <w:vAlign w:val="center"/>
          </w:tcPr>
          <w:p>
            <w:pPr>
              <w:jc w:val="center"/>
              <w:rPr>
                <w:rFonts w:ascii="宋体" w:hAnsi="宋体" w:cs="宋体"/>
                <w:bCs/>
                <w:color w:val="000000"/>
                <w:szCs w:val="21"/>
                <w:lang w:val="en-GB"/>
              </w:rPr>
            </w:pPr>
            <w:r>
              <w:rPr>
                <w:rFonts w:hint="eastAsia" w:ascii="宋体" w:hAnsi="宋体" w:cs="宋体"/>
                <w:bCs/>
                <w:color w:val="000000"/>
                <w:szCs w:val="21"/>
                <w:lang w:val="en-GB"/>
              </w:rPr>
              <w:t>3</w:t>
            </w:r>
          </w:p>
        </w:tc>
        <w:tc>
          <w:tcPr>
            <w:tcW w:w="1443" w:type="pct"/>
            <w:vAlign w:val="center"/>
          </w:tcPr>
          <w:p>
            <w:pPr>
              <w:jc w:val="center"/>
              <w:rPr>
                <w:rFonts w:ascii="宋体" w:hAnsi="宋体" w:cs="宋体"/>
                <w:b/>
                <w:color w:val="000000"/>
                <w:szCs w:val="21"/>
                <w:lang w:val="en-GB"/>
              </w:rPr>
            </w:pPr>
            <w:r>
              <w:rPr>
                <w:rFonts w:hint="eastAsia" w:ascii="宋体" w:hAnsi="宋体" w:cs="宋体"/>
                <w:color w:val="000000"/>
                <w:szCs w:val="21"/>
                <w:lang w:val="en-GB"/>
              </w:rPr>
              <w:t>联合体一方为小型、微型企业且小型、微型企业协议合同金额占联合体协议合同总金额30%以上的</w:t>
            </w:r>
          </w:p>
        </w:tc>
        <w:tc>
          <w:tcPr>
            <w:tcW w:w="1454" w:type="pct"/>
            <w:vAlign w:val="center"/>
          </w:tcPr>
          <w:p>
            <w:pPr>
              <w:jc w:val="center"/>
              <w:rPr>
                <w:rFonts w:ascii="宋体" w:hAnsi="宋体" w:cs="宋体"/>
                <w:color w:val="000000"/>
                <w:szCs w:val="21"/>
                <w:lang w:val="en-GB"/>
              </w:rPr>
            </w:pPr>
            <w:r>
              <w:rPr>
                <w:rFonts w:hint="eastAsia" w:ascii="宋体" w:hAnsi="宋体" w:cs="宋体"/>
                <w:color w:val="000000"/>
                <w:szCs w:val="21"/>
                <w:lang w:val="en-GB"/>
              </w:rPr>
              <w:t>对联合体总金额扣除</w:t>
            </w:r>
          </w:p>
          <w:p>
            <w:pPr>
              <w:jc w:val="center"/>
              <w:rPr>
                <w:rFonts w:ascii="宋体" w:hAnsi="宋体" w:cs="宋体"/>
                <w:b/>
                <w:color w:val="000000"/>
                <w:szCs w:val="21"/>
                <w:lang w:val="en-GB"/>
              </w:rPr>
            </w:pPr>
            <w:r>
              <w:rPr>
                <w:rFonts w:hint="eastAsia" w:ascii="宋体" w:hAnsi="宋体" w:cs="宋体"/>
                <w:color w:val="000000"/>
                <w:szCs w:val="21"/>
                <w:u w:val="single"/>
              </w:rPr>
              <w:t xml:space="preserve"> 4  </w:t>
            </w:r>
            <w:r>
              <w:rPr>
                <w:rFonts w:hint="eastAsia" w:ascii="宋体" w:hAnsi="宋体" w:cs="宋体"/>
                <w:color w:val="000000"/>
                <w:szCs w:val="21"/>
              </w:rPr>
              <w:t>%</w:t>
            </w:r>
          </w:p>
        </w:tc>
        <w:tc>
          <w:tcPr>
            <w:tcW w:w="1663" w:type="pct"/>
            <w:vAlign w:val="center"/>
          </w:tcPr>
          <w:p>
            <w:pPr>
              <w:jc w:val="center"/>
              <w:rPr>
                <w:rFonts w:ascii="宋体" w:hAnsi="宋体" w:cs="宋体"/>
                <w:color w:val="000000"/>
                <w:szCs w:val="21"/>
                <w:lang w:val="en-GB"/>
              </w:rPr>
            </w:pPr>
            <w:r>
              <w:rPr>
                <w:rFonts w:hint="eastAsia" w:ascii="宋体" w:hAnsi="宋体" w:cs="宋体"/>
                <w:color w:val="000000"/>
                <w:szCs w:val="21"/>
                <w:lang w:val="en-GB"/>
              </w:rPr>
              <w:t>评</w:t>
            </w:r>
            <w:r>
              <w:rPr>
                <w:rFonts w:hint="eastAsia" w:ascii="宋体" w:hAnsi="宋体" w:cs="宋体"/>
                <w:color w:val="000000"/>
                <w:szCs w:val="21"/>
              </w:rPr>
              <w:t>审</w:t>
            </w:r>
            <w:r>
              <w:rPr>
                <w:rFonts w:hint="eastAsia" w:ascii="宋体" w:hAnsi="宋体" w:cs="宋体"/>
                <w:color w:val="000000"/>
                <w:szCs w:val="21"/>
                <w:lang w:val="en-GB"/>
              </w:rPr>
              <w:t>价＝</w:t>
            </w:r>
            <w:r>
              <w:rPr>
                <w:rFonts w:hint="eastAsia" w:ascii="宋体" w:hAnsi="宋体" w:cs="宋体"/>
                <w:color w:val="000000"/>
                <w:szCs w:val="21"/>
              </w:rPr>
              <w:t>最后</w:t>
            </w:r>
            <w:r>
              <w:rPr>
                <w:rFonts w:hint="eastAsia" w:ascii="宋体" w:hAnsi="宋体" w:cs="宋体"/>
                <w:color w:val="000000"/>
                <w:szCs w:val="21"/>
                <w:lang w:val="en-GB"/>
              </w:rPr>
              <w:t>报价×（</w:t>
            </w:r>
            <w:r>
              <w:rPr>
                <w:rFonts w:hint="eastAsia" w:ascii="宋体" w:hAnsi="宋体" w:cs="宋体"/>
                <w:color w:val="000000"/>
                <w:szCs w:val="21"/>
              </w:rPr>
              <w:t>1-</w:t>
            </w:r>
            <w:r>
              <w:rPr>
                <w:rFonts w:hint="eastAsia" w:ascii="宋体" w:hAnsi="宋体" w:cs="宋体"/>
                <w:color w:val="000000"/>
                <w:szCs w:val="21"/>
                <w:u w:val="single"/>
              </w:rPr>
              <w:t>4%</w:t>
            </w:r>
            <w:r>
              <w:rPr>
                <w:rFonts w:hint="eastAsia" w:ascii="宋体" w:hAnsi="宋体" w:cs="宋体"/>
                <w:color w:val="000000"/>
                <w:szCs w:val="21"/>
                <w:lang w:val="en-GB"/>
              </w:rPr>
              <w:t>）</w:t>
            </w:r>
          </w:p>
        </w:tc>
      </w:tr>
    </w:tbl>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 xml:space="preserve">注： </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（1）中型企业不享受以上优惠；</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（2）小型、微型企业提供中型企业制造的货物的，视同为中型企业；</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（3）小型和微型企业产品包括货物及其提供的服务与工程，无法认定小型和微型企业的，不享受价格扣除；</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（4）监狱企业视同小微企业，监狱企业参加采购活动的提供由省级以上监狱管理局、戒毒管理局(含新疆生产建设兵团)出具的属于监狱企业的证明文件，不再提供《中小微企业声明函》；</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（5）残疾人福利性单位视同小型、微型企业，残疾人福利性单位属于小型、微型企业的，不重复享受政策。符合条件的残疾人福利性单位在参加政府采购活动时，应当提供《残疾人福利性单位声明函》。</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2.2 价格评分的计算</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价格分统一采用低价优先法计算，各有效供应商的评审价（指报价经算术修正和落实政府采购政策需进行的价格扣除后的价格）中，取最低价为评审基准价，其价格分为满分。其他供应商的价格分统一按照下列公式计算：</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价格评分=（评审基准价／评审价）×价格评分分值</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评审价仅用于计算价格评分，成交金额以实际报价为准。</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技术服务评分和商务评分根据评审因素性质，分为主观评分项和客观评分项。主观评分项需要借助专业知识评判，应由竞争性磋商小组成员按照评分细则独立、公正评分；客观评分项的评分应由竞争性磋商小组成员共同认定，分值应当一致，存在不同意见的，竞争性磋商小组成员分别作出说明。</w:t>
      </w:r>
    </w:p>
    <w:p>
      <w:pPr>
        <w:autoSpaceDE w:val="0"/>
        <w:autoSpaceDN w:val="0"/>
        <w:adjustRightInd w:val="0"/>
        <w:spacing w:line="360" w:lineRule="auto"/>
        <w:ind w:firstLine="420" w:firstLineChars="200"/>
        <w:jc w:val="left"/>
        <w:rPr>
          <w:rFonts w:ascii="宋体" w:hAnsi="宋体" w:cs="宋体"/>
          <w:szCs w:val="21"/>
          <w:shd w:val="clear" w:color="auto" w:fill="FFFFFF"/>
          <w:lang w:val="zh-CN"/>
        </w:rPr>
      </w:pPr>
      <w:r>
        <w:rPr>
          <w:rFonts w:hint="eastAsia" w:ascii="宋体" w:hAnsi="宋体" w:cs="宋体"/>
          <w:szCs w:val="21"/>
          <w:shd w:val="clear" w:color="auto" w:fill="FFFFFF"/>
        </w:rPr>
        <w:t>4.</w:t>
      </w:r>
      <w:r>
        <w:rPr>
          <w:rFonts w:hint="eastAsia" w:ascii="宋体" w:hAnsi="宋体" w:cs="宋体"/>
          <w:szCs w:val="21"/>
          <w:shd w:val="clear" w:color="auto" w:fill="FFFFFF"/>
          <w:lang w:val="zh-CN"/>
        </w:rPr>
        <w:t>供应商得分为竞争性磋商小组所有成员评分之和的算数平均分。</w:t>
      </w:r>
    </w:p>
    <w:p>
      <w:pPr>
        <w:autoSpaceDE w:val="0"/>
        <w:autoSpaceDN w:val="0"/>
        <w:adjustRightInd w:val="0"/>
        <w:spacing w:line="360" w:lineRule="auto"/>
        <w:ind w:firstLine="600" w:firstLineChars="200"/>
        <w:jc w:val="left"/>
        <w:rPr>
          <w:rFonts w:ascii="宋体" w:hAnsi="宋体" w:cs="宋体"/>
          <w:szCs w:val="21"/>
          <w:shd w:val="clear" w:color="auto" w:fill="FFFFFF"/>
        </w:rPr>
      </w:pPr>
      <w:r>
        <w:rPr>
          <w:rFonts w:hint="eastAsia" w:ascii="宋体" w:hAnsi="宋体" w:cs="宋体"/>
          <w:b/>
          <w:sz w:val="30"/>
          <w:szCs w:val="30"/>
        </w:rPr>
        <w:t>四、政府采购政策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一、促进中小企业发展政策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（一）政策依据</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财政部 工业和信息化部《政府采购促进中小企业发展管理办法》（财库﹝2020﹞46号）、财政部《关于进一步加大政府采购支持中小企业力度的通知》（财库﹝2022﹞19号）。</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（二）中小企业的认定</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1、在中华人民共和国境内依法设立，依据国务院批准的中小企业划分标准确定的中型企业、小型企业和微型企业，但与大企业的负责人为同一人，或者与大企业存在直接控股、管理关系的除外。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2、符合中小企业划分标准的个体工商户，在政府采购活动中视同中小企业。</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3、以联合体形式参加政府采购活动，联合体各方均为中小企业的，联合体视同中小企业。其中，联合体各方均为小微企业的，联合体视同小微企业。</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（三）中小企业需提供的证明材料</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中小企业参加政府采购活动，应当出具本采购文件规定的《中小企业声明函》，否则不得享受相关中小企业扶持政策。任何单位和个人不得要求供应商提供《中小企业声明函》之外的中小企业身份证明文件。</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（四）中小企业扶持政策享受情形</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在政府采购活动中，供应商提供的货物、工程或者服务符合下列情形的，享受相关中小企业扶持政策：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1、在货物采购项目中，货物由中小企业制造，即货物由中小企业生产且使用该中小企业商号或者注册商标；</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2、在工程采购项目中，工程由中小企业承建，即工程施工单位为中小企业；</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3、在服务采购项目中，服务由中小企业承接，即提供服务的人员为中小企业依照《中华人民共和国劳动合同法》订立劳动合同的从业人员。</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在货物采购项目中，供应商提供的货物既有中小企业制造货物，也有大型企业制造货物的，不享受中小企业扶持政策。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（五）中小企业扶持政策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对于非专门面向中小企业采购的采购包，应当对符合本章规定的小微企业报价给予10%-20%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4%-6%（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3、价格扣除比例或者价格分加分比例对小型企业和微型企业同等对待，不作区分。</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（六）合同分包要求</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1、享受扶持政策获得政府采购合同的，小微企业不得将合同分包给大中型企业，中型企业不得将合同分包给大型企业。</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对于专门面向中小企业采购的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（七）法律责任</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供应商按照本采购文件规定提供声明函内容不实的，属于提供虚假材料谋取中标、成交，依照《中华人民共和国政府采购法》等国家有关规定追究相应责任。</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二、支持监狱企业发展政策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（一）政策依据</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财政部 司法部《关于政府采购支持监狱企业发展有关问题的通知》（财库〔2014〕68号）。</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（二）监狱企业的认定</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（三）监狱企业需提供的证明材料</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监狱企业参加政府采购活动时，应当提供由省级以上监狱管理局、戒毒管理局（含新疆生产建设兵团）出具的属于监狱企业的证明文件。</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（四）监狱企业支持政策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在政府采购活动中，监狱企业视同小型、微型企业，享受政府采购促进中小企业发展的政府采购政策。向监狱企业采购的金额，计入面向中小企业采购的统计数据。监狱企业属于小型、微型企业的，不重复享受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三、支持残疾人福利性单位发展政策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（一）政策依据</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财政部 民政部 中国残疾人联合会《关于促进残疾人就业政府采购政策的通知》（财库[2017]141号）。</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（二）残疾人福利性单位的认定</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享受政府采购支持政策的残疾人福利性单位应当同时满足以下条件：</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1、安置的残疾人占本单位在职职工人数的比例不低于25%(含25%)，并且安置的残疾人人数不少于10人(含10人)；</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2、依法与安置的每位残疾人签订了一年以上(含一年)的劳动合同或服务协议；</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3、为安置的每位残疾人按月足额缴纳了基本养老保险、基本医疗保险、失业保险、工伤保险和生育保险等社会保险费；</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4、通过银行等金融机构向安置的每位残疾人，按月支付了不低于单位所在区县适用的经省级人民政府批准的月最低工资标准的工资；</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5、提供本单位制造的货物、承担的工程或者服务(以下简称产品)，或者提供其他残疾人福利性单位制造的货物(不包括使用非残疾人福利性单位注册商标的货物)。</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（三）残疾人福利性单位需提供的证明材料</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符合条件的残疾人福利性单位在参加政府采购活动时，应当出具本采购文件规定的《残疾人福利性单位声明函》，并对声明的真实性负责。</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（四）残疾人福利性单位支持政策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在政府采购活动中，残疾人福利性单位视同小型、微型企业，享受促进中小企业发展的政府采购政策。向残疾人福利性单位采购的金额，计入面向中小企业采购的统计数据。残疾人福利性单位属于小型、微型企业的，不重复享受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（五）法律责任</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供应商按照本采购文件规定提供声明函内容不实的，属于提供虚假材料谋取中标、成交，依照《中华人民共和国政府采购法》等国家有关规定追究相应责任。</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四、强制、优先采购节能产品、环境标志产品政策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（一）政策依据</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1、财政部 发展改革委 生态环境部 市场监管总局《关于调整优化节能产品、环境标志产品政府采购执行机制的通知》（财库〔2019〕9号）。</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2、财政部 生态环境部《关于印发环境标志产品政府采购品目清单的通知》（财库〔2019〕18号）。</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3、财政部 发展改革委《关于印发节能产品政府采购品目清单的通知》（财库〔2019〕19号）。</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（二）节能产品、环境标志产品的品目</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政府采购节能产品、环境标志产品实施品目清单管理，详见《节能产品政府采购品目清单》、《环境标志产品政府采购品目清单》。</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（三）节能产品、环境标志产品需提供的证明材料</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采购人拟采购的产品属于品目清单范围的，供应商应当提供本采购文件规定的《节能产品、环境标志产品强制采购认证证书一览表》和《节能产品、环境标志产品优先采购认证证书一览表》，填写获得国家确定的认证机构出具的、处于有效期之内的节能产品、环境标志产品认证证书相关信息，并在相应表格后提供对应的认证证书扫描件。</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（四）节能产品、环境标志产品采购政策</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采购人拟采购的产品属于品目清单范围，且属于强制采购品目的，实行强制采购。本采购文件要求具有强制采购认证证书的产品，供应商必须在《节能产品、环境标志产品强制采购认证证书一览表》中，填写所投产品获得的、有效的认证证书相关信息，并提供对应的认证证书扫描件，否则投标、响应无效。</w:t>
      </w:r>
    </w:p>
    <w:p>
      <w:pPr>
        <w:autoSpaceDE w:val="0"/>
        <w:autoSpaceDN w:val="0"/>
        <w:adjustRightIn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采购人拟采购的产品属于品目清单范围，但不属于强制采购品目的，实行优先采购。供应商应当在《节能产品、环境标志产品优先采购认证证书一览表》中，填写所投产品获得的、有效的认证证书相关信息并提供对应的认证证书扫描件，优先采购的具体办法详见本采购文件。</w:t>
      </w:r>
    </w:p>
    <w:p>
      <w:pPr>
        <w:autoSpaceDE w:val="0"/>
        <w:autoSpaceDN w:val="0"/>
        <w:adjustRightInd w:val="0"/>
        <w:jc w:val="left"/>
        <w:rPr>
          <w:rFonts w:ascii="宋体" w:hAnsi="宋体" w:cs="宋体"/>
          <w:b/>
          <w:sz w:val="30"/>
          <w:szCs w:val="30"/>
        </w:rPr>
      </w:pPr>
    </w:p>
    <w:p>
      <w:pPr>
        <w:pStyle w:val="3"/>
        <w:rPr>
          <w:rFonts w:ascii="宋体" w:hAnsi="宋体" w:cs="宋体"/>
        </w:rPr>
        <w:sectPr>
          <w:pgSz w:w="11906" w:h="16838"/>
          <w:pgMar w:top="1276" w:right="991" w:bottom="1247" w:left="964" w:header="1134" w:footer="851" w:gutter="170"/>
          <w:cols w:space="720" w:num="1"/>
          <w:titlePg/>
          <w:docGrid w:type="linesAndChars" w:linePitch="328" w:charSpace="0"/>
        </w:sectPr>
      </w:pPr>
    </w:p>
    <w:p>
      <w:pPr>
        <w:pStyle w:val="3"/>
        <w:jc w:val="center"/>
        <w:rPr>
          <w:rFonts w:ascii="宋体" w:hAnsi="宋体" w:cs="宋体"/>
        </w:rPr>
      </w:pPr>
      <w:bookmarkStart w:id="138" w:name="_Toc359494610"/>
      <w:bookmarkStart w:id="139" w:name="_Toc29547242"/>
      <w:bookmarkStart w:id="140" w:name="_Toc8788"/>
      <w:bookmarkStart w:id="141" w:name="_Toc8586"/>
      <w:bookmarkStart w:id="142" w:name="_Toc2054"/>
      <w:r>
        <w:rPr>
          <w:rFonts w:hint="eastAsia" w:ascii="宋体" w:hAnsi="宋体" w:cs="宋体"/>
          <w:szCs w:val="22"/>
        </w:rPr>
        <w:t>第四章  合同条款及格式（范本）</w:t>
      </w:r>
      <w:bookmarkEnd w:id="138"/>
      <w:bookmarkEnd w:id="139"/>
      <w:bookmarkEnd w:id="140"/>
      <w:bookmarkEnd w:id="141"/>
      <w:bookmarkEnd w:id="142"/>
    </w:p>
    <w:p>
      <w:pPr>
        <w:pStyle w:val="25"/>
        <w:tabs>
          <w:tab w:val="left" w:pos="573"/>
          <w:tab w:val="clear" w:pos="1365"/>
        </w:tabs>
        <w:adjustRightInd w:val="0"/>
        <w:snapToGrid w:val="0"/>
        <w:ind w:firstLine="480"/>
        <w:jc w:val="center"/>
        <w:rPr>
          <w:rFonts w:cs="宋体"/>
          <w:bCs/>
          <w:kern w:val="44"/>
          <w:sz w:val="24"/>
          <w:szCs w:val="15"/>
        </w:rPr>
      </w:pPr>
      <w:bookmarkStart w:id="143" w:name="_Toc359494611"/>
      <w:r>
        <w:rPr>
          <w:rFonts w:hint="eastAsia" w:cs="宋体"/>
          <w:bCs/>
          <w:kern w:val="44"/>
          <w:sz w:val="24"/>
          <w:szCs w:val="15"/>
        </w:rPr>
        <w:t>（以最终签订合同为准）</w:t>
      </w:r>
    </w:p>
    <w:p>
      <w:pPr>
        <w:pStyle w:val="164"/>
        <w:keepNext w:val="0"/>
        <w:keepLines w:val="0"/>
        <w:spacing w:before="0" w:after="0" w:line="240" w:lineRule="auto"/>
        <w:jc w:val="center"/>
        <w:rPr>
          <w:rFonts w:ascii="宋体" w:hAnsi="宋体" w:cs="宋体"/>
          <w:bCs w:val="0"/>
          <w:sz w:val="24"/>
          <w:szCs w:val="30"/>
        </w:rPr>
      </w:pPr>
      <w:r>
        <w:rPr>
          <w:rFonts w:hint="eastAsia" w:ascii="宋体" w:hAnsi="宋体" w:cs="宋体"/>
          <w:bCs w:val="0"/>
          <w:color w:val="000000"/>
          <w:sz w:val="24"/>
          <w:szCs w:val="30"/>
          <w:highlight w:val="white"/>
        </w:rPr>
        <w:t>合同主要条款</w:t>
      </w:r>
    </w:p>
    <w:tbl>
      <w:tblPr>
        <w:tblStyle w:val="32"/>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2"/>
        <w:gridCol w:w="2415"/>
        <w:gridCol w:w="67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8" w:hRule="atLeast"/>
        </w:trPr>
        <w:tc>
          <w:tcPr>
            <w:tcW w:w="416" w:type="pct"/>
            <w:vAlign w:val="center"/>
          </w:tcPr>
          <w:p>
            <w:pPr>
              <w:pStyle w:val="12"/>
              <w:widowControl/>
              <w:spacing w:line="480" w:lineRule="auto"/>
              <w:jc w:val="center"/>
              <w:rPr>
                <w:rFonts w:ascii="宋体" w:hAnsi="宋体" w:cs="宋体"/>
                <w:bCs/>
                <w:sz w:val="24"/>
              </w:rPr>
            </w:pPr>
            <w:r>
              <w:rPr>
                <w:rFonts w:hint="eastAsia" w:ascii="宋体" w:hAnsi="宋体" w:cs="宋体"/>
                <w:bCs/>
                <w:color w:val="000000"/>
                <w:sz w:val="24"/>
                <w:highlight w:val="white"/>
              </w:rPr>
              <w:t>1</w:t>
            </w:r>
          </w:p>
        </w:tc>
        <w:tc>
          <w:tcPr>
            <w:tcW w:w="1208" w:type="pct"/>
            <w:vAlign w:val="center"/>
          </w:tcPr>
          <w:p>
            <w:pPr>
              <w:pStyle w:val="12"/>
              <w:widowControl/>
              <w:spacing w:line="360" w:lineRule="auto"/>
              <w:jc w:val="left"/>
              <w:rPr>
                <w:rFonts w:ascii="宋体" w:hAnsi="宋体" w:cs="宋体"/>
                <w:bCs/>
                <w:sz w:val="24"/>
                <w:lang w:val="zh-CN"/>
              </w:rPr>
            </w:pPr>
            <w:r>
              <w:rPr>
                <w:rFonts w:hint="eastAsia" w:ascii="宋体" w:hAnsi="宋体" w:cs="宋体"/>
                <w:bCs/>
                <w:color w:val="000000"/>
                <w:sz w:val="24"/>
                <w:highlight w:val="white"/>
                <w:lang w:val="zh-CN"/>
              </w:rPr>
              <w:t>合同类型及定价方式</w:t>
            </w:r>
          </w:p>
        </w:tc>
        <w:tc>
          <w:tcPr>
            <w:tcW w:w="3375" w:type="pct"/>
            <w:vAlign w:val="center"/>
          </w:tcPr>
          <w:p>
            <w:pPr>
              <w:pStyle w:val="12"/>
              <w:widowControl/>
              <w:spacing w:line="360" w:lineRule="auto"/>
              <w:jc w:val="left"/>
              <w:rPr>
                <w:rFonts w:ascii="宋体" w:hAnsi="宋体" w:cs="宋体"/>
                <w:bCs/>
                <w:sz w:val="24"/>
              </w:rPr>
            </w:pPr>
            <w:r>
              <w:rPr>
                <w:rFonts w:hint="eastAsia" w:ascii="宋体" w:hAnsi="宋体" w:cs="宋体"/>
                <w:bCs/>
                <w:color w:val="000000"/>
                <w:sz w:val="24"/>
                <w:highlight w:val="white"/>
              </w:rPr>
              <w:t>本项目为固定总价合同。</w:t>
            </w:r>
          </w:p>
          <w:p>
            <w:pPr>
              <w:pStyle w:val="12"/>
              <w:widowControl/>
              <w:spacing w:line="360" w:lineRule="auto"/>
              <w:jc w:val="left"/>
              <w:rPr>
                <w:rFonts w:ascii="宋体" w:hAnsi="宋体" w:cs="宋体"/>
                <w:bCs/>
                <w:sz w:val="24"/>
              </w:rPr>
            </w:pPr>
            <w:r>
              <w:rPr>
                <w:rFonts w:hint="eastAsia" w:ascii="宋体" w:hAnsi="宋体" w:cs="宋体"/>
                <w:bCs/>
                <w:color w:val="000000"/>
                <w:sz w:val="24"/>
                <w:highlight w:val="white"/>
              </w:rPr>
              <w:t>说明：供应商的报价应当包含为完成本项目全部工作所需的一切费用，包括成本、利润、税金等。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416" w:type="pct"/>
            <w:vAlign w:val="center"/>
          </w:tcPr>
          <w:p>
            <w:pPr>
              <w:pStyle w:val="12"/>
              <w:widowControl/>
              <w:spacing w:line="480" w:lineRule="auto"/>
              <w:jc w:val="center"/>
              <w:rPr>
                <w:rFonts w:ascii="宋体" w:hAnsi="宋体" w:cs="宋体"/>
                <w:bCs/>
                <w:kern w:val="0"/>
                <w:sz w:val="24"/>
              </w:rPr>
            </w:pPr>
            <w:r>
              <w:rPr>
                <w:rFonts w:hint="eastAsia" w:ascii="宋体" w:hAnsi="宋体" w:cs="宋体"/>
                <w:bCs/>
                <w:color w:val="000000"/>
                <w:sz w:val="24"/>
                <w:highlight w:val="white"/>
              </w:rPr>
              <w:t>2</w:t>
            </w:r>
          </w:p>
        </w:tc>
        <w:tc>
          <w:tcPr>
            <w:tcW w:w="1208" w:type="pct"/>
            <w:vAlign w:val="center"/>
          </w:tcPr>
          <w:p>
            <w:pPr>
              <w:pStyle w:val="12"/>
              <w:widowControl/>
              <w:spacing w:line="480" w:lineRule="auto"/>
              <w:jc w:val="left"/>
              <w:rPr>
                <w:rFonts w:ascii="宋体" w:hAnsi="宋体" w:cs="宋体"/>
                <w:bCs/>
                <w:sz w:val="24"/>
                <w:lang w:val="zh-CN"/>
              </w:rPr>
            </w:pPr>
            <w:r>
              <w:rPr>
                <w:rFonts w:hint="eastAsia" w:ascii="宋体" w:hAnsi="宋体" w:cs="宋体"/>
                <w:bCs/>
                <w:color w:val="000000"/>
                <w:sz w:val="24"/>
                <w:highlight w:val="white"/>
              </w:rPr>
              <w:t>履约保证金数额</w:t>
            </w:r>
          </w:p>
        </w:tc>
        <w:tc>
          <w:tcPr>
            <w:tcW w:w="3375" w:type="pct"/>
            <w:vAlign w:val="center"/>
          </w:tcPr>
          <w:p>
            <w:pPr>
              <w:pStyle w:val="12"/>
              <w:widowControl/>
              <w:spacing w:line="360" w:lineRule="auto"/>
              <w:jc w:val="left"/>
              <w:rPr>
                <w:rFonts w:ascii="宋体" w:hAnsi="宋体" w:cs="宋体"/>
                <w:bCs/>
                <w:sz w:val="24"/>
              </w:rPr>
            </w:pPr>
            <w:r>
              <w:rPr>
                <w:rFonts w:hint="eastAsia" w:ascii="宋体" w:hAnsi="宋体" w:cs="宋体"/>
                <w:bCs/>
                <w:color w:val="000000"/>
                <w:sz w:val="24"/>
                <w:highlight w:val="white"/>
              </w:rPr>
              <w:t>非中小企业中标的：中标金额的 5 %（0-5%）。</w:t>
            </w:r>
          </w:p>
          <w:p>
            <w:pPr>
              <w:pStyle w:val="12"/>
              <w:widowControl/>
              <w:spacing w:line="360" w:lineRule="auto"/>
              <w:jc w:val="left"/>
              <w:rPr>
                <w:rFonts w:ascii="宋体" w:hAnsi="宋体" w:cs="宋体"/>
                <w:bCs/>
                <w:sz w:val="24"/>
              </w:rPr>
            </w:pPr>
            <w:r>
              <w:rPr>
                <w:rFonts w:hint="eastAsia" w:ascii="宋体" w:hAnsi="宋体" w:cs="宋体"/>
                <w:bCs/>
                <w:color w:val="000000"/>
                <w:sz w:val="24"/>
                <w:highlight w:val="white"/>
              </w:rPr>
              <w:t>中小企业中标的：中标金额的 2 %（0-2%）。</w:t>
            </w:r>
          </w:p>
          <w:p>
            <w:pPr>
              <w:pStyle w:val="12"/>
              <w:widowControl/>
              <w:spacing w:line="360" w:lineRule="auto"/>
              <w:jc w:val="left"/>
              <w:rPr>
                <w:rFonts w:ascii="宋体" w:hAnsi="宋体" w:cs="宋体"/>
                <w:bCs/>
                <w:sz w:val="24"/>
              </w:rPr>
            </w:pPr>
            <w:r>
              <w:rPr>
                <w:rFonts w:hint="eastAsia" w:ascii="宋体" w:hAnsi="宋体" w:cs="宋体"/>
                <w:bCs/>
                <w:color w:val="000000"/>
                <w:sz w:val="24"/>
                <w:highlight w:val="white"/>
              </w:rPr>
              <w:t>中标人交纳履约保证金须在转账凭证备注栏里填写（采购项目+采购项目编号）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416" w:type="pct"/>
            <w:vAlign w:val="center"/>
          </w:tcPr>
          <w:p>
            <w:pPr>
              <w:pStyle w:val="12"/>
              <w:widowControl/>
              <w:spacing w:line="480" w:lineRule="auto"/>
              <w:jc w:val="center"/>
              <w:rPr>
                <w:rFonts w:ascii="宋体" w:hAnsi="宋体" w:cs="宋体"/>
                <w:bCs/>
                <w:kern w:val="0"/>
                <w:sz w:val="24"/>
              </w:rPr>
            </w:pPr>
            <w:r>
              <w:rPr>
                <w:rFonts w:hint="eastAsia" w:ascii="宋体" w:hAnsi="宋体" w:cs="宋体"/>
                <w:bCs/>
                <w:color w:val="000000"/>
                <w:kern w:val="0"/>
                <w:sz w:val="24"/>
                <w:highlight w:val="white"/>
              </w:rPr>
              <w:t>3</w:t>
            </w:r>
          </w:p>
        </w:tc>
        <w:tc>
          <w:tcPr>
            <w:tcW w:w="1208" w:type="pct"/>
            <w:vAlign w:val="center"/>
          </w:tcPr>
          <w:p>
            <w:pPr>
              <w:pStyle w:val="12"/>
              <w:widowControl/>
              <w:spacing w:line="360" w:lineRule="auto"/>
              <w:jc w:val="left"/>
              <w:rPr>
                <w:rFonts w:ascii="宋体" w:hAnsi="宋体" w:cs="宋体"/>
                <w:bCs/>
                <w:sz w:val="24"/>
                <w:lang w:val="zh-CN"/>
              </w:rPr>
            </w:pPr>
            <w:r>
              <w:rPr>
                <w:rFonts w:hint="eastAsia" w:ascii="宋体" w:hAnsi="宋体" w:cs="宋体"/>
                <w:bCs/>
                <w:color w:val="000000"/>
                <w:kern w:val="0"/>
                <w:sz w:val="24"/>
                <w:highlight w:val="white"/>
              </w:rPr>
              <w:t>知识产权的归属和处理方式</w:t>
            </w:r>
          </w:p>
        </w:tc>
        <w:tc>
          <w:tcPr>
            <w:tcW w:w="3375" w:type="pct"/>
            <w:vAlign w:val="center"/>
          </w:tcPr>
          <w:p>
            <w:pPr>
              <w:pStyle w:val="12"/>
              <w:widowControl/>
              <w:spacing w:line="360" w:lineRule="auto"/>
              <w:jc w:val="left"/>
              <w:rPr>
                <w:rFonts w:ascii="宋体" w:hAnsi="宋体" w:cs="宋体"/>
                <w:bCs/>
                <w:sz w:val="24"/>
              </w:rPr>
            </w:pPr>
            <w:r>
              <w:rPr>
                <w:rFonts w:hint="eastAsia" w:ascii="宋体" w:hAnsi="宋体" w:cs="宋体"/>
                <w:bCs/>
                <w:color w:val="000000"/>
                <w:sz w:val="24"/>
                <w:highlight w:val="white"/>
              </w:rPr>
              <w:t>本项目中涉及到的软件</w:t>
            </w:r>
            <w:r>
              <w:rPr>
                <w:rFonts w:ascii="宋体" w:hAnsi="宋体" w:cs="宋体"/>
                <w:bCs/>
                <w:color w:val="000000"/>
                <w:sz w:val="24"/>
                <w:highlight w:val="white"/>
              </w:rPr>
              <w:t>知识产权</w:t>
            </w:r>
            <w:r>
              <w:rPr>
                <w:rFonts w:hint="eastAsia" w:ascii="宋体" w:hAnsi="宋体" w:cs="宋体"/>
                <w:bCs/>
                <w:color w:val="000000"/>
                <w:sz w:val="24"/>
                <w:highlight w:val="white"/>
              </w:rPr>
              <w:t>属于软件生产商</w:t>
            </w:r>
            <w:r>
              <w:rPr>
                <w:rFonts w:ascii="宋体" w:hAnsi="宋体" w:cs="宋体"/>
                <w:bCs/>
                <w:color w:val="000000"/>
                <w:sz w:val="24"/>
                <w:highlight w:val="white"/>
              </w:rPr>
              <w:t>，采购人拥有软件终身免费使用权</w:t>
            </w:r>
            <w:r>
              <w:rPr>
                <w:rFonts w:hint="eastAsia" w:ascii="宋体" w:hAnsi="宋体" w:cs="宋体"/>
                <w:bCs/>
                <w:color w:val="000000"/>
                <w:sz w:val="24"/>
                <w:highlight w:val="whit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416" w:type="pct"/>
            <w:vAlign w:val="center"/>
          </w:tcPr>
          <w:p>
            <w:pPr>
              <w:pStyle w:val="12"/>
              <w:widowControl/>
              <w:spacing w:line="480" w:lineRule="auto"/>
              <w:jc w:val="center"/>
              <w:rPr>
                <w:rFonts w:ascii="宋体" w:hAnsi="宋体" w:cs="宋体"/>
                <w:bCs/>
                <w:kern w:val="0"/>
                <w:sz w:val="24"/>
              </w:rPr>
            </w:pPr>
            <w:r>
              <w:rPr>
                <w:rFonts w:hint="eastAsia" w:ascii="宋体" w:hAnsi="宋体" w:cs="宋体"/>
                <w:bCs/>
                <w:color w:val="000000"/>
                <w:kern w:val="0"/>
                <w:sz w:val="24"/>
                <w:highlight w:val="white"/>
              </w:rPr>
              <w:t>4</w:t>
            </w:r>
          </w:p>
        </w:tc>
        <w:tc>
          <w:tcPr>
            <w:tcW w:w="1208" w:type="pct"/>
            <w:vAlign w:val="center"/>
          </w:tcPr>
          <w:p>
            <w:pPr>
              <w:pStyle w:val="12"/>
              <w:widowControl/>
              <w:spacing w:line="360" w:lineRule="auto"/>
              <w:jc w:val="left"/>
              <w:rPr>
                <w:rFonts w:ascii="宋体" w:hAnsi="宋体" w:cs="宋体"/>
                <w:bCs/>
                <w:sz w:val="24"/>
                <w:lang w:val="zh-CN"/>
              </w:rPr>
            </w:pPr>
            <w:r>
              <w:rPr>
                <w:rFonts w:hint="eastAsia" w:ascii="宋体" w:hAnsi="宋体" w:cs="宋体"/>
                <w:bCs/>
                <w:color w:val="000000"/>
                <w:sz w:val="24"/>
                <w:highlight w:val="white"/>
                <w:lang w:val="zh-CN"/>
              </w:rPr>
              <w:t>履约验收要求</w:t>
            </w:r>
          </w:p>
        </w:tc>
        <w:tc>
          <w:tcPr>
            <w:tcW w:w="3375" w:type="pct"/>
            <w:vAlign w:val="center"/>
          </w:tcPr>
          <w:p>
            <w:pPr>
              <w:pStyle w:val="12"/>
              <w:widowControl/>
              <w:spacing w:line="360" w:lineRule="auto"/>
              <w:jc w:val="left"/>
              <w:rPr>
                <w:rFonts w:ascii="宋体" w:hAnsi="宋体" w:cs="宋体"/>
                <w:bCs/>
                <w:sz w:val="24"/>
              </w:rPr>
            </w:pPr>
            <w:r>
              <w:rPr>
                <w:rFonts w:hint="eastAsia" w:ascii="宋体" w:hAnsi="宋体" w:cs="宋体"/>
                <w:bCs/>
                <w:color w:val="000000"/>
                <w:sz w:val="24"/>
                <w:highlight w:val="white"/>
              </w:rPr>
              <w:t>验收主体为长春职业技术学校，时间为采购签订</w:t>
            </w:r>
            <w:r>
              <w:rPr>
                <w:rFonts w:hint="eastAsia" w:ascii="宋体" w:hAnsi="宋体" w:cs="宋体"/>
                <w:bCs/>
                <w:color w:val="000000"/>
                <w:sz w:val="24"/>
                <w:highlight w:val="none"/>
              </w:rPr>
              <w:t>合同30天</w:t>
            </w:r>
            <w:r>
              <w:rPr>
                <w:rFonts w:hint="eastAsia" w:ascii="宋体" w:hAnsi="宋体" w:cs="宋体"/>
                <w:bCs/>
                <w:color w:val="000000"/>
                <w:sz w:val="24"/>
                <w:highlight w:val="white"/>
              </w:rPr>
              <w:t>，</w:t>
            </w:r>
            <w:r>
              <w:rPr>
                <w:rFonts w:hint="eastAsia" w:ascii="宋体" w:hAnsi="宋体" w:cs="宋体"/>
                <w:bCs/>
                <w:color w:val="000000"/>
                <w:sz w:val="24"/>
                <w:highlight w:val="white"/>
                <w:lang w:val="zh-CN"/>
              </w:rPr>
              <w:t>交货验收时以投标文件中所列项目名称、规格、型号、参数要求及数量验收，并由中标供应商负责按用户要求免费安装调试到位，同时交付采购标的相关的中文技术资料（如索引、操作手册、图纸、使用指南/服务手册和示意图等）使用说明书、证明等技术资料，安装工具、零辅件不另行收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416" w:type="pct"/>
            <w:vAlign w:val="center"/>
          </w:tcPr>
          <w:p>
            <w:pPr>
              <w:pStyle w:val="12"/>
              <w:widowControl/>
              <w:spacing w:line="480" w:lineRule="auto"/>
              <w:jc w:val="center"/>
              <w:rPr>
                <w:rFonts w:ascii="宋体" w:hAnsi="宋体" w:cs="宋体"/>
                <w:bCs/>
                <w:kern w:val="0"/>
                <w:sz w:val="24"/>
              </w:rPr>
            </w:pPr>
            <w:r>
              <w:rPr>
                <w:rFonts w:hint="eastAsia" w:ascii="宋体" w:hAnsi="宋体" w:cs="宋体"/>
                <w:bCs/>
                <w:color w:val="000000"/>
                <w:kern w:val="0"/>
                <w:sz w:val="24"/>
                <w:highlight w:val="white"/>
              </w:rPr>
              <w:t>5</w:t>
            </w:r>
          </w:p>
        </w:tc>
        <w:tc>
          <w:tcPr>
            <w:tcW w:w="1208" w:type="pct"/>
            <w:vAlign w:val="center"/>
          </w:tcPr>
          <w:p>
            <w:pPr>
              <w:pStyle w:val="12"/>
              <w:widowControl/>
              <w:spacing w:line="360" w:lineRule="auto"/>
              <w:jc w:val="left"/>
              <w:rPr>
                <w:rFonts w:ascii="宋体" w:hAnsi="宋体" w:cs="宋体"/>
                <w:bCs/>
                <w:sz w:val="24"/>
                <w:lang w:val="zh-CN"/>
              </w:rPr>
            </w:pPr>
            <w:r>
              <w:rPr>
                <w:rFonts w:hint="eastAsia" w:ascii="宋体" w:hAnsi="宋体" w:cs="宋体"/>
                <w:bCs/>
                <w:color w:val="000000"/>
                <w:sz w:val="24"/>
                <w:highlight w:val="white"/>
                <w:lang w:val="zh-CN"/>
              </w:rPr>
              <w:t>违约责任与解决争议的方法</w:t>
            </w:r>
          </w:p>
        </w:tc>
        <w:tc>
          <w:tcPr>
            <w:tcW w:w="3375" w:type="pct"/>
            <w:vAlign w:val="center"/>
          </w:tcPr>
          <w:p>
            <w:pPr>
              <w:pStyle w:val="12"/>
              <w:widowControl/>
              <w:spacing w:line="360" w:lineRule="auto"/>
              <w:jc w:val="left"/>
              <w:rPr>
                <w:rFonts w:ascii="宋体" w:hAnsi="宋体" w:cs="宋体"/>
                <w:bCs/>
                <w:sz w:val="24"/>
              </w:rPr>
            </w:pPr>
            <w:r>
              <w:rPr>
                <w:rFonts w:hint="eastAsia" w:ascii="宋体" w:hAnsi="宋体" w:cs="宋体"/>
                <w:bCs/>
                <w:color w:val="000000"/>
                <w:sz w:val="24"/>
                <w:highlight w:val="white"/>
              </w:rPr>
              <w:t>如出现违约双方协商解决，协商解决不成依法向合同签订地法院申请仲裁</w:t>
            </w:r>
          </w:p>
        </w:tc>
      </w:tr>
    </w:tbl>
    <w:p>
      <w:pPr>
        <w:pStyle w:val="25"/>
        <w:tabs>
          <w:tab w:val="left" w:pos="573"/>
          <w:tab w:val="clear" w:pos="1365"/>
        </w:tabs>
        <w:adjustRightInd w:val="0"/>
        <w:snapToGrid w:val="0"/>
        <w:ind w:firstLine="480"/>
        <w:rPr>
          <w:rFonts w:cs="宋体"/>
          <w:sz w:val="24"/>
          <w:szCs w:val="24"/>
        </w:rPr>
      </w:pPr>
    </w:p>
    <w:p>
      <w:pPr>
        <w:pStyle w:val="25"/>
        <w:tabs>
          <w:tab w:val="left" w:pos="573"/>
          <w:tab w:val="clear" w:pos="1365"/>
        </w:tabs>
        <w:adjustRightInd w:val="0"/>
        <w:snapToGrid w:val="0"/>
        <w:ind w:firstLine="480"/>
        <w:rPr>
          <w:rFonts w:cs="宋体"/>
          <w:sz w:val="24"/>
          <w:szCs w:val="24"/>
        </w:rPr>
      </w:pPr>
    </w:p>
    <w:p>
      <w:pPr>
        <w:pStyle w:val="25"/>
        <w:tabs>
          <w:tab w:val="left" w:pos="573"/>
          <w:tab w:val="clear" w:pos="1365"/>
        </w:tabs>
        <w:adjustRightInd w:val="0"/>
        <w:snapToGrid w:val="0"/>
        <w:ind w:firstLine="480"/>
        <w:rPr>
          <w:rFonts w:cs="宋体"/>
          <w:sz w:val="24"/>
          <w:szCs w:val="24"/>
        </w:rPr>
        <w:sectPr>
          <w:pgSz w:w="11906" w:h="16838"/>
          <w:pgMar w:top="1276" w:right="991" w:bottom="1247" w:left="964" w:header="1134" w:footer="851" w:gutter="170"/>
          <w:cols w:space="720" w:num="1"/>
          <w:titlePg/>
          <w:docGrid w:type="linesAndChars" w:linePitch="328" w:charSpace="0"/>
        </w:sectPr>
      </w:pPr>
    </w:p>
    <w:p>
      <w:pPr>
        <w:pStyle w:val="25"/>
        <w:tabs>
          <w:tab w:val="left" w:pos="573"/>
          <w:tab w:val="clear" w:pos="1365"/>
        </w:tabs>
        <w:adjustRightInd w:val="0"/>
        <w:snapToGrid w:val="0"/>
        <w:ind w:firstLine="480"/>
        <w:rPr>
          <w:rFonts w:cs="宋体"/>
          <w:sz w:val="24"/>
          <w:szCs w:val="24"/>
        </w:rPr>
      </w:pPr>
    </w:p>
    <w:p>
      <w:pPr>
        <w:pStyle w:val="25"/>
        <w:tabs>
          <w:tab w:val="left" w:pos="573"/>
          <w:tab w:val="clear" w:pos="1365"/>
        </w:tabs>
        <w:adjustRightInd w:val="0"/>
        <w:snapToGrid w:val="0"/>
        <w:ind w:firstLine="480"/>
        <w:rPr>
          <w:rFonts w:cs="宋体"/>
          <w:sz w:val="24"/>
          <w:szCs w:val="24"/>
        </w:rPr>
      </w:pPr>
    </w:p>
    <w:p>
      <w:pPr>
        <w:pStyle w:val="25"/>
        <w:tabs>
          <w:tab w:val="left" w:pos="573"/>
          <w:tab w:val="clear" w:pos="1365"/>
        </w:tabs>
        <w:adjustRightInd w:val="0"/>
        <w:snapToGrid w:val="0"/>
        <w:ind w:firstLine="480"/>
        <w:rPr>
          <w:rFonts w:cs="宋体"/>
          <w:sz w:val="24"/>
          <w:szCs w:val="24"/>
        </w:rPr>
      </w:pPr>
    </w:p>
    <w:p>
      <w:pPr>
        <w:pStyle w:val="25"/>
        <w:tabs>
          <w:tab w:val="left" w:pos="573"/>
          <w:tab w:val="clear" w:pos="1365"/>
        </w:tabs>
        <w:adjustRightInd w:val="0"/>
        <w:snapToGrid w:val="0"/>
        <w:ind w:firstLine="480"/>
        <w:rPr>
          <w:rFonts w:cs="宋体"/>
          <w:sz w:val="24"/>
          <w:szCs w:val="24"/>
        </w:rPr>
      </w:pPr>
    </w:p>
    <w:p>
      <w:pPr>
        <w:pStyle w:val="25"/>
        <w:tabs>
          <w:tab w:val="left" w:pos="573"/>
          <w:tab w:val="clear" w:pos="1365"/>
        </w:tabs>
        <w:adjustRightInd w:val="0"/>
        <w:snapToGrid w:val="0"/>
        <w:ind w:firstLine="480"/>
        <w:rPr>
          <w:rFonts w:cs="宋体"/>
          <w:sz w:val="24"/>
          <w:szCs w:val="24"/>
        </w:rPr>
      </w:pPr>
    </w:p>
    <w:p>
      <w:pPr>
        <w:pStyle w:val="25"/>
        <w:tabs>
          <w:tab w:val="left" w:pos="573"/>
          <w:tab w:val="clear" w:pos="1365"/>
        </w:tabs>
        <w:adjustRightInd w:val="0"/>
        <w:snapToGrid w:val="0"/>
        <w:ind w:firstLine="480"/>
        <w:rPr>
          <w:rFonts w:cs="宋体"/>
          <w:sz w:val="24"/>
          <w:szCs w:val="24"/>
        </w:rPr>
      </w:pPr>
    </w:p>
    <w:p>
      <w:pPr>
        <w:pStyle w:val="25"/>
        <w:tabs>
          <w:tab w:val="left" w:pos="573"/>
          <w:tab w:val="clear" w:pos="1365"/>
        </w:tabs>
        <w:adjustRightInd w:val="0"/>
        <w:snapToGrid w:val="0"/>
        <w:ind w:firstLine="480"/>
        <w:rPr>
          <w:rFonts w:cs="宋体"/>
          <w:sz w:val="24"/>
          <w:szCs w:val="24"/>
        </w:rPr>
      </w:pPr>
    </w:p>
    <w:p>
      <w:pPr>
        <w:snapToGrid w:val="0"/>
        <w:spacing w:line="360" w:lineRule="auto"/>
        <w:jc w:val="center"/>
        <w:rPr>
          <w:rFonts w:ascii="宋体" w:hAnsi="宋体" w:cs="宋体"/>
          <w:sz w:val="52"/>
          <w:szCs w:val="52"/>
          <w:u w:val="single"/>
        </w:rPr>
      </w:pPr>
      <w:r>
        <w:rPr>
          <w:rFonts w:hint="eastAsia" w:ascii="宋体" w:hAnsi="宋体" w:cs="宋体"/>
          <w:sz w:val="52"/>
          <w:szCs w:val="52"/>
          <w:u w:val="single"/>
        </w:rPr>
        <w:t>（填写政府采购项目名称）</w:t>
      </w:r>
    </w:p>
    <w:p>
      <w:pPr>
        <w:snapToGrid w:val="0"/>
        <w:spacing w:line="360" w:lineRule="auto"/>
        <w:jc w:val="center"/>
        <w:rPr>
          <w:rFonts w:ascii="宋体" w:hAnsi="宋体" w:cs="宋体"/>
          <w:sz w:val="48"/>
          <w:szCs w:val="48"/>
        </w:rPr>
      </w:pPr>
      <w:r>
        <w:rPr>
          <w:rFonts w:hint="eastAsia" w:ascii="宋体" w:hAnsi="宋体" w:cs="宋体"/>
          <w:sz w:val="48"/>
          <w:szCs w:val="48"/>
        </w:rPr>
        <w:t>合同</w:t>
      </w:r>
    </w:p>
    <w:p>
      <w:pPr>
        <w:snapToGrid w:val="0"/>
        <w:spacing w:line="360" w:lineRule="auto"/>
        <w:rPr>
          <w:rFonts w:ascii="宋体" w:hAnsi="宋体" w:cs="宋体"/>
          <w:sz w:val="84"/>
          <w:szCs w:val="84"/>
        </w:rPr>
      </w:pPr>
    </w:p>
    <w:p>
      <w:pPr>
        <w:snapToGrid w:val="0"/>
        <w:spacing w:line="400" w:lineRule="exact"/>
        <w:rPr>
          <w:rFonts w:ascii="宋体" w:hAnsi="宋体" w:cs="宋体"/>
          <w:sz w:val="84"/>
          <w:szCs w:val="84"/>
        </w:rPr>
      </w:pPr>
    </w:p>
    <w:p>
      <w:pPr>
        <w:snapToGrid w:val="0"/>
        <w:spacing w:line="400" w:lineRule="exact"/>
        <w:rPr>
          <w:rFonts w:ascii="宋体" w:hAnsi="宋体" w:cs="宋体"/>
          <w:sz w:val="84"/>
          <w:szCs w:val="84"/>
        </w:rPr>
      </w:pPr>
    </w:p>
    <w:p>
      <w:pPr>
        <w:snapToGrid w:val="0"/>
        <w:spacing w:line="400" w:lineRule="exact"/>
        <w:rPr>
          <w:rFonts w:ascii="宋体" w:hAnsi="宋体" w:cs="宋体"/>
          <w:sz w:val="32"/>
          <w:szCs w:val="32"/>
        </w:rPr>
      </w:pPr>
    </w:p>
    <w:p>
      <w:pPr>
        <w:snapToGrid w:val="0"/>
        <w:spacing w:line="400" w:lineRule="exact"/>
        <w:rPr>
          <w:rFonts w:ascii="宋体" w:hAnsi="宋体" w:cs="宋体"/>
          <w:sz w:val="32"/>
          <w:szCs w:val="32"/>
        </w:rPr>
      </w:pPr>
    </w:p>
    <w:p>
      <w:pPr>
        <w:snapToGrid w:val="0"/>
        <w:spacing w:line="400" w:lineRule="exact"/>
        <w:rPr>
          <w:rFonts w:ascii="宋体" w:hAnsi="宋体" w:cs="宋体"/>
          <w:sz w:val="32"/>
          <w:szCs w:val="32"/>
        </w:rPr>
      </w:pPr>
    </w:p>
    <w:p>
      <w:pPr>
        <w:snapToGrid w:val="0"/>
        <w:spacing w:line="400" w:lineRule="exact"/>
        <w:ind w:firstLine="960" w:firstLineChars="300"/>
        <w:rPr>
          <w:rFonts w:ascii="宋体" w:hAnsi="宋体" w:cs="宋体"/>
          <w:sz w:val="32"/>
          <w:szCs w:val="32"/>
        </w:rPr>
      </w:pPr>
    </w:p>
    <w:p>
      <w:pPr>
        <w:snapToGrid w:val="0"/>
        <w:spacing w:line="400" w:lineRule="exact"/>
        <w:rPr>
          <w:rFonts w:ascii="宋体" w:hAnsi="宋体" w:cs="宋体"/>
          <w:sz w:val="32"/>
          <w:szCs w:val="32"/>
        </w:rPr>
      </w:pPr>
    </w:p>
    <w:p>
      <w:pPr>
        <w:snapToGrid w:val="0"/>
        <w:spacing w:line="400" w:lineRule="exact"/>
        <w:rPr>
          <w:rFonts w:ascii="宋体" w:hAnsi="宋体" w:cs="宋体"/>
          <w:sz w:val="32"/>
          <w:szCs w:val="32"/>
        </w:rPr>
      </w:pPr>
    </w:p>
    <w:p>
      <w:pPr>
        <w:snapToGrid w:val="0"/>
        <w:spacing w:line="400" w:lineRule="exact"/>
        <w:rPr>
          <w:rFonts w:ascii="宋体" w:hAnsi="宋体" w:cs="宋体"/>
          <w:sz w:val="32"/>
          <w:szCs w:val="32"/>
        </w:rPr>
      </w:pPr>
    </w:p>
    <w:p>
      <w:pPr>
        <w:snapToGrid w:val="0"/>
        <w:spacing w:line="400" w:lineRule="exact"/>
        <w:jc w:val="center"/>
        <w:rPr>
          <w:rFonts w:ascii="宋体" w:hAnsi="宋体" w:cs="宋体"/>
          <w:sz w:val="32"/>
          <w:szCs w:val="32"/>
        </w:rPr>
      </w:pPr>
    </w:p>
    <w:p>
      <w:pPr>
        <w:snapToGrid w:val="0"/>
        <w:spacing w:line="400" w:lineRule="exact"/>
        <w:jc w:val="center"/>
        <w:rPr>
          <w:rFonts w:ascii="宋体" w:hAnsi="宋体" w:cs="宋体"/>
          <w:sz w:val="32"/>
          <w:szCs w:val="32"/>
        </w:rPr>
      </w:pPr>
    </w:p>
    <w:p>
      <w:pPr>
        <w:widowControl/>
        <w:snapToGrid w:val="0"/>
        <w:spacing w:line="400" w:lineRule="exact"/>
        <w:ind w:firstLine="640" w:firstLineChars="200"/>
        <w:rPr>
          <w:rFonts w:ascii="宋体" w:hAnsi="宋体" w:cs="宋体"/>
        </w:rPr>
      </w:pPr>
      <w:r>
        <w:rPr>
          <w:rFonts w:hint="eastAsia" w:ascii="宋体" w:hAnsi="宋体" w:cs="宋体"/>
          <w:sz w:val="32"/>
          <w:szCs w:val="32"/>
        </w:rPr>
        <w:br w:type="page"/>
      </w:r>
    </w:p>
    <w:p>
      <w:pPr>
        <w:snapToGrid w:val="0"/>
        <w:spacing w:line="400" w:lineRule="exact"/>
        <w:ind w:firstLine="480" w:firstLineChars="200"/>
        <w:rPr>
          <w:rFonts w:ascii="宋体" w:hAnsi="宋体" w:cs="宋体"/>
          <w:sz w:val="24"/>
          <w:szCs w:val="24"/>
          <w:u w:val="single"/>
        </w:rPr>
      </w:pPr>
      <w:r>
        <w:rPr>
          <w:rFonts w:hint="eastAsia" w:ascii="宋体" w:hAnsi="宋体" w:cs="宋体"/>
          <w:sz w:val="24"/>
          <w:szCs w:val="24"/>
        </w:rPr>
        <w:t>项目编号：</w:t>
      </w:r>
    </w:p>
    <w:p>
      <w:pPr>
        <w:snapToGrid w:val="0"/>
        <w:spacing w:line="400" w:lineRule="exact"/>
        <w:ind w:firstLine="480" w:firstLineChars="200"/>
        <w:rPr>
          <w:rFonts w:ascii="宋体" w:hAnsi="宋体" w:cs="宋体"/>
          <w:sz w:val="24"/>
          <w:szCs w:val="24"/>
          <w:u w:val="single"/>
        </w:rPr>
      </w:pPr>
      <w:r>
        <w:rPr>
          <w:rFonts w:hint="eastAsia" w:ascii="宋体" w:hAnsi="宋体" w:cs="宋体"/>
          <w:sz w:val="24"/>
          <w:szCs w:val="24"/>
        </w:rPr>
        <w:t>合同编号：</w:t>
      </w:r>
    </w:p>
    <w:p>
      <w:pPr>
        <w:snapToGrid w:val="0"/>
        <w:spacing w:line="400" w:lineRule="exact"/>
        <w:ind w:firstLine="480" w:firstLineChars="200"/>
        <w:rPr>
          <w:rFonts w:ascii="宋体" w:hAnsi="宋体" w:cs="宋体"/>
          <w:sz w:val="24"/>
          <w:szCs w:val="24"/>
          <w:u w:val="single"/>
        </w:rPr>
      </w:pPr>
      <w:r>
        <w:rPr>
          <w:rFonts w:hint="eastAsia" w:ascii="宋体" w:hAnsi="宋体" w:cs="宋体"/>
          <w:sz w:val="24"/>
          <w:szCs w:val="24"/>
        </w:rPr>
        <w:t>甲方（买方）：</w:t>
      </w:r>
    </w:p>
    <w:p>
      <w:pPr>
        <w:widowControl/>
        <w:snapToGrid w:val="0"/>
        <w:spacing w:line="400" w:lineRule="exact"/>
        <w:ind w:firstLine="480" w:firstLineChars="200"/>
        <w:rPr>
          <w:rFonts w:ascii="宋体" w:hAnsi="宋体" w:cs="宋体"/>
        </w:rPr>
      </w:pPr>
      <w:r>
        <w:rPr>
          <w:rFonts w:hint="eastAsia" w:ascii="宋体" w:hAnsi="宋体" w:cs="宋体"/>
          <w:sz w:val="24"/>
          <w:szCs w:val="24"/>
        </w:rPr>
        <w:t>乙方（卖方）：</w:t>
      </w:r>
    </w:p>
    <w:p>
      <w:pPr>
        <w:widowControl/>
        <w:snapToGrid w:val="0"/>
        <w:spacing w:line="400" w:lineRule="exact"/>
        <w:ind w:firstLine="420" w:firstLineChars="200"/>
        <w:rPr>
          <w:rFonts w:ascii="宋体" w:hAnsi="宋体" w:cs="宋体"/>
        </w:rPr>
      </w:pPr>
    </w:p>
    <w:p>
      <w:pPr>
        <w:widowControl/>
        <w:snapToGrid w:val="0"/>
        <w:spacing w:line="400" w:lineRule="exact"/>
        <w:ind w:firstLine="420" w:firstLineChars="200"/>
        <w:rPr>
          <w:rFonts w:ascii="宋体" w:hAnsi="宋体" w:cs="宋体"/>
        </w:rPr>
      </w:pPr>
      <w:r>
        <w:rPr>
          <w:rFonts w:hint="eastAsia" w:ascii="宋体" w:hAnsi="宋体" w:cs="宋体"/>
        </w:rPr>
        <w:t>甲方与乙方就</w:t>
      </w:r>
      <w:r>
        <w:rPr>
          <w:rFonts w:hint="eastAsia" w:ascii="宋体" w:hAnsi="宋体" w:cs="宋体"/>
          <w:u w:val="single"/>
        </w:rPr>
        <w:t>（填写项目名称）</w:t>
      </w:r>
      <w:r>
        <w:rPr>
          <w:rFonts w:hint="eastAsia" w:ascii="宋体" w:hAnsi="宋体" w:cs="宋体"/>
        </w:rPr>
        <w:t>相关事宜进行友好协商，根据《中华人民共和国民法典》的规定，按下述条款签订本合同。</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一、定义</w:t>
      </w:r>
    </w:p>
    <w:p>
      <w:pPr>
        <w:pStyle w:val="133"/>
        <w:adjustRightInd w:val="0"/>
        <w:snapToGrid w:val="0"/>
        <w:spacing w:line="400" w:lineRule="exact"/>
        <w:ind w:firstLine="422" w:firstLineChars="176"/>
        <w:jc w:val="both"/>
        <w:rPr>
          <w:rFonts w:ascii="宋体" w:hAnsi="宋体" w:cs="宋体"/>
          <w:bCs/>
        </w:rPr>
      </w:pPr>
      <w:r>
        <w:rPr>
          <w:rFonts w:hint="eastAsia" w:ascii="宋体" w:hAnsi="宋体" w:cs="宋体"/>
          <w:bCs/>
        </w:rPr>
        <w:t>1.本合同下列术语解释：</w:t>
      </w:r>
    </w:p>
    <w:p>
      <w:pPr>
        <w:widowControl/>
        <w:snapToGrid w:val="0"/>
        <w:spacing w:line="400" w:lineRule="exact"/>
        <w:ind w:firstLine="371" w:firstLineChars="177"/>
        <w:rPr>
          <w:rFonts w:ascii="宋体" w:hAnsi="宋体" w:cs="宋体"/>
        </w:rPr>
      </w:pPr>
      <w:r>
        <w:rPr>
          <w:rFonts w:hint="eastAsia" w:ascii="宋体" w:hAnsi="宋体" w:cs="宋体"/>
        </w:rPr>
        <w:t>1.1 “合同”系指买卖双方签署的、合同格式中载明的买卖双方所达成的协议，包括所有的附件、附录和构成合同的其他文件。</w:t>
      </w:r>
    </w:p>
    <w:p>
      <w:pPr>
        <w:widowControl/>
        <w:snapToGrid w:val="0"/>
        <w:spacing w:line="400" w:lineRule="exact"/>
        <w:ind w:firstLine="371" w:firstLineChars="177"/>
        <w:rPr>
          <w:rFonts w:ascii="宋体" w:hAnsi="宋体" w:cs="宋体"/>
        </w:rPr>
      </w:pPr>
      <w:r>
        <w:rPr>
          <w:rFonts w:hint="eastAsia" w:ascii="宋体" w:hAnsi="宋体" w:cs="宋体"/>
        </w:rPr>
        <w:t>1.2 “合同价”系指根据合同约定，卖方在完全履行合同义务后买方应付给卖方的价格。</w:t>
      </w:r>
    </w:p>
    <w:p>
      <w:pPr>
        <w:widowControl/>
        <w:snapToGrid w:val="0"/>
        <w:spacing w:line="400" w:lineRule="exact"/>
        <w:ind w:firstLine="371" w:firstLineChars="177"/>
        <w:rPr>
          <w:rFonts w:ascii="宋体" w:hAnsi="宋体" w:cs="宋体"/>
        </w:rPr>
      </w:pPr>
      <w:bookmarkStart w:id="144" w:name="_Ref467378840"/>
      <w:r>
        <w:rPr>
          <w:rFonts w:hint="eastAsia" w:ascii="宋体" w:hAnsi="宋体" w:cs="宋体"/>
        </w:rPr>
        <w:t>1.3 “甲方”系指与中标人签署合同的人（含最终用户）。</w:t>
      </w:r>
      <w:bookmarkEnd w:id="144"/>
    </w:p>
    <w:p>
      <w:pPr>
        <w:widowControl/>
        <w:snapToGrid w:val="0"/>
        <w:spacing w:line="400" w:lineRule="exact"/>
        <w:ind w:firstLine="371" w:firstLineChars="177"/>
        <w:rPr>
          <w:rFonts w:ascii="宋体" w:hAnsi="宋体" w:cs="宋体"/>
        </w:rPr>
      </w:pPr>
      <w:bookmarkStart w:id="145" w:name="_Ref467379400"/>
      <w:r>
        <w:rPr>
          <w:rFonts w:hint="eastAsia" w:ascii="宋体" w:hAnsi="宋体" w:cs="宋体"/>
        </w:rPr>
        <w:t>1.4 “乙方”系指根据合同约定提供相关服务的中标人。</w:t>
      </w:r>
      <w:bookmarkEnd w:id="145"/>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二、合同内容及期限</w:t>
      </w:r>
    </w:p>
    <w:p>
      <w:pPr>
        <w:pStyle w:val="133"/>
        <w:adjustRightInd w:val="0"/>
        <w:snapToGrid w:val="0"/>
        <w:spacing w:line="400" w:lineRule="exact"/>
        <w:ind w:firstLine="422" w:firstLineChars="176"/>
        <w:jc w:val="both"/>
        <w:rPr>
          <w:rFonts w:ascii="宋体" w:hAnsi="宋体" w:cs="宋体"/>
          <w:b/>
          <w:bCs/>
        </w:rPr>
      </w:pPr>
      <w:r>
        <w:rPr>
          <w:rFonts w:hint="eastAsia" w:ascii="宋体" w:hAnsi="宋体" w:cs="宋体"/>
          <w:bCs/>
        </w:rPr>
        <w:t>2.甲方购买乙方提供的以下服务：</w:t>
      </w:r>
      <w:r>
        <w:rPr>
          <w:rFonts w:hint="eastAsia" w:ascii="宋体" w:hAnsi="宋体" w:cs="宋体"/>
          <w:bCs/>
          <w:u w:val="single"/>
        </w:rPr>
        <w:t>（填写项目名称）</w:t>
      </w:r>
      <w:r>
        <w:rPr>
          <w:rFonts w:hint="eastAsia" w:ascii="宋体" w:hAnsi="宋体" w:cs="宋体"/>
          <w:sz w:val="28"/>
          <w:szCs w:val="28"/>
          <w:u w:val="single"/>
        </w:rPr>
        <w:t>。</w:t>
      </w:r>
    </w:p>
    <w:p>
      <w:pPr>
        <w:widowControl/>
        <w:snapToGrid w:val="0"/>
        <w:spacing w:line="400" w:lineRule="exact"/>
        <w:ind w:firstLine="371" w:firstLineChars="177"/>
        <w:rPr>
          <w:rFonts w:ascii="宋体" w:hAnsi="宋体" w:cs="宋体"/>
        </w:rPr>
      </w:pPr>
      <w:r>
        <w:rPr>
          <w:rFonts w:hint="eastAsia" w:ascii="宋体" w:hAnsi="宋体" w:cs="宋体"/>
        </w:rPr>
        <w:t>2.1 服务项目要求：（工作任务、工作任务下达方式、数量/质量要求、完成方式、特殊需求等）</w:t>
      </w:r>
    </w:p>
    <w:p>
      <w:pPr>
        <w:spacing w:line="440" w:lineRule="exact"/>
        <w:ind w:firstLine="371" w:firstLineChars="177"/>
        <w:rPr>
          <w:rFonts w:ascii="宋体" w:hAnsi="宋体" w:cs="宋体"/>
          <w:u w:val="single"/>
        </w:rPr>
      </w:pPr>
      <w:r>
        <w:rPr>
          <w:rFonts w:hint="eastAsia" w:ascii="宋体" w:hAnsi="宋体" w:cs="宋体"/>
        </w:rPr>
        <w:t>（1）</w:t>
      </w:r>
      <w:r>
        <w:rPr>
          <w:rFonts w:hint="eastAsia" w:ascii="宋体" w:hAnsi="宋体" w:cs="宋体"/>
          <w:u w:val="single"/>
        </w:rPr>
        <w:t xml:space="preserve">                           </w:t>
      </w:r>
      <w:r>
        <w:rPr>
          <w:rFonts w:hint="eastAsia" w:ascii="宋体" w:hAnsi="宋体" w:cs="宋体"/>
        </w:rPr>
        <w:t>；</w:t>
      </w:r>
    </w:p>
    <w:p>
      <w:pPr>
        <w:spacing w:line="440" w:lineRule="exact"/>
        <w:ind w:firstLine="371" w:firstLineChars="177"/>
        <w:rPr>
          <w:rFonts w:ascii="宋体" w:hAnsi="宋体" w:cs="宋体"/>
          <w:u w:val="single"/>
        </w:rPr>
      </w:pPr>
      <w:r>
        <w:rPr>
          <w:rFonts w:hint="eastAsia" w:ascii="宋体" w:hAnsi="宋体" w:cs="宋体"/>
        </w:rPr>
        <w:t>（2）</w:t>
      </w:r>
      <w:r>
        <w:rPr>
          <w:rFonts w:hint="eastAsia" w:ascii="宋体" w:hAnsi="宋体" w:cs="宋体"/>
          <w:u w:val="single"/>
        </w:rPr>
        <w:t xml:space="preserve">                           </w:t>
      </w:r>
      <w:r>
        <w:rPr>
          <w:rFonts w:hint="eastAsia" w:ascii="宋体" w:hAnsi="宋体" w:cs="宋体"/>
        </w:rPr>
        <w:t>；</w:t>
      </w:r>
    </w:p>
    <w:p>
      <w:pPr>
        <w:spacing w:line="440" w:lineRule="exact"/>
        <w:ind w:firstLine="371" w:firstLineChars="177"/>
        <w:rPr>
          <w:rFonts w:ascii="宋体" w:hAnsi="宋体" w:cs="宋体"/>
          <w:u w:val="single"/>
        </w:rPr>
      </w:pPr>
      <w:r>
        <w:rPr>
          <w:rFonts w:hint="eastAsia" w:ascii="宋体" w:hAnsi="宋体" w:cs="宋体"/>
        </w:rPr>
        <w:t>（3）</w:t>
      </w:r>
      <w:r>
        <w:rPr>
          <w:rFonts w:hint="eastAsia" w:ascii="宋体" w:hAnsi="宋体" w:cs="宋体"/>
          <w:u w:val="single"/>
        </w:rPr>
        <w:t xml:space="preserve">                           </w:t>
      </w:r>
      <w:r>
        <w:rPr>
          <w:rFonts w:hint="eastAsia" w:ascii="宋体" w:hAnsi="宋体" w:cs="宋体"/>
        </w:rPr>
        <w:t>。</w:t>
      </w:r>
    </w:p>
    <w:p>
      <w:pPr>
        <w:widowControl/>
        <w:snapToGrid w:val="0"/>
        <w:spacing w:line="400" w:lineRule="exact"/>
        <w:ind w:firstLine="371" w:firstLineChars="177"/>
        <w:rPr>
          <w:rFonts w:ascii="宋体" w:hAnsi="宋体" w:cs="宋体"/>
          <w:u w:val="single"/>
        </w:rPr>
      </w:pPr>
      <w:r>
        <w:rPr>
          <w:rFonts w:hint="eastAsia" w:ascii="宋体" w:hAnsi="宋体" w:cs="宋体"/>
        </w:rPr>
        <w:t>2.2 提供供货地点：</w:t>
      </w:r>
      <w:r>
        <w:rPr>
          <w:rFonts w:hint="eastAsia" w:ascii="宋体" w:hAnsi="宋体" w:cs="宋体"/>
          <w:u w:val="single"/>
        </w:rPr>
        <w:t xml:space="preserve">              </w:t>
      </w:r>
      <w:r>
        <w:rPr>
          <w:rFonts w:hint="eastAsia" w:ascii="宋体" w:hAnsi="宋体" w:cs="宋体"/>
        </w:rPr>
        <w:t>。</w:t>
      </w:r>
    </w:p>
    <w:p>
      <w:pPr>
        <w:widowControl/>
        <w:snapToGrid w:val="0"/>
        <w:spacing w:line="400" w:lineRule="exact"/>
        <w:ind w:firstLine="371" w:firstLineChars="177"/>
        <w:rPr>
          <w:rFonts w:ascii="宋体" w:hAnsi="宋体" w:cs="宋体"/>
          <w:bCs/>
        </w:rPr>
      </w:pPr>
      <w:r>
        <w:rPr>
          <w:rFonts w:hint="eastAsia" w:ascii="宋体" w:hAnsi="宋体" w:cs="宋体"/>
          <w:bCs/>
        </w:rPr>
        <w:t>3.本</w:t>
      </w:r>
      <w:r>
        <w:rPr>
          <w:rFonts w:hint="eastAsia" w:ascii="宋体" w:hAnsi="宋体" w:cs="宋体"/>
        </w:rPr>
        <w:t>合同</w:t>
      </w:r>
      <w:r>
        <w:rPr>
          <w:rFonts w:hint="eastAsia" w:ascii="宋体" w:hAnsi="宋体" w:cs="宋体"/>
          <w:bCs/>
        </w:rPr>
        <w:t>项目下的供货期限</w:t>
      </w:r>
    </w:p>
    <w:p>
      <w:pPr>
        <w:widowControl/>
        <w:snapToGrid w:val="0"/>
        <w:spacing w:line="400" w:lineRule="exact"/>
        <w:ind w:firstLine="371" w:firstLineChars="177"/>
        <w:rPr>
          <w:rFonts w:ascii="宋体" w:hAnsi="宋体" w:cs="宋体"/>
          <w:b/>
        </w:rPr>
      </w:pPr>
      <w:r>
        <w:rPr>
          <w:rFonts w:hint="eastAsia" w:ascii="宋体" w:hAnsi="宋体" w:cs="宋体"/>
        </w:rPr>
        <w:t>3.1 自合同生效起至______年___</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日止。</w:t>
      </w:r>
    </w:p>
    <w:p>
      <w:pPr>
        <w:snapToGrid w:val="0"/>
        <w:spacing w:line="400" w:lineRule="exact"/>
        <w:ind w:firstLine="560" w:firstLineChars="200"/>
        <w:rPr>
          <w:rFonts w:ascii="宋体" w:hAnsi="宋体" w:cs="宋体"/>
          <w:sz w:val="28"/>
          <w:szCs w:val="28"/>
        </w:rPr>
      </w:pP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三、合同价格</w:t>
      </w:r>
    </w:p>
    <w:p>
      <w:pPr>
        <w:widowControl/>
        <w:snapToGrid w:val="0"/>
        <w:spacing w:line="400" w:lineRule="exact"/>
        <w:ind w:firstLine="371" w:firstLineChars="177"/>
        <w:rPr>
          <w:rFonts w:ascii="宋体" w:hAnsi="宋体" w:cs="宋体"/>
        </w:rPr>
      </w:pPr>
      <w:r>
        <w:rPr>
          <w:rFonts w:hint="eastAsia" w:ascii="宋体" w:hAnsi="宋体" w:cs="宋体"/>
          <w:bCs/>
        </w:rPr>
        <w:t>4.本合同</w:t>
      </w:r>
      <w:r>
        <w:rPr>
          <w:rFonts w:hint="eastAsia" w:ascii="宋体" w:hAnsi="宋体" w:cs="宋体"/>
        </w:rPr>
        <w:t>服务费</w:t>
      </w:r>
      <w:r>
        <w:rPr>
          <w:rFonts w:hint="eastAsia" w:ascii="宋体" w:hAnsi="宋体" w:cs="宋体"/>
          <w:bCs/>
        </w:rPr>
        <w:t>总金额为人民币（大写）：</w:t>
      </w:r>
      <w:r>
        <w:rPr>
          <w:rFonts w:hint="eastAsia" w:ascii="宋体" w:hAnsi="宋体" w:cs="宋体"/>
        </w:rPr>
        <w:t>__________元（￥____元）。（此项目发生的与本合同执行有关的一切税费均由乙方负担）</w:t>
      </w:r>
    </w:p>
    <w:p>
      <w:pPr>
        <w:widowControl/>
        <w:snapToGrid w:val="0"/>
        <w:spacing w:line="400" w:lineRule="exact"/>
        <w:ind w:firstLine="371" w:firstLineChars="177"/>
        <w:rPr>
          <w:rFonts w:ascii="宋体" w:hAnsi="宋体" w:cs="宋体"/>
        </w:rPr>
      </w:pPr>
      <w:r>
        <w:rPr>
          <w:rFonts w:hint="eastAsia" w:ascii="宋体" w:hAnsi="宋体" w:cs="宋体"/>
          <w:bCs/>
          <w:kern w:val="20"/>
          <w:lang w:val="zh-CN"/>
        </w:rPr>
        <w:t>5.</w:t>
      </w:r>
      <w:r>
        <w:rPr>
          <w:rFonts w:hint="eastAsia" w:ascii="宋体" w:hAnsi="宋体" w:cs="宋体"/>
        </w:rPr>
        <w:t>服务</w:t>
      </w:r>
      <w:r>
        <w:rPr>
          <w:rFonts w:hint="eastAsia" w:ascii="宋体" w:hAnsi="宋体" w:cs="宋体"/>
          <w:bCs/>
          <w:kern w:val="20"/>
          <w:lang w:val="zh-CN"/>
        </w:rPr>
        <w:t>支出包括</w:t>
      </w:r>
      <w:r>
        <w:rPr>
          <w:rFonts w:hint="eastAsia" w:ascii="宋体" w:hAnsi="宋体" w:cs="宋体"/>
        </w:rPr>
        <w:t>：</w:t>
      </w:r>
      <w:r>
        <w:rPr>
          <w:rFonts w:hint="eastAsia" w:ascii="宋体" w:hAnsi="宋体" w:cs="宋体"/>
          <w:u w:val="single"/>
        </w:rPr>
        <w:t xml:space="preserve">                                            </w:t>
      </w:r>
      <w:r>
        <w:rPr>
          <w:rFonts w:hint="eastAsia" w:ascii="宋体" w:hAnsi="宋体" w:cs="宋体"/>
        </w:rPr>
        <w:t>。</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四、支付和结算方式</w:t>
      </w:r>
    </w:p>
    <w:p>
      <w:pPr>
        <w:widowControl/>
        <w:snapToGrid w:val="0"/>
        <w:spacing w:line="400" w:lineRule="exact"/>
        <w:ind w:firstLine="371" w:firstLineChars="177"/>
        <w:rPr>
          <w:rFonts w:ascii="宋体" w:hAnsi="宋体" w:cs="宋体"/>
          <w:bCs/>
        </w:rPr>
      </w:pPr>
      <w:r>
        <w:rPr>
          <w:rFonts w:hint="eastAsia" w:ascii="宋体" w:hAnsi="宋体" w:cs="宋体"/>
          <w:bCs/>
          <w:lang w:val="zh-CN"/>
        </w:rPr>
        <w:t>6</w:t>
      </w:r>
      <w:r>
        <w:rPr>
          <w:rFonts w:hint="eastAsia" w:ascii="宋体" w:hAnsi="宋体" w:cs="宋体"/>
          <w:bCs/>
        </w:rPr>
        <w:t>.双方因本合同发生的一切费用均以人民币结算及支付。</w:t>
      </w:r>
    </w:p>
    <w:p>
      <w:pPr>
        <w:widowControl/>
        <w:snapToGrid w:val="0"/>
        <w:spacing w:line="400" w:lineRule="exact"/>
        <w:ind w:firstLine="371" w:firstLineChars="177"/>
        <w:rPr>
          <w:rFonts w:ascii="宋体" w:hAnsi="宋体" w:cs="宋体"/>
          <w:bCs/>
        </w:rPr>
      </w:pPr>
      <w:r>
        <w:rPr>
          <w:rFonts w:hint="eastAsia" w:ascii="宋体" w:hAnsi="宋体" w:cs="宋体"/>
          <w:bCs/>
        </w:rPr>
        <w:t>7.双方的帐户名称、开户银行及帐号以本合同提供的为准。</w:t>
      </w:r>
    </w:p>
    <w:p>
      <w:pPr>
        <w:pStyle w:val="133"/>
        <w:adjustRightInd w:val="0"/>
        <w:snapToGrid w:val="0"/>
        <w:spacing w:line="400" w:lineRule="exact"/>
        <w:ind w:firstLine="422" w:firstLineChars="176"/>
        <w:jc w:val="both"/>
        <w:rPr>
          <w:rFonts w:ascii="宋体" w:hAnsi="宋体" w:cs="宋体"/>
          <w:bCs/>
        </w:rPr>
      </w:pPr>
      <w:r>
        <w:rPr>
          <w:rFonts w:hint="eastAsia" w:ascii="宋体" w:hAnsi="宋体" w:cs="宋体"/>
          <w:bCs/>
        </w:rPr>
        <w:t>8.付款方式：</w:t>
      </w:r>
    </w:p>
    <w:p>
      <w:pPr>
        <w:pStyle w:val="51"/>
        <w:snapToGrid w:val="0"/>
        <w:spacing w:line="400" w:lineRule="exact"/>
        <w:rPr>
          <w:rFonts w:ascii="宋体" w:hAnsi="宋体" w:cs="宋体"/>
        </w:rPr>
      </w:pPr>
      <w:r>
        <w:rPr>
          <w:rFonts w:hint="eastAsia" w:ascii="宋体" w:hAnsi="宋体" w:cs="宋体"/>
        </w:rPr>
        <w:t xml:space="preserve">     </w:t>
      </w:r>
      <w:r>
        <w:rPr>
          <w:rFonts w:hint="eastAsia" w:ascii="宋体" w:hAnsi="宋体" w:cs="宋体"/>
          <w:kern w:val="0"/>
          <w:sz w:val="24"/>
          <w:bdr w:val="single" w:color="auto" w:sz="4" w:space="0"/>
        </w:rPr>
        <w:t xml:space="preserve">  </w:t>
      </w:r>
      <w:r>
        <w:rPr>
          <w:rFonts w:hint="eastAsia" w:ascii="宋体" w:hAnsi="宋体" w:cs="宋体"/>
        </w:rPr>
        <w:t xml:space="preserve"> 一次性支付            </w:t>
      </w:r>
      <w:r>
        <w:rPr>
          <w:rFonts w:hint="eastAsia" w:ascii="宋体" w:hAnsi="宋体" w:cs="宋体"/>
          <w:kern w:val="0"/>
          <w:sz w:val="24"/>
          <w:bdr w:val="single" w:color="auto" w:sz="4" w:space="0"/>
        </w:rPr>
        <w:t xml:space="preserve">  </w:t>
      </w:r>
      <w:r>
        <w:rPr>
          <w:rFonts w:hint="eastAsia" w:ascii="宋体" w:hAnsi="宋体" w:cs="宋体"/>
        </w:rPr>
        <w:t xml:space="preserve"> 分期支付              </w:t>
      </w:r>
      <w:r>
        <w:rPr>
          <w:rFonts w:hint="eastAsia" w:ascii="宋体" w:hAnsi="宋体" w:cs="宋体"/>
          <w:kern w:val="0"/>
          <w:sz w:val="24"/>
          <w:bdr w:val="single" w:color="auto" w:sz="4" w:space="0"/>
        </w:rPr>
        <w:t xml:space="preserve">  </w:t>
      </w:r>
      <w:r>
        <w:rPr>
          <w:rFonts w:hint="eastAsia" w:ascii="宋体" w:hAnsi="宋体" w:cs="宋体"/>
        </w:rPr>
        <w:t xml:space="preserve"> 按服务进度支付</w:t>
      </w:r>
    </w:p>
    <w:p>
      <w:pPr>
        <w:pStyle w:val="133"/>
        <w:adjustRightInd w:val="0"/>
        <w:snapToGrid w:val="0"/>
        <w:spacing w:line="400" w:lineRule="exact"/>
        <w:ind w:firstLine="422" w:firstLineChars="176"/>
        <w:jc w:val="both"/>
        <w:rPr>
          <w:rFonts w:ascii="宋体" w:hAnsi="宋体" w:cs="宋体"/>
          <w:bCs/>
        </w:rPr>
      </w:pPr>
      <w:r>
        <w:rPr>
          <w:rFonts w:hint="eastAsia" w:ascii="宋体" w:hAnsi="宋体" w:cs="宋体"/>
          <w:bCs/>
        </w:rPr>
        <w:t>8.1 一次性支付</w:t>
      </w:r>
    </w:p>
    <w:p>
      <w:pPr>
        <w:pStyle w:val="51"/>
        <w:snapToGrid w:val="0"/>
        <w:spacing w:line="400" w:lineRule="exact"/>
        <w:rPr>
          <w:rFonts w:ascii="宋体" w:hAnsi="宋体" w:cs="宋体"/>
        </w:rPr>
      </w:pPr>
      <w:r>
        <w:rPr>
          <w:rFonts w:hint="eastAsia" w:ascii="宋体" w:hAnsi="宋体" w:cs="宋体"/>
        </w:rPr>
        <w:t>乙方履约完毕经甲方验收合格后</w:t>
      </w:r>
      <w:r>
        <w:rPr>
          <w:rFonts w:hint="eastAsia" w:ascii="宋体" w:hAnsi="宋体" w:cs="宋体"/>
          <w:u w:val="single"/>
        </w:rPr>
        <w:t xml:space="preserve">   </w:t>
      </w:r>
      <w:r>
        <w:rPr>
          <w:rFonts w:hint="eastAsia" w:ascii="宋体" w:hAnsi="宋体" w:cs="宋体"/>
        </w:rPr>
        <w:t>日内，一次性支付全部服务费。</w:t>
      </w:r>
    </w:p>
    <w:p>
      <w:pPr>
        <w:pStyle w:val="133"/>
        <w:adjustRightInd w:val="0"/>
        <w:snapToGrid w:val="0"/>
        <w:spacing w:line="400" w:lineRule="exact"/>
        <w:ind w:firstLine="422" w:firstLineChars="176"/>
        <w:jc w:val="both"/>
        <w:rPr>
          <w:rFonts w:ascii="宋体" w:hAnsi="宋体" w:cs="宋体"/>
          <w:bCs/>
        </w:rPr>
      </w:pPr>
      <w:r>
        <w:rPr>
          <w:rFonts w:hint="eastAsia" w:ascii="宋体" w:hAnsi="宋体" w:cs="宋体"/>
          <w:bCs/>
        </w:rPr>
        <w:t>8.2 分期支付</w:t>
      </w:r>
    </w:p>
    <w:p>
      <w:pPr>
        <w:pStyle w:val="51"/>
        <w:snapToGrid w:val="0"/>
        <w:spacing w:line="400" w:lineRule="exact"/>
        <w:rPr>
          <w:rFonts w:ascii="宋体" w:hAnsi="宋体" w:cs="宋体"/>
        </w:rPr>
      </w:pPr>
      <w:r>
        <w:rPr>
          <w:rFonts w:hint="eastAsia" w:ascii="宋体" w:hAnsi="宋体" w:cs="宋体"/>
        </w:rPr>
        <w:t>（1）合同签订后</w:t>
      </w:r>
      <w:r>
        <w:rPr>
          <w:rFonts w:hint="eastAsia" w:ascii="宋体" w:hAnsi="宋体" w:cs="宋体"/>
          <w:u w:val="single"/>
        </w:rPr>
        <w:t xml:space="preserve">  </w:t>
      </w:r>
      <w:r>
        <w:rPr>
          <w:rFonts w:hint="eastAsia" w:ascii="宋体" w:hAnsi="宋体" w:cs="宋体"/>
        </w:rPr>
        <w:t>日内，甲方向乙方支付</w:t>
      </w:r>
      <w:r>
        <w:rPr>
          <w:rFonts w:hint="eastAsia" w:ascii="宋体" w:hAnsi="宋体" w:cs="宋体"/>
          <w:u w:val="single"/>
        </w:rPr>
        <w:t xml:space="preserve">   </w:t>
      </w:r>
      <w:r>
        <w:rPr>
          <w:rFonts w:hint="eastAsia" w:ascii="宋体" w:hAnsi="宋体" w:cs="宋体"/>
        </w:rPr>
        <w:t xml:space="preserve"> 元（或服务费总额的</w:t>
      </w:r>
      <w:r>
        <w:rPr>
          <w:rFonts w:hint="eastAsia" w:ascii="宋体" w:hAnsi="宋体" w:cs="宋体"/>
          <w:u w:val="single"/>
        </w:rPr>
        <w:t xml:space="preserve">    </w:t>
      </w:r>
      <w:r>
        <w:rPr>
          <w:rFonts w:hint="eastAsia" w:ascii="宋体" w:hAnsi="宋体" w:cs="宋体"/>
        </w:rPr>
        <w:t>% ）。</w:t>
      </w:r>
    </w:p>
    <w:p>
      <w:pPr>
        <w:pStyle w:val="51"/>
        <w:snapToGrid w:val="0"/>
        <w:spacing w:line="400" w:lineRule="exact"/>
        <w:rPr>
          <w:rFonts w:ascii="宋体" w:hAnsi="宋体" w:cs="宋体"/>
        </w:rPr>
      </w:pPr>
      <w:r>
        <w:rPr>
          <w:rFonts w:hint="eastAsia" w:ascii="宋体" w:hAnsi="宋体" w:cs="宋体"/>
        </w:rPr>
        <w:t>（2）乙方履约完毕，甲方验收合格后</w:t>
      </w:r>
      <w:r>
        <w:rPr>
          <w:rFonts w:hint="eastAsia" w:ascii="宋体" w:hAnsi="宋体" w:cs="宋体"/>
          <w:u w:val="single"/>
        </w:rPr>
        <w:t xml:space="preserve">   </w:t>
      </w:r>
      <w:r>
        <w:rPr>
          <w:rFonts w:hint="eastAsia" w:ascii="宋体" w:hAnsi="宋体" w:cs="宋体"/>
        </w:rPr>
        <w:t>日内，支付</w:t>
      </w:r>
      <w:r>
        <w:rPr>
          <w:rFonts w:hint="eastAsia" w:ascii="宋体" w:hAnsi="宋体" w:cs="宋体"/>
          <w:u w:val="single"/>
        </w:rPr>
        <w:t xml:space="preserve">   </w:t>
      </w:r>
      <w:r>
        <w:rPr>
          <w:rFonts w:hint="eastAsia" w:ascii="宋体" w:hAnsi="宋体" w:cs="宋体"/>
        </w:rPr>
        <w:t>元（或服务费总额的</w:t>
      </w:r>
      <w:r>
        <w:rPr>
          <w:rFonts w:hint="eastAsia" w:ascii="宋体" w:hAnsi="宋体" w:cs="宋体"/>
          <w:u w:val="single"/>
        </w:rPr>
        <w:t xml:space="preserve">   </w:t>
      </w:r>
      <w:r>
        <w:rPr>
          <w:rFonts w:hint="eastAsia" w:ascii="宋体" w:hAnsi="宋体" w:cs="宋体"/>
        </w:rPr>
        <w:t>%）。</w:t>
      </w:r>
    </w:p>
    <w:p>
      <w:pPr>
        <w:pStyle w:val="133"/>
        <w:adjustRightInd w:val="0"/>
        <w:snapToGrid w:val="0"/>
        <w:spacing w:line="400" w:lineRule="exact"/>
        <w:ind w:firstLine="422" w:firstLineChars="176"/>
        <w:jc w:val="both"/>
        <w:rPr>
          <w:rFonts w:ascii="宋体" w:hAnsi="宋体" w:cs="宋体"/>
          <w:bCs/>
        </w:rPr>
      </w:pPr>
      <w:r>
        <w:rPr>
          <w:rFonts w:hint="eastAsia" w:ascii="宋体" w:hAnsi="宋体" w:cs="宋体"/>
          <w:bCs/>
        </w:rPr>
        <w:t>8.3 按服务进度支付</w:t>
      </w:r>
    </w:p>
    <w:p>
      <w:pPr>
        <w:pStyle w:val="51"/>
        <w:snapToGrid w:val="0"/>
        <w:spacing w:line="400" w:lineRule="exact"/>
        <w:rPr>
          <w:rFonts w:ascii="宋体" w:hAnsi="宋体" w:cs="宋体"/>
        </w:rPr>
      </w:pPr>
      <w:r>
        <w:rPr>
          <w:rFonts w:hint="eastAsia" w:ascii="宋体" w:hAnsi="宋体" w:cs="宋体"/>
        </w:rPr>
        <w:t>（1)服务人员到达服务地并提交服务实施方案后</w:t>
      </w:r>
      <w:r>
        <w:rPr>
          <w:rFonts w:hint="eastAsia" w:ascii="宋体" w:hAnsi="宋体" w:cs="宋体"/>
          <w:u w:val="single"/>
        </w:rPr>
        <w:t xml:space="preserve">     </w:t>
      </w:r>
      <w:r>
        <w:rPr>
          <w:rFonts w:hint="eastAsia" w:ascii="宋体" w:hAnsi="宋体" w:cs="宋体"/>
        </w:rPr>
        <w:t>天内，甲方应向乙方支付</w:t>
      </w:r>
      <w:r>
        <w:rPr>
          <w:rFonts w:hint="eastAsia" w:ascii="宋体" w:hAnsi="宋体" w:cs="宋体"/>
          <w:u w:val="single"/>
        </w:rPr>
        <w:t xml:space="preserve">     </w:t>
      </w:r>
      <w:r>
        <w:rPr>
          <w:rFonts w:hint="eastAsia" w:ascii="宋体" w:hAnsi="宋体" w:cs="宋体"/>
        </w:rPr>
        <w:t>元（或服务费总额的</w:t>
      </w:r>
      <w:r>
        <w:rPr>
          <w:rFonts w:hint="eastAsia" w:ascii="宋体" w:hAnsi="宋体" w:cs="宋体"/>
          <w:u w:val="single"/>
        </w:rPr>
        <w:t xml:space="preserve">   </w:t>
      </w:r>
      <w:r>
        <w:rPr>
          <w:rFonts w:hint="eastAsia" w:ascii="宋体" w:hAnsi="宋体" w:cs="宋体"/>
        </w:rPr>
        <w:t>%）。</w:t>
      </w:r>
    </w:p>
    <w:p>
      <w:pPr>
        <w:pStyle w:val="51"/>
        <w:snapToGrid w:val="0"/>
        <w:spacing w:line="400" w:lineRule="exact"/>
        <w:rPr>
          <w:rFonts w:ascii="宋体" w:hAnsi="宋体" w:cs="宋体"/>
        </w:rPr>
      </w:pPr>
      <w:r>
        <w:rPr>
          <w:rFonts w:hint="eastAsia" w:ascii="宋体" w:hAnsi="宋体" w:cs="宋体"/>
        </w:rPr>
        <w:t>（2)乙方履约完毕，甲方验收合格后</w:t>
      </w:r>
      <w:r>
        <w:rPr>
          <w:rFonts w:hint="eastAsia" w:ascii="宋体" w:hAnsi="宋体" w:cs="宋体"/>
          <w:u w:val="single"/>
        </w:rPr>
        <w:t xml:space="preserve">   </w:t>
      </w:r>
      <w:r>
        <w:rPr>
          <w:rFonts w:hint="eastAsia" w:ascii="宋体" w:hAnsi="宋体" w:cs="宋体"/>
        </w:rPr>
        <w:t>日内，支付</w:t>
      </w:r>
      <w:r>
        <w:rPr>
          <w:rFonts w:hint="eastAsia" w:ascii="宋体" w:hAnsi="宋体" w:cs="宋体"/>
          <w:u w:val="single"/>
        </w:rPr>
        <w:t xml:space="preserve">   </w:t>
      </w:r>
      <w:r>
        <w:rPr>
          <w:rFonts w:hint="eastAsia" w:ascii="宋体" w:hAnsi="宋体" w:cs="宋体"/>
        </w:rPr>
        <w:t>元（或服务费总额的</w:t>
      </w:r>
      <w:r>
        <w:rPr>
          <w:rFonts w:hint="eastAsia" w:ascii="宋体" w:hAnsi="宋体" w:cs="宋体"/>
          <w:u w:val="single"/>
        </w:rPr>
        <w:t xml:space="preserve">   </w:t>
      </w:r>
      <w:r>
        <w:rPr>
          <w:rFonts w:hint="eastAsia" w:ascii="宋体" w:hAnsi="宋体" w:cs="宋体"/>
        </w:rPr>
        <w:t>%）。</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五.履约验收</w:t>
      </w:r>
    </w:p>
    <w:p>
      <w:pPr>
        <w:pStyle w:val="133"/>
        <w:adjustRightInd w:val="0"/>
        <w:snapToGrid w:val="0"/>
        <w:spacing w:line="400" w:lineRule="exact"/>
        <w:ind w:firstLine="369" w:firstLineChars="176"/>
        <w:jc w:val="both"/>
        <w:rPr>
          <w:rFonts w:ascii="宋体" w:hAnsi="宋体" w:cs="宋体"/>
          <w:sz w:val="21"/>
          <w:szCs w:val="21"/>
        </w:rPr>
      </w:pPr>
      <w:r>
        <w:rPr>
          <w:rFonts w:hint="eastAsia" w:ascii="宋体" w:hAnsi="宋体" w:cs="宋体"/>
          <w:bCs/>
          <w:sz w:val="21"/>
          <w:szCs w:val="21"/>
        </w:rPr>
        <w:t>9.验收时间</w:t>
      </w:r>
      <w:r>
        <w:rPr>
          <w:rFonts w:hint="eastAsia" w:ascii="宋体" w:hAnsi="宋体" w:cs="宋体"/>
          <w:b/>
          <w:bCs/>
          <w:sz w:val="21"/>
          <w:szCs w:val="21"/>
        </w:rPr>
        <w:t>：</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10.验收方式：</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11.验收程序与标准：</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六、甲乙双方权利义务</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12.甲方的权利和义务</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12.1根据需要向乙方以书面形式下达工作任务。</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12.2根据项目要求，监督乙方的服务质量。</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12.3协调乙方在提供服务过程相关的政府部门和单位有关事宜。</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12.4 …</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13.乙方的权利和义务：</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13.1乙方可要求甲方按本合同的规定按时足额拨付项目经费。</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13.2应依法独立完成的工作任务，不得以任何形式转包于其他机构。</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13.3乙方应严格按照服务承诺完成相关工作。</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13.4乙方对甲方提供的资料负有保密义务。</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13.5...</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七、知识产权和使用权</w:t>
      </w:r>
    </w:p>
    <w:p>
      <w:pPr>
        <w:pStyle w:val="133"/>
        <w:adjustRightInd w:val="0"/>
        <w:snapToGrid w:val="0"/>
        <w:spacing w:line="400" w:lineRule="exact"/>
        <w:ind w:firstLine="369" w:firstLineChars="176"/>
        <w:jc w:val="both"/>
        <w:rPr>
          <w:rFonts w:ascii="宋体" w:hAnsi="宋体" w:cs="宋体"/>
          <w:b/>
          <w:bCs/>
          <w:sz w:val="18"/>
          <w:szCs w:val="18"/>
        </w:rPr>
      </w:pPr>
      <w:r>
        <w:rPr>
          <w:rFonts w:hint="eastAsia" w:ascii="宋体" w:hAnsi="宋体" w:cs="宋体"/>
          <w:bCs/>
          <w:sz w:val="21"/>
          <w:szCs w:val="21"/>
        </w:rPr>
        <w:t>14.知识产权和使用权归属：</w:t>
      </w:r>
      <w:r>
        <w:rPr>
          <w:rFonts w:hint="eastAsia" w:ascii="宋体" w:hAnsi="宋体" w:cs="宋体"/>
          <w:sz w:val="18"/>
          <w:szCs w:val="18"/>
          <w:u w:val="single"/>
        </w:rPr>
        <w:t xml:space="preserve">                            </w:t>
      </w:r>
      <w:r>
        <w:rPr>
          <w:rFonts w:hint="eastAsia" w:ascii="宋体" w:hAnsi="宋体" w:cs="宋体"/>
          <w:sz w:val="18"/>
          <w:szCs w:val="18"/>
        </w:rPr>
        <w:t>。</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15.乙方应保证，甲方在使用乙方提供的服务或与服务配套的货物时，免受第三方提出的侵犯其专利权、商标权或工业设计权等的起诉。如果任何第三方提出侵权指控，卖方须与第三方交涉并承担由此发生的一切责任、费用和经济赔偿。</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八、履约保证金和预付款保证金</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16.履约保证金</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16.1 乙方在合同签订后且甲方付款前，向甲方提供相当于合同总价</w:t>
      </w:r>
      <w:r>
        <w:rPr>
          <w:rFonts w:hint="eastAsia" w:ascii="宋体" w:hAnsi="宋体" w:cs="宋体"/>
          <w:bCs/>
          <w:sz w:val="21"/>
          <w:szCs w:val="21"/>
          <w:u w:val="single"/>
        </w:rPr>
        <w:t xml:space="preserve">   </w:t>
      </w:r>
      <w:r>
        <w:rPr>
          <w:rFonts w:hint="eastAsia" w:ascii="宋体" w:hAnsi="宋体" w:cs="宋体"/>
          <w:bCs/>
          <w:sz w:val="21"/>
          <w:szCs w:val="21"/>
        </w:rPr>
        <w:t>%的履约保证金。</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16.2 乙方的履约保证金将在合同执行完成并且甲方完成支付后</w:t>
      </w:r>
      <w:r>
        <w:rPr>
          <w:rFonts w:hint="eastAsia" w:ascii="宋体" w:hAnsi="宋体" w:cs="宋体"/>
          <w:bCs/>
          <w:sz w:val="21"/>
          <w:szCs w:val="21"/>
          <w:u w:val="single"/>
        </w:rPr>
        <w:t xml:space="preserve"> 7 </w:t>
      </w:r>
      <w:r>
        <w:rPr>
          <w:rFonts w:hint="eastAsia" w:ascii="宋体" w:hAnsi="宋体" w:cs="宋体"/>
          <w:bCs/>
          <w:sz w:val="21"/>
          <w:szCs w:val="21"/>
        </w:rPr>
        <w:t>个工作日内提交退款手续办理退保证金事宜。</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16.3 履约保证金以电汇、履约保函或双发约定的其他形式向甲方提供履约保证金。</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17.预付款保函</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17.1 乙方在合同签订后且甲方付款前，向甲方提供相当于合同总价</w:t>
      </w:r>
      <w:r>
        <w:rPr>
          <w:rFonts w:hint="eastAsia" w:ascii="宋体" w:hAnsi="宋体" w:cs="宋体"/>
          <w:bCs/>
          <w:sz w:val="21"/>
          <w:szCs w:val="21"/>
          <w:u w:val="single"/>
        </w:rPr>
        <w:t xml:space="preserve">  </w:t>
      </w:r>
      <w:r>
        <w:rPr>
          <w:rFonts w:hint="eastAsia" w:ascii="宋体" w:hAnsi="宋体" w:cs="宋体"/>
          <w:bCs/>
          <w:sz w:val="21"/>
          <w:szCs w:val="21"/>
        </w:rPr>
        <w:t>%的预付款保函。</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17.2 乙方的预付款保函将在合同执行完成并且甲方完成支付后</w:t>
      </w:r>
      <w:r>
        <w:rPr>
          <w:rFonts w:hint="eastAsia" w:ascii="宋体" w:hAnsi="宋体" w:cs="宋体"/>
          <w:bCs/>
          <w:sz w:val="21"/>
          <w:szCs w:val="21"/>
          <w:u w:val="single"/>
        </w:rPr>
        <w:t xml:space="preserve"> 7 </w:t>
      </w:r>
      <w:r>
        <w:rPr>
          <w:rFonts w:hint="eastAsia" w:ascii="宋体" w:hAnsi="宋体" w:cs="宋体"/>
          <w:bCs/>
          <w:sz w:val="21"/>
          <w:szCs w:val="21"/>
        </w:rPr>
        <w:t>个工作日内提交退款手续办理退预付款保函事宜。</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17.3 预付款保函以电汇、履约保函或双发约定的其他形式向甲方提供履约保证金。</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九、违约责任</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18.因乙方提供的服务使合同标的无法实现的；乙方转包服务的；或未按规定时间提供服务逾期超过</w:t>
      </w:r>
      <w:r>
        <w:rPr>
          <w:rFonts w:hint="eastAsia" w:ascii="宋体" w:hAnsi="宋体" w:cs="宋体"/>
          <w:bCs/>
          <w:sz w:val="21"/>
          <w:szCs w:val="21"/>
          <w:u w:val="single"/>
        </w:rPr>
        <w:t xml:space="preserve">   </w:t>
      </w:r>
      <w:r>
        <w:rPr>
          <w:rFonts w:hint="eastAsia" w:ascii="宋体" w:hAnsi="宋体" w:cs="宋体"/>
          <w:bCs/>
          <w:sz w:val="21"/>
          <w:szCs w:val="21"/>
        </w:rPr>
        <w:t>天以上的，甲方有权解除合同，乙方须向甲方支付本合同总价___%的违约金。</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十、不可抗力</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19.不可抗力指下列事件：战争、动乱、瘟疫、严重火灾、洪水、地震、风暴或其他自然灾害，以及本合同各方不可预见、不可防止并不能避免或克服的一切其他因素及事件。</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20.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21.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22.合同各方应根据不可抗力对本合同履行的影响程度，协商确定是否终止本合同，或是继续履行本合同。</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十一、保密条款</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23.任何一方对其获知的本合同及附件中其他各方的商业秘密和国家秘密负有保密义务。</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24.在下列情形下：当发布中标公告和其它公告时，当国家机关调查、审查、审计时，以及其他符合法律规定的情形下，无须事先征求投标人/中标供应商同意而可以披露关于采购过程、合同文本、签署情况的资料、投标人/中标供应商的名称及地址、采购内容的有关信息以及补充条款等，但应当在合理的必要范围内。对任何已经公布过的内容或与之内容相同的资料，以及投标人/中标供应商已经泄露或公开的，无须再承担保密责任。</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25.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十二、合同的解释和法律适用</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26.任何一方对本合同及其附件的解释均应遵循诚实信用原则,依照本合同签订时有效的中国法律、法规以及通常的理解进行。</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27.本合同标题仅供查阅方便，并非对本合同的诠释或解释；本合同中以日表述的时间期限均指自然日。</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28.对本合同的任何解释均应以书面作出。</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29.本合同及附件的订立、效力、解释、履行、争议的解决等适用本合同签订时有效的中华人民共和国法律、法规的有关规定。</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十三、合同的终止</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30.本合同因下列原因而终止：</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30.1本合同正常履行完毕。</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30.2合同双方协议终止本合同的履行。</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30.3不可抗力事件导致本合同无法履行或履行不必要。</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30.4任何一方行使解除权，解除本合同。</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31.对本合同终止有过错的一方应赔偿另一方因合同终止而受到的损失。对合同终止双方均无过错的，则各自承担所受到的损失。</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十四、权利的保留</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32.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33.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十五、争议的解决</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34.合同双方应通过友好协商解决因解释﹑执行本合同所发生的和本合同有关的一切争议。如果经协商不能达成协议，则双方同意：</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34.1 在甲方住所地有管辖权的人民法院提起诉讼；</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34.2 由贸易仲裁委员会根据其现行有效的仲裁程序进行仲裁。仲裁裁决为最终裁决对双方均具有约束力。</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35.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36.在争议解决期间，除了诉讼或仲裁进行过程中正在解决的那部分问题外，合同其余部分应继续履行。</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十六、合同的补充修改和变更</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37.双方协商一致，可以对本合同进行补充、修改或变更。</w:t>
      </w:r>
    </w:p>
    <w:p>
      <w:pPr>
        <w:pStyle w:val="133"/>
        <w:adjustRightInd w:val="0"/>
        <w:snapToGrid w:val="0"/>
        <w:spacing w:line="400" w:lineRule="exact"/>
        <w:ind w:firstLine="369" w:firstLineChars="176"/>
        <w:jc w:val="both"/>
        <w:rPr>
          <w:rFonts w:ascii="宋体" w:hAnsi="宋体" w:cs="宋体"/>
          <w:bCs/>
        </w:rPr>
      </w:pPr>
      <w:r>
        <w:rPr>
          <w:rFonts w:hint="eastAsia" w:ascii="宋体" w:hAnsi="宋体" w:cs="宋体"/>
          <w:bCs/>
          <w:sz w:val="21"/>
          <w:szCs w:val="21"/>
        </w:rPr>
        <w:t>38.对本合同的补充、修改或变更必须以书面形式进行，并由乙方自签订补充合同之日起五日内报采购代理机构备案。补充、修改或变更的协议的签署及生效方式与本合同的签署及生效方式相同。</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39.招投标文件及其全部条款、双方签订的补充协议以及修改或变更的条款与本合同具有同等法律效力。</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十七、合同的生效</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40.本合同经双方法定代表人（负责人）或授权代表签字并加盖单位公章后生效。</w:t>
      </w:r>
    </w:p>
    <w:p>
      <w:pPr>
        <w:pStyle w:val="133"/>
        <w:adjustRightInd w:val="0"/>
        <w:snapToGrid w:val="0"/>
        <w:spacing w:line="400" w:lineRule="exact"/>
        <w:ind w:firstLine="417" w:firstLineChars="149"/>
        <w:jc w:val="both"/>
        <w:rPr>
          <w:rFonts w:ascii="宋体" w:hAnsi="宋体" w:cs="宋体"/>
          <w:b/>
          <w:bCs/>
          <w:sz w:val="28"/>
          <w:szCs w:val="28"/>
        </w:rPr>
      </w:pPr>
      <w:r>
        <w:rPr>
          <w:rFonts w:hint="eastAsia" w:ascii="宋体" w:hAnsi="宋体" w:cs="宋体"/>
          <w:b/>
          <w:bCs/>
          <w:sz w:val="28"/>
          <w:szCs w:val="28"/>
        </w:rPr>
        <w:t>十八、其他约定事项</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41.本合同中的附件均为本合同不可分割的部分，与本合同具有相同的法律效力。</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42.一方当事人未经另一方事先书面同意，不得将其在合同项下的权利或义务全部或部分转让给第三人，有关分包事项或服务委托等须事先取得采购代理机构书面同意并且须遵守相关法律、法规；有关联合投标须在本次招标允许的情况下并须符合本次招标的全部规定。</w:t>
      </w:r>
    </w:p>
    <w:p>
      <w:pPr>
        <w:pStyle w:val="133"/>
        <w:adjustRightInd w:val="0"/>
        <w:snapToGrid w:val="0"/>
        <w:spacing w:line="400" w:lineRule="exact"/>
        <w:ind w:firstLine="369" w:firstLineChars="176"/>
        <w:jc w:val="both"/>
        <w:rPr>
          <w:rFonts w:ascii="宋体" w:hAnsi="宋体" w:cs="宋体"/>
          <w:bCs/>
          <w:sz w:val="21"/>
          <w:szCs w:val="21"/>
        </w:rPr>
      </w:pPr>
      <w:r>
        <w:rPr>
          <w:rFonts w:hint="eastAsia" w:ascii="宋体" w:hAnsi="宋体" w:cs="宋体"/>
          <w:bCs/>
          <w:sz w:val="21"/>
          <w:szCs w:val="21"/>
        </w:rPr>
        <w:t>43.本合同正本一式</w:t>
      </w:r>
      <w:r>
        <w:rPr>
          <w:rFonts w:hint="eastAsia" w:ascii="宋体" w:hAnsi="宋体" w:cs="宋体"/>
          <w:bCs/>
          <w:sz w:val="21"/>
          <w:szCs w:val="21"/>
          <w:u w:val="single"/>
        </w:rPr>
        <w:t xml:space="preserve">   </w:t>
      </w:r>
      <w:r>
        <w:rPr>
          <w:rFonts w:hint="eastAsia" w:ascii="宋体" w:hAnsi="宋体" w:cs="宋体"/>
          <w:bCs/>
          <w:sz w:val="21"/>
          <w:szCs w:val="21"/>
        </w:rPr>
        <w:t>份，甲、乙双方各执</w:t>
      </w:r>
      <w:r>
        <w:rPr>
          <w:rFonts w:hint="eastAsia" w:ascii="宋体" w:hAnsi="宋体" w:cs="宋体"/>
          <w:bCs/>
          <w:sz w:val="21"/>
          <w:szCs w:val="21"/>
          <w:u w:val="single"/>
        </w:rPr>
        <w:t xml:space="preserve">  </w:t>
      </w:r>
      <w:r>
        <w:rPr>
          <w:rFonts w:hint="eastAsia" w:ascii="宋体" w:hAnsi="宋体" w:cs="宋体"/>
          <w:bCs/>
          <w:sz w:val="21"/>
          <w:szCs w:val="21"/>
        </w:rPr>
        <w:t>份，每份正本具有同等法律效力。</w:t>
      </w:r>
    </w:p>
    <w:p>
      <w:pPr>
        <w:snapToGrid w:val="0"/>
        <w:spacing w:line="400" w:lineRule="exact"/>
        <w:rPr>
          <w:rFonts w:ascii="宋体" w:hAnsi="宋体" w:cs="宋体"/>
          <w:b/>
          <w:bCs/>
          <w:szCs w:val="21"/>
        </w:rPr>
      </w:pPr>
    </w:p>
    <w:p>
      <w:pPr>
        <w:snapToGrid w:val="0"/>
        <w:spacing w:line="400" w:lineRule="exact"/>
        <w:rPr>
          <w:rFonts w:ascii="宋体" w:hAnsi="宋体" w:cs="宋体"/>
          <w:b/>
          <w:bCs/>
          <w:sz w:val="28"/>
          <w:szCs w:val="28"/>
        </w:rPr>
      </w:pPr>
      <w:r>
        <w:rPr>
          <w:rFonts w:hint="eastAsia" w:ascii="宋体" w:hAnsi="宋体" w:cs="宋体"/>
          <w:b/>
          <w:bCs/>
          <w:sz w:val="28"/>
          <w:szCs w:val="28"/>
        </w:rPr>
        <w:t>甲乙双方签字盖公章：</w:t>
      </w:r>
    </w:p>
    <w:p>
      <w:pPr>
        <w:snapToGrid w:val="0"/>
        <w:spacing w:line="400" w:lineRule="exact"/>
        <w:rPr>
          <w:rFonts w:ascii="宋体" w:hAnsi="宋体" w:cs="宋体"/>
        </w:rPr>
      </w:pPr>
    </w:p>
    <w:p>
      <w:pPr>
        <w:snapToGrid w:val="0"/>
        <w:spacing w:line="400" w:lineRule="exact"/>
        <w:rPr>
          <w:rFonts w:ascii="宋体" w:hAnsi="宋体" w:cs="宋体"/>
        </w:rPr>
      </w:pPr>
      <w:r>
        <w:rPr>
          <w:rFonts w:hint="eastAsia" w:ascii="宋体" w:hAnsi="宋体" w:cs="宋体"/>
        </w:rPr>
        <w:t>甲方：</w:t>
      </w:r>
    </w:p>
    <w:p>
      <w:pPr>
        <w:snapToGrid w:val="0"/>
        <w:spacing w:line="400" w:lineRule="exact"/>
        <w:rPr>
          <w:rFonts w:ascii="宋体" w:hAnsi="宋体" w:cs="宋体"/>
        </w:rPr>
      </w:pPr>
      <w:r>
        <w:rPr>
          <w:rFonts w:hint="eastAsia" w:ascii="宋体" w:hAnsi="宋体" w:cs="宋体"/>
        </w:rPr>
        <w:t>联系人：</w:t>
      </w:r>
    </w:p>
    <w:p>
      <w:pPr>
        <w:snapToGrid w:val="0"/>
        <w:spacing w:line="400" w:lineRule="exact"/>
        <w:rPr>
          <w:rFonts w:ascii="宋体" w:hAnsi="宋体" w:cs="宋体"/>
        </w:rPr>
      </w:pPr>
      <w:r>
        <w:rPr>
          <w:rFonts w:hint="eastAsia" w:ascii="宋体" w:hAnsi="宋体" w:cs="宋体"/>
        </w:rPr>
        <w:t>地址：                                      邮编：</w:t>
      </w:r>
    </w:p>
    <w:p>
      <w:pPr>
        <w:snapToGrid w:val="0"/>
        <w:spacing w:line="400" w:lineRule="exact"/>
        <w:rPr>
          <w:rFonts w:ascii="宋体" w:hAnsi="宋体" w:cs="宋体"/>
        </w:rPr>
      </w:pPr>
      <w:r>
        <w:rPr>
          <w:rFonts w:hint="eastAsia" w:ascii="宋体" w:hAnsi="宋体" w:cs="宋体"/>
        </w:rPr>
        <w:t>电话：                                      传真：</w:t>
      </w:r>
    </w:p>
    <w:p>
      <w:pPr>
        <w:snapToGrid w:val="0"/>
        <w:spacing w:line="400" w:lineRule="exact"/>
        <w:rPr>
          <w:rFonts w:ascii="宋体" w:hAnsi="宋体" w:cs="宋体"/>
        </w:rPr>
      </w:pPr>
      <w:r>
        <w:rPr>
          <w:rFonts w:hint="eastAsia" w:ascii="宋体" w:hAnsi="宋体" w:cs="宋体"/>
        </w:rPr>
        <w:t>开户银行及帐号：</w:t>
      </w:r>
    </w:p>
    <w:p>
      <w:pPr>
        <w:snapToGrid w:val="0"/>
        <w:spacing w:line="400" w:lineRule="exact"/>
        <w:rPr>
          <w:rFonts w:ascii="宋体" w:hAnsi="宋体" w:cs="宋体"/>
        </w:rPr>
      </w:pPr>
      <w:r>
        <w:rPr>
          <w:rFonts w:hint="eastAsia" w:ascii="宋体" w:hAnsi="宋体" w:cs="宋体"/>
        </w:rPr>
        <w:t>法人或授权代表：</w:t>
      </w:r>
      <w:r>
        <w:rPr>
          <w:rFonts w:hint="eastAsia" w:ascii="宋体" w:hAnsi="宋体" w:cs="宋体"/>
          <w:u w:val="single"/>
        </w:rPr>
        <w:t>（签名）</w:t>
      </w:r>
    </w:p>
    <w:p>
      <w:pPr>
        <w:snapToGrid w:val="0"/>
        <w:spacing w:line="400" w:lineRule="exact"/>
        <w:ind w:right="480" w:firstLine="4200" w:firstLineChars="2000"/>
        <w:rPr>
          <w:rFonts w:ascii="宋体" w:hAnsi="宋体" w:cs="宋体"/>
        </w:rPr>
      </w:pPr>
    </w:p>
    <w:p>
      <w:pPr>
        <w:snapToGrid w:val="0"/>
        <w:spacing w:line="400" w:lineRule="exact"/>
        <w:ind w:right="480" w:firstLine="5040" w:firstLineChars="2400"/>
        <w:rPr>
          <w:rFonts w:ascii="宋体" w:hAnsi="宋体" w:cs="宋体"/>
        </w:rPr>
      </w:pPr>
      <w:r>
        <w:rPr>
          <w:rFonts w:hint="eastAsia" w:ascii="宋体" w:hAnsi="宋体" w:cs="宋体"/>
        </w:rPr>
        <w:t>年  月  日</w:t>
      </w:r>
    </w:p>
    <w:p>
      <w:pPr>
        <w:snapToGrid w:val="0"/>
        <w:spacing w:line="400" w:lineRule="exact"/>
        <w:rPr>
          <w:rFonts w:ascii="宋体" w:hAnsi="宋体" w:cs="宋体"/>
        </w:rPr>
      </w:pPr>
      <w:r>
        <w:rPr>
          <w:rFonts w:hint="eastAsia" w:ascii="宋体" w:hAnsi="宋体" w:cs="宋体"/>
        </w:rPr>
        <w:t>乙方：</w:t>
      </w:r>
      <w:r>
        <w:rPr>
          <w:rFonts w:hint="eastAsia" w:ascii="宋体" w:hAnsi="宋体" w:cs="宋体"/>
        </w:rPr>
        <w:tab/>
      </w:r>
    </w:p>
    <w:p>
      <w:pPr>
        <w:snapToGrid w:val="0"/>
        <w:spacing w:line="400" w:lineRule="exact"/>
        <w:rPr>
          <w:rFonts w:ascii="宋体" w:hAnsi="宋体" w:cs="宋体"/>
        </w:rPr>
      </w:pPr>
      <w:r>
        <w:rPr>
          <w:rFonts w:hint="eastAsia" w:ascii="宋体" w:hAnsi="宋体" w:cs="宋体"/>
        </w:rPr>
        <w:t>联系人：</w:t>
      </w:r>
    </w:p>
    <w:p>
      <w:pPr>
        <w:snapToGrid w:val="0"/>
        <w:spacing w:line="400" w:lineRule="exact"/>
        <w:rPr>
          <w:rFonts w:ascii="宋体" w:hAnsi="宋体" w:cs="宋体"/>
        </w:rPr>
      </w:pPr>
      <w:r>
        <w:rPr>
          <w:rFonts w:hint="eastAsia" w:ascii="宋体" w:hAnsi="宋体" w:cs="宋体"/>
        </w:rPr>
        <w:t>地址：                                      邮编：</w:t>
      </w:r>
    </w:p>
    <w:p>
      <w:pPr>
        <w:snapToGrid w:val="0"/>
        <w:spacing w:line="400" w:lineRule="exact"/>
        <w:rPr>
          <w:rFonts w:ascii="宋体" w:hAnsi="宋体" w:cs="宋体"/>
        </w:rPr>
      </w:pPr>
      <w:r>
        <w:rPr>
          <w:rFonts w:hint="eastAsia" w:ascii="宋体" w:hAnsi="宋体" w:cs="宋体"/>
        </w:rPr>
        <w:t>电话：                                      传真：</w:t>
      </w:r>
    </w:p>
    <w:p>
      <w:pPr>
        <w:snapToGrid w:val="0"/>
        <w:spacing w:line="400" w:lineRule="exact"/>
        <w:rPr>
          <w:rFonts w:ascii="宋体" w:hAnsi="宋体" w:cs="宋体"/>
        </w:rPr>
      </w:pPr>
      <w:r>
        <w:rPr>
          <w:rFonts w:hint="eastAsia" w:ascii="宋体" w:hAnsi="宋体" w:cs="宋体"/>
        </w:rPr>
        <w:t>开户银行及帐号：</w:t>
      </w:r>
    </w:p>
    <w:p>
      <w:pPr>
        <w:snapToGrid w:val="0"/>
        <w:spacing w:line="400" w:lineRule="exact"/>
        <w:rPr>
          <w:rFonts w:ascii="宋体" w:hAnsi="宋体" w:cs="宋体"/>
        </w:rPr>
      </w:pPr>
      <w:r>
        <w:rPr>
          <w:rFonts w:hint="eastAsia" w:ascii="宋体" w:hAnsi="宋体" w:cs="宋体"/>
        </w:rPr>
        <w:t>法人或授权代表：</w:t>
      </w:r>
      <w:r>
        <w:rPr>
          <w:rFonts w:hint="eastAsia" w:ascii="宋体" w:hAnsi="宋体" w:cs="宋体"/>
          <w:u w:val="single"/>
        </w:rPr>
        <w:t>（签名）</w:t>
      </w:r>
    </w:p>
    <w:p>
      <w:pPr>
        <w:snapToGrid w:val="0"/>
        <w:spacing w:line="400" w:lineRule="exact"/>
        <w:ind w:right="480" w:firstLine="4200" w:firstLineChars="2000"/>
        <w:rPr>
          <w:rFonts w:ascii="宋体" w:hAnsi="宋体" w:cs="宋体"/>
        </w:rPr>
      </w:pPr>
    </w:p>
    <w:p>
      <w:pPr>
        <w:pStyle w:val="51"/>
        <w:ind w:right="142" w:firstLine="0" w:firstLineChars="0"/>
        <w:rPr>
          <w:rFonts w:ascii="宋体" w:hAnsi="宋体" w:cs="宋体"/>
          <w:sz w:val="18"/>
          <w:szCs w:val="18"/>
        </w:rPr>
      </w:pPr>
      <w:r>
        <w:rPr>
          <w:rFonts w:hint="eastAsia" w:ascii="宋体" w:hAnsi="宋体" w:cs="宋体"/>
        </w:rPr>
        <w:t>年  月  日</w:t>
      </w:r>
    </w:p>
    <w:p>
      <w:pPr>
        <w:ind w:firstLine="420" w:firstLineChars="200"/>
        <w:rPr>
          <w:rFonts w:ascii="宋体" w:hAnsi="宋体" w:cs="宋体"/>
          <w:szCs w:val="21"/>
        </w:rPr>
      </w:pPr>
    </w:p>
    <w:p>
      <w:pPr>
        <w:widowControl/>
        <w:jc w:val="left"/>
        <w:rPr>
          <w:rFonts w:ascii="宋体" w:hAnsi="宋体" w:cs="宋体"/>
          <w:bCs/>
          <w:szCs w:val="21"/>
          <w:lang w:val="zh-CN"/>
        </w:rPr>
      </w:pPr>
      <w:r>
        <w:rPr>
          <w:rFonts w:hint="eastAsia" w:ascii="宋体" w:hAnsi="宋体" w:cs="宋体"/>
          <w:bCs/>
          <w:szCs w:val="21"/>
          <w:lang w:val="zh-CN"/>
        </w:rPr>
        <w:br w:type="page"/>
      </w:r>
    </w:p>
    <w:p>
      <w:pPr>
        <w:pStyle w:val="163"/>
        <w:snapToGrid w:val="0"/>
        <w:spacing w:afterLines="50"/>
        <w:jc w:val="left"/>
        <w:outlineLvl w:val="0"/>
        <w:rPr>
          <w:rFonts w:hAnsi="宋体" w:cs="宋体"/>
          <w:sz w:val="24"/>
          <w:szCs w:val="24"/>
        </w:rPr>
      </w:pPr>
      <w:bookmarkStart w:id="146" w:name="_Toc29525"/>
      <w:bookmarkStart w:id="147" w:name="_Toc5727"/>
      <w:bookmarkStart w:id="148" w:name="_Toc29547243"/>
      <w:r>
        <w:rPr>
          <w:rFonts w:hint="eastAsia" w:hAnsi="宋体" w:cs="宋体"/>
          <w:sz w:val="24"/>
          <w:szCs w:val="24"/>
        </w:rPr>
        <w:t>合同附件一：</w:t>
      </w:r>
      <w:bookmarkEnd w:id="146"/>
      <w:bookmarkEnd w:id="147"/>
    </w:p>
    <w:p>
      <w:pPr>
        <w:snapToGrid w:val="0"/>
        <w:spacing w:line="400" w:lineRule="exact"/>
        <w:jc w:val="center"/>
        <w:rPr>
          <w:rFonts w:ascii="宋体" w:hAnsi="宋体" w:cs="宋体"/>
          <w:caps/>
          <w:sz w:val="36"/>
          <w:szCs w:val="36"/>
        </w:rPr>
      </w:pPr>
      <w:r>
        <w:rPr>
          <w:rFonts w:hint="eastAsia" w:ascii="宋体" w:hAnsi="宋体" w:cs="宋体"/>
          <w:caps/>
          <w:sz w:val="36"/>
          <w:szCs w:val="36"/>
        </w:rPr>
        <w:t>履约保证金担保函</w:t>
      </w:r>
    </w:p>
    <w:p>
      <w:pPr>
        <w:snapToGrid w:val="0"/>
        <w:spacing w:line="400" w:lineRule="exact"/>
        <w:rPr>
          <w:rFonts w:ascii="宋体" w:hAnsi="宋体" w:cs="宋体"/>
          <w:szCs w:val="21"/>
        </w:rPr>
      </w:pPr>
    </w:p>
    <w:p>
      <w:pPr>
        <w:snapToGrid w:val="0"/>
        <w:spacing w:line="400" w:lineRule="exact"/>
        <w:rPr>
          <w:rFonts w:ascii="宋体" w:hAnsi="宋体" w:cs="宋体"/>
          <w:b/>
          <w:szCs w:val="21"/>
        </w:rPr>
      </w:pPr>
      <w:r>
        <w:rPr>
          <w:rFonts w:hint="eastAsia" w:ascii="宋体" w:hAnsi="宋体" w:cs="宋体"/>
          <w:szCs w:val="21"/>
        </w:rPr>
        <w:t>编号：</w:t>
      </w:r>
    </w:p>
    <w:p>
      <w:pPr>
        <w:snapToGrid w:val="0"/>
        <w:spacing w:line="400" w:lineRule="exact"/>
        <w:rPr>
          <w:rFonts w:ascii="宋体" w:hAnsi="宋体" w:cs="宋体"/>
          <w:szCs w:val="21"/>
        </w:rPr>
      </w:pPr>
      <w:r>
        <w:rPr>
          <w:rFonts w:hint="eastAsia" w:ascii="宋体" w:hAnsi="宋体" w:cs="宋体"/>
          <w:szCs w:val="21"/>
          <w:u w:val="single"/>
        </w:rPr>
        <w:t>（填写买方名称）</w:t>
      </w:r>
      <w:r>
        <w:rPr>
          <w:rFonts w:hint="eastAsia" w:ascii="宋体" w:hAnsi="宋体" w:cs="宋体"/>
          <w:szCs w:val="21"/>
        </w:rPr>
        <w:t xml:space="preserve">： </w:t>
      </w:r>
    </w:p>
    <w:p>
      <w:pPr>
        <w:snapToGrid w:val="0"/>
        <w:spacing w:line="400" w:lineRule="exact"/>
        <w:ind w:firstLine="420" w:firstLineChars="200"/>
        <w:rPr>
          <w:rFonts w:ascii="宋体" w:hAnsi="宋体" w:cs="宋体"/>
          <w:szCs w:val="21"/>
        </w:rPr>
      </w:pPr>
    </w:p>
    <w:p>
      <w:pPr>
        <w:snapToGrid w:val="0"/>
        <w:spacing w:line="400" w:lineRule="exact"/>
        <w:ind w:firstLine="420" w:firstLineChars="200"/>
        <w:rPr>
          <w:rFonts w:ascii="宋体" w:hAnsi="宋体" w:cs="宋体"/>
          <w:szCs w:val="21"/>
          <w:u w:val="single"/>
        </w:rPr>
      </w:pPr>
      <w:r>
        <w:rPr>
          <w:rFonts w:hint="eastAsia" w:ascii="宋体" w:hAnsi="宋体" w:cs="宋体"/>
          <w:szCs w:val="21"/>
        </w:rPr>
        <w:t>鉴于你方与</w:t>
      </w:r>
      <w:r>
        <w:rPr>
          <w:rFonts w:hint="eastAsia" w:ascii="宋体" w:hAnsi="宋体" w:cs="宋体"/>
          <w:szCs w:val="21"/>
          <w:u w:val="single"/>
        </w:rPr>
        <w:t>（填写供应商名称）</w:t>
      </w:r>
      <w:r>
        <w:rPr>
          <w:rFonts w:hint="eastAsia" w:ascii="宋体" w:hAnsi="宋体" w:cs="宋体"/>
          <w:szCs w:val="21"/>
        </w:rPr>
        <w:t>（以下简称供应商）于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日签定的《</w:t>
      </w:r>
      <w:r>
        <w:rPr>
          <w:rFonts w:hint="eastAsia" w:ascii="宋体" w:hAnsi="宋体" w:cs="宋体"/>
          <w:szCs w:val="21"/>
          <w:u w:val="single"/>
        </w:rPr>
        <w:t xml:space="preserve">    </w:t>
      </w:r>
      <w:r>
        <w:rPr>
          <w:rFonts w:hint="eastAsia" w:ascii="宋体" w:hAnsi="宋体" w:cs="宋体"/>
          <w:szCs w:val="21"/>
        </w:rPr>
        <w:t>政府采购合同》（以下简称主合同），且依据该合同的约定，供应商应在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日前向你方交纳履约保证金，且可以履约担保函的形式交纳履约保证金。应供应商的申请，我方以保证的方式向你方提供如下履约保证金担保：</w:t>
      </w:r>
    </w:p>
    <w:p>
      <w:pPr>
        <w:snapToGrid w:val="0"/>
        <w:spacing w:line="400" w:lineRule="exact"/>
        <w:ind w:firstLine="420" w:firstLineChars="200"/>
        <w:rPr>
          <w:rFonts w:ascii="宋体" w:hAnsi="宋体" w:cs="宋体"/>
          <w:b/>
          <w:szCs w:val="21"/>
        </w:rPr>
      </w:pPr>
      <w:r>
        <w:rPr>
          <w:rFonts w:hint="eastAsia" w:ascii="宋体" w:hAnsi="宋体" w:cs="宋体"/>
          <w:b/>
          <w:szCs w:val="21"/>
        </w:rPr>
        <w:t>一、保证责任的情形及保证金额</w:t>
      </w:r>
    </w:p>
    <w:p>
      <w:pPr>
        <w:snapToGrid w:val="0"/>
        <w:spacing w:line="400" w:lineRule="exact"/>
        <w:ind w:firstLine="420" w:firstLineChars="200"/>
        <w:rPr>
          <w:rFonts w:ascii="宋体" w:hAnsi="宋体" w:cs="宋体"/>
          <w:szCs w:val="21"/>
        </w:rPr>
      </w:pPr>
      <w:r>
        <w:rPr>
          <w:rFonts w:hint="eastAsia" w:ascii="宋体" w:hAnsi="宋体" w:cs="宋体"/>
          <w:szCs w:val="21"/>
        </w:rPr>
        <w:t>（一）在供应商出现下列情形之一时，我方承担保证责任：</w:t>
      </w:r>
    </w:p>
    <w:p>
      <w:pPr>
        <w:snapToGrid w:val="0"/>
        <w:spacing w:line="400" w:lineRule="exact"/>
        <w:ind w:firstLine="420" w:firstLineChars="200"/>
        <w:rPr>
          <w:rFonts w:ascii="宋体" w:hAnsi="宋体" w:cs="宋体"/>
          <w:szCs w:val="21"/>
        </w:rPr>
      </w:pPr>
      <w:r>
        <w:rPr>
          <w:rFonts w:hint="eastAsia" w:ascii="宋体" w:hAnsi="宋体" w:cs="宋体"/>
          <w:szCs w:val="21"/>
        </w:rPr>
        <w:t>1.将中标项目转让给他人，或者在投标文件中未说明，且未经采购人同意，将中标项目分包给他人的；</w:t>
      </w:r>
    </w:p>
    <w:p>
      <w:pPr>
        <w:snapToGrid w:val="0"/>
        <w:spacing w:line="400" w:lineRule="exact"/>
        <w:ind w:firstLine="420" w:firstLineChars="200"/>
        <w:rPr>
          <w:rFonts w:ascii="宋体" w:hAnsi="宋体" w:cs="宋体"/>
          <w:szCs w:val="21"/>
          <w:u w:val="single"/>
        </w:rPr>
      </w:pPr>
      <w:r>
        <w:rPr>
          <w:rFonts w:hint="eastAsia" w:ascii="宋体" w:hAnsi="宋体" w:cs="宋体"/>
          <w:szCs w:val="21"/>
        </w:rPr>
        <w:t>2.未按主合同约定的质量、数量和期限执行的。</w:t>
      </w:r>
    </w:p>
    <w:p>
      <w:pPr>
        <w:snapToGrid w:val="0"/>
        <w:spacing w:line="400" w:lineRule="exact"/>
        <w:ind w:firstLine="420" w:firstLineChars="200"/>
        <w:rPr>
          <w:rFonts w:ascii="宋体" w:hAnsi="宋体" w:cs="宋体"/>
          <w:szCs w:val="21"/>
        </w:rPr>
      </w:pPr>
      <w:r>
        <w:rPr>
          <w:rFonts w:hint="eastAsia" w:ascii="宋体" w:hAnsi="宋体" w:cs="宋体"/>
          <w:szCs w:val="21"/>
        </w:rPr>
        <w:t>（二）我方的保证范围是主合同约定的合同价款总额的</w:t>
      </w:r>
      <w:r>
        <w:rPr>
          <w:rFonts w:hint="eastAsia" w:ascii="宋体" w:hAnsi="宋体" w:cs="宋体"/>
          <w:szCs w:val="21"/>
          <w:u w:val="single"/>
        </w:rPr>
        <w:t xml:space="preserve">  </w:t>
      </w:r>
      <w:r>
        <w:rPr>
          <w:rFonts w:hint="eastAsia" w:ascii="宋体" w:hAnsi="宋体" w:cs="宋体"/>
          <w:szCs w:val="21"/>
        </w:rPr>
        <w:t>%数额为</w:t>
      </w:r>
      <w:r>
        <w:rPr>
          <w:rFonts w:hint="eastAsia" w:ascii="宋体" w:hAnsi="宋体" w:cs="宋体"/>
        </w:rPr>
        <w:t>人民币</w:t>
      </w:r>
      <w:r>
        <w:rPr>
          <w:rFonts w:hint="eastAsia" w:ascii="宋体" w:hAnsi="宋体" w:cs="宋体"/>
          <w:u w:val="single"/>
        </w:rPr>
        <w:t xml:space="preserve">  大写金额  </w:t>
      </w:r>
      <w:r>
        <w:rPr>
          <w:rFonts w:hint="eastAsia" w:ascii="宋体" w:hAnsi="宋体" w:cs="宋体"/>
        </w:rPr>
        <w:t>元整（</w:t>
      </w:r>
      <w:r>
        <w:rPr>
          <w:rFonts w:hint="eastAsia" w:ascii="宋体" w:hAnsi="宋体" w:cs="宋体"/>
          <w:bCs/>
        </w:rPr>
        <w:t>¥</w:t>
      </w:r>
      <w:r>
        <w:rPr>
          <w:rFonts w:hint="eastAsia" w:ascii="宋体" w:hAnsi="宋体" w:cs="宋体"/>
          <w:bCs/>
          <w:u w:val="single"/>
        </w:rPr>
        <w:t>小写</w:t>
      </w:r>
      <w:r>
        <w:rPr>
          <w:rFonts w:hint="eastAsia" w:ascii="宋体" w:hAnsi="宋体" w:cs="宋体"/>
        </w:rPr>
        <w:t>）</w:t>
      </w:r>
      <w:r>
        <w:rPr>
          <w:rFonts w:hint="eastAsia" w:ascii="宋体" w:hAnsi="宋体" w:cs="宋体"/>
          <w:szCs w:val="21"/>
        </w:rPr>
        <w:t>。（即主合同履约保证金金额）</w:t>
      </w:r>
    </w:p>
    <w:p>
      <w:pPr>
        <w:snapToGrid w:val="0"/>
        <w:spacing w:line="400" w:lineRule="exact"/>
        <w:ind w:firstLine="420" w:firstLineChars="200"/>
        <w:rPr>
          <w:rFonts w:ascii="宋体" w:hAnsi="宋体" w:cs="宋体"/>
          <w:b/>
          <w:szCs w:val="21"/>
        </w:rPr>
      </w:pPr>
      <w:r>
        <w:rPr>
          <w:rFonts w:hint="eastAsia" w:ascii="宋体" w:hAnsi="宋体" w:cs="宋体"/>
          <w:b/>
          <w:szCs w:val="21"/>
        </w:rPr>
        <w:t xml:space="preserve">二、保证的方式及保证期间 </w:t>
      </w:r>
    </w:p>
    <w:p>
      <w:pPr>
        <w:snapToGrid w:val="0"/>
        <w:spacing w:line="400" w:lineRule="exact"/>
        <w:ind w:firstLine="420" w:firstLineChars="200"/>
        <w:rPr>
          <w:rFonts w:ascii="宋体" w:hAnsi="宋体" w:cs="宋体"/>
          <w:szCs w:val="21"/>
        </w:rPr>
      </w:pPr>
      <w:r>
        <w:rPr>
          <w:rFonts w:hint="eastAsia" w:ascii="宋体" w:hAnsi="宋体" w:cs="宋体"/>
          <w:szCs w:val="21"/>
        </w:rPr>
        <w:t xml:space="preserve">我方保证的方式为：连带责任保证。 </w:t>
      </w:r>
    </w:p>
    <w:p>
      <w:pPr>
        <w:snapToGrid w:val="0"/>
        <w:spacing w:line="400" w:lineRule="exact"/>
        <w:ind w:firstLine="420" w:firstLineChars="200"/>
        <w:rPr>
          <w:rFonts w:ascii="宋体" w:hAnsi="宋体" w:cs="宋体"/>
          <w:szCs w:val="21"/>
        </w:rPr>
      </w:pPr>
      <w:r>
        <w:rPr>
          <w:rFonts w:hint="eastAsia" w:ascii="宋体" w:hAnsi="宋体" w:cs="宋体"/>
          <w:szCs w:val="21"/>
        </w:rPr>
        <w:t>我方保证的期间为：自本合同生效之日起至供应商按照主合同约定的</w:t>
      </w:r>
      <w:r>
        <w:rPr>
          <w:rFonts w:hint="eastAsia" w:ascii="宋体" w:hAnsi="宋体" w:cs="宋体"/>
          <w:szCs w:val="21"/>
          <w:u w:val="single"/>
        </w:rPr>
        <w:t xml:space="preserve"> 完工</w:t>
      </w:r>
      <w:r>
        <w:rPr>
          <w:rFonts w:hint="eastAsia" w:ascii="宋体" w:hAnsi="宋体" w:cs="宋体"/>
          <w:szCs w:val="21"/>
        </w:rPr>
        <w:t>期限届满后</w:t>
      </w:r>
      <w:r>
        <w:rPr>
          <w:rFonts w:hint="eastAsia" w:ascii="宋体" w:hAnsi="宋体" w:cs="宋体"/>
          <w:szCs w:val="21"/>
          <w:u w:val="single"/>
        </w:rPr>
        <w:t xml:space="preserve">   </w:t>
      </w:r>
      <w:r>
        <w:rPr>
          <w:rFonts w:hint="eastAsia" w:ascii="宋体" w:hAnsi="宋体" w:cs="宋体"/>
          <w:szCs w:val="21"/>
        </w:rPr>
        <w:t>日内。</w:t>
      </w:r>
    </w:p>
    <w:p>
      <w:pPr>
        <w:snapToGrid w:val="0"/>
        <w:spacing w:line="400" w:lineRule="exact"/>
        <w:ind w:firstLine="420" w:firstLineChars="200"/>
        <w:rPr>
          <w:rFonts w:ascii="宋体" w:hAnsi="宋体" w:cs="宋体"/>
          <w:szCs w:val="21"/>
        </w:rPr>
      </w:pPr>
      <w:r>
        <w:rPr>
          <w:rFonts w:hint="eastAsia" w:ascii="宋体" w:hAnsi="宋体" w:cs="宋体"/>
          <w:szCs w:val="21"/>
        </w:rPr>
        <w:t xml:space="preserve">如果供应商未按主合同约定向贵方提供服务的，由我方在保证金额内向你方支付上述款项。 </w:t>
      </w:r>
    </w:p>
    <w:p>
      <w:pPr>
        <w:snapToGrid w:val="0"/>
        <w:spacing w:line="400" w:lineRule="exact"/>
        <w:ind w:firstLine="420" w:firstLineChars="200"/>
        <w:rPr>
          <w:rFonts w:ascii="宋体" w:hAnsi="宋体" w:cs="宋体"/>
          <w:b/>
          <w:szCs w:val="21"/>
        </w:rPr>
      </w:pPr>
      <w:r>
        <w:rPr>
          <w:rFonts w:hint="eastAsia" w:ascii="宋体" w:hAnsi="宋体" w:cs="宋体"/>
          <w:b/>
          <w:szCs w:val="21"/>
        </w:rPr>
        <w:t>三、承担保证责任的程序</w:t>
      </w:r>
    </w:p>
    <w:p>
      <w:pPr>
        <w:snapToGrid w:val="0"/>
        <w:spacing w:line="400" w:lineRule="exact"/>
        <w:ind w:firstLine="420" w:firstLineChars="200"/>
        <w:rPr>
          <w:rFonts w:ascii="宋体" w:hAnsi="宋体" w:cs="宋体"/>
          <w:b/>
          <w:szCs w:val="21"/>
        </w:rPr>
      </w:pPr>
      <w:r>
        <w:rPr>
          <w:rFonts w:hint="eastAsia" w:ascii="宋体" w:hAnsi="宋体" w:cs="宋体"/>
          <w:szCs w:val="21"/>
        </w:rPr>
        <w:t xml:space="preserve">1.你方要求我方承担保证责任的，应在本保函保证期间内向我方发出书面索赔通知。索赔通知应写明要求索赔的金额，支付款项应到达的帐号。并附有证明供应商违约事实的证明材料。 </w:t>
      </w:r>
    </w:p>
    <w:p>
      <w:pPr>
        <w:snapToGrid w:val="0"/>
        <w:spacing w:line="400" w:lineRule="exact"/>
        <w:ind w:firstLine="420" w:firstLineChars="200"/>
        <w:rPr>
          <w:rFonts w:ascii="宋体" w:hAnsi="宋体" w:cs="宋体"/>
          <w:szCs w:val="21"/>
        </w:rPr>
      </w:pPr>
      <w:r>
        <w:rPr>
          <w:rFonts w:hint="eastAsia" w:ascii="宋体" w:hAnsi="宋体" w:cs="宋体"/>
          <w:szCs w:val="21"/>
        </w:rPr>
        <w:t>如果你方与供应商因服务质量问题产生争议，你方还需同时提供有关部门出具的质量检测报告，或经诉讼（仲裁）程序裁决后的裁决书、调解书，本保证人即按照检测结果或裁决书、调解书决定是否承担保证责任。</w:t>
      </w:r>
    </w:p>
    <w:p>
      <w:pPr>
        <w:snapToGrid w:val="0"/>
        <w:spacing w:line="400" w:lineRule="exact"/>
        <w:ind w:firstLine="420" w:firstLineChars="200"/>
        <w:rPr>
          <w:rFonts w:ascii="宋体" w:hAnsi="宋体" w:cs="宋体"/>
          <w:szCs w:val="21"/>
        </w:rPr>
      </w:pPr>
      <w:r>
        <w:rPr>
          <w:rFonts w:hint="eastAsia" w:ascii="宋体" w:hAnsi="宋体" w:cs="宋体"/>
          <w:szCs w:val="21"/>
        </w:rPr>
        <w:t>2.我方收到你方的书面索赔通知及相应证明材料，在</w:t>
      </w:r>
      <w:r>
        <w:rPr>
          <w:rFonts w:hint="eastAsia" w:ascii="宋体" w:hAnsi="宋体" w:cs="宋体"/>
          <w:szCs w:val="21"/>
          <w:u w:val="single"/>
        </w:rPr>
        <w:t xml:space="preserve">  </w:t>
      </w:r>
      <w:r>
        <w:rPr>
          <w:rFonts w:hint="eastAsia" w:ascii="宋体" w:hAnsi="宋体" w:cs="宋体"/>
          <w:szCs w:val="21"/>
        </w:rPr>
        <w:t>个工作日内进行核定后按照本保函的承诺承担保证责任。</w:t>
      </w:r>
    </w:p>
    <w:p>
      <w:pPr>
        <w:snapToGrid w:val="0"/>
        <w:spacing w:line="400" w:lineRule="exact"/>
        <w:ind w:firstLine="420" w:firstLineChars="200"/>
        <w:rPr>
          <w:rFonts w:ascii="宋体" w:hAnsi="宋体" w:cs="宋体"/>
          <w:b/>
          <w:szCs w:val="21"/>
        </w:rPr>
      </w:pPr>
      <w:r>
        <w:rPr>
          <w:rFonts w:hint="eastAsia" w:ascii="宋体" w:hAnsi="宋体" w:cs="宋体"/>
          <w:b/>
          <w:szCs w:val="21"/>
        </w:rPr>
        <w:t>四、保证责任的终止</w:t>
      </w:r>
    </w:p>
    <w:p>
      <w:pPr>
        <w:snapToGrid w:val="0"/>
        <w:spacing w:line="400" w:lineRule="exact"/>
        <w:ind w:firstLine="420" w:firstLineChars="200"/>
        <w:rPr>
          <w:rFonts w:ascii="宋体" w:hAnsi="宋体" w:cs="宋体"/>
          <w:szCs w:val="21"/>
        </w:rPr>
      </w:pPr>
      <w:r>
        <w:rPr>
          <w:rFonts w:hint="eastAsia" w:ascii="宋体" w:hAnsi="宋体" w:cs="宋体"/>
          <w:szCs w:val="21"/>
        </w:rPr>
        <w:t>1.保证期满你方未向我方书面主张保证责任的，自保证期间届满次日起，我方保证责任自动终止。</w:t>
      </w:r>
    </w:p>
    <w:p>
      <w:pPr>
        <w:snapToGrid w:val="0"/>
        <w:spacing w:line="400" w:lineRule="exact"/>
        <w:ind w:firstLine="420" w:firstLineChars="200"/>
        <w:rPr>
          <w:rFonts w:ascii="宋体" w:hAnsi="宋体" w:cs="宋体"/>
          <w:szCs w:val="21"/>
        </w:rPr>
      </w:pPr>
      <w:r>
        <w:rPr>
          <w:rFonts w:hint="eastAsia" w:ascii="宋体" w:hAnsi="宋体" w:cs="宋体"/>
          <w:szCs w:val="21"/>
        </w:rPr>
        <w:t>2.我方按照本保函向你方履行了保证责任后，自我方向你方支付款项（支付款项从我方账户划出）之日起，保证责任即终止。</w:t>
      </w:r>
    </w:p>
    <w:p>
      <w:pPr>
        <w:snapToGrid w:val="0"/>
        <w:spacing w:line="400" w:lineRule="exact"/>
        <w:ind w:firstLine="420" w:firstLineChars="200"/>
        <w:rPr>
          <w:rFonts w:ascii="宋体" w:hAnsi="宋体" w:cs="宋体"/>
          <w:szCs w:val="21"/>
        </w:rPr>
      </w:pPr>
      <w:r>
        <w:rPr>
          <w:rFonts w:hint="eastAsia" w:ascii="宋体" w:hAnsi="宋体" w:cs="宋体"/>
          <w:szCs w:val="21"/>
        </w:rPr>
        <w:t>3.按照法律法规的规定或出现应终止我方保证责任的其它情形的，我方在本保函项下的保证责任亦终止。</w:t>
      </w:r>
    </w:p>
    <w:p>
      <w:pPr>
        <w:snapToGrid w:val="0"/>
        <w:spacing w:line="400" w:lineRule="exact"/>
        <w:ind w:firstLine="420" w:firstLineChars="200"/>
        <w:rPr>
          <w:rFonts w:ascii="宋体" w:hAnsi="宋体" w:cs="宋体"/>
          <w:szCs w:val="21"/>
        </w:rPr>
      </w:pPr>
      <w:r>
        <w:rPr>
          <w:rFonts w:hint="eastAsia" w:ascii="宋体" w:hAnsi="宋体" w:cs="宋体"/>
          <w:szCs w:val="21"/>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400" w:lineRule="exact"/>
        <w:ind w:firstLine="420" w:firstLineChars="200"/>
        <w:rPr>
          <w:rFonts w:ascii="宋体" w:hAnsi="宋体" w:cs="宋体"/>
          <w:b/>
          <w:szCs w:val="21"/>
        </w:rPr>
      </w:pPr>
      <w:r>
        <w:rPr>
          <w:rFonts w:hint="eastAsia" w:ascii="宋体" w:hAnsi="宋体" w:cs="宋体"/>
          <w:b/>
          <w:szCs w:val="21"/>
        </w:rPr>
        <w:t>五、免责条款</w:t>
      </w:r>
    </w:p>
    <w:p>
      <w:pPr>
        <w:snapToGrid w:val="0"/>
        <w:spacing w:line="400" w:lineRule="exact"/>
        <w:ind w:firstLine="420" w:firstLineChars="200"/>
        <w:rPr>
          <w:rFonts w:ascii="宋体" w:hAnsi="宋体" w:cs="宋体"/>
          <w:szCs w:val="21"/>
        </w:rPr>
      </w:pPr>
      <w:r>
        <w:rPr>
          <w:rFonts w:hint="eastAsia" w:ascii="宋体" w:hAnsi="宋体" w:cs="宋体"/>
          <w:szCs w:val="21"/>
        </w:rPr>
        <w:t>1.因你方违反主合同约定致使供应商不能履行义务的，我方不承担保证责任。</w:t>
      </w:r>
    </w:p>
    <w:p>
      <w:pPr>
        <w:snapToGrid w:val="0"/>
        <w:spacing w:line="400" w:lineRule="exact"/>
        <w:ind w:firstLine="420" w:firstLineChars="200"/>
        <w:rPr>
          <w:rFonts w:ascii="宋体" w:hAnsi="宋体" w:cs="宋体"/>
          <w:b/>
          <w:szCs w:val="21"/>
        </w:rPr>
      </w:pPr>
      <w:r>
        <w:rPr>
          <w:rFonts w:hint="eastAsia" w:ascii="宋体" w:hAnsi="宋体" w:cs="宋体"/>
          <w:szCs w:val="21"/>
        </w:rPr>
        <w:t>2.依照法律法规的规定或你方与供应商的另行约定，全部或者部分免除供应商应缴纳的保证金义务的，我方亦免除相应的保证责任。</w:t>
      </w:r>
    </w:p>
    <w:p>
      <w:pPr>
        <w:snapToGrid w:val="0"/>
        <w:spacing w:line="400" w:lineRule="exact"/>
        <w:ind w:firstLine="420" w:firstLineChars="200"/>
        <w:rPr>
          <w:rFonts w:ascii="宋体" w:hAnsi="宋体" w:cs="宋体"/>
          <w:szCs w:val="21"/>
        </w:rPr>
      </w:pPr>
      <w:r>
        <w:rPr>
          <w:rFonts w:hint="eastAsia" w:ascii="宋体" w:hAnsi="宋体" w:cs="宋体"/>
          <w:szCs w:val="21"/>
        </w:rPr>
        <w:t>3.因不可抗力造成供应商不能履行合同义务的，我方不承担保证责任。</w:t>
      </w:r>
    </w:p>
    <w:p>
      <w:pPr>
        <w:snapToGrid w:val="0"/>
        <w:spacing w:line="400" w:lineRule="exact"/>
        <w:ind w:firstLine="420" w:firstLineChars="200"/>
        <w:rPr>
          <w:rFonts w:ascii="宋体" w:hAnsi="宋体" w:cs="宋体"/>
          <w:b/>
          <w:szCs w:val="21"/>
        </w:rPr>
      </w:pPr>
      <w:r>
        <w:rPr>
          <w:rFonts w:hint="eastAsia" w:ascii="宋体" w:hAnsi="宋体" w:cs="宋体"/>
          <w:b/>
          <w:szCs w:val="21"/>
        </w:rPr>
        <w:t>六、争议的解决</w:t>
      </w:r>
    </w:p>
    <w:p>
      <w:pPr>
        <w:snapToGrid w:val="0"/>
        <w:spacing w:line="400" w:lineRule="exact"/>
        <w:ind w:firstLine="420" w:firstLineChars="200"/>
        <w:rPr>
          <w:rFonts w:ascii="宋体" w:hAnsi="宋体" w:cs="宋体"/>
          <w:szCs w:val="21"/>
        </w:rPr>
      </w:pPr>
      <w:r>
        <w:rPr>
          <w:rFonts w:hint="eastAsia" w:ascii="宋体" w:hAnsi="宋体" w:cs="宋体"/>
          <w:szCs w:val="21"/>
        </w:rPr>
        <w:t>因本保函发生的纠纷，由你我双方协商解决，协商不成的，通过诉讼程序解决，诉讼管辖地法院为法院。</w:t>
      </w:r>
    </w:p>
    <w:p>
      <w:pPr>
        <w:snapToGrid w:val="0"/>
        <w:spacing w:line="400" w:lineRule="exact"/>
        <w:ind w:firstLine="420" w:firstLineChars="200"/>
        <w:rPr>
          <w:rFonts w:ascii="宋体" w:hAnsi="宋体" w:cs="宋体"/>
          <w:b/>
          <w:szCs w:val="21"/>
        </w:rPr>
      </w:pPr>
      <w:r>
        <w:rPr>
          <w:rFonts w:hint="eastAsia" w:ascii="宋体" w:hAnsi="宋体" w:cs="宋体"/>
          <w:b/>
          <w:szCs w:val="21"/>
        </w:rPr>
        <w:t xml:space="preserve">七、保函的生效 </w:t>
      </w:r>
    </w:p>
    <w:p>
      <w:pPr>
        <w:snapToGrid w:val="0"/>
        <w:spacing w:line="400" w:lineRule="exact"/>
        <w:ind w:firstLine="420" w:firstLineChars="200"/>
        <w:rPr>
          <w:rFonts w:ascii="宋体" w:hAnsi="宋体" w:cs="宋体"/>
          <w:szCs w:val="21"/>
        </w:rPr>
      </w:pPr>
      <w:r>
        <w:rPr>
          <w:rFonts w:hint="eastAsia" w:ascii="宋体" w:hAnsi="宋体" w:cs="宋体"/>
          <w:szCs w:val="21"/>
        </w:rPr>
        <w:t xml:space="preserve">本保函自我方加盖公章之日起生效。 </w:t>
      </w:r>
    </w:p>
    <w:p>
      <w:pPr>
        <w:snapToGrid w:val="0"/>
        <w:spacing w:line="400" w:lineRule="exact"/>
        <w:ind w:right="960" w:firstLine="4620"/>
        <w:jc w:val="right"/>
        <w:rPr>
          <w:rFonts w:ascii="宋体" w:hAnsi="宋体" w:cs="宋体"/>
          <w:szCs w:val="21"/>
        </w:rPr>
      </w:pPr>
    </w:p>
    <w:p>
      <w:pPr>
        <w:snapToGrid w:val="0"/>
        <w:spacing w:line="400" w:lineRule="exact"/>
        <w:ind w:right="960" w:firstLine="4620"/>
        <w:jc w:val="right"/>
        <w:rPr>
          <w:rFonts w:ascii="宋体" w:hAnsi="宋体" w:cs="宋体"/>
          <w:szCs w:val="21"/>
        </w:rPr>
      </w:pPr>
    </w:p>
    <w:p>
      <w:pPr>
        <w:snapToGrid w:val="0"/>
        <w:spacing w:line="400" w:lineRule="exact"/>
        <w:ind w:right="960" w:firstLine="4620"/>
        <w:jc w:val="right"/>
        <w:rPr>
          <w:rFonts w:ascii="宋体" w:hAnsi="宋体" w:cs="宋体"/>
          <w:szCs w:val="21"/>
        </w:rPr>
      </w:pPr>
      <w:r>
        <w:rPr>
          <w:rFonts w:hint="eastAsia" w:ascii="宋体" w:hAnsi="宋体" w:cs="宋体"/>
          <w:szCs w:val="21"/>
        </w:rPr>
        <w:t xml:space="preserve">保证人：（公章） </w:t>
      </w:r>
    </w:p>
    <w:p>
      <w:pPr>
        <w:snapToGrid w:val="0"/>
        <w:spacing w:line="400" w:lineRule="exact"/>
        <w:jc w:val="right"/>
        <w:rPr>
          <w:rFonts w:ascii="宋体" w:hAnsi="宋体" w:cs="宋体"/>
          <w:szCs w:val="21"/>
        </w:rPr>
      </w:pPr>
    </w:p>
    <w:p>
      <w:pPr>
        <w:snapToGrid w:val="0"/>
        <w:spacing w:line="400" w:lineRule="exact"/>
        <w:jc w:val="center"/>
        <w:rPr>
          <w:rFonts w:ascii="宋体" w:hAnsi="宋体" w:cs="宋体"/>
          <w:caps/>
          <w:sz w:val="32"/>
          <w:szCs w:val="32"/>
        </w:rPr>
      </w:pPr>
      <w:r>
        <w:rPr>
          <w:rFonts w:hint="eastAsia" w:ascii="宋体" w:hAnsi="宋体" w:cs="宋体"/>
          <w:szCs w:val="21"/>
        </w:rPr>
        <w:t xml:space="preserve">                                    年   月   日</w:t>
      </w:r>
    </w:p>
    <w:p>
      <w:pPr>
        <w:pStyle w:val="91"/>
        <w:adjustRightInd w:val="0"/>
        <w:spacing w:line="400" w:lineRule="exact"/>
        <w:jc w:val="left"/>
        <w:rPr>
          <w:rFonts w:ascii="宋体" w:hAnsi="宋体" w:cs="宋体"/>
          <w:kern w:val="2"/>
          <w:szCs w:val="24"/>
        </w:rPr>
      </w:pPr>
      <w:r>
        <w:rPr>
          <w:rFonts w:hint="eastAsia" w:ascii="宋体" w:hAnsi="宋体" w:cs="宋体"/>
          <w:caps/>
          <w:sz w:val="32"/>
          <w:szCs w:val="32"/>
        </w:rPr>
        <w:br w:type="page"/>
      </w:r>
      <w:bookmarkStart w:id="149" w:name="_Toc477185362"/>
      <w:r>
        <w:rPr>
          <w:rFonts w:hint="eastAsia" w:ascii="宋体" w:hAnsi="宋体" w:cs="宋体"/>
          <w:kern w:val="2"/>
          <w:sz w:val="24"/>
          <w:szCs w:val="24"/>
        </w:rPr>
        <w:t>合同附件二</w:t>
      </w:r>
      <w:r>
        <w:rPr>
          <w:rFonts w:hint="eastAsia" w:ascii="宋体" w:hAnsi="宋体" w:cs="宋体"/>
          <w:kern w:val="2"/>
          <w:szCs w:val="24"/>
        </w:rPr>
        <w:t>：</w:t>
      </w:r>
      <w:bookmarkEnd w:id="149"/>
    </w:p>
    <w:p>
      <w:pPr>
        <w:snapToGrid w:val="0"/>
        <w:spacing w:line="400" w:lineRule="exact"/>
        <w:rPr>
          <w:rFonts w:ascii="宋体" w:hAnsi="宋体" w:cs="宋体"/>
        </w:rPr>
      </w:pPr>
    </w:p>
    <w:p>
      <w:pPr>
        <w:snapToGrid w:val="0"/>
        <w:spacing w:line="400" w:lineRule="exact"/>
        <w:jc w:val="center"/>
        <w:rPr>
          <w:rFonts w:ascii="宋体" w:hAnsi="宋体" w:cs="宋体"/>
          <w:caps/>
          <w:sz w:val="36"/>
          <w:szCs w:val="36"/>
        </w:rPr>
      </w:pPr>
      <w:r>
        <w:rPr>
          <w:rFonts w:hint="eastAsia" w:ascii="宋体" w:hAnsi="宋体" w:cs="宋体"/>
          <w:caps/>
          <w:sz w:val="36"/>
          <w:szCs w:val="36"/>
        </w:rPr>
        <w:t>预付款保证金担保函</w:t>
      </w:r>
    </w:p>
    <w:p>
      <w:pPr>
        <w:snapToGrid w:val="0"/>
        <w:spacing w:line="400" w:lineRule="exact"/>
        <w:rPr>
          <w:rFonts w:ascii="宋体" w:hAnsi="宋体" w:cs="宋体"/>
          <w:b/>
          <w:szCs w:val="21"/>
        </w:rPr>
      </w:pPr>
      <w:r>
        <w:rPr>
          <w:rFonts w:hint="eastAsia" w:ascii="宋体" w:hAnsi="宋体" w:cs="宋体"/>
          <w:szCs w:val="21"/>
        </w:rPr>
        <w:t>编号：</w:t>
      </w:r>
    </w:p>
    <w:p>
      <w:pPr>
        <w:snapToGrid w:val="0"/>
        <w:spacing w:line="400" w:lineRule="exact"/>
        <w:rPr>
          <w:rFonts w:ascii="宋体" w:hAnsi="宋体" w:cs="宋体"/>
          <w:szCs w:val="21"/>
        </w:rPr>
      </w:pPr>
      <w:r>
        <w:rPr>
          <w:rFonts w:hint="eastAsia" w:ascii="宋体" w:hAnsi="宋体" w:cs="宋体"/>
          <w:szCs w:val="21"/>
          <w:u w:val="single"/>
        </w:rPr>
        <w:t>（填写买方名称）</w:t>
      </w:r>
      <w:r>
        <w:rPr>
          <w:rFonts w:hint="eastAsia" w:ascii="宋体" w:hAnsi="宋体" w:cs="宋体"/>
          <w:szCs w:val="21"/>
        </w:rPr>
        <w:t xml:space="preserve">： </w:t>
      </w:r>
    </w:p>
    <w:p>
      <w:pPr>
        <w:snapToGrid w:val="0"/>
        <w:spacing w:line="400" w:lineRule="exact"/>
        <w:ind w:firstLine="420" w:firstLineChars="200"/>
        <w:rPr>
          <w:rFonts w:ascii="宋体" w:hAnsi="宋体" w:cs="宋体"/>
          <w:szCs w:val="21"/>
        </w:rPr>
      </w:pPr>
    </w:p>
    <w:p>
      <w:pPr>
        <w:snapToGrid w:val="0"/>
        <w:spacing w:line="400" w:lineRule="exact"/>
        <w:ind w:firstLine="420" w:firstLineChars="200"/>
        <w:rPr>
          <w:rFonts w:ascii="宋体" w:hAnsi="宋体" w:cs="宋体"/>
          <w:szCs w:val="21"/>
          <w:u w:val="single"/>
        </w:rPr>
      </w:pPr>
      <w:r>
        <w:rPr>
          <w:rFonts w:hint="eastAsia" w:ascii="宋体" w:hAnsi="宋体" w:cs="宋体"/>
          <w:szCs w:val="21"/>
        </w:rPr>
        <w:t>鉴于你方与</w:t>
      </w:r>
      <w:r>
        <w:rPr>
          <w:rFonts w:hint="eastAsia" w:ascii="宋体" w:hAnsi="宋体" w:cs="宋体"/>
          <w:szCs w:val="21"/>
          <w:u w:val="single"/>
        </w:rPr>
        <w:t>（填写供应商名称）</w:t>
      </w:r>
      <w:r>
        <w:rPr>
          <w:rFonts w:hint="eastAsia" w:ascii="宋体" w:hAnsi="宋体" w:cs="宋体"/>
          <w:szCs w:val="21"/>
        </w:rPr>
        <w:t>（以下简称供应商）于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日签定的《</w:t>
      </w:r>
      <w:r>
        <w:rPr>
          <w:rFonts w:hint="eastAsia" w:ascii="宋体" w:hAnsi="宋体" w:cs="宋体"/>
          <w:szCs w:val="21"/>
          <w:u w:val="single"/>
        </w:rPr>
        <w:t xml:space="preserve">    </w:t>
      </w:r>
      <w:r>
        <w:rPr>
          <w:rFonts w:hint="eastAsia" w:ascii="宋体" w:hAnsi="宋体" w:cs="宋体"/>
          <w:szCs w:val="21"/>
        </w:rPr>
        <w:t>政府采购合同》（以下简称主合同），且依据该合同的约定，供应商应在  年  月  日前向你方交纳预付款保证金，且可以预付款担保函的形式交纳预付款保证金。应供应商的申请，我方以保证的方式向你方提供如下预付款保证金担保：</w:t>
      </w:r>
    </w:p>
    <w:p>
      <w:pPr>
        <w:snapToGrid w:val="0"/>
        <w:spacing w:line="400" w:lineRule="exact"/>
        <w:ind w:firstLine="420" w:firstLineChars="200"/>
        <w:rPr>
          <w:rFonts w:ascii="宋体" w:hAnsi="宋体" w:cs="宋体"/>
          <w:b/>
          <w:szCs w:val="21"/>
        </w:rPr>
      </w:pPr>
      <w:r>
        <w:rPr>
          <w:rFonts w:hint="eastAsia" w:ascii="宋体" w:hAnsi="宋体" w:cs="宋体"/>
          <w:b/>
          <w:szCs w:val="21"/>
        </w:rPr>
        <w:t>一、保证责任的情形及保证金额</w:t>
      </w:r>
    </w:p>
    <w:p>
      <w:pPr>
        <w:snapToGrid w:val="0"/>
        <w:spacing w:line="400" w:lineRule="exact"/>
        <w:ind w:firstLine="420" w:firstLineChars="200"/>
        <w:rPr>
          <w:rFonts w:ascii="宋体" w:hAnsi="宋体" w:cs="宋体"/>
          <w:szCs w:val="21"/>
        </w:rPr>
      </w:pPr>
      <w:r>
        <w:rPr>
          <w:rFonts w:hint="eastAsia" w:ascii="宋体" w:hAnsi="宋体" w:cs="宋体"/>
          <w:szCs w:val="21"/>
        </w:rPr>
        <w:t>（一）在供应商出现下列情形之一时，我方承担保证责任：</w:t>
      </w:r>
    </w:p>
    <w:p>
      <w:pPr>
        <w:snapToGrid w:val="0"/>
        <w:spacing w:line="400" w:lineRule="exact"/>
        <w:ind w:firstLine="420" w:firstLineChars="200"/>
        <w:rPr>
          <w:rFonts w:ascii="宋体" w:hAnsi="宋体" w:cs="宋体"/>
          <w:szCs w:val="21"/>
        </w:rPr>
      </w:pPr>
      <w:r>
        <w:rPr>
          <w:rFonts w:hint="eastAsia" w:ascii="宋体" w:hAnsi="宋体" w:cs="宋体"/>
          <w:szCs w:val="21"/>
        </w:rPr>
        <w:t>1.将中标项目转让给他人，或者在投标文件中未说明，且未经采购人同意，将中标项目分包给他人的；</w:t>
      </w:r>
    </w:p>
    <w:p>
      <w:pPr>
        <w:snapToGrid w:val="0"/>
        <w:spacing w:line="400" w:lineRule="exact"/>
        <w:ind w:firstLine="420" w:firstLineChars="200"/>
        <w:rPr>
          <w:rFonts w:ascii="宋体" w:hAnsi="宋体" w:cs="宋体"/>
          <w:szCs w:val="21"/>
        </w:rPr>
      </w:pPr>
      <w:r>
        <w:rPr>
          <w:rFonts w:hint="eastAsia" w:ascii="宋体" w:hAnsi="宋体" w:cs="宋体"/>
          <w:szCs w:val="21"/>
        </w:rPr>
        <w:t xml:space="preserve">2.未按主合同约定的质量、数量和期限执行的。 </w:t>
      </w:r>
    </w:p>
    <w:p>
      <w:pPr>
        <w:snapToGrid w:val="0"/>
        <w:spacing w:line="400" w:lineRule="exact"/>
        <w:ind w:firstLine="420" w:firstLineChars="200"/>
        <w:rPr>
          <w:rFonts w:ascii="宋体" w:hAnsi="宋体" w:cs="宋体"/>
          <w:szCs w:val="21"/>
        </w:rPr>
      </w:pPr>
      <w:r>
        <w:rPr>
          <w:rFonts w:hint="eastAsia" w:ascii="宋体" w:hAnsi="宋体" w:cs="宋体"/>
          <w:szCs w:val="21"/>
        </w:rPr>
        <w:t>（二）我方的保证范围是主合同约定的合同价款总额的</w:t>
      </w:r>
      <w:r>
        <w:rPr>
          <w:rFonts w:hint="eastAsia" w:ascii="宋体" w:hAnsi="宋体" w:cs="宋体"/>
          <w:szCs w:val="21"/>
          <w:u w:val="single"/>
        </w:rPr>
        <w:t xml:space="preserve">  </w:t>
      </w:r>
      <w:r>
        <w:rPr>
          <w:rFonts w:hint="eastAsia" w:ascii="宋体" w:hAnsi="宋体" w:cs="宋体"/>
          <w:szCs w:val="21"/>
        </w:rPr>
        <w:t>%数额为</w:t>
      </w:r>
      <w:r>
        <w:rPr>
          <w:rFonts w:hint="eastAsia" w:ascii="宋体" w:hAnsi="宋体" w:cs="宋体"/>
        </w:rPr>
        <w:t>人民币</w:t>
      </w:r>
      <w:r>
        <w:rPr>
          <w:rFonts w:hint="eastAsia" w:ascii="宋体" w:hAnsi="宋体" w:cs="宋体"/>
          <w:u w:val="single"/>
        </w:rPr>
        <w:t xml:space="preserve">  大写金额  </w:t>
      </w:r>
      <w:r>
        <w:rPr>
          <w:rFonts w:hint="eastAsia" w:ascii="宋体" w:hAnsi="宋体" w:cs="宋体"/>
        </w:rPr>
        <w:t>元整（</w:t>
      </w:r>
      <w:r>
        <w:rPr>
          <w:rFonts w:hint="eastAsia" w:ascii="宋体" w:hAnsi="宋体" w:cs="宋体"/>
          <w:bCs/>
        </w:rPr>
        <w:t>¥</w:t>
      </w:r>
      <w:r>
        <w:rPr>
          <w:rFonts w:hint="eastAsia" w:ascii="宋体" w:hAnsi="宋体" w:cs="宋体"/>
          <w:bCs/>
          <w:u w:val="single"/>
        </w:rPr>
        <w:t>小写</w:t>
      </w:r>
      <w:r>
        <w:rPr>
          <w:rFonts w:hint="eastAsia" w:ascii="宋体" w:hAnsi="宋体" w:cs="宋体"/>
        </w:rPr>
        <w:t>）</w:t>
      </w:r>
      <w:r>
        <w:rPr>
          <w:rFonts w:hint="eastAsia" w:ascii="宋体" w:hAnsi="宋体" w:cs="宋体"/>
          <w:szCs w:val="21"/>
        </w:rPr>
        <w:t>。（即主合同预付款保证金金额）</w:t>
      </w:r>
    </w:p>
    <w:p>
      <w:pPr>
        <w:snapToGrid w:val="0"/>
        <w:spacing w:line="400" w:lineRule="exact"/>
        <w:ind w:firstLine="420" w:firstLineChars="200"/>
        <w:rPr>
          <w:rFonts w:ascii="宋体" w:hAnsi="宋体" w:cs="宋体"/>
          <w:b/>
          <w:szCs w:val="21"/>
        </w:rPr>
      </w:pPr>
      <w:r>
        <w:rPr>
          <w:rFonts w:hint="eastAsia" w:ascii="宋体" w:hAnsi="宋体" w:cs="宋体"/>
          <w:b/>
          <w:szCs w:val="21"/>
        </w:rPr>
        <w:t xml:space="preserve">二、保证的方式及保证期间 </w:t>
      </w:r>
    </w:p>
    <w:p>
      <w:pPr>
        <w:snapToGrid w:val="0"/>
        <w:spacing w:line="400" w:lineRule="exact"/>
        <w:ind w:firstLine="420" w:firstLineChars="200"/>
        <w:rPr>
          <w:rFonts w:ascii="宋体" w:hAnsi="宋体" w:cs="宋体"/>
          <w:szCs w:val="21"/>
        </w:rPr>
      </w:pPr>
      <w:r>
        <w:rPr>
          <w:rFonts w:hint="eastAsia" w:ascii="宋体" w:hAnsi="宋体" w:cs="宋体"/>
          <w:szCs w:val="21"/>
        </w:rPr>
        <w:t xml:space="preserve">我方保证的方式为：连带责任保证。 </w:t>
      </w:r>
    </w:p>
    <w:p>
      <w:pPr>
        <w:snapToGrid w:val="0"/>
        <w:spacing w:line="400" w:lineRule="exact"/>
        <w:ind w:firstLine="420" w:firstLineChars="200"/>
        <w:rPr>
          <w:rFonts w:ascii="宋体" w:hAnsi="宋体" w:cs="宋体"/>
          <w:szCs w:val="21"/>
        </w:rPr>
      </w:pPr>
      <w:r>
        <w:rPr>
          <w:rFonts w:hint="eastAsia" w:ascii="宋体" w:hAnsi="宋体" w:cs="宋体"/>
          <w:szCs w:val="21"/>
        </w:rPr>
        <w:t>我方保证的期间为：自本合同生效之日起至供应商按照主合同约定的服务完工期限届满后日内。</w:t>
      </w:r>
    </w:p>
    <w:p>
      <w:pPr>
        <w:snapToGrid w:val="0"/>
        <w:spacing w:line="400" w:lineRule="exact"/>
        <w:ind w:firstLine="420" w:firstLineChars="200"/>
        <w:rPr>
          <w:rFonts w:ascii="宋体" w:hAnsi="宋体" w:cs="宋体"/>
          <w:szCs w:val="21"/>
        </w:rPr>
      </w:pPr>
      <w:r>
        <w:rPr>
          <w:rFonts w:hint="eastAsia" w:ascii="宋体" w:hAnsi="宋体" w:cs="宋体"/>
          <w:szCs w:val="21"/>
        </w:rPr>
        <w:t xml:space="preserve">如果供应商未按主合同约定向贵方提供服务的，由我方在保证金额内向你方支付上述款项。 </w:t>
      </w:r>
    </w:p>
    <w:p>
      <w:pPr>
        <w:snapToGrid w:val="0"/>
        <w:spacing w:line="400" w:lineRule="exact"/>
        <w:ind w:firstLine="420" w:firstLineChars="200"/>
        <w:rPr>
          <w:rFonts w:ascii="宋体" w:hAnsi="宋体" w:cs="宋体"/>
          <w:b/>
          <w:szCs w:val="21"/>
        </w:rPr>
      </w:pPr>
      <w:r>
        <w:rPr>
          <w:rFonts w:hint="eastAsia" w:ascii="宋体" w:hAnsi="宋体" w:cs="宋体"/>
          <w:b/>
          <w:szCs w:val="21"/>
        </w:rPr>
        <w:t>三、承担保证责任的程序</w:t>
      </w:r>
    </w:p>
    <w:p>
      <w:pPr>
        <w:snapToGrid w:val="0"/>
        <w:spacing w:line="400" w:lineRule="exact"/>
        <w:ind w:firstLine="420" w:firstLineChars="200"/>
        <w:rPr>
          <w:rFonts w:ascii="宋体" w:hAnsi="宋体" w:cs="宋体"/>
          <w:b/>
          <w:szCs w:val="21"/>
        </w:rPr>
      </w:pPr>
      <w:r>
        <w:rPr>
          <w:rFonts w:hint="eastAsia" w:ascii="宋体" w:hAnsi="宋体" w:cs="宋体"/>
          <w:szCs w:val="21"/>
        </w:rPr>
        <w:t xml:space="preserve">1.你方要求我方承担保证责任的，应在本保函保证期间内向我方发出书面索赔通知。索赔通知应写明要求索赔的金额，支付款项应到达的帐号。并附有证明供应商违约事实的证明材料。 </w:t>
      </w:r>
    </w:p>
    <w:p>
      <w:pPr>
        <w:snapToGrid w:val="0"/>
        <w:spacing w:line="400" w:lineRule="exact"/>
        <w:ind w:firstLine="420" w:firstLineChars="200"/>
        <w:rPr>
          <w:rFonts w:ascii="宋体" w:hAnsi="宋体" w:cs="宋体"/>
          <w:szCs w:val="21"/>
        </w:rPr>
      </w:pPr>
      <w:r>
        <w:rPr>
          <w:rFonts w:hint="eastAsia" w:ascii="宋体" w:hAnsi="宋体" w:cs="宋体"/>
          <w:szCs w:val="21"/>
        </w:rPr>
        <w:t>如果你方与供应商因服务质量问题产生争议，你方还需同时提供有关部门出具的质量检测报告，或经诉讼（仲裁）程序裁决后的裁决书、调解书，本保证人即按照检测结果或裁决书、调解书决定是否承担保证责任。</w:t>
      </w:r>
    </w:p>
    <w:p>
      <w:pPr>
        <w:snapToGrid w:val="0"/>
        <w:spacing w:line="400" w:lineRule="exact"/>
        <w:ind w:firstLine="420" w:firstLineChars="200"/>
        <w:rPr>
          <w:rFonts w:ascii="宋体" w:hAnsi="宋体" w:cs="宋体"/>
          <w:szCs w:val="21"/>
        </w:rPr>
      </w:pPr>
      <w:r>
        <w:rPr>
          <w:rFonts w:hint="eastAsia" w:ascii="宋体" w:hAnsi="宋体" w:cs="宋体"/>
          <w:szCs w:val="21"/>
        </w:rPr>
        <w:t>2.我方收到你方的书面索赔通知及相应证明材料，在工作日内进行核定后按照本保函的承诺承担保证责任。</w:t>
      </w:r>
    </w:p>
    <w:p>
      <w:pPr>
        <w:snapToGrid w:val="0"/>
        <w:spacing w:line="400" w:lineRule="exact"/>
        <w:ind w:firstLine="420" w:firstLineChars="200"/>
        <w:rPr>
          <w:rFonts w:ascii="宋体" w:hAnsi="宋体" w:cs="宋体"/>
          <w:b/>
          <w:szCs w:val="21"/>
        </w:rPr>
      </w:pPr>
      <w:r>
        <w:rPr>
          <w:rFonts w:hint="eastAsia" w:ascii="宋体" w:hAnsi="宋体" w:cs="宋体"/>
          <w:b/>
          <w:szCs w:val="21"/>
        </w:rPr>
        <w:t>四、保证责任的终止</w:t>
      </w:r>
    </w:p>
    <w:p>
      <w:pPr>
        <w:snapToGrid w:val="0"/>
        <w:spacing w:line="400" w:lineRule="exact"/>
        <w:ind w:firstLine="420" w:firstLineChars="200"/>
        <w:rPr>
          <w:rFonts w:ascii="宋体" w:hAnsi="宋体" w:cs="宋体"/>
          <w:szCs w:val="21"/>
        </w:rPr>
      </w:pPr>
      <w:r>
        <w:rPr>
          <w:rFonts w:hint="eastAsia" w:ascii="宋体" w:hAnsi="宋体" w:cs="宋体"/>
          <w:szCs w:val="21"/>
        </w:rPr>
        <w:t>1.保证期间届满你方未向我方书面主张保证责任的，自保证期间届满次日起，我方保证责任自动终止。</w:t>
      </w:r>
    </w:p>
    <w:p>
      <w:pPr>
        <w:snapToGrid w:val="0"/>
        <w:spacing w:line="400" w:lineRule="exact"/>
        <w:ind w:firstLine="420" w:firstLineChars="200"/>
        <w:rPr>
          <w:rFonts w:ascii="宋体" w:hAnsi="宋体" w:cs="宋体"/>
          <w:szCs w:val="21"/>
        </w:rPr>
      </w:pPr>
      <w:r>
        <w:rPr>
          <w:rFonts w:hint="eastAsia" w:ascii="宋体" w:hAnsi="宋体" w:cs="宋体"/>
          <w:szCs w:val="21"/>
        </w:rPr>
        <w:t>2.我方按照本保函向你方履行了保证责任后，自我方向你方支付款项（支付款项从我方账户划出）之日起，保证责任即终止。</w:t>
      </w:r>
    </w:p>
    <w:p>
      <w:pPr>
        <w:snapToGrid w:val="0"/>
        <w:spacing w:line="400" w:lineRule="exact"/>
        <w:ind w:firstLine="420" w:firstLineChars="200"/>
        <w:rPr>
          <w:rFonts w:ascii="宋体" w:hAnsi="宋体" w:cs="宋体"/>
          <w:szCs w:val="21"/>
        </w:rPr>
      </w:pPr>
      <w:r>
        <w:rPr>
          <w:rFonts w:hint="eastAsia" w:ascii="宋体" w:hAnsi="宋体" w:cs="宋体"/>
          <w:szCs w:val="21"/>
        </w:rPr>
        <w:t>3.按照法律法规的规定或出现应终止我方保证责任的其它情形的，我方在本保函项下的保证责任亦终止。</w:t>
      </w:r>
    </w:p>
    <w:p>
      <w:pPr>
        <w:snapToGrid w:val="0"/>
        <w:spacing w:line="400" w:lineRule="exact"/>
        <w:ind w:firstLine="420" w:firstLineChars="200"/>
        <w:rPr>
          <w:rFonts w:ascii="宋体" w:hAnsi="宋体" w:cs="宋体"/>
          <w:szCs w:val="21"/>
        </w:rPr>
      </w:pPr>
      <w:r>
        <w:rPr>
          <w:rFonts w:hint="eastAsia" w:ascii="宋体" w:hAnsi="宋体" w:cs="宋体"/>
          <w:szCs w:val="21"/>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400" w:lineRule="exact"/>
        <w:ind w:firstLine="420" w:firstLineChars="200"/>
        <w:rPr>
          <w:rFonts w:ascii="宋体" w:hAnsi="宋体" w:cs="宋体"/>
          <w:b/>
          <w:szCs w:val="21"/>
        </w:rPr>
      </w:pPr>
      <w:r>
        <w:rPr>
          <w:rFonts w:hint="eastAsia" w:ascii="宋体" w:hAnsi="宋体" w:cs="宋体"/>
          <w:b/>
          <w:szCs w:val="21"/>
        </w:rPr>
        <w:t>五、免责条款</w:t>
      </w:r>
    </w:p>
    <w:p>
      <w:pPr>
        <w:snapToGrid w:val="0"/>
        <w:spacing w:line="400" w:lineRule="exact"/>
        <w:ind w:firstLine="420" w:firstLineChars="200"/>
        <w:rPr>
          <w:rFonts w:ascii="宋体" w:hAnsi="宋体" w:cs="宋体"/>
          <w:szCs w:val="21"/>
        </w:rPr>
      </w:pPr>
      <w:r>
        <w:rPr>
          <w:rFonts w:hint="eastAsia" w:ascii="宋体" w:hAnsi="宋体" w:cs="宋体"/>
          <w:szCs w:val="21"/>
        </w:rPr>
        <w:t>1.因你方违反主合同约定致使供应商不能履行义务的，我方不承担保证责任。</w:t>
      </w:r>
    </w:p>
    <w:p>
      <w:pPr>
        <w:snapToGrid w:val="0"/>
        <w:spacing w:line="400" w:lineRule="exact"/>
        <w:ind w:firstLine="420" w:firstLineChars="200"/>
        <w:rPr>
          <w:rFonts w:ascii="宋体" w:hAnsi="宋体" w:cs="宋体"/>
          <w:b/>
          <w:szCs w:val="21"/>
        </w:rPr>
      </w:pPr>
      <w:r>
        <w:rPr>
          <w:rFonts w:hint="eastAsia" w:ascii="宋体" w:hAnsi="宋体" w:cs="宋体"/>
          <w:szCs w:val="21"/>
        </w:rPr>
        <w:t>2.依照法律法规的规定或你方与供应商的另行约定，全部或者部分免除供应商应缴纳的保证金义务的，我方亦免除相应的保证责任。</w:t>
      </w:r>
    </w:p>
    <w:p>
      <w:pPr>
        <w:snapToGrid w:val="0"/>
        <w:spacing w:line="400" w:lineRule="exact"/>
        <w:ind w:firstLine="420" w:firstLineChars="200"/>
        <w:rPr>
          <w:rFonts w:ascii="宋体" w:hAnsi="宋体" w:cs="宋体"/>
          <w:szCs w:val="21"/>
        </w:rPr>
      </w:pPr>
      <w:r>
        <w:rPr>
          <w:rFonts w:hint="eastAsia" w:ascii="宋体" w:hAnsi="宋体" w:cs="宋体"/>
          <w:szCs w:val="21"/>
        </w:rPr>
        <w:t>3.因不可抗力造成供应商不能履行合同义务的，我方不承担保证责任。</w:t>
      </w:r>
    </w:p>
    <w:p>
      <w:pPr>
        <w:snapToGrid w:val="0"/>
        <w:spacing w:line="400" w:lineRule="exact"/>
        <w:ind w:firstLine="420" w:firstLineChars="200"/>
        <w:rPr>
          <w:rFonts w:ascii="宋体" w:hAnsi="宋体" w:cs="宋体"/>
          <w:b/>
          <w:szCs w:val="21"/>
        </w:rPr>
      </w:pPr>
      <w:r>
        <w:rPr>
          <w:rFonts w:hint="eastAsia" w:ascii="宋体" w:hAnsi="宋体" w:cs="宋体"/>
          <w:b/>
          <w:szCs w:val="21"/>
        </w:rPr>
        <w:t>六、争议的解决</w:t>
      </w:r>
    </w:p>
    <w:p>
      <w:pPr>
        <w:snapToGrid w:val="0"/>
        <w:spacing w:line="400" w:lineRule="exact"/>
        <w:ind w:firstLine="420" w:firstLineChars="200"/>
        <w:rPr>
          <w:rFonts w:ascii="宋体" w:hAnsi="宋体" w:cs="宋体"/>
          <w:szCs w:val="21"/>
        </w:rPr>
      </w:pPr>
      <w:r>
        <w:rPr>
          <w:rFonts w:hint="eastAsia" w:ascii="宋体" w:hAnsi="宋体" w:cs="宋体"/>
          <w:szCs w:val="21"/>
        </w:rPr>
        <w:t>因本保函发生的纠纷，由你我双方协商解决，协商不成的，通过诉讼程序解决，诉讼管辖地法院为法院。</w:t>
      </w:r>
    </w:p>
    <w:p>
      <w:pPr>
        <w:snapToGrid w:val="0"/>
        <w:spacing w:line="400" w:lineRule="exact"/>
        <w:ind w:firstLine="420" w:firstLineChars="200"/>
        <w:rPr>
          <w:rFonts w:ascii="宋体" w:hAnsi="宋体" w:cs="宋体"/>
          <w:b/>
          <w:szCs w:val="21"/>
        </w:rPr>
      </w:pPr>
      <w:r>
        <w:rPr>
          <w:rFonts w:hint="eastAsia" w:ascii="宋体" w:hAnsi="宋体" w:cs="宋体"/>
          <w:b/>
          <w:szCs w:val="21"/>
        </w:rPr>
        <w:t xml:space="preserve">七、保函的生效 </w:t>
      </w:r>
    </w:p>
    <w:p>
      <w:pPr>
        <w:snapToGrid w:val="0"/>
        <w:spacing w:line="400" w:lineRule="exact"/>
        <w:ind w:firstLine="420" w:firstLineChars="200"/>
        <w:rPr>
          <w:rFonts w:ascii="宋体" w:hAnsi="宋体" w:cs="宋体"/>
          <w:szCs w:val="21"/>
        </w:rPr>
      </w:pPr>
      <w:r>
        <w:rPr>
          <w:rFonts w:hint="eastAsia" w:ascii="宋体" w:hAnsi="宋体" w:cs="宋体"/>
          <w:szCs w:val="21"/>
        </w:rPr>
        <w:t xml:space="preserve">本保函自我方加盖公章之日起生效。 </w:t>
      </w:r>
    </w:p>
    <w:p>
      <w:pPr>
        <w:snapToGrid w:val="0"/>
        <w:spacing w:line="400" w:lineRule="exact"/>
        <w:ind w:right="960" w:firstLine="4620"/>
        <w:jc w:val="right"/>
        <w:rPr>
          <w:rFonts w:ascii="宋体" w:hAnsi="宋体" w:cs="宋体"/>
          <w:szCs w:val="21"/>
        </w:rPr>
      </w:pPr>
    </w:p>
    <w:p>
      <w:pPr>
        <w:snapToGrid w:val="0"/>
        <w:spacing w:line="400" w:lineRule="exact"/>
        <w:ind w:right="960" w:firstLine="4620"/>
        <w:jc w:val="right"/>
        <w:rPr>
          <w:rFonts w:ascii="宋体" w:hAnsi="宋体" w:cs="宋体"/>
          <w:szCs w:val="21"/>
        </w:rPr>
      </w:pPr>
    </w:p>
    <w:p>
      <w:pPr>
        <w:snapToGrid w:val="0"/>
        <w:spacing w:line="400" w:lineRule="exact"/>
        <w:ind w:right="960" w:firstLine="4620"/>
        <w:jc w:val="right"/>
        <w:rPr>
          <w:rFonts w:ascii="宋体" w:hAnsi="宋体" w:cs="宋体"/>
          <w:szCs w:val="21"/>
        </w:rPr>
      </w:pPr>
      <w:r>
        <w:rPr>
          <w:rFonts w:hint="eastAsia" w:ascii="宋体" w:hAnsi="宋体" w:cs="宋体"/>
          <w:szCs w:val="21"/>
        </w:rPr>
        <w:t xml:space="preserve">保证人：（公章） </w:t>
      </w:r>
    </w:p>
    <w:p>
      <w:pPr>
        <w:snapToGrid w:val="0"/>
        <w:spacing w:line="400" w:lineRule="exact"/>
        <w:jc w:val="right"/>
        <w:rPr>
          <w:rFonts w:ascii="宋体" w:hAnsi="宋体" w:cs="宋体"/>
          <w:szCs w:val="21"/>
        </w:rPr>
      </w:pPr>
    </w:p>
    <w:p>
      <w:pPr>
        <w:rPr>
          <w:rFonts w:ascii="宋体" w:hAnsi="宋体" w:cs="宋体"/>
        </w:rPr>
      </w:pPr>
      <w:r>
        <w:rPr>
          <w:rFonts w:hint="eastAsia" w:ascii="宋体" w:hAnsi="宋体" w:cs="宋体"/>
          <w:szCs w:val="21"/>
        </w:rPr>
        <w:t xml:space="preserve">                                    年   月   日</w:t>
      </w:r>
      <w:r>
        <w:rPr>
          <w:rFonts w:hint="eastAsia" w:ascii="宋体" w:hAnsi="宋体" w:cs="宋体"/>
        </w:rPr>
        <w:br w:type="page"/>
      </w:r>
    </w:p>
    <w:p>
      <w:pPr>
        <w:pStyle w:val="3"/>
        <w:numPr>
          <w:ilvl w:val="0"/>
          <w:numId w:val="5"/>
        </w:numPr>
        <w:spacing w:before="0" w:after="0"/>
        <w:jc w:val="center"/>
        <w:rPr>
          <w:rFonts w:ascii="宋体" w:hAnsi="宋体" w:cs="宋体"/>
          <w:bCs/>
          <w:sz w:val="28"/>
          <w:szCs w:val="28"/>
        </w:rPr>
      </w:pPr>
      <w:r>
        <w:rPr>
          <w:rFonts w:hint="eastAsia" w:ascii="宋体" w:hAnsi="宋体" w:cs="宋体"/>
        </w:rPr>
        <w:t xml:space="preserve"> </w:t>
      </w:r>
      <w:bookmarkStart w:id="150" w:name="_Toc5189"/>
      <w:bookmarkStart w:id="151" w:name="_Toc25360"/>
      <w:bookmarkStart w:id="152" w:name="_Toc3142"/>
      <w:r>
        <w:rPr>
          <w:rFonts w:hint="eastAsia" w:ascii="宋体" w:hAnsi="宋体" w:cs="宋体"/>
        </w:rPr>
        <w:t>采购需求</w:t>
      </w:r>
      <w:bookmarkEnd w:id="143"/>
      <w:bookmarkEnd w:id="148"/>
      <w:bookmarkEnd w:id="150"/>
      <w:bookmarkEnd w:id="151"/>
      <w:bookmarkEnd w:id="152"/>
      <w:bookmarkStart w:id="153" w:name="_Toc359494612"/>
      <w:bookmarkStart w:id="154" w:name="_Toc29547244"/>
      <w:r>
        <w:rPr>
          <w:rFonts w:hint="eastAsia" w:ascii="宋体" w:hAnsi="宋体" w:cs="宋体"/>
          <w:bCs/>
          <w:snapToGrid w:val="0"/>
          <w:spacing w:val="12"/>
          <w:sz w:val="21"/>
          <w:szCs w:val="21"/>
        </w:rPr>
        <w:t xml:space="preserve">  </w:t>
      </w:r>
    </w:p>
    <w:p>
      <w:pPr>
        <w:pStyle w:val="12"/>
        <w:widowControl/>
        <w:spacing w:line="360" w:lineRule="auto"/>
        <w:ind w:firstLine="420" w:firstLineChars="200"/>
        <w:jc w:val="left"/>
        <w:rPr>
          <w:rFonts w:ascii="宋体" w:hAnsi="宋体" w:cs="宋体"/>
          <w:b/>
          <w:kern w:val="0"/>
          <w:szCs w:val="21"/>
        </w:rPr>
      </w:pPr>
      <w:r>
        <w:rPr>
          <w:rFonts w:hint="eastAsia" w:ascii="宋体" w:hAnsi="宋体" w:cs="宋体"/>
          <w:b/>
          <w:color w:val="000000"/>
          <w:kern w:val="0"/>
          <w:szCs w:val="21"/>
          <w:highlight w:val="white"/>
        </w:rPr>
        <w:t>一、项目概述</w:t>
      </w:r>
    </w:p>
    <w:p>
      <w:pPr>
        <w:pStyle w:val="12"/>
        <w:widowControl/>
        <w:spacing w:line="360" w:lineRule="auto"/>
        <w:ind w:firstLine="420" w:firstLineChars="200"/>
        <w:jc w:val="left"/>
        <w:rPr>
          <w:rFonts w:ascii="宋体" w:hAnsi="宋体" w:cs="宋体"/>
          <w:bCs/>
          <w:kern w:val="0"/>
          <w:szCs w:val="21"/>
          <w:lang w:val="zh-CN"/>
        </w:rPr>
      </w:pPr>
      <w:r>
        <w:rPr>
          <w:rFonts w:hint="eastAsia" w:ascii="宋体" w:hAnsi="宋体" w:cs="宋体"/>
          <w:bCs/>
          <w:color w:val="000000"/>
          <w:kern w:val="0"/>
          <w:szCs w:val="21"/>
          <w:highlight w:val="white"/>
          <w:lang w:val="zh-CN"/>
        </w:rPr>
        <w:t>（一）采购标的需实现的功能或者目标：采购标的需执行的国家相关标准、行业标准、地方标准或者其他标准、规范：无</w:t>
      </w:r>
    </w:p>
    <w:p>
      <w:pPr>
        <w:pStyle w:val="12"/>
        <w:widowControl/>
        <w:spacing w:line="360" w:lineRule="auto"/>
        <w:ind w:firstLine="420" w:firstLineChars="200"/>
        <w:jc w:val="left"/>
        <w:rPr>
          <w:rFonts w:ascii="宋体" w:hAnsi="宋体" w:cs="宋体"/>
          <w:bCs/>
          <w:color w:val="000000"/>
          <w:kern w:val="0"/>
          <w:szCs w:val="21"/>
          <w:highlight w:val="white"/>
        </w:rPr>
      </w:pPr>
      <w:r>
        <w:rPr>
          <w:rFonts w:hint="eastAsia" w:ascii="宋体" w:hAnsi="宋体" w:cs="宋体"/>
          <w:bCs/>
          <w:color w:val="000000"/>
          <w:kern w:val="0"/>
          <w:szCs w:val="21"/>
          <w:highlight w:val="white"/>
          <w:lang w:val="zh-CN"/>
        </w:rPr>
        <w:t>（二）采购标的对应的中小企业划分标准所属行业（投标文件中《中小企业声明函》中填写的“采购文件中明确的所属行业”应与下述行业一致）：</w:t>
      </w:r>
      <w:r>
        <w:rPr>
          <w:rFonts w:hint="eastAsia" w:ascii="宋体" w:hAnsi="宋体" w:cs="宋体"/>
          <w:bCs/>
          <w:color w:val="000000"/>
          <w:kern w:val="0"/>
          <w:szCs w:val="21"/>
          <w:highlight w:val="white"/>
        </w:rPr>
        <w:t>工业</w:t>
      </w:r>
    </w:p>
    <w:p>
      <w:pPr>
        <w:pStyle w:val="12"/>
        <w:widowControl/>
        <w:spacing w:line="360" w:lineRule="auto"/>
        <w:ind w:firstLine="420" w:firstLineChars="200"/>
        <w:jc w:val="left"/>
        <w:rPr>
          <w:rFonts w:ascii="宋体" w:hAnsi="宋体" w:cs="宋体"/>
          <w:b/>
          <w:kern w:val="0"/>
          <w:szCs w:val="21"/>
        </w:rPr>
      </w:pPr>
      <w:r>
        <w:rPr>
          <w:rFonts w:hint="eastAsia" w:ascii="宋体" w:hAnsi="宋体" w:cs="宋体"/>
          <w:b/>
          <w:color w:val="000000"/>
          <w:kern w:val="0"/>
          <w:szCs w:val="21"/>
          <w:highlight w:val="white"/>
        </w:rPr>
        <w:t>二、技术要求</w:t>
      </w:r>
    </w:p>
    <w:p>
      <w:pPr>
        <w:pStyle w:val="165"/>
        <w:wordWrap w:val="0"/>
        <w:spacing w:beforeAutospacing="0" w:after="2" w:afterAutospacing="0" w:line="360" w:lineRule="auto"/>
        <w:ind w:firstLine="420" w:firstLineChars="200"/>
        <w:rPr>
          <w:rFonts w:cs="宋体"/>
          <w:bCs/>
          <w:sz w:val="21"/>
          <w:szCs w:val="21"/>
        </w:rPr>
      </w:pPr>
      <w:r>
        <w:rPr>
          <w:rFonts w:hint="eastAsia" w:cs="宋体"/>
          <w:bCs/>
          <w:color w:val="000000"/>
          <w:sz w:val="21"/>
          <w:szCs w:val="21"/>
          <w:highlight w:val="white"/>
        </w:rPr>
        <w:t>（一）技术条款（</w:t>
      </w:r>
      <w:r>
        <w:rPr>
          <w:rFonts w:hint="eastAsia" w:cs="宋体"/>
          <w:bCs/>
          <w:color w:val="000000"/>
          <w:sz w:val="21"/>
          <w:szCs w:val="21"/>
          <w:highlight w:val="white"/>
          <w:lang w:val="zh-CN"/>
        </w:rPr>
        <w:t>采购标的的功能和质量要求，包括性能、材料、结构、外观、安全、</w:t>
      </w:r>
      <w:r>
        <w:rPr>
          <w:rFonts w:hint="eastAsia" w:cs="宋体"/>
          <w:bCs/>
          <w:color w:val="000000"/>
          <w:sz w:val="21"/>
          <w:szCs w:val="21"/>
          <w:highlight w:val="white"/>
        </w:rPr>
        <w:t>服务内容和标准</w:t>
      </w:r>
      <w:r>
        <w:rPr>
          <w:rFonts w:hint="eastAsia" w:cs="宋体"/>
          <w:bCs/>
          <w:color w:val="000000"/>
          <w:sz w:val="21"/>
          <w:szCs w:val="21"/>
          <w:highlight w:val="white"/>
          <w:lang w:val="zh-CN"/>
        </w:rPr>
        <w:t>等</w:t>
      </w:r>
      <w:r>
        <w:rPr>
          <w:rFonts w:hint="eastAsia" w:cs="宋体"/>
          <w:bCs/>
          <w:color w:val="000000"/>
          <w:sz w:val="21"/>
          <w:szCs w:val="21"/>
          <w:highlight w:val="white"/>
        </w:rPr>
        <w:t>）：</w:t>
      </w:r>
    </w:p>
    <w:p>
      <w:pPr>
        <w:pStyle w:val="165"/>
        <w:wordWrap w:val="0"/>
        <w:spacing w:beforeAutospacing="0" w:after="2" w:afterAutospacing="0" w:line="360" w:lineRule="auto"/>
        <w:ind w:firstLine="420" w:firstLineChars="200"/>
        <w:rPr>
          <w:rFonts w:cs="宋体"/>
          <w:bCs/>
          <w:sz w:val="21"/>
          <w:szCs w:val="21"/>
        </w:rPr>
      </w:pPr>
      <w:r>
        <w:rPr>
          <w:rFonts w:hint="eastAsia" w:cs="宋体"/>
          <w:bCs/>
          <w:color w:val="000000"/>
          <w:sz w:val="21"/>
          <w:szCs w:val="21"/>
          <w:highlight w:val="white"/>
          <w:lang w:val="zh-CN"/>
        </w:rPr>
        <w:t>注：</w:t>
      </w:r>
      <w:r>
        <w:rPr>
          <w:rFonts w:hint="eastAsia" w:cs="宋体"/>
          <w:bCs/>
          <w:color w:val="000000"/>
          <w:sz w:val="21"/>
          <w:szCs w:val="21"/>
          <w:highlight w:val="white"/>
        </w:rPr>
        <w:t>投标人</w:t>
      </w:r>
      <w:r>
        <w:rPr>
          <w:rFonts w:hint="eastAsia" w:cs="宋体"/>
          <w:bCs/>
          <w:color w:val="000000"/>
          <w:sz w:val="21"/>
          <w:szCs w:val="21"/>
          <w:highlight w:val="white"/>
          <w:lang w:val="zh-CN"/>
        </w:rPr>
        <w:t>应在投标文件《技术条款偏离表》中对本部分技术条款逐条说明响应和偏离情况，</w:t>
      </w:r>
      <w:r>
        <w:rPr>
          <w:rFonts w:hint="eastAsia" w:cs="宋体"/>
          <w:bCs/>
          <w:color w:val="000000"/>
          <w:sz w:val="21"/>
          <w:szCs w:val="21"/>
          <w:highlight w:val="white"/>
        </w:rPr>
        <w:t>技术条款</w:t>
      </w:r>
      <w:r>
        <w:rPr>
          <w:rFonts w:hint="eastAsia" w:cs="宋体"/>
          <w:bCs/>
          <w:color w:val="000000"/>
          <w:sz w:val="21"/>
          <w:szCs w:val="21"/>
          <w:highlight w:val="white"/>
          <w:lang w:val="zh-CN"/>
        </w:rPr>
        <w:t>中的“</w:t>
      </w:r>
      <w:r>
        <w:rPr>
          <w:rFonts w:hint="eastAsia" w:cs="宋体"/>
          <w:bCs/>
          <w:color w:val="000000"/>
          <w:sz w:val="21"/>
          <w:szCs w:val="21"/>
          <w:highlight w:val="white"/>
        </w:rPr>
        <w:t>具体参数值或功能要求表述</w:t>
      </w:r>
      <w:r>
        <w:rPr>
          <w:rFonts w:hint="eastAsia" w:cs="宋体"/>
          <w:bCs/>
          <w:color w:val="000000"/>
          <w:sz w:val="21"/>
          <w:szCs w:val="21"/>
          <w:highlight w:val="white"/>
          <w:lang w:val="zh-CN"/>
        </w:rPr>
        <w:t>”中“*”条款</w:t>
      </w:r>
      <w:r>
        <w:rPr>
          <w:rFonts w:hint="eastAsia" w:cs="宋体"/>
          <w:bCs/>
          <w:color w:val="000000"/>
          <w:sz w:val="21"/>
          <w:szCs w:val="21"/>
          <w:highlight w:val="white"/>
        </w:rPr>
        <w:t>为实质性条款，</w:t>
      </w:r>
      <w:r>
        <w:rPr>
          <w:rFonts w:hint="eastAsia" w:cs="宋体"/>
          <w:bCs/>
          <w:color w:val="000000"/>
          <w:sz w:val="21"/>
          <w:szCs w:val="21"/>
          <w:highlight w:val="white"/>
          <w:lang w:val="zh-CN"/>
        </w:rPr>
        <w:t>投标人的投标必须完全满足或者正偏离，否则投标无效。</w:t>
      </w:r>
    </w:p>
    <w:tbl>
      <w:tblPr>
        <w:tblStyle w:val="32"/>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240"/>
        <w:gridCol w:w="6483"/>
        <w:gridCol w:w="14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87" w:type="pct"/>
          </w:tcPr>
          <w:p>
            <w:pPr>
              <w:pStyle w:val="165"/>
              <w:wordWrap w:val="0"/>
              <w:spacing w:beforeAutospacing="0" w:after="2" w:afterAutospacing="0" w:line="480" w:lineRule="auto"/>
              <w:jc w:val="center"/>
              <w:rPr>
                <w:rFonts w:cs="宋体"/>
                <w:bCs/>
              </w:rPr>
            </w:pPr>
            <w:r>
              <w:rPr>
                <w:rFonts w:hint="eastAsia" w:cs="宋体"/>
                <w:bCs/>
                <w:color w:val="000000"/>
                <w:highlight w:val="white"/>
              </w:rPr>
              <w:t>序号</w:t>
            </w:r>
          </w:p>
        </w:tc>
        <w:tc>
          <w:tcPr>
            <w:tcW w:w="620" w:type="pct"/>
          </w:tcPr>
          <w:p>
            <w:pPr>
              <w:pStyle w:val="165"/>
              <w:wordWrap w:val="0"/>
              <w:spacing w:beforeAutospacing="0" w:after="2" w:afterAutospacing="0" w:line="480" w:lineRule="auto"/>
              <w:jc w:val="center"/>
              <w:rPr>
                <w:rFonts w:cs="宋体"/>
                <w:bCs/>
              </w:rPr>
            </w:pPr>
            <w:r>
              <w:rPr>
                <w:rFonts w:hint="eastAsia" w:cs="宋体"/>
                <w:bCs/>
                <w:color w:val="000000"/>
                <w:highlight w:val="white"/>
              </w:rPr>
              <w:t>标的名称</w:t>
            </w:r>
          </w:p>
        </w:tc>
        <w:tc>
          <w:tcPr>
            <w:tcW w:w="3242" w:type="pct"/>
          </w:tcPr>
          <w:p>
            <w:pPr>
              <w:pStyle w:val="165"/>
              <w:wordWrap w:val="0"/>
              <w:spacing w:beforeAutospacing="0" w:after="2" w:afterAutospacing="0" w:line="480" w:lineRule="auto"/>
              <w:jc w:val="center"/>
              <w:rPr>
                <w:rFonts w:cs="宋体"/>
                <w:bCs/>
              </w:rPr>
            </w:pPr>
            <w:r>
              <w:rPr>
                <w:rFonts w:hint="eastAsia" w:cs="宋体"/>
                <w:bCs/>
                <w:color w:val="000000"/>
                <w:highlight w:val="white"/>
              </w:rPr>
              <w:t>具体参数值或功能要求表述</w:t>
            </w:r>
          </w:p>
        </w:tc>
        <w:tc>
          <w:tcPr>
            <w:tcW w:w="749" w:type="pct"/>
          </w:tcPr>
          <w:p>
            <w:pPr>
              <w:pStyle w:val="165"/>
              <w:wordWrap w:val="0"/>
              <w:spacing w:beforeAutospacing="0" w:after="2" w:afterAutospacing="0" w:line="480" w:lineRule="auto"/>
              <w:jc w:val="center"/>
              <w:rPr>
                <w:rFonts w:cs="宋体"/>
                <w:bCs/>
              </w:rPr>
            </w:pPr>
            <w:r>
              <w:rPr>
                <w:rFonts w:hint="eastAsia" w:cs="宋体"/>
                <w:bCs/>
                <w:color w:val="000000"/>
                <w:highlight w:val="white"/>
              </w:rPr>
              <w:t>数量及单位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7" w:type="pct"/>
            <w:vAlign w:val="center"/>
          </w:tcPr>
          <w:p>
            <w:pPr>
              <w:pStyle w:val="165"/>
              <w:wordWrap w:val="0"/>
              <w:spacing w:beforeAutospacing="0" w:after="2" w:afterAutospacing="0" w:line="480" w:lineRule="auto"/>
              <w:rPr>
                <w:rFonts w:cs="宋体"/>
                <w:b/>
                <w:sz w:val="21"/>
                <w:szCs w:val="21"/>
              </w:rPr>
            </w:pPr>
            <w:r>
              <w:rPr>
                <w:rFonts w:hint="eastAsia" w:cs="宋体"/>
                <w:bCs/>
                <w:color w:val="000000"/>
                <w:sz w:val="21"/>
                <w:szCs w:val="21"/>
                <w:highlight w:val="white"/>
              </w:rPr>
              <w:t>1</w:t>
            </w:r>
          </w:p>
        </w:tc>
        <w:tc>
          <w:tcPr>
            <w:tcW w:w="620" w:type="pct"/>
            <w:vAlign w:val="center"/>
          </w:tcPr>
          <w:p>
            <w:pPr>
              <w:pStyle w:val="12"/>
              <w:jc w:val="left"/>
              <w:rPr>
                <w:rFonts w:ascii="宋体" w:hAnsi="宋体" w:cs="宋体"/>
                <w:bCs/>
                <w:szCs w:val="21"/>
              </w:rPr>
            </w:pPr>
            <w:r>
              <w:rPr>
                <w:rStyle w:val="82"/>
                <w:rFonts w:hint="eastAsia" w:ascii="宋体" w:hAnsi="宋体" w:eastAsia="宋体" w:cs="宋体"/>
                <w:color w:val="auto"/>
                <w:sz w:val="21"/>
                <w:szCs w:val="21"/>
              </w:rPr>
              <w:t>车辆电气控制原理虚拟仿真实训系统</w:t>
            </w:r>
          </w:p>
        </w:tc>
        <w:tc>
          <w:tcPr>
            <w:tcW w:w="3242" w:type="pct"/>
            <w:vAlign w:val="center"/>
          </w:tcPr>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本系统应部署在电脑终端上，以长春地铁B型车为原型，通过建设车辆结构认知与原理学习的虚拟实训系统数字资源，在传统职业教育的基础上实现了知识内容可视化，学员可通过交互操作，实现对车辆结构认知与原理的学习,主要功能包括：</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1.系统程序启动后需要进行学员身份验证登录，使用已注册的账号进行登录，即可访问并开始使用功能。</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2. 具备课程目录展示，即可进行目录选择。选中目录后点击下方的任一模式并启动即可进入仿真实训系统进行学习或考核。点击结束按钮即可进行退出系统的操作。</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3.系统可进行全场景漫游，并对车辆关键部件进行交互操作，用户在场景中可实现全场景漫游，包括驾驶室、车厢及车顶，还能对关键部件进行交互操作，不同的操作将激活不同的模型动作，以达到真实的车辆漫游体验。</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4.系统具备引导学习模式，通过提示引导用户按顺序进行相应操作，引导学习中，通过依次闪烁相应部件，引导用户按步骤对该车辆进行操作。</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5.原理示意图界面：能够同步展示设备电路原理图变化，包括：牵引系统电路、司控器电路、制动控制电路、受电弓控制电路空调系统电路等主要核心电路，并保证主要设备状态能结合虚拟模型相关联。</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6.系统以文字和语音相结合的方式，为用户提供专业的知识讲解，用户在点击部件时，在屏幕下方会显示出该部件的文字知识讲解，同时附有语音讲解，以语音和文字相结合的方式对关键部件进行说明，用户可随时通过界面顶端的选项打开或关闭语音讲解功</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7.系统具备考核系统：通过选择题的形式进行考核，并对本次考核进行评估，在内容选择界面可选择进入考核模式，该模式以选择题的形式对部件的位置、名称、功能进行了全方面的考核，在考核结束后将对本次考核进行打分。考核试题编写在外部加载文件中，方便随时更改。</w:t>
            </w:r>
          </w:p>
          <w:p>
            <w:pPr>
              <w:pStyle w:val="12"/>
              <w:widowControl/>
              <w:spacing w:line="360" w:lineRule="auto"/>
              <w:jc w:val="left"/>
              <w:textAlignment w:val="center"/>
              <w:rPr>
                <w:rFonts w:ascii="宋体" w:hAnsi="宋体" w:cs="宋体"/>
                <w:szCs w:val="21"/>
              </w:rPr>
            </w:pPr>
            <w:r>
              <w:rPr>
                <w:rStyle w:val="82"/>
                <w:rFonts w:hint="eastAsia" w:ascii="宋体" w:hAnsi="宋体" w:eastAsia="宋体" w:cs="宋体"/>
                <w:color w:val="auto"/>
                <w:sz w:val="21"/>
                <w:szCs w:val="21"/>
              </w:rPr>
              <w:t>8.虚拟场景漫游，并展示动车组整体外貌、特点概述、技术参数、车顶设备、车内设备、车体构架、原理示意图以及可视化场景展示</w:t>
            </w:r>
          </w:p>
        </w:tc>
        <w:tc>
          <w:tcPr>
            <w:tcW w:w="749" w:type="pct"/>
            <w:vAlign w:val="center"/>
          </w:tcPr>
          <w:p>
            <w:pPr>
              <w:pStyle w:val="165"/>
              <w:wordWrap w:val="0"/>
              <w:spacing w:beforeAutospacing="0" w:after="2" w:afterAutospacing="0" w:line="360" w:lineRule="auto"/>
              <w:rPr>
                <w:rFonts w:cs="宋体"/>
                <w:bCs/>
                <w:sz w:val="21"/>
                <w:szCs w:val="21"/>
              </w:rPr>
            </w:pPr>
            <w:r>
              <w:rPr>
                <w:rFonts w:hint="eastAsia" w:cs="宋体"/>
                <w:bCs/>
                <w:color w:val="000000"/>
                <w:sz w:val="21"/>
                <w:szCs w:val="21"/>
                <w:highlight w:val="white"/>
              </w:rPr>
              <w:t>1套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7" w:type="pct"/>
            <w:vAlign w:val="center"/>
          </w:tcPr>
          <w:p>
            <w:pPr>
              <w:pStyle w:val="165"/>
              <w:wordWrap w:val="0"/>
              <w:spacing w:beforeAutospacing="0" w:after="2" w:afterAutospacing="0" w:line="480" w:lineRule="auto"/>
              <w:rPr>
                <w:rFonts w:cs="宋体"/>
                <w:bCs/>
                <w:color w:val="000000"/>
                <w:sz w:val="21"/>
                <w:szCs w:val="21"/>
                <w:highlight w:val="white"/>
              </w:rPr>
            </w:pPr>
            <w:r>
              <w:rPr>
                <w:rFonts w:hint="eastAsia" w:cs="宋体"/>
                <w:bCs/>
                <w:color w:val="000000"/>
                <w:sz w:val="21"/>
                <w:szCs w:val="21"/>
                <w:highlight w:val="white"/>
              </w:rPr>
              <w:t>2</w:t>
            </w:r>
          </w:p>
        </w:tc>
        <w:tc>
          <w:tcPr>
            <w:tcW w:w="620" w:type="pct"/>
            <w:vAlign w:val="center"/>
          </w:tcPr>
          <w:p>
            <w:pPr>
              <w:pStyle w:val="12"/>
              <w:jc w:val="left"/>
              <w:rPr>
                <w:rStyle w:val="82"/>
                <w:rFonts w:ascii="宋体" w:hAnsi="宋体" w:eastAsia="宋体" w:cs="宋体"/>
                <w:color w:val="auto"/>
                <w:sz w:val="21"/>
                <w:szCs w:val="21"/>
              </w:rPr>
            </w:pPr>
            <w:r>
              <w:rPr>
                <w:rFonts w:hint="eastAsia" w:ascii="宋体" w:hAnsi="宋体" w:cs="宋体"/>
                <w:kern w:val="0"/>
                <w:szCs w:val="21"/>
              </w:rPr>
              <w:t>车辆部件增强现实虚拟仿真软件及其控制系统</w:t>
            </w:r>
          </w:p>
        </w:tc>
        <w:tc>
          <w:tcPr>
            <w:tcW w:w="3242" w:type="pct"/>
            <w:vAlign w:val="center"/>
          </w:tcPr>
          <w:p>
            <w:pPr>
              <w:widowControl/>
              <w:adjustRightInd w:val="0"/>
              <w:snapToGrid w:val="0"/>
              <w:spacing w:line="360" w:lineRule="auto"/>
              <w:jc w:val="left"/>
              <w:textAlignment w:val="center"/>
              <w:rPr>
                <w:rStyle w:val="82"/>
                <w:rFonts w:ascii="宋体" w:hAnsi="宋体" w:eastAsia="宋体" w:cs="宋体"/>
                <w:b/>
                <w:bCs/>
                <w:color w:val="auto"/>
                <w:sz w:val="21"/>
                <w:szCs w:val="21"/>
              </w:rPr>
            </w:pPr>
            <w:r>
              <w:rPr>
                <w:rStyle w:val="82"/>
                <w:rFonts w:hint="eastAsia" w:ascii="宋体" w:hAnsi="宋体" w:eastAsia="宋体" w:cs="宋体"/>
                <w:b/>
                <w:bCs/>
                <w:color w:val="auto"/>
                <w:sz w:val="21"/>
                <w:szCs w:val="21"/>
              </w:rPr>
              <w:t>软件系统要求：</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通过混合现实技术，部署在相应头戴式终端展示车辆要设备的虚拟数字模型，包括受电弓、转向架以及空调系统，通过混合现实技术及虚实融合技术实现设备实体上的部件及信息的虚实叠加显示，为用户提供更加虚实结合的训练环境，多层次全方位呈现培训信息。</w:t>
            </w:r>
            <w:r>
              <w:rPr>
                <w:rStyle w:val="82"/>
                <w:rFonts w:hint="eastAsia" w:ascii="宋体" w:hAnsi="宋体" w:cs="宋体"/>
                <w:color w:val="auto"/>
                <w:sz w:val="21"/>
                <w:szCs w:val="21"/>
              </w:rPr>
              <w:t>要求</w:t>
            </w:r>
            <w:r>
              <w:rPr>
                <w:rStyle w:val="82"/>
                <w:rFonts w:hint="eastAsia" w:ascii="宋体" w:hAnsi="宋体" w:eastAsia="宋体" w:cs="宋体"/>
                <w:color w:val="auto"/>
                <w:sz w:val="21"/>
                <w:szCs w:val="21"/>
              </w:rPr>
              <w:t xml:space="preserve">实现以下功能：   </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1.系统程序启动后需要进行学员身份验证登录，</w:t>
            </w:r>
            <w:r>
              <w:rPr>
                <w:rStyle w:val="82"/>
                <w:rFonts w:hint="eastAsia" w:ascii="宋体" w:hAnsi="宋体" w:eastAsia="宋体" w:cs="宋体"/>
                <w:color w:val="auto"/>
                <w:sz w:val="21"/>
                <w:szCs w:val="21"/>
                <w:lang w:val="zh-CN"/>
              </w:rPr>
              <w:t>登录</w:t>
            </w:r>
            <w:r>
              <w:rPr>
                <w:rStyle w:val="82"/>
                <w:rFonts w:hint="eastAsia" w:ascii="宋体" w:hAnsi="宋体" w:eastAsia="宋体" w:cs="宋体"/>
                <w:color w:val="auto"/>
                <w:sz w:val="21"/>
                <w:szCs w:val="21"/>
              </w:rPr>
              <w:t>混合</w:t>
            </w:r>
            <w:r>
              <w:rPr>
                <w:rStyle w:val="82"/>
                <w:rFonts w:hint="eastAsia" w:ascii="宋体" w:hAnsi="宋体" w:eastAsia="宋体" w:cs="宋体"/>
                <w:color w:val="auto"/>
                <w:sz w:val="21"/>
                <w:szCs w:val="21"/>
                <w:lang w:val="zh-CN"/>
              </w:rPr>
              <w:t>现实仿真系统后，系统根据学员名称与管理系统分配的科目和训练模式进行匹配和对比。</w:t>
            </w:r>
            <w:r>
              <w:rPr>
                <w:rStyle w:val="82"/>
                <w:rFonts w:hint="eastAsia" w:ascii="宋体" w:hAnsi="宋体" w:eastAsia="宋体" w:cs="宋体"/>
                <w:color w:val="auto"/>
                <w:sz w:val="21"/>
                <w:szCs w:val="21"/>
              </w:rPr>
              <w:t xml:space="preserve">  </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2.系统具备课程科目选择模块，可通过多种交互方式选择训练科目，科目用结构树排列可通过点击一级课程来打开二级课程。选中课程目录按钮，在弹出的课程列表区域中选择需要训练的课程名称。</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3.系统具备引导教学模式以及自主训练模式，可通过科目步骤和虚拟界面的信息提示学员维护操作步骤，引导学员完成维护训练。</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4.系统可根据实训真实场地的变化，通过便捷的操作方式选择虚拟模型在真实场地的位置，并可在训练过程中随时调整虚拟模型在真实场景众的位置。</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5.用户操作的多种交互方式需要支持以下操作交互方式，包括：</w:t>
            </w:r>
            <w:r>
              <w:rPr>
                <w:rStyle w:val="82"/>
                <w:rFonts w:hint="eastAsia" w:ascii="宋体" w:hAnsi="宋体" w:eastAsia="宋体" w:cs="宋体"/>
                <w:color w:val="auto"/>
                <w:sz w:val="21"/>
                <w:szCs w:val="21"/>
              </w:rPr>
              <w:br w:type="textWrapping"/>
            </w:r>
            <w:r>
              <w:rPr>
                <w:rStyle w:val="82"/>
                <w:rFonts w:hint="eastAsia" w:ascii="宋体" w:hAnsi="宋体" w:eastAsia="宋体" w:cs="宋体"/>
                <w:color w:val="auto"/>
                <w:sz w:val="21"/>
                <w:szCs w:val="21"/>
              </w:rPr>
              <w:t xml:space="preserve">  1）手势识别交互</w:t>
            </w:r>
            <w:r>
              <w:rPr>
                <w:rStyle w:val="82"/>
                <w:rFonts w:hint="eastAsia" w:ascii="宋体" w:hAnsi="宋体" w:eastAsia="宋体" w:cs="宋体"/>
                <w:color w:val="auto"/>
                <w:sz w:val="21"/>
                <w:szCs w:val="21"/>
              </w:rPr>
              <w:br w:type="textWrapping"/>
            </w:r>
            <w:r>
              <w:rPr>
                <w:rStyle w:val="82"/>
                <w:rFonts w:hint="eastAsia" w:ascii="宋体" w:hAnsi="宋体" w:eastAsia="宋体" w:cs="宋体"/>
                <w:color w:val="auto"/>
                <w:sz w:val="21"/>
                <w:szCs w:val="21"/>
              </w:rPr>
              <w:t xml:space="preserve">  2 ）终端物理按键交互</w:t>
            </w:r>
            <w:r>
              <w:rPr>
                <w:rStyle w:val="82"/>
                <w:rFonts w:hint="eastAsia" w:ascii="宋体" w:hAnsi="宋体" w:eastAsia="宋体" w:cs="宋体"/>
                <w:color w:val="auto"/>
                <w:sz w:val="21"/>
                <w:szCs w:val="21"/>
              </w:rPr>
              <w:br w:type="textWrapping"/>
            </w:r>
            <w:r>
              <w:rPr>
                <w:rStyle w:val="82"/>
                <w:rFonts w:hint="eastAsia" w:ascii="宋体" w:hAnsi="宋体" w:eastAsia="宋体" w:cs="宋体"/>
                <w:color w:val="auto"/>
                <w:sz w:val="21"/>
                <w:szCs w:val="21"/>
              </w:rPr>
              <w:t xml:space="preserve">  3 ）终端虚拟射线交互</w:t>
            </w:r>
            <w:r>
              <w:rPr>
                <w:rStyle w:val="82"/>
                <w:rFonts w:hint="eastAsia" w:ascii="宋体" w:hAnsi="宋体" w:eastAsia="宋体" w:cs="宋体"/>
                <w:color w:val="auto"/>
                <w:sz w:val="21"/>
                <w:szCs w:val="21"/>
              </w:rPr>
              <w:br w:type="textWrapping"/>
            </w:r>
            <w:r>
              <w:rPr>
                <w:rStyle w:val="82"/>
                <w:rFonts w:hint="eastAsia" w:ascii="宋体" w:hAnsi="宋体" w:eastAsia="宋体" w:cs="宋体"/>
                <w:color w:val="auto"/>
                <w:sz w:val="21"/>
                <w:szCs w:val="21"/>
              </w:rPr>
              <w:t xml:space="preserve">  4 ）终端触屏案件交互                                                              6.系统可通过多种交互方式，进入设备详情模式，显示设备零件的名称以及相关功能讲解。</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7.系统可通过多种交互方式，实现数字模型的旋转与静止，更全面的展示设备的各个重要部件与运行状态时各部件的运转情况。</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8.系统可通过多种交互方式，实现设备结构爆炸分解展示，爆炸式拆分模式使发动机各个重要拆分部件呈爆炸式分解，通过对部件的细节展示，相对位置的整体和局部展示，让学员能更直接掌握维修设备的位置信息和构造等相关信息。</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9.系统可通过多种交互方式，查看设备维修使用技术文档，辅助虚拟教学的理论知识认知。</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10.系统支持第一视角视频信息通过网络回传720/1080P高清视频至同一局域网下的电脑终端，将混合现实设备的人员的第一视角以第三视角的形式同步到大屏幕上，便于教师讲解和学员学习。</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11.系统具备相关维护训练流程，包括主要一级、二级维护检修，每个设备流程不少于3个。</w:t>
            </w:r>
            <w:r>
              <w:rPr>
                <w:rStyle w:val="82"/>
                <w:rFonts w:hint="eastAsia" w:ascii="宋体" w:hAnsi="宋体" w:eastAsia="宋体" w:cs="宋体"/>
                <w:color w:val="auto"/>
                <w:sz w:val="21"/>
                <w:szCs w:val="21"/>
              </w:rPr>
              <w:br w:type="textWrapping"/>
            </w:r>
            <w:r>
              <w:rPr>
                <w:rStyle w:val="82"/>
                <w:rFonts w:hint="eastAsia" w:ascii="宋体" w:hAnsi="宋体" w:eastAsia="宋体" w:cs="宋体"/>
                <w:color w:val="auto"/>
                <w:sz w:val="21"/>
                <w:szCs w:val="21"/>
              </w:rPr>
              <w:t>12. 在满足混合现实头戴式设备相关技术参数（详见硬件技术参数表格）的终端下，展示某车辆设备（空调、起落架或受电弓）虚拟数字模型结构</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13.系统可根据现场地的变化，通过便捷的操作方式改变虚拟模型在真实场地的位置</w:t>
            </w:r>
            <w:r>
              <w:rPr>
                <w:rStyle w:val="82"/>
                <w:rFonts w:hint="eastAsia" w:ascii="宋体" w:hAnsi="宋体" w:eastAsia="宋体" w:cs="宋体"/>
                <w:color w:val="auto"/>
                <w:sz w:val="21"/>
                <w:szCs w:val="21"/>
              </w:rPr>
              <w:br w:type="textWrapping"/>
            </w:r>
            <w:r>
              <w:rPr>
                <w:rStyle w:val="82"/>
                <w:rFonts w:hint="eastAsia" w:ascii="宋体" w:hAnsi="宋体" w:eastAsia="宋体" w:cs="宋体"/>
                <w:color w:val="auto"/>
                <w:sz w:val="21"/>
                <w:szCs w:val="21"/>
              </w:rPr>
              <w:t>14.用户操作的多种方式需要实现以下操作交互方式，包括：</w:t>
            </w:r>
            <w:r>
              <w:rPr>
                <w:rStyle w:val="82"/>
                <w:rFonts w:hint="eastAsia" w:ascii="宋体" w:hAnsi="宋体" w:eastAsia="宋体" w:cs="宋体"/>
                <w:color w:val="auto"/>
                <w:sz w:val="21"/>
                <w:szCs w:val="21"/>
              </w:rPr>
              <w:br w:type="textWrapping"/>
            </w:r>
            <w:r>
              <w:rPr>
                <w:rStyle w:val="82"/>
                <w:rFonts w:hint="eastAsia" w:ascii="宋体" w:hAnsi="宋体" w:eastAsia="宋体" w:cs="宋体"/>
                <w:color w:val="auto"/>
                <w:sz w:val="21"/>
                <w:szCs w:val="21"/>
              </w:rPr>
              <w:t xml:space="preserve">  1）手势识别交互</w:t>
            </w:r>
            <w:r>
              <w:rPr>
                <w:rStyle w:val="82"/>
                <w:rFonts w:hint="eastAsia" w:ascii="宋体" w:hAnsi="宋体" w:eastAsia="宋体" w:cs="宋体"/>
                <w:color w:val="auto"/>
                <w:sz w:val="21"/>
                <w:szCs w:val="21"/>
              </w:rPr>
              <w:br w:type="textWrapping"/>
            </w:r>
            <w:r>
              <w:rPr>
                <w:rStyle w:val="82"/>
                <w:rFonts w:hint="eastAsia" w:ascii="宋体" w:hAnsi="宋体" w:eastAsia="宋体" w:cs="宋体"/>
                <w:color w:val="auto"/>
                <w:sz w:val="21"/>
                <w:szCs w:val="21"/>
              </w:rPr>
              <w:t xml:space="preserve">  2）终端物理按键交互</w:t>
            </w:r>
            <w:r>
              <w:rPr>
                <w:rStyle w:val="82"/>
                <w:rFonts w:hint="eastAsia" w:ascii="宋体" w:hAnsi="宋体" w:eastAsia="宋体" w:cs="宋体"/>
                <w:color w:val="auto"/>
                <w:sz w:val="21"/>
                <w:szCs w:val="21"/>
              </w:rPr>
              <w:br w:type="textWrapping"/>
            </w:r>
            <w:r>
              <w:rPr>
                <w:rStyle w:val="82"/>
                <w:rFonts w:hint="eastAsia" w:ascii="宋体" w:hAnsi="宋体" w:eastAsia="宋体" w:cs="宋体"/>
                <w:color w:val="auto"/>
                <w:sz w:val="21"/>
                <w:szCs w:val="21"/>
              </w:rPr>
              <w:t xml:space="preserve">  3）终端虚拟射线交互</w:t>
            </w:r>
            <w:r>
              <w:rPr>
                <w:rStyle w:val="82"/>
                <w:rFonts w:hint="eastAsia" w:ascii="宋体" w:hAnsi="宋体" w:eastAsia="宋体" w:cs="宋体"/>
                <w:color w:val="auto"/>
                <w:sz w:val="21"/>
                <w:szCs w:val="21"/>
              </w:rPr>
              <w:br w:type="textWrapping"/>
            </w:r>
            <w:r>
              <w:rPr>
                <w:rStyle w:val="82"/>
                <w:rFonts w:hint="eastAsia" w:ascii="宋体" w:hAnsi="宋体" w:eastAsia="宋体" w:cs="宋体"/>
                <w:color w:val="auto"/>
                <w:sz w:val="21"/>
                <w:szCs w:val="21"/>
              </w:rPr>
              <w:t xml:space="preserve">  4）终端触屏案件交互 </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15.支持以多种交互方式，实现设备的爆炸分解展示，同时展示部件名称信息</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16.根据相关设备的维修手册，以多种交互方式进行某项维护的完整流程操作演示</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17.系统支持第一视角视频信息通过网络回传720/1080P高清视频至同一局域网下的电脑终端，将使用混合现实设备的人员的第一视角以第三视角的形式同步到大屏幕上，便于教师讲解和学员观摩</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18.软件性能要求：</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 xml:space="preserve">  1）混合显示仿真系统的画面显示帧率≥60fps；</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 xml:space="preserve">  2）实物与系统模型识别匹配时间小于1s；</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 xml:space="preserve">  3）虚拟训练模式下，除首次加载及模式切换外，操作交互响应时间不大于1s；</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 xml:space="preserve">  4）增强现实仿真系统应具备良好的人机交互界面。</w:t>
            </w:r>
          </w:p>
          <w:p>
            <w:pPr>
              <w:pStyle w:val="123"/>
              <w:rPr>
                <w:rStyle w:val="82"/>
                <w:rFonts w:ascii="宋体" w:hAnsi="宋体" w:eastAsia="宋体" w:cs="宋体"/>
                <w:b/>
                <w:bCs/>
                <w:color w:val="auto"/>
                <w:sz w:val="21"/>
                <w:szCs w:val="21"/>
              </w:rPr>
            </w:pPr>
            <w:r>
              <w:rPr>
                <w:rStyle w:val="82"/>
                <w:rFonts w:hint="eastAsia" w:ascii="宋体" w:hAnsi="宋体" w:eastAsia="宋体" w:cs="宋体"/>
                <w:b/>
                <w:bCs/>
                <w:color w:val="auto"/>
                <w:sz w:val="21"/>
                <w:szCs w:val="21"/>
              </w:rPr>
              <w:t>硬件系统要求：</w:t>
            </w:r>
          </w:p>
          <w:p>
            <w:pPr>
              <w:pStyle w:val="115"/>
              <w:ind w:firstLine="422"/>
              <w:rPr>
                <w:rFonts w:ascii="宋体" w:hAnsi="宋体" w:cs="宋体"/>
                <w:b/>
                <w:bCs/>
                <w:szCs w:val="21"/>
              </w:rPr>
            </w:pPr>
            <w:r>
              <w:rPr>
                <w:rFonts w:hint="eastAsia" w:ascii="宋体" w:hAnsi="宋体" w:cs="宋体"/>
                <w:b/>
                <w:bCs/>
                <w:kern w:val="0"/>
                <w:szCs w:val="21"/>
              </w:rPr>
              <w:t>混合现实头戴式终端设备1台</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1.具有高精度的SLAM能力；</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2.能够进支持二种以上的识别（物体/空间识别）；</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3.数据接口类型为USB type-c接口，支持即插即用，支持边充电边使用功能；</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4.支持手机等外接设备连接；</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5.支持多种交互方式（如语音、2D手势、按键、gaze等）；</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6.支持不小于50°FOV显示器级别清晰度，显示分辨率不小于1080P；</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7.眼镜端重量＞=125g；</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8.存储容量不小于256G；</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9.入眼最高亮度不大于200尼特；</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10.待机时间不少于2个小时的；</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11.处理器：主频不低于2.8GHz, 高通865以上芯片技术；</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12.存储容量：＞= 256GB；</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13.护眼设计：入眼最高亮度不大于200尼特；</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14.传感器：摄像头、IMU等传感器；</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15.电池容量：5600mAH</w:t>
            </w:r>
          </w:p>
          <w:p>
            <w:pPr>
              <w:pStyle w:val="12"/>
              <w:widowControl/>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16.售后服务：含一年维保</w:t>
            </w:r>
          </w:p>
          <w:p>
            <w:pPr>
              <w:pStyle w:val="12"/>
              <w:widowControl/>
              <w:spacing w:line="360" w:lineRule="auto"/>
              <w:jc w:val="left"/>
              <w:textAlignment w:val="center"/>
              <w:rPr>
                <w:rStyle w:val="82"/>
                <w:rFonts w:ascii="宋体" w:hAnsi="宋体" w:eastAsia="宋体" w:cs="宋体"/>
                <w:b/>
                <w:bCs/>
                <w:color w:val="auto"/>
                <w:sz w:val="21"/>
                <w:szCs w:val="21"/>
              </w:rPr>
            </w:pPr>
            <w:r>
              <w:rPr>
                <w:rStyle w:val="82"/>
                <w:rFonts w:hint="eastAsia" w:ascii="宋体" w:hAnsi="宋体" w:eastAsia="宋体" w:cs="宋体"/>
                <w:b/>
                <w:bCs/>
                <w:color w:val="auto"/>
                <w:sz w:val="21"/>
                <w:szCs w:val="21"/>
              </w:rPr>
              <w:t>台式服务器1台</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1.不低于i7-12700 12核 2.1G</w:t>
            </w:r>
          </w:p>
          <w:p>
            <w:pPr>
              <w:pStyle w:val="12"/>
              <w:widowControl/>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2.不低于32G 512G+2T1 RTX3060 12G</w:t>
            </w:r>
          </w:p>
          <w:p>
            <w:pPr>
              <w:pStyle w:val="12"/>
              <w:widowControl/>
              <w:spacing w:line="360" w:lineRule="auto"/>
              <w:jc w:val="left"/>
              <w:textAlignment w:val="center"/>
              <w:rPr>
                <w:rFonts w:ascii="宋体" w:hAnsi="宋体" w:cs="宋体"/>
                <w:b/>
                <w:bCs/>
                <w:kern w:val="0"/>
                <w:szCs w:val="21"/>
              </w:rPr>
            </w:pPr>
            <w:r>
              <w:rPr>
                <w:rFonts w:hint="eastAsia" w:ascii="宋体" w:hAnsi="宋体" w:cs="宋体"/>
                <w:b/>
                <w:bCs/>
                <w:kern w:val="0"/>
                <w:szCs w:val="21"/>
              </w:rPr>
              <w:t>电视显示终端1台</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1.端口参数</w:t>
            </w:r>
          </w:p>
          <w:p>
            <w:pPr>
              <w:widowControl/>
              <w:rPr>
                <w:rStyle w:val="82"/>
                <w:rFonts w:ascii="宋体" w:hAnsi="宋体" w:eastAsia="宋体" w:cs="宋体"/>
                <w:color w:val="auto"/>
                <w:sz w:val="21"/>
                <w:szCs w:val="21"/>
              </w:rPr>
            </w:pPr>
            <w:r>
              <w:rPr>
                <w:rStyle w:val="82"/>
                <w:rFonts w:hint="eastAsia" w:ascii="宋体" w:hAnsi="宋体" w:eastAsia="宋体" w:cs="宋体"/>
                <w:color w:val="auto"/>
                <w:sz w:val="21"/>
                <w:szCs w:val="21"/>
              </w:rPr>
              <w:t>USB 2.0接口不低于2个</w:t>
            </w:r>
          </w:p>
          <w:p>
            <w:pPr>
              <w:widowControl/>
              <w:rPr>
                <w:rStyle w:val="82"/>
                <w:rFonts w:ascii="宋体" w:hAnsi="宋体" w:eastAsia="宋体" w:cs="宋体"/>
                <w:color w:val="auto"/>
                <w:sz w:val="21"/>
                <w:szCs w:val="21"/>
              </w:rPr>
            </w:pPr>
            <w:r>
              <w:rPr>
                <w:rStyle w:val="82"/>
                <w:rFonts w:hint="eastAsia" w:ascii="宋体" w:hAnsi="宋体" w:eastAsia="宋体" w:cs="宋体"/>
                <w:color w:val="auto"/>
                <w:sz w:val="21"/>
                <w:szCs w:val="21"/>
              </w:rPr>
              <w:t>HDMI 2.1接口数不低于1个</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 xml:space="preserve">2.网络参数 </w:t>
            </w:r>
          </w:p>
          <w:p>
            <w:pPr>
              <w:widowControl/>
              <w:adjustRightInd w:val="0"/>
              <w:snapToGrid w:val="0"/>
              <w:spacing w:line="360" w:lineRule="auto"/>
              <w:jc w:val="left"/>
              <w:textAlignment w:val="center"/>
              <w:rPr>
                <w:rFonts w:ascii="宋体" w:hAnsi="宋体" w:cs="宋体"/>
                <w:szCs w:val="21"/>
              </w:rPr>
            </w:pPr>
            <w:r>
              <w:rPr>
                <w:rStyle w:val="82"/>
                <w:rFonts w:hint="eastAsia" w:ascii="宋体" w:hAnsi="宋体" w:eastAsia="宋体" w:cs="宋体"/>
                <w:color w:val="auto"/>
                <w:sz w:val="21"/>
                <w:szCs w:val="21"/>
              </w:rPr>
              <w:t>连接方式支持无线/有线</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3.显示参数</w:t>
            </w:r>
          </w:p>
          <w:p>
            <w:pPr>
              <w:widowControl/>
              <w:adjustRightInd w:val="0"/>
              <w:snapToGrid w:val="0"/>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屏幕分辨率不低于4K</w:t>
            </w:r>
          </w:p>
          <w:p>
            <w:pPr>
              <w:pStyle w:val="12"/>
              <w:widowControl/>
              <w:spacing w:line="360" w:lineRule="auto"/>
              <w:jc w:val="left"/>
              <w:textAlignment w:val="center"/>
              <w:rPr>
                <w:rStyle w:val="82"/>
                <w:rFonts w:ascii="宋体" w:hAnsi="宋体" w:eastAsia="宋体" w:cs="宋体"/>
                <w:color w:val="auto"/>
                <w:sz w:val="21"/>
                <w:szCs w:val="21"/>
              </w:rPr>
            </w:pPr>
            <w:r>
              <w:rPr>
                <w:rStyle w:val="82"/>
                <w:rFonts w:hint="eastAsia" w:ascii="宋体" w:hAnsi="宋体" w:eastAsia="宋体" w:cs="宋体"/>
                <w:color w:val="auto"/>
                <w:sz w:val="21"/>
                <w:szCs w:val="21"/>
              </w:rPr>
              <w:t>屏幕尺寸不低于86英寸</w:t>
            </w:r>
          </w:p>
          <w:p>
            <w:pPr>
              <w:pStyle w:val="12"/>
              <w:widowControl/>
              <w:spacing w:line="360" w:lineRule="auto"/>
              <w:jc w:val="left"/>
              <w:textAlignment w:val="center"/>
              <w:rPr>
                <w:rFonts w:ascii="宋体" w:hAnsi="宋体" w:cs="宋体"/>
                <w:b/>
                <w:bCs/>
                <w:kern w:val="0"/>
                <w:szCs w:val="21"/>
              </w:rPr>
            </w:pPr>
            <w:r>
              <w:rPr>
                <w:rFonts w:hint="eastAsia" w:ascii="宋体" w:hAnsi="宋体" w:cs="宋体"/>
                <w:b/>
                <w:bCs/>
                <w:kern w:val="0"/>
                <w:szCs w:val="21"/>
              </w:rPr>
              <w:t>虚拟仿真安全管理系统1套</w:t>
            </w:r>
          </w:p>
          <w:p>
            <w:pPr>
              <w:pStyle w:val="8"/>
              <w:ind w:left="0" w:leftChars="0"/>
              <w:rPr>
                <w:rFonts w:ascii="宋体" w:hAnsi="宋体" w:cs="宋体"/>
                <w:szCs w:val="21"/>
              </w:rPr>
            </w:pPr>
            <w:r>
              <w:rPr>
                <w:rFonts w:hint="eastAsia" w:ascii="宋体" w:hAnsi="宋体" w:cs="宋体"/>
                <w:szCs w:val="21"/>
              </w:rPr>
              <w:t>1.网络处理能力≥2Gbps，并发连接≥100万，每秒新建连接≥2万/秒，1U机箱，单电源，标准配置板载≥8个10/100/1000M自适应电口和2个SFP插槽,1个Console口， 包括≥16个SSLVPN 并发用户数、16个IPsecVPN 并发隧道数。无扩展插槽。含一年硬件维保服务。1年威胁情报数据订阅服务、应用识别库、URL分类特征库、病毒防护特征库、入侵防御特征库升级服务。</w:t>
            </w:r>
          </w:p>
          <w:p>
            <w:pPr>
              <w:pStyle w:val="8"/>
              <w:ind w:left="0" w:leftChars="0"/>
              <w:rPr>
                <w:rFonts w:ascii="宋体" w:hAnsi="宋体" w:cs="宋体"/>
                <w:szCs w:val="21"/>
              </w:rPr>
            </w:pPr>
            <w:r>
              <w:rPr>
                <w:rFonts w:hint="eastAsia" w:ascii="宋体" w:hAnsi="宋体" w:cs="宋体"/>
                <w:szCs w:val="21"/>
              </w:rPr>
              <w:t>2.支持基于策略的路由负载，支持根据应用和服务进行智能选路，支持源地址目的地址哈希、源地址哈希、轮询、时延负载、备份、随机、流量均衡、源地址轮询、目的地址哈希、最优链路带宽负载、最优链路带宽备份、跳数负载等不少于12种路由负载均衡方式。支持基于IPv4或IPv6的TCP、HTTP、DNS、ICMP、Radius方式的链路探测联动，同时TCP与HTTP可使用自定义目标端口进行测试；支持BFD联动。</w:t>
            </w:r>
          </w:p>
          <w:p>
            <w:pPr>
              <w:pStyle w:val="8"/>
              <w:ind w:left="0" w:leftChars="0"/>
              <w:rPr>
                <w:rFonts w:ascii="宋体" w:hAnsi="宋体" w:cs="宋体"/>
                <w:szCs w:val="21"/>
              </w:rPr>
            </w:pPr>
            <w:r>
              <w:rPr>
                <w:rFonts w:hint="eastAsia" w:ascii="宋体" w:hAnsi="宋体" w:cs="宋体"/>
                <w:szCs w:val="21"/>
              </w:rPr>
              <w:t>3.支持全面的NAT44和NAT66转换配置，包括一对一，一对多，多对一的源、目的地址转换，需要支持SYMMETRIC模式和FULL_CONE模式，以及NAT地址防封杀检测。提供高性能IPV6防火墙软件著作权证书。</w:t>
            </w:r>
          </w:p>
          <w:p>
            <w:pPr>
              <w:pStyle w:val="8"/>
              <w:ind w:left="0" w:leftChars="0"/>
              <w:rPr>
                <w:rFonts w:ascii="宋体" w:hAnsi="宋体" w:cs="宋体"/>
                <w:szCs w:val="21"/>
              </w:rPr>
            </w:pPr>
            <w:r>
              <w:rPr>
                <w:rFonts w:hint="eastAsia" w:ascii="宋体" w:hAnsi="宋体" w:cs="宋体"/>
                <w:szCs w:val="21"/>
              </w:rPr>
              <w:t>4.支持将物理防火墙资源，如新建、吞吐、会话数、安全策略数、源NAT数、目的NAT数，日志存储数量以保留值及最大值的形式自动分配。</w:t>
            </w:r>
          </w:p>
          <w:p>
            <w:pPr>
              <w:pStyle w:val="8"/>
              <w:ind w:left="0" w:leftChars="0"/>
              <w:rPr>
                <w:rFonts w:ascii="宋体" w:hAnsi="宋体" w:cs="宋体"/>
                <w:szCs w:val="21"/>
              </w:rPr>
            </w:pPr>
            <w:r>
              <w:rPr>
                <w:rFonts w:hint="eastAsia" w:ascii="宋体" w:hAnsi="宋体" w:cs="宋体"/>
                <w:szCs w:val="21"/>
              </w:rPr>
              <w:t>5.支持命中时间分析和安全策略推荐。命中时间分析展示被命中的安全策略的名称、状态、命中数、策略创建时间、首次命中时间和最近命中时间；安全策略推荐定可以指定策略流量，分析后自动生成源地址精度更高的安全策略。能够基于源地址精确合并和源地址子网合并，并自动生成策略名称、源对象、目的对象和服务对象。</w:t>
            </w:r>
          </w:p>
          <w:p>
            <w:pPr>
              <w:pStyle w:val="8"/>
              <w:ind w:left="0" w:leftChars="0"/>
              <w:rPr>
                <w:rFonts w:ascii="宋体" w:hAnsi="宋体" w:cs="宋体"/>
                <w:szCs w:val="21"/>
              </w:rPr>
            </w:pPr>
            <w:r>
              <w:rPr>
                <w:rFonts w:hint="eastAsia" w:ascii="宋体" w:hAnsi="宋体" w:cs="宋体"/>
                <w:szCs w:val="21"/>
              </w:rPr>
              <w:t>6.支持将其他硬件安全设备（包括但不限于防火墙、IPS、IDS、WAF、行为管理、流量探针等）加入网元组，并接受流量编排；支持将同类型安全设备划归同一网元组，组成硬件安全资源池（如WAF安全资源池），并将流量通过负载均衡（“源地址哈希”、“源目的地址哈希”，“加权源地址哈希”、“加权源目的地址哈希”、“加权地址端口哈希”、“轮询”和“权重轮询”）的方法编排给组内所有网元。</w:t>
            </w:r>
          </w:p>
          <w:p>
            <w:pPr>
              <w:pStyle w:val="8"/>
              <w:ind w:left="0" w:leftChars="0"/>
              <w:rPr>
                <w:rFonts w:ascii="宋体" w:hAnsi="宋体" w:cs="宋体"/>
                <w:szCs w:val="21"/>
              </w:rPr>
            </w:pPr>
            <w:r>
              <w:rPr>
                <w:rFonts w:hint="eastAsia" w:ascii="宋体" w:hAnsi="宋体" w:cs="宋体"/>
                <w:szCs w:val="21"/>
              </w:rPr>
              <w:t>7.支持对网元进行健康检查，健康检查至少包括链路健康检查和回环探测。</w:t>
            </w:r>
          </w:p>
          <w:p>
            <w:pPr>
              <w:pStyle w:val="8"/>
              <w:ind w:left="0" w:leftChars="0"/>
              <w:rPr>
                <w:rFonts w:ascii="宋体" w:hAnsi="宋体" w:cs="宋体"/>
                <w:szCs w:val="21"/>
                <w:highlight w:val="green"/>
              </w:rPr>
            </w:pPr>
            <w:r>
              <w:rPr>
                <w:rFonts w:hint="eastAsia" w:ascii="宋体" w:hAnsi="宋体" w:cs="宋体"/>
                <w:szCs w:val="21"/>
              </w:rPr>
              <w:t>8.支持灵活的服务链编排功能（服务量管理），支持串接链和旁路链，支持网元组的方向和目的位置设置。</w:t>
            </w:r>
          </w:p>
          <w:p>
            <w:pPr>
              <w:pStyle w:val="8"/>
              <w:ind w:left="0" w:leftChars="0"/>
              <w:rPr>
                <w:rFonts w:ascii="宋体" w:hAnsi="宋体" w:cs="宋体"/>
                <w:szCs w:val="21"/>
              </w:rPr>
            </w:pPr>
            <w:r>
              <w:rPr>
                <w:rFonts w:hint="eastAsia" w:ascii="宋体" w:hAnsi="宋体" w:cs="宋体"/>
                <w:szCs w:val="21"/>
              </w:rPr>
              <w:t>9.支持灵活的细粒度引流策略，可基于源安全域、目的安全域、源用户、源地址、目的地址、服务、VLAN、服务链、流量方向（内网到外网/外网到内网）的引流策略，并详细记录日志。</w:t>
            </w:r>
          </w:p>
          <w:p>
            <w:pPr>
              <w:pStyle w:val="8"/>
              <w:ind w:left="0" w:leftChars="0"/>
              <w:rPr>
                <w:rFonts w:ascii="宋体" w:hAnsi="宋体" w:cs="宋体"/>
                <w:szCs w:val="21"/>
              </w:rPr>
            </w:pPr>
            <w:r>
              <w:rPr>
                <w:rFonts w:hint="eastAsia" w:ascii="宋体" w:hAnsi="宋体" w:cs="宋体"/>
                <w:szCs w:val="21"/>
              </w:rPr>
              <w:t>10.支持对编排的流量（服务链）进行监控，以图形化的形式展示出服务链中的流量大小。</w:t>
            </w:r>
          </w:p>
          <w:p>
            <w:pPr>
              <w:pStyle w:val="8"/>
              <w:ind w:left="0" w:leftChars="0"/>
              <w:rPr>
                <w:rFonts w:ascii="宋体" w:hAnsi="宋体" w:cs="宋体"/>
                <w:szCs w:val="21"/>
              </w:rPr>
            </w:pPr>
            <w:r>
              <w:rPr>
                <w:rFonts w:hint="eastAsia" w:ascii="宋体" w:hAnsi="宋体" w:cs="宋体"/>
                <w:szCs w:val="21"/>
              </w:rPr>
              <w:t>11.支持日志模板功能，可以设置置各种日志发送的哪些字段以及字段的顺序，满足日志字段定制化需求。</w:t>
            </w:r>
          </w:p>
          <w:p>
            <w:pPr>
              <w:pStyle w:val="8"/>
              <w:ind w:left="0" w:leftChars="0"/>
              <w:rPr>
                <w:rFonts w:ascii="宋体" w:hAnsi="宋体" w:cs="宋体"/>
                <w:szCs w:val="21"/>
              </w:rPr>
            </w:pPr>
            <w:r>
              <w:rPr>
                <w:rFonts w:hint="eastAsia" w:ascii="宋体" w:hAnsi="宋体" w:cs="宋体"/>
                <w:szCs w:val="21"/>
              </w:rPr>
              <w:t>12.支持漏洞扫描策略，且至少支持WEB漏扫、系统漏扫和物联网漏扫三种漏扫类型，可自定TCP和UDP的端口范围，扫描方式支持手动扫描和定期自动扫描。</w:t>
            </w:r>
          </w:p>
          <w:p>
            <w:pPr>
              <w:pStyle w:val="8"/>
              <w:ind w:left="0" w:leftChars="0"/>
              <w:rPr>
                <w:rFonts w:ascii="宋体" w:hAnsi="宋体" w:cs="宋体"/>
                <w:szCs w:val="21"/>
              </w:rPr>
            </w:pPr>
            <w:r>
              <w:rPr>
                <w:rFonts w:hint="eastAsia" w:ascii="宋体" w:hAnsi="宋体" w:cs="宋体"/>
                <w:szCs w:val="21"/>
              </w:rPr>
              <w:t>13.支持RA管控策略， 用于防止RA攻击。支持基于源MAC、SSLA MAC、源地址、VLAN、前缀、跳数等条件进行RA管控。能够基于M标记、O标记进行置位和不置位检测管控。</w:t>
            </w:r>
          </w:p>
          <w:p>
            <w:pPr>
              <w:pStyle w:val="8"/>
              <w:ind w:left="0" w:leftChars="0"/>
              <w:rPr>
                <w:rFonts w:ascii="宋体" w:hAnsi="宋体" w:cs="宋体"/>
                <w:szCs w:val="21"/>
              </w:rPr>
            </w:pPr>
            <w:r>
              <w:rPr>
                <w:rFonts w:hint="eastAsia" w:ascii="宋体" w:hAnsi="宋体" w:cs="宋体"/>
                <w:szCs w:val="21"/>
              </w:rPr>
              <w:t>14.支持弱口令检测，支持主动检测和被动检测两种检测方式；支持基于网段、协议、用户名字典、弱口令字典进行完整扫描，制行方式包含手动和自动；能够基于数字、字母、数字和字母、自然顺序、键盘顺序、特殊字符、用户名、重复字符进行检测。</w:t>
            </w:r>
          </w:p>
          <w:p>
            <w:pPr>
              <w:pStyle w:val="8"/>
              <w:ind w:left="0" w:leftChars="0"/>
              <w:rPr>
                <w:rFonts w:ascii="宋体" w:hAnsi="宋体" w:cs="宋体"/>
                <w:szCs w:val="21"/>
              </w:rPr>
            </w:pPr>
            <w:r>
              <w:rPr>
                <w:rFonts w:hint="eastAsia" w:ascii="宋体" w:hAnsi="宋体" w:cs="宋体"/>
                <w:szCs w:val="21"/>
              </w:rPr>
              <w:t>15.产品应具备网元管理、网元服务链配置、网元引流功能。</w:t>
            </w:r>
          </w:p>
          <w:p>
            <w:pPr>
              <w:pStyle w:val="8"/>
              <w:ind w:left="0" w:leftChars="0"/>
              <w:rPr>
                <w:rFonts w:ascii="宋体" w:hAnsi="宋体" w:cs="宋体"/>
                <w:szCs w:val="21"/>
              </w:rPr>
            </w:pPr>
            <w:r>
              <w:rPr>
                <w:rFonts w:hint="eastAsia" w:ascii="宋体" w:hAnsi="宋体" w:cs="宋体"/>
                <w:szCs w:val="21"/>
              </w:rPr>
              <w:t>16.产品具备威胁情报检测、威胁情报库升级、失陷主机展示及处置功能。</w:t>
            </w:r>
          </w:p>
          <w:p>
            <w:pPr>
              <w:pStyle w:val="12"/>
              <w:widowControl/>
              <w:jc w:val="left"/>
              <w:textAlignment w:val="center"/>
              <w:rPr>
                <w:rFonts w:ascii="宋体" w:hAnsi="宋体" w:cs="宋体"/>
                <w:kern w:val="0"/>
                <w:szCs w:val="21"/>
              </w:rPr>
            </w:pPr>
            <w:r>
              <w:rPr>
                <w:rFonts w:hint="eastAsia" w:ascii="宋体" w:hAnsi="宋体" w:cs="宋体"/>
                <w:szCs w:val="21"/>
              </w:rPr>
              <w:t>17.产品应充分降低后续上线部署难度，提升部署效率，产品应具备快速上线部署功能。</w:t>
            </w:r>
          </w:p>
        </w:tc>
        <w:tc>
          <w:tcPr>
            <w:tcW w:w="749" w:type="pct"/>
            <w:vAlign w:val="center"/>
          </w:tcPr>
          <w:p>
            <w:pPr>
              <w:pStyle w:val="165"/>
              <w:wordWrap w:val="0"/>
              <w:spacing w:beforeAutospacing="0" w:after="2" w:afterAutospacing="0" w:line="360" w:lineRule="auto"/>
              <w:rPr>
                <w:rFonts w:cs="宋体"/>
                <w:bCs/>
                <w:color w:val="000000"/>
                <w:sz w:val="21"/>
                <w:szCs w:val="21"/>
                <w:highlight w:val="white"/>
              </w:rPr>
            </w:pPr>
            <w:r>
              <w:rPr>
                <w:rFonts w:hint="eastAsia" w:cs="宋体"/>
                <w:bCs/>
                <w:color w:val="000000"/>
                <w:sz w:val="21"/>
                <w:szCs w:val="21"/>
                <w:highlight w:val="white"/>
              </w:rPr>
              <w:t>1套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7" w:type="pct"/>
            <w:vAlign w:val="center"/>
          </w:tcPr>
          <w:p>
            <w:pPr>
              <w:pStyle w:val="165"/>
              <w:wordWrap w:val="0"/>
              <w:spacing w:beforeAutospacing="0" w:after="2" w:afterAutospacing="0" w:line="480" w:lineRule="auto"/>
              <w:rPr>
                <w:rFonts w:cs="宋体"/>
                <w:bCs/>
                <w:color w:val="000000"/>
                <w:sz w:val="21"/>
                <w:szCs w:val="21"/>
                <w:highlight w:val="white"/>
              </w:rPr>
            </w:pPr>
            <w:r>
              <w:rPr>
                <w:rFonts w:hint="eastAsia" w:cs="宋体"/>
                <w:bCs/>
                <w:color w:val="000000"/>
                <w:sz w:val="21"/>
                <w:szCs w:val="21"/>
                <w:highlight w:val="white"/>
              </w:rPr>
              <w:t>3</w:t>
            </w:r>
          </w:p>
        </w:tc>
        <w:tc>
          <w:tcPr>
            <w:tcW w:w="620" w:type="pct"/>
            <w:vAlign w:val="center"/>
          </w:tcPr>
          <w:p>
            <w:pPr>
              <w:pStyle w:val="12"/>
              <w:jc w:val="left"/>
              <w:rPr>
                <w:rFonts w:ascii="宋体" w:hAnsi="宋体" w:cs="宋体"/>
                <w:kern w:val="0"/>
                <w:szCs w:val="21"/>
              </w:rPr>
            </w:pPr>
            <w:r>
              <w:rPr>
                <w:rFonts w:hint="eastAsia" w:ascii="宋体" w:hAnsi="宋体" w:cs="宋体"/>
                <w:kern w:val="0"/>
                <w:szCs w:val="21"/>
              </w:rPr>
              <w:t>国赛机器人焊接系统</w:t>
            </w:r>
          </w:p>
        </w:tc>
        <w:tc>
          <w:tcPr>
            <w:tcW w:w="3242" w:type="pct"/>
            <w:vAlign w:val="center"/>
          </w:tcPr>
          <w:p>
            <w:pPr>
              <w:spacing w:line="360" w:lineRule="auto"/>
              <w:rPr>
                <w:rFonts w:ascii="宋体" w:hAnsi="宋体" w:cs="宋体"/>
                <w:b/>
                <w:bCs/>
                <w:szCs w:val="21"/>
              </w:rPr>
            </w:pPr>
            <w:r>
              <w:rPr>
                <w:rFonts w:hint="eastAsia" w:ascii="宋体" w:hAnsi="宋体" w:cs="宋体"/>
                <w:b/>
                <w:bCs/>
                <w:szCs w:val="21"/>
              </w:rPr>
              <w:t>国焊接系统组成要求：</w:t>
            </w:r>
          </w:p>
          <w:p>
            <w:pPr>
              <w:pStyle w:val="16"/>
              <w:spacing w:line="360" w:lineRule="auto"/>
              <w:ind w:left="0" w:right="-153" w:firstLine="0"/>
              <w:rPr>
                <w:rFonts w:hAnsi="宋体" w:cs="宋体"/>
                <w:kern w:val="2"/>
                <w:sz w:val="21"/>
                <w:szCs w:val="21"/>
              </w:rPr>
            </w:pPr>
            <w:r>
              <w:rPr>
                <w:rFonts w:hint="eastAsia" w:hAnsi="宋体" w:cs="宋体"/>
                <w:kern w:val="2"/>
                <w:sz w:val="21"/>
                <w:szCs w:val="21"/>
              </w:rPr>
              <w:t>主要包括：焊接机器人1套，柔性焊接平台1套，焊接电源1套，机器人专用水冷焊枪1套，送丝机构1套，冷却水箱1套，若干装夹具，电气控制1套软件等。</w:t>
            </w:r>
          </w:p>
          <w:p>
            <w:pPr>
              <w:spacing w:line="360" w:lineRule="auto"/>
              <w:rPr>
                <w:rFonts w:ascii="宋体" w:hAnsi="宋体" w:cs="宋体"/>
                <w:b/>
                <w:bCs/>
                <w:szCs w:val="21"/>
              </w:rPr>
            </w:pPr>
            <w:bookmarkStart w:id="155" w:name="_Toc140842731"/>
            <w:r>
              <w:rPr>
                <w:rFonts w:hint="eastAsia" w:ascii="宋体" w:hAnsi="宋体" w:cs="宋体"/>
                <w:b/>
                <w:bCs/>
                <w:szCs w:val="21"/>
              </w:rPr>
              <w:t>机器人焊接系统功能</w:t>
            </w:r>
            <w:bookmarkEnd w:id="155"/>
            <w:r>
              <w:rPr>
                <w:rFonts w:hint="eastAsia" w:ascii="宋体" w:hAnsi="宋体" w:cs="宋体"/>
                <w:b/>
                <w:bCs/>
                <w:szCs w:val="21"/>
              </w:rPr>
              <w:t>要求：</w:t>
            </w:r>
          </w:p>
          <w:p>
            <w:pPr>
              <w:spacing w:line="360" w:lineRule="auto"/>
              <w:rPr>
                <w:rFonts w:ascii="宋体" w:hAnsi="宋体" w:cs="宋体"/>
                <w:szCs w:val="21"/>
              </w:rPr>
            </w:pPr>
            <w:r>
              <w:rPr>
                <w:rFonts w:hint="eastAsia" w:ascii="宋体" w:hAnsi="宋体" w:cs="宋体"/>
                <w:szCs w:val="21"/>
              </w:rPr>
              <w:t>实现多功能教学任务及满足国赛精选项目机器人焊接技术赛项的技术平台要求，柔性工作平台以及配套工具可以固定工件夹持作业，通过焊接机器人实现角焊缝、拼接焊缝、立焊缝、圆形焊缝等工件形式的示教、焊接、回放演示等功能。</w:t>
            </w:r>
          </w:p>
          <w:p>
            <w:pPr>
              <w:spacing w:line="360" w:lineRule="auto"/>
              <w:rPr>
                <w:rFonts w:ascii="宋体" w:hAnsi="宋体" w:cs="宋体"/>
                <w:b/>
                <w:bCs/>
                <w:szCs w:val="21"/>
              </w:rPr>
            </w:pPr>
            <w:r>
              <w:rPr>
                <w:rFonts w:hint="eastAsia" w:ascii="宋体" w:hAnsi="宋体" w:cs="宋体"/>
                <w:b/>
                <w:bCs/>
                <w:szCs w:val="21"/>
              </w:rPr>
              <w:t>国赛机器人焊接系统清单要求：</w:t>
            </w:r>
          </w:p>
          <w:p>
            <w:pPr>
              <w:spacing w:line="360" w:lineRule="auto"/>
              <w:jc w:val="center"/>
              <w:rPr>
                <w:rFonts w:ascii="宋体" w:hAnsi="宋体" w:cs="宋体"/>
                <w:b/>
                <w:bCs/>
                <w:szCs w:val="21"/>
              </w:rPr>
            </w:pPr>
            <w:r>
              <w:rPr>
                <w:rFonts w:hint="eastAsia" w:ascii="宋体" w:hAnsi="宋体" w:cs="宋体"/>
                <w:b/>
                <w:bCs/>
                <w:szCs w:val="21"/>
              </w:rPr>
              <w:t>国赛精选项目机器人焊接技术赛项设备配置清单</w:t>
            </w:r>
          </w:p>
          <w:tbl>
            <w:tblPr>
              <w:tblStyle w:val="32"/>
              <w:tblW w:w="4608" w:type="pct"/>
              <w:tblInd w:w="0" w:type="dxa"/>
              <w:tblLayout w:type="autofit"/>
              <w:tblCellMar>
                <w:top w:w="0" w:type="dxa"/>
                <w:left w:w="108" w:type="dxa"/>
                <w:bottom w:w="0" w:type="dxa"/>
                <w:right w:w="108" w:type="dxa"/>
              </w:tblCellMar>
            </w:tblPr>
            <w:tblGrid>
              <w:gridCol w:w="534"/>
              <w:gridCol w:w="1006"/>
              <w:gridCol w:w="2245"/>
              <w:gridCol w:w="984"/>
              <w:gridCol w:w="1007"/>
            </w:tblGrid>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28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名   称</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数量</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单位</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1</w:t>
                  </w:r>
                </w:p>
              </w:tc>
              <w:tc>
                <w:tcPr>
                  <w:tcW w:w="28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国赛机器人焊接系统</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r>
            <w:tr>
              <w:tblPrEx>
                <w:tblCellMar>
                  <w:top w:w="0" w:type="dxa"/>
                  <w:left w:w="108" w:type="dxa"/>
                  <w:bottom w:w="0" w:type="dxa"/>
                  <w:right w:w="108" w:type="dxa"/>
                </w:tblCellMar>
              </w:tblPrEx>
              <w:trPr>
                <w:trHeight w:val="360" w:hRule="atLeast"/>
              </w:trPr>
              <w:tc>
                <w:tcPr>
                  <w:tcW w:w="39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1.1</w:t>
                  </w:r>
                </w:p>
              </w:tc>
              <w:tc>
                <w:tcPr>
                  <w:tcW w:w="888"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机器人系统</w:t>
                  </w: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机器人本体</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p>
              </w:tc>
              <w:tc>
                <w:tcPr>
                  <w:tcW w:w="888"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机器控人控制器</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70" w:hRule="atLeast"/>
              </w:trPr>
              <w:tc>
                <w:tcPr>
                  <w:tcW w:w="395"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p>
              </w:tc>
              <w:tc>
                <w:tcPr>
                  <w:tcW w:w="888"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机器人示教器</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p>
              </w:tc>
              <w:tc>
                <w:tcPr>
                  <w:tcW w:w="888"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安装底座</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p>
              </w:tc>
              <w:tc>
                <w:tcPr>
                  <w:tcW w:w="888"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连接线缆</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宋体" w:hAnsi="宋体" w:cs="宋体"/>
                      <w:b/>
                      <w:bCs/>
                      <w:color w:val="000000"/>
                      <w:kern w:val="0"/>
                      <w:szCs w:val="21"/>
                    </w:rPr>
                  </w:pPr>
                  <w:r>
                    <w:rPr>
                      <w:rFonts w:hint="eastAsia" w:ascii="宋体" w:hAnsi="宋体" w:cs="宋体"/>
                      <w:b/>
                      <w:bCs/>
                      <w:color w:val="000000"/>
                      <w:kern w:val="0"/>
                      <w:szCs w:val="21"/>
                    </w:rPr>
                    <w:t>1.2</w:t>
                  </w:r>
                </w:p>
              </w:tc>
              <w:tc>
                <w:tcPr>
                  <w:tcW w:w="888"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焊接系统</w:t>
                  </w: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脉冲气保焊机</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vMerge w:val="continue"/>
                  <w:tcBorders>
                    <w:left w:val="single" w:color="000000" w:sz="4" w:space="0"/>
                    <w:right w:val="single" w:color="000000" w:sz="4" w:space="0"/>
                  </w:tcBorders>
                  <w:shd w:val="clear" w:color="auto" w:fill="auto"/>
                  <w:vAlign w:val="center"/>
                </w:tcPr>
                <w:p>
                  <w:pPr>
                    <w:widowControl/>
                    <w:textAlignment w:val="center"/>
                    <w:rPr>
                      <w:rFonts w:ascii="宋体" w:hAnsi="宋体" w:cs="宋体"/>
                      <w:b/>
                      <w:bCs/>
                      <w:color w:val="000000"/>
                      <w:kern w:val="0"/>
                      <w:szCs w:val="21"/>
                    </w:rPr>
                  </w:pPr>
                </w:p>
              </w:tc>
              <w:tc>
                <w:tcPr>
                  <w:tcW w:w="888"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数据交换控制器</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vMerge w:val="continue"/>
                  <w:tcBorders>
                    <w:left w:val="single" w:color="000000" w:sz="4" w:space="0"/>
                    <w:right w:val="single" w:color="000000" w:sz="4" w:space="0"/>
                  </w:tcBorders>
                  <w:shd w:val="clear" w:color="auto" w:fill="auto"/>
                  <w:vAlign w:val="center"/>
                </w:tcPr>
                <w:p>
                  <w:pPr>
                    <w:widowControl/>
                    <w:textAlignment w:val="center"/>
                    <w:rPr>
                      <w:rFonts w:ascii="宋体" w:hAnsi="宋体" w:cs="宋体"/>
                      <w:b/>
                      <w:bCs/>
                      <w:color w:val="000000"/>
                      <w:kern w:val="0"/>
                      <w:szCs w:val="21"/>
                    </w:rPr>
                  </w:pPr>
                </w:p>
              </w:tc>
              <w:tc>
                <w:tcPr>
                  <w:tcW w:w="888"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送丝机</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vMerge w:val="continue"/>
                  <w:tcBorders>
                    <w:left w:val="single" w:color="000000" w:sz="4" w:space="0"/>
                    <w:right w:val="single" w:color="000000" w:sz="4" w:space="0"/>
                  </w:tcBorders>
                  <w:shd w:val="clear" w:color="auto" w:fill="auto"/>
                  <w:vAlign w:val="center"/>
                </w:tcPr>
                <w:p>
                  <w:pPr>
                    <w:widowControl/>
                    <w:textAlignment w:val="center"/>
                    <w:rPr>
                      <w:rFonts w:ascii="宋体" w:hAnsi="宋体" w:cs="宋体"/>
                      <w:b/>
                      <w:bCs/>
                      <w:color w:val="000000"/>
                      <w:kern w:val="0"/>
                      <w:szCs w:val="21"/>
                    </w:rPr>
                  </w:pPr>
                </w:p>
              </w:tc>
              <w:tc>
                <w:tcPr>
                  <w:tcW w:w="888"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综合线缆</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vMerge w:val="continue"/>
                  <w:tcBorders>
                    <w:left w:val="single" w:color="000000" w:sz="4" w:space="0"/>
                    <w:right w:val="single" w:color="000000" w:sz="4" w:space="0"/>
                  </w:tcBorders>
                  <w:shd w:val="clear" w:color="auto" w:fill="auto"/>
                  <w:vAlign w:val="center"/>
                </w:tcPr>
                <w:p>
                  <w:pPr>
                    <w:widowControl/>
                    <w:textAlignment w:val="center"/>
                    <w:rPr>
                      <w:rFonts w:ascii="宋体" w:hAnsi="宋体" w:cs="宋体"/>
                      <w:b/>
                      <w:bCs/>
                      <w:color w:val="000000"/>
                      <w:kern w:val="0"/>
                      <w:szCs w:val="21"/>
                    </w:rPr>
                  </w:pPr>
                </w:p>
              </w:tc>
              <w:tc>
                <w:tcPr>
                  <w:tcW w:w="888" w:type="pct"/>
                  <w:vMerge w:val="continue"/>
                  <w:tcBorders>
                    <w:left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冷却水箱</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vMerge w:val="continue"/>
                  <w:tcBorders>
                    <w:left w:val="single" w:color="000000" w:sz="4" w:space="0"/>
                    <w:right w:val="single" w:color="000000" w:sz="4" w:space="0"/>
                  </w:tcBorders>
                  <w:shd w:val="clear" w:color="auto" w:fill="auto"/>
                  <w:vAlign w:val="center"/>
                </w:tcPr>
                <w:p>
                  <w:pPr>
                    <w:widowControl/>
                    <w:textAlignment w:val="center"/>
                    <w:rPr>
                      <w:rFonts w:ascii="宋体" w:hAnsi="宋体" w:cs="宋体"/>
                      <w:b/>
                      <w:bCs/>
                      <w:color w:val="000000"/>
                      <w:kern w:val="0"/>
                      <w:szCs w:val="21"/>
                    </w:rPr>
                  </w:pPr>
                </w:p>
              </w:tc>
              <w:tc>
                <w:tcPr>
                  <w:tcW w:w="888" w:type="pct"/>
                  <w:vMerge w:val="continue"/>
                  <w:tcBorders>
                    <w:left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焊枪总成</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r>
            <w:tr>
              <w:tblPrEx>
                <w:tblCellMar>
                  <w:top w:w="0" w:type="dxa"/>
                  <w:left w:w="108" w:type="dxa"/>
                  <w:bottom w:w="0" w:type="dxa"/>
                  <w:right w:w="108" w:type="dxa"/>
                </w:tblCellMar>
              </w:tblPrEx>
              <w:trPr>
                <w:trHeight w:val="360" w:hRule="atLeast"/>
              </w:trPr>
              <w:tc>
                <w:tcPr>
                  <w:tcW w:w="395" w:type="pct"/>
                  <w:vMerge w:val="continue"/>
                  <w:tcBorders>
                    <w:left w:val="single" w:color="000000" w:sz="4" w:space="0"/>
                    <w:right w:val="single" w:color="000000" w:sz="4" w:space="0"/>
                  </w:tcBorders>
                  <w:shd w:val="clear" w:color="auto" w:fill="auto"/>
                  <w:vAlign w:val="center"/>
                </w:tcPr>
                <w:p>
                  <w:pPr>
                    <w:widowControl/>
                    <w:textAlignment w:val="center"/>
                    <w:rPr>
                      <w:rFonts w:ascii="宋体" w:hAnsi="宋体" w:cs="宋体"/>
                      <w:b/>
                      <w:bCs/>
                      <w:color w:val="000000"/>
                      <w:kern w:val="0"/>
                      <w:szCs w:val="21"/>
                    </w:rPr>
                  </w:pPr>
                </w:p>
              </w:tc>
              <w:tc>
                <w:tcPr>
                  <w:tcW w:w="888" w:type="pct"/>
                  <w:vMerge w:val="continue"/>
                  <w:tcBorders>
                    <w:left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防碰撞传感器</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kern w:val="0"/>
                      <w:szCs w:val="21"/>
                    </w:rPr>
                  </w:pPr>
                </w:p>
              </w:tc>
              <w:tc>
                <w:tcPr>
                  <w:tcW w:w="888" w:type="pct"/>
                  <w:vMerge w:val="continue"/>
                  <w:tcBorders>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p>
              </w:tc>
              <w:tc>
                <w:tcPr>
                  <w:tcW w:w="195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智能数据采集终端</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2847"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柔性工作平台</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color w:val="000000"/>
                      <w:szCs w:val="21"/>
                    </w:rPr>
                  </w:pPr>
                  <w:r>
                    <w:rPr>
                      <w:rFonts w:hint="eastAsia" w:ascii="宋体" w:hAnsi="宋体" w:cs="宋体"/>
                      <w:color w:val="000000"/>
                      <w:kern w:val="0"/>
                      <w:szCs w:val="21"/>
                    </w:rPr>
                    <w:t>1.4</w:t>
                  </w:r>
                </w:p>
              </w:tc>
              <w:tc>
                <w:tcPr>
                  <w:tcW w:w="28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快速装卡</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28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电气控制</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2847" w:type="pct"/>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themeColor="text1"/>
                      <w:szCs w:val="21"/>
                    </w:rPr>
                    <w:t>全数字气保焊机</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2847" w:type="pct"/>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智能型烟尘净化单机</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2847" w:type="pct"/>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清枪剪丝站</w:t>
                  </w:r>
                </w:p>
              </w:tc>
              <w:tc>
                <w:tcPr>
                  <w:tcW w:w="868" w:type="pc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360" w:hRule="atLeast"/>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28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工具模块</w:t>
                  </w:r>
                </w:p>
              </w:tc>
              <w:tc>
                <w:tcPr>
                  <w:tcW w:w="868" w:type="pc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888" w:type="pc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r>
          </w:tbl>
          <w:p>
            <w:pPr>
              <w:spacing w:line="360" w:lineRule="auto"/>
              <w:rPr>
                <w:rFonts w:ascii="宋体" w:hAnsi="宋体" w:cs="宋体"/>
                <w:b/>
                <w:bCs/>
                <w:szCs w:val="21"/>
              </w:rPr>
            </w:pPr>
            <w:r>
              <w:rPr>
                <w:rFonts w:hint="eastAsia" w:ascii="宋体" w:hAnsi="宋体" w:cs="宋体"/>
                <w:b/>
                <w:bCs/>
                <w:szCs w:val="21"/>
              </w:rPr>
              <w:t>国赛机器人焊接系统描述要求：</w:t>
            </w:r>
          </w:p>
          <w:p>
            <w:pPr>
              <w:spacing w:line="360" w:lineRule="auto"/>
              <w:rPr>
                <w:rFonts w:ascii="宋体" w:hAnsi="宋体" w:cs="宋体"/>
                <w:b/>
                <w:bCs/>
                <w:szCs w:val="21"/>
              </w:rPr>
            </w:pPr>
            <w:bookmarkStart w:id="156" w:name="_Toc331064668"/>
            <w:bookmarkStart w:id="157" w:name="_Toc140842734"/>
            <w:bookmarkStart w:id="158" w:name="_Toc390506333"/>
            <w:r>
              <w:rPr>
                <w:rFonts w:hint="eastAsia" w:ascii="宋体" w:hAnsi="宋体" w:cs="宋体"/>
                <w:b/>
                <w:bCs/>
                <w:szCs w:val="21"/>
              </w:rPr>
              <w:t>5.1</w:t>
            </w:r>
            <w:bookmarkEnd w:id="156"/>
            <w:r>
              <w:rPr>
                <w:rFonts w:hint="eastAsia" w:ascii="宋体" w:hAnsi="宋体" w:cs="宋体"/>
                <w:b/>
                <w:bCs/>
                <w:szCs w:val="21"/>
              </w:rPr>
              <w:t>机器人</w:t>
            </w:r>
            <w:bookmarkEnd w:id="157"/>
            <w:bookmarkEnd w:id="158"/>
            <w:r>
              <w:rPr>
                <w:rFonts w:hint="eastAsia" w:ascii="宋体" w:hAnsi="宋体" w:cs="宋体"/>
                <w:b/>
                <w:bCs/>
                <w:szCs w:val="21"/>
              </w:rPr>
              <w:t>本体</w:t>
            </w:r>
          </w:p>
          <w:p>
            <w:pPr>
              <w:tabs>
                <w:tab w:val="left" w:pos="1080"/>
                <w:tab w:val="left" w:pos="1260"/>
              </w:tabs>
              <w:spacing w:line="360" w:lineRule="auto"/>
              <w:jc w:val="center"/>
              <w:rPr>
                <w:rFonts w:ascii="宋体" w:hAnsi="宋体" w:cs="宋体"/>
                <w:szCs w:val="21"/>
              </w:rPr>
            </w:pPr>
            <w:r>
              <w:rPr>
                <w:rFonts w:hint="eastAsia" w:ascii="宋体" w:hAnsi="宋体" w:cs="宋体"/>
                <w:szCs w:val="21"/>
              </w:rPr>
              <w:drawing>
                <wp:inline distT="0" distB="0" distL="0" distR="0">
                  <wp:extent cx="3802380" cy="3519805"/>
                  <wp:effectExtent l="0" t="0" r="7620" b="4445"/>
                  <wp:docPr id="507883771"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883771" name="图片 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802380" cy="3519805"/>
                          </a:xfrm>
                          <a:prstGeom prst="rect">
                            <a:avLst/>
                          </a:prstGeom>
                          <a:noFill/>
                          <a:ln>
                            <a:noFill/>
                          </a:ln>
                        </pic:spPr>
                      </pic:pic>
                    </a:graphicData>
                  </a:graphic>
                </wp:inline>
              </w:drawing>
            </w:r>
          </w:p>
          <w:p>
            <w:pPr>
              <w:tabs>
                <w:tab w:val="left" w:pos="1080"/>
                <w:tab w:val="left" w:pos="1260"/>
              </w:tabs>
              <w:spacing w:line="360" w:lineRule="auto"/>
              <w:jc w:val="center"/>
              <w:rPr>
                <w:rFonts w:ascii="宋体" w:hAnsi="宋体" w:cs="宋体"/>
                <w:b/>
                <w:szCs w:val="21"/>
              </w:rPr>
            </w:pPr>
            <w:r>
              <w:rPr>
                <w:rFonts w:hint="eastAsia" w:ascii="宋体" w:hAnsi="宋体" w:cs="宋体"/>
                <w:szCs w:val="21"/>
              </w:rPr>
              <w:drawing>
                <wp:inline distT="0" distB="0" distL="0" distR="0">
                  <wp:extent cx="2910205" cy="2910205"/>
                  <wp:effectExtent l="0" t="0" r="10795" b="10795"/>
                  <wp:docPr id="1681332043"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332043" name="图片 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910205" cy="2910205"/>
                          </a:xfrm>
                          <a:prstGeom prst="rect">
                            <a:avLst/>
                          </a:prstGeom>
                          <a:noFill/>
                          <a:ln>
                            <a:noFill/>
                          </a:ln>
                        </pic:spPr>
                      </pic:pic>
                    </a:graphicData>
                  </a:graphic>
                </wp:inline>
              </w:drawing>
            </w:r>
          </w:p>
          <w:p>
            <w:pPr>
              <w:tabs>
                <w:tab w:val="left" w:pos="1080"/>
                <w:tab w:val="left" w:pos="1260"/>
              </w:tabs>
              <w:spacing w:line="360" w:lineRule="auto"/>
              <w:jc w:val="center"/>
              <w:rPr>
                <w:rFonts w:ascii="宋体" w:hAnsi="宋体" w:cs="宋体"/>
                <w:b/>
                <w:szCs w:val="21"/>
              </w:rPr>
            </w:pPr>
            <w:r>
              <w:rPr>
                <w:rFonts w:hint="eastAsia" w:ascii="宋体" w:hAnsi="宋体" w:cs="宋体"/>
                <w:b/>
                <w:szCs w:val="21"/>
              </w:rPr>
              <w:t>图1.型机器人运动范围</w:t>
            </w:r>
          </w:p>
          <w:p>
            <w:pPr>
              <w:tabs>
                <w:tab w:val="left" w:pos="1080"/>
                <w:tab w:val="left" w:pos="1260"/>
              </w:tabs>
              <w:spacing w:line="360" w:lineRule="auto"/>
              <w:rPr>
                <w:rFonts w:ascii="宋体" w:hAnsi="宋体" w:cs="宋体"/>
                <w:b/>
                <w:szCs w:val="21"/>
              </w:rPr>
            </w:pPr>
            <w:r>
              <w:rPr>
                <w:rFonts w:hint="eastAsia" w:ascii="宋体" w:hAnsi="宋体" w:cs="宋体"/>
                <w:b/>
                <w:szCs w:val="21"/>
              </w:rPr>
              <w:t>5.2机器人控制系统</w:t>
            </w:r>
          </w:p>
          <w:p>
            <w:pPr>
              <w:ind w:firstLine="420" w:firstLineChars="200"/>
              <w:rPr>
                <w:rFonts w:ascii="宋体" w:hAnsi="宋体" w:cs="宋体"/>
                <w:b/>
                <w:szCs w:val="21"/>
              </w:rPr>
            </w:pPr>
            <w:r>
              <w:rPr>
                <w:rFonts w:hint="eastAsia" w:ascii="宋体" w:hAnsi="宋体" w:cs="宋体"/>
                <w:szCs w:val="21"/>
              </w:rPr>
              <w:t>机器人控制器是机器人系统的核心部分，它包括控制柜和示教器两部分,机器人在控制器的控制下可以实现摆动焊接功能、连续点焊功能等。</w:t>
            </w:r>
          </w:p>
          <w:p>
            <w:pPr>
              <w:tabs>
                <w:tab w:val="left" w:pos="1080"/>
                <w:tab w:val="left" w:pos="1260"/>
              </w:tabs>
              <w:spacing w:line="360" w:lineRule="auto"/>
              <w:jc w:val="center"/>
              <w:rPr>
                <w:rFonts w:ascii="宋体" w:hAnsi="宋体" w:cs="宋体"/>
                <w:b/>
                <w:szCs w:val="21"/>
              </w:rPr>
            </w:pPr>
            <w:r>
              <w:rPr>
                <w:rFonts w:hint="eastAsia" w:ascii="宋体" w:hAnsi="宋体" w:cs="宋体"/>
                <w:b/>
                <w:szCs w:val="21"/>
              </w:rPr>
              <w:t>表1型机器人参数</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161"/>
              <w:gridCol w:w="1268"/>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000" w:type="pct"/>
                  <w:gridSpan w:val="4"/>
                  <w:tcBorders>
                    <w:bottom w:val="single" w:color="auto" w:sz="12" w:space="0"/>
                  </w:tcBorders>
                  <w:vAlign w:val="center"/>
                </w:tcPr>
                <w:p>
                  <w:pPr>
                    <w:ind w:firstLine="422"/>
                    <w:jc w:val="center"/>
                    <w:rPr>
                      <w:rFonts w:ascii="宋体" w:hAnsi="宋体" w:cs="宋体"/>
                      <w:kern w:val="0"/>
                      <w:szCs w:val="21"/>
                    </w:rPr>
                  </w:pPr>
                  <w:r>
                    <w:rPr>
                      <w:rFonts w:hint="eastAsia" w:ascii="宋体" w:hAnsi="宋体" w:cs="宋体"/>
                      <w:b/>
                      <w:bCs/>
                      <w:kern w:val="0"/>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000" w:type="pct"/>
                  <w:gridSpan w:val="4"/>
                  <w:tcBorders>
                    <w:top w:val="single" w:color="auto" w:sz="12" w:space="0"/>
                    <w:left w:val="single" w:color="auto" w:sz="12" w:space="0"/>
                    <w:bottom w:val="single" w:color="auto" w:sz="12" w:space="0"/>
                    <w:right w:val="single" w:color="auto" w:sz="12" w:space="0"/>
                  </w:tcBorders>
                  <w:shd w:val="pct20" w:color="auto" w:fill="FFFFFF"/>
                  <w:vAlign w:val="center"/>
                </w:tcPr>
                <w:p>
                  <w:pPr>
                    <w:jc w:val="center"/>
                    <w:rPr>
                      <w:rFonts w:ascii="宋体" w:hAnsi="宋体" w:cs="宋体"/>
                      <w:szCs w:val="21"/>
                    </w:rPr>
                  </w:pPr>
                  <w:r>
                    <w:rPr>
                      <w:rFonts w:hint="eastAsia" w:ascii="宋体" w:hAnsi="宋体" w:cs="宋体"/>
                      <w:b/>
                      <w:bCs/>
                      <w:szCs w:val="21"/>
                    </w:rPr>
                    <w:t>本体基本参数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48" w:type="pct"/>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xml:space="preserve">轴 数 </w:t>
                  </w:r>
                </w:p>
              </w:tc>
              <w:tc>
                <w:tcPr>
                  <w:tcW w:w="926" w:type="pct"/>
                  <w:tcBorders>
                    <w:top w:val="single" w:color="auto" w:sz="12" w:space="0"/>
                    <w:left w:val="single" w:color="auto" w:sz="4" w:space="0"/>
                    <w:bottom w:val="single" w:color="auto" w:sz="4" w:space="0"/>
                    <w:righ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6轴 </w:t>
                  </w:r>
                </w:p>
              </w:tc>
              <w:tc>
                <w:tcPr>
                  <w:tcW w:w="1013" w:type="pct"/>
                  <w:tcBorders>
                    <w:top w:val="single" w:color="auto" w:sz="12" w:space="0"/>
                    <w:lef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安装方式 </w:t>
                  </w:r>
                </w:p>
              </w:tc>
              <w:tc>
                <w:tcPr>
                  <w:tcW w:w="2211" w:type="pct"/>
                  <w:tcBorders>
                    <w:top w:val="single" w:color="auto" w:sz="12" w:space="0"/>
                    <w:righ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任意角度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48" w:type="pct"/>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xml:space="preserve">有效负载 </w:t>
                  </w:r>
                </w:p>
              </w:tc>
              <w:tc>
                <w:tcPr>
                  <w:tcW w:w="926" w:type="pct"/>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Cs w:val="21"/>
                    </w:rPr>
                  </w:pPr>
                  <w:r>
                    <w:rPr>
                      <w:rFonts w:hint="eastAsia" w:ascii="宋体" w:hAnsi="宋体" w:cs="宋体"/>
                      <w:szCs w:val="21"/>
                    </w:rPr>
                    <w:t>10kg</w:t>
                  </w:r>
                </w:p>
              </w:tc>
              <w:tc>
                <w:tcPr>
                  <w:tcW w:w="1013" w:type="pct"/>
                  <w:tcBorders>
                    <w:lef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功 能 </w:t>
                  </w:r>
                </w:p>
              </w:tc>
              <w:tc>
                <w:tcPr>
                  <w:tcW w:w="2211" w:type="pct"/>
                  <w:tcBorders>
                    <w:right w:val="single" w:color="auto" w:sz="12" w:space="0"/>
                  </w:tcBorders>
                  <w:vAlign w:val="center"/>
                </w:tcPr>
                <w:p>
                  <w:pPr>
                    <w:widowControl/>
                    <w:jc w:val="left"/>
                    <w:rPr>
                      <w:rFonts w:ascii="宋体" w:hAnsi="宋体" w:cs="宋体"/>
                      <w:szCs w:val="21"/>
                    </w:rPr>
                  </w:pPr>
                  <w:r>
                    <w:rPr>
                      <w:rFonts w:hint="eastAsia" w:ascii="宋体" w:hAnsi="宋体" w:cs="宋体"/>
                      <w:szCs w:val="21"/>
                    </w:rPr>
                    <w:t>焊接、搬运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48" w:type="pct"/>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xml:space="preserve">重复定位精度 </w:t>
                  </w:r>
                </w:p>
              </w:tc>
              <w:tc>
                <w:tcPr>
                  <w:tcW w:w="926" w:type="pct"/>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±0.05mm </w:t>
                  </w:r>
                </w:p>
              </w:tc>
              <w:tc>
                <w:tcPr>
                  <w:tcW w:w="1013" w:type="pct"/>
                  <w:tcBorders>
                    <w:lef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最大臂展 </w:t>
                  </w:r>
                </w:p>
              </w:tc>
              <w:tc>
                <w:tcPr>
                  <w:tcW w:w="2211" w:type="pct"/>
                  <w:tcBorders>
                    <w:righ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1640mm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48" w:type="pct"/>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xml:space="preserve">本体重量 </w:t>
                  </w:r>
                </w:p>
              </w:tc>
              <w:tc>
                <w:tcPr>
                  <w:tcW w:w="926" w:type="pct"/>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145kg </w:t>
                  </w:r>
                </w:p>
              </w:tc>
              <w:tc>
                <w:tcPr>
                  <w:tcW w:w="1013" w:type="pct"/>
                  <w:tcBorders>
                    <w:lef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本体防护等级 </w:t>
                  </w:r>
                </w:p>
              </w:tc>
              <w:tc>
                <w:tcPr>
                  <w:tcW w:w="2211" w:type="pct"/>
                  <w:tcBorders>
                    <w:righ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IP65（手腕IP67）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48" w:type="pct"/>
                  <w:tcBorders>
                    <w:top w:val="single" w:color="auto" w:sz="4" w:space="0"/>
                    <w:left w:val="single" w:color="auto" w:sz="12" w:space="0"/>
                    <w:bottom w:val="single" w:color="auto" w:sz="12"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能耗</w:t>
                  </w:r>
                </w:p>
              </w:tc>
              <w:tc>
                <w:tcPr>
                  <w:tcW w:w="926" w:type="pct"/>
                  <w:tcBorders>
                    <w:top w:val="single" w:color="auto" w:sz="4" w:space="0"/>
                    <w:left w:val="single" w:color="auto" w:sz="4" w:space="0"/>
                    <w:bottom w:val="single" w:color="auto" w:sz="12" w:space="0"/>
                    <w:right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3kw </w:t>
                  </w:r>
                </w:p>
              </w:tc>
              <w:tc>
                <w:tcPr>
                  <w:tcW w:w="1013" w:type="pct"/>
                  <w:tcBorders>
                    <w:left w:val="single" w:color="auto" w:sz="12" w:space="0"/>
                    <w:bottom w:val="single" w:color="auto" w:sz="12" w:space="0"/>
                  </w:tcBorders>
                  <w:vAlign w:val="center"/>
                </w:tcPr>
                <w:p>
                  <w:pPr>
                    <w:widowControl/>
                    <w:jc w:val="left"/>
                    <w:rPr>
                      <w:rFonts w:ascii="宋体" w:hAnsi="宋体" w:cs="宋体"/>
                      <w:szCs w:val="21"/>
                    </w:rPr>
                  </w:pPr>
                  <w:r>
                    <w:rPr>
                      <w:rFonts w:hint="eastAsia" w:ascii="宋体" w:hAnsi="宋体" w:cs="宋体"/>
                      <w:szCs w:val="21"/>
                    </w:rPr>
                    <w:t xml:space="preserve">电柜防护等级 </w:t>
                  </w:r>
                </w:p>
              </w:tc>
              <w:tc>
                <w:tcPr>
                  <w:tcW w:w="2211" w:type="pct"/>
                  <w:tcBorders>
                    <w:bottom w:val="single" w:color="auto" w:sz="12" w:space="0"/>
                    <w:right w:val="single" w:color="auto" w:sz="12" w:space="0"/>
                  </w:tcBorders>
                  <w:vAlign w:val="center"/>
                </w:tcPr>
                <w:p>
                  <w:pPr>
                    <w:widowControl/>
                    <w:jc w:val="left"/>
                    <w:rPr>
                      <w:rFonts w:ascii="宋体" w:hAnsi="宋体" w:cs="宋体"/>
                      <w:szCs w:val="21"/>
                    </w:rPr>
                  </w:pPr>
                  <w:r>
                    <w:rPr>
                      <w:rFonts w:hint="eastAsia" w:ascii="宋体" w:hAnsi="宋体" w:cs="宋体"/>
                      <w:szCs w:val="21"/>
                    </w:rPr>
                    <w:t>IP43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775" w:type="pct"/>
                  <w:gridSpan w:val="2"/>
                  <w:tcBorders>
                    <w:top w:val="single" w:color="auto" w:sz="12" w:space="0"/>
                    <w:left w:val="single" w:color="auto" w:sz="12" w:space="0"/>
                    <w:bottom w:val="single" w:color="auto" w:sz="12" w:space="0"/>
                    <w:right w:val="single" w:color="auto" w:sz="12" w:space="0"/>
                  </w:tcBorders>
                  <w:shd w:val="pct20" w:color="auto" w:fill="auto"/>
                  <w:vAlign w:val="center"/>
                </w:tcPr>
                <w:p>
                  <w:pPr>
                    <w:jc w:val="center"/>
                    <w:rPr>
                      <w:rFonts w:ascii="宋体" w:hAnsi="宋体" w:cs="宋体"/>
                      <w:szCs w:val="21"/>
                    </w:rPr>
                  </w:pPr>
                  <w:r>
                    <w:rPr>
                      <w:rFonts w:hint="eastAsia" w:ascii="宋体" w:hAnsi="宋体" w:cs="宋体"/>
                      <w:szCs w:val="21"/>
                    </w:rPr>
                    <w:t>手腕允许扭矩</w:t>
                  </w:r>
                </w:p>
              </w:tc>
              <w:tc>
                <w:tcPr>
                  <w:tcW w:w="3224" w:type="pct"/>
                  <w:gridSpan w:val="2"/>
                  <w:tcBorders>
                    <w:top w:val="single" w:color="auto" w:sz="12" w:space="0"/>
                    <w:left w:val="single" w:color="auto" w:sz="12" w:space="0"/>
                    <w:bottom w:val="single" w:color="auto" w:sz="12" w:space="0"/>
                    <w:right w:val="single" w:color="auto" w:sz="12" w:space="0"/>
                  </w:tcBorders>
                  <w:shd w:val="pct20" w:color="auto" w:fill="auto"/>
                  <w:vAlign w:val="center"/>
                </w:tcPr>
                <w:p>
                  <w:pPr>
                    <w:jc w:val="left"/>
                    <w:rPr>
                      <w:rFonts w:ascii="宋体" w:hAnsi="宋体" w:cs="宋体"/>
                      <w:szCs w:val="21"/>
                    </w:rPr>
                  </w:pPr>
                  <w:r>
                    <w:rPr>
                      <w:rFonts w:hint="eastAsia" w:ascii="宋体" w:hAnsi="宋体" w:cs="宋体"/>
                      <w:szCs w:val="21"/>
                    </w:rPr>
                    <w:t>手腕允许转动惯量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48" w:type="pct"/>
                  <w:tcBorders>
                    <w:top w:val="single" w:color="auto" w:sz="12" w:space="0"/>
                    <w:left w:val="single" w:color="auto" w:sz="12" w:space="0"/>
                  </w:tcBorders>
                  <w:vAlign w:val="center"/>
                </w:tcPr>
                <w:p>
                  <w:pPr>
                    <w:jc w:val="left"/>
                    <w:rPr>
                      <w:rFonts w:ascii="宋体" w:hAnsi="宋体" w:cs="宋体"/>
                      <w:szCs w:val="21"/>
                    </w:rPr>
                  </w:pPr>
                  <w:r>
                    <w:rPr>
                      <w:rFonts w:hint="eastAsia" w:ascii="宋体" w:hAnsi="宋体" w:cs="宋体"/>
                      <w:szCs w:val="21"/>
                    </w:rPr>
                    <w:t xml:space="preserve">J4轴 </w:t>
                  </w:r>
                </w:p>
              </w:tc>
              <w:tc>
                <w:tcPr>
                  <w:tcW w:w="926" w:type="pct"/>
                  <w:tcBorders>
                    <w:top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 xml:space="preserve">20N.m </w:t>
                  </w:r>
                </w:p>
              </w:tc>
              <w:tc>
                <w:tcPr>
                  <w:tcW w:w="1013" w:type="pct"/>
                  <w:tcBorders>
                    <w:top w:val="single" w:color="auto" w:sz="12" w:space="0"/>
                    <w:left w:val="single" w:color="auto" w:sz="12" w:space="0"/>
                  </w:tcBorders>
                  <w:vAlign w:val="center"/>
                </w:tcPr>
                <w:p>
                  <w:pPr>
                    <w:jc w:val="left"/>
                    <w:rPr>
                      <w:rFonts w:ascii="宋体" w:hAnsi="宋体" w:cs="宋体"/>
                      <w:szCs w:val="21"/>
                    </w:rPr>
                  </w:pPr>
                  <w:r>
                    <w:rPr>
                      <w:rFonts w:hint="eastAsia" w:ascii="宋体" w:hAnsi="宋体" w:cs="宋体"/>
                      <w:szCs w:val="21"/>
                    </w:rPr>
                    <w:t xml:space="preserve">J4轴 </w:t>
                  </w:r>
                </w:p>
              </w:tc>
              <w:tc>
                <w:tcPr>
                  <w:tcW w:w="2211" w:type="pct"/>
                  <w:tcBorders>
                    <w:top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 xml:space="preserve">0.625kg.㎡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48" w:type="pct"/>
                  <w:tcBorders>
                    <w:left w:val="single" w:color="auto" w:sz="12" w:space="0"/>
                  </w:tcBorders>
                  <w:vAlign w:val="center"/>
                </w:tcPr>
                <w:p>
                  <w:pPr>
                    <w:jc w:val="left"/>
                    <w:rPr>
                      <w:rFonts w:ascii="宋体" w:hAnsi="宋体" w:cs="宋体"/>
                      <w:szCs w:val="21"/>
                    </w:rPr>
                  </w:pPr>
                  <w:r>
                    <w:rPr>
                      <w:rFonts w:hint="eastAsia" w:ascii="宋体" w:hAnsi="宋体" w:cs="宋体"/>
                      <w:szCs w:val="21"/>
                    </w:rPr>
                    <w:t>J5轴</w:t>
                  </w:r>
                </w:p>
              </w:tc>
              <w:tc>
                <w:tcPr>
                  <w:tcW w:w="926" w:type="pct"/>
                  <w:tcBorders>
                    <w:right w:val="single" w:color="auto" w:sz="12" w:space="0"/>
                  </w:tcBorders>
                  <w:vAlign w:val="center"/>
                </w:tcPr>
                <w:p>
                  <w:pPr>
                    <w:jc w:val="left"/>
                    <w:rPr>
                      <w:rFonts w:ascii="宋体" w:hAnsi="宋体" w:cs="宋体"/>
                      <w:szCs w:val="21"/>
                    </w:rPr>
                  </w:pPr>
                  <w:r>
                    <w:rPr>
                      <w:rFonts w:hint="eastAsia" w:ascii="宋体" w:hAnsi="宋体" w:cs="宋体"/>
                      <w:szCs w:val="21"/>
                    </w:rPr>
                    <w:t xml:space="preserve">20N.m </w:t>
                  </w:r>
                </w:p>
              </w:tc>
              <w:tc>
                <w:tcPr>
                  <w:tcW w:w="1013" w:type="pct"/>
                  <w:tcBorders>
                    <w:left w:val="single" w:color="auto" w:sz="12" w:space="0"/>
                  </w:tcBorders>
                  <w:vAlign w:val="center"/>
                </w:tcPr>
                <w:p>
                  <w:pPr>
                    <w:jc w:val="left"/>
                    <w:rPr>
                      <w:rFonts w:ascii="宋体" w:hAnsi="宋体" w:cs="宋体"/>
                      <w:szCs w:val="21"/>
                    </w:rPr>
                  </w:pPr>
                  <w:r>
                    <w:rPr>
                      <w:rFonts w:hint="eastAsia" w:ascii="宋体" w:hAnsi="宋体" w:cs="宋体"/>
                      <w:szCs w:val="21"/>
                    </w:rPr>
                    <w:t xml:space="preserve">J5轴 </w:t>
                  </w:r>
                </w:p>
              </w:tc>
              <w:tc>
                <w:tcPr>
                  <w:tcW w:w="2211" w:type="pct"/>
                  <w:tcBorders>
                    <w:right w:val="single" w:color="auto" w:sz="12" w:space="0"/>
                  </w:tcBorders>
                  <w:vAlign w:val="center"/>
                </w:tcPr>
                <w:p>
                  <w:pPr>
                    <w:jc w:val="left"/>
                    <w:rPr>
                      <w:rFonts w:ascii="宋体" w:hAnsi="宋体" w:cs="宋体"/>
                      <w:szCs w:val="21"/>
                    </w:rPr>
                  </w:pPr>
                  <w:r>
                    <w:rPr>
                      <w:rFonts w:hint="eastAsia" w:ascii="宋体" w:hAnsi="宋体" w:cs="宋体"/>
                      <w:szCs w:val="21"/>
                    </w:rPr>
                    <w:t xml:space="preserve">0.625kg.㎡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pct"/>
                  <w:tcBorders>
                    <w:left w:val="single" w:color="auto" w:sz="12" w:space="0"/>
                    <w:bottom w:val="single" w:color="auto" w:sz="12" w:space="0"/>
                  </w:tcBorders>
                  <w:vAlign w:val="center"/>
                </w:tcPr>
                <w:p>
                  <w:pPr>
                    <w:jc w:val="left"/>
                    <w:rPr>
                      <w:rFonts w:ascii="宋体" w:hAnsi="宋体" w:cs="宋体"/>
                      <w:szCs w:val="21"/>
                    </w:rPr>
                  </w:pPr>
                  <w:r>
                    <w:rPr>
                      <w:rFonts w:hint="eastAsia" w:ascii="宋体" w:hAnsi="宋体" w:cs="宋体"/>
                      <w:szCs w:val="21"/>
                    </w:rPr>
                    <w:t xml:space="preserve">J6轴 </w:t>
                  </w:r>
                </w:p>
              </w:tc>
              <w:tc>
                <w:tcPr>
                  <w:tcW w:w="926" w:type="pct"/>
                  <w:tcBorders>
                    <w:bottom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10N.m</w:t>
                  </w:r>
                </w:p>
              </w:tc>
              <w:tc>
                <w:tcPr>
                  <w:tcW w:w="1013" w:type="pct"/>
                  <w:tcBorders>
                    <w:left w:val="single" w:color="auto" w:sz="12" w:space="0"/>
                    <w:bottom w:val="single" w:color="auto" w:sz="12" w:space="0"/>
                  </w:tcBorders>
                  <w:vAlign w:val="center"/>
                </w:tcPr>
                <w:p>
                  <w:pPr>
                    <w:jc w:val="left"/>
                    <w:rPr>
                      <w:rFonts w:ascii="宋体" w:hAnsi="宋体" w:cs="宋体"/>
                      <w:szCs w:val="21"/>
                    </w:rPr>
                  </w:pPr>
                  <w:r>
                    <w:rPr>
                      <w:rFonts w:hint="eastAsia" w:ascii="宋体" w:hAnsi="宋体" w:cs="宋体"/>
                      <w:szCs w:val="21"/>
                    </w:rPr>
                    <w:t xml:space="preserve">J6轴 </w:t>
                  </w:r>
                </w:p>
              </w:tc>
              <w:tc>
                <w:tcPr>
                  <w:tcW w:w="2211" w:type="pct"/>
                  <w:tcBorders>
                    <w:bottom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0.2kg.㎡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000" w:type="pct"/>
                  <w:gridSpan w:val="4"/>
                  <w:tcBorders>
                    <w:top w:val="single" w:color="auto" w:sz="12" w:space="0"/>
                    <w:left w:val="single" w:color="auto" w:sz="12" w:space="0"/>
                    <w:bottom w:val="single" w:color="auto" w:sz="12" w:space="0"/>
                    <w:right w:val="single" w:color="auto" w:sz="12" w:space="0"/>
                  </w:tcBorders>
                  <w:shd w:val="pct20" w:color="auto" w:fill="auto"/>
                  <w:vAlign w:val="center"/>
                </w:tcPr>
                <w:p>
                  <w:pPr>
                    <w:jc w:val="center"/>
                    <w:rPr>
                      <w:rFonts w:ascii="宋体" w:hAnsi="宋体" w:cs="宋体"/>
                      <w:szCs w:val="21"/>
                    </w:rPr>
                  </w:pPr>
                  <w:r>
                    <w:rPr>
                      <w:rFonts w:hint="eastAsia" w:ascii="宋体" w:hAnsi="宋体" w:cs="宋体"/>
                      <w:szCs w:val="21"/>
                    </w:rPr>
                    <w:t>最大单轴运动速度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48" w:type="pct"/>
                  <w:tcBorders>
                    <w:top w:val="single" w:color="auto" w:sz="12" w:space="0"/>
                    <w:left w:val="single" w:color="auto" w:sz="12" w:space="0"/>
                  </w:tcBorders>
                  <w:vAlign w:val="center"/>
                </w:tcPr>
                <w:p>
                  <w:pPr>
                    <w:jc w:val="left"/>
                    <w:rPr>
                      <w:rFonts w:ascii="宋体" w:hAnsi="宋体" w:cs="宋体"/>
                      <w:szCs w:val="21"/>
                    </w:rPr>
                  </w:pPr>
                  <w:r>
                    <w:rPr>
                      <w:rFonts w:hint="eastAsia" w:ascii="宋体" w:hAnsi="宋体" w:cs="宋体"/>
                      <w:szCs w:val="21"/>
                    </w:rPr>
                    <w:t xml:space="preserve">J1轴 </w:t>
                  </w:r>
                </w:p>
              </w:tc>
              <w:tc>
                <w:tcPr>
                  <w:tcW w:w="926" w:type="pct"/>
                  <w:tcBorders>
                    <w:top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170°/sec</w:t>
                  </w:r>
                </w:p>
              </w:tc>
              <w:tc>
                <w:tcPr>
                  <w:tcW w:w="1013" w:type="pct"/>
                  <w:tcBorders>
                    <w:top w:val="single" w:color="auto" w:sz="12" w:space="0"/>
                    <w:left w:val="single" w:color="auto" w:sz="12" w:space="0"/>
                  </w:tcBorders>
                  <w:vAlign w:val="center"/>
                </w:tcPr>
                <w:p>
                  <w:pPr>
                    <w:jc w:val="left"/>
                    <w:rPr>
                      <w:rFonts w:ascii="宋体" w:hAnsi="宋体" w:cs="宋体"/>
                      <w:szCs w:val="21"/>
                    </w:rPr>
                  </w:pPr>
                  <w:r>
                    <w:rPr>
                      <w:rFonts w:hint="eastAsia" w:ascii="宋体" w:hAnsi="宋体" w:cs="宋体"/>
                      <w:szCs w:val="21"/>
                    </w:rPr>
                    <w:t xml:space="preserve">J4轴 </w:t>
                  </w:r>
                </w:p>
              </w:tc>
              <w:tc>
                <w:tcPr>
                  <w:tcW w:w="2211" w:type="pct"/>
                  <w:tcBorders>
                    <w:top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330°/sec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48" w:type="pct"/>
                  <w:tcBorders>
                    <w:left w:val="single" w:color="auto" w:sz="12" w:space="0"/>
                  </w:tcBorders>
                  <w:vAlign w:val="center"/>
                </w:tcPr>
                <w:p>
                  <w:pPr>
                    <w:jc w:val="left"/>
                    <w:rPr>
                      <w:rFonts w:ascii="宋体" w:hAnsi="宋体" w:cs="宋体"/>
                      <w:szCs w:val="21"/>
                    </w:rPr>
                  </w:pPr>
                  <w:r>
                    <w:rPr>
                      <w:rFonts w:hint="eastAsia" w:ascii="宋体" w:hAnsi="宋体" w:cs="宋体"/>
                      <w:szCs w:val="21"/>
                    </w:rPr>
                    <w:t>J2轴</w:t>
                  </w:r>
                </w:p>
              </w:tc>
              <w:tc>
                <w:tcPr>
                  <w:tcW w:w="926" w:type="pct"/>
                  <w:tcBorders>
                    <w:right w:val="single" w:color="auto" w:sz="12" w:space="0"/>
                  </w:tcBorders>
                  <w:vAlign w:val="center"/>
                </w:tcPr>
                <w:p>
                  <w:pPr>
                    <w:jc w:val="left"/>
                    <w:rPr>
                      <w:rFonts w:ascii="宋体" w:hAnsi="宋体" w:cs="宋体"/>
                      <w:szCs w:val="21"/>
                    </w:rPr>
                  </w:pPr>
                  <w:r>
                    <w:rPr>
                      <w:rFonts w:hint="eastAsia" w:ascii="宋体" w:hAnsi="宋体" w:cs="宋体"/>
                      <w:szCs w:val="21"/>
                    </w:rPr>
                    <w:t>160°/sec</w:t>
                  </w:r>
                </w:p>
              </w:tc>
              <w:tc>
                <w:tcPr>
                  <w:tcW w:w="1013" w:type="pct"/>
                  <w:tcBorders>
                    <w:left w:val="single" w:color="auto" w:sz="12" w:space="0"/>
                  </w:tcBorders>
                  <w:vAlign w:val="center"/>
                </w:tcPr>
                <w:p>
                  <w:pPr>
                    <w:jc w:val="left"/>
                    <w:rPr>
                      <w:rFonts w:ascii="宋体" w:hAnsi="宋体" w:cs="宋体"/>
                      <w:szCs w:val="21"/>
                    </w:rPr>
                  </w:pPr>
                  <w:r>
                    <w:rPr>
                      <w:rFonts w:hint="eastAsia" w:ascii="宋体" w:hAnsi="宋体" w:cs="宋体"/>
                      <w:szCs w:val="21"/>
                    </w:rPr>
                    <w:t>J5轴</w:t>
                  </w:r>
                </w:p>
              </w:tc>
              <w:tc>
                <w:tcPr>
                  <w:tcW w:w="2211" w:type="pct"/>
                  <w:tcBorders>
                    <w:right w:val="single" w:color="auto" w:sz="12" w:space="0"/>
                  </w:tcBorders>
                  <w:vAlign w:val="center"/>
                </w:tcPr>
                <w:p>
                  <w:pPr>
                    <w:jc w:val="left"/>
                    <w:rPr>
                      <w:rFonts w:ascii="宋体" w:hAnsi="宋体" w:cs="宋体"/>
                      <w:szCs w:val="21"/>
                    </w:rPr>
                  </w:pPr>
                  <w:r>
                    <w:rPr>
                      <w:rFonts w:hint="eastAsia" w:ascii="宋体" w:hAnsi="宋体" w:cs="宋体"/>
                      <w:szCs w:val="21"/>
                    </w:rPr>
                    <w:t>360°/sec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848" w:type="pct"/>
                  <w:tcBorders>
                    <w:left w:val="single" w:color="auto" w:sz="12" w:space="0"/>
                    <w:bottom w:val="single" w:color="auto" w:sz="12" w:space="0"/>
                  </w:tcBorders>
                  <w:vAlign w:val="center"/>
                </w:tcPr>
                <w:p>
                  <w:pPr>
                    <w:jc w:val="left"/>
                    <w:rPr>
                      <w:rFonts w:ascii="宋体" w:hAnsi="宋体" w:cs="宋体"/>
                      <w:szCs w:val="21"/>
                    </w:rPr>
                  </w:pPr>
                  <w:r>
                    <w:rPr>
                      <w:rFonts w:hint="eastAsia" w:ascii="宋体" w:hAnsi="宋体" w:cs="宋体"/>
                      <w:szCs w:val="21"/>
                    </w:rPr>
                    <w:t xml:space="preserve">J3轴 </w:t>
                  </w:r>
                </w:p>
              </w:tc>
              <w:tc>
                <w:tcPr>
                  <w:tcW w:w="926" w:type="pct"/>
                  <w:tcBorders>
                    <w:bottom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180°/sec</w:t>
                  </w:r>
                </w:p>
              </w:tc>
              <w:tc>
                <w:tcPr>
                  <w:tcW w:w="1013" w:type="pct"/>
                  <w:tcBorders>
                    <w:left w:val="single" w:color="auto" w:sz="12" w:space="0"/>
                    <w:bottom w:val="single" w:color="auto" w:sz="12" w:space="0"/>
                  </w:tcBorders>
                  <w:vAlign w:val="center"/>
                </w:tcPr>
                <w:p>
                  <w:pPr>
                    <w:jc w:val="left"/>
                    <w:rPr>
                      <w:rFonts w:ascii="宋体" w:hAnsi="宋体" w:cs="宋体"/>
                      <w:szCs w:val="21"/>
                    </w:rPr>
                  </w:pPr>
                  <w:r>
                    <w:rPr>
                      <w:rFonts w:hint="eastAsia" w:ascii="宋体" w:hAnsi="宋体" w:cs="宋体"/>
                      <w:szCs w:val="21"/>
                    </w:rPr>
                    <w:t xml:space="preserve">J6轴 </w:t>
                  </w:r>
                </w:p>
              </w:tc>
              <w:tc>
                <w:tcPr>
                  <w:tcW w:w="2211" w:type="pct"/>
                  <w:tcBorders>
                    <w:bottom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600°/sec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5000" w:type="pct"/>
                  <w:gridSpan w:val="4"/>
                  <w:tcBorders>
                    <w:top w:val="single" w:color="auto" w:sz="12" w:space="0"/>
                    <w:left w:val="single" w:color="auto" w:sz="12" w:space="0"/>
                    <w:bottom w:val="single" w:color="auto" w:sz="12" w:space="0"/>
                    <w:right w:val="single" w:color="auto" w:sz="12" w:space="0"/>
                  </w:tcBorders>
                  <w:shd w:val="pct20" w:color="auto" w:fill="auto"/>
                  <w:vAlign w:val="center"/>
                </w:tcPr>
                <w:p>
                  <w:pPr>
                    <w:jc w:val="center"/>
                    <w:rPr>
                      <w:rFonts w:ascii="宋体" w:hAnsi="宋体" w:cs="宋体"/>
                      <w:szCs w:val="21"/>
                    </w:rPr>
                  </w:pPr>
                  <w:r>
                    <w:rPr>
                      <w:rFonts w:hint="eastAsia" w:ascii="宋体" w:hAnsi="宋体" w:cs="宋体"/>
                      <w:szCs w:val="21"/>
                    </w:rPr>
                    <w:t>各周运动范围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848" w:type="pct"/>
                  <w:tcBorders>
                    <w:top w:val="single" w:color="auto" w:sz="12" w:space="0"/>
                    <w:left w:val="single" w:color="auto" w:sz="12" w:space="0"/>
                  </w:tcBorders>
                  <w:vAlign w:val="center"/>
                </w:tcPr>
                <w:p>
                  <w:pPr>
                    <w:jc w:val="left"/>
                    <w:rPr>
                      <w:rFonts w:ascii="宋体" w:hAnsi="宋体" w:cs="宋体"/>
                      <w:szCs w:val="21"/>
                    </w:rPr>
                  </w:pPr>
                  <w:r>
                    <w:rPr>
                      <w:rFonts w:hint="eastAsia" w:ascii="宋体" w:hAnsi="宋体" w:cs="宋体"/>
                      <w:szCs w:val="21"/>
                    </w:rPr>
                    <w:t xml:space="preserve">J1轴 </w:t>
                  </w:r>
                </w:p>
              </w:tc>
              <w:tc>
                <w:tcPr>
                  <w:tcW w:w="926" w:type="pct"/>
                  <w:tcBorders>
                    <w:top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 xml:space="preserve">±165°  </w:t>
                  </w:r>
                </w:p>
              </w:tc>
              <w:tc>
                <w:tcPr>
                  <w:tcW w:w="1013" w:type="pct"/>
                  <w:tcBorders>
                    <w:top w:val="single" w:color="auto" w:sz="12" w:space="0"/>
                    <w:left w:val="single" w:color="auto" w:sz="12" w:space="0"/>
                  </w:tcBorders>
                  <w:vAlign w:val="center"/>
                </w:tcPr>
                <w:p>
                  <w:pPr>
                    <w:jc w:val="left"/>
                    <w:rPr>
                      <w:rFonts w:ascii="宋体" w:hAnsi="宋体" w:cs="宋体"/>
                      <w:szCs w:val="21"/>
                    </w:rPr>
                  </w:pPr>
                  <w:r>
                    <w:rPr>
                      <w:rFonts w:hint="eastAsia" w:ascii="宋体" w:hAnsi="宋体" w:cs="宋体"/>
                      <w:szCs w:val="21"/>
                    </w:rPr>
                    <w:t xml:space="preserve">J4轴 </w:t>
                  </w:r>
                </w:p>
              </w:tc>
              <w:tc>
                <w:tcPr>
                  <w:tcW w:w="2211" w:type="pct"/>
                  <w:tcBorders>
                    <w:top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848" w:type="pct"/>
                  <w:tcBorders>
                    <w:left w:val="single" w:color="auto" w:sz="12" w:space="0"/>
                  </w:tcBorders>
                  <w:vAlign w:val="center"/>
                </w:tcPr>
                <w:p>
                  <w:pPr>
                    <w:jc w:val="left"/>
                    <w:rPr>
                      <w:rFonts w:ascii="宋体" w:hAnsi="宋体" w:cs="宋体"/>
                      <w:szCs w:val="21"/>
                    </w:rPr>
                  </w:pPr>
                  <w:r>
                    <w:rPr>
                      <w:rFonts w:hint="eastAsia" w:ascii="宋体" w:hAnsi="宋体" w:cs="宋体"/>
                      <w:szCs w:val="21"/>
                    </w:rPr>
                    <w:t>J2轴</w:t>
                  </w:r>
                </w:p>
              </w:tc>
              <w:tc>
                <w:tcPr>
                  <w:tcW w:w="926" w:type="pct"/>
                  <w:tcBorders>
                    <w:right w:val="single" w:color="auto" w:sz="12" w:space="0"/>
                  </w:tcBorders>
                  <w:vAlign w:val="center"/>
                </w:tcPr>
                <w:p>
                  <w:pPr>
                    <w:jc w:val="left"/>
                    <w:rPr>
                      <w:rFonts w:ascii="宋体" w:hAnsi="宋体" w:cs="宋体"/>
                      <w:szCs w:val="21"/>
                    </w:rPr>
                  </w:pPr>
                  <w:r>
                    <w:rPr>
                      <w:rFonts w:hint="eastAsia" w:ascii="宋体" w:hAnsi="宋体" w:cs="宋体"/>
                      <w:szCs w:val="21"/>
                    </w:rPr>
                    <w:t>+80°/ -135°</w:t>
                  </w:r>
                </w:p>
              </w:tc>
              <w:tc>
                <w:tcPr>
                  <w:tcW w:w="1013" w:type="pct"/>
                  <w:tcBorders>
                    <w:left w:val="single" w:color="auto" w:sz="12" w:space="0"/>
                  </w:tcBorders>
                  <w:vAlign w:val="center"/>
                </w:tcPr>
                <w:p>
                  <w:pPr>
                    <w:jc w:val="left"/>
                    <w:rPr>
                      <w:rFonts w:ascii="宋体" w:hAnsi="宋体" w:cs="宋体"/>
                      <w:szCs w:val="21"/>
                    </w:rPr>
                  </w:pPr>
                  <w:r>
                    <w:rPr>
                      <w:rFonts w:hint="eastAsia" w:ascii="宋体" w:hAnsi="宋体" w:cs="宋体"/>
                      <w:szCs w:val="21"/>
                    </w:rPr>
                    <w:t>J5轴</w:t>
                  </w:r>
                </w:p>
              </w:tc>
              <w:tc>
                <w:tcPr>
                  <w:tcW w:w="2211" w:type="pct"/>
                  <w:tcBorders>
                    <w:right w:val="single" w:color="auto" w:sz="12" w:space="0"/>
                  </w:tcBorders>
                  <w:vAlign w:val="center"/>
                </w:tcPr>
                <w:p>
                  <w:pPr>
                    <w:jc w:val="left"/>
                    <w:rPr>
                      <w:rFonts w:ascii="宋体" w:hAnsi="宋体" w:cs="宋体"/>
                      <w:szCs w:val="21"/>
                    </w:rPr>
                  </w:pPr>
                  <w:r>
                    <w:rPr>
                      <w:rFonts w:hint="eastAsia" w:ascii="宋体" w:hAnsi="宋体" w:cs="宋体"/>
                      <w:szCs w:val="21"/>
                    </w:rPr>
                    <w:t xml:space="preserve">±130°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848" w:type="pct"/>
                  <w:tcBorders>
                    <w:left w:val="single" w:color="auto" w:sz="12" w:space="0"/>
                    <w:bottom w:val="single" w:color="auto" w:sz="12" w:space="0"/>
                  </w:tcBorders>
                  <w:vAlign w:val="center"/>
                </w:tcPr>
                <w:p>
                  <w:pPr>
                    <w:jc w:val="left"/>
                    <w:rPr>
                      <w:rFonts w:ascii="宋体" w:hAnsi="宋体" w:cs="宋体"/>
                      <w:szCs w:val="21"/>
                    </w:rPr>
                  </w:pPr>
                  <w:r>
                    <w:rPr>
                      <w:rFonts w:hint="eastAsia" w:ascii="宋体" w:hAnsi="宋体" w:cs="宋体"/>
                      <w:szCs w:val="21"/>
                    </w:rPr>
                    <w:t xml:space="preserve">J3轴 </w:t>
                  </w:r>
                </w:p>
              </w:tc>
              <w:tc>
                <w:tcPr>
                  <w:tcW w:w="926" w:type="pct"/>
                  <w:tcBorders>
                    <w:bottom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+163°/ -75°</w:t>
                  </w:r>
                </w:p>
              </w:tc>
              <w:tc>
                <w:tcPr>
                  <w:tcW w:w="1013" w:type="pct"/>
                  <w:tcBorders>
                    <w:left w:val="single" w:color="auto" w:sz="12" w:space="0"/>
                    <w:bottom w:val="single" w:color="auto" w:sz="12" w:space="0"/>
                  </w:tcBorders>
                  <w:vAlign w:val="center"/>
                </w:tcPr>
                <w:p>
                  <w:pPr>
                    <w:jc w:val="left"/>
                    <w:rPr>
                      <w:rFonts w:ascii="宋体" w:hAnsi="宋体" w:cs="宋体"/>
                      <w:szCs w:val="21"/>
                    </w:rPr>
                  </w:pPr>
                  <w:r>
                    <w:rPr>
                      <w:rFonts w:hint="eastAsia" w:ascii="宋体" w:hAnsi="宋体" w:cs="宋体"/>
                      <w:szCs w:val="21"/>
                    </w:rPr>
                    <w:t xml:space="preserve">J6轴 </w:t>
                  </w:r>
                </w:p>
              </w:tc>
              <w:tc>
                <w:tcPr>
                  <w:tcW w:w="2211" w:type="pct"/>
                  <w:tcBorders>
                    <w:bottom w:val="single" w:color="auto" w:sz="12" w:space="0"/>
                    <w:right w:val="single" w:color="auto" w:sz="12" w:space="0"/>
                  </w:tcBorders>
                  <w:vAlign w:val="center"/>
                </w:tcPr>
                <w:p>
                  <w:pPr>
                    <w:jc w:val="left"/>
                    <w:rPr>
                      <w:rFonts w:ascii="宋体" w:hAnsi="宋体" w:cs="宋体"/>
                      <w:szCs w:val="21"/>
                    </w:rPr>
                  </w:pPr>
                  <w:r>
                    <w:rPr>
                      <w:rFonts w:hint="eastAsia" w:ascii="宋体" w:hAnsi="宋体" w:cs="宋体"/>
                      <w:szCs w:val="21"/>
                    </w:rPr>
                    <w:t xml:space="preserve">±360°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5000" w:type="pct"/>
                  <w:gridSpan w:val="4"/>
                  <w:tcBorders>
                    <w:top w:val="single" w:color="auto" w:sz="12" w:space="0"/>
                  </w:tcBorders>
                  <w:vAlign w:val="center"/>
                </w:tcPr>
                <w:p>
                  <w:pPr>
                    <w:widowControl/>
                    <w:jc w:val="center"/>
                    <w:rPr>
                      <w:rFonts w:ascii="宋体" w:hAnsi="宋体" w:cs="宋体"/>
                      <w:szCs w:val="21"/>
                    </w:rPr>
                  </w:pPr>
                  <w:r>
                    <w:rPr>
                      <w:rFonts w:hint="eastAsia" w:ascii="宋体" w:hAnsi="宋体" w:cs="宋体"/>
                      <w:b/>
                      <w:bCs/>
                      <w:szCs w:val="21"/>
                    </w:rPr>
                    <w:t>控制柜参数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 xml:space="preserve">示教器 </w:t>
                  </w:r>
                </w:p>
              </w:tc>
              <w:tc>
                <w:tcPr>
                  <w:tcW w:w="4151" w:type="pct"/>
                  <w:gridSpan w:val="3"/>
                  <w:vAlign w:val="center"/>
                </w:tcPr>
                <w:p>
                  <w:pPr>
                    <w:widowControl/>
                    <w:jc w:val="left"/>
                    <w:rPr>
                      <w:rFonts w:ascii="宋体" w:hAnsi="宋体" w:cs="宋体"/>
                      <w:szCs w:val="21"/>
                    </w:rPr>
                  </w:pPr>
                  <w:r>
                    <w:rPr>
                      <w:rFonts w:hint="eastAsia" w:ascii="宋体" w:hAnsi="宋体" w:cs="宋体"/>
                      <w:szCs w:val="21"/>
                    </w:rPr>
                    <w:t>TFT 8-inch LCD、触摸屏、键盘、热插拔功能、模式选择开关（3种）、急停按钮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 xml:space="preserve">控制轴数 </w:t>
                  </w:r>
                </w:p>
              </w:tc>
              <w:tc>
                <w:tcPr>
                  <w:tcW w:w="4151" w:type="pct"/>
                  <w:gridSpan w:val="3"/>
                  <w:vAlign w:val="center"/>
                </w:tcPr>
                <w:p>
                  <w:pPr>
                    <w:widowControl/>
                    <w:jc w:val="left"/>
                    <w:rPr>
                      <w:rFonts w:ascii="宋体" w:hAnsi="宋体" w:cs="宋体"/>
                      <w:szCs w:val="21"/>
                    </w:rPr>
                  </w:pPr>
                  <w:r>
                    <w:rPr>
                      <w:rFonts w:hint="eastAsia" w:ascii="宋体" w:hAnsi="宋体" w:cs="宋体"/>
                      <w:szCs w:val="21"/>
                    </w:rPr>
                    <w:t>6轴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 xml:space="preserve">接 口 </w:t>
                  </w:r>
                </w:p>
              </w:tc>
              <w:tc>
                <w:tcPr>
                  <w:tcW w:w="4151" w:type="pct"/>
                  <w:gridSpan w:val="3"/>
                  <w:vAlign w:val="center"/>
                </w:tcPr>
                <w:p>
                  <w:pPr>
                    <w:widowControl/>
                    <w:jc w:val="left"/>
                    <w:rPr>
                      <w:rFonts w:ascii="宋体" w:hAnsi="宋体" w:cs="宋体"/>
                      <w:szCs w:val="21"/>
                    </w:rPr>
                  </w:pPr>
                  <w:r>
                    <w:rPr>
                      <w:rFonts w:hint="eastAsia" w:ascii="宋体" w:hAnsi="宋体" w:cs="宋体"/>
                      <w:szCs w:val="21"/>
                    </w:rPr>
                    <w:t>USB、以太网、数字IO（8个数字输入/8个数字输出（支持扩展））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通讯方式</w:t>
                  </w:r>
                </w:p>
              </w:tc>
              <w:tc>
                <w:tcPr>
                  <w:tcW w:w="4151" w:type="pct"/>
                  <w:gridSpan w:val="3"/>
                  <w:vAlign w:val="center"/>
                </w:tcPr>
                <w:p>
                  <w:pPr>
                    <w:widowControl/>
                    <w:jc w:val="left"/>
                    <w:rPr>
                      <w:rFonts w:ascii="宋体" w:hAnsi="宋体" w:cs="宋体"/>
                      <w:szCs w:val="21"/>
                    </w:rPr>
                  </w:pPr>
                  <w:r>
                    <w:rPr>
                      <w:rFonts w:hint="eastAsia" w:ascii="宋体" w:hAnsi="宋体" w:cs="宋体"/>
                      <w:szCs w:val="21"/>
                    </w:rPr>
                    <w:t>TCP/IP、Modbus-TCP、CANOPEN、ProfibusDP、ProfiNet、EtherCAT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运动方式</w:t>
                  </w:r>
                </w:p>
              </w:tc>
              <w:tc>
                <w:tcPr>
                  <w:tcW w:w="4151" w:type="pct"/>
                  <w:gridSpan w:val="3"/>
                  <w:vAlign w:val="center"/>
                </w:tcPr>
                <w:p>
                  <w:pPr>
                    <w:widowControl/>
                    <w:jc w:val="left"/>
                    <w:rPr>
                      <w:rFonts w:ascii="宋体" w:hAnsi="宋体" w:cs="宋体"/>
                      <w:szCs w:val="21"/>
                    </w:rPr>
                  </w:pPr>
                  <w:r>
                    <w:rPr>
                      <w:rFonts w:hint="eastAsia" w:ascii="宋体" w:hAnsi="宋体" w:cs="宋体"/>
                      <w:szCs w:val="21"/>
                    </w:rPr>
                    <w:t>点到点、直线、圆弧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坐标系</w:t>
                  </w:r>
                </w:p>
              </w:tc>
              <w:tc>
                <w:tcPr>
                  <w:tcW w:w="4151" w:type="pct"/>
                  <w:gridSpan w:val="3"/>
                  <w:vAlign w:val="center"/>
                </w:tcPr>
                <w:p>
                  <w:pPr>
                    <w:widowControl/>
                    <w:jc w:val="left"/>
                    <w:rPr>
                      <w:rFonts w:ascii="宋体" w:hAnsi="宋体" w:cs="宋体"/>
                      <w:szCs w:val="21"/>
                    </w:rPr>
                  </w:pPr>
                  <w:r>
                    <w:rPr>
                      <w:rFonts w:hint="eastAsia" w:ascii="宋体" w:hAnsi="宋体" w:cs="宋体"/>
                      <w:szCs w:val="21"/>
                    </w:rPr>
                    <w:t>关节坐标系、机器人坐标系、用户坐标系、工具坐标系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异常检测</w:t>
                  </w:r>
                </w:p>
              </w:tc>
              <w:tc>
                <w:tcPr>
                  <w:tcW w:w="4151" w:type="pct"/>
                  <w:gridSpan w:val="3"/>
                  <w:vAlign w:val="center"/>
                </w:tcPr>
                <w:p>
                  <w:pPr>
                    <w:widowControl/>
                    <w:jc w:val="left"/>
                    <w:rPr>
                      <w:rFonts w:ascii="宋体" w:hAnsi="宋体" w:cs="宋体"/>
                      <w:szCs w:val="21"/>
                    </w:rPr>
                  </w:pPr>
                  <w:r>
                    <w:rPr>
                      <w:rFonts w:hint="eastAsia" w:ascii="宋体" w:hAnsi="宋体" w:cs="宋体"/>
                      <w:szCs w:val="21"/>
                    </w:rPr>
                    <w:t>急停异常、伺服异常、语句异常、各种弧焊异常等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 xml:space="preserve">软件包 </w:t>
                  </w:r>
                </w:p>
              </w:tc>
              <w:tc>
                <w:tcPr>
                  <w:tcW w:w="4151" w:type="pct"/>
                  <w:gridSpan w:val="3"/>
                  <w:vAlign w:val="center"/>
                </w:tcPr>
                <w:p>
                  <w:pPr>
                    <w:widowControl/>
                    <w:jc w:val="left"/>
                    <w:rPr>
                      <w:rFonts w:ascii="宋体" w:hAnsi="宋体" w:cs="宋体"/>
                      <w:szCs w:val="21"/>
                    </w:rPr>
                  </w:pPr>
                  <w:r>
                    <w:rPr>
                      <w:rFonts w:hint="eastAsia" w:ascii="宋体" w:hAnsi="宋体" w:cs="宋体"/>
                      <w:szCs w:val="21"/>
                    </w:rPr>
                    <w:t>弧焊专用包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链接电缆</w:t>
                  </w:r>
                </w:p>
              </w:tc>
              <w:tc>
                <w:tcPr>
                  <w:tcW w:w="4151" w:type="pct"/>
                  <w:gridSpan w:val="3"/>
                  <w:vAlign w:val="center"/>
                </w:tcPr>
                <w:p>
                  <w:pPr>
                    <w:widowControl/>
                    <w:jc w:val="left"/>
                    <w:rPr>
                      <w:rFonts w:ascii="宋体" w:hAnsi="宋体" w:cs="宋体"/>
                      <w:szCs w:val="21"/>
                    </w:rPr>
                  </w:pPr>
                  <w:r>
                    <w:rPr>
                      <w:rFonts w:hint="eastAsia" w:ascii="宋体" w:hAnsi="宋体" w:cs="宋体"/>
                      <w:szCs w:val="21"/>
                    </w:rPr>
                    <w:t>标配长度8m，支持常规定制12m、16m、20m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 xml:space="preserve">供电电源 </w:t>
                  </w:r>
                </w:p>
              </w:tc>
              <w:tc>
                <w:tcPr>
                  <w:tcW w:w="4151" w:type="pct"/>
                  <w:gridSpan w:val="3"/>
                  <w:vAlign w:val="center"/>
                </w:tcPr>
                <w:p>
                  <w:pPr>
                    <w:widowControl/>
                    <w:jc w:val="left"/>
                    <w:rPr>
                      <w:rFonts w:ascii="宋体" w:hAnsi="宋体" w:cs="宋体"/>
                      <w:szCs w:val="21"/>
                    </w:rPr>
                  </w:pPr>
                  <w:r>
                    <w:rPr>
                      <w:rFonts w:hint="eastAsia" w:ascii="宋体" w:hAnsi="宋体" w:cs="宋体"/>
                      <w:szCs w:val="21"/>
                    </w:rPr>
                    <w:t>3×380V±10%，50/60Hz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电柜防护等级</w:t>
                  </w:r>
                </w:p>
              </w:tc>
              <w:tc>
                <w:tcPr>
                  <w:tcW w:w="4151" w:type="pct"/>
                  <w:gridSpan w:val="3"/>
                  <w:vAlign w:val="center"/>
                </w:tcPr>
                <w:p>
                  <w:pPr>
                    <w:widowControl/>
                    <w:jc w:val="left"/>
                    <w:rPr>
                      <w:rFonts w:ascii="宋体" w:hAnsi="宋体" w:cs="宋体"/>
                      <w:szCs w:val="21"/>
                    </w:rPr>
                  </w:pPr>
                  <w:r>
                    <w:rPr>
                      <w:rFonts w:hint="eastAsia" w:ascii="宋体" w:hAnsi="宋体" w:cs="宋体"/>
                      <w:szCs w:val="21"/>
                    </w:rPr>
                    <w:t xml:space="preserve"> IP54，散热单元 IP30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环境温度</w:t>
                  </w:r>
                </w:p>
              </w:tc>
              <w:tc>
                <w:tcPr>
                  <w:tcW w:w="4151" w:type="pct"/>
                  <w:gridSpan w:val="3"/>
                  <w:vAlign w:val="center"/>
                </w:tcPr>
                <w:p>
                  <w:pPr>
                    <w:widowControl/>
                    <w:jc w:val="left"/>
                    <w:rPr>
                      <w:rFonts w:ascii="宋体" w:hAnsi="宋体" w:cs="宋体"/>
                      <w:szCs w:val="21"/>
                    </w:rPr>
                  </w:pPr>
                  <w:r>
                    <w:rPr>
                      <w:rFonts w:hint="eastAsia" w:ascii="宋体" w:hAnsi="宋体" w:cs="宋体"/>
                      <w:szCs w:val="21"/>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848" w:type="pct"/>
                  <w:vAlign w:val="center"/>
                </w:tcPr>
                <w:p>
                  <w:pPr>
                    <w:widowControl/>
                    <w:jc w:val="left"/>
                    <w:rPr>
                      <w:rFonts w:ascii="宋体" w:hAnsi="宋体" w:cs="宋体"/>
                      <w:szCs w:val="21"/>
                    </w:rPr>
                  </w:pPr>
                  <w:r>
                    <w:rPr>
                      <w:rFonts w:hint="eastAsia" w:ascii="宋体" w:hAnsi="宋体" w:cs="宋体"/>
                      <w:szCs w:val="21"/>
                    </w:rPr>
                    <w:t>重量</w:t>
                  </w:r>
                </w:p>
              </w:tc>
              <w:tc>
                <w:tcPr>
                  <w:tcW w:w="4151" w:type="pct"/>
                  <w:gridSpan w:val="3"/>
                  <w:vAlign w:val="center"/>
                </w:tcPr>
                <w:p>
                  <w:pPr>
                    <w:widowControl/>
                    <w:jc w:val="left"/>
                    <w:rPr>
                      <w:rFonts w:ascii="宋体" w:hAnsi="宋体" w:cs="宋体"/>
                      <w:szCs w:val="21"/>
                    </w:rPr>
                  </w:pPr>
                  <w:r>
                    <w:rPr>
                      <w:rFonts w:hint="eastAsia" w:ascii="宋体" w:hAnsi="宋体" w:cs="宋体"/>
                      <w:szCs w:val="21"/>
                    </w:rPr>
                    <w:t>125kg</w:t>
                  </w:r>
                </w:p>
              </w:tc>
            </w:tr>
          </w:tbl>
          <w:p>
            <w:pPr>
              <w:pStyle w:val="73"/>
              <w:ind w:firstLine="0" w:firstLineChars="0"/>
              <w:rPr>
                <w:rFonts w:ascii="宋体" w:hAnsi="宋体" w:cs="宋体"/>
                <w:b/>
                <w:bCs/>
                <w:sz w:val="21"/>
                <w:szCs w:val="21"/>
              </w:rPr>
            </w:pPr>
            <w:r>
              <w:rPr>
                <w:rFonts w:hint="eastAsia" w:ascii="宋体" w:hAnsi="宋体" w:cs="宋体"/>
                <w:b/>
                <w:bCs/>
                <w:sz w:val="21"/>
                <w:szCs w:val="21"/>
              </w:rPr>
              <w:t>5.3示教器</w:t>
            </w:r>
          </w:p>
          <w:tbl>
            <w:tblPr>
              <w:tblStyle w:val="32"/>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1241"/>
              <w:gridCol w:w="451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 w:type="pct"/>
                  <w:tcBorders>
                    <w:left w:val="single" w:color="auto" w:sz="4" w:space="0"/>
                  </w:tcBorders>
                </w:tcPr>
                <w:p>
                  <w:pPr>
                    <w:jc w:val="center"/>
                    <w:rPr>
                      <w:rFonts w:ascii="宋体" w:hAnsi="宋体" w:cs="宋体"/>
                      <w:b/>
                      <w:bCs/>
                      <w:color w:val="000000"/>
                      <w:szCs w:val="21"/>
                    </w:rPr>
                  </w:pPr>
                  <w:r>
                    <w:rPr>
                      <w:rFonts w:hint="eastAsia" w:ascii="宋体" w:hAnsi="宋体" w:cs="宋体"/>
                      <w:b/>
                      <w:bCs/>
                      <w:color w:val="000000"/>
                      <w:szCs w:val="21"/>
                    </w:rPr>
                    <w:t>序号</w:t>
                  </w:r>
                </w:p>
              </w:tc>
              <w:tc>
                <w:tcPr>
                  <w:tcW w:w="990" w:type="pct"/>
                </w:tcPr>
                <w:p>
                  <w:pPr>
                    <w:jc w:val="center"/>
                    <w:rPr>
                      <w:rFonts w:ascii="宋体" w:hAnsi="宋体" w:cs="宋体"/>
                      <w:b/>
                      <w:bCs/>
                      <w:color w:val="000000"/>
                      <w:szCs w:val="21"/>
                    </w:rPr>
                  </w:pPr>
                  <w:r>
                    <w:rPr>
                      <w:rFonts w:hint="eastAsia" w:ascii="宋体" w:hAnsi="宋体" w:cs="宋体"/>
                      <w:b/>
                      <w:bCs/>
                      <w:color w:val="000000"/>
                      <w:szCs w:val="21"/>
                    </w:rPr>
                    <w:t>项目</w:t>
                  </w:r>
                </w:p>
              </w:tc>
              <w:tc>
                <w:tcPr>
                  <w:tcW w:w="3597" w:type="pct"/>
                  <w:tcBorders>
                    <w:right w:val="single" w:color="auto" w:sz="4" w:space="0"/>
                  </w:tcBorders>
                </w:tcPr>
                <w:p>
                  <w:pPr>
                    <w:jc w:val="center"/>
                    <w:rPr>
                      <w:rFonts w:ascii="宋体" w:hAnsi="宋体" w:cs="宋体"/>
                      <w:b/>
                      <w:bCs/>
                      <w:color w:val="000000"/>
                      <w:szCs w:val="21"/>
                    </w:rPr>
                  </w:pPr>
                  <w:r>
                    <w:rPr>
                      <w:rFonts w:hint="eastAsia" w:ascii="宋体" w:hAnsi="宋体" w:cs="宋体"/>
                      <w:b/>
                      <w:bCs/>
                      <w:color w:val="000000"/>
                      <w:szCs w:val="21"/>
                    </w:rPr>
                    <w:t>技术参数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 w:type="pct"/>
                  <w:tcBorders>
                    <w:lef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p>
              </w:tc>
              <w:tc>
                <w:tcPr>
                  <w:tcW w:w="990" w:type="pct"/>
                  <w:vAlign w:val="center"/>
                </w:tcPr>
                <w:p>
                  <w:pPr>
                    <w:rPr>
                      <w:rFonts w:ascii="宋体" w:hAnsi="宋体" w:cs="宋体"/>
                      <w:color w:val="000000"/>
                      <w:szCs w:val="21"/>
                    </w:rPr>
                  </w:pPr>
                  <w:r>
                    <w:rPr>
                      <w:rFonts w:hint="eastAsia" w:ascii="宋体" w:hAnsi="宋体" w:cs="宋体"/>
                      <w:color w:val="000000"/>
                      <w:szCs w:val="21"/>
                    </w:rPr>
                    <w:t>显示器尺寸</w:t>
                  </w:r>
                </w:p>
              </w:tc>
              <w:tc>
                <w:tcPr>
                  <w:tcW w:w="3597" w:type="pct"/>
                  <w:tcBorders>
                    <w:right w:val="single" w:color="auto" w:sz="4" w:space="0"/>
                  </w:tcBorders>
                </w:tcPr>
                <w:p>
                  <w:pPr>
                    <w:rPr>
                      <w:rFonts w:ascii="宋体" w:hAnsi="宋体" w:cs="宋体"/>
                      <w:color w:val="000000"/>
                      <w:szCs w:val="21"/>
                    </w:rPr>
                  </w:pPr>
                  <w:r>
                    <w:rPr>
                      <w:rFonts w:hint="eastAsia" w:ascii="宋体" w:hAnsi="宋体" w:cs="宋体"/>
                      <w:color w:val="000000"/>
                      <w:szCs w:val="21"/>
                    </w:rPr>
                    <w:t>TFT 8-inch LCD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 w:type="pct"/>
                  <w:tcBorders>
                    <w:lef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2</w:t>
                  </w:r>
                </w:p>
              </w:tc>
              <w:tc>
                <w:tcPr>
                  <w:tcW w:w="990" w:type="pct"/>
                  <w:vAlign w:val="center"/>
                </w:tcPr>
                <w:p>
                  <w:pPr>
                    <w:rPr>
                      <w:rFonts w:ascii="宋体" w:hAnsi="宋体" w:cs="宋体"/>
                      <w:color w:val="000000"/>
                      <w:szCs w:val="21"/>
                    </w:rPr>
                  </w:pPr>
                  <w:r>
                    <w:rPr>
                      <w:rFonts w:hint="eastAsia" w:ascii="宋体" w:hAnsi="宋体" w:cs="宋体"/>
                      <w:color w:val="000000"/>
                      <w:szCs w:val="21"/>
                    </w:rPr>
                    <w:t>显示器分辨率</w:t>
                  </w:r>
                </w:p>
              </w:tc>
              <w:tc>
                <w:tcPr>
                  <w:tcW w:w="3597" w:type="pct"/>
                  <w:tcBorders>
                    <w:right w:val="single" w:color="auto" w:sz="4" w:space="0"/>
                  </w:tcBorders>
                </w:tcPr>
                <w:p>
                  <w:pPr>
                    <w:rPr>
                      <w:rFonts w:ascii="宋体" w:hAnsi="宋体" w:cs="宋体"/>
                      <w:color w:val="000000"/>
                      <w:szCs w:val="21"/>
                    </w:rPr>
                  </w:pPr>
                  <w:r>
                    <w:rPr>
                      <w:rFonts w:hint="eastAsia" w:ascii="宋体" w:hAnsi="宋体" w:cs="宋体"/>
                      <w:szCs w:val="21"/>
                    </w:rPr>
                    <w:t>1024*768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 w:type="pct"/>
                  <w:tcBorders>
                    <w:lef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3</w:t>
                  </w:r>
                </w:p>
              </w:tc>
              <w:tc>
                <w:tcPr>
                  <w:tcW w:w="990" w:type="pct"/>
                  <w:vAlign w:val="center"/>
                </w:tcPr>
                <w:p>
                  <w:pPr>
                    <w:rPr>
                      <w:rFonts w:ascii="宋体" w:hAnsi="宋体" w:cs="宋体"/>
                      <w:color w:val="000000"/>
                      <w:szCs w:val="21"/>
                    </w:rPr>
                  </w:pPr>
                  <w:r>
                    <w:rPr>
                      <w:rFonts w:hint="eastAsia" w:ascii="宋体" w:hAnsi="宋体" w:cs="宋体"/>
                      <w:color w:val="000000"/>
                      <w:szCs w:val="21"/>
                    </w:rPr>
                    <w:t>是否触摸</w:t>
                  </w:r>
                </w:p>
              </w:tc>
              <w:tc>
                <w:tcPr>
                  <w:tcW w:w="3597" w:type="pct"/>
                  <w:tcBorders>
                    <w:right w:val="single" w:color="auto" w:sz="4" w:space="0"/>
                  </w:tcBorders>
                </w:tcPr>
                <w:p>
                  <w:pPr>
                    <w:rPr>
                      <w:rFonts w:ascii="宋体" w:hAnsi="宋体" w:cs="宋体"/>
                      <w:color w:val="000000"/>
                      <w:szCs w:val="21"/>
                    </w:rPr>
                  </w:pPr>
                  <w:r>
                    <w:rPr>
                      <w:rFonts w:hint="eastAsia" w:ascii="宋体" w:hAnsi="宋体" w:cs="宋体"/>
                      <w:color w:val="000000"/>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 w:type="pct"/>
                  <w:tcBorders>
                    <w:lef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4</w:t>
                  </w:r>
                </w:p>
              </w:tc>
              <w:tc>
                <w:tcPr>
                  <w:tcW w:w="990" w:type="pct"/>
                  <w:vAlign w:val="center"/>
                </w:tcPr>
                <w:p>
                  <w:pPr>
                    <w:rPr>
                      <w:rFonts w:ascii="宋体" w:hAnsi="宋体" w:cs="宋体"/>
                      <w:color w:val="000000"/>
                      <w:szCs w:val="21"/>
                    </w:rPr>
                  </w:pPr>
                  <w:r>
                    <w:rPr>
                      <w:rFonts w:hint="eastAsia" w:ascii="宋体" w:hAnsi="宋体" w:cs="宋体"/>
                      <w:color w:val="000000"/>
                      <w:szCs w:val="21"/>
                    </w:rPr>
                    <w:t>功能按键</w:t>
                  </w:r>
                </w:p>
              </w:tc>
              <w:tc>
                <w:tcPr>
                  <w:tcW w:w="3597" w:type="pct"/>
                  <w:tcBorders>
                    <w:right w:val="single" w:color="auto" w:sz="4" w:space="0"/>
                  </w:tcBorders>
                </w:tcPr>
                <w:p>
                  <w:pPr>
                    <w:rPr>
                      <w:rFonts w:ascii="宋体" w:hAnsi="宋体" w:cs="宋体"/>
                      <w:color w:val="000000"/>
                      <w:szCs w:val="21"/>
                    </w:rPr>
                  </w:pPr>
                  <w:r>
                    <w:rPr>
                      <w:rFonts w:hint="eastAsia" w:ascii="宋体" w:hAnsi="宋体" w:cs="宋体"/>
                      <w:color w:val="000000"/>
                      <w:szCs w:val="21"/>
                    </w:rPr>
                    <w:t>急停按钮、模式选择钥匙开关（手动慢速、手动全速、自动），28个薄膜按键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 w:type="pct"/>
                  <w:tcBorders>
                    <w:lef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5</w:t>
                  </w:r>
                </w:p>
              </w:tc>
              <w:tc>
                <w:tcPr>
                  <w:tcW w:w="990" w:type="pct"/>
                  <w:vAlign w:val="center"/>
                </w:tcPr>
                <w:p>
                  <w:pPr>
                    <w:rPr>
                      <w:rFonts w:ascii="宋体" w:hAnsi="宋体" w:cs="宋体"/>
                      <w:color w:val="000000"/>
                      <w:szCs w:val="21"/>
                    </w:rPr>
                  </w:pPr>
                  <w:r>
                    <w:rPr>
                      <w:rFonts w:hint="eastAsia" w:ascii="宋体" w:hAnsi="宋体" w:cs="宋体"/>
                      <w:szCs w:val="21"/>
                    </w:rPr>
                    <w:t>模式旋钮</w:t>
                  </w:r>
                </w:p>
              </w:tc>
              <w:tc>
                <w:tcPr>
                  <w:tcW w:w="3597" w:type="pct"/>
                  <w:tcBorders>
                    <w:right w:val="single" w:color="auto" w:sz="4" w:space="0"/>
                  </w:tcBorders>
                </w:tcPr>
                <w:p>
                  <w:pPr>
                    <w:rPr>
                      <w:rFonts w:ascii="宋体" w:hAnsi="宋体" w:cs="宋体"/>
                      <w:color w:val="000000"/>
                      <w:szCs w:val="21"/>
                    </w:rPr>
                  </w:pPr>
                  <w:r>
                    <w:rPr>
                      <w:rFonts w:hint="eastAsia" w:ascii="宋体" w:hAnsi="宋体" w:cs="宋体"/>
                      <w:szCs w:val="21"/>
                    </w:rPr>
                    <w:t>三段式模式旋钮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 w:type="pct"/>
                  <w:tcBorders>
                    <w:lef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6</w:t>
                  </w:r>
                </w:p>
              </w:tc>
              <w:tc>
                <w:tcPr>
                  <w:tcW w:w="990" w:type="pct"/>
                  <w:vAlign w:val="center"/>
                </w:tcPr>
                <w:p>
                  <w:pPr>
                    <w:rPr>
                      <w:rFonts w:ascii="宋体" w:hAnsi="宋体" w:cs="宋体"/>
                      <w:color w:val="000000"/>
                      <w:szCs w:val="21"/>
                    </w:rPr>
                  </w:pPr>
                  <w:r>
                    <w:rPr>
                      <w:rFonts w:hint="eastAsia" w:ascii="宋体" w:hAnsi="宋体" w:cs="宋体"/>
                      <w:color w:val="000000"/>
                      <w:szCs w:val="21"/>
                    </w:rPr>
                    <w:t>外接USB</w:t>
                  </w:r>
                </w:p>
              </w:tc>
              <w:tc>
                <w:tcPr>
                  <w:tcW w:w="3597" w:type="pct"/>
                  <w:tcBorders>
                    <w:right w:val="single" w:color="auto" w:sz="4" w:space="0"/>
                  </w:tcBorders>
                </w:tcPr>
                <w:p>
                  <w:pPr>
                    <w:rPr>
                      <w:rFonts w:ascii="宋体" w:hAnsi="宋体" w:cs="宋体"/>
                      <w:color w:val="000000"/>
                      <w:szCs w:val="21"/>
                    </w:rPr>
                  </w:pPr>
                  <w:r>
                    <w:rPr>
                      <w:rFonts w:hint="eastAsia" w:ascii="宋体" w:hAnsi="宋体" w:cs="宋体"/>
                      <w:color w:val="000000"/>
                      <w:szCs w:val="21"/>
                    </w:rPr>
                    <w:t>一个USB 2.0 接口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 w:type="pct"/>
                  <w:tcBorders>
                    <w:lef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7</w:t>
                  </w:r>
                </w:p>
              </w:tc>
              <w:tc>
                <w:tcPr>
                  <w:tcW w:w="990" w:type="pct"/>
                  <w:vAlign w:val="center"/>
                </w:tcPr>
                <w:p>
                  <w:pPr>
                    <w:rPr>
                      <w:rFonts w:ascii="宋体" w:hAnsi="宋体" w:cs="宋体"/>
                      <w:color w:val="000000"/>
                      <w:szCs w:val="21"/>
                    </w:rPr>
                  </w:pPr>
                  <w:r>
                    <w:rPr>
                      <w:rFonts w:hint="eastAsia" w:ascii="宋体" w:hAnsi="宋体" w:cs="宋体"/>
                      <w:color w:val="000000"/>
                      <w:szCs w:val="21"/>
                    </w:rPr>
                    <w:t>电源</w:t>
                  </w:r>
                </w:p>
              </w:tc>
              <w:tc>
                <w:tcPr>
                  <w:tcW w:w="3597" w:type="pct"/>
                  <w:tcBorders>
                    <w:right w:val="single" w:color="auto" w:sz="4" w:space="0"/>
                  </w:tcBorders>
                </w:tcPr>
                <w:p>
                  <w:pPr>
                    <w:rPr>
                      <w:rFonts w:ascii="宋体" w:hAnsi="宋体" w:cs="宋体"/>
                      <w:color w:val="000000"/>
                      <w:szCs w:val="21"/>
                    </w:rPr>
                  </w:pPr>
                  <w:r>
                    <w:rPr>
                      <w:rFonts w:hint="eastAsia" w:ascii="宋体" w:hAnsi="宋体" w:cs="宋体"/>
                      <w:color w:val="000000"/>
                      <w:szCs w:val="21"/>
                    </w:rPr>
                    <w:t>DV24V</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 w:type="pct"/>
                  <w:tcBorders>
                    <w:lef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8</w:t>
                  </w:r>
                </w:p>
              </w:tc>
              <w:tc>
                <w:tcPr>
                  <w:tcW w:w="990" w:type="pct"/>
                  <w:vAlign w:val="center"/>
                </w:tcPr>
                <w:p>
                  <w:pPr>
                    <w:rPr>
                      <w:rFonts w:ascii="宋体" w:hAnsi="宋体" w:cs="宋体"/>
                      <w:color w:val="000000"/>
                      <w:szCs w:val="21"/>
                    </w:rPr>
                  </w:pPr>
                  <w:r>
                    <w:rPr>
                      <w:rFonts w:hint="eastAsia" w:ascii="宋体" w:hAnsi="宋体" w:cs="宋体"/>
                      <w:color w:val="000000"/>
                      <w:szCs w:val="21"/>
                    </w:rPr>
                    <w:t>防尘防水等级</w:t>
                  </w:r>
                </w:p>
              </w:tc>
              <w:tc>
                <w:tcPr>
                  <w:tcW w:w="3597" w:type="pct"/>
                  <w:tcBorders>
                    <w:right w:val="single" w:color="auto" w:sz="4" w:space="0"/>
                  </w:tcBorders>
                </w:tcPr>
                <w:p>
                  <w:pPr>
                    <w:rPr>
                      <w:rFonts w:ascii="宋体" w:hAnsi="宋体" w:cs="宋体"/>
                      <w:color w:val="000000"/>
                      <w:szCs w:val="21"/>
                    </w:rPr>
                  </w:pPr>
                  <w:r>
                    <w:rPr>
                      <w:rFonts w:hint="eastAsia" w:ascii="宋体" w:hAnsi="宋体" w:cs="宋体"/>
                      <w:color w:val="000000"/>
                      <w:szCs w:val="21"/>
                    </w:rPr>
                    <w:t>IP65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1" w:type="pct"/>
                  <w:tcBorders>
                    <w:lef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9</w:t>
                  </w:r>
                </w:p>
              </w:tc>
              <w:tc>
                <w:tcPr>
                  <w:tcW w:w="990" w:type="pct"/>
                  <w:vAlign w:val="center"/>
                </w:tcPr>
                <w:p>
                  <w:pPr>
                    <w:rPr>
                      <w:rFonts w:ascii="宋体" w:hAnsi="宋体" w:cs="宋体"/>
                      <w:color w:val="000000"/>
                      <w:szCs w:val="21"/>
                    </w:rPr>
                  </w:pPr>
                  <w:r>
                    <w:rPr>
                      <w:rFonts w:hint="eastAsia" w:ascii="宋体" w:hAnsi="宋体" w:cs="宋体"/>
                      <w:color w:val="000000"/>
                      <w:szCs w:val="21"/>
                    </w:rPr>
                    <w:t>工作环境</w:t>
                  </w:r>
                </w:p>
              </w:tc>
              <w:tc>
                <w:tcPr>
                  <w:tcW w:w="3597" w:type="pct"/>
                  <w:tcBorders>
                    <w:right w:val="single" w:color="auto" w:sz="4" w:space="0"/>
                  </w:tcBorders>
                </w:tcPr>
                <w:p>
                  <w:pPr>
                    <w:rPr>
                      <w:rFonts w:ascii="宋体" w:hAnsi="宋体" w:cs="宋体"/>
                      <w:color w:val="000000"/>
                      <w:szCs w:val="21"/>
                    </w:rPr>
                  </w:pPr>
                  <w:r>
                    <w:rPr>
                      <w:rFonts w:hint="eastAsia" w:ascii="宋体" w:hAnsi="宋体" w:cs="宋体"/>
                      <w:color w:val="000000"/>
                      <w:szCs w:val="21"/>
                    </w:rPr>
                    <w:t>环境温度  -20°C~70°C</w:t>
                  </w:r>
                </w:p>
              </w:tc>
            </w:tr>
          </w:tbl>
          <w:p>
            <w:pPr>
              <w:pStyle w:val="73"/>
              <w:spacing w:line="360" w:lineRule="auto"/>
              <w:ind w:firstLine="0" w:firstLineChars="0"/>
              <w:rPr>
                <w:rFonts w:ascii="宋体" w:hAnsi="宋体" w:cs="宋体"/>
                <w:b/>
                <w:bCs/>
                <w:color w:val="000000" w:themeColor="text1"/>
                <w:sz w:val="21"/>
                <w:szCs w:val="21"/>
              </w:rPr>
            </w:pPr>
            <w:r>
              <w:rPr>
                <w:rFonts w:hint="eastAsia" w:ascii="宋体" w:hAnsi="宋体" w:cs="宋体"/>
                <w:b/>
                <w:bCs/>
                <w:color w:val="000000" w:themeColor="text1"/>
                <w:sz w:val="21"/>
                <w:szCs w:val="21"/>
              </w:rPr>
              <w:t>5.4机器人焊接电源</w:t>
            </w:r>
          </w:p>
          <w:p>
            <w:pPr>
              <w:spacing w:line="360" w:lineRule="auto"/>
              <w:rPr>
                <w:rFonts w:ascii="宋体" w:hAnsi="宋体" w:cs="宋体"/>
                <w:color w:val="000000" w:themeColor="text1"/>
                <w:szCs w:val="21"/>
              </w:rPr>
            </w:pPr>
            <w:r>
              <w:rPr>
                <w:rFonts w:hint="eastAsia" w:ascii="宋体" w:hAnsi="宋体" w:cs="宋体"/>
                <w:b/>
                <w:bCs/>
                <w:color w:val="000000" w:themeColor="text1"/>
                <w:szCs w:val="21"/>
              </w:rPr>
              <w:t>设备名称：</w:t>
            </w:r>
            <w:r>
              <w:rPr>
                <w:rFonts w:hint="eastAsia" w:ascii="宋体" w:hAnsi="宋体" w:cs="宋体"/>
                <w:color w:val="000000" w:themeColor="text1"/>
                <w:szCs w:val="21"/>
              </w:rPr>
              <w:t xml:space="preserve">全数字脉冲气保焊机  </w:t>
            </w:r>
          </w:p>
          <w:p>
            <w:pPr>
              <w:widowControl/>
              <w:spacing w:line="360" w:lineRule="auto"/>
              <w:ind w:firstLine="210" w:firstLineChars="100"/>
              <w:jc w:val="left"/>
              <w:rPr>
                <w:rFonts w:ascii="宋体" w:hAnsi="宋体" w:cs="宋体"/>
                <w:b/>
                <w:szCs w:val="21"/>
              </w:rPr>
            </w:pPr>
            <w:r>
              <w:rPr>
                <w:rFonts w:hint="eastAsia" w:ascii="宋体" w:hAnsi="宋体" w:cs="宋体"/>
                <w:b/>
                <w:szCs w:val="21"/>
              </w:rPr>
              <w:t xml:space="preserve">主要技术、性能： </w:t>
            </w:r>
          </w:p>
          <w:p>
            <w:pPr>
              <w:widowControl/>
              <w:jc w:val="left"/>
              <w:rPr>
                <w:rFonts w:ascii="宋体" w:hAnsi="宋体" w:cs="宋体"/>
                <w:szCs w:val="21"/>
              </w:rPr>
            </w:pPr>
            <w:r>
              <w:rPr>
                <w:rFonts w:hint="eastAsia" w:ascii="宋体" w:hAnsi="宋体" w:cs="宋体"/>
                <w:szCs w:val="21"/>
              </w:rPr>
              <w:t>1）全数字化DSP 微处理逆变技术；焊机有多组焊接专家程序，一元化的调节；</w:t>
            </w:r>
          </w:p>
          <w:p>
            <w:pPr>
              <w:rPr>
                <w:rFonts w:ascii="宋体" w:hAnsi="宋体" w:cs="宋体"/>
                <w:szCs w:val="21"/>
              </w:rPr>
            </w:pPr>
            <w:r>
              <w:rPr>
                <w:rFonts w:hint="eastAsia" w:ascii="宋体" w:hAnsi="宋体" w:cs="宋体"/>
                <w:szCs w:val="21"/>
              </w:rPr>
              <w:t>2）配置弧焊机器人数据联接端口，全位置焊接；</w:t>
            </w:r>
          </w:p>
          <w:p>
            <w:pPr>
              <w:rPr>
                <w:rFonts w:ascii="宋体" w:hAnsi="宋体" w:cs="宋体"/>
                <w:szCs w:val="21"/>
              </w:rPr>
            </w:pPr>
            <w:r>
              <w:rPr>
                <w:rFonts w:hint="eastAsia" w:ascii="宋体" w:hAnsi="宋体" w:cs="宋体"/>
                <w:szCs w:val="21"/>
              </w:rPr>
              <w:t>3）具有通道存储记忆功能；</w:t>
            </w:r>
          </w:p>
          <w:p>
            <w:pPr>
              <w:rPr>
                <w:rFonts w:ascii="宋体" w:hAnsi="宋体" w:cs="宋体"/>
                <w:szCs w:val="21"/>
              </w:rPr>
            </w:pPr>
            <w:r>
              <w:rPr>
                <w:rFonts w:hint="eastAsia" w:ascii="宋体" w:hAnsi="宋体" w:cs="宋体"/>
                <w:szCs w:val="21"/>
              </w:rPr>
              <w:t>4）可进行MIG/MAG 脉冲焊接；手工电弧焊接；直流TIG 焊（接触引弧）；碳弧气刨等多种功能；</w:t>
            </w:r>
          </w:p>
          <w:p>
            <w:pPr>
              <w:rPr>
                <w:rFonts w:ascii="宋体" w:hAnsi="宋体" w:cs="宋体"/>
                <w:szCs w:val="21"/>
              </w:rPr>
            </w:pPr>
            <w:r>
              <w:rPr>
                <w:rFonts w:hint="eastAsia" w:ascii="宋体" w:hAnsi="宋体" w:cs="宋体"/>
                <w:szCs w:val="21"/>
              </w:rPr>
              <w:t>5）送丝机采用带编码的送丝电机，四轮送丝，有点动送丝及2 步、4 步和带初期电流调节的收弧控制方式；</w:t>
            </w:r>
          </w:p>
          <w:p>
            <w:pPr>
              <w:rPr>
                <w:rFonts w:ascii="宋体" w:hAnsi="宋体" w:cs="宋体"/>
                <w:szCs w:val="21"/>
              </w:rPr>
            </w:pPr>
            <w:r>
              <w:rPr>
                <w:rFonts w:hint="eastAsia" w:ascii="宋体" w:hAnsi="宋体" w:cs="宋体"/>
                <w:szCs w:val="21"/>
              </w:rPr>
              <w:t>6）主机面板具有送丝速度、母材厚度、电流及电压数字液晶显示屏。具有焊接结束时焊接参数" 自动暂储" 功能。内存多组焊接专家系统。可焊结构钢、碳钢、不锈钢、双相钢、镍基合金、铝、铝合金等特殊材料，并可根据用户选择量身定制专家数据库；</w:t>
            </w:r>
          </w:p>
          <w:p>
            <w:pPr>
              <w:rPr>
                <w:rFonts w:ascii="宋体" w:hAnsi="宋体" w:cs="宋体"/>
                <w:szCs w:val="21"/>
              </w:rPr>
            </w:pPr>
            <w:r>
              <w:rPr>
                <w:rFonts w:hint="eastAsia" w:ascii="宋体" w:hAnsi="宋体" w:cs="宋体"/>
                <w:szCs w:val="21"/>
              </w:rPr>
              <w:t>7）具有温度报警保护功能及回路的电阻（R）和电感（L）的检测功能；</w:t>
            </w:r>
          </w:p>
          <w:p>
            <w:pPr>
              <w:rPr>
                <w:rFonts w:ascii="宋体" w:hAnsi="宋体" w:cs="宋体"/>
                <w:szCs w:val="21"/>
              </w:rPr>
            </w:pPr>
            <w:r>
              <w:rPr>
                <w:rFonts w:hint="eastAsia" w:ascii="宋体" w:hAnsi="宋体" w:cs="宋体"/>
                <w:szCs w:val="21"/>
              </w:rPr>
              <w:t>8）具有焊丝自动回烧消小球处理功能；</w:t>
            </w:r>
          </w:p>
          <w:p>
            <w:pPr>
              <w:rPr>
                <w:rFonts w:ascii="宋体" w:hAnsi="宋体" w:cs="宋体"/>
                <w:szCs w:val="21"/>
              </w:rPr>
            </w:pPr>
            <w:r>
              <w:rPr>
                <w:rFonts w:hint="eastAsia" w:ascii="宋体" w:hAnsi="宋体" w:cs="宋体"/>
                <w:szCs w:val="21"/>
              </w:rPr>
              <w:t>9）焊枪具有双循环水冷系统直接冷却至导电嘴座和喷嘴内，焊枪负载率为100%；</w:t>
            </w:r>
          </w:p>
          <w:p>
            <w:pPr>
              <w:rPr>
                <w:rFonts w:ascii="宋体" w:hAnsi="宋体" w:cs="宋体"/>
                <w:b/>
                <w:bCs/>
                <w:szCs w:val="21"/>
              </w:rPr>
            </w:pPr>
            <w:r>
              <w:rPr>
                <w:rFonts w:hint="eastAsia" w:ascii="宋体" w:hAnsi="宋体" w:cs="宋体"/>
                <w:szCs w:val="21"/>
              </w:rPr>
              <w:t>10）具有恒压、恒流、欠压、欠流、过压、过流保护功能；</w:t>
            </w:r>
          </w:p>
          <w:p>
            <w:pPr>
              <w:spacing w:line="360" w:lineRule="auto"/>
              <w:rPr>
                <w:rFonts w:ascii="宋体" w:hAnsi="宋体" w:cs="宋体"/>
                <w:b/>
                <w:bCs/>
                <w:szCs w:val="21"/>
              </w:rPr>
            </w:pPr>
            <w:r>
              <w:rPr>
                <w:rFonts w:hint="eastAsia" w:ascii="宋体" w:hAnsi="宋体" w:cs="宋体"/>
                <w:b/>
                <w:bCs/>
                <w:szCs w:val="21"/>
              </w:rPr>
              <w:t>技术参数：</w:t>
            </w:r>
          </w:p>
          <w:tbl>
            <w:tblPr>
              <w:tblStyle w:val="16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7"/>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输入电压</w:t>
                  </w:r>
                </w:p>
              </w:tc>
              <w:tc>
                <w:tcPr>
                  <w:tcW w:w="3339" w:type="pct"/>
                  <w:vAlign w:val="center"/>
                </w:tcPr>
                <w:p>
                  <w:pPr>
                    <w:jc w:val="center"/>
                    <w:rPr>
                      <w:rFonts w:ascii="宋体" w:hAnsi="宋体" w:cs="宋体"/>
                      <w:kern w:val="0"/>
                      <w:szCs w:val="21"/>
                    </w:rPr>
                  </w:pPr>
                  <w:r>
                    <w:rPr>
                      <w:rFonts w:hint="eastAsia" w:ascii="宋体" w:hAnsi="宋体" w:cs="宋体"/>
                      <w:kern w:val="0"/>
                      <w:szCs w:val="21"/>
                    </w:rPr>
                    <w:t>380V±15％ 50/60Hz 三相交流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额定输入电流</w:t>
                  </w:r>
                </w:p>
              </w:tc>
              <w:tc>
                <w:tcPr>
                  <w:tcW w:w="3339" w:type="pct"/>
                  <w:vAlign w:val="center"/>
                </w:tcPr>
                <w:p>
                  <w:pPr>
                    <w:jc w:val="center"/>
                    <w:rPr>
                      <w:rFonts w:ascii="宋体" w:hAnsi="宋体" w:cs="宋体"/>
                      <w:kern w:val="0"/>
                      <w:szCs w:val="21"/>
                    </w:rPr>
                  </w:pPr>
                  <w:r>
                    <w:rPr>
                      <w:rFonts w:hint="eastAsia" w:ascii="宋体" w:hAnsi="宋体" w:cs="宋体"/>
                      <w:kern w:val="0"/>
                      <w:szCs w:val="21"/>
                    </w:rPr>
                    <w:t>42.0A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额定输入功率</w:t>
                  </w:r>
                </w:p>
              </w:tc>
              <w:tc>
                <w:tcPr>
                  <w:tcW w:w="3339" w:type="pct"/>
                  <w:vAlign w:val="center"/>
                </w:tcPr>
                <w:p>
                  <w:pPr>
                    <w:jc w:val="center"/>
                    <w:rPr>
                      <w:rFonts w:ascii="宋体" w:hAnsi="宋体" w:cs="宋体"/>
                      <w:kern w:val="0"/>
                      <w:szCs w:val="21"/>
                    </w:rPr>
                  </w:pPr>
                  <w:r>
                    <w:rPr>
                      <w:rFonts w:hint="eastAsia" w:ascii="宋体" w:hAnsi="宋体" w:cs="宋体"/>
                      <w:kern w:val="0"/>
                      <w:szCs w:val="21"/>
                    </w:rPr>
                    <w:t>23.5kW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空载电压</w:t>
                  </w:r>
                </w:p>
              </w:tc>
              <w:tc>
                <w:tcPr>
                  <w:tcW w:w="3339" w:type="pct"/>
                  <w:vAlign w:val="center"/>
                </w:tcPr>
                <w:p>
                  <w:pPr>
                    <w:jc w:val="center"/>
                    <w:rPr>
                      <w:rFonts w:ascii="宋体" w:hAnsi="宋体" w:cs="宋体"/>
                      <w:kern w:val="0"/>
                      <w:szCs w:val="21"/>
                    </w:rPr>
                  </w:pPr>
                  <w:r>
                    <w:rPr>
                      <w:rFonts w:hint="eastAsia" w:ascii="宋体" w:hAnsi="宋体" w:cs="宋体"/>
                      <w:kern w:val="0"/>
                      <w:szCs w:val="21"/>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空载电流</w:t>
                  </w:r>
                </w:p>
              </w:tc>
              <w:tc>
                <w:tcPr>
                  <w:tcW w:w="3339" w:type="pct"/>
                  <w:vAlign w:val="center"/>
                </w:tcPr>
                <w:p>
                  <w:pPr>
                    <w:jc w:val="center"/>
                    <w:rPr>
                      <w:rFonts w:ascii="宋体" w:hAnsi="宋体" w:cs="宋体"/>
                      <w:kern w:val="0"/>
                      <w:szCs w:val="21"/>
                    </w:rPr>
                  </w:pPr>
                  <w:r>
                    <w:rPr>
                      <w:rFonts w:hint="eastAsia" w:ascii="宋体" w:hAnsi="宋体" w:cs="宋体"/>
                      <w:kern w:val="0"/>
                      <w:szCs w:val="21"/>
                    </w:rPr>
                    <w:t>0.7~0.9A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空载损耗</w:t>
                  </w:r>
                </w:p>
              </w:tc>
              <w:tc>
                <w:tcPr>
                  <w:tcW w:w="3339" w:type="pct"/>
                  <w:vAlign w:val="center"/>
                </w:tcPr>
                <w:p>
                  <w:pPr>
                    <w:jc w:val="center"/>
                    <w:rPr>
                      <w:rFonts w:ascii="宋体" w:hAnsi="宋体" w:cs="宋体"/>
                      <w:kern w:val="0"/>
                      <w:szCs w:val="21"/>
                    </w:rPr>
                  </w:pPr>
                  <w:r>
                    <w:rPr>
                      <w:rFonts w:hint="eastAsia" w:ascii="宋体" w:hAnsi="宋体" w:cs="宋体"/>
                      <w:kern w:val="0"/>
                      <w:szCs w:val="21"/>
                    </w:rPr>
                    <w:t>300W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电压调节范围</w:t>
                  </w:r>
                </w:p>
              </w:tc>
              <w:tc>
                <w:tcPr>
                  <w:tcW w:w="3339" w:type="pct"/>
                  <w:vAlign w:val="center"/>
                </w:tcPr>
                <w:p>
                  <w:pPr>
                    <w:jc w:val="center"/>
                    <w:rPr>
                      <w:rFonts w:ascii="宋体" w:hAnsi="宋体" w:cs="宋体"/>
                      <w:kern w:val="0"/>
                      <w:szCs w:val="21"/>
                    </w:rPr>
                  </w:pPr>
                  <w:r>
                    <w:rPr>
                      <w:rFonts w:hint="eastAsia" w:ascii="宋体" w:hAnsi="宋体" w:cs="宋体"/>
                      <w:kern w:val="0"/>
                      <w:szCs w:val="21"/>
                    </w:rPr>
                    <w:t>10~45V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电流输出范围</w:t>
                  </w:r>
                </w:p>
              </w:tc>
              <w:tc>
                <w:tcPr>
                  <w:tcW w:w="3339" w:type="pct"/>
                  <w:vAlign w:val="center"/>
                </w:tcPr>
                <w:p>
                  <w:pPr>
                    <w:jc w:val="center"/>
                    <w:rPr>
                      <w:rFonts w:ascii="宋体" w:hAnsi="宋体" w:cs="宋体"/>
                      <w:kern w:val="0"/>
                      <w:szCs w:val="21"/>
                    </w:rPr>
                  </w:pPr>
                  <w:r>
                    <w:rPr>
                      <w:rFonts w:hint="eastAsia" w:ascii="宋体" w:hAnsi="宋体" w:cs="宋体"/>
                      <w:kern w:val="0"/>
                      <w:szCs w:val="21"/>
                    </w:rPr>
                    <w:t>30~500A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手工焊接电流范围</w:t>
                  </w:r>
                </w:p>
              </w:tc>
              <w:tc>
                <w:tcPr>
                  <w:tcW w:w="3339" w:type="pct"/>
                  <w:vAlign w:val="center"/>
                </w:tcPr>
                <w:p>
                  <w:pPr>
                    <w:jc w:val="center"/>
                    <w:rPr>
                      <w:rFonts w:ascii="宋体" w:hAnsi="宋体" w:cs="宋体"/>
                      <w:kern w:val="0"/>
                      <w:szCs w:val="21"/>
                    </w:rPr>
                  </w:pPr>
                  <w:r>
                    <w:rPr>
                      <w:rFonts w:hint="eastAsia" w:ascii="宋体" w:hAnsi="宋体" w:cs="宋体"/>
                      <w:kern w:val="0"/>
                      <w:szCs w:val="21"/>
                    </w:rPr>
                    <w:t>30~500A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适应焊丝类型</w:t>
                  </w:r>
                </w:p>
              </w:tc>
              <w:tc>
                <w:tcPr>
                  <w:tcW w:w="3339" w:type="pct"/>
                  <w:vAlign w:val="center"/>
                </w:tcPr>
                <w:p>
                  <w:pPr>
                    <w:jc w:val="center"/>
                    <w:rPr>
                      <w:rFonts w:ascii="宋体" w:hAnsi="宋体" w:cs="宋体"/>
                      <w:kern w:val="0"/>
                      <w:szCs w:val="21"/>
                    </w:rPr>
                  </w:pPr>
                  <w:r>
                    <w:rPr>
                      <w:rFonts w:hint="eastAsia" w:ascii="宋体" w:hAnsi="宋体" w:cs="宋体"/>
                      <w:kern w:val="0"/>
                      <w:szCs w:val="21"/>
                    </w:rPr>
                    <w:t>实芯焊丝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适应焊丝直径</w:t>
                  </w:r>
                </w:p>
              </w:tc>
              <w:tc>
                <w:tcPr>
                  <w:tcW w:w="3339" w:type="pct"/>
                  <w:vAlign w:val="center"/>
                </w:tcPr>
                <w:p>
                  <w:pPr>
                    <w:jc w:val="center"/>
                    <w:rPr>
                      <w:rFonts w:ascii="宋体" w:hAnsi="宋体" w:cs="宋体"/>
                      <w:kern w:val="0"/>
                      <w:szCs w:val="21"/>
                    </w:rPr>
                  </w:pPr>
                  <w:r>
                    <w:rPr>
                      <w:rFonts w:hint="eastAsia" w:ascii="宋体" w:hAnsi="宋体" w:cs="宋体"/>
                      <w:kern w:val="0"/>
                      <w:szCs w:val="21"/>
                    </w:rPr>
                    <w:t>Φ1.0/Φ1.2/Φ1.6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适应焊丝材料</w:t>
                  </w:r>
                </w:p>
              </w:tc>
              <w:tc>
                <w:tcPr>
                  <w:tcW w:w="3339" w:type="pct"/>
                  <w:vAlign w:val="center"/>
                </w:tcPr>
                <w:p>
                  <w:pPr>
                    <w:jc w:val="center"/>
                    <w:rPr>
                      <w:rFonts w:ascii="宋体" w:hAnsi="宋体" w:cs="宋体"/>
                      <w:kern w:val="0"/>
                      <w:szCs w:val="21"/>
                    </w:rPr>
                  </w:pPr>
                  <w:r>
                    <w:rPr>
                      <w:rFonts w:hint="eastAsia" w:ascii="宋体" w:hAnsi="宋体" w:cs="宋体"/>
                      <w:kern w:val="0"/>
                      <w:szCs w:val="21"/>
                    </w:rPr>
                    <w:t>碳钢/ 不锈钢/ 铝镁合金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焊接方法</w:t>
                  </w:r>
                </w:p>
              </w:tc>
              <w:tc>
                <w:tcPr>
                  <w:tcW w:w="3339" w:type="pct"/>
                  <w:vAlign w:val="center"/>
                </w:tcPr>
                <w:p>
                  <w:pPr>
                    <w:jc w:val="center"/>
                    <w:rPr>
                      <w:rFonts w:ascii="宋体" w:hAnsi="宋体" w:cs="宋体"/>
                      <w:kern w:val="0"/>
                      <w:szCs w:val="21"/>
                    </w:rPr>
                  </w:pPr>
                  <w:r>
                    <w:rPr>
                      <w:rFonts w:hint="eastAsia" w:ascii="宋体" w:hAnsi="宋体" w:cs="宋体"/>
                      <w:kern w:val="0"/>
                      <w:szCs w:val="21"/>
                    </w:rPr>
                    <w:t>手工焊条电弧焊；脉冲MIG/MAG 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负载持续率（40℃）</w:t>
                  </w:r>
                </w:p>
              </w:tc>
              <w:tc>
                <w:tcPr>
                  <w:tcW w:w="3339" w:type="pct"/>
                  <w:vAlign w:val="center"/>
                </w:tcPr>
                <w:p>
                  <w:pPr>
                    <w:jc w:val="center"/>
                    <w:rPr>
                      <w:rFonts w:ascii="宋体" w:hAnsi="宋体" w:cs="宋体"/>
                      <w:kern w:val="0"/>
                      <w:szCs w:val="21"/>
                    </w:rPr>
                  </w:pPr>
                  <w:r>
                    <w:rPr>
                      <w:rFonts w:hint="eastAsia" w:ascii="宋体" w:hAnsi="宋体" w:cs="宋体"/>
                      <w:kern w:val="0"/>
                      <w:szCs w:val="21"/>
                    </w:rPr>
                    <w:t>60％（500A/39V）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效率</w:t>
                  </w:r>
                </w:p>
              </w:tc>
              <w:tc>
                <w:tcPr>
                  <w:tcW w:w="3339" w:type="pct"/>
                  <w:vAlign w:val="center"/>
                </w:tcPr>
                <w:p>
                  <w:pPr>
                    <w:jc w:val="center"/>
                    <w:rPr>
                      <w:rFonts w:ascii="宋体" w:hAnsi="宋体" w:cs="宋体"/>
                      <w:kern w:val="0"/>
                      <w:szCs w:val="21"/>
                    </w:rPr>
                  </w:pPr>
                  <w:r>
                    <w:rPr>
                      <w:rFonts w:hint="eastAsia" w:ascii="宋体" w:hAnsi="宋体" w:cs="宋体"/>
                      <w:kern w:val="0"/>
                      <w:szCs w:val="21"/>
                    </w:rPr>
                    <w:t>80%~85%（额定条件下）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功率因数</w:t>
                  </w:r>
                </w:p>
              </w:tc>
              <w:tc>
                <w:tcPr>
                  <w:tcW w:w="3339" w:type="pct"/>
                  <w:vAlign w:val="center"/>
                </w:tcPr>
                <w:p>
                  <w:pPr>
                    <w:jc w:val="center"/>
                    <w:rPr>
                      <w:rFonts w:ascii="宋体" w:hAnsi="宋体" w:cs="宋体"/>
                      <w:kern w:val="0"/>
                      <w:szCs w:val="21"/>
                    </w:rPr>
                  </w:pPr>
                  <w:r>
                    <w:rPr>
                      <w:rFonts w:hint="eastAsia" w:ascii="宋体" w:hAnsi="宋体" w:cs="宋体"/>
                      <w:kern w:val="0"/>
                      <w:szCs w:val="21"/>
                    </w:rPr>
                    <w:t>0.7~ 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外壳防护等级</w:t>
                  </w:r>
                </w:p>
              </w:tc>
              <w:tc>
                <w:tcPr>
                  <w:tcW w:w="3339" w:type="pct"/>
                  <w:vAlign w:val="center"/>
                </w:tcPr>
                <w:p>
                  <w:pPr>
                    <w:jc w:val="center"/>
                    <w:rPr>
                      <w:rFonts w:ascii="宋体" w:hAnsi="宋体" w:cs="宋体"/>
                      <w:kern w:val="0"/>
                      <w:szCs w:val="21"/>
                    </w:rPr>
                  </w:pPr>
                  <w:r>
                    <w:rPr>
                      <w:rFonts w:hint="eastAsia" w:ascii="宋体" w:hAnsi="宋体" w:cs="宋体"/>
                      <w:kern w:val="0"/>
                      <w:szCs w:val="21"/>
                    </w:rPr>
                    <w:t>IP21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绝缘等级</w:t>
                  </w:r>
                </w:p>
              </w:tc>
              <w:tc>
                <w:tcPr>
                  <w:tcW w:w="3339" w:type="pct"/>
                  <w:vAlign w:val="center"/>
                </w:tcPr>
                <w:p>
                  <w:pPr>
                    <w:jc w:val="center"/>
                    <w:rPr>
                      <w:rFonts w:ascii="宋体" w:hAnsi="宋体" w:cs="宋体"/>
                      <w:kern w:val="0"/>
                      <w:szCs w:val="21"/>
                    </w:rPr>
                  </w:pPr>
                  <w:r>
                    <w:rPr>
                      <w:rFonts w:hint="eastAsia" w:ascii="宋体" w:hAnsi="宋体" w:cs="宋体"/>
                      <w:kern w:val="0"/>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0" w:type="pct"/>
                  <w:vAlign w:val="center"/>
                </w:tcPr>
                <w:p>
                  <w:pPr>
                    <w:jc w:val="center"/>
                    <w:rPr>
                      <w:rFonts w:ascii="宋体" w:hAnsi="宋体" w:cs="宋体"/>
                      <w:kern w:val="0"/>
                      <w:szCs w:val="21"/>
                    </w:rPr>
                  </w:pPr>
                  <w:r>
                    <w:rPr>
                      <w:rFonts w:hint="eastAsia" w:ascii="宋体" w:hAnsi="宋体" w:cs="宋体"/>
                      <w:kern w:val="0"/>
                      <w:szCs w:val="21"/>
                    </w:rPr>
                    <w:t>冷却方式</w:t>
                  </w:r>
                </w:p>
              </w:tc>
              <w:tc>
                <w:tcPr>
                  <w:tcW w:w="3339" w:type="pct"/>
                  <w:vAlign w:val="center"/>
                </w:tcPr>
                <w:p>
                  <w:pPr>
                    <w:jc w:val="center"/>
                    <w:rPr>
                      <w:rFonts w:ascii="宋体" w:hAnsi="宋体" w:cs="宋体"/>
                      <w:kern w:val="0"/>
                      <w:szCs w:val="21"/>
                    </w:rPr>
                  </w:pPr>
                  <w:r>
                    <w:rPr>
                      <w:rFonts w:hint="eastAsia" w:ascii="宋体" w:hAnsi="宋体" w:cs="宋体"/>
                      <w:kern w:val="0"/>
                      <w:szCs w:val="21"/>
                    </w:rPr>
                    <w:t>温控风冷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pct"/>
                  <w:vAlign w:val="center"/>
                </w:tcPr>
                <w:p>
                  <w:pPr>
                    <w:jc w:val="center"/>
                    <w:rPr>
                      <w:rFonts w:ascii="宋体" w:hAnsi="宋体" w:cs="宋体"/>
                      <w:kern w:val="0"/>
                      <w:szCs w:val="21"/>
                    </w:rPr>
                  </w:pPr>
                  <w:r>
                    <w:rPr>
                      <w:rFonts w:hint="eastAsia" w:ascii="宋体" w:hAnsi="宋体" w:cs="宋体"/>
                      <w:kern w:val="0"/>
                      <w:szCs w:val="21"/>
                    </w:rPr>
                    <w:t>数据交换盒接口</w:t>
                  </w:r>
                </w:p>
              </w:tc>
              <w:tc>
                <w:tcPr>
                  <w:tcW w:w="3339" w:type="pct"/>
                  <w:vAlign w:val="center"/>
                </w:tcPr>
                <w:p>
                  <w:pPr>
                    <w:jc w:val="center"/>
                    <w:rPr>
                      <w:rFonts w:ascii="宋体" w:hAnsi="宋体" w:cs="宋体"/>
                      <w:kern w:val="0"/>
                      <w:szCs w:val="21"/>
                    </w:rPr>
                  </w:pPr>
                  <w:r>
                    <w:rPr>
                      <w:rFonts w:hint="eastAsia" w:ascii="宋体" w:hAnsi="宋体" w:cs="宋体"/>
                      <w:kern w:val="0"/>
                      <w:szCs w:val="21"/>
                    </w:rPr>
                    <w:t>MODBUS RTU、CAN BUS、数字I/O、模拟量</w:t>
                  </w:r>
                </w:p>
              </w:tc>
            </w:tr>
          </w:tbl>
          <w:p>
            <w:pPr>
              <w:autoSpaceDN w:val="0"/>
              <w:spacing w:line="360" w:lineRule="auto"/>
              <w:rPr>
                <w:rFonts w:ascii="宋体" w:hAnsi="宋体" w:cs="宋体"/>
                <w:b/>
                <w:bCs/>
                <w:szCs w:val="21"/>
              </w:rPr>
            </w:pPr>
            <w:r>
              <w:rPr>
                <w:rFonts w:hint="eastAsia" w:ascii="宋体" w:hAnsi="宋体" w:cs="宋体"/>
                <w:b/>
                <w:bCs/>
                <w:szCs w:val="21"/>
              </w:rPr>
              <w:t>5.5 机器人焊枪（水冷）含防碰撞传感装置：</w:t>
            </w:r>
          </w:p>
          <w:p>
            <w:pPr>
              <w:autoSpaceDN w:val="0"/>
              <w:spacing w:line="360" w:lineRule="auto"/>
              <w:ind w:left="630" w:leftChars="300"/>
              <w:rPr>
                <w:rFonts w:ascii="宋体" w:hAnsi="宋体" w:cs="宋体"/>
                <w:szCs w:val="21"/>
              </w:rPr>
            </w:pPr>
            <w:r>
              <w:rPr>
                <w:rFonts w:hint="eastAsia" w:ascii="宋体" w:hAnsi="宋体" w:cs="宋体"/>
                <w:szCs w:val="21"/>
              </w:rPr>
              <w:t>承载电流：500A</w:t>
            </w:r>
          </w:p>
          <w:p>
            <w:pPr>
              <w:autoSpaceDN w:val="0"/>
              <w:spacing w:line="360" w:lineRule="auto"/>
              <w:ind w:left="630" w:leftChars="300"/>
              <w:rPr>
                <w:rFonts w:ascii="宋体" w:hAnsi="宋体" w:cs="宋体"/>
                <w:szCs w:val="21"/>
              </w:rPr>
            </w:pPr>
            <w:r>
              <w:rPr>
                <w:rFonts w:hint="eastAsia" w:ascii="宋体" w:hAnsi="宋体" w:cs="宋体"/>
                <w:szCs w:val="21"/>
              </w:rPr>
              <w:t>冷却方式：液冷</w:t>
            </w:r>
          </w:p>
          <w:p>
            <w:pPr>
              <w:autoSpaceDN w:val="0"/>
              <w:spacing w:line="360" w:lineRule="auto"/>
              <w:ind w:left="630" w:leftChars="300"/>
              <w:rPr>
                <w:rFonts w:ascii="宋体" w:hAnsi="宋体" w:cs="宋体"/>
                <w:szCs w:val="21"/>
              </w:rPr>
            </w:pPr>
            <w:r>
              <w:rPr>
                <w:rFonts w:hint="eastAsia" w:ascii="宋体" w:hAnsi="宋体" w:cs="宋体"/>
                <w:szCs w:val="21"/>
              </w:rPr>
              <w:t>暂载率：100%</w:t>
            </w:r>
          </w:p>
          <w:p>
            <w:pPr>
              <w:autoSpaceDN w:val="0"/>
              <w:spacing w:line="360" w:lineRule="auto"/>
              <w:ind w:left="630" w:leftChars="300"/>
              <w:rPr>
                <w:rFonts w:ascii="宋体" w:hAnsi="宋体" w:cs="宋体"/>
                <w:szCs w:val="21"/>
              </w:rPr>
            </w:pPr>
            <w:r>
              <w:rPr>
                <w:rFonts w:hint="eastAsia" w:ascii="宋体" w:hAnsi="宋体" w:cs="宋体"/>
                <w:szCs w:val="21"/>
              </w:rPr>
              <w:t>焊丝直径：0.8-1.6</w:t>
            </w:r>
          </w:p>
          <w:p>
            <w:pPr>
              <w:autoSpaceDN w:val="0"/>
              <w:spacing w:line="360" w:lineRule="auto"/>
              <w:ind w:left="630" w:leftChars="300"/>
              <w:rPr>
                <w:rFonts w:ascii="宋体" w:hAnsi="宋体" w:cs="宋体"/>
                <w:szCs w:val="21"/>
              </w:rPr>
            </w:pPr>
            <w:r>
              <w:rPr>
                <w:rFonts w:hint="eastAsia" w:ascii="宋体" w:hAnsi="宋体" w:cs="宋体"/>
                <w:szCs w:val="21"/>
              </w:rPr>
              <w:t>枪颈角度：45°</w:t>
            </w:r>
          </w:p>
          <w:p>
            <w:pPr>
              <w:autoSpaceDN w:val="0"/>
              <w:spacing w:line="360" w:lineRule="auto"/>
              <w:ind w:left="630" w:leftChars="300"/>
              <w:rPr>
                <w:rFonts w:ascii="宋体" w:hAnsi="宋体" w:cs="宋体"/>
                <w:szCs w:val="21"/>
              </w:rPr>
            </w:pPr>
            <w:r>
              <w:rPr>
                <w:rFonts w:hint="eastAsia" w:ascii="宋体" w:hAnsi="宋体" w:cs="宋体"/>
                <w:szCs w:val="21"/>
              </w:rPr>
              <w:t>鹅颈长度：180mm-220mm</w:t>
            </w:r>
          </w:p>
          <w:p>
            <w:pPr>
              <w:autoSpaceDN w:val="0"/>
              <w:spacing w:line="360" w:lineRule="auto"/>
              <w:rPr>
                <w:rFonts w:ascii="宋体" w:hAnsi="宋体" w:cs="宋体"/>
                <w:b/>
                <w:bCs/>
                <w:szCs w:val="21"/>
              </w:rPr>
            </w:pPr>
            <w:r>
              <w:rPr>
                <w:rFonts w:hint="eastAsia" w:ascii="宋体" w:hAnsi="宋体" w:cs="宋体"/>
                <w:b/>
                <w:bCs/>
                <w:szCs w:val="21"/>
              </w:rPr>
              <w:t>5.6智能数据采集终端</w:t>
            </w:r>
          </w:p>
          <w:p>
            <w:pPr>
              <w:ind w:firstLine="420" w:firstLineChars="200"/>
              <w:rPr>
                <w:rFonts w:ascii="宋体" w:hAnsi="宋体" w:cs="宋体"/>
                <w:szCs w:val="21"/>
              </w:rPr>
            </w:pPr>
            <w:r>
              <w:rPr>
                <w:rFonts w:hint="eastAsia" w:ascii="宋体" w:hAnsi="宋体" w:cs="宋体"/>
                <w:szCs w:val="21"/>
              </w:rPr>
              <w:t>智能数据采集终端是物联网设备端的智能采集模块，定制采集需求的数据，通过无线 wifi 或 4G 网 络将数据传输服务器或云端服务器。对运行数据进行监控、记录及数据价值挖掘。终端集边缘运算及数据传输功能于一体，实现设备的采集上传、远程的设备管理和控制。机器人集成终端后可实现机器人及焊接数据的监控和记录功能，可在本地查看数据设备运行记录、通过 USB 导出记录文件。</w:t>
            </w:r>
          </w:p>
          <w:p>
            <w:pPr>
              <w:rPr>
                <w:rFonts w:ascii="宋体" w:hAnsi="宋体" w:cs="宋体"/>
                <w:szCs w:val="21"/>
              </w:rPr>
            </w:pPr>
            <w:r>
              <w:rPr>
                <w:rFonts w:hint="eastAsia" w:ascii="宋体" w:hAnsi="宋体" w:cs="宋体"/>
                <w:szCs w:val="21"/>
              </w:rPr>
              <w:t>1）系统： Android4.4 以上，存储空间 4G+512M</w:t>
            </w:r>
          </w:p>
          <w:p>
            <w:pPr>
              <w:rPr>
                <w:rFonts w:ascii="宋体" w:hAnsi="宋体" w:cs="宋体"/>
                <w:szCs w:val="21"/>
              </w:rPr>
            </w:pPr>
            <w:r>
              <w:rPr>
                <w:rFonts w:hint="eastAsia" w:ascii="宋体" w:hAnsi="宋体" w:cs="宋体"/>
                <w:szCs w:val="21"/>
              </w:rPr>
              <w:t>2）系统接口： Wifi、蓝牙、4G、WLAN、RS232</w:t>
            </w:r>
          </w:p>
          <w:p>
            <w:pPr>
              <w:rPr>
                <w:rFonts w:ascii="宋体" w:hAnsi="宋体" w:cs="宋体"/>
                <w:szCs w:val="21"/>
              </w:rPr>
            </w:pPr>
            <w:r>
              <w:rPr>
                <w:rFonts w:hint="eastAsia" w:ascii="宋体" w:hAnsi="宋体" w:cs="宋体"/>
                <w:szCs w:val="21"/>
              </w:rPr>
              <w:t>3）数据记录格式： txt、csv</w:t>
            </w:r>
          </w:p>
          <w:p>
            <w:pPr>
              <w:rPr>
                <w:rFonts w:ascii="宋体" w:hAnsi="宋体" w:cs="宋体"/>
                <w:szCs w:val="21"/>
              </w:rPr>
            </w:pPr>
            <w:r>
              <w:rPr>
                <w:rFonts w:hint="eastAsia" w:ascii="宋体" w:hAnsi="宋体" w:cs="宋体"/>
                <w:szCs w:val="21"/>
              </w:rPr>
              <w:t>4）数据本地存储空间： 2G</w:t>
            </w:r>
          </w:p>
          <w:p>
            <w:pPr>
              <w:rPr>
                <w:rFonts w:ascii="宋体" w:hAnsi="宋体" w:cs="宋体"/>
                <w:szCs w:val="21"/>
              </w:rPr>
            </w:pPr>
            <w:r>
              <w:rPr>
                <w:rFonts w:hint="eastAsia" w:ascii="宋体" w:hAnsi="宋体" w:cs="宋体"/>
                <w:szCs w:val="21"/>
              </w:rPr>
              <w:t>5）操作方式：电容触摸</w:t>
            </w:r>
          </w:p>
          <w:p>
            <w:pPr>
              <w:rPr>
                <w:rFonts w:ascii="宋体" w:hAnsi="宋体" w:cs="宋体"/>
                <w:szCs w:val="21"/>
              </w:rPr>
            </w:pPr>
            <w:r>
              <w:rPr>
                <w:rFonts w:hint="eastAsia" w:ascii="宋体" w:hAnsi="宋体" w:cs="宋体"/>
                <w:szCs w:val="21"/>
              </w:rPr>
              <w:t>6）本地显示器尺寸 10 寸</w:t>
            </w:r>
          </w:p>
          <w:p>
            <w:pPr>
              <w:rPr>
                <w:rFonts w:ascii="宋体" w:hAnsi="宋体" w:cs="宋体"/>
                <w:szCs w:val="21"/>
              </w:rPr>
            </w:pPr>
            <w:r>
              <w:rPr>
                <w:rFonts w:hint="eastAsia" w:ascii="宋体" w:hAnsi="宋体" w:cs="宋体"/>
                <w:szCs w:val="21"/>
              </w:rPr>
              <w:t>7）显示器分辨率：1024×600</w:t>
            </w:r>
          </w:p>
          <w:p>
            <w:pPr>
              <w:rPr>
                <w:rFonts w:ascii="宋体" w:hAnsi="宋体" w:cs="宋体"/>
                <w:szCs w:val="21"/>
              </w:rPr>
            </w:pPr>
            <w:r>
              <w:rPr>
                <w:rFonts w:hint="eastAsia" w:ascii="宋体" w:hAnsi="宋体" w:cs="宋体"/>
                <w:szCs w:val="21"/>
              </w:rPr>
              <w:t>8）模拟量输入4 路</w:t>
            </w:r>
          </w:p>
          <w:p>
            <w:pPr>
              <w:rPr>
                <w:rFonts w:ascii="宋体" w:hAnsi="宋体" w:cs="宋体"/>
                <w:szCs w:val="21"/>
              </w:rPr>
            </w:pPr>
            <w:r>
              <w:rPr>
                <w:rFonts w:hint="eastAsia" w:ascii="宋体" w:hAnsi="宋体" w:cs="宋体"/>
                <w:szCs w:val="21"/>
              </w:rPr>
              <w:t>9）开关量输入8 路</w:t>
            </w:r>
          </w:p>
          <w:p>
            <w:pPr>
              <w:rPr>
                <w:rFonts w:ascii="宋体" w:hAnsi="宋体" w:cs="宋体"/>
                <w:szCs w:val="21"/>
              </w:rPr>
            </w:pPr>
            <w:r>
              <w:rPr>
                <w:rFonts w:hint="eastAsia" w:ascii="宋体" w:hAnsi="宋体" w:cs="宋体"/>
                <w:szCs w:val="21"/>
              </w:rPr>
              <w:t xml:space="preserve">10）开关量输出16 </w:t>
            </w:r>
          </w:p>
          <w:p>
            <w:pPr>
              <w:rPr>
                <w:rFonts w:ascii="宋体" w:hAnsi="宋体" w:cs="宋体"/>
                <w:szCs w:val="21"/>
              </w:rPr>
            </w:pPr>
            <w:r>
              <w:rPr>
                <w:rFonts w:hint="eastAsia" w:ascii="宋体" w:hAnsi="宋体" w:cs="宋体"/>
                <w:szCs w:val="21"/>
              </w:rPr>
              <w:t>可监控内容具有报警状态急停、 权限、 伺服、轴运动状 ，程序运行，程序加载 ，程序暂停慢速，全速自动模式状态，速度状态 百分比，加载工程名预留，加载程序名错误信息</w:t>
            </w:r>
          </w:p>
          <w:p>
            <w:pPr>
              <w:rPr>
                <w:rFonts w:ascii="宋体" w:hAnsi="宋体" w:cs="宋体"/>
                <w:szCs w:val="21"/>
              </w:rPr>
            </w:pPr>
            <w:r>
              <w:rPr>
                <w:rFonts w:hint="eastAsia" w:ascii="宋体" w:hAnsi="宋体" w:cs="宋体"/>
                <w:szCs w:val="21"/>
              </w:rPr>
              <w:t>各轴加速度 度/秒^2（单位）</w:t>
            </w:r>
          </w:p>
          <w:p>
            <w:pPr>
              <w:rPr>
                <w:rFonts w:ascii="宋体" w:hAnsi="宋体" w:cs="宋体"/>
                <w:szCs w:val="21"/>
              </w:rPr>
            </w:pPr>
            <w:r>
              <w:rPr>
                <w:rFonts w:hint="eastAsia" w:ascii="宋体" w:hAnsi="宋体" w:cs="宋体"/>
                <w:szCs w:val="21"/>
              </w:rPr>
              <w:t>各轴加加速度 度/秒^3（单位）</w:t>
            </w:r>
          </w:p>
          <w:p>
            <w:pPr>
              <w:rPr>
                <w:rFonts w:ascii="宋体" w:hAnsi="宋体" w:cs="宋体"/>
                <w:szCs w:val="21"/>
              </w:rPr>
            </w:pPr>
            <w:r>
              <w:rPr>
                <w:rFonts w:hint="eastAsia" w:ascii="宋体" w:hAnsi="宋体" w:cs="宋体"/>
                <w:szCs w:val="21"/>
              </w:rPr>
              <w:t>各轴力矩 额定力矩百分比（单位）</w:t>
            </w:r>
          </w:p>
          <w:p>
            <w:pPr>
              <w:rPr>
                <w:rFonts w:ascii="宋体" w:hAnsi="宋体" w:cs="宋体"/>
                <w:szCs w:val="21"/>
              </w:rPr>
            </w:pPr>
            <w:r>
              <w:rPr>
                <w:rFonts w:hint="eastAsia" w:ascii="宋体" w:hAnsi="宋体" w:cs="宋体"/>
                <w:szCs w:val="21"/>
              </w:rPr>
              <w:t>各轴反向计数 次（单位）统计</w:t>
            </w:r>
          </w:p>
          <w:p>
            <w:pPr>
              <w:rPr>
                <w:rFonts w:ascii="宋体" w:hAnsi="宋体" w:cs="宋体"/>
                <w:szCs w:val="21"/>
              </w:rPr>
            </w:pPr>
            <w:r>
              <w:rPr>
                <w:rFonts w:hint="eastAsia" w:ascii="宋体" w:hAnsi="宋体" w:cs="宋体"/>
                <w:szCs w:val="21"/>
              </w:rPr>
              <w:t>各轴工作总时长 秒（单位）统计</w:t>
            </w:r>
          </w:p>
          <w:p>
            <w:pPr>
              <w:rPr>
                <w:rFonts w:ascii="宋体" w:hAnsi="宋体" w:cs="宋体"/>
                <w:szCs w:val="21"/>
              </w:rPr>
            </w:pPr>
            <w:r>
              <w:rPr>
                <w:rFonts w:hint="eastAsia" w:ascii="宋体" w:hAnsi="宋体" w:cs="宋体"/>
                <w:szCs w:val="21"/>
              </w:rPr>
              <w:t>设备开机总时长 秒（单位）统计</w:t>
            </w:r>
          </w:p>
          <w:p>
            <w:pPr>
              <w:rPr>
                <w:rFonts w:ascii="宋体" w:hAnsi="宋体" w:cs="宋体"/>
                <w:szCs w:val="21"/>
              </w:rPr>
            </w:pPr>
            <w:r>
              <w:rPr>
                <w:rFonts w:hint="eastAsia" w:ascii="宋体" w:hAnsi="宋体" w:cs="宋体"/>
                <w:szCs w:val="21"/>
              </w:rPr>
              <w:t>焊机报警状态</w:t>
            </w:r>
          </w:p>
          <w:p>
            <w:pPr>
              <w:rPr>
                <w:rFonts w:ascii="宋体" w:hAnsi="宋体" w:cs="宋体"/>
                <w:szCs w:val="21"/>
              </w:rPr>
            </w:pPr>
            <w:r>
              <w:rPr>
                <w:rFonts w:hint="eastAsia" w:ascii="宋体" w:hAnsi="宋体" w:cs="宋体"/>
                <w:szCs w:val="21"/>
              </w:rPr>
              <w:t>焊接实际电流</w:t>
            </w:r>
          </w:p>
          <w:p>
            <w:pPr>
              <w:rPr>
                <w:rFonts w:ascii="宋体" w:hAnsi="宋体" w:cs="宋体"/>
                <w:szCs w:val="21"/>
              </w:rPr>
            </w:pPr>
            <w:r>
              <w:rPr>
                <w:rFonts w:hint="eastAsia" w:ascii="宋体" w:hAnsi="宋体" w:cs="宋体"/>
                <w:szCs w:val="21"/>
              </w:rPr>
              <w:t>焊接实际电压</w:t>
            </w:r>
          </w:p>
          <w:p>
            <w:pPr>
              <w:rPr>
                <w:rFonts w:ascii="宋体" w:hAnsi="宋体" w:cs="宋体"/>
                <w:szCs w:val="21"/>
              </w:rPr>
            </w:pPr>
            <w:r>
              <w:rPr>
                <w:rFonts w:hint="eastAsia" w:ascii="宋体" w:hAnsi="宋体" w:cs="宋体"/>
                <w:szCs w:val="21"/>
              </w:rPr>
              <w:t>操作者信息 通过口令识别或增加射频读卡器通过卡片 ID 识别设备电能消耗增加采集模块</w:t>
            </w:r>
          </w:p>
          <w:p>
            <w:pPr>
              <w:rPr>
                <w:rFonts w:ascii="宋体" w:hAnsi="宋体" w:cs="宋体"/>
                <w:szCs w:val="21"/>
              </w:rPr>
            </w:pPr>
            <w:r>
              <w:rPr>
                <w:rFonts w:hint="eastAsia" w:ascii="宋体" w:hAnsi="宋体" w:cs="宋体"/>
                <w:szCs w:val="21"/>
              </w:rPr>
              <w:t>工业机器人实训软件</w:t>
            </w:r>
          </w:p>
          <w:p>
            <w:pPr>
              <w:rPr>
                <w:rFonts w:ascii="宋体" w:hAnsi="宋体" w:cs="宋体"/>
                <w:szCs w:val="21"/>
              </w:rPr>
            </w:pPr>
            <w:r>
              <w:rPr>
                <w:rFonts w:hint="eastAsia" w:ascii="宋体" w:hAnsi="宋体" w:cs="宋体"/>
                <w:szCs w:val="21"/>
              </w:rPr>
              <w:t>（1）要求正版厂商软件，提供厂家技术服务和技术支持，由厂商当地售后服务技术人员上门安装、培训和核实软件性能，并能根据用户实际情况升级软件功能，为了更好服务用户，厂商当地服务人员提供不少于3次面授培训，要求软件采用先进的Unity 3D仿真技术，模拟工业机器人的虚拟拆装，软件分为设备认识、自动装配、自动拆卸、手动装配、手动拆卸、视频教程共六大模块，学员可以在电脑前身临其境的进行反复操作练习；</w:t>
            </w:r>
          </w:p>
          <w:p>
            <w:pPr>
              <w:rPr>
                <w:rFonts w:ascii="宋体" w:hAnsi="宋体" w:cs="宋体"/>
                <w:szCs w:val="21"/>
              </w:rPr>
            </w:pPr>
            <w:r>
              <w:rPr>
                <w:rFonts w:hint="eastAsia" w:ascii="宋体" w:hAnsi="宋体" w:cs="宋体"/>
                <w:szCs w:val="21"/>
              </w:rPr>
              <w:t>（2）安装完成后启动软件，本软件包含“设备认识”、“自动装配”、“自动拆卸”、“手动装配”、“手动拆卸”、“视频教程”“装配图纸”六个场景。标题栏的“菜单”选项可切换场景，标题栏的“查看”选项可透视内部结构和重置视图，标题栏的“帮助”选项可查看鼠标的交互方式说明和帮助文档；</w:t>
            </w:r>
          </w:p>
          <w:p>
            <w:pPr>
              <w:rPr>
                <w:rFonts w:ascii="宋体" w:hAnsi="宋体" w:cs="宋体"/>
                <w:szCs w:val="21"/>
              </w:rPr>
            </w:pPr>
            <w:r>
              <w:rPr>
                <w:rFonts w:hint="eastAsia" w:ascii="宋体" w:hAnsi="宋体" w:cs="宋体"/>
                <w:szCs w:val="21"/>
              </w:rPr>
              <w:t>（3）设备认识模块 ，点击界面右侧的部件列表会实体显示所选择的部件，透明化其他部件。在认识部件特征的同时知道部件所处的位置，要求投标提供软件透明化其他部件截面积图；</w:t>
            </w:r>
          </w:p>
          <w:p>
            <w:pPr>
              <w:rPr>
                <w:rFonts w:ascii="宋体" w:hAnsi="宋体" w:cs="宋体"/>
                <w:szCs w:val="21"/>
              </w:rPr>
            </w:pPr>
            <w:r>
              <w:rPr>
                <w:rFonts w:hint="eastAsia" w:ascii="宋体" w:hAnsi="宋体" w:cs="宋体"/>
                <w:szCs w:val="21"/>
              </w:rPr>
              <w:t>（4）自动装配和自动拆卸模块，这两个模块是模拟机器人的安装和拆卸顺序；</w:t>
            </w:r>
          </w:p>
          <w:p>
            <w:pPr>
              <w:rPr>
                <w:rFonts w:ascii="宋体" w:hAnsi="宋体" w:cs="宋体"/>
                <w:szCs w:val="21"/>
              </w:rPr>
            </w:pPr>
            <w:r>
              <w:rPr>
                <w:rFonts w:hint="eastAsia" w:ascii="宋体" w:hAnsi="宋体" w:cs="宋体"/>
                <w:szCs w:val="21"/>
              </w:rPr>
              <w:t>（5）手动装配模块，需要安装部件的位置会有高亮红色块闪烁提示，界面有提示框显示部件名称，用户根据信息在部件库点击部件图标，部件图标会跟随鼠标移动，将部件图标移动到高亮红色区域后点击鼠标左键完成安装，如果选择的部件不对是无法完成安装的；</w:t>
            </w:r>
          </w:p>
          <w:p>
            <w:pPr>
              <w:rPr>
                <w:rFonts w:ascii="宋体" w:hAnsi="宋体" w:cs="宋体"/>
                <w:szCs w:val="21"/>
              </w:rPr>
            </w:pPr>
            <w:r>
              <w:rPr>
                <w:rFonts w:hint="eastAsia" w:ascii="宋体" w:hAnsi="宋体" w:cs="宋体"/>
                <w:szCs w:val="21"/>
              </w:rPr>
              <w:t xml:space="preserve">（6）手动拆卸模块，软件根据拆卸顺序提示要拆卸的部件，用户点击红色提示区完成拆卸； </w:t>
            </w:r>
          </w:p>
          <w:p>
            <w:pPr>
              <w:rPr>
                <w:rFonts w:ascii="宋体" w:hAnsi="宋体" w:cs="宋体"/>
                <w:szCs w:val="21"/>
              </w:rPr>
            </w:pPr>
            <w:r>
              <w:rPr>
                <w:rFonts w:hint="eastAsia" w:ascii="宋体" w:hAnsi="宋体" w:cs="宋体"/>
                <w:szCs w:val="21"/>
              </w:rPr>
              <w:t>（7）视频教程模块，本模块展示的视频中，通过展示真正的装配工作人员的亲身教授，如同真实参观实际工厂的机器人装配过程，加深在软件三维虚拟环境下对机器人学习；</w:t>
            </w:r>
          </w:p>
          <w:p>
            <w:pPr>
              <w:rPr>
                <w:rFonts w:ascii="宋体" w:hAnsi="宋体" w:cs="宋体"/>
                <w:szCs w:val="21"/>
              </w:rPr>
            </w:pPr>
            <w:r>
              <w:rPr>
                <w:rFonts w:hint="eastAsia" w:ascii="宋体" w:hAnsi="宋体" w:cs="宋体"/>
                <w:szCs w:val="21"/>
              </w:rPr>
              <w:t>（8）装配图纸模块，本模块展示机器人的2D装配图纸和各个零件图纸，以及装配工艺信息和各个零件的工艺信息。模块窗口中，通过装配图纸和零件图纸的名称的选择，显示各个图纸和其工艺信息，同时方便三维拆除和装配的时候进行参照学习机器人的结构、机构</w:t>
            </w:r>
          </w:p>
          <w:p>
            <w:pPr>
              <w:autoSpaceDN w:val="0"/>
              <w:spacing w:line="360" w:lineRule="auto"/>
              <w:rPr>
                <w:rFonts w:ascii="宋体" w:hAnsi="宋体" w:cs="宋体"/>
                <w:b/>
                <w:bCs/>
                <w:szCs w:val="21"/>
              </w:rPr>
            </w:pPr>
            <w:r>
              <w:rPr>
                <w:rFonts w:hint="eastAsia" w:ascii="宋体" w:hAnsi="宋体" w:cs="宋体"/>
                <w:b/>
                <w:bCs/>
                <w:color w:val="000000" w:themeColor="text1"/>
                <w:szCs w:val="21"/>
              </w:rPr>
              <w:t xml:space="preserve">5.6 </w:t>
            </w:r>
            <w:r>
              <w:rPr>
                <w:rFonts w:hint="eastAsia" w:ascii="宋体" w:hAnsi="宋体" w:cs="宋体"/>
                <w:b/>
                <w:bCs/>
                <w:szCs w:val="21"/>
              </w:rPr>
              <w:t>柔性工作平台</w:t>
            </w:r>
          </w:p>
          <w:p>
            <w:pPr>
              <w:autoSpaceDN w:val="0"/>
              <w:rPr>
                <w:rFonts w:ascii="宋体" w:hAnsi="宋体" w:cs="宋体"/>
                <w:szCs w:val="21"/>
              </w:rPr>
            </w:pPr>
            <w:r>
              <w:rPr>
                <w:rFonts w:hint="eastAsia" w:ascii="宋体" w:hAnsi="宋体" w:cs="宋体"/>
                <w:szCs w:val="21"/>
              </w:rPr>
              <w:t>平台材质HT300快速组对、装配，能够快速定位、夹紧及满足焊接.装配.检测精度，定位孔、孔间距、台边与孔的位置、台面的平面度、垂直度、平行度等均≤IT7，平台材质铸铁，有利于防止焊接飞溅粘连，热处理：退火，尺寸1000mm×1000mm×750mm平面度0.1/㎡，垂直度0.1/200mm，孔间距及偏差 100±0.05mm，表面粗糙度Ra3.2，承重量：2000KG/平方。</w:t>
            </w:r>
          </w:p>
          <w:p>
            <w:pPr>
              <w:autoSpaceDN w:val="0"/>
              <w:rPr>
                <w:rFonts w:ascii="宋体" w:hAnsi="宋体" w:cs="宋体"/>
                <w:szCs w:val="21"/>
              </w:rPr>
            </w:pPr>
            <w:r>
              <w:rPr>
                <w:rFonts w:hint="eastAsia" w:ascii="宋体" w:hAnsi="宋体" w:cs="宋体"/>
                <w:szCs w:val="21"/>
              </w:rPr>
              <w:t>锁紧销材质45#淬火处理，尺寸精度(0 -0.02)最大拉力 小于2000KG表面粗糙度 Ra1.6，销栓可以拆卸清洗，锁紧力大于25KN，表面硬度≥HRC32平面度 0.1 ，连接件（定位角尺、定位平尺、，材质45#钢平面度0.1，垂直度0.1孔间距及偏差50±0.05mm，孔尺寸及公差(+0.065+0.149)，承重力250KG表面粗糙度 Ra3.2，压紧件：材质 45#钢，压紧力小于250KG，压紧件有多种连接套，以满足各种夹紧器的快速互换，并且夹头能互换；压紧机构压头采用分体式结构，便于维护更换，工作部位热处理。表面无毛刺和划伤，油漆表面无剥落，抗变形，工作台在正常工作状态下，一年内精度≤IT7。连接可靠，模块之间的连接必须用专用的定位夹紧销栓，每次夹紧时间≤30秒。</w:t>
            </w:r>
          </w:p>
          <w:p>
            <w:pPr>
              <w:autoSpaceDN w:val="0"/>
              <w:rPr>
                <w:rFonts w:ascii="宋体" w:hAnsi="宋体" w:cs="宋体"/>
                <w:szCs w:val="21"/>
              </w:rPr>
            </w:pPr>
            <w:r>
              <w:rPr>
                <w:rFonts w:hint="eastAsia" w:ascii="宋体" w:hAnsi="宋体" w:cs="宋体"/>
                <w:szCs w:val="21"/>
              </w:rPr>
              <w:t>工作台高精度，定位孔、孔间距、台边与孔的位置、台面的平面度、垂直度、平行度等均≤IT7。</w:t>
            </w:r>
          </w:p>
          <w:p>
            <w:pPr>
              <w:autoSpaceDN w:val="0"/>
              <w:rPr>
                <w:rFonts w:ascii="宋体" w:hAnsi="宋体" w:cs="宋体"/>
                <w:szCs w:val="21"/>
              </w:rPr>
            </w:pPr>
            <w:r>
              <w:rPr>
                <w:rFonts w:hint="eastAsia" w:ascii="宋体" w:hAnsi="宋体" w:cs="宋体"/>
                <w:szCs w:val="21"/>
              </w:rPr>
              <w:t>平台整体退火热处理消除内应力打磨抛光；定位角尺材料采用45#钢调质处理；定位工件各定位直角，固定夹具台顶面，可以快速的安装在工作台上，组成各种形状，满足焊接.装配.检测工艺的需要。</w:t>
            </w:r>
          </w:p>
          <w:p>
            <w:pPr>
              <w:autoSpaceDN w:val="0"/>
              <w:rPr>
                <w:rFonts w:ascii="宋体" w:hAnsi="宋体" w:cs="宋体"/>
                <w:szCs w:val="21"/>
              </w:rPr>
            </w:pPr>
            <w:r>
              <w:rPr>
                <w:rFonts w:hint="eastAsia" w:ascii="宋体" w:hAnsi="宋体" w:cs="宋体"/>
                <w:szCs w:val="21"/>
              </w:rPr>
              <w:t>连接模块材料调质处理；通过多种快速锁紧销，可以快速地安装在工作台上；完成一个工作台的连接时间≤2小时；满足焊接.装配.检测大型工件的需要。</w:t>
            </w:r>
          </w:p>
          <w:p>
            <w:pPr>
              <w:autoSpaceDN w:val="0"/>
              <w:rPr>
                <w:rFonts w:ascii="宋体" w:hAnsi="宋体" w:cs="宋体"/>
                <w:szCs w:val="21"/>
              </w:rPr>
            </w:pPr>
            <w:r>
              <w:rPr>
                <w:rFonts w:hint="eastAsia" w:ascii="宋体" w:hAnsi="宋体" w:cs="宋体"/>
                <w:szCs w:val="21"/>
              </w:rPr>
              <w:t>定位平尺：材料采用45#钢调质处理；通过多种锁紧销连接，根据需定位工件的长度选用不同长度的定位平尺；通过槽式结构，可灵活调整定位距离，通过与工作台、定位角尺、支撑角铁等零件的组合，快速完成各种焊接产品工作面（平面、斜面、曲面）的定位，满足焊接.装配.检测工艺需要。快速锁紧销：采用45#钢调质处理，淬火钢球的锁紧销，受力均匀；定位准确；可伸缩压紧件圆管型结构，操作简易单手操作就完成夹紧任务，通过与特制夹紧钢管配套互换,通过与球型夹头的互换,对细钢丝、钢管、各种平面、凹曲面、凸曲面都能快速夹紧。专用圆孔刷：清洁定位孔，延长系统的使用寿命。</w:t>
            </w:r>
          </w:p>
          <w:p>
            <w:pPr>
              <w:pStyle w:val="73"/>
              <w:spacing w:line="360" w:lineRule="auto"/>
              <w:ind w:firstLine="0" w:firstLineChars="0"/>
              <w:rPr>
                <w:rFonts w:ascii="宋体" w:hAnsi="宋体" w:cs="宋体"/>
                <w:b/>
                <w:bCs/>
                <w:color w:val="000000" w:themeColor="text1"/>
                <w:sz w:val="21"/>
                <w:szCs w:val="21"/>
              </w:rPr>
            </w:pPr>
            <w:r>
              <w:rPr>
                <w:rFonts w:hint="eastAsia" w:ascii="宋体" w:hAnsi="宋体" w:cs="宋体"/>
                <w:b/>
                <w:bCs/>
                <w:color w:val="000000" w:themeColor="text1"/>
                <w:sz w:val="21"/>
                <w:szCs w:val="21"/>
              </w:rPr>
              <w:t>六、</w:t>
            </w:r>
            <w:r>
              <w:rPr>
                <w:rFonts w:hint="eastAsia" w:ascii="宋体" w:hAnsi="宋体" w:cs="宋体"/>
                <w:b/>
                <w:bCs/>
                <w:sz w:val="21"/>
                <w:szCs w:val="21"/>
              </w:rPr>
              <w:t>国赛机器人焊接系统</w:t>
            </w:r>
            <w:r>
              <w:rPr>
                <w:rFonts w:hint="eastAsia" w:ascii="宋体" w:hAnsi="宋体" w:cs="宋体"/>
                <w:b/>
                <w:bCs/>
                <w:color w:val="000000" w:themeColor="text1"/>
                <w:sz w:val="21"/>
                <w:szCs w:val="21"/>
              </w:rPr>
              <w:t>手工焊接电源要求：</w:t>
            </w:r>
          </w:p>
          <w:p>
            <w:pPr>
              <w:spacing w:line="360" w:lineRule="auto"/>
              <w:ind w:left="1050" w:leftChars="500"/>
              <w:rPr>
                <w:rFonts w:ascii="宋体" w:hAnsi="宋体" w:cs="宋体"/>
                <w:color w:val="000000" w:themeColor="text1"/>
                <w:szCs w:val="21"/>
              </w:rPr>
            </w:pPr>
            <w:r>
              <w:rPr>
                <w:rFonts w:hint="eastAsia" w:ascii="宋体" w:hAnsi="宋体" w:cs="宋体"/>
                <w:b/>
                <w:bCs/>
                <w:color w:val="000000" w:themeColor="text1"/>
                <w:szCs w:val="21"/>
              </w:rPr>
              <w:t>设备名称：</w:t>
            </w:r>
            <w:r>
              <w:rPr>
                <w:rFonts w:hint="eastAsia" w:ascii="宋体" w:hAnsi="宋体" w:cs="宋体"/>
                <w:color w:val="000000" w:themeColor="text1"/>
                <w:szCs w:val="21"/>
              </w:rPr>
              <w:t xml:space="preserve">全数字气保焊机  </w:t>
            </w:r>
          </w:p>
          <w:p>
            <w:pPr>
              <w:widowControl/>
              <w:jc w:val="center"/>
              <w:rPr>
                <w:rFonts w:ascii="宋体" w:hAnsi="宋体" w:cs="宋体"/>
                <w:kern w:val="0"/>
                <w:szCs w:val="21"/>
              </w:rPr>
            </w:pPr>
            <w:r>
              <w:rPr>
                <w:rFonts w:hint="eastAsia" w:ascii="宋体" w:hAnsi="宋体" w:cs="宋体"/>
                <w:b/>
                <w:bCs/>
                <w:color w:val="000000" w:themeColor="text1"/>
                <w:szCs w:val="21"/>
              </w:rPr>
              <w:t xml:space="preserve"> </w:t>
            </w:r>
            <w:r>
              <w:rPr>
                <w:rFonts w:hint="eastAsia" w:ascii="宋体" w:hAnsi="宋体" w:cs="宋体"/>
                <w:b/>
                <w:bCs/>
                <w:kern w:val="0"/>
                <w:szCs w:val="21"/>
              </w:rPr>
              <w:t>特征代号：</w:t>
            </w:r>
            <w:r>
              <w:rPr>
                <w:rFonts w:hint="eastAsia" w:ascii="宋体" w:hAnsi="宋体" w:cs="宋体"/>
                <w:kern w:val="0"/>
                <w:szCs w:val="21"/>
              </w:rPr>
              <w:t xml:space="preserve"> </w:t>
            </w:r>
            <w:r>
              <w:rPr>
                <w:rFonts w:hint="eastAsia" w:ascii="宋体" w:hAnsi="宋体" w:cs="宋体"/>
                <w:kern w:val="0"/>
                <w:szCs w:val="21"/>
              </w:rPr>
              <w:drawing>
                <wp:inline distT="0" distB="0" distL="114300" distR="114300">
                  <wp:extent cx="571500" cy="476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8" cstate="print"/>
                          <a:stretch>
                            <a:fillRect/>
                          </a:stretch>
                        </pic:blipFill>
                        <pic:spPr>
                          <a:xfrm>
                            <a:off x="0" y="0"/>
                            <a:ext cx="571500" cy="476250"/>
                          </a:xfrm>
                          <a:prstGeom prst="rect">
                            <a:avLst/>
                          </a:prstGeom>
                          <a:noFill/>
                          <a:ln w="9525">
                            <a:noFill/>
                          </a:ln>
                        </pic:spPr>
                      </pic:pic>
                    </a:graphicData>
                  </a:graphic>
                </wp:inline>
              </w:drawing>
            </w:r>
            <w:r>
              <w:rPr>
                <w:rFonts w:hint="eastAsia" w:ascii="宋体" w:hAnsi="宋体" w:cs="宋体"/>
                <w:kern w:val="0"/>
                <w:szCs w:val="21"/>
              </w:rPr>
              <w:drawing>
                <wp:inline distT="0" distB="0" distL="114300" distR="114300">
                  <wp:extent cx="571500" cy="476250"/>
                  <wp:effectExtent l="0" t="0" r="0" b="0"/>
                  <wp:docPr id="1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7"/>
                          <pic:cNvPicPr>
                            <a:picLocks noChangeAspect="1"/>
                          </pic:cNvPicPr>
                        </pic:nvPicPr>
                        <pic:blipFill>
                          <a:blip r:embed="rId19" cstate="print"/>
                          <a:stretch>
                            <a:fillRect/>
                          </a:stretch>
                        </pic:blipFill>
                        <pic:spPr>
                          <a:xfrm>
                            <a:off x="0" y="0"/>
                            <a:ext cx="571500" cy="476250"/>
                          </a:xfrm>
                          <a:prstGeom prst="rect">
                            <a:avLst/>
                          </a:prstGeom>
                          <a:noFill/>
                          <a:ln w="9525">
                            <a:noFill/>
                          </a:ln>
                        </pic:spPr>
                      </pic:pic>
                    </a:graphicData>
                  </a:graphic>
                </wp:inline>
              </w:drawing>
            </w:r>
            <w:r>
              <w:rPr>
                <w:rFonts w:hint="eastAsia" w:ascii="宋体" w:hAnsi="宋体" w:cs="宋体"/>
                <w:kern w:val="0"/>
                <w:szCs w:val="21"/>
              </w:rPr>
              <w:drawing>
                <wp:inline distT="0" distB="0" distL="114300" distR="114300">
                  <wp:extent cx="571500" cy="476250"/>
                  <wp:effectExtent l="0" t="0" r="0" b="0"/>
                  <wp:docPr id="1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8"/>
                          <pic:cNvPicPr>
                            <a:picLocks noChangeAspect="1"/>
                          </pic:cNvPicPr>
                        </pic:nvPicPr>
                        <pic:blipFill>
                          <a:blip r:embed="rId20" cstate="print"/>
                          <a:stretch>
                            <a:fillRect/>
                          </a:stretch>
                        </pic:blipFill>
                        <pic:spPr>
                          <a:xfrm>
                            <a:off x="0" y="0"/>
                            <a:ext cx="571500" cy="476250"/>
                          </a:xfrm>
                          <a:prstGeom prst="rect">
                            <a:avLst/>
                          </a:prstGeom>
                          <a:noFill/>
                          <a:ln w="9525">
                            <a:noFill/>
                          </a:ln>
                        </pic:spPr>
                      </pic:pic>
                    </a:graphicData>
                  </a:graphic>
                </wp:inline>
              </w:drawing>
            </w:r>
            <w:r>
              <w:rPr>
                <w:rFonts w:hint="eastAsia" w:ascii="宋体" w:hAnsi="宋体" w:cs="宋体"/>
                <w:kern w:val="0"/>
                <w:szCs w:val="21"/>
              </w:rPr>
              <w:drawing>
                <wp:inline distT="0" distB="0" distL="114300" distR="114300">
                  <wp:extent cx="571500" cy="476250"/>
                  <wp:effectExtent l="0" t="0" r="0" b="0"/>
                  <wp:docPr id="1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IMG_259"/>
                          <pic:cNvPicPr>
                            <a:picLocks noChangeAspect="1"/>
                          </pic:cNvPicPr>
                        </pic:nvPicPr>
                        <pic:blipFill>
                          <a:blip r:embed="rId21" cstate="print"/>
                          <a:stretch>
                            <a:fillRect/>
                          </a:stretch>
                        </pic:blipFill>
                        <pic:spPr>
                          <a:xfrm>
                            <a:off x="0" y="0"/>
                            <a:ext cx="571500" cy="476250"/>
                          </a:xfrm>
                          <a:prstGeom prst="rect">
                            <a:avLst/>
                          </a:prstGeom>
                          <a:noFill/>
                          <a:ln w="9525">
                            <a:noFill/>
                          </a:ln>
                        </pic:spPr>
                      </pic:pic>
                    </a:graphicData>
                  </a:graphic>
                </wp:inline>
              </w:drawing>
            </w:r>
            <w:r>
              <w:rPr>
                <w:rFonts w:hint="eastAsia" w:ascii="宋体" w:hAnsi="宋体" w:cs="宋体"/>
                <w:kern w:val="0"/>
                <w:szCs w:val="21"/>
              </w:rPr>
              <w:drawing>
                <wp:inline distT="0" distB="0" distL="114300" distR="114300">
                  <wp:extent cx="571500" cy="476250"/>
                  <wp:effectExtent l="0" t="0" r="0" b="0"/>
                  <wp:docPr id="1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IMG_260"/>
                          <pic:cNvPicPr>
                            <a:picLocks noChangeAspect="1"/>
                          </pic:cNvPicPr>
                        </pic:nvPicPr>
                        <pic:blipFill>
                          <a:blip r:embed="rId22" cstate="print"/>
                          <a:stretch>
                            <a:fillRect/>
                          </a:stretch>
                        </pic:blipFill>
                        <pic:spPr>
                          <a:xfrm>
                            <a:off x="0" y="0"/>
                            <a:ext cx="571500" cy="476250"/>
                          </a:xfrm>
                          <a:prstGeom prst="rect">
                            <a:avLst/>
                          </a:prstGeom>
                          <a:noFill/>
                          <a:ln w="9525">
                            <a:noFill/>
                          </a:ln>
                        </pic:spPr>
                      </pic:pic>
                    </a:graphicData>
                  </a:graphic>
                </wp:inline>
              </w:drawing>
            </w:r>
          </w:p>
          <w:p>
            <w:pPr>
              <w:jc w:val="left"/>
              <w:rPr>
                <w:rFonts w:ascii="宋体" w:hAnsi="宋体" w:cs="宋体"/>
                <w:szCs w:val="21"/>
              </w:rPr>
            </w:pPr>
            <w:r>
              <w:rPr>
                <w:rFonts w:hint="eastAsia" w:ascii="宋体" w:hAnsi="宋体" w:cs="宋体"/>
                <w:szCs w:val="21"/>
              </w:rPr>
              <w:t xml:space="preserve">具备气保焊、手工焊功能； </w:t>
            </w:r>
          </w:p>
          <w:p>
            <w:pPr>
              <w:jc w:val="left"/>
              <w:rPr>
                <w:rFonts w:ascii="宋体" w:hAnsi="宋体" w:cs="宋体"/>
                <w:szCs w:val="21"/>
              </w:rPr>
            </w:pPr>
            <w:r>
              <w:rPr>
                <w:rFonts w:hint="eastAsia" w:ascii="宋体" w:hAnsi="宋体" w:cs="宋体"/>
                <w:szCs w:val="21"/>
              </w:rPr>
              <w:t>采用数字化控制面板；</w:t>
            </w:r>
          </w:p>
          <w:p>
            <w:pPr>
              <w:jc w:val="left"/>
              <w:rPr>
                <w:rFonts w:ascii="宋体" w:hAnsi="宋体" w:cs="宋体"/>
                <w:szCs w:val="21"/>
              </w:rPr>
            </w:pPr>
            <w:r>
              <w:rPr>
                <w:rFonts w:hint="eastAsia" w:ascii="宋体" w:hAnsi="宋体" w:cs="宋体"/>
                <w:szCs w:val="21"/>
              </w:rPr>
              <w:t>内部储存一元化焊接参数数据库；</w:t>
            </w:r>
          </w:p>
          <w:p>
            <w:pPr>
              <w:jc w:val="left"/>
              <w:rPr>
                <w:rFonts w:ascii="宋体" w:hAnsi="宋体" w:cs="宋体"/>
                <w:szCs w:val="21"/>
              </w:rPr>
            </w:pPr>
            <w:r>
              <w:rPr>
                <w:rFonts w:hint="eastAsia" w:ascii="宋体" w:hAnsi="宋体" w:cs="宋体"/>
                <w:szCs w:val="21"/>
              </w:rPr>
              <w:t>可以存储/调用20种焊接规范；</w:t>
            </w:r>
          </w:p>
          <w:p>
            <w:pPr>
              <w:jc w:val="left"/>
              <w:rPr>
                <w:rFonts w:ascii="宋体" w:hAnsi="宋体" w:cs="宋体"/>
                <w:szCs w:val="21"/>
              </w:rPr>
            </w:pPr>
            <w:r>
              <w:rPr>
                <w:rFonts w:hint="eastAsia" w:ascii="宋体" w:hAnsi="宋体" w:cs="宋体"/>
                <w:szCs w:val="21"/>
              </w:rPr>
              <w:t>使用带编码器的送丝电机；</w:t>
            </w:r>
          </w:p>
          <w:p>
            <w:pPr>
              <w:jc w:val="left"/>
              <w:rPr>
                <w:rFonts w:ascii="宋体" w:hAnsi="宋体" w:cs="宋体"/>
                <w:szCs w:val="21"/>
              </w:rPr>
            </w:pPr>
            <w:r>
              <w:rPr>
                <w:rFonts w:hint="eastAsia" w:ascii="宋体" w:hAnsi="宋体" w:cs="宋体"/>
                <w:szCs w:val="21"/>
              </w:rPr>
              <w:t xml:space="preserve">可选多种焊接控制方法，适合于焊接多种焊缝； </w:t>
            </w:r>
          </w:p>
          <w:p>
            <w:pPr>
              <w:jc w:val="left"/>
              <w:rPr>
                <w:rFonts w:ascii="宋体" w:hAnsi="宋体" w:cs="宋体"/>
                <w:szCs w:val="21"/>
              </w:rPr>
            </w:pPr>
            <w:r>
              <w:rPr>
                <w:rFonts w:hint="eastAsia" w:ascii="宋体" w:hAnsi="宋体" w:cs="宋体"/>
                <w:szCs w:val="21"/>
              </w:rPr>
              <w:t>采用模块化设计；</w:t>
            </w:r>
          </w:p>
          <w:p>
            <w:pPr>
              <w:jc w:val="left"/>
              <w:rPr>
                <w:rFonts w:ascii="宋体" w:hAnsi="宋体" w:cs="宋体"/>
                <w:color w:val="000000" w:themeColor="text1"/>
                <w:szCs w:val="21"/>
              </w:rPr>
            </w:pPr>
            <w:r>
              <w:rPr>
                <w:rFonts w:hint="eastAsia" w:ascii="宋体" w:hAnsi="宋体" w:cs="宋体"/>
                <w:szCs w:val="21"/>
              </w:rPr>
              <w:t xml:space="preserve">具备故障智能检测功能； </w:t>
            </w:r>
          </w:p>
          <w:p>
            <w:pPr>
              <w:autoSpaceDN w:val="0"/>
              <w:spacing w:line="360" w:lineRule="auto"/>
              <w:rPr>
                <w:rFonts w:ascii="宋体" w:hAnsi="宋体" w:cs="宋体"/>
                <w:b/>
                <w:bCs/>
                <w:szCs w:val="21"/>
              </w:rPr>
            </w:pPr>
            <w:r>
              <w:rPr>
                <w:rFonts w:hint="eastAsia" w:ascii="宋体" w:hAnsi="宋体" w:cs="宋体"/>
                <w:b/>
                <w:bCs/>
                <w:szCs w:val="21"/>
              </w:rPr>
              <w:t>技术参数：</w:t>
            </w:r>
          </w:p>
          <w:tbl>
            <w:tblPr>
              <w:tblStyle w:val="3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2"/>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输入电压（V）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380V±15％ 50/60Hz 三相交流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额定输入电流（A）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额定输入功率（kw）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空载电压（V）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空载电流（A）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0.7~0.9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空载损耗（W）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电压调节范围（V）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10~40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电流输出范围（A）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30~350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手工焊接电流调节范围（A）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30~350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适应焊丝类型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实芯 / 药芯焊丝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适应焊丝直径（mm）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Φ0.8/Φ1.0/Φ1.2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Merge w:val="restar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适应焊丝材料 </w:t>
                  </w:r>
                </w:p>
              </w:tc>
              <w:tc>
                <w:tcPr>
                  <w:tcW w:w="3007"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碳钢（MS）/ 碳钢 _ 药芯（MS_ FCW）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992" w:type="pct"/>
                  <w:vMerge w:val="continue"/>
                  <w:vAlign w:val="center"/>
                </w:tcPr>
                <w:p>
                  <w:pPr>
                    <w:widowControl/>
                    <w:spacing w:line="360" w:lineRule="auto"/>
                    <w:jc w:val="center"/>
                    <w:rPr>
                      <w:rFonts w:ascii="宋体" w:hAnsi="宋体" w:cs="宋体"/>
                      <w:kern w:val="0"/>
                      <w:szCs w:val="21"/>
                    </w:rPr>
                  </w:pPr>
                </w:p>
              </w:tc>
              <w:tc>
                <w:tcPr>
                  <w:tcW w:w="3007"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不锈钢（SUS）/ 不锈钢 _ 药芯 （SUS_FCW）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Merge w:val="restar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保护气体 </w:t>
                  </w:r>
                </w:p>
              </w:tc>
              <w:tc>
                <w:tcPr>
                  <w:tcW w:w="3007"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CO2：100%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Merge w:val="continue"/>
                  <w:vAlign w:val="center"/>
                </w:tcPr>
                <w:p>
                  <w:pPr>
                    <w:widowControl/>
                    <w:spacing w:line="360" w:lineRule="auto"/>
                    <w:jc w:val="center"/>
                    <w:rPr>
                      <w:rFonts w:ascii="宋体" w:hAnsi="宋体" w:cs="宋体"/>
                      <w:kern w:val="0"/>
                      <w:szCs w:val="21"/>
                    </w:rPr>
                  </w:pPr>
                </w:p>
              </w:tc>
              <w:tc>
                <w:tcPr>
                  <w:tcW w:w="3007"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Ar：80% CO2：20%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Merge w:val="continue"/>
                  <w:vAlign w:val="center"/>
                </w:tcPr>
                <w:p>
                  <w:pPr>
                    <w:widowControl/>
                    <w:spacing w:line="360" w:lineRule="auto"/>
                    <w:jc w:val="center"/>
                    <w:rPr>
                      <w:rFonts w:ascii="宋体" w:hAnsi="宋体" w:cs="宋体"/>
                      <w:kern w:val="0"/>
                      <w:szCs w:val="21"/>
                    </w:rPr>
                  </w:pPr>
                </w:p>
              </w:tc>
              <w:tc>
                <w:tcPr>
                  <w:tcW w:w="3007"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Ar：98% O2：2%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负载持续率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60％（350A\31.5V）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效率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80%~85%（额定条件）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功率因数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0.7~ 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外壳防护等级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IP23S++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绝缘等级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冷却方式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温控风冷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外形尺寸（mm）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603×290×503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重量（kg） </w:t>
                  </w:r>
                </w:p>
              </w:tc>
              <w:tc>
                <w:tcPr>
                  <w:tcW w:w="3007" w:type="pct"/>
                  <w:vAlign w:val="center"/>
                </w:tcPr>
                <w:p>
                  <w:pPr>
                    <w:widowControl/>
                    <w:spacing w:line="360" w:lineRule="auto"/>
                    <w:jc w:val="center"/>
                    <w:rPr>
                      <w:rFonts w:ascii="宋体" w:hAnsi="宋体" w:cs="宋体"/>
                      <w:color w:val="626262"/>
                      <w:kern w:val="0"/>
                      <w:szCs w:val="21"/>
                    </w:rPr>
                  </w:pPr>
                  <w:r>
                    <w:rPr>
                      <w:rFonts w:hint="eastAsia" w:ascii="宋体" w:hAnsi="宋体" w:cs="宋体"/>
                      <w:kern w:val="0"/>
                      <w:szCs w:val="21"/>
                    </w:rPr>
                    <w:t xml:space="preserve">35 </w:t>
                  </w:r>
                </w:p>
              </w:tc>
            </w:tr>
          </w:tbl>
          <w:p>
            <w:pPr>
              <w:autoSpaceDN w:val="0"/>
              <w:spacing w:line="360" w:lineRule="auto"/>
              <w:rPr>
                <w:rFonts w:ascii="宋体" w:hAnsi="宋体" w:cs="宋体"/>
                <w:b/>
                <w:bCs/>
                <w:szCs w:val="21"/>
              </w:rPr>
            </w:pPr>
          </w:p>
          <w:p>
            <w:pPr>
              <w:autoSpaceDN w:val="0"/>
              <w:spacing w:line="360" w:lineRule="auto"/>
              <w:rPr>
                <w:rFonts w:ascii="宋体" w:hAnsi="宋体" w:cs="宋体"/>
                <w:b/>
                <w:bCs/>
                <w:color w:val="000000" w:themeColor="text1"/>
                <w:szCs w:val="21"/>
              </w:rPr>
            </w:pPr>
            <w:r>
              <w:rPr>
                <w:rFonts w:hint="eastAsia" w:ascii="宋体" w:hAnsi="宋体" w:cs="宋体"/>
                <w:b/>
                <w:bCs/>
                <w:color w:val="000000" w:themeColor="text1"/>
                <w:szCs w:val="21"/>
              </w:rPr>
              <w:t>七、智能型烟尘净化单机要求：</w:t>
            </w:r>
          </w:p>
          <w:p>
            <w:pPr>
              <w:jc w:val="left"/>
              <w:rPr>
                <w:rFonts w:ascii="宋体" w:hAnsi="宋体" w:cs="宋体"/>
                <w:color w:val="000000" w:themeColor="text1"/>
                <w:szCs w:val="21"/>
              </w:rPr>
            </w:pPr>
            <w:r>
              <w:rPr>
                <w:rFonts w:hint="eastAsia" w:ascii="宋体" w:hAnsi="宋体" w:cs="宋体"/>
                <w:color w:val="000000" w:themeColor="text1"/>
                <w:szCs w:val="21"/>
              </w:rPr>
              <w:t>1.智能控制，自动焊接烟尘吸附，能够重置自适应延时关闭焊烟吸风。</w:t>
            </w:r>
          </w:p>
          <w:p>
            <w:pPr>
              <w:jc w:val="left"/>
              <w:rPr>
                <w:rFonts w:ascii="宋体" w:hAnsi="宋体" w:cs="宋体"/>
                <w:color w:val="000000" w:themeColor="text1"/>
                <w:szCs w:val="21"/>
              </w:rPr>
            </w:pPr>
            <w:r>
              <w:rPr>
                <w:rFonts w:hint="eastAsia" w:ascii="宋体" w:hAnsi="宋体" w:cs="宋体"/>
                <w:color w:val="000000" w:themeColor="text1"/>
                <w:szCs w:val="21"/>
              </w:rPr>
              <w:t>2.具有自动吸风和手动吸风功能切换模式。</w:t>
            </w:r>
          </w:p>
          <w:p>
            <w:pPr>
              <w:jc w:val="left"/>
              <w:rPr>
                <w:rFonts w:ascii="宋体" w:hAnsi="宋体" w:cs="宋体"/>
                <w:color w:val="000000" w:themeColor="text1"/>
                <w:szCs w:val="21"/>
              </w:rPr>
            </w:pPr>
            <w:r>
              <w:rPr>
                <w:rFonts w:hint="eastAsia" w:ascii="宋体" w:hAnsi="宋体" w:cs="宋体"/>
                <w:color w:val="000000" w:themeColor="text1"/>
                <w:szCs w:val="21"/>
              </w:rPr>
              <w:t>3.隧道式圆筒型设计，噪音小dB≦66dB。</w:t>
            </w:r>
          </w:p>
          <w:p>
            <w:pPr>
              <w:jc w:val="left"/>
              <w:rPr>
                <w:rFonts w:ascii="宋体" w:hAnsi="宋体" w:cs="宋体"/>
                <w:color w:val="000000" w:themeColor="text1"/>
                <w:szCs w:val="21"/>
              </w:rPr>
            </w:pPr>
            <w:r>
              <w:rPr>
                <w:rFonts w:hint="eastAsia" w:ascii="宋体" w:hAnsi="宋体" w:cs="宋体"/>
                <w:color w:val="000000" w:themeColor="text1"/>
                <w:szCs w:val="21"/>
              </w:rPr>
              <w:t>4.采用阻燃覆膜滤料，过滤精度≥0.1微米粒径的烟尘，过滤精度高达99.9%。</w:t>
            </w:r>
          </w:p>
          <w:p>
            <w:pPr>
              <w:jc w:val="left"/>
              <w:rPr>
                <w:rFonts w:ascii="宋体" w:hAnsi="宋体" w:cs="宋体"/>
                <w:color w:val="000000" w:themeColor="text1"/>
                <w:szCs w:val="21"/>
              </w:rPr>
            </w:pPr>
            <w:r>
              <w:rPr>
                <w:rFonts w:hint="eastAsia" w:ascii="宋体" w:hAnsi="宋体" w:cs="宋体"/>
                <w:color w:val="000000" w:themeColor="text1"/>
                <w:szCs w:val="21"/>
              </w:rPr>
              <w:t>5.焊烟吸附率95%以上，动力系统选用高压风机和品牌电机。</w:t>
            </w:r>
          </w:p>
          <w:p>
            <w:pPr>
              <w:jc w:val="left"/>
              <w:rPr>
                <w:rFonts w:ascii="宋体" w:hAnsi="宋体" w:cs="宋体"/>
                <w:color w:val="000000" w:themeColor="text1"/>
                <w:szCs w:val="21"/>
              </w:rPr>
            </w:pPr>
            <w:r>
              <w:rPr>
                <w:rFonts w:hint="eastAsia" w:ascii="宋体" w:hAnsi="宋体" w:cs="宋体"/>
                <w:color w:val="000000" w:themeColor="text1"/>
                <w:szCs w:val="21"/>
              </w:rPr>
              <w:t>6.吸烟管为阻燃耐磨材料，耐磨、耐温120°C以上，骨架不锈钢材质。</w:t>
            </w:r>
          </w:p>
          <w:p>
            <w:pPr>
              <w:jc w:val="left"/>
              <w:rPr>
                <w:rFonts w:ascii="宋体" w:hAnsi="宋体" w:cs="宋体"/>
                <w:color w:val="000000" w:themeColor="text1"/>
                <w:szCs w:val="21"/>
              </w:rPr>
            </w:pPr>
            <w:r>
              <w:rPr>
                <w:rFonts w:hint="eastAsia" w:ascii="宋体" w:hAnsi="宋体" w:cs="宋体"/>
                <w:color w:val="000000" w:themeColor="text1"/>
                <w:szCs w:val="21"/>
              </w:rPr>
              <w:t>7.自带独立行走小车，便于搬运和摆放。</w:t>
            </w:r>
          </w:p>
          <w:p>
            <w:pPr>
              <w:jc w:val="left"/>
              <w:rPr>
                <w:rFonts w:ascii="宋体" w:hAnsi="宋体" w:cs="宋体"/>
                <w:color w:val="000000" w:themeColor="text1"/>
                <w:szCs w:val="21"/>
              </w:rPr>
            </w:pPr>
            <w:r>
              <w:rPr>
                <w:rFonts w:hint="eastAsia" w:ascii="宋体" w:hAnsi="宋体" w:cs="宋体"/>
                <w:color w:val="000000" w:themeColor="text1"/>
                <w:szCs w:val="21"/>
              </w:rPr>
              <w:t>8.电源 380V/2P/50HZ</w:t>
            </w:r>
          </w:p>
          <w:p>
            <w:pPr>
              <w:jc w:val="left"/>
              <w:rPr>
                <w:rFonts w:ascii="宋体" w:hAnsi="宋体" w:cs="宋体"/>
                <w:color w:val="000000" w:themeColor="text1"/>
                <w:szCs w:val="21"/>
              </w:rPr>
            </w:pPr>
            <w:r>
              <w:rPr>
                <w:rFonts w:hint="eastAsia" w:ascii="宋体" w:hAnsi="宋体" w:cs="宋体"/>
                <w:color w:val="000000" w:themeColor="text1"/>
                <w:szCs w:val="21"/>
              </w:rPr>
              <w:t>9.处理风量 1400m</w:t>
            </w:r>
            <w:r>
              <w:rPr>
                <w:rFonts w:hint="eastAsia" w:ascii="宋体" w:hAnsi="宋体" w:cs="宋体"/>
                <w:color w:val="000000" w:themeColor="text1"/>
                <w:szCs w:val="21"/>
                <w:vertAlign w:val="superscript"/>
              </w:rPr>
              <w:t>3</w:t>
            </w:r>
            <w:r>
              <w:rPr>
                <w:rFonts w:hint="eastAsia" w:ascii="宋体" w:hAnsi="宋体" w:cs="宋体"/>
                <w:color w:val="000000" w:themeColor="text1"/>
                <w:szCs w:val="21"/>
              </w:rPr>
              <w:t>/h以上</w:t>
            </w:r>
          </w:p>
          <w:p>
            <w:pPr>
              <w:pStyle w:val="31"/>
              <w:spacing w:after="0"/>
              <w:ind w:left="0" w:leftChars="0" w:firstLine="0"/>
              <w:rPr>
                <w:rFonts w:ascii="宋体" w:hAnsi="宋体" w:cs="宋体"/>
                <w:sz w:val="21"/>
                <w:szCs w:val="21"/>
              </w:rPr>
            </w:pPr>
            <w:r>
              <w:rPr>
                <w:rFonts w:hint="eastAsia" w:ascii="宋体" w:hAnsi="宋体" w:cs="宋体"/>
                <w:color w:val="000000" w:themeColor="text1"/>
                <w:sz w:val="21"/>
                <w:szCs w:val="21"/>
              </w:rPr>
              <w:t>10.无组织废气检测：颗粒物</w:t>
            </w:r>
            <w:r>
              <w:rPr>
                <w:rFonts w:hint="eastAsia" w:ascii="宋体" w:hAnsi="宋体" w:cs="宋体"/>
                <w:sz w:val="21"/>
                <w:szCs w:val="21"/>
              </w:rPr>
              <w:t>≤0.001mg/m³</w:t>
            </w:r>
          </w:p>
          <w:p>
            <w:pPr>
              <w:pStyle w:val="2"/>
              <w:spacing w:before="0" w:after="0" w:line="240" w:lineRule="auto"/>
            </w:pPr>
            <w:r>
              <w:rPr>
                <w:rFonts w:hint="eastAsia" w:ascii="宋体" w:hAnsi="宋体" w:cs="宋体"/>
                <w:sz w:val="21"/>
                <w:szCs w:val="21"/>
              </w:rPr>
              <w:t>技术参数：</w:t>
            </w:r>
          </w:p>
          <w:tbl>
            <w:tblPr>
              <w:tblStyle w:val="32"/>
              <w:tblpPr w:leftFromText="180" w:rightFromText="180" w:vertAnchor="text" w:horzAnchor="page" w:tblpX="122" w:tblpY="248"/>
              <w:tblOverlap w:val="never"/>
              <w:tblW w:w="5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1"/>
              <w:gridCol w:w="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61" w:type="dxa"/>
                  <w:vAlign w:val="center"/>
                </w:tcPr>
                <w:p>
                  <w:pPr>
                    <w:jc w:val="center"/>
                    <w:rPr>
                      <w:rFonts w:ascii="宋体" w:hAnsi="宋体" w:cs="宋体"/>
                      <w:szCs w:val="21"/>
                    </w:rPr>
                  </w:pPr>
                  <w:r>
                    <w:rPr>
                      <w:rFonts w:hint="eastAsia" w:ascii="宋体" w:hAnsi="宋体" w:cs="宋体"/>
                      <w:szCs w:val="21"/>
                    </w:rPr>
                    <w:t>清灰方式</w:t>
                  </w:r>
                </w:p>
              </w:tc>
              <w:tc>
                <w:tcPr>
                  <w:tcW w:w="3398" w:type="dxa"/>
                  <w:vAlign w:val="center"/>
                </w:tcPr>
                <w:p>
                  <w:pPr>
                    <w:jc w:val="center"/>
                    <w:rPr>
                      <w:rFonts w:ascii="宋体" w:hAnsi="宋体" w:cs="宋体"/>
                      <w:szCs w:val="21"/>
                    </w:rPr>
                  </w:pPr>
                  <w:r>
                    <w:rPr>
                      <w:rFonts w:hint="eastAsia" w:ascii="宋体" w:hAnsi="宋体" w:cs="宋体"/>
                      <w:szCs w:val="21"/>
                    </w:rPr>
                    <w:t>机械清灰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电源</w:t>
                  </w:r>
                </w:p>
              </w:tc>
              <w:tc>
                <w:tcPr>
                  <w:tcW w:w="3398" w:type="dxa"/>
                  <w:vAlign w:val="center"/>
                </w:tcPr>
                <w:p>
                  <w:pPr>
                    <w:jc w:val="center"/>
                    <w:rPr>
                      <w:rFonts w:ascii="宋体" w:hAnsi="宋体" w:cs="宋体"/>
                      <w:szCs w:val="21"/>
                    </w:rPr>
                  </w:pPr>
                  <w:r>
                    <w:rPr>
                      <w:rFonts w:hint="eastAsia" w:ascii="宋体" w:hAnsi="宋体" w:cs="宋体"/>
                      <w:szCs w:val="21"/>
                    </w:rPr>
                    <w:t>380V/50HZ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处理风量</w:t>
                  </w:r>
                </w:p>
              </w:tc>
              <w:tc>
                <w:tcPr>
                  <w:tcW w:w="3398" w:type="dxa"/>
                  <w:vAlign w:val="center"/>
                </w:tcPr>
                <w:p>
                  <w:pPr>
                    <w:jc w:val="center"/>
                    <w:rPr>
                      <w:rFonts w:ascii="宋体" w:hAnsi="宋体" w:cs="宋体"/>
                      <w:szCs w:val="21"/>
                    </w:rPr>
                  </w:pPr>
                  <w:r>
                    <w:rPr>
                      <w:rFonts w:hint="eastAsia" w:ascii="宋体" w:hAnsi="宋体" w:cs="宋体"/>
                      <w:szCs w:val="21"/>
                    </w:rPr>
                    <w:t>1500m</w:t>
                  </w:r>
                  <w:r>
                    <w:rPr>
                      <w:rFonts w:hint="eastAsia" w:ascii="宋体" w:hAnsi="宋体" w:cs="宋体"/>
                      <w:szCs w:val="21"/>
                      <w:vertAlign w:val="superscript"/>
                    </w:rPr>
                    <w:t>3</w:t>
                  </w: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整机功率</w:t>
                  </w:r>
                </w:p>
              </w:tc>
              <w:tc>
                <w:tcPr>
                  <w:tcW w:w="3398" w:type="dxa"/>
                  <w:vAlign w:val="center"/>
                </w:tcPr>
                <w:p>
                  <w:pPr>
                    <w:jc w:val="center"/>
                    <w:rPr>
                      <w:rFonts w:ascii="宋体" w:hAnsi="宋体" w:cs="宋体"/>
                      <w:szCs w:val="21"/>
                    </w:rPr>
                  </w:pPr>
                  <w:r>
                    <w:rPr>
                      <w:rFonts w:hint="eastAsia" w:ascii="宋体" w:hAnsi="宋体" w:cs="宋体"/>
                      <w:szCs w:val="21"/>
                    </w:rPr>
                    <w:t>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过滤效率</w:t>
                  </w:r>
                </w:p>
              </w:tc>
              <w:tc>
                <w:tcPr>
                  <w:tcW w:w="3398" w:type="dxa"/>
                  <w:vAlign w:val="center"/>
                </w:tcPr>
                <w:p>
                  <w:pPr>
                    <w:jc w:val="center"/>
                    <w:rPr>
                      <w:rFonts w:ascii="宋体" w:hAnsi="宋体" w:cs="宋体"/>
                      <w:szCs w:val="21"/>
                    </w:rPr>
                  </w:pPr>
                  <w:r>
                    <w:rPr>
                      <w:rFonts w:hint="eastAsia" w:ascii="宋体" w:hAnsi="宋体" w:cs="宋体"/>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滤芯</w:t>
                  </w:r>
                </w:p>
              </w:tc>
              <w:tc>
                <w:tcPr>
                  <w:tcW w:w="3398" w:type="dxa"/>
                  <w:vAlign w:val="center"/>
                </w:tcPr>
                <w:p>
                  <w:pPr>
                    <w:jc w:val="center"/>
                    <w:rPr>
                      <w:rFonts w:ascii="宋体" w:hAnsi="宋体" w:cs="宋体"/>
                      <w:szCs w:val="21"/>
                    </w:rPr>
                  </w:pPr>
                  <w:r>
                    <w:rPr>
                      <w:rFonts w:hint="eastAsia" w:ascii="宋体" w:hAnsi="宋体" w:cs="宋体"/>
                      <w:szCs w:val="21"/>
                    </w:rPr>
                    <w:t>305mm*375mm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过滤面积</w:t>
                  </w:r>
                </w:p>
              </w:tc>
              <w:tc>
                <w:tcPr>
                  <w:tcW w:w="3398" w:type="dxa"/>
                  <w:vAlign w:val="center"/>
                </w:tcPr>
                <w:p>
                  <w:pPr>
                    <w:jc w:val="center"/>
                    <w:rPr>
                      <w:rFonts w:ascii="宋体" w:hAnsi="宋体" w:cs="宋体"/>
                      <w:szCs w:val="21"/>
                    </w:rPr>
                  </w:pPr>
                  <w:r>
                    <w:rPr>
                      <w:rFonts w:hint="eastAsia" w:ascii="宋体" w:hAnsi="宋体" w:cs="宋体"/>
                      <w:szCs w:val="21"/>
                    </w:rPr>
                    <w:t>15M</w:t>
                  </w:r>
                  <w:r>
                    <w:rPr>
                      <w:rFonts w:hint="eastAsia" w:ascii="宋体" w:hAnsi="宋体" w:cs="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restart"/>
                  <w:vAlign w:val="center"/>
                </w:tcPr>
                <w:p>
                  <w:pPr>
                    <w:jc w:val="center"/>
                    <w:rPr>
                      <w:rFonts w:ascii="宋体" w:hAnsi="宋体" w:cs="宋体"/>
                      <w:szCs w:val="21"/>
                    </w:rPr>
                  </w:pPr>
                  <w:r>
                    <w:rPr>
                      <w:rFonts w:hint="eastAsia" w:ascii="宋体" w:hAnsi="宋体" w:cs="宋体"/>
                      <w:szCs w:val="21"/>
                    </w:rPr>
                    <w:t>吸气臂</w:t>
                  </w:r>
                </w:p>
              </w:tc>
              <w:tc>
                <w:tcPr>
                  <w:tcW w:w="3398" w:type="dxa"/>
                  <w:vAlign w:val="center"/>
                </w:tcPr>
                <w:p>
                  <w:pPr>
                    <w:jc w:val="center"/>
                    <w:rPr>
                      <w:rFonts w:ascii="宋体" w:hAnsi="宋体" w:cs="宋体"/>
                      <w:szCs w:val="21"/>
                    </w:rPr>
                  </w:pPr>
                  <w:r>
                    <w:rPr>
                      <w:rFonts w:hint="eastAsia" w:ascii="宋体" w:hAnsi="宋体" w:cs="宋体"/>
                      <w:szCs w:val="21"/>
                    </w:rPr>
                    <w:t>ф150mm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continue"/>
                  <w:vAlign w:val="center"/>
                </w:tcPr>
                <w:p>
                  <w:pPr>
                    <w:jc w:val="center"/>
                    <w:rPr>
                      <w:rFonts w:ascii="宋体" w:hAnsi="宋体" w:cs="宋体"/>
                      <w:szCs w:val="21"/>
                    </w:rPr>
                  </w:pPr>
                </w:p>
              </w:tc>
              <w:tc>
                <w:tcPr>
                  <w:tcW w:w="3398" w:type="dxa"/>
                  <w:vAlign w:val="center"/>
                </w:tcPr>
                <w:p>
                  <w:pPr>
                    <w:jc w:val="center"/>
                    <w:rPr>
                      <w:rFonts w:ascii="宋体" w:hAnsi="宋体" w:cs="宋体"/>
                      <w:szCs w:val="21"/>
                    </w:rPr>
                  </w:pPr>
                  <w:r>
                    <w:rPr>
                      <w:rFonts w:hint="eastAsia" w:ascii="宋体" w:hAnsi="宋体" w:cs="宋体"/>
                      <w:szCs w:val="21"/>
                    </w:rPr>
                    <w:t>长度2.5m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continue"/>
                  <w:vAlign w:val="center"/>
                </w:tcPr>
                <w:p>
                  <w:pPr>
                    <w:jc w:val="center"/>
                    <w:rPr>
                      <w:rFonts w:ascii="宋体" w:hAnsi="宋体" w:cs="宋体"/>
                      <w:szCs w:val="21"/>
                    </w:rPr>
                  </w:pPr>
                </w:p>
              </w:tc>
              <w:tc>
                <w:tcPr>
                  <w:tcW w:w="3398" w:type="dxa"/>
                  <w:vAlign w:val="center"/>
                </w:tcPr>
                <w:p>
                  <w:pPr>
                    <w:jc w:val="center"/>
                    <w:rPr>
                      <w:rFonts w:ascii="宋体" w:hAnsi="宋体" w:cs="宋体"/>
                      <w:szCs w:val="21"/>
                    </w:rPr>
                  </w:pPr>
                  <w:r>
                    <w:rPr>
                      <w:rFonts w:hint="eastAsia" w:ascii="宋体" w:hAnsi="宋体" w:cs="宋体"/>
                      <w:szCs w:val="21"/>
                    </w:rPr>
                    <w:t>吸气罩马蹄口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561" w:type="dxa"/>
                  <w:vAlign w:val="center"/>
                </w:tcPr>
                <w:p>
                  <w:pPr>
                    <w:jc w:val="center"/>
                    <w:rPr>
                      <w:rFonts w:ascii="宋体" w:hAnsi="宋体" w:cs="宋体"/>
                      <w:szCs w:val="21"/>
                    </w:rPr>
                  </w:pPr>
                  <w:r>
                    <w:rPr>
                      <w:rFonts w:hint="eastAsia" w:ascii="宋体" w:hAnsi="宋体" w:cs="宋体"/>
                      <w:szCs w:val="21"/>
                    </w:rPr>
                    <w:t>噪音</w:t>
                  </w:r>
                </w:p>
              </w:tc>
              <w:tc>
                <w:tcPr>
                  <w:tcW w:w="3398" w:type="dxa"/>
                  <w:vAlign w:val="center"/>
                </w:tcPr>
                <w:p>
                  <w:pPr>
                    <w:jc w:val="center"/>
                    <w:rPr>
                      <w:rFonts w:ascii="宋体" w:hAnsi="宋体" w:cs="宋体"/>
                      <w:szCs w:val="21"/>
                    </w:rPr>
                  </w:pPr>
                  <w:r>
                    <w:rPr>
                      <w:rFonts w:hint="eastAsia" w:ascii="宋体" w:hAnsi="宋体" w:cs="宋体"/>
                      <w:szCs w:val="21"/>
                    </w:rPr>
                    <w:t>≤66dB(A)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561" w:type="dxa"/>
                  <w:vAlign w:val="center"/>
                </w:tcPr>
                <w:p>
                  <w:pPr>
                    <w:jc w:val="center"/>
                    <w:rPr>
                      <w:rFonts w:ascii="宋体" w:hAnsi="宋体" w:cs="宋体"/>
                      <w:szCs w:val="21"/>
                    </w:rPr>
                  </w:pPr>
                  <w:r>
                    <w:rPr>
                      <w:rFonts w:hint="eastAsia" w:ascii="宋体" w:hAnsi="宋体" w:cs="宋体"/>
                      <w:szCs w:val="21"/>
                    </w:rPr>
                    <w:t>尺寸</w:t>
                  </w:r>
                </w:p>
              </w:tc>
              <w:tc>
                <w:tcPr>
                  <w:tcW w:w="3398" w:type="dxa"/>
                  <w:vAlign w:val="center"/>
                </w:tcPr>
                <w:p>
                  <w:pPr>
                    <w:jc w:val="center"/>
                    <w:rPr>
                      <w:rFonts w:ascii="宋体" w:hAnsi="宋体" w:cs="宋体"/>
                      <w:szCs w:val="21"/>
                    </w:rPr>
                  </w:pPr>
                  <w:r>
                    <w:rPr>
                      <w:rFonts w:hint="eastAsia" w:ascii="宋体" w:hAnsi="宋体" w:cs="宋体"/>
                      <w:szCs w:val="21"/>
                    </w:rPr>
                    <w:t>长72cm、宽55cm、高132cm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61" w:type="dxa"/>
                  <w:vAlign w:val="center"/>
                </w:tcPr>
                <w:p>
                  <w:pPr>
                    <w:jc w:val="center"/>
                    <w:rPr>
                      <w:rFonts w:ascii="宋体" w:hAnsi="宋体" w:cs="宋体"/>
                      <w:szCs w:val="21"/>
                    </w:rPr>
                  </w:pPr>
                  <w:r>
                    <w:rPr>
                      <w:rFonts w:hint="eastAsia" w:ascii="宋体" w:hAnsi="宋体" w:cs="宋体"/>
                      <w:szCs w:val="21"/>
                    </w:rPr>
                    <w:t>清灰方式</w:t>
                  </w:r>
                </w:p>
              </w:tc>
              <w:tc>
                <w:tcPr>
                  <w:tcW w:w="3398" w:type="dxa"/>
                  <w:vAlign w:val="center"/>
                </w:tcPr>
                <w:p>
                  <w:pPr>
                    <w:jc w:val="center"/>
                    <w:rPr>
                      <w:rFonts w:ascii="宋体" w:hAnsi="宋体" w:cs="宋体"/>
                      <w:szCs w:val="21"/>
                    </w:rPr>
                  </w:pPr>
                  <w:r>
                    <w:rPr>
                      <w:rFonts w:hint="eastAsia" w:ascii="宋体" w:hAnsi="宋体" w:cs="宋体"/>
                      <w:szCs w:val="21"/>
                    </w:rPr>
                    <w:t>机械清灰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电源</w:t>
                  </w:r>
                </w:p>
              </w:tc>
              <w:tc>
                <w:tcPr>
                  <w:tcW w:w="3398" w:type="dxa"/>
                  <w:vAlign w:val="center"/>
                </w:tcPr>
                <w:p>
                  <w:pPr>
                    <w:jc w:val="center"/>
                    <w:rPr>
                      <w:rFonts w:ascii="宋体" w:hAnsi="宋体" w:cs="宋体"/>
                      <w:szCs w:val="21"/>
                    </w:rPr>
                  </w:pPr>
                  <w:r>
                    <w:rPr>
                      <w:rFonts w:hint="eastAsia" w:ascii="宋体" w:hAnsi="宋体" w:cs="宋体"/>
                      <w:szCs w:val="21"/>
                    </w:rPr>
                    <w:t>380V/50HZ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处理风量</w:t>
                  </w:r>
                </w:p>
              </w:tc>
              <w:tc>
                <w:tcPr>
                  <w:tcW w:w="3398" w:type="dxa"/>
                  <w:vAlign w:val="center"/>
                </w:tcPr>
                <w:p>
                  <w:pPr>
                    <w:jc w:val="center"/>
                    <w:rPr>
                      <w:rFonts w:ascii="宋体" w:hAnsi="宋体" w:cs="宋体"/>
                      <w:szCs w:val="21"/>
                    </w:rPr>
                  </w:pPr>
                  <w:r>
                    <w:rPr>
                      <w:rFonts w:hint="eastAsia" w:ascii="宋体" w:hAnsi="宋体" w:cs="宋体"/>
                      <w:szCs w:val="21"/>
                    </w:rPr>
                    <w:t>1500m</w:t>
                  </w:r>
                  <w:r>
                    <w:rPr>
                      <w:rFonts w:hint="eastAsia" w:ascii="宋体" w:hAnsi="宋体" w:cs="宋体"/>
                      <w:szCs w:val="21"/>
                      <w:vertAlign w:val="superscript"/>
                    </w:rPr>
                    <w:t>3</w:t>
                  </w: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整机功率</w:t>
                  </w:r>
                </w:p>
              </w:tc>
              <w:tc>
                <w:tcPr>
                  <w:tcW w:w="3398" w:type="dxa"/>
                  <w:vAlign w:val="center"/>
                </w:tcPr>
                <w:p>
                  <w:pPr>
                    <w:jc w:val="center"/>
                    <w:rPr>
                      <w:rFonts w:ascii="宋体" w:hAnsi="宋体" w:cs="宋体"/>
                      <w:szCs w:val="21"/>
                    </w:rPr>
                  </w:pPr>
                  <w:r>
                    <w:rPr>
                      <w:rFonts w:hint="eastAsia" w:ascii="宋体" w:hAnsi="宋体" w:cs="宋体"/>
                      <w:szCs w:val="21"/>
                    </w:rPr>
                    <w:t>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过滤效率</w:t>
                  </w:r>
                </w:p>
              </w:tc>
              <w:tc>
                <w:tcPr>
                  <w:tcW w:w="3398" w:type="dxa"/>
                  <w:vAlign w:val="center"/>
                </w:tcPr>
                <w:p>
                  <w:pPr>
                    <w:jc w:val="center"/>
                    <w:rPr>
                      <w:rFonts w:ascii="宋体" w:hAnsi="宋体" w:cs="宋体"/>
                      <w:szCs w:val="21"/>
                    </w:rPr>
                  </w:pPr>
                  <w:r>
                    <w:rPr>
                      <w:rFonts w:hint="eastAsia" w:ascii="宋体" w:hAnsi="宋体" w:cs="宋体"/>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滤芯</w:t>
                  </w:r>
                </w:p>
              </w:tc>
              <w:tc>
                <w:tcPr>
                  <w:tcW w:w="3398" w:type="dxa"/>
                  <w:vAlign w:val="center"/>
                </w:tcPr>
                <w:p>
                  <w:pPr>
                    <w:jc w:val="center"/>
                    <w:rPr>
                      <w:rFonts w:ascii="宋体" w:hAnsi="宋体" w:cs="宋体"/>
                      <w:szCs w:val="21"/>
                    </w:rPr>
                  </w:pPr>
                  <w:r>
                    <w:rPr>
                      <w:rFonts w:hint="eastAsia" w:ascii="宋体" w:hAnsi="宋体" w:cs="宋体"/>
                      <w:szCs w:val="21"/>
                    </w:rPr>
                    <w:t>305mm*375mm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过滤面积</w:t>
                  </w:r>
                </w:p>
              </w:tc>
              <w:tc>
                <w:tcPr>
                  <w:tcW w:w="3398" w:type="dxa"/>
                  <w:vAlign w:val="center"/>
                </w:tcPr>
                <w:p>
                  <w:pPr>
                    <w:jc w:val="center"/>
                    <w:rPr>
                      <w:rFonts w:ascii="宋体" w:hAnsi="宋体" w:cs="宋体"/>
                      <w:szCs w:val="21"/>
                    </w:rPr>
                  </w:pPr>
                  <w:r>
                    <w:rPr>
                      <w:rFonts w:hint="eastAsia" w:ascii="宋体" w:hAnsi="宋体" w:cs="宋体"/>
                      <w:szCs w:val="21"/>
                    </w:rPr>
                    <w:t>15M</w:t>
                  </w:r>
                  <w:r>
                    <w:rPr>
                      <w:rFonts w:hint="eastAsia" w:ascii="宋体" w:hAnsi="宋体" w:cs="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restart"/>
                  <w:vAlign w:val="center"/>
                </w:tcPr>
                <w:p>
                  <w:pPr>
                    <w:jc w:val="center"/>
                    <w:rPr>
                      <w:rFonts w:ascii="宋体" w:hAnsi="宋体" w:cs="宋体"/>
                      <w:szCs w:val="21"/>
                    </w:rPr>
                  </w:pPr>
                  <w:r>
                    <w:rPr>
                      <w:rFonts w:hint="eastAsia" w:ascii="宋体" w:hAnsi="宋体" w:cs="宋体"/>
                      <w:szCs w:val="21"/>
                    </w:rPr>
                    <w:t>吸气臂</w:t>
                  </w:r>
                </w:p>
              </w:tc>
              <w:tc>
                <w:tcPr>
                  <w:tcW w:w="3398" w:type="dxa"/>
                  <w:vAlign w:val="center"/>
                </w:tcPr>
                <w:p>
                  <w:pPr>
                    <w:jc w:val="center"/>
                    <w:rPr>
                      <w:rFonts w:ascii="宋体" w:hAnsi="宋体" w:cs="宋体"/>
                      <w:szCs w:val="21"/>
                    </w:rPr>
                  </w:pPr>
                  <w:r>
                    <w:rPr>
                      <w:rFonts w:hint="eastAsia" w:ascii="宋体" w:hAnsi="宋体" w:cs="宋体"/>
                      <w:szCs w:val="21"/>
                    </w:rPr>
                    <w:t>ф150mm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continue"/>
                  <w:vAlign w:val="center"/>
                </w:tcPr>
                <w:p>
                  <w:pPr>
                    <w:jc w:val="center"/>
                    <w:rPr>
                      <w:rFonts w:ascii="宋体" w:hAnsi="宋体" w:cs="宋体"/>
                      <w:szCs w:val="21"/>
                    </w:rPr>
                  </w:pPr>
                </w:p>
              </w:tc>
              <w:tc>
                <w:tcPr>
                  <w:tcW w:w="3398" w:type="dxa"/>
                  <w:vAlign w:val="center"/>
                </w:tcPr>
                <w:p>
                  <w:pPr>
                    <w:jc w:val="center"/>
                    <w:rPr>
                      <w:rFonts w:ascii="宋体" w:hAnsi="宋体" w:cs="宋体"/>
                      <w:szCs w:val="21"/>
                    </w:rPr>
                  </w:pPr>
                  <w:r>
                    <w:rPr>
                      <w:rFonts w:hint="eastAsia" w:ascii="宋体" w:hAnsi="宋体" w:cs="宋体"/>
                      <w:szCs w:val="21"/>
                    </w:rPr>
                    <w:t>长度2.5m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continue"/>
                  <w:vAlign w:val="center"/>
                </w:tcPr>
                <w:p>
                  <w:pPr>
                    <w:jc w:val="center"/>
                    <w:rPr>
                      <w:rFonts w:ascii="宋体" w:hAnsi="宋体" w:cs="宋体"/>
                      <w:szCs w:val="21"/>
                    </w:rPr>
                  </w:pPr>
                </w:p>
              </w:tc>
              <w:tc>
                <w:tcPr>
                  <w:tcW w:w="3398" w:type="dxa"/>
                  <w:vAlign w:val="center"/>
                </w:tcPr>
                <w:p>
                  <w:pPr>
                    <w:jc w:val="center"/>
                    <w:rPr>
                      <w:rFonts w:ascii="宋体" w:hAnsi="宋体" w:cs="宋体"/>
                      <w:szCs w:val="21"/>
                    </w:rPr>
                  </w:pPr>
                  <w:r>
                    <w:rPr>
                      <w:rFonts w:hint="eastAsia" w:ascii="宋体" w:hAnsi="宋体" w:cs="宋体"/>
                      <w:szCs w:val="21"/>
                    </w:rPr>
                    <w:t>吸气罩马蹄口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561" w:type="dxa"/>
                  <w:vAlign w:val="center"/>
                </w:tcPr>
                <w:p>
                  <w:pPr>
                    <w:jc w:val="center"/>
                    <w:rPr>
                      <w:rFonts w:ascii="宋体" w:hAnsi="宋体" w:cs="宋体"/>
                      <w:szCs w:val="21"/>
                    </w:rPr>
                  </w:pPr>
                  <w:r>
                    <w:rPr>
                      <w:rFonts w:hint="eastAsia" w:ascii="宋体" w:hAnsi="宋体" w:cs="宋体"/>
                      <w:szCs w:val="21"/>
                    </w:rPr>
                    <w:t>噪音</w:t>
                  </w:r>
                </w:p>
              </w:tc>
              <w:tc>
                <w:tcPr>
                  <w:tcW w:w="3398" w:type="dxa"/>
                  <w:vAlign w:val="center"/>
                </w:tcPr>
                <w:p>
                  <w:pPr>
                    <w:jc w:val="center"/>
                    <w:rPr>
                      <w:rFonts w:ascii="宋体" w:hAnsi="宋体" w:cs="宋体"/>
                      <w:szCs w:val="21"/>
                    </w:rPr>
                  </w:pPr>
                  <w:r>
                    <w:rPr>
                      <w:rFonts w:hint="eastAsia" w:ascii="宋体" w:hAnsi="宋体" w:cs="宋体"/>
                      <w:szCs w:val="21"/>
                    </w:rPr>
                    <w:t>≤66dB(A)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561" w:type="dxa"/>
                  <w:vAlign w:val="center"/>
                </w:tcPr>
                <w:p>
                  <w:pPr>
                    <w:jc w:val="center"/>
                    <w:rPr>
                      <w:rFonts w:ascii="宋体" w:hAnsi="宋体" w:cs="宋体"/>
                      <w:szCs w:val="21"/>
                    </w:rPr>
                  </w:pPr>
                  <w:r>
                    <w:rPr>
                      <w:rFonts w:hint="eastAsia" w:ascii="宋体" w:hAnsi="宋体" w:cs="宋体"/>
                      <w:szCs w:val="21"/>
                    </w:rPr>
                    <w:t>尺寸</w:t>
                  </w:r>
                </w:p>
              </w:tc>
              <w:tc>
                <w:tcPr>
                  <w:tcW w:w="3398" w:type="dxa"/>
                  <w:vAlign w:val="center"/>
                </w:tcPr>
                <w:p>
                  <w:pPr>
                    <w:jc w:val="center"/>
                    <w:rPr>
                      <w:rFonts w:ascii="宋体" w:hAnsi="宋体" w:cs="宋体"/>
                      <w:szCs w:val="21"/>
                    </w:rPr>
                  </w:pPr>
                  <w:r>
                    <w:rPr>
                      <w:rFonts w:hint="eastAsia" w:ascii="宋体" w:hAnsi="宋体" w:cs="宋体"/>
                      <w:szCs w:val="21"/>
                    </w:rPr>
                    <w:t>长72cm、宽55cm、高132cm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61" w:type="dxa"/>
                  <w:vAlign w:val="center"/>
                </w:tcPr>
                <w:p>
                  <w:pPr>
                    <w:jc w:val="center"/>
                    <w:rPr>
                      <w:rFonts w:ascii="宋体" w:hAnsi="宋体" w:cs="宋体"/>
                      <w:szCs w:val="21"/>
                    </w:rPr>
                  </w:pPr>
                  <w:r>
                    <w:rPr>
                      <w:rFonts w:hint="eastAsia" w:ascii="宋体" w:hAnsi="宋体" w:cs="宋体"/>
                      <w:szCs w:val="21"/>
                    </w:rPr>
                    <w:t>清灰方式</w:t>
                  </w:r>
                </w:p>
              </w:tc>
              <w:tc>
                <w:tcPr>
                  <w:tcW w:w="3398" w:type="dxa"/>
                  <w:vAlign w:val="center"/>
                </w:tcPr>
                <w:p>
                  <w:pPr>
                    <w:jc w:val="center"/>
                    <w:rPr>
                      <w:rFonts w:ascii="宋体" w:hAnsi="宋体" w:cs="宋体"/>
                      <w:szCs w:val="21"/>
                    </w:rPr>
                  </w:pPr>
                  <w:r>
                    <w:rPr>
                      <w:rFonts w:hint="eastAsia" w:ascii="宋体" w:hAnsi="宋体" w:cs="宋体"/>
                      <w:szCs w:val="21"/>
                    </w:rPr>
                    <w:t>机械清灰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电源</w:t>
                  </w:r>
                </w:p>
              </w:tc>
              <w:tc>
                <w:tcPr>
                  <w:tcW w:w="3398" w:type="dxa"/>
                  <w:vAlign w:val="center"/>
                </w:tcPr>
                <w:p>
                  <w:pPr>
                    <w:jc w:val="center"/>
                    <w:rPr>
                      <w:rFonts w:ascii="宋体" w:hAnsi="宋体" w:cs="宋体"/>
                      <w:szCs w:val="21"/>
                    </w:rPr>
                  </w:pPr>
                  <w:r>
                    <w:rPr>
                      <w:rFonts w:hint="eastAsia" w:ascii="宋体" w:hAnsi="宋体" w:cs="宋体"/>
                      <w:szCs w:val="21"/>
                    </w:rPr>
                    <w:t>380V/50HZ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处理风量</w:t>
                  </w:r>
                </w:p>
              </w:tc>
              <w:tc>
                <w:tcPr>
                  <w:tcW w:w="3398" w:type="dxa"/>
                  <w:vAlign w:val="center"/>
                </w:tcPr>
                <w:p>
                  <w:pPr>
                    <w:jc w:val="center"/>
                    <w:rPr>
                      <w:rFonts w:ascii="宋体" w:hAnsi="宋体" w:cs="宋体"/>
                      <w:szCs w:val="21"/>
                    </w:rPr>
                  </w:pPr>
                  <w:r>
                    <w:rPr>
                      <w:rFonts w:hint="eastAsia" w:ascii="宋体" w:hAnsi="宋体" w:cs="宋体"/>
                      <w:szCs w:val="21"/>
                    </w:rPr>
                    <w:t>1500m</w:t>
                  </w:r>
                  <w:r>
                    <w:rPr>
                      <w:rFonts w:hint="eastAsia" w:ascii="宋体" w:hAnsi="宋体" w:cs="宋体"/>
                      <w:szCs w:val="21"/>
                      <w:vertAlign w:val="superscript"/>
                    </w:rPr>
                    <w:t>3</w:t>
                  </w: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整机功率</w:t>
                  </w:r>
                </w:p>
              </w:tc>
              <w:tc>
                <w:tcPr>
                  <w:tcW w:w="3398" w:type="dxa"/>
                  <w:vAlign w:val="center"/>
                </w:tcPr>
                <w:p>
                  <w:pPr>
                    <w:jc w:val="center"/>
                    <w:rPr>
                      <w:rFonts w:ascii="宋体" w:hAnsi="宋体" w:cs="宋体"/>
                      <w:szCs w:val="21"/>
                    </w:rPr>
                  </w:pPr>
                  <w:r>
                    <w:rPr>
                      <w:rFonts w:hint="eastAsia" w:ascii="宋体" w:hAnsi="宋体" w:cs="宋体"/>
                      <w:szCs w:val="21"/>
                    </w:rPr>
                    <w:t>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过滤效率</w:t>
                  </w:r>
                </w:p>
              </w:tc>
              <w:tc>
                <w:tcPr>
                  <w:tcW w:w="3398" w:type="dxa"/>
                  <w:vAlign w:val="center"/>
                </w:tcPr>
                <w:p>
                  <w:pPr>
                    <w:jc w:val="center"/>
                    <w:rPr>
                      <w:rFonts w:ascii="宋体" w:hAnsi="宋体" w:cs="宋体"/>
                      <w:szCs w:val="21"/>
                    </w:rPr>
                  </w:pPr>
                  <w:r>
                    <w:rPr>
                      <w:rFonts w:hint="eastAsia" w:ascii="宋体" w:hAnsi="宋体" w:cs="宋体"/>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滤芯</w:t>
                  </w:r>
                </w:p>
              </w:tc>
              <w:tc>
                <w:tcPr>
                  <w:tcW w:w="3398" w:type="dxa"/>
                  <w:vAlign w:val="center"/>
                </w:tcPr>
                <w:p>
                  <w:pPr>
                    <w:jc w:val="center"/>
                    <w:rPr>
                      <w:rFonts w:ascii="宋体" w:hAnsi="宋体" w:cs="宋体"/>
                      <w:szCs w:val="21"/>
                    </w:rPr>
                  </w:pPr>
                  <w:r>
                    <w:rPr>
                      <w:rFonts w:hint="eastAsia" w:ascii="宋体" w:hAnsi="宋体" w:cs="宋体"/>
                      <w:szCs w:val="21"/>
                    </w:rPr>
                    <w:t>305mm*375mm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过滤面积</w:t>
                  </w:r>
                </w:p>
              </w:tc>
              <w:tc>
                <w:tcPr>
                  <w:tcW w:w="3398" w:type="dxa"/>
                  <w:vAlign w:val="center"/>
                </w:tcPr>
                <w:p>
                  <w:pPr>
                    <w:jc w:val="center"/>
                    <w:rPr>
                      <w:rFonts w:ascii="宋体" w:hAnsi="宋体" w:cs="宋体"/>
                      <w:szCs w:val="21"/>
                    </w:rPr>
                  </w:pPr>
                  <w:r>
                    <w:rPr>
                      <w:rFonts w:hint="eastAsia" w:ascii="宋体" w:hAnsi="宋体" w:cs="宋体"/>
                      <w:szCs w:val="21"/>
                    </w:rPr>
                    <w:t>15M</w:t>
                  </w:r>
                  <w:r>
                    <w:rPr>
                      <w:rFonts w:hint="eastAsia" w:ascii="宋体" w:hAnsi="宋体" w:cs="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restart"/>
                  <w:vAlign w:val="center"/>
                </w:tcPr>
                <w:p>
                  <w:pPr>
                    <w:jc w:val="center"/>
                    <w:rPr>
                      <w:rFonts w:ascii="宋体" w:hAnsi="宋体" w:cs="宋体"/>
                      <w:szCs w:val="21"/>
                    </w:rPr>
                  </w:pPr>
                  <w:r>
                    <w:rPr>
                      <w:rFonts w:hint="eastAsia" w:ascii="宋体" w:hAnsi="宋体" w:cs="宋体"/>
                      <w:szCs w:val="21"/>
                    </w:rPr>
                    <w:t>吸气臂</w:t>
                  </w:r>
                </w:p>
              </w:tc>
              <w:tc>
                <w:tcPr>
                  <w:tcW w:w="3398" w:type="dxa"/>
                  <w:vAlign w:val="center"/>
                </w:tcPr>
                <w:p>
                  <w:pPr>
                    <w:jc w:val="center"/>
                    <w:rPr>
                      <w:rFonts w:ascii="宋体" w:hAnsi="宋体" w:cs="宋体"/>
                      <w:szCs w:val="21"/>
                    </w:rPr>
                  </w:pPr>
                  <w:r>
                    <w:rPr>
                      <w:rFonts w:hint="eastAsia" w:ascii="宋体" w:hAnsi="宋体" w:cs="宋体"/>
                      <w:szCs w:val="21"/>
                    </w:rPr>
                    <w:t>ф150mm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continue"/>
                  <w:vAlign w:val="center"/>
                </w:tcPr>
                <w:p>
                  <w:pPr>
                    <w:jc w:val="center"/>
                    <w:rPr>
                      <w:rFonts w:ascii="宋体" w:hAnsi="宋体" w:cs="宋体"/>
                      <w:szCs w:val="21"/>
                    </w:rPr>
                  </w:pPr>
                </w:p>
              </w:tc>
              <w:tc>
                <w:tcPr>
                  <w:tcW w:w="3398" w:type="dxa"/>
                  <w:vAlign w:val="center"/>
                </w:tcPr>
                <w:p>
                  <w:pPr>
                    <w:jc w:val="center"/>
                    <w:rPr>
                      <w:rFonts w:ascii="宋体" w:hAnsi="宋体" w:cs="宋体"/>
                      <w:szCs w:val="21"/>
                    </w:rPr>
                  </w:pPr>
                  <w:r>
                    <w:rPr>
                      <w:rFonts w:hint="eastAsia" w:ascii="宋体" w:hAnsi="宋体" w:cs="宋体"/>
                      <w:szCs w:val="21"/>
                    </w:rPr>
                    <w:t>长度2.5m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continue"/>
                  <w:vAlign w:val="center"/>
                </w:tcPr>
                <w:p>
                  <w:pPr>
                    <w:jc w:val="center"/>
                    <w:rPr>
                      <w:rFonts w:ascii="宋体" w:hAnsi="宋体" w:cs="宋体"/>
                      <w:szCs w:val="21"/>
                    </w:rPr>
                  </w:pPr>
                </w:p>
              </w:tc>
              <w:tc>
                <w:tcPr>
                  <w:tcW w:w="3398" w:type="dxa"/>
                  <w:vAlign w:val="center"/>
                </w:tcPr>
                <w:p>
                  <w:pPr>
                    <w:jc w:val="center"/>
                    <w:rPr>
                      <w:rFonts w:ascii="宋体" w:hAnsi="宋体" w:cs="宋体"/>
                      <w:szCs w:val="21"/>
                    </w:rPr>
                  </w:pPr>
                  <w:r>
                    <w:rPr>
                      <w:rFonts w:hint="eastAsia" w:ascii="宋体" w:hAnsi="宋体" w:cs="宋体"/>
                      <w:szCs w:val="21"/>
                    </w:rPr>
                    <w:t>吸气罩马蹄口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561" w:type="dxa"/>
                  <w:vAlign w:val="center"/>
                </w:tcPr>
                <w:p>
                  <w:pPr>
                    <w:jc w:val="center"/>
                    <w:rPr>
                      <w:rFonts w:ascii="宋体" w:hAnsi="宋体" w:cs="宋体"/>
                      <w:szCs w:val="21"/>
                    </w:rPr>
                  </w:pPr>
                  <w:r>
                    <w:rPr>
                      <w:rFonts w:hint="eastAsia" w:ascii="宋体" w:hAnsi="宋体" w:cs="宋体"/>
                      <w:szCs w:val="21"/>
                    </w:rPr>
                    <w:t>噪音</w:t>
                  </w:r>
                </w:p>
              </w:tc>
              <w:tc>
                <w:tcPr>
                  <w:tcW w:w="3398" w:type="dxa"/>
                  <w:vAlign w:val="center"/>
                </w:tcPr>
                <w:p>
                  <w:pPr>
                    <w:jc w:val="center"/>
                    <w:rPr>
                      <w:rFonts w:ascii="宋体" w:hAnsi="宋体" w:cs="宋体"/>
                      <w:szCs w:val="21"/>
                    </w:rPr>
                  </w:pPr>
                  <w:r>
                    <w:rPr>
                      <w:rFonts w:hint="eastAsia" w:ascii="宋体" w:hAnsi="宋体" w:cs="宋体"/>
                      <w:szCs w:val="21"/>
                    </w:rPr>
                    <w:t>≤66dB(A)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561" w:type="dxa"/>
                  <w:vAlign w:val="center"/>
                </w:tcPr>
                <w:p>
                  <w:pPr>
                    <w:jc w:val="center"/>
                    <w:rPr>
                      <w:rFonts w:ascii="宋体" w:hAnsi="宋体" w:cs="宋体"/>
                      <w:szCs w:val="21"/>
                    </w:rPr>
                  </w:pPr>
                  <w:r>
                    <w:rPr>
                      <w:rFonts w:hint="eastAsia" w:ascii="宋体" w:hAnsi="宋体" w:cs="宋体"/>
                      <w:szCs w:val="21"/>
                    </w:rPr>
                    <w:t>尺寸</w:t>
                  </w:r>
                </w:p>
              </w:tc>
              <w:tc>
                <w:tcPr>
                  <w:tcW w:w="3398" w:type="dxa"/>
                  <w:vAlign w:val="center"/>
                </w:tcPr>
                <w:p>
                  <w:pPr>
                    <w:jc w:val="center"/>
                    <w:rPr>
                      <w:rFonts w:ascii="宋体" w:hAnsi="宋体" w:cs="宋体"/>
                      <w:szCs w:val="21"/>
                    </w:rPr>
                  </w:pPr>
                  <w:r>
                    <w:rPr>
                      <w:rFonts w:hint="eastAsia" w:ascii="宋体" w:hAnsi="宋体" w:cs="宋体"/>
                      <w:szCs w:val="21"/>
                    </w:rPr>
                    <w:t>长72cm、宽55cm、高132cm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61" w:type="dxa"/>
                  <w:vAlign w:val="center"/>
                </w:tcPr>
                <w:p>
                  <w:pPr>
                    <w:jc w:val="center"/>
                    <w:rPr>
                      <w:rFonts w:ascii="宋体" w:hAnsi="宋体" w:cs="宋体"/>
                      <w:szCs w:val="21"/>
                    </w:rPr>
                  </w:pPr>
                  <w:r>
                    <w:rPr>
                      <w:rFonts w:hint="eastAsia" w:ascii="宋体" w:hAnsi="宋体" w:cs="宋体"/>
                      <w:szCs w:val="21"/>
                    </w:rPr>
                    <w:t>清灰方式</w:t>
                  </w:r>
                </w:p>
              </w:tc>
              <w:tc>
                <w:tcPr>
                  <w:tcW w:w="3398" w:type="dxa"/>
                  <w:vAlign w:val="center"/>
                </w:tcPr>
                <w:p>
                  <w:pPr>
                    <w:jc w:val="center"/>
                    <w:rPr>
                      <w:rFonts w:ascii="宋体" w:hAnsi="宋体" w:cs="宋体"/>
                      <w:szCs w:val="21"/>
                    </w:rPr>
                  </w:pPr>
                  <w:r>
                    <w:rPr>
                      <w:rFonts w:hint="eastAsia" w:ascii="宋体" w:hAnsi="宋体" w:cs="宋体"/>
                      <w:szCs w:val="21"/>
                    </w:rPr>
                    <w:t>机械清灰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电源</w:t>
                  </w:r>
                </w:p>
              </w:tc>
              <w:tc>
                <w:tcPr>
                  <w:tcW w:w="3398" w:type="dxa"/>
                  <w:vAlign w:val="center"/>
                </w:tcPr>
                <w:p>
                  <w:pPr>
                    <w:jc w:val="center"/>
                    <w:rPr>
                      <w:rFonts w:ascii="宋体" w:hAnsi="宋体" w:cs="宋体"/>
                      <w:szCs w:val="21"/>
                    </w:rPr>
                  </w:pPr>
                  <w:r>
                    <w:rPr>
                      <w:rFonts w:hint="eastAsia" w:ascii="宋体" w:hAnsi="宋体" w:cs="宋体"/>
                      <w:szCs w:val="21"/>
                    </w:rPr>
                    <w:t>380V/50HZ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处理风量</w:t>
                  </w:r>
                </w:p>
              </w:tc>
              <w:tc>
                <w:tcPr>
                  <w:tcW w:w="3398" w:type="dxa"/>
                  <w:vAlign w:val="center"/>
                </w:tcPr>
                <w:p>
                  <w:pPr>
                    <w:jc w:val="center"/>
                    <w:rPr>
                      <w:rFonts w:ascii="宋体" w:hAnsi="宋体" w:cs="宋体"/>
                      <w:szCs w:val="21"/>
                    </w:rPr>
                  </w:pPr>
                  <w:r>
                    <w:rPr>
                      <w:rFonts w:hint="eastAsia" w:ascii="宋体" w:hAnsi="宋体" w:cs="宋体"/>
                      <w:szCs w:val="21"/>
                    </w:rPr>
                    <w:t>1500m</w:t>
                  </w:r>
                  <w:r>
                    <w:rPr>
                      <w:rFonts w:hint="eastAsia" w:ascii="宋体" w:hAnsi="宋体" w:cs="宋体"/>
                      <w:szCs w:val="21"/>
                      <w:vertAlign w:val="superscript"/>
                    </w:rPr>
                    <w:t>3</w:t>
                  </w: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整机功率</w:t>
                  </w:r>
                </w:p>
              </w:tc>
              <w:tc>
                <w:tcPr>
                  <w:tcW w:w="3398" w:type="dxa"/>
                  <w:vAlign w:val="center"/>
                </w:tcPr>
                <w:p>
                  <w:pPr>
                    <w:jc w:val="center"/>
                    <w:rPr>
                      <w:rFonts w:ascii="宋体" w:hAnsi="宋体" w:cs="宋体"/>
                      <w:szCs w:val="21"/>
                    </w:rPr>
                  </w:pPr>
                  <w:r>
                    <w:rPr>
                      <w:rFonts w:hint="eastAsia" w:ascii="宋体" w:hAnsi="宋体" w:cs="宋体"/>
                      <w:szCs w:val="21"/>
                    </w:rPr>
                    <w:t>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过滤效率</w:t>
                  </w:r>
                </w:p>
              </w:tc>
              <w:tc>
                <w:tcPr>
                  <w:tcW w:w="3398" w:type="dxa"/>
                  <w:vAlign w:val="center"/>
                </w:tcPr>
                <w:p>
                  <w:pPr>
                    <w:jc w:val="center"/>
                    <w:rPr>
                      <w:rFonts w:ascii="宋体" w:hAnsi="宋体" w:cs="宋体"/>
                      <w:szCs w:val="21"/>
                    </w:rPr>
                  </w:pPr>
                  <w:r>
                    <w:rPr>
                      <w:rFonts w:hint="eastAsia" w:ascii="宋体" w:hAnsi="宋体" w:cs="宋体"/>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滤芯</w:t>
                  </w:r>
                </w:p>
              </w:tc>
              <w:tc>
                <w:tcPr>
                  <w:tcW w:w="3398" w:type="dxa"/>
                  <w:vAlign w:val="center"/>
                </w:tcPr>
                <w:p>
                  <w:pPr>
                    <w:jc w:val="center"/>
                    <w:rPr>
                      <w:rFonts w:ascii="宋体" w:hAnsi="宋体" w:cs="宋体"/>
                      <w:szCs w:val="21"/>
                    </w:rPr>
                  </w:pPr>
                  <w:r>
                    <w:rPr>
                      <w:rFonts w:hint="eastAsia" w:ascii="宋体" w:hAnsi="宋体" w:cs="宋体"/>
                      <w:szCs w:val="21"/>
                    </w:rPr>
                    <w:t>305mm*375mm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Align w:val="center"/>
                </w:tcPr>
                <w:p>
                  <w:pPr>
                    <w:jc w:val="center"/>
                    <w:rPr>
                      <w:rFonts w:ascii="宋体" w:hAnsi="宋体" w:cs="宋体"/>
                      <w:szCs w:val="21"/>
                    </w:rPr>
                  </w:pPr>
                  <w:r>
                    <w:rPr>
                      <w:rFonts w:hint="eastAsia" w:ascii="宋体" w:hAnsi="宋体" w:cs="宋体"/>
                      <w:szCs w:val="21"/>
                    </w:rPr>
                    <w:t>过滤面积</w:t>
                  </w:r>
                </w:p>
              </w:tc>
              <w:tc>
                <w:tcPr>
                  <w:tcW w:w="3398" w:type="dxa"/>
                  <w:vAlign w:val="center"/>
                </w:tcPr>
                <w:p>
                  <w:pPr>
                    <w:jc w:val="center"/>
                    <w:rPr>
                      <w:rFonts w:ascii="宋体" w:hAnsi="宋体" w:cs="宋体"/>
                      <w:szCs w:val="21"/>
                    </w:rPr>
                  </w:pPr>
                  <w:r>
                    <w:rPr>
                      <w:rFonts w:hint="eastAsia" w:ascii="宋体" w:hAnsi="宋体" w:cs="宋体"/>
                      <w:szCs w:val="21"/>
                    </w:rPr>
                    <w:t>15M</w:t>
                  </w:r>
                  <w:r>
                    <w:rPr>
                      <w:rFonts w:hint="eastAsia" w:ascii="宋体" w:hAnsi="宋体" w:cs="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restart"/>
                  <w:vAlign w:val="center"/>
                </w:tcPr>
                <w:p>
                  <w:pPr>
                    <w:jc w:val="center"/>
                    <w:rPr>
                      <w:rFonts w:ascii="宋体" w:hAnsi="宋体" w:cs="宋体"/>
                      <w:szCs w:val="21"/>
                    </w:rPr>
                  </w:pPr>
                  <w:r>
                    <w:rPr>
                      <w:rFonts w:hint="eastAsia" w:ascii="宋体" w:hAnsi="宋体" w:cs="宋体"/>
                      <w:szCs w:val="21"/>
                    </w:rPr>
                    <w:t>吸气臂</w:t>
                  </w:r>
                </w:p>
              </w:tc>
              <w:tc>
                <w:tcPr>
                  <w:tcW w:w="3398" w:type="dxa"/>
                  <w:vAlign w:val="center"/>
                </w:tcPr>
                <w:p>
                  <w:pPr>
                    <w:jc w:val="center"/>
                    <w:rPr>
                      <w:rFonts w:ascii="宋体" w:hAnsi="宋体" w:cs="宋体"/>
                      <w:szCs w:val="21"/>
                    </w:rPr>
                  </w:pPr>
                  <w:r>
                    <w:rPr>
                      <w:rFonts w:hint="eastAsia" w:ascii="宋体" w:hAnsi="宋体" w:cs="宋体"/>
                      <w:szCs w:val="21"/>
                    </w:rPr>
                    <w:t>ф150mm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continue"/>
                  <w:vAlign w:val="center"/>
                </w:tcPr>
                <w:p>
                  <w:pPr>
                    <w:jc w:val="center"/>
                    <w:rPr>
                      <w:rFonts w:ascii="宋体" w:hAnsi="宋体" w:cs="宋体"/>
                      <w:szCs w:val="21"/>
                    </w:rPr>
                  </w:pPr>
                </w:p>
              </w:tc>
              <w:tc>
                <w:tcPr>
                  <w:tcW w:w="3398" w:type="dxa"/>
                  <w:vAlign w:val="center"/>
                </w:tcPr>
                <w:p>
                  <w:pPr>
                    <w:jc w:val="center"/>
                    <w:rPr>
                      <w:rFonts w:ascii="宋体" w:hAnsi="宋体" w:cs="宋体"/>
                      <w:szCs w:val="21"/>
                    </w:rPr>
                  </w:pPr>
                  <w:r>
                    <w:rPr>
                      <w:rFonts w:hint="eastAsia" w:ascii="宋体" w:hAnsi="宋体" w:cs="宋体"/>
                      <w:szCs w:val="21"/>
                    </w:rPr>
                    <w:t>长度2.5m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61" w:type="dxa"/>
                  <w:vMerge w:val="continue"/>
                  <w:vAlign w:val="center"/>
                </w:tcPr>
                <w:p>
                  <w:pPr>
                    <w:jc w:val="center"/>
                    <w:rPr>
                      <w:rFonts w:ascii="宋体" w:hAnsi="宋体" w:cs="宋体"/>
                      <w:szCs w:val="21"/>
                    </w:rPr>
                  </w:pPr>
                </w:p>
              </w:tc>
              <w:tc>
                <w:tcPr>
                  <w:tcW w:w="3398" w:type="dxa"/>
                  <w:vAlign w:val="center"/>
                </w:tcPr>
                <w:p>
                  <w:pPr>
                    <w:jc w:val="center"/>
                    <w:rPr>
                      <w:rFonts w:ascii="宋体" w:hAnsi="宋体" w:cs="宋体"/>
                      <w:szCs w:val="21"/>
                    </w:rPr>
                  </w:pPr>
                  <w:r>
                    <w:rPr>
                      <w:rFonts w:hint="eastAsia" w:ascii="宋体" w:hAnsi="宋体" w:cs="宋体"/>
                      <w:szCs w:val="21"/>
                    </w:rPr>
                    <w:t>吸气罩马蹄口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561" w:type="dxa"/>
                  <w:vAlign w:val="center"/>
                </w:tcPr>
                <w:p>
                  <w:pPr>
                    <w:jc w:val="center"/>
                    <w:rPr>
                      <w:rFonts w:ascii="宋体" w:hAnsi="宋体" w:cs="宋体"/>
                      <w:szCs w:val="21"/>
                    </w:rPr>
                  </w:pPr>
                  <w:r>
                    <w:rPr>
                      <w:rFonts w:hint="eastAsia" w:ascii="宋体" w:hAnsi="宋体" w:cs="宋体"/>
                      <w:szCs w:val="21"/>
                    </w:rPr>
                    <w:t>噪音</w:t>
                  </w:r>
                </w:p>
              </w:tc>
              <w:tc>
                <w:tcPr>
                  <w:tcW w:w="3398" w:type="dxa"/>
                  <w:vAlign w:val="center"/>
                </w:tcPr>
                <w:p>
                  <w:pPr>
                    <w:jc w:val="center"/>
                    <w:rPr>
                      <w:rFonts w:ascii="宋体" w:hAnsi="宋体" w:cs="宋体"/>
                      <w:szCs w:val="21"/>
                    </w:rPr>
                  </w:pPr>
                  <w:r>
                    <w:rPr>
                      <w:rFonts w:hint="eastAsia" w:ascii="宋体" w:hAnsi="宋体" w:cs="宋体"/>
                      <w:szCs w:val="21"/>
                    </w:rPr>
                    <w:t>≤66dB(A)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561" w:type="dxa"/>
                  <w:vAlign w:val="center"/>
                </w:tcPr>
                <w:p>
                  <w:pPr>
                    <w:jc w:val="center"/>
                    <w:rPr>
                      <w:rFonts w:ascii="宋体" w:hAnsi="宋体" w:cs="宋体"/>
                      <w:szCs w:val="21"/>
                    </w:rPr>
                  </w:pPr>
                  <w:r>
                    <w:rPr>
                      <w:rFonts w:hint="eastAsia" w:ascii="宋体" w:hAnsi="宋体" w:cs="宋体"/>
                      <w:szCs w:val="21"/>
                    </w:rPr>
                    <w:t>尺寸</w:t>
                  </w:r>
                </w:p>
              </w:tc>
              <w:tc>
                <w:tcPr>
                  <w:tcW w:w="3398" w:type="dxa"/>
                  <w:vAlign w:val="center"/>
                </w:tcPr>
                <w:p>
                  <w:pPr>
                    <w:jc w:val="center"/>
                    <w:rPr>
                      <w:rFonts w:ascii="宋体" w:hAnsi="宋体" w:cs="宋体"/>
                      <w:szCs w:val="21"/>
                    </w:rPr>
                  </w:pPr>
                  <w:r>
                    <w:rPr>
                      <w:rFonts w:hint="eastAsia" w:ascii="宋体" w:hAnsi="宋体" w:cs="宋体"/>
                      <w:szCs w:val="21"/>
                    </w:rPr>
                    <w:t>长72cm、宽55cm、高132cm</w:t>
                  </w:r>
                </w:p>
              </w:tc>
            </w:tr>
          </w:tbl>
          <w:p>
            <w:pPr>
              <w:pStyle w:val="9"/>
              <w:ind w:firstLine="0"/>
              <w:rPr>
                <w:rFonts w:ascii="宋体" w:hAnsi="宋体" w:cs="宋体"/>
                <w:b/>
                <w:bCs/>
                <w:color w:val="000000" w:themeColor="text1"/>
                <w:szCs w:val="21"/>
              </w:rPr>
            </w:pPr>
          </w:p>
          <w:p>
            <w:pPr>
              <w:autoSpaceDN w:val="0"/>
              <w:spacing w:line="360" w:lineRule="auto"/>
              <w:rPr>
                <w:rFonts w:ascii="宋体" w:hAnsi="宋体" w:cs="宋体"/>
                <w:b/>
                <w:bCs/>
                <w:szCs w:val="21"/>
              </w:rPr>
            </w:pPr>
            <w:r>
              <w:rPr>
                <w:rFonts w:hint="eastAsia" w:ascii="宋体" w:hAnsi="宋体" w:cs="宋体"/>
                <w:b/>
                <w:bCs/>
                <w:szCs w:val="21"/>
              </w:rPr>
              <w:t>八、清枪剪丝站要求;</w:t>
            </w:r>
          </w:p>
          <w:p>
            <w:pPr>
              <w:jc w:val="left"/>
              <w:rPr>
                <w:rFonts w:ascii="宋体" w:hAnsi="宋体" w:cs="宋体"/>
                <w:color w:val="000000" w:themeColor="text1"/>
                <w:szCs w:val="21"/>
              </w:rPr>
            </w:pPr>
            <w:r>
              <w:rPr>
                <w:rFonts w:hint="eastAsia" w:ascii="宋体" w:hAnsi="宋体" w:cs="宋体"/>
                <w:color w:val="000000" w:themeColor="text1"/>
                <w:szCs w:val="21"/>
              </w:rPr>
              <w:t>产品功能</w:t>
            </w:r>
          </w:p>
          <w:p>
            <w:pPr>
              <w:jc w:val="left"/>
              <w:rPr>
                <w:rFonts w:ascii="宋体" w:hAnsi="宋体" w:cs="宋体"/>
                <w:color w:val="000000" w:themeColor="text1"/>
                <w:szCs w:val="21"/>
              </w:rPr>
            </w:pPr>
            <w:r>
              <w:rPr>
                <w:rFonts w:hint="eastAsia" w:ascii="宋体" w:hAnsi="宋体" w:cs="宋体"/>
                <w:color w:val="000000" w:themeColor="text1"/>
                <w:szCs w:val="21"/>
              </w:rPr>
              <w:t xml:space="preserve">1.清枪剪丝机构同位置的设计，机器人只需一个信号就可完成清枪和喷油两个动作 </w:t>
            </w:r>
          </w:p>
          <w:p>
            <w:pPr>
              <w:jc w:val="left"/>
              <w:rPr>
                <w:rFonts w:ascii="宋体" w:hAnsi="宋体" w:cs="宋体"/>
                <w:color w:val="000000" w:themeColor="text1"/>
                <w:szCs w:val="21"/>
              </w:rPr>
            </w:pPr>
            <w:r>
              <w:rPr>
                <w:rFonts w:hint="eastAsia" w:ascii="宋体" w:hAnsi="宋体" w:cs="宋体"/>
                <w:color w:val="000000" w:themeColor="text1"/>
                <w:szCs w:val="21"/>
              </w:rPr>
              <w:t>2.清枪全过程4-5秒节约机器人清枪时间，提高了机器人工作效率</w:t>
            </w:r>
          </w:p>
          <w:p>
            <w:pPr>
              <w:jc w:val="left"/>
              <w:rPr>
                <w:rFonts w:ascii="宋体" w:hAnsi="宋体" w:cs="宋体"/>
                <w:color w:val="000000" w:themeColor="text1"/>
                <w:szCs w:val="21"/>
              </w:rPr>
            </w:pPr>
            <w:r>
              <w:rPr>
                <w:rFonts w:hint="eastAsia" w:ascii="宋体" w:hAnsi="宋体" w:cs="宋体"/>
                <w:color w:val="000000" w:themeColor="text1"/>
                <w:szCs w:val="21"/>
              </w:rPr>
              <w:t>3.清枪剪丝机构重要元器件都有高质量机壳保护，免受碰撞飞溅及灰尘的影响</w:t>
            </w:r>
          </w:p>
          <w:p>
            <w:pPr>
              <w:jc w:val="left"/>
              <w:rPr>
                <w:rFonts w:ascii="宋体" w:hAnsi="宋体" w:cs="宋体"/>
                <w:szCs w:val="21"/>
              </w:rPr>
            </w:pPr>
            <w:r>
              <w:rPr>
                <w:rFonts w:hint="eastAsia" w:ascii="宋体" w:hAnsi="宋体" w:cs="宋体"/>
                <w:color w:val="000000" w:themeColor="text1"/>
                <w:szCs w:val="21"/>
              </w:rPr>
              <w:t>4.清枪站配置喷油时间调整六挡位开关，可调整喷油时间0.5秒，1秒，1.5秒，2秒，2.5秒，3秒任意挡位。</w:t>
            </w:r>
          </w:p>
          <w:p>
            <w:pPr>
              <w:jc w:val="left"/>
              <w:rPr>
                <w:rFonts w:ascii="宋体" w:hAnsi="宋体" w:cs="宋体"/>
                <w:color w:val="000000" w:themeColor="text1"/>
                <w:szCs w:val="21"/>
              </w:rPr>
            </w:pPr>
            <w:r>
              <w:rPr>
                <w:rFonts w:hint="eastAsia" w:ascii="宋体" w:hAnsi="宋体" w:cs="宋体"/>
                <w:color w:val="000000" w:themeColor="text1"/>
                <w:szCs w:val="21"/>
              </w:rPr>
              <w:t>清枪对多种机器人焊有效去除附着在喷嘴的焊渣飞溅对于粘贴严重的飞溅，由V型块提供精准定位清洁工作过程中焊喷嘴的位置。</w:t>
            </w:r>
          </w:p>
          <w:p>
            <w:pPr>
              <w:jc w:val="left"/>
              <w:rPr>
                <w:rFonts w:ascii="宋体" w:hAnsi="宋体" w:cs="宋体"/>
                <w:b/>
                <w:bCs/>
                <w:szCs w:val="21"/>
              </w:rPr>
            </w:pPr>
            <w:r>
              <w:rPr>
                <w:rFonts w:hint="eastAsia" w:ascii="宋体" w:hAnsi="宋体" w:cs="宋体"/>
                <w:color w:val="000000" w:themeColor="text1"/>
                <w:szCs w:val="21"/>
              </w:rPr>
              <w:t>喷雾装置在喷嘴内喷涂细密的防飞溅液形成保护膜，减少焊接飞溅物粘附，喷雾空间和剩余油收集装置延长使用时间及配件寿命清洁的环境。剪丝装置提供精准高质量剪丝工作，去除焊丝端头残留的熔球，保证焊具有最佳的起弧能力使用寿命长。</w:t>
            </w:r>
          </w:p>
          <w:p>
            <w:pPr>
              <w:autoSpaceDN w:val="0"/>
              <w:spacing w:line="360" w:lineRule="auto"/>
              <w:rPr>
                <w:rFonts w:ascii="宋体" w:hAnsi="宋体" w:cs="宋体"/>
                <w:b/>
                <w:bCs/>
                <w:szCs w:val="21"/>
              </w:rPr>
            </w:pPr>
            <w:r>
              <w:rPr>
                <w:rFonts w:hint="eastAsia" w:ascii="宋体" w:hAnsi="宋体" w:cs="宋体"/>
                <w:b/>
                <w:bCs/>
                <w:szCs w:val="21"/>
              </w:rPr>
              <w:t>九、工具模块要求：</w:t>
            </w:r>
          </w:p>
          <w:p>
            <w:pPr>
              <w:jc w:val="left"/>
              <w:rPr>
                <w:rFonts w:ascii="宋体" w:hAnsi="宋体" w:cs="宋体"/>
                <w:color w:val="000000" w:themeColor="text1"/>
                <w:szCs w:val="21"/>
              </w:rPr>
            </w:pPr>
            <w:r>
              <w:rPr>
                <w:rFonts w:hint="eastAsia" w:ascii="宋体" w:hAnsi="宋体" w:cs="宋体"/>
                <w:color w:val="000000" w:themeColor="text1"/>
                <w:szCs w:val="21"/>
              </w:rPr>
              <w:t>产品功能</w:t>
            </w:r>
          </w:p>
          <w:p>
            <w:pPr>
              <w:jc w:val="left"/>
              <w:rPr>
                <w:rFonts w:ascii="宋体" w:hAnsi="宋体" w:cs="宋体"/>
                <w:szCs w:val="21"/>
              </w:rPr>
            </w:pPr>
            <w:r>
              <w:rPr>
                <w:rFonts w:hint="eastAsia" w:ascii="宋体" w:hAnsi="宋体" w:cs="宋体"/>
                <w:szCs w:val="21"/>
              </w:rPr>
              <w:t xml:space="preserve">1.七个抽屉（588*367mm)带滚珠轴承滑轨                                                               2.5抽屉，70mm高 ,1抽屉，140mm高1抽屉，210mm高                                                                                                                                                                                                        3.抽屉底部使用泡沫橡胶垫进行保护                                               4.四个直径125mm的脚轮:2个固定脚轮和2个转向脚轮（其中一个脚轮带制动器）                                                                                                                      5.中控安全锁                                                                                6.静态承重能力：1000KG  板厚:1.5mm-2.0mm                                             7.为匹配工具箱热塑塑料工作面集成侧边搁瓶架      </w:t>
            </w:r>
          </w:p>
          <w:p>
            <w:pPr>
              <w:spacing w:line="360" w:lineRule="auto"/>
              <w:jc w:val="left"/>
              <w:rPr>
                <w:rFonts w:ascii="宋体" w:hAnsi="宋体" w:cs="宋体"/>
                <w:szCs w:val="21"/>
              </w:rPr>
            </w:pPr>
            <w:r>
              <w:rPr>
                <w:rFonts w:hint="eastAsia" w:ascii="宋体" w:hAnsi="宋体" w:cs="宋体"/>
                <w:szCs w:val="21"/>
              </w:rPr>
              <w:t>配置清单</w:t>
            </w:r>
          </w:p>
          <w:p>
            <w:pPr>
              <w:numPr>
                <w:ilvl w:val="0"/>
                <w:numId w:val="6"/>
              </w:numPr>
              <w:jc w:val="left"/>
              <w:rPr>
                <w:rFonts w:ascii="宋体" w:hAnsi="宋体" w:cs="宋体"/>
                <w:color w:val="000000" w:themeColor="text1"/>
                <w:szCs w:val="21"/>
              </w:rPr>
            </w:pPr>
            <w:r>
              <w:rPr>
                <w:rFonts w:hint="eastAsia" w:ascii="宋体" w:hAnsi="宋体" w:cs="宋体"/>
                <w:color w:val="000000" w:themeColor="text1"/>
                <w:szCs w:val="21"/>
              </w:rPr>
              <w:t xml:space="preserve"> 25件装，1/4套筒及附件软塑托盘工具组套</w:t>
            </w:r>
          </w:p>
          <w:p>
            <w:pPr>
              <w:numPr>
                <w:ilvl w:val="0"/>
                <w:numId w:val="6"/>
              </w:numPr>
              <w:jc w:val="left"/>
              <w:rPr>
                <w:rFonts w:ascii="宋体" w:hAnsi="宋体" w:cs="宋体"/>
                <w:color w:val="000000" w:themeColor="text1"/>
                <w:szCs w:val="21"/>
              </w:rPr>
            </w:pPr>
            <w:r>
              <w:rPr>
                <w:rFonts w:hint="eastAsia" w:ascii="宋体" w:hAnsi="宋体" w:cs="宋体"/>
                <w:color w:val="000000" w:themeColor="text1"/>
                <w:szCs w:val="21"/>
              </w:rPr>
              <w:t xml:space="preserve"> 22件装，3/8套筒及附件软塑托盘工具组套</w:t>
            </w:r>
          </w:p>
          <w:p>
            <w:pPr>
              <w:numPr>
                <w:ilvl w:val="0"/>
                <w:numId w:val="6"/>
              </w:numPr>
              <w:jc w:val="left"/>
              <w:rPr>
                <w:rFonts w:ascii="宋体" w:hAnsi="宋体" w:cs="宋体"/>
                <w:color w:val="000000" w:themeColor="text1"/>
                <w:szCs w:val="21"/>
              </w:rPr>
            </w:pPr>
            <w:r>
              <w:rPr>
                <w:rFonts w:hint="eastAsia" w:ascii="宋体" w:hAnsi="宋体" w:cs="宋体"/>
                <w:color w:val="000000" w:themeColor="text1"/>
                <w:szCs w:val="21"/>
              </w:rPr>
              <w:t xml:space="preserve"> 29件装，1/2套筒及附件软塑托盘工具组套 </w:t>
            </w:r>
          </w:p>
          <w:p>
            <w:pPr>
              <w:numPr>
                <w:ilvl w:val="0"/>
                <w:numId w:val="6"/>
              </w:numPr>
              <w:jc w:val="left"/>
              <w:rPr>
                <w:rFonts w:ascii="宋体" w:hAnsi="宋体" w:cs="宋体"/>
                <w:color w:val="000000" w:themeColor="text1"/>
                <w:szCs w:val="21"/>
              </w:rPr>
            </w:pPr>
            <w:r>
              <w:rPr>
                <w:rFonts w:hint="eastAsia" w:ascii="宋体" w:hAnsi="宋体" w:cs="宋体"/>
                <w:color w:val="000000" w:themeColor="text1"/>
                <w:szCs w:val="21"/>
              </w:rPr>
              <w:t xml:space="preserve"> 16件装，两用扳手软塑料托盘工具组套         </w:t>
            </w:r>
          </w:p>
          <w:p>
            <w:pPr>
              <w:numPr>
                <w:ilvl w:val="0"/>
                <w:numId w:val="6"/>
              </w:numPr>
              <w:jc w:val="left"/>
              <w:rPr>
                <w:rFonts w:ascii="宋体" w:hAnsi="宋体" w:cs="宋体"/>
                <w:color w:val="000000" w:themeColor="text1"/>
                <w:szCs w:val="21"/>
              </w:rPr>
            </w:pPr>
            <w:r>
              <w:rPr>
                <w:rFonts w:hint="eastAsia" w:ascii="宋体" w:hAnsi="宋体" w:cs="宋体"/>
                <w:color w:val="000000" w:themeColor="text1"/>
                <w:szCs w:val="21"/>
              </w:rPr>
              <w:t xml:space="preserve"> 7件装，梅花扳手软塑料托盘工具组套  </w:t>
            </w:r>
          </w:p>
          <w:p>
            <w:pPr>
              <w:numPr>
                <w:ilvl w:val="0"/>
                <w:numId w:val="6"/>
              </w:numPr>
              <w:jc w:val="left"/>
              <w:rPr>
                <w:rFonts w:ascii="宋体" w:hAnsi="宋体" w:cs="宋体"/>
                <w:color w:val="000000" w:themeColor="text1"/>
                <w:szCs w:val="21"/>
              </w:rPr>
            </w:pPr>
            <w:r>
              <w:rPr>
                <w:rFonts w:hint="eastAsia" w:ascii="宋体" w:hAnsi="宋体" w:cs="宋体"/>
                <w:color w:val="000000" w:themeColor="text1"/>
                <w:szCs w:val="21"/>
              </w:rPr>
              <w:t xml:space="preserve"> 3件装，钳子软塑料托盘工具组套   </w:t>
            </w:r>
          </w:p>
          <w:p>
            <w:pPr>
              <w:numPr>
                <w:ilvl w:val="0"/>
                <w:numId w:val="6"/>
              </w:numPr>
              <w:jc w:val="left"/>
              <w:rPr>
                <w:rFonts w:ascii="宋体" w:hAnsi="宋体" w:cs="宋体"/>
                <w:color w:val="000000" w:themeColor="text1"/>
                <w:szCs w:val="21"/>
              </w:rPr>
            </w:pPr>
            <w:r>
              <w:rPr>
                <w:rFonts w:hint="eastAsia" w:ascii="宋体" w:hAnsi="宋体" w:cs="宋体"/>
                <w:color w:val="000000" w:themeColor="text1"/>
                <w:szCs w:val="21"/>
              </w:rPr>
              <w:t xml:space="preserve"> 3件装，内六角扳手及旋具软塑料托盘工具组套 </w:t>
            </w:r>
          </w:p>
          <w:p>
            <w:pPr>
              <w:numPr>
                <w:ilvl w:val="0"/>
                <w:numId w:val="6"/>
              </w:numPr>
              <w:jc w:val="left"/>
              <w:rPr>
                <w:rFonts w:ascii="宋体" w:hAnsi="宋体" w:cs="宋体"/>
                <w:color w:val="000000" w:themeColor="text1"/>
                <w:szCs w:val="21"/>
              </w:rPr>
            </w:pPr>
            <w:r>
              <w:rPr>
                <w:rFonts w:hint="eastAsia" w:ascii="宋体" w:hAnsi="宋体" w:cs="宋体"/>
                <w:color w:val="000000" w:themeColor="text1"/>
                <w:szCs w:val="21"/>
              </w:rPr>
              <w:t xml:space="preserve"> 9件装，工业级一字螺丝批软塑料托盘工具组套 </w:t>
            </w:r>
          </w:p>
          <w:p>
            <w:pPr>
              <w:pStyle w:val="16"/>
              <w:numPr>
                <w:ilvl w:val="0"/>
                <w:numId w:val="6"/>
              </w:numPr>
              <w:ind w:left="0" w:right="0" w:firstLine="0"/>
              <w:rPr>
                <w:rFonts w:hAnsi="宋体" w:cs="宋体"/>
                <w:sz w:val="21"/>
                <w:szCs w:val="21"/>
              </w:rPr>
            </w:pPr>
            <w:r>
              <w:rPr>
                <w:rFonts w:hint="eastAsia" w:hAnsi="宋体" w:cs="宋体"/>
                <w:color w:val="000000" w:themeColor="text1"/>
                <w:sz w:val="21"/>
                <w:szCs w:val="21"/>
              </w:rPr>
              <w:t xml:space="preserve"> 9件装，工业级十字螺丝批软塑料托盘工具组套。   </w:t>
            </w:r>
            <w:r>
              <w:rPr>
                <w:rFonts w:hint="eastAsia" w:hAnsi="宋体" w:cs="宋体"/>
                <w:sz w:val="21"/>
                <w:szCs w:val="21"/>
              </w:rPr>
              <w:t xml:space="preserve">         </w:t>
            </w:r>
          </w:p>
        </w:tc>
        <w:tc>
          <w:tcPr>
            <w:tcW w:w="749" w:type="pct"/>
            <w:vAlign w:val="center"/>
          </w:tcPr>
          <w:p>
            <w:pPr>
              <w:pStyle w:val="165"/>
              <w:wordWrap w:val="0"/>
              <w:spacing w:beforeAutospacing="0" w:after="2" w:afterAutospacing="0" w:line="360" w:lineRule="auto"/>
              <w:rPr>
                <w:rFonts w:cs="宋体"/>
                <w:bCs/>
                <w:color w:val="000000"/>
                <w:sz w:val="21"/>
                <w:szCs w:val="21"/>
                <w:highlight w:val="white"/>
              </w:rPr>
            </w:pPr>
            <w:r>
              <w:rPr>
                <w:rFonts w:hint="eastAsia" w:cs="宋体"/>
                <w:bCs/>
                <w:color w:val="000000"/>
                <w:sz w:val="21"/>
                <w:szCs w:val="21"/>
                <w:highlight w:val="white"/>
              </w:rPr>
              <w:t>1套</w:t>
            </w:r>
          </w:p>
        </w:tc>
      </w:tr>
    </w:tbl>
    <w:p>
      <w:pPr>
        <w:pStyle w:val="12"/>
        <w:widowControl/>
        <w:spacing w:line="360" w:lineRule="auto"/>
        <w:ind w:firstLine="480" w:firstLineChars="200"/>
        <w:jc w:val="left"/>
        <w:rPr>
          <w:rFonts w:ascii="宋体" w:hAnsi="宋体" w:cs="宋体"/>
          <w:bCs/>
          <w:color w:val="000000"/>
          <w:sz w:val="24"/>
          <w:highlight w:val="white"/>
        </w:rPr>
      </w:pPr>
    </w:p>
    <w:p>
      <w:pPr>
        <w:pStyle w:val="12"/>
        <w:widowControl/>
        <w:spacing w:line="360" w:lineRule="auto"/>
        <w:ind w:firstLine="420" w:firstLineChars="200"/>
        <w:jc w:val="left"/>
        <w:rPr>
          <w:rFonts w:ascii="宋体" w:hAnsi="宋体" w:cs="宋体"/>
          <w:bCs/>
          <w:kern w:val="0"/>
          <w:szCs w:val="21"/>
        </w:rPr>
      </w:pPr>
      <w:r>
        <w:rPr>
          <w:rFonts w:hint="eastAsia" w:ascii="宋体" w:hAnsi="宋体" w:cs="宋体"/>
          <w:bCs/>
          <w:color w:val="000000"/>
          <w:szCs w:val="21"/>
          <w:highlight w:val="white"/>
        </w:rPr>
        <w:t>（二）需具有</w:t>
      </w:r>
      <w:r>
        <w:rPr>
          <w:rFonts w:hint="eastAsia" w:ascii="宋体" w:hAnsi="宋体" w:cs="宋体"/>
          <w:bCs/>
          <w:color w:val="000000"/>
          <w:szCs w:val="21"/>
          <w:highlight w:val="white"/>
          <w:lang w:val="zh-CN"/>
        </w:rPr>
        <w:t>强制</w:t>
      </w:r>
      <w:r>
        <w:rPr>
          <w:rFonts w:hint="eastAsia" w:ascii="宋体" w:hAnsi="宋体" w:cs="宋体"/>
          <w:bCs/>
          <w:color w:val="000000"/>
          <w:kern w:val="0"/>
          <w:szCs w:val="21"/>
          <w:highlight w:val="white"/>
        </w:rPr>
        <w:t>采购节能产品、环境标志产品认证证书的标的名称：</w:t>
      </w:r>
    </w:p>
    <w:p>
      <w:pPr>
        <w:pStyle w:val="12"/>
        <w:widowControl/>
        <w:spacing w:line="360" w:lineRule="auto"/>
        <w:ind w:firstLine="420" w:firstLineChars="200"/>
        <w:jc w:val="left"/>
        <w:rPr>
          <w:rFonts w:ascii="宋体" w:hAnsi="宋体" w:cs="宋体"/>
          <w:bCs/>
          <w:kern w:val="0"/>
          <w:szCs w:val="21"/>
        </w:rPr>
      </w:pPr>
      <w:r>
        <w:rPr>
          <w:rFonts w:hint="eastAsia" w:ascii="宋体" w:hAnsi="宋体" w:cs="宋体"/>
          <w:bCs/>
          <w:color w:val="000000"/>
          <w:kern w:val="0"/>
          <w:szCs w:val="21"/>
          <w:highlight w:val="white"/>
        </w:rPr>
        <w:t>无</w:t>
      </w:r>
    </w:p>
    <w:p>
      <w:pPr>
        <w:pStyle w:val="12"/>
        <w:widowControl/>
        <w:spacing w:line="360" w:lineRule="auto"/>
        <w:ind w:firstLine="420" w:firstLineChars="200"/>
        <w:jc w:val="left"/>
        <w:rPr>
          <w:rFonts w:ascii="宋体" w:hAnsi="宋体" w:cs="宋体"/>
          <w:bCs/>
          <w:szCs w:val="21"/>
          <w:lang w:val="zh-CN"/>
        </w:rPr>
      </w:pPr>
      <w:r>
        <w:rPr>
          <w:rFonts w:hint="eastAsia" w:ascii="宋体" w:hAnsi="宋体" w:cs="宋体"/>
          <w:bCs/>
          <w:color w:val="000000"/>
          <w:kern w:val="0"/>
          <w:szCs w:val="21"/>
          <w:highlight w:val="white"/>
        </w:rPr>
        <w:t>（三）采</w:t>
      </w:r>
      <w:r>
        <w:rPr>
          <w:rFonts w:hint="eastAsia" w:ascii="宋体" w:hAnsi="宋体" w:cs="宋体"/>
          <w:bCs/>
          <w:color w:val="000000"/>
          <w:szCs w:val="21"/>
          <w:highlight w:val="white"/>
          <w:lang w:val="zh-CN"/>
        </w:rPr>
        <w:t>购标的的强制性产品认证等其他要求：</w:t>
      </w:r>
    </w:p>
    <w:p>
      <w:pPr>
        <w:pStyle w:val="12"/>
        <w:widowControl/>
        <w:spacing w:line="360" w:lineRule="auto"/>
        <w:ind w:firstLine="420" w:firstLineChars="200"/>
        <w:jc w:val="left"/>
        <w:rPr>
          <w:rFonts w:ascii="宋体" w:hAnsi="宋体" w:cs="宋体"/>
          <w:bCs/>
          <w:szCs w:val="21"/>
        </w:rPr>
      </w:pPr>
      <w:r>
        <w:rPr>
          <w:rFonts w:hint="eastAsia" w:ascii="宋体" w:hAnsi="宋体" w:cs="宋体"/>
          <w:bCs/>
          <w:color w:val="000000"/>
          <w:szCs w:val="21"/>
          <w:highlight w:val="white"/>
        </w:rPr>
        <w:t>无</w:t>
      </w:r>
    </w:p>
    <w:p>
      <w:pPr>
        <w:pStyle w:val="12"/>
        <w:widowControl/>
        <w:spacing w:line="360" w:lineRule="auto"/>
        <w:ind w:firstLine="420" w:firstLineChars="200"/>
        <w:jc w:val="left"/>
        <w:rPr>
          <w:rFonts w:ascii="宋体" w:hAnsi="宋体" w:cs="宋体"/>
          <w:b/>
          <w:kern w:val="0"/>
          <w:szCs w:val="21"/>
        </w:rPr>
      </w:pPr>
      <w:r>
        <w:rPr>
          <w:rFonts w:hint="eastAsia" w:ascii="宋体" w:hAnsi="宋体" w:cs="宋体"/>
          <w:b/>
          <w:color w:val="000000"/>
          <w:kern w:val="0"/>
          <w:szCs w:val="21"/>
          <w:highlight w:val="white"/>
        </w:rPr>
        <w:t>三、商务要求</w:t>
      </w:r>
    </w:p>
    <w:p>
      <w:pPr>
        <w:pStyle w:val="12"/>
        <w:widowControl/>
        <w:spacing w:line="360" w:lineRule="auto"/>
        <w:ind w:firstLine="420" w:firstLineChars="200"/>
        <w:jc w:val="left"/>
        <w:rPr>
          <w:rFonts w:ascii="宋体" w:hAnsi="宋体" w:cs="宋体"/>
          <w:bCs/>
          <w:szCs w:val="21"/>
          <w:lang w:val="zh-CN"/>
        </w:rPr>
      </w:pPr>
      <w:r>
        <w:rPr>
          <w:rFonts w:hint="eastAsia" w:ascii="宋体" w:hAnsi="宋体" w:cs="宋体"/>
          <w:bCs/>
          <w:color w:val="000000"/>
          <w:szCs w:val="21"/>
          <w:highlight w:val="white"/>
          <w:lang w:val="zh-CN"/>
        </w:rPr>
        <w:t>注：</w:t>
      </w:r>
      <w:r>
        <w:rPr>
          <w:rFonts w:hint="eastAsia" w:ascii="宋体" w:hAnsi="宋体" w:cs="宋体"/>
          <w:bCs/>
          <w:color w:val="000000"/>
          <w:szCs w:val="21"/>
          <w:highlight w:val="white"/>
        </w:rPr>
        <w:t>1.投标人</w:t>
      </w:r>
      <w:r>
        <w:rPr>
          <w:rFonts w:hint="eastAsia" w:ascii="宋体" w:hAnsi="宋体" w:cs="宋体"/>
          <w:bCs/>
          <w:color w:val="000000"/>
          <w:szCs w:val="21"/>
          <w:highlight w:val="white"/>
          <w:lang w:val="zh-CN"/>
        </w:rPr>
        <w:t>应在投标文件《</w:t>
      </w:r>
      <w:r>
        <w:rPr>
          <w:rFonts w:hint="eastAsia" w:ascii="宋体" w:hAnsi="宋体" w:cs="宋体"/>
          <w:bCs/>
          <w:color w:val="000000"/>
          <w:szCs w:val="21"/>
          <w:highlight w:val="white"/>
        </w:rPr>
        <w:t>商务条款偏离表</w:t>
      </w:r>
      <w:r>
        <w:rPr>
          <w:rFonts w:hint="eastAsia" w:ascii="宋体" w:hAnsi="宋体" w:cs="宋体"/>
          <w:bCs/>
          <w:color w:val="000000"/>
          <w:szCs w:val="21"/>
          <w:highlight w:val="white"/>
          <w:lang w:val="zh-CN"/>
        </w:rPr>
        <w:t>》中对本部分所有条款逐条说明响应和偏离情况，否则投标无效。</w:t>
      </w:r>
    </w:p>
    <w:p>
      <w:pPr>
        <w:pStyle w:val="12"/>
        <w:widowControl/>
        <w:numPr>
          <w:ilvl w:val="0"/>
          <w:numId w:val="7"/>
        </w:numPr>
        <w:spacing w:line="360" w:lineRule="auto"/>
        <w:ind w:firstLine="420" w:firstLineChars="200"/>
        <w:jc w:val="left"/>
        <w:rPr>
          <w:rFonts w:ascii="宋体" w:hAnsi="宋体" w:cs="宋体"/>
          <w:bCs/>
          <w:szCs w:val="21"/>
          <w:lang w:val="zh-CN"/>
        </w:rPr>
      </w:pPr>
      <w:r>
        <w:rPr>
          <w:rFonts w:hint="eastAsia" w:ascii="宋体" w:hAnsi="宋体" w:cs="宋体"/>
          <w:bCs/>
          <w:color w:val="000000"/>
          <w:szCs w:val="21"/>
          <w:highlight w:val="white"/>
          <w:lang w:val="zh-CN"/>
        </w:rPr>
        <w:t>本部分内容均为实质性条款，投标人的投标必须完全满足或者正偏离，否则投标无效。</w:t>
      </w:r>
    </w:p>
    <w:tbl>
      <w:tblPr>
        <w:tblStyle w:val="32"/>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1"/>
        <w:gridCol w:w="2415"/>
        <w:gridCol w:w="6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trPr>
        <w:tc>
          <w:tcPr>
            <w:tcW w:w="416" w:type="pct"/>
            <w:vAlign w:val="center"/>
          </w:tcPr>
          <w:p>
            <w:pPr>
              <w:pStyle w:val="12"/>
              <w:widowControl/>
              <w:spacing w:line="480" w:lineRule="auto"/>
              <w:jc w:val="left"/>
              <w:rPr>
                <w:rFonts w:ascii="宋体" w:hAnsi="宋体" w:cs="宋体"/>
                <w:bCs/>
                <w:szCs w:val="21"/>
                <w:lang w:val="zh-CN"/>
              </w:rPr>
            </w:pPr>
            <w:r>
              <w:rPr>
                <w:rFonts w:hint="eastAsia" w:ascii="宋体" w:hAnsi="宋体" w:cs="宋体"/>
                <w:bCs/>
                <w:color w:val="000000"/>
                <w:szCs w:val="21"/>
                <w:highlight w:val="white"/>
                <w:lang w:val="zh-CN"/>
              </w:rPr>
              <w:t>序号</w:t>
            </w:r>
          </w:p>
        </w:tc>
        <w:tc>
          <w:tcPr>
            <w:tcW w:w="1208" w:type="pct"/>
            <w:vAlign w:val="center"/>
          </w:tcPr>
          <w:p>
            <w:pPr>
              <w:pStyle w:val="12"/>
              <w:widowControl/>
              <w:spacing w:line="480" w:lineRule="auto"/>
              <w:jc w:val="left"/>
              <w:rPr>
                <w:rFonts w:ascii="宋体" w:hAnsi="宋体" w:cs="宋体"/>
                <w:bCs/>
                <w:szCs w:val="21"/>
                <w:lang w:val="zh-CN"/>
              </w:rPr>
            </w:pPr>
            <w:r>
              <w:rPr>
                <w:rFonts w:hint="eastAsia" w:ascii="宋体" w:hAnsi="宋体" w:cs="宋体"/>
                <w:bCs/>
                <w:color w:val="000000"/>
                <w:szCs w:val="21"/>
                <w:highlight w:val="white"/>
                <w:lang w:val="zh-CN"/>
              </w:rPr>
              <w:t>商务条款</w:t>
            </w:r>
          </w:p>
        </w:tc>
        <w:tc>
          <w:tcPr>
            <w:tcW w:w="3376" w:type="pct"/>
            <w:vAlign w:val="center"/>
          </w:tcPr>
          <w:p>
            <w:pPr>
              <w:pStyle w:val="12"/>
              <w:widowControl/>
              <w:spacing w:line="480" w:lineRule="auto"/>
              <w:jc w:val="left"/>
              <w:rPr>
                <w:rFonts w:ascii="宋体" w:hAnsi="宋体" w:cs="宋体"/>
                <w:bCs/>
                <w:szCs w:val="21"/>
                <w:lang w:val="zh-CN"/>
              </w:rPr>
            </w:pPr>
            <w:r>
              <w:rPr>
                <w:rFonts w:hint="eastAsia" w:ascii="宋体" w:hAnsi="宋体" w:cs="宋体"/>
                <w:bCs/>
                <w:color w:val="000000"/>
                <w:szCs w:val="21"/>
                <w:highlight w:val="white"/>
                <w:lang w:val="zh-CN"/>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416" w:type="pct"/>
            <w:vAlign w:val="center"/>
          </w:tcPr>
          <w:p>
            <w:pPr>
              <w:pStyle w:val="12"/>
              <w:widowControl/>
              <w:spacing w:line="480" w:lineRule="auto"/>
              <w:jc w:val="left"/>
              <w:rPr>
                <w:rFonts w:ascii="宋体" w:hAnsi="宋体" w:cs="宋体"/>
                <w:bCs/>
                <w:szCs w:val="21"/>
              </w:rPr>
            </w:pPr>
            <w:r>
              <w:rPr>
                <w:rFonts w:hint="eastAsia" w:ascii="宋体" w:hAnsi="宋体" w:cs="宋体"/>
                <w:bCs/>
                <w:color w:val="000000"/>
                <w:szCs w:val="21"/>
                <w:highlight w:val="white"/>
              </w:rPr>
              <w:t>1</w:t>
            </w:r>
          </w:p>
        </w:tc>
        <w:tc>
          <w:tcPr>
            <w:tcW w:w="1208" w:type="pct"/>
            <w:vAlign w:val="center"/>
          </w:tcPr>
          <w:p>
            <w:pPr>
              <w:pStyle w:val="12"/>
              <w:widowControl/>
              <w:spacing w:line="360" w:lineRule="auto"/>
              <w:jc w:val="left"/>
              <w:rPr>
                <w:rFonts w:ascii="宋体" w:hAnsi="宋体" w:cs="宋体"/>
                <w:bCs/>
                <w:szCs w:val="21"/>
                <w:lang w:val="zh-CN"/>
              </w:rPr>
            </w:pPr>
            <w:r>
              <w:rPr>
                <w:rFonts w:hint="eastAsia" w:ascii="宋体" w:hAnsi="宋体" w:cs="宋体"/>
                <w:bCs/>
                <w:color w:val="000000"/>
                <w:szCs w:val="21"/>
                <w:highlight w:val="white"/>
              </w:rPr>
              <w:t>交付（实施）的时间（期限）</w:t>
            </w:r>
          </w:p>
        </w:tc>
        <w:tc>
          <w:tcPr>
            <w:tcW w:w="3376" w:type="pct"/>
            <w:vAlign w:val="center"/>
          </w:tcPr>
          <w:p>
            <w:pPr>
              <w:pStyle w:val="12"/>
              <w:widowControl/>
              <w:spacing w:line="480" w:lineRule="auto"/>
              <w:jc w:val="left"/>
              <w:rPr>
                <w:rFonts w:ascii="宋体" w:hAnsi="宋体" w:cs="宋体"/>
                <w:bCs/>
                <w:szCs w:val="21"/>
                <w:lang w:val="zh-CN"/>
              </w:rPr>
            </w:pPr>
            <w:r>
              <w:rPr>
                <w:rFonts w:hint="eastAsia" w:ascii="宋体" w:hAnsi="宋体" w:cs="宋体"/>
                <w:bCs/>
                <w:color w:val="000000"/>
                <w:kern w:val="0"/>
                <w:szCs w:val="21"/>
                <w:highlight w:val="white"/>
              </w:rPr>
              <w:t>采购合同签订之日起30天内。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416" w:type="pct"/>
            <w:vAlign w:val="center"/>
          </w:tcPr>
          <w:p>
            <w:pPr>
              <w:pStyle w:val="12"/>
              <w:widowControl/>
              <w:spacing w:line="480" w:lineRule="auto"/>
              <w:jc w:val="left"/>
              <w:rPr>
                <w:rFonts w:ascii="宋体" w:hAnsi="宋体" w:cs="宋体"/>
                <w:bCs/>
                <w:szCs w:val="21"/>
              </w:rPr>
            </w:pPr>
            <w:r>
              <w:rPr>
                <w:rFonts w:hint="eastAsia" w:ascii="宋体" w:hAnsi="宋体" w:cs="宋体"/>
                <w:bCs/>
                <w:color w:val="000000"/>
                <w:szCs w:val="21"/>
                <w:highlight w:val="white"/>
              </w:rPr>
              <w:t>2</w:t>
            </w:r>
          </w:p>
        </w:tc>
        <w:tc>
          <w:tcPr>
            <w:tcW w:w="1208" w:type="pct"/>
            <w:vAlign w:val="center"/>
          </w:tcPr>
          <w:p>
            <w:pPr>
              <w:pStyle w:val="12"/>
              <w:widowControl/>
              <w:spacing w:line="360" w:lineRule="auto"/>
              <w:jc w:val="left"/>
              <w:rPr>
                <w:rFonts w:ascii="宋体" w:hAnsi="宋体" w:cs="宋体"/>
                <w:bCs/>
                <w:szCs w:val="21"/>
              </w:rPr>
            </w:pPr>
            <w:r>
              <w:rPr>
                <w:rFonts w:hint="eastAsia" w:ascii="宋体" w:hAnsi="宋体" w:cs="宋体"/>
                <w:bCs/>
                <w:color w:val="000000"/>
                <w:szCs w:val="21"/>
                <w:highlight w:val="white"/>
              </w:rPr>
              <w:t>交付（实施）的地点（范围）</w:t>
            </w:r>
          </w:p>
        </w:tc>
        <w:tc>
          <w:tcPr>
            <w:tcW w:w="3376" w:type="pct"/>
            <w:vAlign w:val="center"/>
          </w:tcPr>
          <w:p>
            <w:pPr>
              <w:pStyle w:val="12"/>
              <w:widowControl/>
              <w:spacing w:line="360" w:lineRule="auto"/>
              <w:jc w:val="left"/>
              <w:rPr>
                <w:rFonts w:ascii="宋体" w:hAnsi="宋体" w:cs="宋体"/>
                <w:bCs/>
                <w:szCs w:val="21"/>
                <w:lang w:val="zh-CN"/>
              </w:rPr>
            </w:pPr>
            <w:r>
              <w:rPr>
                <w:rFonts w:hint="eastAsia" w:ascii="宋体" w:hAnsi="宋体" w:cs="宋体"/>
                <w:bCs/>
                <w:color w:val="000000"/>
                <w:kern w:val="0"/>
                <w:szCs w:val="21"/>
                <w:highlight w:val="white"/>
                <w:lang w:val="zh-CN"/>
              </w:rPr>
              <w:t>中标供应商须将全部采购标的物送达采购人指定场所，并安装部署调试到位。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416" w:type="pct"/>
            <w:vAlign w:val="center"/>
          </w:tcPr>
          <w:p>
            <w:pPr>
              <w:pStyle w:val="12"/>
              <w:widowControl/>
              <w:spacing w:line="480" w:lineRule="auto"/>
              <w:jc w:val="left"/>
              <w:rPr>
                <w:rFonts w:ascii="宋体" w:hAnsi="宋体" w:cs="宋体"/>
                <w:bCs/>
                <w:szCs w:val="21"/>
              </w:rPr>
            </w:pPr>
            <w:r>
              <w:rPr>
                <w:rFonts w:hint="eastAsia" w:ascii="宋体" w:hAnsi="宋体" w:cs="宋体"/>
                <w:bCs/>
                <w:color w:val="000000"/>
                <w:szCs w:val="21"/>
                <w:highlight w:val="white"/>
              </w:rPr>
              <w:t>3</w:t>
            </w:r>
          </w:p>
        </w:tc>
        <w:tc>
          <w:tcPr>
            <w:tcW w:w="1208" w:type="pct"/>
            <w:vAlign w:val="center"/>
          </w:tcPr>
          <w:p>
            <w:pPr>
              <w:pStyle w:val="12"/>
              <w:widowControl/>
              <w:spacing w:line="360" w:lineRule="auto"/>
              <w:jc w:val="left"/>
              <w:rPr>
                <w:rFonts w:ascii="宋体" w:hAnsi="宋体" w:cs="宋体"/>
                <w:bCs/>
                <w:szCs w:val="21"/>
                <w:lang w:val="zh-CN"/>
              </w:rPr>
            </w:pPr>
            <w:r>
              <w:rPr>
                <w:rFonts w:hint="eastAsia" w:ascii="宋体" w:hAnsi="宋体" w:cs="宋体"/>
                <w:bCs/>
                <w:color w:val="000000"/>
                <w:szCs w:val="21"/>
                <w:highlight w:val="white"/>
              </w:rPr>
              <w:t>包装和运输要求</w:t>
            </w:r>
          </w:p>
        </w:tc>
        <w:tc>
          <w:tcPr>
            <w:tcW w:w="3376" w:type="pct"/>
            <w:vAlign w:val="center"/>
          </w:tcPr>
          <w:p>
            <w:pPr>
              <w:pStyle w:val="12"/>
              <w:widowControl/>
              <w:spacing w:line="360" w:lineRule="auto"/>
              <w:jc w:val="left"/>
              <w:rPr>
                <w:rFonts w:ascii="宋体" w:hAnsi="宋体" w:cs="宋体"/>
                <w:bCs/>
                <w:szCs w:val="21"/>
              </w:rPr>
            </w:pPr>
            <w:r>
              <w:rPr>
                <w:rFonts w:hint="eastAsia" w:ascii="宋体" w:hAnsi="宋体" w:cs="宋体"/>
                <w:bCs/>
                <w:color w:val="000000"/>
                <w:szCs w:val="21"/>
                <w:highlight w:val="white"/>
              </w:rPr>
              <w:t>符合《商品包装政府采购需求标准（试行）》和《快递包装政府采购需求标准（试行）》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16" w:type="pct"/>
            <w:vAlign w:val="center"/>
          </w:tcPr>
          <w:p>
            <w:pPr>
              <w:pStyle w:val="12"/>
              <w:widowControl/>
              <w:spacing w:line="480" w:lineRule="auto"/>
              <w:jc w:val="left"/>
              <w:rPr>
                <w:rFonts w:ascii="宋体" w:hAnsi="宋体" w:cs="宋体"/>
                <w:bCs/>
                <w:szCs w:val="21"/>
              </w:rPr>
            </w:pPr>
            <w:r>
              <w:rPr>
                <w:rFonts w:hint="eastAsia" w:ascii="宋体" w:hAnsi="宋体" w:cs="宋体"/>
                <w:bCs/>
                <w:color w:val="000000"/>
                <w:szCs w:val="21"/>
                <w:highlight w:val="white"/>
              </w:rPr>
              <w:t>4</w:t>
            </w:r>
          </w:p>
        </w:tc>
        <w:tc>
          <w:tcPr>
            <w:tcW w:w="1208" w:type="pct"/>
            <w:vAlign w:val="center"/>
          </w:tcPr>
          <w:p>
            <w:pPr>
              <w:pStyle w:val="12"/>
              <w:widowControl/>
              <w:spacing w:line="360" w:lineRule="auto"/>
              <w:jc w:val="left"/>
              <w:rPr>
                <w:rFonts w:ascii="宋体" w:hAnsi="宋体" w:cs="宋体"/>
                <w:bCs/>
                <w:szCs w:val="21"/>
                <w:lang w:val="zh-CN"/>
              </w:rPr>
            </w:pPr>
            <w:r>
              <w:rPr>
                <w:rFonts w:hint="eastAsia" w:ascii="宋体" w:hAnsi="宋体" w:cs="宋体"/>
                <w:bCs/>
                <w:color w:val="000000"/>
                <w:szCs w:val="21"/>
                <w:highlight w:val="white"/>
              </w:rPr>
              <w:t>保险要求</w:t>
            </w:r>
          </w:p>
        </w:tc>
        <w:tc>
          <w:tcPr>
            <w:tcW w:w="3376" w:type="pct"/>
            <w:vAlign w:val="center"/>
          </w:tcPr>
          <w:p>
            <w:pPr>
              <w:pStyle w:val="12"/>
              <w:widowControl/>
              <w:adjustRightInd w:val="0"/>
              <w:snapToGrid w:val="0"/>
              <w:spacing w:line="360" w:lineRule="auto"/>
              <w:jc w:val="left"/>
              <w:rPr>
                <w:rFonts w:ascii="宋体" w:hAnsi="宋体" w:cs="宋体"/>
                <w:bCs/>
                <w:szCs w:val="21"/>
              </w:rPr>
            </w:pPr>
            <w:r>
              <w:rPr>
                <w:rFonts w:hint="eastAsia" w:ascii="宋体" w:hAnsi="宋体" w:cs="宋体"/>
                <w:bCs/>
                <w:color w:val="000000"/>
                <w:szCs w:val="21"/>
                <w:highlight w:val="white"/>
                <w:lang w:val="zh-CN"/>
              </w:rPr>
              <w:t>货物在系统安装调试验收合格前的保险由中标人负责，中标人负责其派出的现场服务人员人身意外保险。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6" w:hRule="atLeast"/>
        </w:trPr>
        <w:tc>
          <w:tcPr>
            <w:tcW w:w="416" w:type="pct"/>
            <w:vAlign w:val="center"/>
          </w:tcPr>
          <w:p>
            <w:pPr>
              <w:pStyle w:val="12"/>
              <w:widowControl/>
              <w:spacing w:line="480" w:lineRule="auto"/>
              <w:jc w:val="left"/>
              <w:rPr>
                <w:rFonts w:ascii="宋体" w:hAnsi="宋体" w:cs="宋体"/>
                <w:bCs/>
                <w:szCs w:val="21"/>
              </w:rPr>
            </w:pPr>
            <w:r>
              <w:rPr>
                <w:rFonts w:hint="eastAsia" w:ascii="宋体" w:hAnsi="宋体" w:cs="宋体"/>
                <w:bCs/>
                <w:color w:val="000000"/>
                <w:szCs w:val="21"/>
                <w:highlight w:val="white"/>
              </w:rPr>
              <w:t>5</w:t>
            </w:r>
          </w:p>
        </w:tc>
        <w:tc>
          <w:tcPr>
            <w:tcW w:w="1208" w:type="pct"/>
            <w:vAlign w:val="center"/>
          </w:tcPr>
          <w:p>
            <w:pPr>
              <w:pStyle w:val="12"/>
              <w:widowControl/>
              <w:spacing w:line="360" w:lineRule="auto"/>
              <w:jc w:val="left"/>
              <w:rPr>
                <w:rFonts w:ascii="宋体" w:hAnsi="宋体" w:cs="宋体"/>
                <w:bCs/>
                <w:szCs w:val="21"/>
                <w:highlight w:val="none"/>
                <w:lang w:val="zh-CN"/>
              </w:rPr>
            </w:pPr>
            <w:r>
              <w:rPr>
                <w:rFonts w:hint="eastAsia" w:ascii="宋体" w:hAnsi="宋体" w:cs="宋体"/>
                <w:bCs/>
                <w:color w:val="000000"/>
                <w:szCs w:val="21"/>
                <w:highlight w:val="none"/>
              </w:rPr>
              <w:t>付款条件（进度和方式）</w:t>
            </w:r>
          </w:p>
        </w:tc>
        <w:tc>
          <w:tcPr>
            <w:tcW w:w="3376" w:type="pct"/>
            <w:vAlign w:val="center"/>
          </w:tcPr>
          <w:p>
            <w:pPr>
              <w:pStyle w:val="12"/>
              <w:widowControl/>
              <w:adjustRightInd w:val="0"/>
              <w:snapToGrid w:val="0"/>
              <w:spacing w:line="360" w:lineRule="auto"/>
              <w:jc w:val="left"/>
              <w:rPr>
                <w:rFonts w:ascii="宋体" w:hAnsi="宋体" w:cs="宋体"/>
                <w:bCs/>
                <w:color w:val="000000"/>
                <w:szCs w:val="21"/>
                <w:highlight w:val="none"/>
                <w:lang w:val="zh-CN"/>
              </w:rPr>
            </w:pPr>
            <w:r>
              <w:rPr>
                <w:rFonts w:hint="eastAsia" w:ascii="宋体" w:hAnsi="宋体" w:cs="宋体"/>
                <w:bCs/>
                <w:color w:val="000000"/>
                <w:szCs w:val="21"/>
                <w:highlight w:val="none"/>
                <w:lang w:val="zh-CN"/>
              </w:rPr>
              <w:t>项目建设完成，涉及的硬件设备和软件均运行正常，验收合格，且完成相关技术培训后付项目全款90%；项目验收合格之日起1年后，所有产品无质量问题，一次付清10%余款。</w:t>
            </w:r>
          </w:p>
          <w:p>
            <w:pPr>
              <w:pStyle w:val="12"/>
              <w:widowControl/>
              <w:adjustRightInd w:val="0"/>
              <w:snapToGrid w:val="0"/>
              <w:spacing w:line="360" w:lineRule="auto"/>
              <w:jc w:val="left"/>
              <w:rPr>
                <w:rFonts w:ascii="宋体" w:hAnsi="宋体" w:cs="宋体"/>
                <w:bCs/>
                <w:szCs w:val="21"/>
                <w:highlight w:val="none"/>
                <w:lang w:val="zh-CN"/>
              </w:rPr>
            </w:pPr>
            <w:r>
              <w:rPr>
                <w:rFonts w:hint="eastAsia" w:ascii="宋体" w:hAnsi="宋体" w:cs="宋体"/>
                <w:bCs/>
                <w:color w:val="000000"/>
                <w:szCs w:val="21"/>
                <w:highlight w:val="none"/>
                <w:lang w:val="zh-CN"/>
              </w:rPr>
              <w:t>本项目合同款通过国库集中支付，采购人按约定的付款时间向长春市财政局提出资金支付申请，则视同采购人已履行了合同付款义务。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4" w:hRule="atLeast"/>
        </w:trPr>
        <w:tc>
          <w:tcPr>
            <w:tcW w:w="416" w:type="pct"/>
            <w:vAlign w:val="center"/>
          </w:tcPr>
          <w:p>
            <w:pPr>
              <w:pStyle w:val="12"/>
              <w:widowControl/>
              <w:spacing w:line="480" w:lineRule="auto"/>
              <w:jc w:val="left"/>
              <w:rPr>
                <w:rFonts w:ascii="宋体" w:hAnsi="宋体" w:cs="宋体"/>
                <w:bCs/>
                <w:szCs w:val="21"/>
              </w:rPr>
            </w:pPr>
            <w:r>
              <w:rPr>
                <w:rFonts w:hint="eastAsia" w:ascii="宋体" w:hAnsi="宋体" w:cs="宋体"/>
                <w:bCs/>
                <w:color w:val="000000"/>
                <w:szCs w:val="21"/>
                <w:highlight w:val="white"/>
              </w:rPr>
              <w:t>6</w:t>
            </w:r>
          </w:p>
        </w:tc>
        <w:tc>
          <w:tcPr>
            <w:tcW w:w="1208" w:type="pct"/>
            <w:vAlign w:val="center"/>
          </w:tcPr>
          <w:p>
            <w:pPr>
              <w:pStyle w:val="12"/>
              <w:widowControl/>
              <w:spacing w:line="360" w:lineRule="auto"/>
              <w:jc w:val="left"/>
              <w:rPr>
                <w:rFonts w:ascii="宋体" w:hAnsi="宋体" w:cs="宋体"/>
                <w:bCs/>
                <w:szCs w:val="21"/>
                <w:lang w:val="zh-CN"/>
              </w:rPr>
            </w:pPr>
            <w:r>
              <w:rPr>
                <w:rFonts w:hint="eastAsia" w:ascii="宋体" w:hAnsi="宋体" w:cs="宋体"/>
                <w:bCs/>
                <w:color w:val="000000"/>
                <w:szCs w:val="21"/>
                <w:highlight w:val="white"/>
              </w:rPr>
              <w:t>售后服务</w:t>
            </w:r>
          </w:p>
        </w:tc>
        <w:tc>
          <w:tcPr>
            <w:tcW w:w="3376" w:type="pct"/>
            <w:vAlign w:val="center"/>
          </w:tcPr>
          <w:p>
            <w:pPr>
              <w:pStyle w:val="12"/>
              <w:widowControl/>
              <w:adjustRightInd w:val="0"/>
              <w:snapToGrid w:val="0"/>
              <w:spacing w:line="360" w:lineRule="auto"/>
              <w:jc w:val="left"/>
              <w:rPr>
                <w:rFonts w:ascii="宋体" w:hAnsi="宋体" w:cs="宋体"/>
                <w:bCs/>
                <w:szCs w:val="21"/>
                <w:lang w:val="zh-CN"/>
              </w:rPr>
            </w:pPr>
            <w:r>
              <w:rPr>
                <w:rFonts w:hint="eastAsia" w:ascii="宋体" w:hAnsi="宋体" w:cs="宋体"/>
                <w:bCs/>
                <w:color w:val="000000"/>
                <w:szCs w:val="21"/>
                <w:highlight w:val="white"/>
                <w:lang w:val="zh-CN"/>
              </w:rPr>
              <w:t>1.免费质保期：提供至</w:t>
            </w:r>
            <w:r>
              <w:rPr>
                <w:rFonts w:hint="eastAsia" w:ascii="宋体" w:hAnsi="宋体" w:cs="宋体"/>
                <w:bCs/>
                <w:color w:val="000000"/>
                <w:szCs w:val="21"/>
                <w:highlight w:val="none"/>
                <w:lang w:val="zh-CN"/>
              </w:rPr>
              <w:t>少3年</w:t>
            </w:r>
            <w:r>
              <w:rPr>
                <w:rFonts w:hint="eastAsia" w:ascii="宋体" w:hAnsi="宋体" w:cs="宋体"/>
                <w:bCs/>
                <w:color w:val="000000"/>
                <w:szCs w:val="21"/>
                <w:highlight w:val="white"/>
                <w:lang w:val="zh-CN"/>
              </w:rPr>
              <w:t>免费的硬件质保、质保期满后，以优惠价提供维修及换件服务；提供软件终身免费技术支持和升级。质保期自验收合格之日起计算。</w:t>
            </w:r>
          </w:p>
          <w:p>
            <w:pPr>
              <w:pStyle w:val="12"/>
              <w:widowControl/>
              <w:adjustRightInd w:val="0"/>
              <w:snapToGrid w:val="0"/>
              <w:spacing w:line="360" w:lineRule="auto"/>
              <w:jc w:val="left"/>
              <w:rPr>
                <w:rFonts w:ascii="宋体" w:hAnsi="宋体" w:cs="宋体"/>
                <w:bCs/>
                <w:color w:val="000000"/>
                <w:szCs w:val="21"/>
                <w:lang w:val="zh-CN"/>
              </w:rPr>
            </w:pPr>
            <w:r>
              <w:rPr>
                <w:rFonts w:hint="eastAsia" w:ascii="宋体" w:hAnsi="宋体" w:cs="宋体"/>
                <w:bCs/>
                <w:color w:val="000000"/>
                <w:szCs w:val="21"/>
                <w:highlight w:val="white"/>
                <w:lang w:val="zh-CN"/>
              </w:rPr>
              <w:t>2.售后服务保障或故障响应时间要求：出现故障必须2小时内响应，24小时修复故障。</w:t>
            </w:r>
          </w:p>
          <w:p>
            <w:pPr>
              <w:pStyle w:val="12"/>
              <w:widowControl/>
              <w:adjustRightInd w:val="0"/>
              <w:snapToGrid w:val="0"/>
              <w:spacing w:line="360" w:lineRule="auto"/>
              <w:jc w:val="left"/>
              <w:rPr>
                <w:rFonts w:ascii="宋体" w:hAnsi="宋体" w:cs="宋体"/>
                <w:bCs/>
                <w:szCs w:val="21"/>
              </w:rPr>
            </w:pPr>
            <w:r>
              <w:rPr>
                <w:rFonts w:hint="eastAsia" w:ascii="宋体" w:hAnsi="宋体" w:cs="宋体"/>
                <w:bCs/>
                <w:color w:val="000000"/>
                <w:szCs w:val="21"/>
                <w:highlight w:val="none"/>
                <w:lang w:val="zh-CN"/>
              </w:rPr>
              <w:t>3.中标人须保证对学校有关师生的技术的培训，培训人数不少于2人，培训时间不少于7天，每天不少于6小时，培训方案要求具备完整的人员培训的目标、对象、课程体系、培训方法等。</w:t>
            </w:r>
          </w:p>
        </w:tc>
      </w:tr>
    </w:tbl>
    <w:p>
      <w:pPr>
        <w:pStyle w:val="164"/>
        <w:keepNext w:val="0"/>
        <w:keepLines w:val="0"/>
        <w:spacing w:before="0" w:after="0" w:line="240" w:lineRule="auto"/>
        <w:jc w:val="left"/>
        <w:rPr>
          <w:rFonts w:ascii="宋体" w:hAnsi="宋体" w:eastAsia="黑体"/>
          <w:bCs w:val="0"/>
          <w:sz w:val="24"/>
          <w:szCs w:val="30"/>
        </w:rPr>
      </w:pPr>
    </w:p>
    <w:p>
      <w:pPr>
        <w:pStyle w:val="12"/>
        <w:widowControl/>
        <w:adjustRightInd w:val="0"/>
        <w:snapToGrid w:val="0"/>
        <w:spacing w:line="360" w:lineRule="auto"/>
        <w:ind w:firstLine="420" w:firstLineChars="200"/>
        <w:jc w:val="left"/>
        <w:rPr>
          <w:rFonts w:ascii="宋体" w:hAnsi="宋体" w:cs="宋体"/>
          <w:bCs/>
          <w:kern w:val="0"/>
          <w:szCs w:val="21"/>
        </w:rPr>
      </w:pPr>
    </w:p>
    <w:p>
      <w:pPr>
        <w:snapToGrid w:val="0"/>
        <w:spacing w:line="360" w:lineRule="auto"/>
        <w:rPr>
          <w:rFonts w:ascii="宋体" w:hAnsi="宋体" w:cs="宋体"/>
          <w:bCs/>
          <w:snapToGrid w:val="0"/>
          <w:spacing w:val="12"/>
          <w:szCs w:val="21"/>
        </w:rPr>
      </w:pPr>
    </w:p>
    <w:p>
      <w:pPr>
        <w:snapToGrid w:val="0"/>
        <w:spacing w:line="360" w:lineRule="auto"/>
        <w:rPr>
          <w:rFonts w:ascii="宋体" w:hAnsi="宋体" w:cs="宋体"/>
        </w:rPr>
      </w:pPr>
    </w:p>
    <w:p>
      <w:pPr>
        <w:pStyle w:val="51"/>
        <w:ind w:firstLine="0" w:firstLineChars="0"/>
        <w:rPr>
          <w:rFonts w:ascii="宋体" w:hAnsi="宋体" w:cs="宋体"/>
        </w:rPr>
        <w:sectPr>
          <w:pgSz w:w="11906" w:h="16838"/>
          <w:pgMar w:top="1276" w:right="991" w:bottom="1247" w:left="964" w:header="1134" w:footer="851" w:gutter="170"/>
          <w:cols w:space="720" w:num="1"/>
          <w:titlePg/>
          <w:docGrid w:type="linesAndChars" w:linePitch="328" w:charSpace="0"/>
        </w:sectPr>
      </w:pPr>
    </w:p>
    <w:p>
      <w:pPr>
        <w:pStyle w:val="3"/>
        <w:spacing w:before="0" w:after="0"/>
        <w:jc w:val="center"/>
        <w:rPr>
          <w:rFonts w:ascii="宋体" w:hAnsi="宋体" w:cs="宋体"/>
        </w:rPr>
      </w:pPr>
      <w:bookmarkStart w:id="159" w:name="_Toc23059"/>
      <w:bookmarkStart w:id="160" w:name="_Toc5522"/>
      <w:bookmarkStart w:id="161" w:name="_Toc13558"/>
      <w:r>
        <w:rPr>
          <w:rFonts w:hint="eastAsia" w:ascii="宋体" w:hAnsi="宋体" w:cs="宋体"/>
        </w:rPr>
        <w:t>第六章  响应文件构成、要求及格式</w:t>
      </w:r>
      <w:bookmarkEnd w:id="153"/>
      <w:bookmarkEnd w:id="154"/>
      <w:bookmarkEnd w:id="159"/>
      <w:bookmarkEnd w:id="160"/>
      <w:bookmarkEnd w:id="161"/>
    </w:p>
    <w:p>
      <w:pPr>
        <w:autoSpaceDE w:val="0"/>
        <w:autoSpaceDN w:val="0"/>
        <w:adjustRightInd w:val="0"/>
        <w:spacing w:line="360" w:lineRule="auto"/>
        <w:ind w:firstLine="420" w:firstLineChars="200"/>
        <w:rPr>
          <w:rFonts w:ascii="宋体" w:hAnsi="宋体" w:cs="宋体"/>
          <w:bCs/>
          <w:szCs w:val="21"/>
          <w:lang w:val="zh-CN"/>
        </w:rPr>
      </w:pPr>
      <w:r>
        <w:rPr>
          <w:rFonts w:hint="eastAsia" w:ascii="宋体" w:hAnsi="宋体" w:cs="宋体"/>
          <w:bCs/>
          <w:szCs w:val="21"/>
          <w:lang w:val="zh-CN"/>
        </w:rPr>
        <w:t>特别声明:</w:t>
      </w:r>
    </w:p>
    <w:p>
      <w:pPr>
        <w:tabs>
          <w:tab w:val="left" w:pos="709"/>
        </w:tabs>
        <w:autoSpaceDE w:val="0"/>
        <w:autoSpaceDN w:val="0"/>
        <w:adjustRightInd w:val="0"/>
        <w:spacing w:line="360" w:lineRule="auto"/>
        <w:ind w:firstLine="482"/>
        <w:rPr>
          <w:rFonts w:ascii="宋体" w:hAnsi="宋体" w:cs="宋体"/>
          <w:bCs/>
          <w:szCs w:val="21"/>
          <w:lang w:val="zh-CN"/>
        </w:rPr>
      </w:pPr>
      <w:r>
        <w:rPr>
          <w:rFonts w:hint="eastAsia" w:ascii="宋体" w:hAnsi="宋体" w:cs="宋体"/>
          <w:bCs/>
          <w:szCs w:val="21"/>
          <w:lang w:val="zh-CN"/>
        </w:rPr>
        <w:t>1、供应商必须按照磋商文件的规定提交所要求提交的的响应文件正本</w:t>
      </w:r>
      <w:r>
        <w:rPr>
          <w:rFonts w:hint="eastAsia" w:ascii="宋体" w:hAnsi="宋体" w:cs="宋体"/>
          <w:bCs/>
          <w:szCs w:val="21"/>
          <w:u w:val="single"/>
          <w:lang w:val="zh-CN"/>
        </w:rPr>
        <w:t xml:space="preserve"> 1 </w:t>
      </w:r>
      <w:r>
        <w:rPr>
          <w:rFonts w:hint="eastAsia" w:ascii="宋体" w:hAnsi="宋体" w:cs="宋体"/>
          <w:bCs/>
          <w:szCs w:val="21"/>
          <w:lang w:val="zh-CN"/>
        </w:rPr>
        <w:t>份、副本</w:t>
      </w:r>
      <w:r>
        <w:rPr>
          <w:rFonts w:hint="eastAsia" w:ascii="宋体" w:hAnsi="宋体" w:cs="宋体"/>
          <w:bCs/>
          <w:szCs w:val="21"/>
          <w:u w:val="single"/>
          <w:lang w:val="zh-CN"/>
        </w:rPr>
        <w:t xml:space="preserve"> </w:t>
      </w:r>
      <w:r>
        <w:rPr>
          <w:rFonts w:hint="eastAsia" w:ascii="宋体" w:hAnsi="宋体" w:cs="宋体"/>
          <w:bCs/>
          <w:szCs w:val="21"/>
          <w:u w:val="single"/>
        </w:rPr>
        <w:t>3</w:t>
      </w:r>
      <w:r>
        <w:rPr>
          <w:rFonts w:hint="eastAsia" w:ascii="宋体" w:hAnsi="宋体" w:cs="宋体"/>
          <w:bCs/>
          <w:szCs w:val="21"/>
          <w:u w:val="single"/>
          <w:lang w:val="zh-CN"/>
        </w:rPr>
        <w:t xml:space="preserve"> </w:t>
      </w:r>
      <w:r>
        <w:rPr>
          <w:rFonts w:hint="eastAsia" w:ascii="宋体" w:hAnsi="宋体" w:cs="宋体"/>
          <w:bCs/>
          <w:szCs w:val="21"/>
          <w:lang w:val="zh-CN"/>
        </w:rPr>
        <w:t>份，若有缺失、无效或者不符合磋商文件要求，将导致其投标被拒绝。</w:t>
      </w:r>
    </w:p>
    <w:p>
      <w:pPr>
        <w:tabs>
          <w:tab w:val="left" w:pos="709"/>
        </w:tabs>
        <w:autoSpaceDE w:val="0"/>
        <w:autoSpaceDN w:val="0"/>
        <w:adjustRightInd w:val="0"/>
        <w:spacing w:line="360" w:lineRule="auto"/>
        <w:ind w:firstLine="472" w:firstLineChars="225"/>
        <w:rPr>
          <w:rFonts w:ascii="宋体" w:hAnsi="宋体" w:cs="宋体"/>
          <w:bCs/>
          <w:szCs w:val="21"/>
          <w:lang w:val="zh-CN"/>
        </w:rPr>
      </w:pPr>
      <w:r>
        <w:rPr>
          <w:rFonts w:hint="eastAsia" w:ascii="宋体" w:hAnsi="宋体" w:cs="宋体"/>
          <w:bCs/>
          <w:szCs w:val="21"/>
          <w:lang w:val="zh-CN"/>
        </w:rPr>
        <w:t>2、供应商提交的全部文件均须统一装订在响应文件中，其中原件装订在正本中，复印件装订在副本中。供应商提交的文件材料均不予退还。</w:t>
      </w:r>
    </w:p>
    <w:p>
      <w:pPr>
        <w:autoSpaceDE w:val="0"/>
        <w:autoSpaceDN w:val="0"/>
        <w:adjustRightInd w:val="0"/>
        <w:spacing w:line="360" w:lineRule="auto"/>
        <w:ind w:firstLine="482"/>
        <w:rPr>
          <w:rFonts w:ascii="宋体" w:hAnsi="宋体" w:cs="宋体"/>
          <w:bCs/>
          <w:szCs w:val="21"/>
          <w:lang w:val="zh-CN"/>
        </w:rPr>
      </w:pPr>
      <w:r>
        <w:rPr>
          <w:rFonts w:hint="eastAsia" w:ascii="宋体" w:hAnsi="宋体" w:cs="宋体"/>
          <w:bCs/>
          <w:szCs w:val="21"/>
          <w:lang w:val="zh-CN"/>
        </w:rPr>
        <w:t>3、如果要求提交的资格证明文件需要进行年检，但在投标时因当地有关管理部门尚未开展年检工作，使供应商不能提交经年检的资格文件，供应商应提交当地相关管理机关出具的有效证明文件。</w:t>
      </w:r>
    </w:p>
    <w:p>
      <w:pPr>
        <w:autoSpaceDE w:val="0"/>
        <w:autoSpaceDN w:val="0"/>
        <w:adjustRightInd w:val="0"/>
        <w:spacing w:line="360" w:lineRule="auto"/>
        <w:ind w:firstLine="480"/>
        <w:rPr>
          <w:rFonts w:ascii="宋体" w:hAnsi="宋体" w:cs="宋体"/>
          <w:bCs/>
          <w:szCs w:val="21"/>
          <w:lang w:val="zh-CN"/>
        </w:rPr>
      </w:pPr>
      <w:r>
        <w:rPr>
          <w:rFonts w:hint="eastAsia" w:ascii="宋体" w:hAnsi="宋体" w:cs="宋体"/>
          <w:bCs/>
          <w:szCs w:val="21"/>
          <w:lang w:val="zh-CN"/>
        </w:rPr>
        <w:t>4、如果供应商受地域限制不能提供磋商文件要求的有关文件的原件，应提供当地公证机关出具的公证书。</w:t>
      </w:r>
    </w:p>
    <w:p>
      <w:pPr>
        <w:tabs>
          <w:tab w:val="left" w:pos="709"/>
        </w:tabs>
        <w:autoSpaceDE w:val="0"/>
        <w:autoSpaceDN w:val="0"/>
        <w:adjustRightInd w:val="0"/>
        <w:spacing w:line="360" w:lineRule="auto"/>
        <w:ind w:firstLine="420" w:firstLineChars="200"/>
        <w:rPr>
          <w:rFonts w:ascii="宋体" w:hAnsi="宋体" w:cs="宋体"/>
          <w:bCs/>
          <w:szCs w:val="21"/>
          <w:lang w:val="zh-CN"/>
        </w:rPr>
      </w:pPr>
      <w:r>
        <w:rPr>
          <w:rFonts w:hint="eastAsia" w:ascii="宋体" w:hAnsi="宋体" w:cs="宋体"/>
          <w:bCs/>
          <w:szCs w:val="21"/>
          <w:lang w:val="zh-CN"/>
        </w:rPr>
        <w:t>5、供应商提交的全部文件均须按磋商文件的规定有效签署和加盖公章。</w:t>
      </w:r>
    </w:p>
    <w:p>
      <w:pPr>
        <w:tabs>
          <w:tab w:val="left" w:pos="709"/>
        </w:tabs>
        <w:autoSpaceDE w:val="0"/>
        <w:autoSpaceDN w:val="0"/>
        <w:adjustRightInd w:val="0"/>
        <w:spacing w:line="360" w:lineRule="auto"/>
        <w:ind w:firstLine="420" w:firstLineChars="200"/>
        <w:rPr>
          <w:rFonts w:ascii="宋体" w:hAnsi="宋体" w:cs="宋体"/>
          <w:bCs/>
          <w:szCs w:val="21"/>
          <w:lang w:val="zh-CN"/>
        </w:rPr>
      </w:pPr>
      <w:r>
        <w:rPr>
          <w:rFonts w:hint="eastAsia" w:ascii="宋体" w:hAnsi="宋体" w:cs="宋体"/>
          <w:b/>
          <w:bCs/>
          <w:szCs w:val="21"/>
          <w:lang w:val="zh-CN"/>
        </w:rPr>
        <w:t>6、供应商应编制响应文件目录。</w:t>
      </w:r>
      <w:r>
        <w:rPr>
          <w:rFonts w:hint="eastAsia" w:ascii="宋体" w:hAnsi="宋体" w:cs="宋体"/>
          <w:bCs/>
          <w:szCs w:val="21"/>
          <w:lang w:val="zh-CN"/>
        </w:rPr>
        <w:t>按照《响应文件构成、要求及格式》所要求提交的商务部分、技术部分、作为评分依据的其他文件材料的具体排列顺序相对应地编制响应文件目录，既便于供应商自己进行审核，又便于评标委员会评审时能够快速、准确的查阅。</w:t>
      </w:r>
    </w:p>
    <w:p>
      <w:pPr>
        <w:tabs>
          <w:tab w:val="left" w:pos="709"/>
        </w:tabs>
        <w:autoSpaceDE w:val="0"/>
        <w:autoSpaceDN w:val="0"/>
        <w:adjustRightInd w:val="0"/>
        <w:spacing w:line="360" w:lineRule="auto"/>
        <w:ind w:firstLine="480"/>
        <w:rPr>
          <w:rFonts w:ascii="宋体" w:hAnsi="宋体" w:cs="宋体"/>
          <w:bCs/>
          <w:szCs w:val="21"/>
          <w:lang w:val="zh-CN"/>
        </w:rPr>
      </w:pPr>
      <w:r>
        <w:rPr>
          <w:rFonts w:hint="eastAsia" w:ascii="宋体" w:hAnsi="宋体" w:cs="宋体"/>
          <w:bCs/>
          <w:szCs w:val="21"/>
          <w:lang w:val="zh-CN"/>
        </w:rPr>
        <w:t>7、磋商小组将根据供应商提交的文件资料和自己的判断，决定供应商履行合同的合格性及能力。</w:t>
      </w:r>
    </w:p>
    <w:p>
      <w:pPr>
        <w:autoSpaceDE w:val="0"/>
        <w:autoSpaceDN w:val="0"/>
        <w:adjustRightInd w:val="0"/>
        <w:jc w:val="center"/>
        <w:rPr>
          <w:rFonts w:ascii="宋体" w:hAnsi="宋体" w:cs="宋体"/>
          <w:bCs/>
          <w:szCs w:val="21"/>
          <w:lang w:val="zh-CN"/>
        </w:rPr>
      </w:pPr>
    </w:p>
    <w:p>
      <w:pPr>
        <w:autoSpaceDE w:val="0"/>
        <w:autoSpaceDN w:val="0"/>
        <w:adjustRightInd w:val="0"/>
        <w:jc w:val="center"/>
        <w:rPr>
          <w:rFonts w:ascii="宋体" w:hAnsi="宋体" w:cs="宋体"/>
          <w:bCs/>
          <w:szCs w:val="21"/>
          <w:lang w:val="zh-CN"/>
        </w:rPr>
      </w:pPr>
    </w:p>
    <w:p>
      <w:pPr>
        <w:autoSpaceDE w:val="0"/>
        <w:autoSpaceDN w:val="0"/>
        <w:adjustRightInd w:val="0"/>
        <w:rPr>
          <w:rFonts w:ascii="宋体" w:hAnsi="宋体" w:cs="宋体"/>
          <w:b/>
          <w:bCs/>
          <w:sz w:val="30"/>
          <w:szCs w:val="30"/>
          <w:lang w:val="zh-CN"/>
        </w:rPr>
      </w:pPr>
    </w:p>
    <w:p>
      <w:pPr>
        <w:tabs>
          <w:tab w:val="left" w:pos="5364"/>
        </w:tabs>
        <w:autoSpaceDE w:val="0"/>
        <w:autoSpaceDN w:val="0"/>
        <w:adjustRightInd w:val="0"/>
        <w:jc w:val="right"/>
        <w:rPr>
          <w:rFonts w:ascii="宋体" w:hAnsi="宋体" w:cs="宋体"/>
          <w:bCs/>
          <w:szCs w:val="21"/>
          <w:lang w:val="zh-CN"/>
        </w:rPr>
      </w:pPr>
      <w:r>
        <w:rPr>
          <w:rFonts w:hint="eastAsia" w:ascii="宋体" w:hAnsi="宋体" w:cs="宋体"/>
          <w:b/>
          <w:sz w:val="44"/>
          <w:szCs w:val="44"/>
        </w:rPr>
        <w:br w:type="page"/>
      </w:r>
      <w:r>
        <w:rPr>
          <w:rFonts w:hint="eastAsia" w:ascii="宋体" w:hAnsi="宋体" w:cs="宋体"/>
          <w:b/>
          <w:sz w:val="44"/>
          <w:szCs w:val="44"/>
        </w:rPr>
        <w:t>【正本或副本】</w:t>
      </w: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jc w:val="center"/>
        <w:rPr>
          <w:rFonts w:ascii="宋体" w:hAnsi="宋体" w:cs="宋体"/>
          <w:b/>
          <w:sz w:val="44"/>
          <w:szCs w:val="44"/>
        </w:rPr>
      </w:pPr>
      <w:r>
        <w:rPr>
          <w:rFonts w:hint="eastAsia" w:ascii="宋体" w:hAnsi="宋体" w:cs="宋体"/>
          <w:b/>
          <w:sz w:val="44"/>
          <w:szCs w:val="44"/>
        </w:rPr>
        <w:t xml:space="preserve"> </w:t>
      </w:r>
      <w:r>
        <w:rPr>
          <w:rFonts w:hint="eastAsia" w:ascii="宋体" w:hAnsi="宋体" w:cs="宋体"/>
          <w:b/>
          <w:sz w:val="44"/>
          <w:szCs w:val="44"/>
          <w:u w:val="single"/>
        </w:rPr>
        <w:t xml:space="preserve">                      </w:t>
      </w:r>
      <w:r>
        <w:rPr>
          <w:rFonts w:hint="eastAsia" w:ascii="宋体" w:hAnsi="宋体" w:cs="宋体"/>
          <w:b/>
          <w:sz w:val="44"/>
          <w:szCs w:val="44"/>
        </w:rPr>
        <w:t>项目</w:t>
      </w:r>
    </w:p>
    <w:p>
      <w:pPr>
        <w:jc w:val="center"/>
        <w:rPr>
          <w:rFonts w:ascii="宋体" w:hAnsi="宋体" w:cs="宋体"/>
          <w:b/>
          <w:sz w:val="44"/>
          <w:szCs w:val="44"/>
        </w:rPr>
      </w:pPr>
    </w:p>
    <w:p>
      <w:pPr>
        <w:rPr>
          <w:rFonts w:ascii="宋体" w:hAnsi="宋体" w:cs="宋体"/>
          <w:b/>
          <w:sz w:val="84"/>
          <w:szCs w:val="84"/>
        </w:rPr>
      </w:pPr>
    </w:p>
    <w:p>
      <w:pPr>
        <w:jc w:val="center"/>
        <w:rPr>
          <w:rFonts w:ascii="宋体" w:hAnsi="宋体" w:cs="宋体"/>
          <w:b/>
          <w:sz w:val="72"/>
          <w:szCs w:val="72"/>
        </w:rPr>
      </w:pPr>
      <w:r>
        <w:rPr>
          <w:rFonts w:hint="eastAsia" w:ascii="宋体" w:hAnsi="宋体" w:cs="宋体"/>
          <w:b/>
          <w:sz w:val="72"/>
          <w:szCs w:val="72"/>
        </w:rPr>
        <w:t>响 应 文 件</w:t>
      </w:r>
    </w:p>
    <w:p>
      <w:pPr>
        <w:rPr>
          <w:rFonts w:ascii="宋体" w:hAnsi="宋体" w:cs="宋体"/>
          <w:sz w:val="36"/>
        </w:rPr>
      </w:pPr>
    </w:p>
    <w:p>
      <w:pPr>
        <w:jc w:val="center"/>
        <w:rPr>
          <w:rFonts w:ascii="宋体" w:hAnsi="宋体" w:cs="宋体"/>
          <w:b/>
          <w:sz w:val="28"/>
          <w:szCs w:val="28"/>
        </w:rPr>
      </w:pPr>
      <w:r>
        <w:rPr>
          <w:rFonts w:hint="eastAsia" w:ascii="宋体" w:hAnsi="宋体" w:cs="宋体"/>
          <w:b/>
          <w:sz w:val="28"/>
          <w:szCs w:val="28"/>
        </w:rPr>
        <w:t>项目编号：</w:t>
      </w:r>
    </w:p>
    <w:p>
      <w:pPr>
        <w:ind w:firstLine="320" w:firstLineChars="100"/>
        <w:jc w:val="center"/>
        <w:rPr>
          <w:rFonts w:ascii="宋体" w:hAnsi="宋体" w:cs="宋体"/>
          <w:b/>
          <w:sz w:val="32"/>
          <w:szCs w:val="32"/>
        </w:rPr>
      </w:pPr>
    </w:p>
    <w:p>
      <w:pPr>
        <w:rPr>
          <w:rFonts w:ascii="宋体" w:hAnsi="宋体" w:cs="宋体"/>
          <w:sz w:val="30"/>
          <w:szCs w:val="30"/>
        </w:rPr>
      </w:pPr>
    </w:p>
    <w:p>
      <w:pPr>
        <w:rPr>
          <w:rFonts w:ascii="宋体" w:hAnsi="宋体" w:cs="宋体"/>
          <w:sz w:val="30"/>
          <w:szCs w:val="30"/>
        </w:rPr>
      </w:pPr>
    </w:p>
    <w:p>
      <w:pPr>
        <w:rPr>
          <w:rFonts w:ascii="宋体" w:hAnsi="宋体" w:cs="宋体"/>
          <w:sz w:val="32"/>
        </w:rPr>
      </w:pPr>
    </w:p>
    <w:p>
      <w:pPr>
        <w:rPr>
          <w:rFonts w:ascii="宋体" w:hAnsi="宋体" w:cs="宋体"/>
          <w:sz w:val="32"/>
        </w:rPr>
      </w:pPr>
    </w:p>
    <w:p>
      <w:pPr>
        <w:ind w:firstLine="600" w:firstLineChars="200"/>
        <w:jc w:val="center"/>
        <w:rPr>
          <w:rFonts w:ascii="宋体" w:hAnsi="宋体" w:cs="宋体"/>
          <w:b/>
          <w:sz w:val="30"/>
          <w:szCs w:val="30"/>
        </w:rPr>
      </w:pPr>
      <w:r>
        <w:rPr>
          <w:rFonts w:hint="eastAsia" w:ascii="宋体" w:hAnsi="宋体" w:cs="宋体"/>
          <w:b/>
          <w:sz w:val="30"/>
          <w:szCs w:val="30"/>
        </w:rPr>
        <w:t>供应商单位：</w:t>
      </w:r>
      <w:r>
        <w:rPr>
          <w:rFonts w:hint="eastAsia" w:ascii="宋体" w:hAnsi="宋体" w:cs="宋体"/>
          <w:b/>
          <w:sz w:val="30"/>
          <w:szCs w:val="30"/>
          <w:u w:val="single"/>
        </w:rPr>
        <w:t xml:space="preserve">                       （盖章）</w:t>
      </w:r>
    </w:p>
    <w:p>
      <w:pPr>
        <w:jc w:val="center"/>
        <w:rPr>
          <w:rFonts w:ascii="宋体" w:hAnsi="宋体" w:cs="宋体"/>
          <w:b/>
          <w:sz w:val="30"/>
          <w:szCs w:val="30"/>
        </w:rPr>
      </w:pPr>
      <w:r>
        <w:rPr>
          <w:rFonts w:hint="eastAsia" w:ascii="宋体" w:hAnsi="宋体" w:cs="宋体"/>
          <w:b/>
          <w:bCs/>
          <w:sz w:val="30"/>
          <w:szCs w:val="30"/>
        </w:rPr>
        <w:t>法定代表人或其委托代理人</w:t>
      </w:r>
      <w:r>
        <w:rPr>
          <w:rFonts w:hint="eastAsia" w:ascii="宋体" w:hAnsi="宋体" w:cs="宋体"/>
          <w:b/>
          <w:sz w:val="30"/>
          <w:szCs w:val="30"/>
        </w:rPr>
        <w:t>：</w:t>
      </w:r>
      <w:r>
        <w:rPr>
          <w:rFonts w:hint="eastAsia" w:ascii="宋体" w:hAnsi="宋体" w:cs="宋体"/>
          <w:b/>
          <w:sz w:val="30"/>
          <w:szCs w:val="30"/>
          <w:u w:val="single"/>
        </w:rPr>
        <w:t xml:space="preserve">           （签字或盖章）</w:t>
      </w:r>
    </w:p>
    <w:p>
      <w:pPr>
        <w:ind w:firstLine="600" w:firstLineChars="200"/>
        <w:jc w:val="center"/>
        <w:rPr>
          <w:rFonts w:ascii="宋体" w:hAnsi="宋体" w:cs="宋体"/>
          <w:b/>
          <w:sz w:val="30"/>
          <w:szCs w:val="30"/>
          <w:u w:val="single"/>
        </w:rPr>
      </w:pPr>
      <w:r>
        <w:rPr>
          <w:rFonts w:hint="eastAsia" w:ascii="宋体" w:hAnsi="宋体" w:cs="宋体"/>
          <w:b/>
          <w:sz w:val="30"/>
          <w:szCs w:val="30"/>
        </w:rPr>
        <w:t>磋商日期：</w:t>
      </w:r>
      <w:r>
        <w:rPr>
          <w:rFonts w:hint="eastAsia" w:ascii="宋体" w:hAnsi="宋体" w:cs="宋体"/>
          <w:b/>
          <w:sz w:val="30"/>
          <w:szCs w:val="30"/>
          <w:u w:val="single"/>
        </w:rPr>
        <w:t xml:space="preserve">           年       月      日</w:t>
      </w:r>
    </w:p>
    <w:p>
      <w:pPr>
        <w:jc w:val="center"/>
        <w:rPr>
          <w:rFonts w:ascii="宋体" w:hAnsi="宋体" w:cs="宋体"/>
          <w:sz w:val="32"/>
          <w:szCs w:val="32"/>
        </w:rPr>
      </w:pPr>
      <w:r>
        <w:rPr>
          <w:rFonts w:hint="eastAsia" w:ascii="宋体" w:hAnsi="宋体" w:cs="宋体"/>
          <w:b/>
          <w:sz w:val="32"/>
          <w:szCs w:val="32"/>
          <w:u w:val="single"/>
        </w:rPr>
        <w:br w:type="page"/>
      </w:r>
      <w:r>
        <w:rPr>
          <w:rFonts w:hint="eastAsia" w:ascii="宋体" w:hAnsi="宋体" w:cs="宋体"/>
          <w:sz w:val="32"/>
          <w:szCs w:val="32"/>
        </w:rPr>
        <w:t>目 录</w:t>
      </w:r>
    </w:p>
    <w:p>
      <w:pPr>
        <w:jc w:val="center"/>
        <w:rPr>
          <w:rFonts w:ascii="宋体" w:hAnsi="宋体" w:cs="宋体"/>
          <w:sz w:val="32"/>
          <w:szCs w:val="32"/>
        </w:rPr>
      </w:pPr>
      <w:r>
        <w:rPr>
          <w:rFonts w:hint="eastAsia" w:ascii="宋体" w:hAnsi="宋体" w:cs="宋体"/>
          <w:sz w:val="32"/>
          <w:szCs w:val="32"/>
        </w:rPr>
        <w:t xml:space="preserve"> </w:t>
      </w:r>
    </w:p>
    <w:p>
      <w:pPr>
        <w:spacing w:line="600" w:lineRule="exact"/>
        <w:jc w:val="center"/>
        <w:rPr>
          <w:rFonts w:ascii="宋体" w:hAnsi="宋体" w:cs="宋体"/>
          <w:b/>
          <w:bCs/>
          <w:sz w:val="24"/>
          <w:szCs w:val="24"/>
        </w:rPr>
      </w:pPr>
      <w:r>
        <w:rPr>
          <w:rFonts w:hint="eastAsia" w:ascii="宋体" w:hAnsi="宋体" w:cs="宋体"/>
          <w:b/>
          <w:bCs/>
          <w:sz w:val="24"/>
          <w:szCs w:val="24"/>
        </w:rPr>
        <w:t xml:space="preserve">自拟 </w:t>
      </w:r>
    </w:p>
    <w:p>
      <w:pPr>
        <w:spacing w:line="600" w:lineRule="exact"/>
        <w:jc w:val="center"/>
        <w:rPr>
          <w:rFonts w:ascii="宋体" w:hAnsi="宋体" w:cs="宋体"/>
          <w:b/>
          <w:bCs/>
          <w:sz w:val="24"/>
          <w:szCs w:val="24"/>
        </w:rPr>
      </w:pPr>
      <w:r>
        <w:rPr>
          <w:rFonts w:hint="eastAsia" w:ascii="宋体" w:hAnsi="宋体" w:cs="宋体"/>
          <w:b/>
          <w:bCs/>
          <w:sz w:val="24"/>
          <w:szCs w:val="24"/>
        </w:rPr>
        <w:t xml:space="preserve"> </w:t>
      </w:r>
    </w:p>
    <w:p>
      <w:pPr>
        <w:spacing w:line="600" w:lineRule="exact"/>
        <w:jc w:val="center"/>
        <w:rPr>
          <w:rFonts w:ascii="宋体" w:hAnsi="宋体" w:cs="宋体"/>
          <w:b/>
          <w:bCs/>
          <w:sz w:val="24"/>
          <w:szCs w:val="24"/>
        </w:rPr>
      </w:pPr>
      <w:r>
        <w:rPr>
          <w:rFonts w:hint="eastAsia" w:ascii="宋体" w:hAnsi="宋体" w:cs="宋体"/>
          <w:b/>
          <w:bCs/>
          <w:sz w:val="24"/>
          <w:szCs w:val="24"/>
        </w:rPr>
        <w:t xml:space="preserve"> </w:t>
      </w:r>
    </w:p>
    <w:p>
      <w:pPr>
        <w:spacing w:line="600" w:lineRule="exact"/>
        <w:jc w:val="center"/>
        <w:rPr>
          <w:rFonts w:ascii="宋体" w:hAnsi="宋体" w:cs="宋体"/>
          <w:b/>
          <w:bCs/>
          <w:sz w:val="24"/>
          <w:szCs w:val="24"/>
        </w:rPr>
      </w:pPr>
      <w:r>
        <w:rPr>
          <w:rFonts w:hint="eastAsia" w:ascii="宋体" w:hAnsi="宋体" w:cs="宋体"/>
          <w:b/>
          <w:bCs/>
          <w:sz w:val="24"/>
          <w:szCs w:val="24"/>
        </w:rPr>
        <w:t xml:space="preserve"> </w:t>
      </w:r>
    </w:p>
    <w:p>
      <w:pPr>
        <w:spacing w:line="600" w:lineRule="exact"/>
        <w:jc w:val="center"/>
        <w:rPr>
          <w:rFonts w:ascii="宋体" w:hAnsi="宋体" w:cs="宋体"/>
          <w:b/>
          <w:bCs/>
          <w:sz w:val="24"/>
          <w:szCs w:val="24"/>
        </w:rPr>
      </w:pPr>
      <w:r>
        <w:rPr>
          <w:rFonts w:hint="eastAsia" w:ascii="宋体" w:hAnsi="宋体" w:cs="宋体"/>
          <w:b/>
          <w:bCs/>
          <w:sz w:val="24"/>
          <w:szCs w:val="24"/>
        </w:rPr>
        <w:t xml:space="preserve"> </w:t>
      </w:r>
    </w:p>
    <w:p>
      <w:pPr>
        <w:spacing w:line="600" w:lineRule="exact"/>
        <w:jc w:val="center"/>
        <w:rPr>
          <w:rFonts w:ascii="宋体" w:hAnsi="宋体" w:cs="宋体"/>
          <w:b/>
          <w:bCs/>
          <w:sz w:val="24"/>
          <w:szCs w:val="24"/>
        </w:rPr>
      </w:pPr>
      <w:r>
        <w:rPr>
          <w:rFonts w:hint="eastAsia" w:ascii="宋体" w:hAnsi="宋体" w:cs="宋体"/>
          <w:b/>
          <w:bCs/>
          <w:sz w:val="24"/>
          <w:szCs w:val="24"/>
        </w:rPr>
        <w:t xml:space="preserve"> </w:t>
      </w:r>
    </w:p>
    <w:p>
      <w:pPr>
        <w:spacing w:line="600" w:lineRule="exact"/>
        <w:jc w:val="center"/>
        <w:rPr>
          <w:rFonts w:ascii="宋体" w:hAnsi="宋体" w:cs="宋体"/>
          <w:b/>
          <w:bCs/>
          <w:sz w:val="24"/>
          <w:szCs w:val="24"/>
        </w:rPr>
      </w:pPr>
      <w:r>
        <w:rPr>
          <w:rFonts w:hint="eastAsia" w:ascii="宋体" w:hAnsi="宋体" w:cs="宋体"/>
          <w:b/>
          <w:bCs/>
          <w:sz w:val="24"/>
          <w:szCs w:val="24"/>
        </w:rPr>
        <w:t xml:space="preserve"> </w:t>
      </w:r>
    </w:p>
    <w:p>
      <w:pPr>
        <w:pStyle w:val="18"/>
        <w:jc w:val="left"/>
        <w:outlineLvl w:val="1"/>
        <w:rPr>
          <w:rFonts w:hAnsi="宋体" w:cs="宋体"/>
          <w:b/>
          <w:bCs/>
          <w:sz w:val="30"/>
          <w:szCs w:val="30"/>
        </w:rPr>
      </w:pPr>
      <w:r>
        <w:rPr>
          <w:rFonts w:hint="eastAsia" w:hAnsi="宋体" w:cs="宋体"/>
          <w:b/>
          <w:bCs/>
          <w:sz w:val="30"/>
          <w:szCs w:val="30"/>
        </w:rPr>
        <w:br w:type="page"/>
      </w:r>
    </w:p>
    <w:p>
      <w:pPr>
        <w:autoSpaceDE w:val="0"/>
        <w:autoSpaceDN w:val="0"/>
        <w:adjustRightInd w:val="0"/>
        <w:spacing w:line="360" w:lineRule="auto"/>
        <w:ind w:firstLine="150" w:firstLineChars="50"/>
        <w:jc w:val="center"/>
        <w:rPr>
          <w:rFonts w:ascii="宋体" w:hAnsi="宋体" w:cs="宋体"/>
          <w:b/>
          <w:bCs/>
          <w:sz w:val="30"/>
          <w:szCs w:val="30"/>
        </w:rPr>
        <w:sectPr>
          <w:pgSz w:w="11906" w:h="16838"/>
          <w:pgMar w:top="1276" w:right="991" w:bottom="1247" w:left="964" w:header="1134" w:footer="851" w:gutter="170"/>
          <w:cols w:space="720" w:num="1"/>
          <w:titlePg/>
          <w:docGrid w:type="linesAndChars" w:linePitch="328" w:charSpace="0"/>
        </w:sectPr>
      </w:pPr>
    </w:p>
    <w:p>
      <w:pPr>
        <w:autoSpaceDE w:val="0"/>
        <w:autoSpaceDN w:val="0"/>
        <w:adjustRightInd w:val="0"/>
        <w:spacing w:line="360" w:lineRule="auto"/>
        <w:ind w:firstLine="150" w:firstLineChars="50"/>
        <w:jc w:val="center"/>
        <w:rPr>
          <w:rFonts w:ascii="宋体" w:hAnsi="宋体" w:cs="宋体"/>
          <w:b/>
          <w:bCs/>
          <w:kern w:val="0"/>
          <w:sz w:val="30"/>
          <w:szCs w:val="30"/>
        </w:rPr>
      </w:pPr>
      <w:r>
        <w:rPr>
          <w:rFonts w:hint="eastAsia" w:ascii="宋体" w:hAnsi="宋体" w:cs="宋体"/>
          <w:b/>
          <w:bCs/>
          <w:sz w:val="30"/>
          <w:szCs w:val="30"/>
        </w:rPr>
        <w:t>一、投标函</w:t>
      </w:r>
      <w:r>
        <w:rPr>
          <w:rFonts w:hint="eastAsia" w:ascii="宋体" w:hAnsi="宋体" w:cs="宋体"/>
          <w:b/>
          <w:bCs/>
          <w:kern w:val="0"/>
          <w:sz w:val="30"/>
          <w:szCs w:val="30"/>
        </w:rPr>
        <w:t>及投标函附录</w:t>
      </w:r>
    </w:p>
    <w:p>
      <w:pPr>
        <w:autoSpaceDE w:val="0"/>
        <w:autoSpaceDN w:val="0"/>
        <w:adjustRightInd w:val="0"/>
        <w:spacing w:line="360" w:lineRule="auto"/>
        <w:ind w:firstLine="150" w:firstLineChars="50"/>
        <w:jc w:val="center"/>
        <w:rPr>
          <w:rFonts w:ascii="宋体" w:hAnsi="宋体" w:cs="宋体"/>
          <w:szCs w:val="21"/>
          <w:u w:val="single"/>
        </w:rPr>
      </w:pPr>
      <w:r>
        <w:rPr>
          <w:rFonts w:hint="eastAsia" w:ascii="宋体" w:hAnsi="宋体" w:cs="宋体"/>
          <w:b/>
          <w:bCs/>
          <w:kern w:val="0"/>
          <w:sz w:val="30"/>
          <w:szCs w:val="30"/>
        </w:rPr>
        <w:t>（一）投标函</w:t>
      </w:r>
    </w:p>
    <w:p>
      <w:pPr>
        <w:autoSpaceDE w:val="0"/>
        <w:autoSpaceDN w:val="0"/>
        <w:adjustRightInd w:val="0"/>
        <w:spacing w:line="360" w:lineRule="auto"/>
        <w:ind w:firstLine="525" w:firstLineChars="250"/>
        <w:rPr>
          <w:rFonts w:ascii="宋体" w:hAnsi="宋体" w:cs="宋体"/>
          <w:szCs w:val="21"/>
        </w:rPr>
      </w:pPr>
      <w:r>
        <w:rPr>
          <w:rFonts w:hint="eastAsia" w:ascii="宋体" w:hAnsi="宋体" w:cs="宋体"/>
          <w:szCs w:val="21"/>
          <w:u w:val="single"/>
        </w:rPr>
        <w:t xml:space="preserve">     （采购人名称）           </w:t>
      </w:r>
      <w:r>
        <w:rPr>
          <w:rFonts w:hint="eastAsia" w:ascii="宋体" w:hAnsi="宋体" w:cs="宋体"/>
          <w:szCs w:val="21"/>
        </w:rPr>
        <w:t>：</w:t>
      </w:r>
    </w:p>
    <w:p>
      <w:pPr>
        <w:autoSpaceDE w:val="0"/>
        <w:autoSpaceDN w:val="0"/>
        <w:adjustRightInd w:val="0"/>
        <w:ind w:firstLine="480"/>
        <w:rPr>
          <w:rFonts w:ascii="宋体" w:hAnsi="宋体" w:cs="宋体"/>
          <w:szCs w:val="21"/>
        </w:rPr>
      </w:pPr>
      <w:r>
        <w:rPr>
          <w:rFonts w:hint="eastAsia" w:ascii="宋体" w:hAnsi="宋体" w:cs="宋体"/>
          <w:szCs w:val="21"/>
        </w:rPr>
        <w:t xml:space="preserve">根据你方 </w:t>
      </w:r>
      <w:r>
        <w:rPr>
          <w:rFonts w:hint="eastAsia" w:ascii="宋体" w:hAnsi="宋体" w:cs="宋体"/>
          <w:szCs w:val="21"/>
          <w:u w:val="single"/>
        </w:rPr>
        <w:t xml:space="preserve">  （项目名称） </w:t>
      </w:r>
      <w:r>
        <w:rPr>
          <w:rFonts w:hint="eastAsia" w:ascii="宋体" w:hAnsi="宋体" w:cs="宋体"/>
          <w:szCs w:val="21"/>
        </w:rPr>
        <w:t>项目的编号为</w:t>
      </w:r>
      <w:r>
        <w:rPr>
          <w:rFonts w:hint="eastAsia" w:ascii="宋体" w:hAnsi="宋体" w:cs="宋体"/>
          <w:szCs w:val="21"/>
          <w:u w:val="single"/>
        </w:rPr>
        <w:t xml:space="preserve">  （编号）     </w:t>
      </w:r>
      <w:r>
        <w:rPr>
          <w:rFonts w:hint="eastAsia" w:ascii="宋体" w:hAnsi="宋体" w:cs="宋体"/>
          <w:szCs w:val="21"/>
        </w:rPr>
        <w:t>竞争性磋商文件，我方正式授权的下述签字人</w:t>
      </w:r>
      <w:r>
        <w:rPr>
          <w:rFonts w:hint="eastAsia" w:ascii="宋体" w:hAnsi="宋体" w:cs="宋体"/>
          <w:szCs w:val="21"/>
          <w:u w:val="single"/>
        </w:rPr>
        <w:t xml:space="preserve">  （姓名和职务）  </w:t>
      </w:r>
      <w:r>
        <w:rPr>
          <w:rFonts w:hint="eastAsia" w:ascii="宋体" w:hAnsi="宋体" w:cs="宋体"/>
          <w:szCs w:val="21"/>
        </w:rPr>
        <w:t>代表我方</w:t>
      </w:r>
      <w:r>
        <w:rPr>
          <w:rFonts w:hint="eastAsia" w:ascii="宋体" w:hAnsi="宋体" w:cs="宋体"/>
          <w:szCs w:val="21"/>
          <w:u w:val="single"/>
        </w:rPr>
        <w:t xml:space="preserve">  （供应商的名称）  </w:t>
      </w:r>
      <w:r>
        <w:rPr>
          <w:rFonts w:hint="eastAsia" w:ascii="宋体" w:hAnsi="宋体" w:cs="宋体"/>
          <w:szCs w:val="21"/>
        </w:rPr>
        <w:t>，按照你方竞争性磋商文件的规定，并保证所提供的全部文件是真实的、有效的和准确的。</w:t>
      </w:r>
    </w:p>
    <w:p>
      <w:pPr>
        <w:autoSpaceDE w:val="0"/>
        <w:autoSpaceDN w:val="0"/>
        <w:adjustRightInd w:val="0"/>
        <w:ind w:firstLine="480"/>
        <w:rPr>
          <w:rFonts w:ascii="宋体" w:hAnsi="宋体" w:cs="宋体"/>
          <w:szCs w:val="21"/>
        </w:rPr>
      </w:pPr>
      <w:r>
        <w:rPr>
          <w:rFonts w:hint="eastAsia" w:ascii="宋体" w:hAnsi="宋体" w:cs="宋体"/>
          <w:szCs w:val="21"/>
        </w:rPr>
        <w:t>据此函，签字人兹宣布同意如下：</w:t>
      </w:r>
    </w:p>
    <w:p>
      <w:pPr>
        <w:autoSpaceDE w:val="0"/>
        <w:autoSpaceDN w:val="0"/>
        <w:adjustRightInd w:val="0"/>
        <w:ind w:firstLine="420" w:firstLineChars="200"/>
        <w:rPr>
          <w:rFonts w:ascii="宋体" w:hAnsi="宋体" w:cs="宋体"/>
          <w:b/>
          <w:szCs w:val="21"/>
        </w:rPr>
      </w:pPr>
      <w:r>
        <w:rPr>
          <w:rFonts w:hint="eastAsia" w:ascii="宋体" w:hAnsi="宋体" w:cs="宋体"/>
          <w:b/>
          <w:szCs w:val="21"/>
        </w:rPr>
        <w:t>1.按竞争性磋商文件规定提供货物的投标报价为</w:t>
      </w:r>
      <w:r>
        <w:rPr>
          <w:rFonts w:hint="eastAsia" w:ascii="宋体" w:hAnsi="宋体" w:cs="宋体"/>
          <w:b/>
          <w:szCs w:val="21"/>
          <w:u w:val="single"/>
        </w:rPr>
        <w:t xml:space="preserve">     </w:t>
      </w:r>
      <w:r>
        <w:rPr>
          <w:rFonts w:hint="eastAsia" w:ascii="宋体" w:hAnsi="宋体" w:cs="宋体"/>
          <w:b/>
          <w:szCs w:val="21"/>
        </w:rPr>
        <w:t>元。</w:t>
      </w:r>
    </w:p>
    <w:p>
      <w:pPr>
        <w:autoSpaceDE w:val="0"/>
        <w:autoSpaceDN w:val="0"/>
        <w:adjustRightInd w:val="0"/>
        <w:ind w:firstLine="420" w:firstLineChars="200"/>
        <w:rPr>
          <w:rFonts w:ascii="宋体" w:hAnsi="宋体" w:cs="宋体"/>
          <w:b/>
          <w:szCs w:val="21"/>
        </w:rPr>
      </w:pPr>
      <w:r>
        <w:rPr>
          <w:rFonts w:hint="eastAsia" w:ascii="宋体" w:hAnsi="宋体" w:cs="宋体"/>
          <w:b/>
          <w:szCs w:val="21"/>
        </w:rPr>
        <w:t>2.如果我方中标，我们保证根据竞争性磋商文件规定履行合同责任和义务。</w:t>
      </w:r>
    </w:p>
    <w:p>
      <w:pPr>
        <w:autoSpaceDE w:val="0"/>
        <w:autoSpaceDN w:val="0"/>
        <w:adjustRightInd w:val="0"/>
        <w:ind w:firstLine="420" w:firstLineChars="200"/>
        <w:rPr>
          <w:rFonts w:ascii="宋体" w:hAnsi="宋体" w:cs="宋体"/>
          <w:b/>
          <w:szCs w:val="21"/>
        </w:rPr>
      </w:pPr>
      <w:r>
        <w:rPr>
          <w:rFonts w:hint="eastAsia" w:ascii="宋体" w:hAnsi="宋体" w:cs="宋体"/>
          <w:b/>
          <w:szCs w:val="21"/>
        </w:rPr>
        <w:t>3.我方人民币</w:t>
      </w:r>
      <w:r>
        <w:rPr>
          <w:rFonts w:hint="eastAsia" w:ascii="宋体" w:hAnsi="宋体" w:cs="宋体"/>
          <w:b/>
          <w:szCs w:val="21"/>
          <w:u w:val="single"/>
        </w:rPr>
        <w:t xml:space="preserve">        </w:t>
      </w:r>
      <w:r>
        <w:rPr>
          <w:rFonts w:hint="eastAsia" w:ascii="宋体" w:hAnsi="宋体" w:cs="宋体"/>
          <w:b/>
          <w:szCs w:val="21"/>
        </w:rPr>
        <w:t>元的磋商保证金与本响应文件同时提交</w:t>
      </w:r>
      <w:r>
        <w:rPr>
          <w:rFonts w:hint="eastAsia" w:ascii="宋体" w:hAnsi="宋体" w:cs="宋体"/>
          <w:b/>
          <w:szCs w:val="21"/>
          <w:lang w:eastAsia="zh-CN"/>
        </w:rPr>
        <w:t>（如有）</w:t>
      </w:r>
      <w:r>
        <w:rPr>
          <w:rFonts w:hint="eastAsia" w:ascii="宋体" w:hAnsi="宋体" w:cs="宋体"/>
          <w:b/>
          <w:szCs w:val="21"/>
        </w:rPr>
        <w:t>。</w:t>
      </w:r>
    </w:p>
    <w:p>
      <w:pPr>
        <w:autoSpaceDE w:val="0"/>
        <w:autoSpaceDN w:val="0"/>
        <w:adjustRightInd w:val="0"/>
        <w:ind w:firstLine="420" w:firstLineChars="200"/>
        <w:rPr>
          <w:rFonts w:ascii="宋体" w:hAnsi="宋体" w:cs="宋体"/>
          <w:b/>
          <w:szCs w:val="21"/>
        </w:rPr>
      </w:pPr>
      <w:r>
        <w:rPr>
          <w:rFonts w:hint="eastAsia" w:ascii="宋体" w:hAnsi="宋体" w:cs="宋体"/>
          <w:b/>
          <w:szCs w:val="21"/>
        </w:rPr>
        <w:t>4.投标有效期自开标之日起</w:t>
      </w:r>
      <w:r>
        <w:rPr>
          <w:rFonts w:hint="eastAsia" w:ascii="宋体" w:hAnsi="宋体" w:cs="宋体"/>
          <w:b/>
          <w:szCs w:val="21"/>
          <w:u w:val="single"/>
        </w:rPr>
        <w:t xml:space="preserve">    </w:t>
      </w:r>
      <w:r>
        <w:rPr>
          <w:rFonts w:hint="eastAsia" w:ascii="宋体" w:hAnsi="宋体" w:cs="宋体"/>
          <w:b/>
          <w:szCs w:val="21"/>
        </w:rPr>
        <w:t>天内有效。</w:t>
      </w:r>
    </w:p>
    <w:p>
      <w:pPr>
        <w:autoSpaceDE w:val="0"/>
        <w:autoSpaceDN w:val="0"/>
        <w:adjustRightInd w:val="0"/>
        <w:ind w:firstLine="420" w:firstLineChars="200"/>
        <w:rPr>
          <w:rFonts w:ascii="宋体" w:hAnsi="宋体" w:cs="宋体"/>
          <w:szCs w:val="21"/>
        </w:rPr>
      </w:pPr>
      <w:r>
        <w:rPr>
          <w:rFonts w:hint="eastAsia" w:ascii="宋体" w:hAnsi="宋体" w:cs="宋体"/>
          <w:szCs w:val="21"/>
        </w:rPr>
        <w:t>5.如果我方中标，我方保证按照竞争性磋商文件规定提交履约保证金，承担履约责任。</w:t>
      </w:r>
    </w:p>
    <w:p>
      <w:pPr>
        <w:autoSpaceDE w:val="0"/>
        <w:autoSpaceDN w:val="0"/>
        <w:adjustRightInd w:val="0"/>
        <w:ind w:firstLine="420" w:firstLineChars="200"/>
        <w:rPr>
          <w:rFonts w:ascii="宋体" w:hAnsi="宋体" w:cs="宋体"/>
          <w:szCs w:val="21"/>
        </w:rPr>
      </w:pPr>
      <w:r>
        <w:rPr>
          <w:rFonts w:hint="eastAsia" w:ascii="宋体" w:hAnsi="宋体" w:cs="宋体"/>
          <w:szCs w:val="21"/>
        </w:rPr>
        <w:t>6.我们已详细阅读了全部竞争性磋商文件，包括竞争性磋商文件的修改、补充文件、参考资料及有关的附件，我们接受竞争性磋商文件的全部条款和条件，我们知道必须放弃提出含糊不清或误解的问题的权利。</w:t>
      </w:r>
    </w:p>
    <w:p>
      <w:pPr>
        <w:autoSpaceDE w:val="0"/>
        <w:autoSpaceDN w:val="0"/>
        <w:adjustRightInd w:val="0"/>
        <w:ind w:firstLine="420" w:firstLineChars="200"/>
        <w:rPr>
          <w:rFonts w:ascii="宋体" w:hAnsi="宋体" w:cs="宋体"/>
          <w:szCs w:val="21"/>
        </w:rPr>
      </w:pPr>
      <w:r>
        <w:rPr>
          <w:rFonts w:hint="eastAsia" w:ascii="宋体" w:hAnsi="宋体" w:cs="宋体"/>
          <w:szCs w:val="21"/>
        </w:rPr>
        <w:t>7.我们对竞争性磋商文件关于时限、程序方面的规定没有异议，保证按照竞争性磋商文件规定的时限和程序参加投标活动。</w:t>
      </w:r>
    </w:p>
    <w:p>
      <w:pPr>
        <w:autoSpaceDE w:val="0"/>
        <w:autoSpaceDN w:val="0"/>
        <w:adjustRightInd w:val="0"/>
        <w:ind w:firstLine="420" w:firstLineChars="200"/>
        <w:rPr>
          <w:rFonts w:ascii="宋体" w:hAnsi="宋体" w:cs="宋体"/>
          <w:szCs w:val="21"/>
        </w:rPr>
      </w:pPr>
      <w:r>
        <w:rPr>
          <w:rFonts w:hint="eastAsia" w:ascii="宋体" w:hAnsi="宋体" w:cs="宋体"/>
          <w:szCs w:val="21"/>
        </w:rPr>
        <w:t>8.我们同意在供应商须知规定的开标时间起遵循本投标书，并在供应商须知规定的投标有效期满之前均具有约束力，并有可能中标。</w:t>
      </w:r>
    </w:p>
    <w:p>
      <w:pPr>
        <w:autoSpaceDE w:val="0"/>
        <w:autoSpaceDN w:val="0"/>
        <w:adjustRightInd w:val="0"/>
        <w:ind w:firstLine="420" w:firstLineChars="200"/>
        <w:rPr>
          <w:rFonts w:ascii="宋体" w:hAnsi="宋体" w:cs="宋体"/>
          <w:szCs w:val="21"/>
        </w:rPr>
      </w:pPr>
      <w:r>
        <w:rPr>
          <w:rFonts w:hint="eastAsia" w:ascii="宋体" w:hAnsi="宋体" w:cs="宋体"/>
          <w:szCs w:val="21"/>
        </w:rPr>
        <w:t>9我们如果在规定的投标有效期内撤回投标，则你方可不予退还我们的磋商保证金。</w:t>
      </w:r>
    </w:p>
    <w:p>
      <w:pPr>
        <w:autoSpaceDE w:val="0"/>
        <w:autoSpaceDN w:val="0"/>
        <w:adjustRightInd w:val="0"/>
        <w:ind w:firstLine="420" w:firstLineChars="200"/>
        <w:rPr>
          <w:rFonts w:ascii="宋体" w:hAnsi="宋体" w:cs="宋体"/>
          <w:szCs w:val="21"/>
        </w:rPr>
      </w:pPr>
      <w:r>
        <w:rPr>
          <w:rFonts w:hint="eastAsia" w:ascii="宋体" w:hAnsi="宋体" w:cs="宋体"/>
          <w:szCs w:val="21"/>
        </w:rPr>
        <w:t>10.我们保证向你方提供你方可能要求的与本投标有关的任何证据或资料。</w:t>
      </w:r>
    </w:p>
    <w:p>
      <w:pPr>
        <w:autoSpaceDE w:val="0"/>
        <w:autoSpaceDN w:val="0"/>
        <w:adjustRightInd w:val="0"/>
        <w:ind w:firstLine="420" w:firstLineChars="200"/>
        <w:rPr>
          <w:rFonts w:ascii="宋体" w:hAnsi="宋体" w:cs="宋体"/>
          <w:szCs w:val="21"/>
        </w:rPr>
      </w:pPr>
      <w:r>
        <w:rPr>
          <w:rFonts w:hint="eastAsia" w:ascii="宋体" w:hAnsi="宋体" w:cs="宋体"/>
          <w:szCs w:val="21"/>
        </w:rPr>
        <w:t>11.我们完全理解你方不一定要接受最低报价的投标或收到的任何投标。</w:t>
      </w:r>
    </w:p>
    <w:p>
      <w:pPr>
        <w:autoSpaceDE w:val="0"/>
        <w:autoSpaceDN w:val="0"/>
        <w:adjustRightInd w:val="0"/>
        <w:ind w:firstLine="420" w:firstLineChars="200"/>
        <w:rPr>
          <w:rFonts w:ascii="宋体" w:hAnsi="宋体" w:cs="宋体"/>
          <w:szCs w:val="21"/>
        </w:rPr>
      </w:pPr>
      <w:r>
        <w:rPr>
          <w:rFonts w:hint="eastAsia" w:ascii="宋体" w:hAnsi="宋体" w:cs="宋体"/>
          <w:szCs w:val="21"/>
        </w:rPr>
        <w:t>12.我方保证严格遵守《中华人民共和国政府采购法》的有关规定，若有下列情形之一的，我方将被处不予退还磋商保证金，列入不良行为记录名单，在一至三年内禁止参加政府采购活动，并予以公告：</w:t>
      </w:r>
    </w:p>
    <w:p>
      <w:pPr>
        <w:autoSpaceDE w:val="0"/>
        <w:autoSpaceDN w:val="0"/>
        <w:adjustRightInd w:val="0"/>
        <w:ind w:firstLine="420" w:firstLineChars="200"/>
        <w:rPr>
          <w:rFonts w:ascii="宋体" w:hAnsi="宋体" w:cs="宋体"/>
          <w:szCs w:val="21"/>
        </w:rPr>
      </w:pPr>
      <w:r>
        <w:rPr>
          <w:rFonts w:hint="eastAsia" w:ascii="宋体" w:hAnsi="宋体" w:cs="宋体"/>
          <w:szCs w:val="21"/>
        </w:rPr>
        <w:t>（1）提供虚假材料谋取中标、成交的；</w:t>
      </w:r>
    </w:p>
    <w:p>
      <w:pPr>
        <w:autoSpaceDE w:val="0"/>
        <w:autoSpaceDN w:val="0"/>
        <w:adjustRightInd w:val="0"/>
        <w:ind w:firstLine="420" w:firstLineChars="200"/>
        <w:rPr>
          <w:rFonts w:ascii="宋体" w:hAnsi="宋体" w:cs="宋体"/>
          <w:szCs w:val="21"/>
        </w:rPr>
      </w:pPr>
      <w:r>
        <w:rPr>
          <w:rFonts w:hint="eastAsia" w:ascii="宋体" w:hAnsi="宋体" w:cs="宋体"/>
          <w:szCs w:val="21"/>
        </w:rPr>
        <w:t>（2）采取不正当手段诋毁、排挤其他供应商的；</w:t>
      </w:r>
    </w:p>
    <w:p>
      <w:pPr>
        <w:autoSpaceDE w:val="0"/>
        <w:autoSpaceDN w:val="0"/>
        <w:adjustRightInd w:val="0"/>
        <w:ind w:firstLine="420" w:firstLineChars="200"/>
        <w:rPr>
          <w:rFonts w:ascii="宋体" w:hAnsi="宋体" w:cs="宋体"/>
          <w:szCs w:val="21"/>
        </w:rPr>
      </w:pPr>
      <w:r>
        <w:rPr>
          <w:rFonts w:hint="eastAsia" w:ascii="宋体" w:hAnsi="宋体" w:cs="宋体"/>
          <w:szCs w:val="21"/>
        </w:rPr>
        <w:t>（3）与其他供应商、采购机构或者采购人或者其他有关人员恶意串通的；</w:t>
      </w:r>
    </w:p>
    <w:p>
      <w:pPr>
        <w:autoSpaceDE w:val="0"/>
        <w:autoSpaceDN w:val="0"/>
        <w:adjustRightInd w:val="0"/>
        <w:ind w:firstLine="420" w:firstLineChars="200"/>
        <w:rPr>
          <w:rFonts w:ascii="宋体" w:hAnsi="宋体" w:cs="宋体"/>
          <w:szCs w:val="21"/>
        </w:rPr>
      </w:pPr>
      <w:r>
        <w:rPr>
          <w:rFonts w:hint="eastAsia" w:ascii="宋体" w:hAnsi="宋体" w:cs="宋体"/>
          <w:szCs w:val="21"/>
        </w:rPr>
        <w:t>（4）向磋商小组成员、采购机构或者采购人或者其他有关人员行贿或者提供其他不正当利益的；</w:t>
      </w:r>
    </w:p>
    <w:p>
      <w:pPr>
        <w:autoSpaceDE w:val="0"/>
        <w:autoSpaceDN w:val="0"/>
        <w:adjustRightInd w:val="0"/>
        <w:ind w:firstLine="420" w:firstLineChars="200"/>
        <w:rPr>
          <w:rFonts w:ascii="宋体" w:hAnsi="宋体" w:cs="宋体"/>
          <w:szCs w:val="21"/>
        </w:rPr>
      </w:pPr>
      <w:r>
        <w:rPr>
          <w:rFonts w:hint="eastAsia" w:ascii="宋体" w:hAnsi="宋体" w:cs="宋体"/>
          <w:szCs w:val="21"/>
        </w:rPr>
        <w:t>（5）被评定中标后无正当理由不与采购人或者采购代理机构订立合同，或者中标后不按竞争性磋商文件和中标供应商的响应文件订立合同，或者与采购人另行订立背离合同实质性内容的协议的；</w:t>
      </w:r>
    </w:p>
    <w:p>
      <w:pPr>
        <w:autoSpaceDE w:val="0"/>
        <w:autoSpaceDN w:val="0"/>
        <w:adjustRightInd w:val="0"/>
        <w:ind w:firstLine="420" w:firstLineChars="200"/>
        <w:rPr>
          <w:rFonts w:ascii="宋体" w:hAnsi="宋体" w:cs="宋体"/>
          <w:szCs w:val="21"/>
        </w:rPr>
      </w:pPr>
      <w:r>
        <w:rPr>
          <w:rFonts w:hint="eastAsia" w:ascii="宋体" w:hAnsi="宋体" w:cs="宋体"/>
          <w:szCs w:val="21"/>
        </w:rPr>
        <w:t>（6）将中标项目转让给他人或者将中标项目分包给他人的；</w:t>
      </w:r>
    </w:p>
    <w:p>
      <w:pPr>
        <w:autoSpaceDE w:val="0"/>
        <w:autoSpaceDN w:val="0"/>
        <w:adjustRightInd w:val="0"/>
        <w:ind w:firstLine="420" w:firstLineChars="200"/>
        <w:rPr>
          <w:rFonts w:ascii="宋体" w:hAnsi="宋体" w:cs="宋体"/>
          <w:szCs w:val="21"/>
        </w:rPr>
      </w:pPr>
      <w:r>
        <w:rPr>
          <w:rFonts w:hint="eastAsia" w:ascii="宋体" w:hAnsi="宋体" w:cs="宋体"/>
          <w:szCs w:val="21"/>
        </w:rPr>
        <w:t>（7）签订合同后拒绝履行合同义务的；</w:t>
      </w:r>
    </w:p>
    <w:p>
      <w:pPr>
        <w:autoSpaceDE w:val="0"/>
        <w:autoSpaceDN w:val="0"/>
        <w:adjustRightInd w:val="0"/>
        <w:ind w:firstLine="420" w:firstLineChars="200"/>
        <w:rPr>
          <w:rFonts w:ascii="宋体" w:hAnsi="宋体" w:cs="宋体"/>
          <w:szCs w:val="21"/>
        </w:rPr>
      </w:pPr>
      <w:r>
        <w:rPr>
          <w:rFonts w:hint="eastAsia" w:ascii="宋体" w:hAnsi="宋体" w:cs="宋体"/>
          <w:szCs w:val="21"/>
        </w:rPr>
        <w:t>（8）拒绝有关部门监督检查或提供虚假情况的。</w:t>
      </w:r>
    </w:p>
    <w:p>
      <w:pPr>
        <w:autoSpaceDE w:val="0"/>
        <w:autoSpaceDN w:val="0"/>
        <w:adjustRightInd w:val="0"/>
        <w:spacing w:line="360" w:lineRule="auto"/>
        <w:ind w:left="3360" w:leftChars="1600"/>
        <w:rPr>
          <w:rFonts w:ascii="宋体" w:hAnsi="宋体" w:cs="宋体"/>
          <w:bCs/>
          <w:szCs w:val="21"/>
          <w:u w:val="single"/>
        </w:rPr>
      </w:pPr>
      <w:r>
        <w:rPr>
          <w:rFonts w:hint="eastAsia" w:ascii="宋体" w:hAnsi="宋体" w:cs="宋体"/>
          <w:bCs/>
          <w:szCs w:val="21"/>
        </w:rPr>
        <w:t>供应商名称（加盖公章）：</w:t>
      </w:r>
      <w:r>
        <w:rPr>
          <w:rFonts w:hint="eastAsia" w:ascii="宋体" w:hAnsi="宋体" w:cs="宋体"/>
          <w:bCs/>
          <w:szCs w:val="21"/>
          <w:u w:val="single"/>
        </w:rPr>
        <w:t xml:space="preserve">                      </w:t>
      </w:r>
    </w:p>
    <w:p>
      <w:pPr>
        <w:autoSpaceDE w:val="0"/>
        <w:autoSpaceDN w:val="0"/>
        <w:adjustRightInd w:val="0"/>
        <w:spacing w:line="360" w:lineRule="auto"/>
        <w:ind w:left="2940" w:leftChars="1400" w:firstLine="482"/>
        <w:rPr>
          <w:rFonts w:ascii="宋体" w:hAnsi="宋体" w:cs="宋体"/>
          <w:bCs/>
          <w:szCs w:val="21"/>
        </w:rPr>
      </w:pPr>
      <w:r>
        <w:rPr>
          <w:rFonts w:hint="eastAsia" w:ascii="宋体" w:hAnsi="宋体" w:cs="宋体"/>
          <w:bCs/>
          <w:szCs w:val="21"/>
        </w:rPr>
        <w:t>法定代表人或其委托代理人（签字或盖章）：</w:t>
      </w:r>
      <w:r>
        <w:rPr>
          <w:rFonts w:hint="eastAsia" w:ascii="宋体" w:hAnsi="宋体" w:cs="宋体"/>
          <w:bCs/>
          <w:szCs w:val="21"/>
          <w:u w:val="single"/>
        </w:rPr>
        <w:t xml:space="preserve">                  </w:t>
      </w:r>
      <w:r>
        <w:rPr>
          <w:rFonts w:hint="eastAsia" w:ascii="宋体" w:hAnsi="宋体" w:cs="宋体"/>
          <w:bCs/>
          <w:szCs w:val="21"/>
        </w:rPr>
        <w:t xml:space="preserve"> </w:t>
      </w:r>
    </w:p>
    <w:p>
      <w:pPr>
        <w:autoSpaceDE w:val="0"/>
        <w:autoSpaceDN w:val="0"/>
        <w:adjustRightInd w:val="0"/>
        <w:spacing w:line="360" w:lineRule="auto"/>
        <w:ind w:left="2940" w:leftChars="1400" w:firstLine="480"/>
        <w:rPr>
          <w:rFonts w:ascii="宋体" w:hAnsi="宋体" w:cs="宋体"/>
          <w:szCs w:val="21"/>
          <w:u w:val="single"/>
        </w:rPr>
      </w:pPr>
      <w:r>
        <w:rPr>
          <w:rFonts w:hint="eastAsia" w:ascii="宋体" w:hAnsi="宋体" w:cs="宋体"/>
          <w:szCs w:val="21"/>
        </w:rPr>
        <w:t xml:space="preserve">地址：  </w:t>
      </w:r>
      <w:r>
        <w:rPr>
          <w:rFonts w:hint="eastAsia" w:ascii="宋体" w:hAnsi="宋体" w:cs="宋体"/>
          <w:szCs w:val="21"/>
          <w:u w:val="single"/>
        </w:rPr>
        <w:t xml:space="preserve">                                     </w:t>
      </w:r>
    </w:p>
    <w:p>
      <w:pPr>
        <w:autoSpaceDE w:val="0"/>
        <w:autoSpaceDN w:val="0"/>
        <w:adjustRightInd w:val="0"/>
        <w:spacing w:line="360" w:lineRule="auto"/>
        <w:ind w:left="2940" w:leftChars="1400" w:firstLine="480"/>
        <w:rPr>
          <w:rFonts w:ascii="宋体" w:hAnsi="宋体" w:cs="宋体"/>
          <w:szCs w:val="21"/>
          <w:u w:val="single"/>
        </w:rPr>
      </w:pPr>
      <w:r>
        <w:rPr>
          <w:rFonts w:hint="eastAsia" w:ascii="宋体" w:hAnsi="宋体" w:cs="宋体"/>
          <w:szCs w:val="21"/>
        </w:rPr>
        <w:t xml:space="preserve">电话、传真或电传：    </w:t>
      </w:r>
      <w:r>
        <w:rPr>
          <w:rFonts w:hint="eastAsia" w:ascii="宋体" w:hAnsi="宋体" w:cs="宋体"/>
          <w:szCs w:val="21"/>
          <w:u w:val="single"/>
        </w:rPr>
        <w:t xml:space="preserve">                       </w:t>
      </w:r>
    </w:p>
    <w:p>
      <w:pPr>
        <w:autoSpaceDE w:val="0"/>
        <w:autoSpaceDN w:val="0"/>
        <w:adjustRightInd w:val="0"/>
        <w:spacing w:line="360" w:lineRule="auto"/>
        <w:ind w:left="2940" w:leftChars="1400" w:firstLine="480"/>
        <w:rPr>
          <w:rFonts w:ascii="宋体" w:hAnsi="宋体" w:cs="宋体"/>
          <w:szCs w:val="21"/>
          <w:u w:val="single"/>
        </w:rPr>
      </w:pPr>
      <w:r>
        <w:rPr>
          <w:rFonts w:hint="eastAsia" w:ascii="宋体" w:hAnsi="宋体" w:cs="宋体"/>
          <w:szCs w:val="21"/>
        </w:rPr>
        <w:t xml:space="preserve">邮政编码：    </w:t>
      </w:r>
      <w:r>
        <w:rPr>
          <w:rFonts w:hint="eastAsia" w:ascii="宋体" w:hAnsi="宋体" w:cs="宋体"/>
          <w:szCs w:val="21"/>
          <w:u w:val="single"/>
        </w:rPr>
        <w:t xml:space="preserve">                               </w:t>
      </w:r>
    </w:p>
    <w:p>
      <w:pPr>
        <w:autoSpaceDE w:val="0"/>
        <w:autoSpaceDN w:val="0"/>
        <w:adjustRightInd w:val="0"/>
        <w:spacing w:line="360" w:lineRule="auto"/>
        <w:ind w:left="2940" w:leftChars="1400" w:firstLine="480"/>
        <w:rPr>
          <w:rFonts w:ascii="宋体" w:hAnsi="宋体" w:cs="宋体"/>
          <w:szCs w:val="21"/>
        </w:rPr>
      </w:pPr>
      <w:r>
        <w:rPr>
          <w:rFonts w:hint="eastAsia" w:ascii="宋体" w:hAnsi="宋体" w:cs="宋体"/>
          <w:szCs w:val="21"/>
        </w:rPr>
        <w:t>日期：         年    月   日</w:t>
      </w:r>
    </w:p>
    <w:p>
      <w:pPr>
        <w:spacing w:beforeLines="100" w:afterLines="50" w:line="510" w:lineRule="exact"/>
        <w:jc w:val="center"/>
        <w:rPr>
          <w:rFonts w:ascii="宋体" w:hAnsi="宋体" w:cs="宋体"/>
          <w:b/>
          <w:bCs/>
          <w:kern w:val="0"/>
          <w:sz w:val="30"/>
          <w:szCs w:val="30"/>
        </w:rPr>
      </w:pPr>
      <w:r>
        <w:rPr>
          <w:rFonts w:hint="eastAsia" w:ascii="宋体" w:hAnsi="宋体" w:cs="宋体"/>
          <w:b/>
          <w:bCs/>
          <w:kern w:val="0"/>
          <w:sz w:val="30"/>
          <w:szCs w:val="30"/>
        </w:rPr>
        <w:t>（二）投标函附录</w:t>
      </w:r>
    </w:p>
    <w:p>
      <w:pPr>
        <w:spacing w:line="360" w:lineRule="auto"/>
        <w:ind w:firstLine="420" w:firstLineChars="200"/>
        <w:rPr>
          <w:rFonts w:ascii="宋体" w:hAnsi="宋体" w:cs="宋体"/>
          <w:szCs w:val="21"/>
        </w:rPr>
      </w:pPr>
      <w:r>
        <w:rPr>
          <w:rFonts w:hint="eastAsia" w:ascii="宋体" w:hAnsi="宋体" w:cs="宋体"/>
          <w:b/>
          <w:szCs w:val="21"/>
        </w:rPr>
        <w:t>项目名称：</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2011"/>
        <w:gridCol w:w="4428"/>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56" w:type="dxa"/>
            <w:noWrap/>
            <w:vAlign w:val="center"/>
          </w:tcPr>
          <w:p>
            <w:pPr>
              <w:jc w:val="center"/>
              <w:rPr>
                <w:rFonts w:ascii="宋体" w:hAnsi="宋体" w:cs="宋体"/>
                <w:szCs w:val="21"/>
              </w:rPr>
            </w:pPr>
            <w:r>
              <w:rPr>
                <w:rFonts w:hint="eastAsia" w:ascii="宋体" w:hAnsi="宋体" w:cs="宋体"/>
                <w:szCs w:val="21"/>
              </w:rPr>
              <w:t>序 号</w:t>
            </w:r>
          </w:p>
        </w:tc>
        <w:tc>
          <w:tcPr>
            <w:tcW w:w="2011" w:type="dxa"/>
            <w:noWrap/>
            <w:vAlign w:val="center"/>
          </w:tcPr>
          <w:p>
            <w:pPr>
              <w:jc w:val="center"/>
              <w:rPr>
                <w:rFonts w:ascii="宋体" w:hAnsi="宋体" w:cs="宋体"/>
                <w:szCs w:val="21"/>
              </w:rPr>
            </w:pPr>
            <w:r>
              <w:rPr>
                <w:rFonts w:hint="eastAsia" w:ascii="宋体" w:hAnsi="宋体" w:cs="宋体"/>
                <w:szCs w:val="21"/>
              </w:rPr>
              <w:t>条款内容</w:t>
            </w:r>
          </w:p>
        </w:tc>
        <w:tc>
          <w:tcPr>
            <w:tcW w:w="4428" w:type="dxa"/>
            <w:noWrap/>
            <w:vAlign w:val="center"/>
          </w:tcPr>
          <w:p>
            <w:pPr>
              <w:jc w:val="center"/>
              <w:rPr>
                <w:rFonts w:ascii="宋体" w:hAnsi="宋体" w:cs="宋体"/>
                <w:szCs w:val="21"/>
              </w:rPr>
            </w:pPr>
            <w:r>
              <w:rPr>
                <w:rFonts w:hint="eastAsia" w:ascii="宋体" w:hAnsi="宋体" w:cs="宋体"/>
                <w:szCs w:val="21"/>
              </w:rPr>
              <w:t>约定内容</w:t>
            </w:r>
          </w:p>
        </w:tc>
        <w:tc>
          <w:tcPr>
            <w:tcW w:w="1513" w:type="dxa"/>
            <w:noWrap/>
            <w:vAlign w:val="center"/>
          </w:tcPr>
          <w:p>
            <w:pPr>
              <w:jc w:val="center"/>
              <w:rPr>
                <w:rFonts w:ascii="宋体" w:hAnsi="宋体" w:cs="宋体"/>
                <w:szCs w:val="21"/>
              </w:rPr>
            </w:pPr>
            <w:r>
              <w:rPr>
                <w:rFonts w:hint="eastAsia" w:ascii="宋体" w:hAnsi="宋体" w:cs="宋体"/>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56" w:type="dxa"/>
            <w:noWrap/>
            <w:vAlign w:val="center"/>
          </w:tcPr>
          <w:p>
            <w:pPr>
              <w:jc w:val="center"/>
              <w:rPr>
                <w:rFonts w:ascii="宋体" w:hAnsi="宋体" w:cs="宋体"/>
                <w:szCs w:val="21"/>
              </w:rPr>
            </w:pPr>
            <w:r>
              <w:rPr>
                <w:rFonts w:hint="eastAsia" w:ascii="宋体" w:hAnsi="宋体" w:cs="宋体"/>
                <w:szCs w:val="21"/>
              </w:rPr>
              <w:t>1</w:t>
            </w:r>
          </w:p>
        </w:tc>
        <w:tc>
          <w:tcPr>
            <w:tcW w:w="2011" w:type="dxa"/>
            <w:noWrap/>
            <w:vAlign w:val="center"/>
          </w:tcPr>
          <w:p>
            <w:pPr>
              <w:rPr>
                <w:rFonts w:ascii="宋体" w:hAnsi="宋体" w:cs="宋体"/>
              </w:rPr>
            </w:pPr>
            <w:r>
              <w:rPr>
                <w:rFonts w:hint="eastAsia" w:ascii="宋体" w:hAnsi="宋体" w:cs="宋体"/>
              </w:rPr>
              <w:t>供货地点</w:t>
            </w:r>
          </w:p>
        </w:tc>
        <w:tc>
          <w:tcPr>
            <w:tcW w:w="4428" w:type="dxa"/>
            <w:noWrap/>
            <w:vAlign w:val="center"/>
          </w:tcPr>
          <w:p>
            <w:pPr>
              <w:rPr>
                <w:rFonts w:ascii="宋体" w:hAnsi="宋体" w:cs="宋体"/>
              </w:rPr>
            </w:pPr>
            <w:r>
              <w:rPr>
                <w:rFonts w:hint="eastAsia" w:ascii="宋体" w:hAnsi="宋体" w:cs="宋体"/>
                <w:bCs/>
                <w:szCs w:val="21"/>
              </w:rPr>
              <w:t>中标供应商须将全部采购标的物送达采购人指定场所，并安装部署调试到位</w:t>
            </w:r>
          </w:p>
        </w:tc>
        <w:tc>
          <w:tcPr>
            <w:tcW w:w="1513"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256" w:type="dxa"/>
            <w:noWrap/>
            <w:vAlign w:val="center"/>
          </w:tcPr>
          <w:p>
            <w:pPr>
              <w:jc w:val="center"/>
              <w:rPr>
                <w:rFonts w:ascii="宋体" w:hAnsi="宋体" w:cs="宋体"/>
                <w:szCs w:val="21"/>
              </w:rPr>
            </w:pPr>
            <w:r>
              <w:rPr>
                <w:rFonts w:hint="eastAsia" w:ascii="宋体" w:hAnsi="宋体" w:cs="宋体"/>
                <w:szCs w:val="21"/>
              </w:rPr>
              <w:t>2</w:t>
            </w:r>
          </w:p>
        </w:tc>
        <w:tc>
          <w:tcPr>
            <w:tcW w:w="2011" w:type="dxa"/>
            <w:noWrap/>
            <w:vAlign w:val="center"/>
          </w:tcPr>
          <w:p>
            <w:pPr>
              <w:rPr>
                <w:rFonts w:ascii="宋体" w:hAnsi="宋体" w:cs="宋体"/>
                <w:szCs w:val="21"/>
              </w:rPr>
            </w:pPr>
            <w:r>
              <w:rPr>
                <w:rFonts w:hint="eastAsia" w:ascii="宋体" w:hAnsi="宋体" w:cs="宋体"/>
                <w:szCs w:val="21"/>
              </w:rPr>
              <w:t>合同履约期限</w:t>
            </w:r>
          </w:p>
        </w:tc>
        <w:tc>
          <w:tcPr>
            <w:tcW w:w="4428" w:type="dxa"/>
            <w:noWrap/>
            <w:vAlign w:val="center"/>
          </w:tcPr>
          <w:p>
            <w:pPr>
              <w:jc w:val="left"/>
              <w:rPr>
                <w:rFonts w:ascii="宋体" w:hAnsi="宋体" w:cs="宋体"/>
                <w:szCs w:val="21"/>
              </w:rPr>
            </w:pPr>
          </w:p>
        </w:tc>
        <w:tc>
          <w:tcPr>
            <w:tcW w:w="1513"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56" w:type="dxa"/>
            <w:noWrap/>
            <w:vAlign w:val="center"/>
          </w:tcPr>
          <w:p>
            <w:pPr>
              <w:jc w:val="center"/>
              <w:rPr>
                <w:rFonts w:ascii="宋体" w:hAnsi="宋体" w:cs="宋体"/>
                <w:szCs w:val="21"/>
              </w:rPr>
            </w:pPr>
            <w:r>
              <w:rPr>
                <w:rFonts w:hint="eastAsia" w:ascii="宋体" w:hAnsi="宋体" w:cs="宋体"/>
                <w:szCs w:val="21"/>
              </w:rPr>
              <w:t>3</w:t>
            </w:r>
          </w:p>
        </w:tc>
        <w:tc>
          <w:tcPr>
            <w:tcW w:w="2011" w:type="dxa"/>
            <w:noWrap/>
            <w:vAlign w:val="center"/>
          </w:tcPr>
          <w:p>
            <w:pPr>
              <w:autoSpaceDE w:val="0"/>
              <w:autoSpaceDN w:val="0"/>
              <w:adjustRightInd w:val="0"/>
              <w:spacing w:line="300" w:lineRule="exact"/>
              <w:rPr>
                <w:rFonts w:ascii="宋体" w:hAnsi="宋体" w:cs="宋体"/>
                <w:szCs w:val="21"/>
              </w:rPr>
            </w:pPr>
            <w:r>
              <w:rPr>
                <w:rFonts w:hint="eastAsia" w:ascii="宋体" w:hAnsi="宋体" w:cs="宋体"/>
              </w:rPr>
              <w:t>质量要求</w:t>
            </w:r>
          </w:p>
        </w:tc>
        <w:tc>
          <w:tcPr>
            <w:tcW w:w="4428" w:type="dxa"/>
            <w:noWrap/>
            <w:vAlign w:val="center"/>
          </w:tcPr>
          <w:p>
            <w:pPr>
              <w:autoSpaceDE w:val="0"/>
              <w:autoSpaceDN w:val="0"/>
              <w:adjustRightInd w:val="0"/>
              <w:spacing w:line="300" w:lineRule="exact"/>
              <w:jc w:val="left"/>
              <w:rPr>
                <w:rFonts w:ascii="宋体" w:hAnsi="宋体" w:cs="宋体"/>
                <w:szCs w:val="21"/>
              </w:rPr>
            </w:pPr>
            <w:r>
              <w:rPr>
                <w:rFonts w:hint="eastAsia" w:ascii="宋体" w:hAnsi="宋体" w:cs="宋体"/>
              </w:rPr>
              <w:t>符合国家及行业相关规定</w:t>
            </w:r>
          </w:p>
        </w:tc>
        <w:tc>
          <w:tcPr>
            <w:tcW w:w="1513"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1256" w:type="dxa"/>
            <w:noWrap/>
            <w:vAlign w:val="center"/>
          </w:tcPr>
          <w:p>
            <w:pPr>
              <w:jc w:val="center"/>
              <w:rPr>
                <w:rFonts w:ascii="宋体" w:hAnsi="宋体" w:cs="宋体"/>
                <w:szCs w:val="21"/>
              </w:rPr>
            </w:pPr>
            <w:r>
              <w:rPr>
                <w:rFonts w:hint="eastAsia" w:ascii="宋体" w:hAnsi="宋体" w:cs="宋体"/>
                <w:szCs w:val="21"/>
              </w:rPr>
              <w:t>4</w:t>
            </w:r>
          </w:p>
        </w:tc>
        <w:tc>
          <w:tcPr>
            <w:tcW w:w="2011" w:type="dxa"/>
            <w:noWrap/>
            <w:vAlign w:val="center"/>
          </w:tcPr>
          <w:p>
            <w:pPr>
              <w:pStyle w:val="12"/>
              <w:widowControl/>
              <w:adjustRightInd w:val="0"/>
              <w:snapToGrid w:val="0"/>
              <w:spacing w:line="288" w:lineRule="auto"/>
              <w:jc w:val="left"/>
              <w:rPr>
                <w:rFonts w:ascii="宋体" w:hAnsi="宋体" w:cs="宋体"/>
                <w:szCs w:val="21"/>
                <w:highlight w:val="none"/>
              </w:rPr>
            </w:pPr>
            <w:r>
              <w:rPr>
                <w:rFonts w:hint="eastAsia" w:ascii="宋体" w:hAnsi="宋体" w:cs="宋体"/>
                <w:bCs/>
                <w:szCs w:val="21"/>
                <w:highlight w:val="none"/>
              </w:rPr>
              <w:t>付款条件（进度和方式）</w:t>
            </w:r>
          </w:p>
        </w:tc>
        <w:tc>
          <w:tcPr>
            <w:tcW w:w="4428" w:type="dxa"/>
            <w:noWrap/>
            <w:vAlign w:val="center"/>
          </w:tcPr>
          <w:p>
            <w:pPr>
              <w:pStyle w:val="12"/>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宋体" w:hAnsi="宋体" w:cs="宋体"/>
                <w:bCs/>
                <w:color w:val="000000"/>
                <w:szCs w:val="21"/>
                <w:highlight w:val="none"/>
                <w:lang w:val="zh-CN"/>
              </w:rPr>
            </w:pPr>
            <w:r>
              <w:rPr>
                <w:rFonts w:hint="eastAsia" w:ascii="宋体" w:hAnsi="宋体" w:cs="宋体"/>
                <w:bCs/>
                <w:color w:val="000000"/>
                <w:szCs w:val="21"/>
                <w:highlight w:val="none"/>
                <w:lang w:val="zh-CN"/>
              </w:rPr>
              <w:t>项目建设完成，涉及的硬件设备和软件均运行正常，验收合格，且完成相关技术培训后付项目全款90%；项目验收合格之日起1年后，所有产品无质量问题，一次付清10%余款。</w:t>
            </w:r>
          </w:p>
          <w:p>
            <w:pPr>
              <w:pStyle w:val="12"/>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ascii="宋体" w:hAnsi="宋体" w:cs="宋体"/>
                <w:bCs/>
                <w:color w:val="000000"/>
                <w:szCs w:val="21"/>
                <w:highlight w:val="none"/>
                <w:lang w:val="zh-CN"/>
              </w:rPr>
            </w:pPr>
            <w:r>
              <w:rPr>
                <w:rFonts w:hint="eastAsia" w:ascii="宋体" w:hAnsi="宋体" w:cs="宋体"/>
                <w:bCs/>
                <w:color w:val="000000"/>
                <w:szCs w:val="21"/>
                <w:highlight w:val="none"/>
                <w:lang w:val="zh-CN"/>
              </w:rPr>
              <w:t>本项目合同款通过国库集中支付，采购人按约定的付款时间向长春市财政局提出资金支付申请，则视同采购人已履行了合同付款义务。</w:t>
            </w:r>
          </w:p>
        </w:tc>
        <w:tc>
          <w:tcPr>
            <w:tcW w:w="1513"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56" w:type="dxa"/>
            <w:noWrap/>
            <w:vAlign w:val="center"/>
          </w:tcPr>
          <w:p>
            <w:pPr>
              <w:jc w:val="center"/>
              <w:rPr>
                <w:rFonts w:ascii="宋体" w:hAnsi="宋体" w:cs="宋体"/>
                <w:szCs w:val="21"/>
              </w:rPr>
            </w:pPr>
            <w:r>
              <w:rPr>
                <w:rFonts w:hint="eastAsia" w:ascii="宋体" w:hAnsi="宋体" w:cs="宋体"/>
                <w:szCs w:val="21"/>
              </w:rPr>
              <w:t>5</w:t>
            </w:r>
          </w:p>
        </w:tc>
        <w:tc>
          <w:tcPr>
            <w:tcW w:w="2011" w:type="dxa"/>
            <w:noWrap/>
            <w:vAlign w:val="center"/>
          </w:tcPr>
          <w:p>
            <w:pPr>
              <w:rPr>
                <w:rFonts w:ascii="宋体" w:hAnsi="宋体" w:cs="宋体"/>
                <w:szCs w:val="21"/>
              </w:rPr>
            </w:pPr>
            <w:r>
              <w:rPr>
                <w:rFonts w:hint="eastAsia" w:ascii="宋体" w:hAnsi="宋体" w:cs="宋体"/>
                <w:szCs w:val="21"/>
              </w:rPr>
              <w:t>权利义务</w:t>
            </w:r>
          </w:p>
        </w:tc>
        <w:tc>
          <w:tcPr>
            <w:tcW w:w="4428" w:type="dxa"/>
            <w:noWrap/>
            <w:vAlign w:val="center"/>
          </w:tcPr>
          <w:p>
            <w:pPr>
              <w:jc w:val="left"/>
              <w:rPr>
                <w:rFonts w:ascii="宋体" w:hAnsi="宋体" w:cs="宋体"/>
                <w:szCs w:val="21"/>
              </w:rPr>
            </w:pPr>
            <w:r>
              <w:rPr>
                <w:rFonts w:hint="eastAsia" w:ascii="宋体" w:hAnsi="宋体" w:cs="宋体"/>
                <w:bCs/>
                <w:szCs w:val="21"/>
              </w:rPr>
              <w:t>符合第四章“合同条款及格式”规定</w:t>
            </w:r>
          </w:p>
        </w:tc>
        <w:tc>
          <w:tcPr>
            <w:tcW w:w="1513"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56" w:type="dxa"/>
            <w:noWrap/>
            <w:vAlign w:val="center"/>
          </w:tcPr>
          <w:p>
            <w:pPr>
              <w:jc w:val="center"/>
              <w:rPr>
                <w:rFonts w:ascii="宋体" w:hAnsi="宋体" w:cs="宋体"/>
                <w:szCs w:val="21"/>
              </w:rPr>
            </w:pPr>
            <w:r>
              <w:rPr>
                <w:rFonts w:hint="eastAsia" w:ascii="宋体" w:hAnsi="宋体" w:cs="宋体"/>
                <w:szCs w:val="21"/>
              </w:rPr>
              <w:t>6</w:t>
            </w:r>
          </w:p>
        </w:tc>
        <w:tc>
          <w:tcPr>
            <w:tcW w:w="2011" w:type="dxa"/>
            <w:noWrap/>
            <w:vAlign w:val="center"/>
          </w:tcPr>
          <w:p>
            <w:pPr>
              <w:rPr>
                <w:rFonts w:ascii="宋体" w:hAnsi="宋体" w:cs="宋体"/>
                <w:szCs w:val="21"/>
              </w:rPr>
            </w:pPr>
            <w:r>
              <w:rPr>
                <w:rFonts w:hint="eastAsia" w:ascii="宋体" w:hAnsi="宋体" w:cs="宋体"/>
                <w:szCs w:val="21"/>
              </w:rPr>
              <w:t>履约保证金</w:t>
            </w:r>
          </w:p>
        </w:tc>
        <w:tc>
          <w:tcPr>
            <w:tcW w:w="4428" w:type="dxa"/>
            <w:noWrap/>
            <w:vAlign w:val="center"/>
          </w:tcPr>
          <w:p>
            <w:pPr>
              <w:jc w:val="left"/>
              <w:rPr>
                <w:rFonts w:hint="eastAsia" w:ascii="宋体" w:hAnsi="宋体" w:cs="宋体"/>
                <w:szCs w:val="21"/>
              </w:rPr>
            </w:pPr>
            <w:r>
              <w:rPr>
                <w:rFonts w:hint="eastAsia" w:ascii="宋体" w:hAnsi="宋体" w:cs="宋体"/>
                <w:szCs w:val="21"/>
              </w:rPr>
              <w:t>非中小企业中标的：中标金额的 5 %（0-5%）。</w:t>
            </w:r>
          </w:p>
          <w:p>
            <w:pPr>
              <w:jc w:val="left"/>
              <w:rPr>
                <w:rFonts w:hint="eastAsia" w:ascii="宋体" w:hAnsi="宋体" w:cs="宋体"/>
                <w:szCs w:val="21"/>
              </w:rPr>
            </w:pPr>
            <w:r>
              <w:rPr>
                <w:rFonts w:hint="eastAsia" w:ascii="宋体" w:hAnsi="宋体" w:cs="宋体"/>
                <w:szCs w:val="21"/>
              </w:rPr>
              <w:t>中小企业中标的：中标金额的 2 %（0-2%）。</w:t>
            </w:r>
          </w:p>
          <w:p>
            <w:pPr>
              <w:jc w:val="left"/>
              <w:rPr>
                <w:rFonts w:ascii="宋体" w:hAnsi="宋体" w:cs="宋体"/>
                <w:szCs w:val="21"/>
              </w:rPr>
            </w:pPr>
            <w:r>
              <w:rPr>
                <w:rFonts w:hint="eastAsia" w:ascii="宋体" w:hAnsi="宋体" w:cs="宋体"/>
                <w:szCs w:val="21"/>
              </w:rPr>
              <w:t>中标人交纳履约保证金须在转账凭证备注栏里填写（采购项目+采购项目编号）</w:t>
            </w:r>
          </w:p>
        </w:tc>
        <w:tc>
          <w:tcPr>
            <w:tcW w:w="1513"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256" w:type="dxa"/>
            <w:noWrap/>
            <w:vAlign w:val="center"/>
          </w:tcPr>
          <w:p>
            <w:pPr>
              <w:jc w:val="center"/>
              <w:rPr>
                <w:rFonts w:ascii="宋体" w:hAnsi="宋体" w:cs="宋体"/>
                <w:szCs w:val="21"/>
              </w:rPr>
            </w:pPr>
            <w:r>
              <w:rPr>
                <w:rFonts w:hint="eastAsia" w:ascii="宋体" w:hAnsi="宋体" w:cs="宋体"/>
                <w:szCs w:val="21"/>
              </w:rPr>
              <w:t>7</w:t>
            </w:r>
          </w:p>
        </w:tc>
        <w:tc>
          <w:tcPr>
            <w:tcW w:w="2011" w:type="dxa"/>
            <w:noWrap/>
            <w:vAlign w:val="center"/>
          </w:tcPr>
          <w:p>
            <w:pPr>
              <w:pStyle w:val="12"/>
              <w:widowControl/>
              <w:spacing w:line="360" w:lineRule="auto"/>
              <w:jc w:val="left"/>
              <w:rPr>
                <w:rFonts w:ascii="宋体" w:hAnsi="宋体" w:cs="宋体"/>
                <w:szCs w:val="21"/>
              </w:rPr>
            </w:pPr>
            <w:r>
              <w:rPr>
                <w:rFonts w:hint="eastAsia" w:ascii="宋体" w:hAnsi="宋体" w:cs="宋体"/>
                <w:szCs w:val="21"/>
              </w:rPr>
              <w:t>包装和运输要求</w:t>
            </w:r>
          </w:p>
        </w:tc>
        <w:tc>
          <w:tcPr>
            <w:tcW w:w="4428" w:type="dxa"/>
            <w:noWrap/>
            <w:vAlign w:val="center"/>
          </w:tcPr>
          <w:p>
            <w:pPr>
              <w:pStyle w:val="12"/>
              <w:widowControl/>
              <w:jc w:val="left"/>
              <w:rPr>
                <w:rFonts w:ascii="宋体" w:hAnsi="宋体" w:cs="宋体"/>
                <w:szCs w:val="21"/>
              </w:rPr>
            </w:pPr>
            <w:r>
              <w:rPr>
                <w:rFonts w:hint="eastAsia" w:ascii="宋体" w:hAnsi="宋体" w:cs="宋体"/>
                <w:szCs w:val="21"/>
              </w:rPr>
              <w:t>符合《商品包装政府采购需求标准（试行）》和《快递包装政府采购需求标准（试行）》</w:t>
            </w:r>
          </w:p>
        </w:tc>
        <w:tc>
          <w:tcPr>
            <w:tcW w:w="1513"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56" w:type="dxa"/>
            <w:noWrap/>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8</w:t>
            </w:r>
          </w:p>
        </w:tc>
        <w:tc>
          <w:tcPr>
            <w:tcW w:w="2011" w:type="dxa"/>
            <w:noWrap/>
            <w:vAlign w:val="center"/>
          </w:tcPr>
          <w:p>
            <w:pPr>
              <w:pStyle w:val="12"/>
              <w:widowControl/>
              <w:adjustRightInd w:val="0"/>
              <w:snapToGrid w:val="0"/>
              <w:spacing w:line="288" w:lineRule="auto"/>
              <w:jc w:val="left"/>
              <w:rPr>
                <w:rFonts w:hint="eastAsia" w:ascii="宋体" w:hAnsi="宋体" w:cs="宋体"/>
                <w:szCs w:val="21"/>
              </w:rPr>
            </w:pPr>
            <w:r>
              <w:rPr>
                <w:rFonts w:hint="eastAsia" w:ascii="宋体" w:hAnsi="宋体" w:cs="宋体"/>
                <w:bCs/>
                <w:szCs w:val="21"/>
              </w:rPr>
              <w:t>保险要求</w:t>
            </w:r>
          </w:p>
        </w:tc>
        <w:tc>
          <w:tcPr>
            <w:tcW w:w="4428" w:type="dxa"/>
            <w:noWrap/>
            <w:vAlign w:val="center"/>
          </w:tcPr>
          <w:p>
            <w:pPr>
              <w:pStyle w:val="12"/>
              <w:widowControl/>
              <w:adjustRightInd w:val="0"/>
              <w:snapToGrid w:val="0"/>
              <w:spacing w:line="288" w:lineRule="auto"/>
              <w:jc w:val="left"/>
              <w:rPr>
                <w:rFonts w:hint="eastAsia" w:ascii="宋体" w:hAnsi="宋体" w:cs="宋体"/>
                <w:szCs w:val="21"/>
              </w:rPr>
            </w:pPr>
            <w:r>
              <w:rPr>
                <w:rFonts w:hint="eastAsia" w:ascii="宋体" w:hAnsi="宋体" w:cs="宋体"/>
                <w:bCs/>
                <w:color w:val="000000"/>
                <w:szCs w:val="21"/>
                <w:highlight w:val="white"/>
                <w:lang w:val="zh-CN"/>
              </w:rPr>
              <w:t>货物在系统安装调试验收合格前的保险由中标人负责，中标人负责其派出的现场服务人员人身意外保险。</w:t>
            </w:r>
          </w:p>
        </w:tc>
        <w:tc>
          <w:tcPr>
            <w:tcW w:w="1513"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56" w:type="dxa"/>
            <w:noWrap/>
            <w:vAlign w:val="center"/>
          </w:tcPr>
          <w:p>
            <w:pPr>
              <w:jc w:val="center"/>
              <w:rPr>
                <w:rFonts w:ascii="宋体" w:hAnsi="宋体" w:cs="宋体"/>
                <w:szCs w:val="21"/>
              </w:rPr>
            </w:pPr>
            <w:r>
              <w:rPr>
                <w:rFonts w:hint="eastAsia" w:ascii="宋体" w:hAnsi="宋体" w:cs="宋体"/>
                <w:szCs w:val="21"/>
              </w:rPr>
              <w:t>...</w:t>
            </w:r>
          </w:p>
        </w:tc>
        <w:tc>
          <w:tcPr>
            <w:tcW w:w="2011" w:type="dxa"/>
            <w:noWrap/>
            <w:vAlign w:val="center"/>
          </w:tcPr>
          <w:p>
            <w:pPr>
              <w:pStyle w:val="12"/>
              <w:widowControl/>
              <w:spacing w:line="360" w:lineRule="auto"/>
              <w:jc w:val="left"/>
              <w:rPr>
                <w:rFonts w:ascii="宋体" w:hAnsi="宋体" w:cs="宋体"/>
                <w:szCs w:val="21"/>
              </w:rPr>
            </w:pPr>
            <w:r>
              <w:rPr>
                <w:rFonts w:hint="eastAsia" w:ascii="宋体" w:hAnsi="宋体" w:cs="宋体"/>
                <w:szCs w:val="21"/>
              </w:rPr>
              <w:t>...</w:t>
            </w:r>
          </w:p>
        </w:tc>
        <w:tc>
          <w:tcPr>
            <w:tcW w:w="4428" w:type="dxa"/>
            <w:noWrap/>
            <w:vAlign w:val="center"/>
          </w:tcPr>
          <w:p>
            <w:pPr>
              <w:pStyle w:val="12"/>
              <w:widowControl/>
              <w:jc w:val="left"/>
              <w:rPr>
                <w:rFonts w:ascii="宋体" w:hAnsi="宋体" w:cs="宋体"/>
                <w:szCs w:val="21"/>
              </w:rPr>
            </w:pPr>
          </w:p>
        </w:tc>
        <w:tc>
          <w:tcPr>
            <w:tcW w:w="1513" w:type="dxa"/>
            <w:noWrap/>
            <w:vAlign w:val="center"/>
          </w:tcPr>
          <w:p>
            <w:pPr>
              <w:jc w:val="center"/>
              <w:rPr>
                <w:rFonts w:ascii="宋体" w:hAnsi="宋体" w:cs="宋体"/>
                <w:szCs w:val="21"/>
              </w:rPr>
            </w:pPr>
          </w:p>
        </w:tc>
      </w:tr>
    </w:tbl>
    <w:p>
      <w:pPr>
        <w:spacing w:line="480" w:lineRule="auto"/>
        <w:ind w:right="960" w:firstLine="4200" w:firstLineChars="2000"/>
        <w:rPr>
          <w:rFonts w:ascii="宋体" w:hAnsi="宋体" w:cs="宋体"/>
          <w:szCs w:val="21"/>
        </w:rPr>
      </w:pPr>
      <w:bookmarkStart w:id="186" w:name="_GoBack"/>
      <w:bookmarkEnd w:id="186"/>
    </w:p>
    <w:p>
      <w:pPr>
        <w:spacing w:line="480" w:lineRule="auto"/>
        <w:ind w:right="960" w:firstLine="4200" w:firstLineChars="2000"/>
        <w:rPr>
          <w:rFonts w:ascii="宋体" w:hAnsi="宋体" w:cs="宋体"/>
          <w:szCs w:val="21"/>
        </w:rPr>
      </w:pPr>
      <w:r>
        <w:rPr>
          <w:rFonts w:hint="eastAsia" w:ascii="宋体" w:hAnsi="宋体" w:cs="宋体"/>
          <w:szCs w:val="21"/>
        </w:rPr>
        <w:t>供应商（盖单位公章）：</w:t>
      </w:r>
      <w:r>
        <w:rPr>
          <w:rFonts w:hint="eastAsia" w:ascii="宋体" w:hAnsi="宋体" w:cs="宋体"/>
          <w:szCs w:val="21"/>
          <w:u w:val="single"/>
        </w:rPr>
        <w:t xml:space="preserve">                   </w:t>
      </w:r>
    </w:p>
    <w:p>
      <w:pPr>
        <w:spacing w:line="480" w:lineRule="auto"/>
        <w:ind w:firstLine="4200" w:firstLineChars="2000"/>
        <w:rPr>
          <w:rFonts w:ascii="宋体" w:hAnsi="宋体" w:cs="宋体"/>
          <w:szCs w:val="21"/>
        </w:rPr>
      </w:pPr>
      <w:r>
        <w:rPr>
          <w:rFonts w:hint="eastAsia" w:ascii="宋体" w:hAnsi="宋体" w:cs="宋体"/>
          <w:szCs w:val="21"/>
        </w:rPr>
        <w:t>法定代表人或其委托代理人（签字或盖章）</w:t>
      </w:r>
      <w:r>
        <w:rPr>
          <w:rFonts w:hint="eastAsia" w:ascii="宋体" w:hAnsi="宋体" w:cs="宋体"/>
          <w:szCs w:val="21"/>
          <w:u w:val="single"/>
        </w:rPr>
        <w:t xml:space="preserve">            </w:t>
      </w:r>
    </w:p>
    <w:p>
      <w:pPr>
        <w:spacing w:line="600" w:lineRule="exact"/>
        <w:jc w:val="right"/>
        <w:rPr>
          <w:rFonts w:ascii="宋体" w:hAnsi="宋体" w:cs="宋体"/>
          <w:szCs w:val="21"/>
        </w:rPr>
      </w:pP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
        <w:jc w:val="center"/>
        <w:rPr>
          <w:rFonts w:ascii="宋体" w:hAnsi="宋体" w:eastAsia="宋体" w:cs="宋体"/>
          <w:sz w:val="24"/>
          <w:szCs w:val="24"/>
        </w:rPr>
      </w:pPr>
      <w:r>
        <w:rPr>
          <w:rFonts w:hint="eastAsia" w:ascii="宋体" w:hAnsi="宋体" w:eastAsia="宋体" w:cs="宋体"/>
          <w:sz w:val="30"/>
          <w:szCs w:val="30"/>
        </w:rPr>
        <w:br w:type="page"/>
      </w:r>
      <w:bookmarkStart w:id="162" w:name="_Toc7316"/>
      <w:r>
        <w:rPr>
          <w:rFonts w:hint="eastAsia" w:ascii="宋体" w:hAnsi="宋体" w:eastAsia="宋体" w:cs="宋体"/>
          <w:sz w:val="30"/>
          <w:szCs w:val="30"/>
        </w:rPr>
        <w:t>二、磋商保证金</w:t>
      </w:r>
      <w:bookmarkEnd w:id="162"/>
      <w:r>
        <w:rPr>
          <w:rFonts w:hint="eastAsia" w:ascii="宋体" w:hAnsi="宋体" w:eastAsia="宋体" w:cs="宋体"/>
          <w:sz w:val="30"/>
          <w:szCs w:val="30"/>
        </w:rPr>
        <w:t>（如有）</w:t>
      </w:r>
    </w:p>
    <w:p>
      <w:pPr>
        <w:jc w:val="center"/>
        <w:rPr>
          <w:rFonts w:ascii="宋体" w:hAnsi="宋体" w:cs="宋体"/>
          <w:szCs w:val="21"/>
        </w:rPr>
      </w:pPr>
    </w:p>
    <w:p>
      <w:pPr>
        <w:autoSpaceDE w:val="0"/>
        <w:autoSpaceDN w:val="0"/>
        <w:adjustRightInd w:val="0"/>
        <w:spacing w:line="360" w:lineRule="auto"/>
        <w:jc w:val="center"/>
        <w:rPr>
          <w:rFonts w:ascii="宋体" w:hAnsi="宋体" w:cs="宋体"/>
          <w:b/>
          <w:bCs/>
          <w:sz w:val="30"/>
          <w:szCs w:val="30"/>
        </w:rPr>
      </w:pPr>
      <w:r>
        <w:rPr>
          <w:rFonts w:ascii="宋体" w:hAnsi="宋体" w:cs="宋体"/>
          <w:b/>
          <w:szCs w:val="21"/>
        </w:rPr>
        <w:pict>
          <v:shape id="文本框 1" o:spid="_x0000_s2050" o:spt="202" type="#_x0000_t202" style="height:274.35pt;width:447.6pt;" coordsize="21600,21600" o:gfxdata="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TaUs9YAAAAFAQAADwAAAAAAAAAB&#10;ACAAAAAiAAAAZHJzL2Rvd25yZXYueG1sUEsBAhQAFAAAAAgAh07iQNbLZRASAgAARQQAAA4AAAAA&#10;AAAAAQAgAAAAJQEAAGRycy9lMm9Eb2MueG1sUEsFBgAAAAAGAAYAWQEAAKkFAAAAAA==&#10;">
            <v:path/>
            <v:fill focussize="0,0"/>
            <v:stroke weight="2.25pt" dashstyle="dash"/>
            <v:imagedata o:title=""/>
            <o:lock v:ext="edit"/>
            <v:textbox>
              <w:txbxContent>
                <w:p/>
                <w:p/>
                <w:p>
                  <w:pPr>
                    <w:jc w:val="center"/>
                    <w:rPr>
                      <w:rFonts w:ascii="宋体" w:hAnsi="宋体"/>
                      <w:b/>
                      <w:szCs w:val="21"/>
                    </w:rPr>
                  </w:pPr>
                  <w:r>
                    <w:rPr>
                      <w:rFonts w:hint="eastAsia" w:ascii="宋体" w:hAnsi="宋体"/>
                      <w:b/>
                      <w:szCs w:val="21"/>
                    </w:rPr>
                    <w:t>磋商担保</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此处贴转账支票、电汇业务委托书回单</w:t>
                  </w:r>
                </w:p>
                <w:p>
                  <w:pPr>
                    <w:jc w:val="center"/>
                    <w:rPr>
                      <w:rFonts w:ascii="宋体" w:hAnsi="宋体"/>
                      <w:szCs w:val="21"/>
                    </w:rPr>
                  </w:pPr>
                  <w:r>
                    <w:rPr>
                      <w:rFonts w:hint="eastAsia" w:ascii="宋体" w:hAnsi="宋体"/>
                      <w:szCs w:val="21"/>
                    </w:rPr>
                    <w:t>的复印件加盖公章</w:t>
                  </w:r>
                </w:p>
              </w:txbxContent>
            </v:textbox>
            <w10:wrap type="none"/>
            <w10:anchorlock/>
          </v:shape>
        </w:pict>
      </w:r>
    </w:p>
    <w:p>
      <w:pPr>
        <w:pStyle w:val="4"/>
        <w:rPr>
          <w:rFonts w:ascii="宋体" w:hAnsi="宋体" w:cs="宋体"/>
          <w:bCs/>
          <w:sz w:val="30"/>
          <w:szCs w:val="30"/>
        </w:rPr>
      </w:pPr>
    </w:p>
    <w:p>
      <w:pPr>
        <w:ind w:firstLine="420" w:firstLineChars="200"/>
        <w:rPr>
          <w:rFonts w:ascii="宋体" w:hAnsi="宋体" w:cs="宋体"/>
          <w:b/>
          <w:szCs w:val="32"/>
        </w:rPr>
      </w:pPr>
      <w:r>
        <w:rPr>
          <w:rFonts w:hint="eastAsia" w:ascii="宋体" w:hAnsi="宋体" w:cs="宋体"/>
          <w:b/>
        </w:rPr>
        <w:t>后附：基本开户许可证或基本存款账户信息</w:t>
      </w:r>
    </w:p>
    <w:p>
      <w:pPr>
        <w:rPr>
          <w:rFonts w:ascii="宋体" w:hAnsi="宋体" w:cs="宋体"/>
          <w:b/>
          <w:bCs/>
          <w:sz w:val="30"/>
          <w:szCs w:val="30"/>
        </w:rPr>
      </w:pPr>
    </w:p>
    <w:p>
      <w:pPr>
        <w:pStyle w:val="4"/>
        <w:rPr>
          <w:rFonts w:ascii="宋体" w:hAnsi="宋体" w:cs="宋体"/>
          <w:bCs/>
          <w:sz w:val="30"/>
          <w:szCs w:val="30"/>
        </w:rPr>
      </w:pPr>
    </w:p>
    <w:p>
      <w:pPr>
        <w:rPr>
          <w:rFonts w:ascii="宋体" w:hAnsi="宋体" w:cs="宋体"/>
        </w:rPr>
      </w:pPr>
    </w:p>
    <w:p>
      <w:pPr>
        <w:autoSpaceDE w:val="0"/>
        <w:autoSpaceDN w:val="0"/>
        <w:adjustRightInd w:val="0"/>
        <w:spacing w:line="360" w:lineRule="auto"/>
        <w:ind w:left="3780" w:leftChars="1800" w:firstLine="1350" w:firstLineChars="450"/>
        <w:rPr>
          <w:rFonts w:ascii="宋体" w:hAnsi="宋体" w:cs="宋体"/>
          <w:szCs w:val="21"/>
        </w:rPr>
      </w:pPr>
      <w:r>
        <w:rPr>
          <w:rFonts w:hint="eastAsia" w:ascii="宋体" w:hAnsi="宋体" w:cs="宋体"/>
          <w:b/>
          <w:bCs/>
          <w:sz w:val="30"/>
          <w:szCs w:val="30"/>
        </w:rPr>
        <w:br w:type="page"/>
      </w:r>
    </w:p>
    <w:p>
      <w:pPr>
        <w:pStyle w:val="2"/>
        <w:jc w:val="center"/>
        <w:rPr>
          <w:rFonts w:ascii="宋体" w:hAnsi="宋体" w:eastAsia="宋体" w:cs="宋体"/>
        </w:rPr>
      </w:pPr>
      <w:bookmarkStart w:id="163" w:name="_Toc24768"/>
      <w:r>
        <w:rPr>
          <w:rFonts w:hint="eastAsia" w:ascii="宋体" w:hAnsi="宋体" w:eastAsia="宋体" w:cs="宋体"/>
        </w:rPr>
        <w:t>三、技术规格偏离表</w:t>
      </w:r>
      <w:bookmarkEnd w:id="163"/>
    </w:p>
    <w:p>
      <w:pPr>
        <w:rPr>
          <w:rFonts w:ascii="宋体" w:hAnsi="宋体" w:cs="宋体"/>
          <w:szCs w:val="21"/>
          <w:u w:val="single"/>
        </w:rPr>
      </w:pPr>
      <w:r>
        <w:rPr>
          <w:rFonts w:hint="eastAsia" w:ascii="宋体" w:hAnsi="宋体" w:cs="宋体"/>
          <w:szCs w:val="21"/>
        </w:rPr>
        <w:t xml:space="preserve">项目名称： </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项目编号：</w:t>
      </w:r>
      <w:r>
        <w:rPr>
          <w:rFonts w:hint="eastAsia" w:ascii="宋体" w:hAnsi="宋体" w:cs="宋体"/>
          <w:i/>
          <w:iCs/>
          <w:szCs w:val="21"/>
        </w:rPr>
        <w:t xml:space="preserve"> </w:t>
      </w:r>
      <w:r>
        <w:rPr>
          <w:rFonts w:hint="eastAsia" w:ascii="宋体" w:hAnsi="宋体" w:cs="宋体"/>
          <w:szCs w:val="21"/>
          <w:u w:val="single"/>
        </w:rPr>
        <w:t xml:space="preserve">                       </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14"/>
        <w:gridCol w:w="1553"/>
        <w:gridCol w:w="1759"/>
        <w:gridCol w:w="2133"/>
        <w:gridCol w:w="1200"/>
        <w:gridCol w:w="1260"/>
        <w:gridCol w:w="11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5" w:hRule="atLeast"/>
          <w:jc w:val="center"/>
        </w:trPr>
        <w:tc>
          <w:tcPr>
            <w:tcW w:w="614" w:type="dxa"/>
            <w:vMerge w:val="restart"/>
            <w:tcBorders>
              <w:top w:val="single" w:color="auto" w:sz="12" w:space="0"/>
              <w:left w:val="single" w:color="auto" w:sz="12"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序号</w:t>
            </w:r>
          </w:p>
        </w:tc>
        <w:tc>
          <w:tcPr>
            <w:tcW w:w="1553" w:type="dxa"/>
            <w:vMerge w:val="restart"/>
            <w:tcBorders>
              <w:top w:val="single" w:color="auto" w:sz="12"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设备名称</w:t>
            </w:r>
          </w:p>
        </w:tc>
        <w:tc>
          <w:tcPr>
            <w:tcW w:w="1759" w:type="dxa"/>
            <w:vMerge w:val="restart"/>
            <w:tcBorders>
              <w:top w:val="single" w:color="auto" w:sz="12"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竞争性磋商文件</w:t>
            </w:r>
          </w:p>
          <w:p>
            <w:pPr>
              <w:jc w:val="center"/>
              <w:rPr>
                <w:rFonts w:ascii="宋体" w:hAnsi="宋体" w:cs="宋体"/>
                <w:szCs w:val="21"/>
              </w:rPr>
            </w:pPr>
            <w:r>
              <w:rPr>
                <w:rFonts w:hint="eastAsia" w:ascii="宋体" w:hAnsi="宋体" w:cs="宋体"/>
                <w:szCs w:val="21"/>
              </w:rPr>
              <w:t>技术</w:t>
            </w:r>
            <w:r>
              <w:rPr>
                <w:rFonts w:hint="eastAsia" w:ascii="宋体" w:hAnsi="宋体" w:cs="宋体"/>
                <w:kern w:val="0"/>
                <w:szCs w:val="21"/>
              </w:rPr>
              <w:t>规格</w:t>
            </w:r>
            <w:r>
              <w:rPr>
                <w:rFonts w:hint="eastAsia" w:ascii="宋体" w:hAnsi="宋体" w:cs="宋体"/>
                <w:szCs w:val="21"/>
              </w:rPr>
              <w:t>要求</w:t>
            </w:r>
          </w:p>
        </w:tc>
        <w:tc>
          <w:tcPr>
            <w:tcW w:w="2133" w:type="dxa"/>
            <w:vMerge w:val="restart"/>
            <w:tcBorders>
              <w:top w:val="single" w:color="auto" w:sz="12"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响应文件</w:t>
            </w:r>
          </w:p>
          <w:p>
            <w:pPr>
              <w:jc w:val="center"/>
              <w:rPr>
                <w:rFonts w:ascii="宋体" w:hAnsi="宋体" w:cs="宋体"/>
                <w:szCs w:val="21"/>
              </w:rPr>
            </w:pPr>
            <w:r>
              <w:rPr>
                <w:rFonts w:hint="eastAsia" w:ascii="宋体" w:hAnsi="宋体" w:cs="宋体"/>
                <w:szCs w:val="21"/>
              </w:rPr>
              <w:t>对应技术</w:t>
            </w:r>
            <w:r>
              <w:rPr>
                <w:rFonts w:hint="eastAsia" w:ascii="宋体" w:hAnsi="宋体" w:cs="宋体"/>
                <w:kern w:val="0"/>
                <w:szCs w:val="21"/>
              </w:rPr>
              <w:t>规格</w:t>
            </w:r>
            <w:r>
              <w:rPr>
                <w:rFonts w:hint="eastAsia" w:ascii="宋体" w:hAnsi="宋体" w:cs="宋体"/>
                <w:szCs w:val="21"/>
              </w:rPr>
              <w:t>要求</w:t>
            </w:r>
          </w:p>
        </w:tc>
        <w:tc>
          <w:tcPr>
            <w:tcW w:w="3605" w:type="dxa"/>
            <w:gridSpan w:val="3"/>
            <w:tcBorders>
              <w:top w:val="single" w:color="auto" w:sz="12" w:space="0"/>
              <w:left w:val="single" w:color="auto" w:sz="6" w:space="0"/>
              <w:bottom w:val="single" w:color="auto" w:sz="4" w:space="0"/>
              <w:right w:val="single" w:color="auto" w:sz="12"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偏离情况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5" w:hRule="atLeast"/>
          <w:jc w:val="center"/>
        </w:trPr>
        <w:tc>
          <w:tcPr>
            <w:tcW w:w="614"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ascii="宋体" w:hAnsi="宋体" w:cs="宋体"/>
                <w:szCs w:val="21"/>
              </w:rPr>
            </w:pPr>
          </w:p>
        </w:tc>
        <w:tc>
          <w:tcPr>
            <w:tcW w:w="1553"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宋体" w:hAnsi="宋体" w:cs="宋体"/>
                <w:szCs w:val="21"/>
              </w:rPr>
            </w:pPr>
          </w:p>
        </w:tc>
        <w:tc>
          <w:tcPr>
            <w:tcW w:w="1759"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宋体" w:hAnsi="宋体" w:cs="宋体"/>
                <w:szCs w:val="21"/>
              </w:rPr>
            </w:pPr>
          </w:p>
        </w:tc>
        <w:tc>
          <w:tcPr>
            <w:tcW w:w="2133"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宋体" w:hAnsi="宋体" w:cs="宋体"/>
                <w:szCs w:val="21"/>
              </w:rPr>
            </w:pPr>
          </w:p>
        </w:tc>
        <w:tc>
          <w:tcPr>
            <w:tcW w:w="1200" w:type="dxa"/>
            <w:tcBorders>
              <w:top w:val="single" w:color="auto" w:sz="4" w:space="0"/>
              <w:left w:val="single" w:color="auto" w:sz="6" w:space="0"/>
              <w:bottom w:val="single" w:color="auto" w:sz="6" w:space="0"/>
              <w:right w:val="single" w:color="auto" w:sz="4"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完全响应</w:t>
            </w:r>
          </w:p>
        </w:tc>
        <w:tc>
          <w:tcPr>
            <w:tcW w:w="1260" w:type="dxa"/>
            <w:tcBorders>
              <w:top w:val="single" w:color="auto" w:sz="4" w:space="0"/>
              <w:left w:val="nil"/>
              <w:bottom w:val="single" w:color="auto" w:sz="6" w:space="0"/>
              <w:right w:val="single" w:color="auto" w:sz="4" w:space="0"/>
            </w:tcBorders>
            <w:vAlign w:val="center"/>
          </w:tcPr>
          <w:p>
            <w:pPr>
              <w:jc w:val="center"/>
              <w:rPr>
                <w:rFonts w:ascii="宋体" w:hAnsi="宋体" w:cs="宋体"/>
                <w:szCs w:val="21"/>
              </w:rPr>
            </w:pPr>
            <w:r>
              <w:rPr>
                <w:rFonts w:hint="eastAsia" w:ascii="宋体" w:hAnsi="宋体" w:cs="宋体"/>
                <w:szCs w:val="21"/>
              </w:rPr>
              <w:t>有偏离</w:t>
            </w:r>
          </w:p>
        </w:tc>
        <w:tc>
          <w:tcPr>
            <w:tcW w:w="1145" w:type="dxa"/>
            <w:tcBorders>
              <w:top w:val="single" w:color="auto" w:sz="4" w:space="0"/>
              <w:left w:val="nil"/>
              <w:bottom w:val="single" w:color="auto" w:sz="6" w:space="0"/>
              <w:right w:val="single" w:color="auto" w:sz="12" w:space="0"/>
            </w:tcBorders>
            <w:vAlign w:val="center"/>
          </w:tcPr>
          <w:p>
            <w:pPr>
              <w:jc w:val="center"/>
              <w:rPr>
                <w:rFonts w:ascii="宋体" w:hAnsi="宋体" w:cs="宋体"/>
                <w:szCs w:val="21"/>
              </w:rPr>
            </w:pPr>
            <w:r>
              <w:rPr>
                <w:rFonts w:hint="eastAsia" w:ascii="宋体" w:hAnsi="宋体" w:cs="宋体"/>
                <w:szCs w:val="21"/>
              </w:rPr>
              <w:t>偏离描述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614" w:type="dxa"/>
            <w:tcBorders>
              <w:top w:val="single" w:color="auto" w:sz="6" w:space="0"/>
              <w:left w:val="single" w:color="auto" w:sz="12" w:space="0"/>
              <w:bottom w:val="single" w:color="auto" w:sz="6" w:space="0"/>
              <w:right w:val="single" w:color="auto" w:sz="6" w:space="0"/>
            </w:tcBorders>
            <w:tcMar>
              <w:top w:w="15" w:type="dxa"/>
              <w:left w:w="15" w:type="dxa"/>
              <w:bottom w:w="0" w:type="dxa"/>
              <w:right w:w="15" w:type="dxa"/>
            </w:tcMar>
            <w:vAlign w:val="center"/>
          </w:tcPr>
          <w:p>
            <w:pPr>
              <w:ind w:firstLine="33" w:firstLineChars="16"/>
              <w:jc w:val="center"/>
              <w:rPr>
                <w:rFonts w:ascii="宋体" w:hAnsi="宋体" w:cs="宋体"/>
                <w:szCs w:val="21"/>
              </w:rPr>
            </w:pPr>
            <w:r>
              <w:rPr>
                <w:rFonts w:hint="eastAsia" w:ascii="宋体" w:hAnsi="宋体" w:cs="宋体"/>
                <w:szCs w:val="21"/>
              </w:rPr>
              <w:t>1</w:t>
            </w:r>
          </w:p>
        </w:tc>
        <w:tc>
          <w:tcPr>
            <w:tcW w:w="155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1759"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213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120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p>
            <w:pPr>
              <w:jc w:val="center"/>
              <w:rPr>
                <w:rFonts w:ascii="宋体" w:hAnsi="宋体" w:cs="宋体"/>
                <w:szCs w:val="21"/>
              </w:rPr>
            </w:pPr>
          </w:p>
        </w:tc>
        <w:tc>
          <w:tcPr>
            <w:tcW w:w="1260" w:type="dxa"/>
            <w:tcBorders>
              <w:top w:val="single" w:color="auto" w:sz="6" w:space="0"/>
              <w:left w:val="nil"/>
              <w:bottom w:val="single" w:color="auto" w:sz="6"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tc>
        <w:tc>
          <w:tcPr>
            <w:tcW w:w="1145" w:type="dxa"/>
            <w:tcBorders>
              <w:top w:val="single" w:color="auto" w:sz="6" w:space="0"/>
              <w:left w:val="nil"/>
              <w:bottom w:val="single" w:color="auto" w:sz="6" w:space="0"/>
              <w:right w:val="single" w:color="auto" w:sz="12" w:space="0"/>
            </w:tcBorders>
            <w:vAlign w:val="center"/>
          </w:tcPr>
          <w:p>
            <w:pPr>
              <w:ind w:left="165"/>
              <w:jc w:val="center"/>
              <w:rPr>
                <w:rFonts w:ascii="宋体" w:hAnsi="宋体" w:cs="宋体"/>
                <w:szCs w:val="21"/>
              </w:rPr>
            </w:pPr>
          </w:p>
          <w:p>
            <w:pPr>
              <w:ind w:left="165"/>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614" w:type="dxa"/>
            <w:tcBorders>
              <w:top w:val="single" w:color="auto" w:sz="6" w:space="0"/>
              <w:left w:val="single" w:color="auto" w:sz="12" w:space="0"/>
              <w:bottom w:val="single" w:color="auto" w:sz="6" w:space="0"/>
              <w:right w:val="single" w:color="auto" w:sz="6" w:space="0"/>
            </w:tcBorders>
            <w:tcMar>
              <w:top w:w="15" w:type="dxa"/>
              <w:left w:w="15" w:type="dxa"/>
              <w:bottom w:w="0" w:type="dxa"/>
              <w:right w:w="15" w:type="dxa"/>
            </w:tcMar>
            <w:vAlign w:val="center"/>
          </w:tcPr>
          <w:p>
            <w:pPr>
              <w:ind w:firstLine="33" w:firstLineChars="16"/>
              <w:jc w:val="center"/>
              <w:rPr>
                <w:rFonts w:ascii="宋体" w:hAnsi="宋体" w:cs="宋体"/>
                <w:szCs w:val="21"/>
              </w:rPr>
            </w:pPr>
            <w:r>
              <w:rPr>
                <w:rFonts w:hint="eastAsia" w:ascii="宋体" w:hAnsi="宋体" w:cs="宋体"/>
                <w:szCs w:val="21"/>
              </w:rPr>
              <w:t>2</w:t>
            </w:r>
          </w:p>
        </w:tc>
        <w:tc>
          <w:tcPr>
            <w:tcW w:w="155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1759"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213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120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p>
            <w:pPr>
              <w:jc w:val="center"/>
              <w:rPr>
                <w:rFonts w:ascii="宋体" w:hAnsi="宋体" w:cs="宋体"/>
                <w:szCs w:val="21"/>
              </w:rPr>
            </w:pPr>
          </w:p>
        </w:tc>
        <w:tc>
          <w:tcPr>
            <w:tcW w:w="1260" w:type="dxa"/>
            <w:tcBorders>
              <w:top w:val="single" w:color="auto" w:sz="6" w:space="0"/>
              <w:left w:val="nil"/>
              <w:bottom w:val="single" w:color="auto" w:sz="6"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tc>
        <w:tc>
          <w:tcPr>
            <w:tcW w:w="1145" w:type="dxa"/>
            <w:tcBorders>
              <w:top w:val="single" w:color="auto" w:sz="6" w:space="0"/>
              <w:left w:val="nil"/>
              <w:bottom w:val="single" w:color="auto" w:sz="6" w:space="0"/>
              <w:right w:val="single" w:color="auto" w:sz="12" w:space="0"/>
            </w:tcBorders>
            <w:vAlign w:val="center"/>
          </w:tcPr>
          <w:p>
            <w:pPr>
              <w:ind w:left="165"/>
              <w:jc w:val="center"/>
              <w:rPr>
                <w:rFonts w:ascii="宋体" w:hAnsi="宋体" w:cs="宋体"/>
                <w:szCs w:val="21"/>
              </w:rPr>
            </w:pPr>
          </w:p>
          <w:p>
            <w:pPr>
              <w:ind w:left="165"/>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614" w:type="dxa"/>
            <w:tcBorders>
              <w:top w:val="single" w:color="auto" w:sz="6" w:space="0"/>
              <w:left w:val="single" w:color="auto" w:sz="12" w:space="0"/>
              <w:bottom w:val="single" w:color="auto" w:sz="6" w:space="0"/>
              <w:right w:val="single" w:color="auto" w:sz="6" w:space="0"/>
            </w:tcBorders>
            <w:tcMar>
              <w:top w:w="15" w:type="dxa"/>
              <w:left w:w="15" w:type="dxa"/>
              <w:bottom w:w="0" w:type="dxa"/>
              <w:right w:w="15" w:type="dxa"/>
            </w:tcMar>
            <w:vAlign w:val="center"/>
          </w:tcPr>
          <w:p>
            <w:pPr>
              <w:ind w:firstLine="33" w:firstLineChars="16"/>
              <w:jc w:val="center"/>
              <w:rPr>
                <w:rFonts w:ascii="宋体" w:hAnsi="宋体" w:cs="宋体"/>
                <w:szCs w:val="21"/>
              </w:rPr>
            </w:pPr>
            <w:r>
              <w:rPr>
                <w:rFonts w:hint="eastAsia" w:ascii="宋体" w:hAnsi="宋体" w:cs="宋体"/>
                <w:szCs w:val="21"/>
              </w:rPr>
              <w:t>3</w:t>
            </w:r>
          </w:p>
        </w:tc>
        <w:tc>
          <w:tcPr>
            <w:tcW w:w="155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1759"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213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120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p>
            <w:pPr>
              <w:jc w:val="center"/>
              <w:rPr>
                <w:rFonts w:ascii="宋体" w:hAnsi="宋体" w:cs="宋体"/>
                <w:szCs w:val="21"/>
              </w:rPr>
            </w:pPr>
          </w:p>
        </w:tc>
        <w:tc>
          <w:tcPr>
            <w:tcW w:w="1260" w:type="dxa"/>
            <w:tcBorders>
              <w:top w:val="single" w:color="auto" w:sz="6" w:space="0"/>
              <w:left w:val="nil"/>
              <w:bottom w:val="single" w:color="auto" w:sz="6"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tc>
        <w:tc>
          <w:tcPr>
            <w:tcW w:w="1145" w:type="dxa"/>
            <w:tcBorders>
              <w:top w:val="single" w:color="auto" w:sz="6" w:space="0"/>
              <w:left w:val="nil"/>
              <w:bottom w:val="single" w:color="auto" w:sz="6" w:space="0"/>
              <w:right w:val="single" w:color="auto" w:sz="12" w:space="0"/>
            </w:tcBorders>
            <w:vAlign w:val="center"/>
          </w:tcPr>
          <w:p>
            <w:pPr>
              <w:ind w:left="165"/>
              <w:jc w:val="center"/>
              <w:rPr>
                <w:rFonts w:ascii="宋体" w:hAnsi="宋体" w:cs="宋体"/>
                <w:szCs w:val="21"/>
              </w:rPr>
            </w:pPr>
          </w:p>
          <w:p>
            <w:pPr>
              <w:ind w:left="165"/>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614" w:type="dxa"/>
            <w:tcBorders>
              <w:top w:val="single" w:color="auto" w:sz="6" w:space="0"/>
              <w:left w:val="single" w:color="auto" w:sz="12" w:space="0"/>
              <w:bottom w:val="single" w:color="auto" w:sz="6" w:space="0"/>
              <w:right w:val="single" w:color="auto" w:sz="6" w:space="0"/>
            </w:tcBorders>
            <w:tcMar>
              <w:top w:w="15" w:type="dxa"/>
              <w:left w:w="15" w:type="dxa"/>
              <w:bottom w:w="0" w:type="dxa"/>
              <w:right w:w="15" w:type="dxa"/>
            </w:tcMar>
            <w:vAlign w:val="center"/>
          </w:tcPr>
          <w:p>
            <w:pPr>
              <w:ind w:firstLine="33" w:firstLineChars="16"/>
              <w:jc w:val="center"/>
              <w:rPr>
                <w:rFonts w:ascii="宋体" w:hAnsi="宋体" w:cs="宋体"/>
                <w:szCs w:val="21"/>
              </w:rPr>
            </w:pPr>
            <w:r>
              <w:rPr>
                <w:rFonts w:hint="eastAsia" w:ascii="宋体" w:hAnsi="宋体" w:cs="宋体"/>
                <w:szCs w:val="21"/>
              </w:rPr>
              <w:t>4</w:t>
            </w:r>
          </w:p>
        </w:tc>
        <w:tc>
          <w:tcPr>
            <w:tcW w:w="155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1759"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213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120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p>
            <w:pPr>
              <w:jc w:val="center"/>
              <w:rPr>
                <w:rFonts w:ascii="宋体" w:hAnsi="宋体" w:cs="宋体"/>
                <w:szCs w:val="21"/>
              </w:rPr>
            </w:pPr>
          </w:p>
        </w:tc>
        <w:tc>
          <w:tcPr>
            <w:tcW w:w="1260" w:type="dxa"/>
            <w:tcBorders>
              <w:top w:val="single" w:color="auto" w:sz="6" w:space="0"/>
              <w:left w:val="nil"/>
              <w:bottom w:val="single" w:color="auto" w:sz="6"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tc>
        <w:tc>
          <w:tcPr>
            <w:tcW w:w="1145" w:type="dxa"/>
            <w:tcBorders>
              <w:top w:val="single" w:color="auto" w:sz="6" w:space="0"/>
              <w:left w:val="nil"/>
              <w:bottom w:val="single" w:color="auto" w:sz="6" w:space="0"/>
              <w:right w:val="single" w:color="auto" w:sz="12" w:space="0"/>
            </w:tcBorders>
            <w:vAlign w:val="center"/>
          </w:tcPr>
          <w:p>
            <w:pPr>
              <w:ind w:left="165"/>
              <w:jc w:val="center"/>
              <w:rPr>
                <w:rFonts w:ascii="宋体" w:hAnsi="宋体" w:cs="宋体"/>
                <w:szCs w:val="21"/>
              </w:rPr>
            </w:pPr>
          </w:p>
          <w:p>
            <w:pPr>
              <w:ind w:left="165"/>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614" w:type="dxa"/>
            <w:tcBorders>
              <w:top w:val="single" w:color="auto" w:sz="6" w:space="0"/>
              <w:left w:val="single" w:color="auto" w:sz="12" w:space="0"/>
              <w:bottom w:val="single" w:color="auto" w:sz="6" w:space="0"/>
              <w:right w:val="single" w:color="auto" w:sz="6" w:space="0"/>
            </w:tcBorders>
            <w:tcMar>
              <w:top w:w="15" w:type="dxa"/>
              <w:left w:w="15" w:type="dxa"/>
              <w:bottom w:w="0" w:type="dxa"/>
              <w:right w:w="15" w:type="dxa"/>
            </w:tcMar>
            <w:vAlign w:val="center"/>
          </w:tcPr>
          <w:p>
            <w:pPr>
              <w:ind w:firstLine="33" w:firstLineChars="16"/>
              <w:jc w:val="center"/>
              <w:rPr>
                <w:rFonts w:ascii="宋体" w:hAnsi="宋体" w:cs="宋体"/>
                <w:szCs w:val="21"/>
              </w:rPr>
            </w:pPr>
            <w:r>
              <w:rPr>
                <w:rFonts w:hint="eastAsia" w:ascii="宋体" w:hAnsi="宋体" w:cs="宋体"/>
                <w:szCs w:val="21"/>
              </w:rPr>
              <w:t>5</w:t>
            </w:r>
          </w:p>
        </w:tc>
        <w:tc>
          <w:tcPr>
            <w:tcW w:w="155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1759"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213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　</w:t>
            </w:r>
          </w:p>
        </w:tc>
        <w:tc>
          <w:tcPr>
            <w:tcW w:w="120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p>
            <w:pPr>
              <w:jc w:val="center"/>
              <w:rPr>
                <w:rFonts w:ascii="宋体" w:hAnsi="宋体" w:cs="宋体"/>
                <w:szCs w:val="21"/>
              </w:rPr>
            </w:pPr>
          </w:p>
        </w:tc>
        <w:tc>
          <w:tcPr>
            <w:tcW w:w="1260" w:type="dxa"/>
            <w:tcBorders>
              <w:top w:val="single" w:color="auto" w:sz="6" w:space="0"/>
              <w:left w:val="nil"/>
              <w:bottom w:val="single" w:color="auto" w:sz="6"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tc>
        <w:tc>
          <w:tcPr>
            <w:tcW w:w="1145" w:type="dxa"/>
            <w:tcBorders>
              <w:top w:val="single" w:color="auto" w:sz="6" w:space="0"/>
              <w:left w:val="nil"/>
              <w:bottom w:val="single" w:color="auto" w:sz="6" w:space="0"/>
              <w:right w:val="single" w:color="auto" w:sz="12" w:space="0"/>
            </w:tcBorders>
            <w:vAlign w:val="center"/>
          </w:tcPr>
          <w:p>
            <w:pPr>
              <w:ind w:left="165"/>
              <w:jc w:val="center"/>
              <w:rPr>
                <w:rFonts w:ascii="宋体" w:hAnsi="宋体" w:cs="宋体"/>
                <w:szCs w:val="21"/>
              </w:rPr>
            </w:pPr>
          </w:p>
          <w:p>
            <w:pPr>
              <w:ind w:left="165"/>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614" w:type="dxa"/>
            <w:tcBorders>
              <w:top w:val="single" w:color="auto" w:sz="6" w:space="0"/>
              <w:left w:val="single" w:color="auto" w:sz="12" w:space="0"/>
              <w:bottom w:val="single" w:color="auto" w:sz="12" w:space="0"/>
              <w:right w:val="single" w:color="auto" w:sz="6" w:space="0"/>
            </w:tcBorders>
            <w:tcMar>
              <w:top w:w="15" w:type="dxa"/>
              <w:left w:w="15" w:type="dxa"/>
              <w:bottom w:w="0" w:type="dxa"/>
              <w:right w:w="15" w:type="dxa"/>
            </w:tcMar>
            <w:vAlign w:val="center"/>
          </w:tcPr>
          <w:p>
            <w:pPr>
              <w:ind w:firstLine="33" w:firstLineChars="16"/>
              <w:jc w:val="center"/>
              <w:rPr>
                <w:rFonts w:ascii="宋体" w:hAnsi="宋体" w:cs="宋体"/>
                <w:szCs w:val="21"/>
              </w:rPr>
            </w:pPr>
            <w:r>
              <w:rPr>
                <w:rFonts w:hint="eastAsia" w:ascii="宋体" w:hAnsi="宋体" w:cs="宋体"/>
                <w:szCs w:val="21"/>
              </w:rPr>
              <w:t>…</w:t>
            </w:r>
          </w:p>
        </w:tc>
        <w:tc>
          <w:tcPr>
            <w:tcW w:w="1553" w:type="dxa"/>
            <w:tcBorders>
              <w:top w:val="single" w:color="auto" w:sz="6" w:space="0"/>
              <w:left w:val="single" w:color="auto" w:sz="6" w:space="0"/>
              <w:bottom w:val="single" w:color="auto" w:sz="12" w:space="0"/>
              <w:right w:val="single" w:color="auto" w:sz="6" w:space="0"/>
            </w:tcBorders>
            <w:tcMar>
              <w:top w:w="15" w:type="dxa"/>
              <w:left w:w="15" w:type="dxa"/>
              <w:bottom w:w="0" w:type="dxa"/>
              <w:right w:w="15" w:type="dxa"/>
            </w:tcMar>
            <w:vAlign w:val="center"/>
          </w:tcPr>
          <w:p>
            <w:pPr>
              <w:jc w:val="center"/>
              <w:rPr>
                <w:rFonts w:ascii="宋体" w:hAnsi="宋体" w:cs="宋体"/>
                <w:szCs w:val="21"/>
              </w:rPr>
            </w:pPr>
          </w:p>
        </w:tc>
        <w:tc>
          <w:tcPr>
            <w:tcW w:w="1759" w:type="dxa"/>
            <w:tcBorders>
              <w:top w:val="single" w:color="auto" w:sz="6" w:space="0"/>
              <w:left w:val="single" w:color="auto" w:sz="6" w:space="0"/>
              <w:bottom w:val="single" w:color="auto" w:sz="12" w:space="0"/>
              <w:right w:val="single" w:color="auto" w:sz="6" w:space="0"/>
            </w:tcBorders>
            <w:tcMar>
              <w:top w:w="15" w:type="dxa"/>
              <w:left w:w="15" w:type="dxa"/>
              <w:bottom w:w="0" w:type="dxa"/>
              <w:right w:w="15" w:type="dxa"/>
            </w:tcMar>
            <w:vAlign w:val="center"/>
          </w:tcPr>
          <w:p>
            <w:pPr>
              <w:jc w:val="center"/>
              <w:rPr>
                <w:rFonts w:ascii="宋体" w:hAnsi="宋体" w:cs="宋体"/>
                <w:szCs w:val="21"/>
              </w:rPr>
            </w:pPr>
          </w:p>
        </w:tc>
        <w:tc>
          <w:tcPr>
            <w:tcW w:w="2133" w:type="dxa"/>
            <w:tcBorders>
              <w:top w:val="single" w:color="auto" w:sz="6" w:space="0"/>
              <w:left w:val="single" w:color="auto" w:sz="6" w:space="0"/>
              <w:bottom w:val="single" w:color="auto" w:sz="12" w:space="0"/>
              <w:right w:val="single" w:color="auto" w:sz="6" w:space="0"/>
            </w:tcBorders>
            <w:tcMar>
              <w:top w:w="15" w:type="dxa"/>
              <w:left w:w="15" w:type="dxa"/>
              <w:bottom w:w="0" w:type="dxa"/>
              <w:right w:w="15" w:type="dxa"/>
            </w:tcMar>
            <w:vAlign w:val="center"/>
          </w:tcPr>
          <w:p>
            <w:pPr>
              <w:jc w:val="center"/>
              <w:rPr>
                <w:rFonts w:ascii="宋体" w:hAnsi="宋体" w:cs="宋体"/>
                <w:szCs w:val="21"/>
              </w:rPr>
            </w:pPr>
          </w:p>
        </w:tc>
        <w:tc>
          <w:tcPr>
            <w:tcW w:w="1200" w:type="dxa"/>
            <w:tcBorders>
              <w:top w:val="single" w:color="auto" w:sz="6" w:space="0"/>
              <w:left w:val="single" w:color="auto" w:sz="6" w:space="0"/>
              <w:bottom w:val="single" w:color="auto" w:sz="12"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tc>
        <w:tc>
          <w:tcPr>
            <w:tcW w:w="1260" w:type="dxa"/>
            <w:tcBorders>
              <w:top w:val="single" w:color="auto" w:sz="6" w:space="0"/>
              <w:left w:val="nil"/>
              <w:bottom w:val="single" w:color="auto" w:sz="12" w:space="0"/>
              <w:right w:val="single" w:color="auto" w:sz="4" w:space="0"/>
            </w:tcBorders>
            <w:vAlign w:val="center"/>
          </w:tcPr>
          <w:p>
            <w:pPr>
              <w:jc w:val="center"/>
              <w:rPr>
                <w:rFonts w:ascii="宋体" w:hAnsi="宋体" w:cs="宋体"/>
                <w:szCs w:val="21"/>
              </w:rPr>
            </w:pPr>
          </w:p>
        </w:tc>
        <w:tc>
          <w:tcPr>
            <w:tcW w:w="1145" w:type="dxa"/>
            <w:tcBorders>
              <w:top w:val="single" w:color="auto" w:sz="6" w:space="0"/>
              <w:left w:val="nil"/>
              <w:bottom w:val="single" w:color="auto" w:sz="12" w:space="0"/>
              <w:right w:val="single" w:color="auto" w:sz="12" w:space="0"/>
            </w:tcBorders>
            <w:vAlign w:val="center"/>
          </w:tcPr>
          <w:p>
            <w:pPr>
              <w:jc w:val="center"/>
              <w:rPr>
                <w:rFonts w:ascii="宋体" w:hAnsi="宋体" w:cs="宋体"/>
                <w:szCs w:val="21"/>
              </w:rPr>
            </w:pPr>
          </w:p>
        </w:tc>
      </w:tr>
    </w:tbl>
    <w:p>
      <w:pPr>
        <w:pStyle w:val="15"/>
        <w:spacing w:line="360" w:lineRule="auto"/>
        <w:rPr>
          <w:rFonts w:ascii="宋体" w:hAnsi="宋体" w:cs="宋体"/>
          <w:b/>
          <w:bCs/>
          <w:sz w:val="21"/>
          <w:szCs w:val="21"/>
        </w:rPr>
      </w:pPr>
      <w:r>
        <w:rPr>
          <w:rFonts w:hint="eastAsia" w:ascii="宋体" w:hAnsi="宋体" w:cs="宋体"/>
          <w:b/>
          <w:bCs/>
          <w:sz w:val="21"/>
          <w:szCs w:val="21"/>
        </w:rPr>
        <w:t>注：此表可自行扩展。</w:t>
      </w:r>
    </w:p>
    <w:p>
      <w:pPr>
        <w:pStyle w:val="15"/>
        <w:spacing w:after="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根据本</w:t>
      </w:r>
      <w:r>
        <w:rPr>
          <w:rFonts w:hint="eastAsia" w:ascii="宋体" w:hAnsi="宋体" w:eastAsia="宋体" w:cs="宋体"/>
          <w:b/>
          <w:bCs/>
          <w:color w:val="auto"/>
          <w:szCs w:val="21"/>
          <w:highlight w:val="none"/>
          <w:lang w:eastAsia="zh-CN"/>
        </w:rPr>
        <w:t>竞争性磋商文件</w:t>
      </w:r>
      <w:r>
        <w:rPr>
          <w:rFonts w:hint="eastAsia" w:ascii="宋体" w:hAnsi="宋体" w:eastAsia="宋体" w:cs="宋体"/>
          <w:b/>
          <w:bCs/>
          <w:color w:val="auto"/>
          <w:szCs w:val="21"/>
          <w:highlight w:val="none"/>
        </w:rPr>
        <w:t>的</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须知及</w:t>
      </w:r>
      <w:r>
        <w:rPr>
          <w:rFonts w:hint="eastAsia" w:ascii="宋体" w:hAnsi="宋体" w:cs="宋体"/>
          <w:b/>
          <w:bCs/>
          <w:color w:val="auto"/>
          <w:szCs w:val="21"/>
          <w:highlight w:val="none"/>
          <w:lang w:eastAsia="zh-CN"/>
        </w:rPr>
        <w:t>采购需求</w:t>
      </w:r>
      <w:r>
        <w:rPr>
          <w:rFonts w:hint="eastAsia" w:ascii="宋体" w:hAnsi="宋体" w:eastAsia="宋体" w:cs="宋体"/>
          <w:b/>
          <w:bCs/>
          <w:color w:val="auto"/>
          <w:szCs w:val="21"/>
          <w:highlight w:val="none"/>
        </w:rPr>
        <w:t>填写本表；</w:t>
      </w:r>
    </w:p>
    <w:p>
      <w:pPr>
        <w:pStyle w:val="15"/>
        <w:spacing w:after="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r>
        <w:rPr>
          <w:rFonts w:hint="eastAsia" w:ascii="宋体" w:hAnsi="宋体" w:eastAsia="宋体" w:cs="宋体"/>
          <w:b/>
          <w:bCs/>
          <w:color w:val="auto"/>
          <w:szCs w:val="21"/>
          <w:highlight w:val="none"/>
        </w:rPr>
        <w:tab/>
      </w:r>
      <w:r>
        <w:rPr>
          <w:rFonts w:hint="eastAsia" w:ascii="宋体" w:hAnsi="宋体" w:eastAsia="宋体" w:cs="宋体"/>
          <w:b/>
          <w:bCs/>
          <w:color w:val="auto"/>
          <w:szCs w:val="21"/>
          <w:highlight w:val="none"/>
        </w:rPr>
        <w:t>对完全响应的条目在本表相应列中标注“√”。对有偏离的条目在本表相应列中标注“正偏离”或“负偏离”。仅可在“完全响应”及“有偏离”中选一标注，同时，当且仅当选取“有偏离”栏中加以标注后，才能在“偏离简述”栏中加以说明。</w:t>
      </w:r>
    </w:p>
    <w:p>
      <w:pPr>
        <w:pStyle w:val="15"/>
        <w:spacing w:after="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w:t>
      </w:r>
      <w:r>
        <w:rPr>
          <w:rFonts w:hint="eastAsia" w:ascii="宋体" w:hAnsi="宋体" w:eastAsia="宋体" w:cs="宋体"/>
          <w:b/>
          <w:bCs/>
          <w:color w:val="auto"/>
          <w:szCs w:val="21"/>
          <w:highlight w:val="none"/>
        </w:rPr>
        <w:tab/>
      </w:r>
      <w:r>
        <w:rPr>
          <w:rFonts w:hint="eastAsia" w:ascii="宋体" w:hAnsi="宋体" w:eastAsia="宋体" w:cs="宋体"/>
          <w:b/>
          <w:bCs/>
          <w:color w:val="auto"/>
          <w:szCs w:val="21"/>
          <w:highlight w:val="none"/>
        </w:rPr>
        <w:t>正偏离是指应答的条件高于</w:t>
      </w:r>
      <w:r>
        <w:rPr>
          <w:rFonts w:hint="eastAsia" w:ascii="宋体" w:hAnsi="宋体" w:eastAsia="宋体" w:cs="宋体"/>
          <w:b/>
          <w:bCs/>
          <w:color w:val="auto"/>
          <w:szCs w:val="21"/>
          <w:highlight w:val="none"/>
          <w:lang w:eastAsia="zh-CN"/>
        </w:rPr>
        <w:t>竞争性磋商文件</w:t>
      </w:r>
      <w:r>
        <w:rPr>
          <w:rFonts w:hint="eastAsia" w:ascii="宋体" w:hAnsi="宋体" w:eastAsia="宋体" w:cs="宋体"/>
          <w:b/>
          <w:bCs/>
          <w:color w:val="auto"/>
          <w:szCs w:val="21"/>
          <w:highlight w:val="none"/>
        </w:rPr>
        <w:t>要求，负偏离是指应答的条件低于</w:t>
      </w:r>
      <w:r>
        <w:rPr>
          <w:rFonts w:hint="eastAsia" w:ascii="宋体" w:hAnsi="宋体" w:eastAsia="宋体" w:cs="宋体"/>
          <w:b/>
          <w:bCs/>
          <w:color w:val="auto"/>
          <w:szCs w:val="21"/>
          <w:highlight w:val="none"/>
          <w:lang w:eastAsia="zh-CN"/>
        </w:rPr>
        <w:t>竞争性磋商文件</w:t>
      </w:r>
      <w:r>
        <w:rPr>
          <w:rFonts w:hint="eastAsia" w:ascii="宋体" w:hAnsi="宋体" w:eastAsia="宋体" w:cs="宋体"/>
          <w:b/>
          <w:bCs/>
          <w:color w:val="auto"/>
          <w:szCs w:val="21"/>
          <w:highlight w:val="none"/>
        </w:rPr>
        <w:t>要求。</w:t>
      </w:r>
    </w:p>
    <w:p>
      <w:pPr>
        <w:pStyle w:val="15"/>
        <w:spacing w:after="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w:t>
      </w:r>
      <w:r>
        <w:rPr>
          <w:rFonts w:hint="eastAsia" w:ascii="宋体" w:hAnsi="宋体" w:eastAsia="宋体" w:cs="宋体"/>
          <w:b/>
          <w:bCs/>
          <w:color w:val="auto"/>
          <w:szCs w:val="21"/>
          <w:highlight w:val="none"/>
        </w:rPr>
        <w:tab/>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须完整填写</w:t>
      </w:r>
      <w:r>
        <w:rPr>
          <w:rFonts w:hint="eastAsia" w:ascii="宋体" w:hAnsi="宋体" w:cs="宋体"/>
          <w:b/>
          <w:bCs/>
          <w:color w:val="auto"/>
          <w:szCs w:val="21"/>
          <w:highlight w:val="none"/>
          <w:lang w:eastAsia="zh-CN"/>
        </w:rPr>
        <w:t>本</w:t>
      </w:r>
      <w:r>
        <w:rPr>
          <w:rFonts w:hint="eastAsia" w:ascii="宋体" w:hAnsi="宋体" w:eastAsia="宋体" w:cs="宋体"/>
          <w:b/>
          <w:bCs/>
          <w:color w:val="auto"/>
          <w:szCs w:val="21"/>
          <w:highlight w:val="none"/>
        </w:rPr>
        <w:t>表。如果未完整填写本表的各项内容则视作</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已经对</w:t>
      </w:r>
      <w:r>
        <w:rPr>
          <w:rFonts w:hint="eastAsia" w:ascii="宋体" w:hAnsi="宋体" w:eastAsia="宋体" w:cs="宋体"/>
          <w:b/>
          <w:bCs/>
          <w:color w:val="auto"/>
          <w:szCs w:val="21"/>
          <w:highlight w:val="none"/>
          <w:lang w:eastAsia="zh-CN"/>
        </w:rPr>
        <w:t>竞争性磋商文件</w:t>
      </w:r>
      <w:r>
        <w:rPr>
          <w:rFonts w:hint="eastAsia" w:ascii="宋体" w:hAnsi="宋体" w:eastAsia="宋体" w:cs="宋体"/>
          <w:b/>
          <w:bCs/>
          <w:color w:val="auto"/>
          <w:szCs w:val="21"/>
          <w:highlight w:val="none"/>
        </w:rPr>
        <w:t>相关要求和内容完全理解并同意，其投标报价为在此基础上的完全价格。</w:t>
      </w:r>
    </w:p>
    <w:p>
      <w:pPr>
        <w:pStyle w:val="15"/>
        <w:spacing w:after="0"/>
        <w:rPr>
          <w:rFonts w:ascii="宋体" w:hAnsi="宋体" w:cs="宋体"/>
          <w:b/>
          <w:bCs/>
          <w:szCs w:val="21"/>
        </w:rPr>
      </w:pP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rPr>
        <w:tab/>
      </w:r>
      <w:r>
        <w:rPr>
          <w:rFonts w:hint="eastAsia" w:ascii="宋体" w:hAnsi="宋体" w:eastAsia="宋体" w:cs="宋体"/>
          <w:b/>
          <w:bCs/>
          <w:color w:val="auto"/>
          <w:szCs w:val="21"/>
          <w:highlight w:val="none"/>
        </w:rPr>
        <w:t>在买方与中标人签订合同时，如中标人未在</w:t>
      </w:r>
      <w:r>
        <w:rPr>
          <w:rFonts w:hint="eastAsia" w:ascii="宋体" w:hAnsi="宋体" w:eastAsia="宋体" w:cs="宋体"/>
          <w:b/>
          <w:bCs/>
          <w:color w:val="auto"/>
          <w:szCs w:val="21"/>
          <w:highlight w:val="none"/>
          <w:lang w:eastAsia="zh-CN"/>
        </w:rPr>
        <w:t>响应文件</w:t>
      </w:r>
      <w:r>
        <w:rPr>
          <w:rFonts w:hint="eastAsia" w:ascii="宋体" w:hAnsi="宋体" w:eastAsia="宋体" w:cs="宋体"/>
          <w:b/>
          <w:bCs/>
          <w:color w:val="auto"/>
          <w:szCs w:val="21"/>
          <w:highlight w:val="none"/>
        </w:rPr>
        <w:t>中列出偏离说明，无论已发生或即将发生任何情形，均视为完全符合</w:t>
      </w:r>
      <w:r>
        <w:rPr>
          <w:rFonts w:hint="eastAsia" w:ascii="宋体" w:hAnsi="宋体" w:eastAsia="宋体" w:cs="宋体"/>
          <w:b/>
          <w:bCs/>
          <w:color w:val="auto"/>
          <w:szCs w:val="21"/>
          <w:highlight w:val="none"/>
          <w:lang w:eastAsia="zh-CN"/>
        </w:rPr>
        <w:t>竞争性磋商文件</w:t>
      </w:r>
      <w:r>
        <w:rPr>
          <w:rFonts w:hint="eastAsia" w:ascii="宋体" w:hAnsi="宋体" w:eastAsia="宋体" w:cs="宋体"/>
          <w:b/>
          <w:bCs/>
          <w:color w:val="auto"/>
          <w:szCs w:val="21"/>
          <w:highlight w:val="none"/>
        </w:rPr>
        <w:t>要求，并写入合同。若中标人在合同签订前，以上述事项为借口而不履行合同签订手续及执行合同，则视作拒绝与采购人签订合同</w:t>
      </w:r>
      <w:r>
        <w:rPr>
          <w:rFonts w:hint="eastAsia" w:ascii="宋体" w:hAnsi="宋体" w:cs="宋体"/>
          <w:b/>
          <w:bCs/>
          <w:szCs w:val="21"/>
        </w:rPr>
        <w:t>。</w:t>
      </w:r>
    </w:p>
    <w:p>
      <w:pPr>
        <w:spacing w:line="480" w:lineRule="auto"/>
        <w:jc w:val="center"/>
        <w:rPr>
          <w:rFonts w:ascii="宋体" w:hAnsi="宋体" w:cs="宋体"/>
          <w:szCs w:val="21"/>
        </w:rPr>
      </w:pPr>
      <w:r>
        <w:rPr>
          <w:rFonts w:hint="eastAsia" w:ascii="宋体" w:hAnsi="宋体" w:cs="宋体"/>
          <w:szCs w:val="21"/>
        </w:rPr>
        <w:t xml:space="preserve">                        </w:t>
      </w:r>
    </w:p>
    <w:p>
      <w:pPr>
        <w:spacing w:line="480" w:lineRule="auto"/>
        <w:jc w:val="center"/>
        <w:rPr>
          <w:rFonts w:ascii="宋体" w:hAnsi="宋体" w:cs="宋体"/>
          <w:szCs w:val="21"/>
        </w:rPr>
      </w:pPr>
      <w:r>
        <w:rPr>
          <w:rFonts w:hint="eastAsia" w:ascii="宋体" w:hAnsi="宋体" w:cs="宋体"/>
          <w:szCs w:val="21"/>
        </w:rPr>
        <w:t xml:space="preserve">                         供应商（盖单位公章）</w:t>
      </w:r>
    </w:p>
    <w:p>
      <w:pPr>
        <w:spacing w:line="480" w:lineRule="auto"/>
        <w:jc w:val="center"/>
        <w:rPr>
          <w:rFonts w:ascii="宋体" w:hAnsi="宋体" w:cs="宋体"/>
          <w:sz w:val="24"/>
          <w:szCs w:val="24"/>
        </w:rPr>
      </w:pPr>
      <w:r>
        <w:rPr>
          <w:rFonts w:hint="eastAsia" w:ascii="宋体" w:hAnsi="宋体" w:cs="宋体"/>
          <w:szCs w:val="21"/>
        </w:rPr>
        <w:t xml:space="preserve">                                          法定代表人或其委托代理人（签字或盖章）</w:t>
      </w:r>
    </w:p>
    <w:p>
      <w:pPr>
        <w:pStyle w:val="15"/>
        <w:adjustRightInd w:val="0"/>
        <w:snapToGrid w:val="0"/>
        <w:spacing w:line="300" w:lineRule="auto"/>
        <w:jc w:val="center"/>
        <w:rPr>
          <w:rFonts w:ascii="宋体" w:hAnsi="宋体" w:cs="宋体"/>
          <w:sz w:val="24"/>
          <w:szCs w:val="24"/>
        </w:rPr>
      </w:pPr>
      <w:r>
        <w:rPr>
          <w:rFonts w:hint="eastAsia" w:ascii="宋体" w:hAnsi="宋体" w:cs="宋体"/>
          <w:sz w:val="24"/>
          <w:szCs w:val="24"/>
        </w:rPr>
        <w:t xml:space="preserve">                                </w:t>
      </w:r>
      <w:r>
        <w:rPr>
          <w:rFonts w:hint="eastAsia" w:ascii="宋体" w:hAnsi="宋体" w:cs="宋体"/>
          <w:bCs/>
          <w:sz w:val="21"/>
          <w:szCs w:val="21"/>
        </w:rPr>
        <w:t xml:space="preserve">    年     月     日</w:t>
      </w:r>
    </w:p>
    <w:p>
      <w:pPr>
        <w:pStyle w:val="2"/>
        <w:jc w:val="center"/>
        <w:rPr>
          <w:rFonts w:ascii="宋体" w:hAnsi="宋体" w:eastAsia="宋体" w:cs="宋体"/>
        </w:rPr>
      </w:pPr>
      <w:r>
        <w:rPr>
          <w:rFonts w:hint="eastAsia" w:ascii="宋体" w:hAnsi="宋体" w:eastAsia="宋体" w:cs="宋体"/>
          <w:sz w:val="30"/>
          <w:szCs w:val="30"/>
        </w:rPr>
        <w:br w:type="page"/>
      </w:r>
      <w:bookmarkStart w:id="164" w:name="_Toc25351"/>
      <w:r>
        <w:rPr>
          <w:rFonts w:hint="eastAsia" w:ascii="宋体" w:hAnsi="宋体" w:eastAsia="宋体" w:cs="宋体"/>
        </w:rPr>
        <w:t>四、商务条款偏离表</w:t>
      </w:r>
      <w:bookmarkEnd w:id="164"/>
    </w:p>
    <w:p>
      <w:pPr>
        <w:rPr>
          <w:rFonts w:ascii="宋体" w:hAnsi="宋体" w:cs="宋体"/>
          <w:szCs w:val="21"/>
        </w:rPr>
      </w:pPr>
    </w:p>
    <w:p>
      <w:pPr>
        <w:rPr>
          <w:rFonts w:ascii="宋体" w:hAnsi="宋体" w:cs="宋体"/>
          <w:szCs w:val="21"/>
          <w:u w:val="single"/>
        </w:rPr>
      </w:pPr>
      <w:r>
        <w:rPr>
          <w:rFonts w:hint="eastAsia" w:ascii="宋体" w:hAnsi="宋体" w:cs="宋体"/>
          <w:szCs w:val="21"/>
        </w:rPr>
        <w:t xml:space="preserve">项目名称： </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项目编号：</w:t>
      </w:r>
      <w:r>
        <w:rPr>
          <w:rFonts w:hint="eastAsia" w:ascii="宋体" w:hAnsi="宋体" w:cs="宋体"/>
          <w:i/>
          <w:iCs/>
          <w:szCs w:val="21"/>
        </w:rPr>
        <w:t xml:space="preserve"> </w:t>
      </w:r>
      <w:r>
        <w:rPr>
          <w:rFonts w:hint="eastAsia" w:ascii="宋体" w:hAnsi="宋体" w:cs="宋体"/>
          <w:szCs w:val="21"/>
          <w:u w:val="single"/>
        </w:rPr>
        <w:t xml:space="preserve">                       </w:t>
      </w:r>
    </w:p>
    <w:tbl>
      <w:tblPr>
        <w:tblStyle w:val="32"/>
        <w:tblW w:w="99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37"/>
        <w:gridCol w:w="2098"/>
        <w:gridCol w:w="2240"/>
        <w:gridCol w:w="1559"/>
        <w:gridCol w:w="1559"/>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253" w:hRule="atLeast"/>
          <w:jc w:val="center"/>
        </w:trPr>
        <w:tc>
          <w:tcPr>
            <w:tcW w:w="937" w:type="dxa"/>
            <w:tcBorders>
              <w:top w:val="single" w:color="auto" w:sz="12" w:space="0"/>
              <w:left w:val="single" w:color="auto" w:sz="12"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00" w:lineRule="auto"/>
              <w:jc w:val="center"/>
              <w:rPr>
                <w:rFonts w:ascii="宋体" w:hAnsi="宋体" w:cs="宋体"/>
                <w:szCs w:val="21"/>
              </w:rPr>
            </w:pPr>
            <w:r>
              <w:rPr>
                <w:rFonts w:hint="eastAsia" w:ascii="宋体" w:hAnsi="宋体" w:cs="宋体"/>
                <w:szCs w:val="21"/>
              </w:rPr>
              <w:t>竞争性磋商文件条目号</w:t>
            </w:r>
          </w:p>
        </w:tc>
        <w:tc>
          <w:tcPr>
            <w:tcW w:w="2098" w:type="dxa"/>
            <w:tcBorders>
              <w:top w:val="single" w:color="auto" w:sz="12"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00" w:lineRule="auto"/>
              <w:jc w:val="center"/>
              <w:rPr>
                <w:rFonts w:ascii="宋体" w:hAnsi="宋体" w:cs="宋体"/>
                <w:szCs w:val="21"/>
              </w:rPr>
            </w:pPr>
            <w:r>
              <w:rPr>
                <w:rFonts w:hint="eastAsia" w:ascii="宋体" w:hAnsi="宋体" w:cs="宋体"/>
                <w:szCs w:val="21"/>
              </w:rPr>
              <w:t>竞争性磋商文件条目</w:t>
            </w:r>
          </w:p>
        </w:tc>
        <w:tc>
          <w:tcPr>
            <w:tcW w:w="2240" w:type="dxa"/>
            <w:tcBorders>
              <w:top w:val="single" w:color="auto" w:sz="12"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00" w:lineRule="auto"/>
              <w:jc w:val="center"/>
              <w:rPr>
                <w:rFonts w:ascii="宋体" w:hAnsi="宋体" w:cs="宋体"/>
                <w:szCs w:val="21"/>
              </w:rPr>
            </w:pPr>
            <w:r>
              <w:rPr>
                <w:rFonts w:hint="eastAsia" w:ascii="宋体" w:hAnsi="宋体" w:cs="宋体"/>
                <w:szCs w:val="21"/>
              </w:rPr>
              <w:t>竞争性磋商文件商务、合同条款内容</w:t>
            </w:r>
          </w:p>
        </w:tc>
        <w:tc>
          <w:tcPr>
            <w:tcW w:w="1559" w:type="dxa"/>
            <w:tcBorders>
              <w:top w:val="single" w:color="auto" w:sz="12" w:space="0"/>
              <w:left w:val="single" w:color="auto" w:sz="6" w:space="0"/>
              <w:bottom w:val="single" w:color="auto" w:sz="6" w:space="0"/>
              <w:right w:val="single" w:color="auto" w:sz="6" w:space="0"/>
            </w:tcBorders>
            <w:vAlign w:val="center"/>
          </w:tcPr>
          <w:p>
            <w:pPr>
              <w:spacing w:line="440" w:lineRule="atLeast"/>
              <w:jc w:val="center"/>
              <w:rPr>
                <w:rFonts w:ascii="宋体" w:hAnsi="宋体" w:cs="宋体"/>
                <w:szCs w:val="21"/>
              </w:rPr>
            </w:pPr>
            <w:r>
              <w:rPr>
                <w:rFonts w:hint="eastAsia" w:ascii="宋体" w:hAnsi="宋体" w:cs="宋体"/>
                <w:szCs w:val="21"/>
              </w:rPr>
              <w:t>完全响应</w:t>
            </w:r>
          </w:p>
        </w:tc>
        <w:tc>
          <w:tcPr>
            <w:tcW w:w="1559" w:type="dxa"/>
            <w:tcBorders>
              <w:top w:val="single" w:color="auto" w:sz="12" w:space="0"/>
              <w:left w:val="single" w:color="auto" w:sz="6" w:space="0"/>
              <w:bottom w:val="single" w:color="auto" w:sz="6" w:space="0"/>
              <w:right w:val="single" w:color="auto" w:sz="6" w:space="0"/>
            </w:tcBorders>
            <w:vAlign w:val="center"/>
          </w:tcPr>
          <w:p>
            <w:pPr>
              <w:spacing w:line="440" w:lineRule="atLeast"/>
              <w:jc w:val="center"/>
              <w:rPr>
                <w:rFonts w:ascii="宋体" w:hAnsi="宋体" w:cs="宋体"/>
                <w:szCs w:val="21"/>
              </w:rPr>
            </w:pPr>
            <w:r>
              <w:rPr>
                <w:rFonts w:hint="eastAsia" w:ascii="宋体" w:hAnsi="宋体" w:cs="宋体"/>
                <w:szCs w:val="21"/>
              </w:rPr>
              <w:t>有偏离</w:t>
            </w:r>
          </w:p>
        </w:tc>
        <w:tc>
          <w:tcPr>
            <w:tcW w:w="1559" w:type="dxa"/>
            <w:tcBorders>
              <w:top w:val="single" w:color="auto" w:sz="12" w:space="0"/>
              <w:left w:val="single" w:color="auto" w:sz="6" w:space="0"/>
              <w:bottom w:val="single" w:color="auto" w:sz="6" w:space="0"/>
              <w:right w:val="single" w:color="auto" w:sz="12" w:space="0"/>
            </w:tcBorders>
            <w:tcMar>
              <w:top w:w="15" w:type="dxa"/>
              <w:left w:w="15" w:type="dxa"/>
              <w:bottom w:w="0" w:type="dxa"/>
              <w:right w:w="15" w:type="dxa"/>
            </w:tcMar>
            <w:vAlign w:val="center"/>
          </w:tcPr>
          <w:p>
            <w:pPr>
              <w:spacing w:line="440" w:lineRule="atLeast"/>
              <w:jc w:val="center"/>
              <w:rPr>
                <w:rFonts w:ascii="宋体" w:hAnsi="宋体" w:cs="宋体"/>
                <w:szCs w:val="21"/>
              </w:rPr>
            </w:pPr>
            <w:r>
              <w:rPr>
                <w:rFonts w:hint="eastAsia" w:ascii="宋体" w:hAnsi="宋体" w:cs="宋体"/>
                <w:szCs w:val="21"/>
              </w:rPr>
              <w:t>偏离描述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46" w:hRule="atLeast"/>
          <w:jc w:val="center"/>
        </w:trPr>
        <w:tc>
          <w:tcPr>
            <w:tcW w:w="937" w:type="dxa"/>
            <w:tcBorders>
              <w:top w:val="single" w:color="auto" w:sz="6" w:space="0"/>
              <w:left w:val="single" w:color="auto" w:sz="12"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00" w:lineRule="auto"/>
              <w:jc w:val="center"/>
              <w:rPr>
                <w:rFonts w:ascii="宋体" w:hAnsi="宋体" w:cs="宋体"/>
                <w:szCs w:val="21"/>
              </w:rPr>
            </w:pPr>
            <w:r>
              <w:rPr>
                <w:rFonts w:hint="eastAsia" w:ascii="宋体" w:hAnsi="宋体" w:cs="宋体"/>
                <w:szCs w:val="21"/>
              </w:rPr>
              <w:t>1</w:t>
            </w:r>
          </w:p>
        </w:tc>
        <w:tc>
          <w:tcPr>
            <w:tcW w:w="2098"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宋体" w:hAnsi="宋体" w:cs="宋体"/>
                <w:szCs w:val="21"/>
              </w:rPr>
            </w:pPr>
          </w:p>
        </w:tc>
        <w:tc>
          <w:tcPr>
            <w:tcW w:w="22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12" w:space="0"/>
            </w:tcBorders>
            <w:tcMar>
              <w:top w:w="15" w:type="dxa"/>
              <w:left w:w="15" w:type="dxa"/>
              <w:bottom w:w="0" w:type="dxa"/>
              <w:right w:w="15" w:type="dxa"/>
            </w:tcMar>
          </w:tcPr>
          <w:p>
            <w:pPr>
              <w:adjustRightInd w:val="0"/>
              <w:snapToGrid w:val="0"/>
              <w:spacing w:line="30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12" w:hRule="atLeast"/>
          <w:jc w:val="center"/>
        </w:trPr>
        <w:tc>
          <w:tcPr>
            <w:tcW w:w="937" w:type="dxa"/>
            <w:tcBorders>
              <w:top w:val="single" w:color="auto" w:sz="6" w:space="0"/>
              <w:left w:val="single" w:color="auto" w:sz="12"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00" w:lineRule="auto"/>
              <w:jc w:val="center"/>
              <w:rPr>
                <w:rFonts w:ascii="宋体" w:hAnsi="宋体" w:cs="宋体"/>
                <w:szCs w:val="21"/>
              </w:rPr>
            </w:pPr>
            <w:r>
              <w:rPr>
                <w:rFonts w:hint="eastAsia" w:ascii="宋体" w:hAnsi="宋体" w:cs="宋体"/>
                <w:szCs w:val="21"/>
              </w:rPr>
              <w:t>2</w:t>
            </w:r>
          </w:p>
        </w:tc>
        <w:tc>
          <w:tcPr>
            <w:tcW w:w="2098"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宋体" w:hAnsi="宋体" w:cs="宋体"/>
                <w:szCs w:val="21"/>
              </w:rPr>
            </w:pPr>
          </w:p>
        </w:tc>
        <w:tc>
          <w:tcPr>
            <w:tcW w:w="22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12" w:space="0"/>
            </w:tcBorders>
            <w:tcMar>
              <w:top w:w="15" w:type="dxa"/>
              <w:left w:w="15" w:type="dxa"/>
              <w:bottom w:w="0" w:type="dxa"/>
              <w:right w:w="15" w:type="dxa"/>
            </w:tcMar>
          </w:tcPr>
          <w:p>
            <w:pPr>
              <w:adjustRightInd w:val="0"/>
              <w:snapToGrid w:val="0"/>
              <w:spacing w:line="30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18" w:hRule="atLeast"/>
          <w:jc w:val="center"/>
        </w:trPr>
        <w:tc>
          <w:tcPr>
            <w:tcW w:w="937" w:type="dxa"/>
            <w:tcBorders>
              <w:top w:val="single" w:color="auto" w:sz="6" w:space="0"/>
              <w:left w:val="single" w:color="auto" w:sz="12"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00" w:lineRule="auto"/>
              <w:jc w:val="center"/>
              <w:rPr>
                <w:rFonts w:ascii="宋体" w:hAnsi="宋体" w:cs="宋体"/>
                <w:szCs w:val="21"/>
              </w:rPr>
            </w:pPr>
            <w:r>
              <w:rPr>
                <w:rFonts w:hint="eastAsia" w:ascii="宋体" w:hAnsi="宋体" w:cs="宋体"/>
                <w:szCs w:val="21"/>
              </w:rPr>
              <w:t>3</w:t>
            </w:r>
          </w:p>
        </w:tc>
        <w:tc>
          <w:tcPr>
            <w:tcW w:w="2098"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left"/>
              <w:rPr>
                <w:rFonts w:ascii="宋体" w:hAnsi="宋体" w:cs="宋体"/>
                <w:szCs w:val="21"/>
              </w:rPr>
            </w:pPr>
          </w:p>
        </w:tc>
        <w:tc>
          <w:tcPr>
            <w:tcW w:w="22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12" w:space="0"/>
            </w:tcBorders>
            <w:tcMar>
              <w:top w:w="15" w:type="dxa"/>
              <w:left w:w="15" w:type="dxa"/>
              <w:bottom w:w="0" w:type="dxa"/>
              <w:right w:w="15" w:type="dxa"/>
            </w:tcMar>
            <w:vAlign w:val="center"/>
          </w:tcPr>
          <w:p>
            <w:pPr>
              <w:adjustRightInd w:val="0"/>
              <w:snapToGrid w:val="0"/>
              <w:spacing w:line="30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54" w:hRule="atLeast"/>
          <w:jc w:val="center"/>
        </w:trPr>
        <w:tc>
          <w:tcPr>
            <w:tcW w:w="937" w:type="dxa"/>
            <w:tcBorders>
              <w:top w:val="single" w:color="auto" w:sz="6" w:space="0"/>
              <w:left w:val="single" w:color="auto" w:sz="12"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00" w:lineRule="auto"/>
              <w:jc w:val="center"/>
              <w:rPr>
                <w:rFonts w:ascii="宋体" w:hAnsi="宋体" w:cs="宋体"/>
                <w:szCs w:val="21"/>
              </w:rPr>
            </w:pPr>
            <w:r>
              <w:rPr>
                <w:rFonts w:hint="eastAsia" w:ascii="宋体" w:hAnsi="宋体" w:cs="宋体"/>
                <w:szCs w:val="21"/>
              </w:rPr>
              <w:t>4</w:t>
            </w:r>
          </w:p>
        </w:tc>
        <w:tc>
          <w:tcPr>
            <w:tcW w:w="2098"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宋体" w:hAnsi="宋体" w:cs="宋体"/>
                <w:szCs w:val="21"/>
              </w:rPr>
            </w:pPr>
          </w:p>
        </w:tc>
        <w:tc>
          <w:tcPr>
            <w:tcW w:w="22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12" w:space="0"/>
            </w:tcBorders>
            <w:tcMar>
              <w:top w:w="15" w:type="dxa"/>
              <w:left w:w="15" w:type="dxa"/>
              <w:bottom w:w="0" w:type="dxa"/>
              <w:right w:w="15" w:type="dxa"/>
            </w:tcMar>
            <w:vAlign w:val="center"/>
          </w:tcPr>
          <w:p>
            <w:pPr>
              <w:adjustRightInd w:val="0"/>
              <w:snapToGrid w:val="0"/>
              <w:spacing w:line="30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34" w:hRule="atLeast"/>
          <w:jc w:val="center"/>
        </w:trPr>
        <w:tc>
          <w:tcPr>
            <w:tcW w:w="937" w:type="dxa"/>
            <w:tcBorders>
              <w:top w:val="single" w:color="auto" w:sz="6" w:space="0"/>
              <w:left w:val="single" w:color="auto" w:sz="12"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300" w:lineRule="auto"/>
              <w:jc w:val="center"/>
              <w:rPr>
                <w:rFonts w:ascii="宋体" w:hAnsi="宋体" w:cs="宋体"/>
                <w:szCs w:val="21"/>
              </w:rPr>
            </w:pPr>
            <w:r>
              <w:rPr>
                <w:rFonts w:hint="eastAsia" w:ascii="宋体" w:hAnsi="宋体" w:cs="宋体"/>
                <w:szCs w:val="21"/>
              </w:rPr>
              <w:t>5</w:t>
            </w:r>
          </w:p>
        </w:tc>
        <w:tc>
          <w:tcPr>
            <w:tcW w:w="2098"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jc w:val="left"/>
              <w:rPr>
                <w:rFonts w:ascii="宋体" w:hAnsi="宋体" w:cs="宋体"/>
                <w:szCs w:val="21"/>
              </w:rPr>
            </w:pPr>
          </w:p>
        </w:tc>
        <w:tc>
          <w:tcPr>
            <w:tcW w:w="22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6" w:space="0"/>
              <w:right w:val="single" w:color="auto" w:sz="12" w:space="0"/>
            </w:tcBorders>
            <w:tcMar>
              <w:top w:w="15" w:type="dxa"/>
              <w:left w:w="15" w:type="dxa"/>
              <w:bottom w:w="0" w:type="dxa"/>
              <w:right w:w="15" w:type="dxa"/>
            </w:tcMar>
            <w:vAlign w:val="center"/>
          </w:tcPr>
          <w:p>
            <w:pPr>
              <w:adjustRightInd w:val="0"/>
              <w:snapToGrid w:val="0"/>
              <w:spacing w:line="30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29" w:hRule="atLeast"/>
          <w:jc w:val="center"/>
        </w:trPr>
        <w:tc>
          <w:tcPr>
            <w:tcW w:w="937" w:type="dxa"/>
            <w:tcBorders>
              <w:top w:val="single" w:color="auto" w:sz="6" w:space="0"/>
              <w:left w:val="single" w:color="auto" w:sz="12" w:space="0"/>
              <w:bottom w:val="single" w:color="auto" w:sz="12" w:space="0"/>
              <w:right w:val="single" w:color="auto" w:sz="6" w:space="0"/>
            </w:tcBorders>
            <w:tcMar>
              <w:top w:w="15" w:type="dxa"/>
              <w:left w:w="15" w:type="dxa"/>
              <w:bottom w:w="0" w:type="dxa"/>
              <w:right w:w="15" w:type="dxa"/>
            </w:tcMar>
            <w:vAlign w:val="center"/>
          </w:tcPr>
          <w:p>
            <w:pPr>
              <w:adjustRightInd w:val="0"/>
              <w:snapToGrid w:val="0"/>
              <w:spacing w:line="300" w:lineRule="auto"/>
              <w:jc w:val="center"/>
              <w:rPr>
                <w:rFonts w:ascii="宋体" w:hAnsi="宋体" w:cs="宋体"/>
                <w:szCs w:val="21"/>
              </w:rPr>
            </w:pPr>
            <w:r>
              <w:rPr>
                <w:rFonts w:hint="eastAsia" w:ascii="宋体" w:hAnsi="宋体" w:cs="宋体"/>
                <w:szCs w:val="21"/>
              </w:rPr>
              <w:t>6</w:t>
            </w:r>
          </w:p>
        </w:tc>
        <w:tc>
          <w:tcPr>
            <w:tcW w:w="2098" w:type="dxa"/>
            <w:tcBorders>
              <w:top w:val="single" w:color="auto" w:sz="6" w:space="0"/>
              <w:left w:val="single" w:color="auto" w:sz="6" w:space="0"/>
              <w:bottom w:val="single" w:color="auto" w:sz="12" w:space="0"/>
              <w:right w:val="single" w:color="auto" w:sz="6" w:space="0"/>
            </w:tcBorders>
            <w:tcMar>
              <w:top w:w="15" w:type="dxa"/>
              <w:left w:w="15" w:type="dxa"/>
              <w:bottom w:w="0" w:type="dxa"/>
              <w:right w:w="15" w:type="dxa"/>
            </w:tcMar>
            <w:vAlign w:val="center"/>
          </w:tcPr>
          <w:p>
            <w:pPr>
              <w:rPr>
                <w:rFonts w:ascii="宋体" w:hAnsi="宋体" w:cs="宋体"/>
                <w:szCs w:val="21"/>
              </w:rPr>
            </w:pPr>
          </w:p>
        </w:tc>
        <w:tc>
          <w:tcPr>
            <w:tcW w:w="2240" w:type="dxa"/>
            <w:tcBorders>
              <w:top w:val="single" w:color="auto" w:sz="6" w:space="0"/>
              <w:left w:val="single" w:color="auto" w:sz="6" w:space="0"/>
              <w:bottom w:val="single" w:color="auto" w:sz="12" w:space="0"/>
              <w:right w:val="single" w:color="auto" w:sz="6" w:space="0"/>
            </w:tcBorders>
            <w:tcMar>
              <w:top w:w="15" w:type="dxa"/>
              <w:left w:w="15" w:type="dxa"/>
              <w:bottom w:w="0" w:type="dxa"/>
              <w:right w:w="15" w:type="dxa"/>
            </w:tcMar>
            <w:vAlign w:val="center"/>
          </w:tcPr>
          <w:p>
            <w:pPr>
              <w:spacing w:line="360" w:lineRule="auto"/>
              <w:rPr>
                <w:rFonts w:ascii="宋体" w:hAnsi="宋体" w:cs="宋体"/>
                <w:szCs w:val="21"/>
              </w:rPr>
            </w:pPr>
          </w:p>
        </w:tc>
        <w:tc>
          <w:tcPr>
            <w:tcW w:w="1559" w:type="dxa"/>
            <w:tcBorders>
              <w:top w:val="single" w:color="auto" w:sz="6" w:space="0"/>
              <w:left w:val="single" w:color="auto" w:sz="6" w:space="0"/>
              <w:bottom w:val="single" w:color="auto" w:sz="12"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12" w:space="0"/>
              <w:right w:val="single" w:color="auto" w:sz="6" w:space="0"/>
            </w:tcBorders>
          </w:tcPr>
          <w:p>
            <w:pPr>
              <w:adjustRightInd w:val="0"/>
              <w:snapToGrid w:val="0"/>
              <w:spacing w:line="300" w:lineRule="auto"/>
              <w:rPr>
                <w:rFonts w:ascii="宋体" w:hAnsi="宋体" w:cs="宋体"/>
                <w:szCs w:val="21"/>
              </w:rPr>
            </w:pPr>
          </w:p>
        </w:tc>
        <w:tc>
          <w:tcPr>
            <w:tcW w:w="1559" w:type="dxa"/>
            <w:tcBorders>
              <w:top w:val="single" w:color="auto" w:sz="6" w:space="0"/>
              <w:left w:val="single" w:color="auto" w:sz="6" w:space="0"/>
              <w:bottom w:val="single" w:color="auto" w:sz="12" w:space="0"/>
              <w:right w:val="single" w:color="auto" w:sz="12" w:space="0"/>
            </w:tcBorders>
            <w:tcMar>
              <w:top w:w="15" w:type="dxa"/>
              <w:left w:w="15" w:type="dxa"/>
              <w:bottom w:w="0" w:type="dxa"/>
              <w:right w:w="15" w:type="dxa"/>
            </w:tcMar>
            <w:vAlign w:val="center"/>
          </w:tcPr>
          <w:p>
            <w:pPr>
              <w:adjustRightInd w:val="0"/>
              <w:snapToGrid w:val="0"/>
              <w:spacing w:line="300" w:lineRule="auto"/>
              <w:rPr>
                <w:rFonts w:ascii="宋体" w:hAnsi="宋体" w:cs="宋体"/>
                <w:szCs w:val="21"/>
              </w:rPr>
            </w:pPr>
          </w:p>
        </w:tc>
      </w:tr>
    </w:tbl>
    <w:p>
      <w:pPr>
        <w:pStyle w:val="15"/>
        <w:spacing w:after="0"/>
        <w:rPr>
          <w:rFonts w:ascii="宋体" w:hAnsi="宋体" w:cs="宋体"/>
          <w:b/>
          <w:bCs/>
          <w:szCs w:val="21"/>
        </w:rPr>
      </w:pPr>
      <w:r>
        <w:rPr>
          <w:rFonts w:hint="eastAsia" w:ascii="宋体" w:hAnsi="宋体" w:cs="宋体"/>
          <w:b/>
          <w:bCs/>
          <w:szCs w:val="21"/>
        </w:rPr>
        <w:t>注：</w:t>
      </w:r>
    </w:p>
    <w:p>
      <w:pPr>
        <w:pStyle w:val="15"/>
        <w:spacing w:after="0"/>
        <w:rPr>
          <w:rFonts w:ascii="宋体" w:hAnsi="宋体" w:cs="宋体"/>
          <w:b/>
          <w:bCs/>
          <w:szCs w:val="21"/>
        </w:rPr>
      </w:pPr>
      <w:r>
        <w:rPr>
          <w:rFonts w:hint="eastAsia" w:ascii="宋体" w:hAnsi="宋体" w:cs="宋体"/>
          <w:b/>
          <w:bCs/>
          <w:szCs w:val="21"/>
        </w:rPr>
        <w:t>1、</w:t>
      </w:r>
      <w:r>
        <w:rPr>
          <w:rFonts w:hint="eastAsia" w:ascii="宋体" w:hAnsi="宋体" w:cs="宋体"/>
          <w:b/>
          <w:bCs/>
          <w:szCs w:val="21"/>
        </w:rPr>
        <w:tab/>
      </w:r>
      <w:r>
        <w:rPr>
          <w:rFonts w:hint="eastAsia" w:ascii="宋体" w:hAnsi="宋体" w:cs="宋体"/>
          <w:b/>
          <w:bCs/>
          <w:szCs w:val="21"/>
        </w:rPr>
        <w:t>供应商根据本竞争性磋商文件的供应商须知及合同条款填写本表；</w:t>
      </w:r>
    </w:p>
    <w:p>
      <w:pPr>
        <w:pStyle w:val="15"/>
        <w:spacing w:after="0"/>
        <w:rPr>
          <w:rFonts w:ascii="宋体" w:hAnsi="宋体" w:cs="宋体"/>
          <w:b/>
          <w:bCs/>
          <w:szCs w:val="21"/>
        </w:rPr>
      </w:pPr>
      <w:r>
        <w:rPr>
          <w:rFonts w:hint="eastAsia" w:ascii="宋体" w:hAnsi="宋体" w:cs="宋体"/>
          <w:b/>
          <w:bCs/>
          <w:szCs w:val="21"/>
        </w:rPr>
        <w:t>2、</w:t>
      </w:r>
      <w:r>
        <w:rPr>
          <w:rFonts w:hint="eastAsia" w:ascii="宋体" w:hAnsi="宋体" w:cs="宋体"/>
          <w:b/>
          <w:bCs/>
          <w:szCs w:val="21"/>
        </w:rPr>
        <w:tab/>
      </w:r>
      <w:r>
        <w:rPr>
          <w:rFonts w:hint="eastAsia" w:ascii="宋体" w:hAnsi="宋体" w:cs="宋体"/>
          <w:b/>
          <w:bCs/>
          <w:szCs w:val="21"/>
        </w:rPr>
        <w:t>对完全响应的条目在本表相应列中标注“√”。对有偏离的条目在本表相应列中标注“正偏离”或“负偏离”。仅可在“完全响应”及“有偏离”中选一标注，同时，当且仅当选取“有偏离”栏中加以标注后，才能在“偏离简述”栏中加以说明。</w:t>
      </w:r>
    </w:p>
    <w:p>
      <w:pPr>
        <w:pStyle w:val="15"/>
        <w:spacing w:after="0"/>
        <w:rPr>
          <w:rFonts w:ascii="宋体" w:hAnsi="宋体" w:cs="宋体"/>
          <w:b/>
          <w:bCs/>
          <w:szCs w:val="21"/>
        </w:rPr>
      </w:pPr>
      <w:r>
        <w:rPr>
          <w:rFonts w:hint="eastAsia" w:ascii="宋体" w:hAnsi="宋体" w:cs="宋体"/>
          <w:b/>
          <w:bCs/>
          <w:szCs w:val="21"/>
        </w:rPr>
        <w:t>3、</w:t>
      </w:r>
      <w:r>
        <w:rPr>
          <w:rFonts w:hint="eastAsia" w:ascii="宋体" w:hAnsi="宋体" w:cs="宋体"/>
          <w:b/>
          <w:bCs/>
          <w:szCs w:val="21"/>
        </w:rPr>
        <w:tab/>
      </w:r>
      <w:r>
        <w:rPr>
          <w:rFonts w:hint="eastAsia" w:ascii="宋体" w:hAnsi="宋体" w:cs="宋体"/>
          <w:b/>
          <w:bCs/>
          <w:szCs w:val="21"/>
        </w:rPr>
        <w:t>正偏离是指应答的条件高于竞争性磋商文件要求，负偏离是指应答的条件低于竞争性磋商文件要求，正偏离项目不作扣分处理。</w:t>
      </w:r>
    </w:p>
    <w:p>
      <w:pPr>
        <w:pStyle w:val="15"/>
        <w:spacing w:after="0"/>
        <w:rPr>
          <w:rFonts w:ascii="宋体" w:hAnsi="宋体" w:cs="宋体"/>
          <w:b/>
          <w:bCs/>
          <w:szCs w:val="21"/>
        </w:rPr>
      </w:pPr>
      <w:r>
        <w:rPr>
          <w:rFonts w:hint="eastAsia" w:ascii="宋体" w:hAnsi="宋体" w:cs="宋体"/>
          <w:b/>
          <w:bCs/>
          <w:szCs w:val="21"/>
        </w:rPr>
        <w:t>4、</w:t>
      </w:r>
      <w:r>
        <w:rPr>
          <w:rFonts w:hint="eastAsia" w:ascii="宋体" w:hAnsi="宋体" w:cs="宋体"/>
          <w:b/>
          <w:bCs/>
          <w:szCs w:val="21"/>
        </w:rPr>
        <w:tab/>
      </w:r>
      <w:r>
        <w:rPr>
          <w:rFonts w:hint="eastAsia" w:ascii="宋体" w:hAnsi="宋体" w:cs="宋体"/>
          <w:b/>
          <w:bCs/>
          <w:szCs w:val="21"/>
        </w:rPr>
        <w:t>供应商须完整填写响应表。如果未完整填写本表的各项内容则视作供应商已经对竞争性磋商文件相关要求和内容完全理解并同意，其投标报价为在此基础上的完全价格。</w:t>
      </w:r>
    </w:p>
    <w:p>
      <w:pPr>
        <w:pStyle w:val="15"/>
        <w:spacing w:after="0"/>
        <w:rPr>
          <w:rFonts w:ascii="宋体" w:hAnsi="宋体" w:cs="宋体"/>
          <w:b/>
          <w:bCs/>
          <w:szCs w:val="21"/>
        </w:rPr>
      </w:pPr>
      <w:r>
        <w:rPr>
          <w:rFonts w:hint="eastAsia" w:ascii="宋体" w:hAnsi="宋体" w:cs="宋体"/>
          <w:b/>
          <w:bCs/>
          <w:sz w:val="21"/>
          <w:szCs w:val="21"/>
        </w:rPr>
        <w:t>5、</w:t>
      </w:r>
      <w:r>
        <w:rPr>
          <w:rFonts w:hint="eastAsia" w:ascii="宋体" w:hAnsi="宋体" w:cs="宋体"/>
          <w:b/>
          <w:bCs/>
          <w:sz w:val="21"/>
          <w:szCs w:val="21"/>
        </w:rPr>
        <w:tab/>
      </w:r>
      <w:r>
        <w:rPr>
          <w:rFonts w:hint="eastAsia" w:ascii="宋体" w:hAnsi="宋体" w:cs="宋体"/>
          <w:b/>
          <w:bCs/>
          <w:szCs w:val="21"/>
        </w:rPr>
        <w:t>在买方与中标人签订合同时，如中标人未在响应文件“响应表”中列出偏离说明，无论已发生或即将发生任何情形，均视为完全符合竞争性磋商文件要求，并写入合同。若中标人在合同签订前，以上述事项为借口而不履行合同签订手续及执行合同，则视作拒绝与采购人签订合同。</w:t>
      </w:r>
    </w:p>
    <w:p>
      <w:pPr>
        <w:pStyle w:val="15"/>
        <w:adjustRightInd w:val="0"/>
        <w:snapToGrid w:val="0"/>
        <w:spacing w:line="300" w:lineRule="auto"/>
        <w:jc w:val="right"/>
        <w:rPr>
          <w:rFonts w:ascii="宋体" w:hAnsi="宋体" w:cs="宋体"/>
          <w:sz w:val="21"/>
          <w:szCs w:val="21"/>
        </w:rPr>
      </w:pPr>
      <w:r>
        <w:rPr>
          <w:rFonts w:hint="eastAsia" w:ascii="宋体" w:hAnsi="宋体" w:cs="宋体"/>
          <w:b/>
          <w:bCs/>
          <w:sz w:val="21"/>
          <w:szCs w:val="21"/>
        </w:rPr>
        <w:t xml:space="preserve"> </w:t>
      </w:r>
    </w:p>
    <w:p>
      <w:pPr>
        <w:pStyle w:val="15"/>
        <w:adjustRightInd w:val="0"/>
        <w:snapToGrid w:val="0"/>
        <w:spacing w:line="300" w:lineRule="auto"/>
        <w:jc w:val="center"/>
        <w:rPr>
          <w:rFonts w:ascii="宋体" w:hAnsi="宋体" w:cs="宋体"/>
          <w:bCs/>
          <w:sz w:val="21"/>
          <w:szCs w:val="21"/>
        </w:rPr>
      </w:pPr>
      <w:r>
        <w:rPr>
          <w:rFonts w:hint="eastAsia" w:ascii="宋体" w:hAnsi="宋体" w:cs="宋体"/>
          <w:b/>
          <w:bCs/>
          <w:sz w:val="21"/>
          <w:szCs w:val="21"/>
        </w:rPr>
        <w:t xml:space="preserve">                       </w:t>
      </w:r>
      <w:r>
        <w:rPr>
          <w:rFonts w:hint="eastAsia" w:ascii="宋体" w:hAnsi="宋体" w:cs="宋体"/>
          <w:bCs/>
          <w:sz w:val="21"/>
          <w:szCs w:val="21"/>
        </w:rPr>
        <w:t xml:space="preserve">   供应商（盖单位公章）</w:t>
      </w:r>
    </w:p>
    <w:p>
      <w:pPr>
        <w:pStyle w:val="15"/>
        <w:adjustRightInd w:val="0"/>
        <w:snapToGrid w:val="0"/>
        <w:spacing w:line="300" w:lineRule="auto"/>
        <w:rPr>
          <w:rFonts w:ascii="宋体" w:hAnsi="宋体" w:cs="宋体"/>
          <w:bCs/>
          <w:sz w:val="21"/>
          <w:szCs w:val="21"/>
        </w:rPr>
      </w:pPr>
    </w:p>
    <w:p>
      <w:pPr>
        <w:pStyle w:val="15"/>
        <w:adjustRightInd w:val="0"/>
        <w:snapToGrid w:val="0"/>
        <w:spacing w:line="300" w:lineRule="auto"/>
        <w:rPr>
          <w:rFonts w:ascii="宋体" w:hAnsi="宋体" w:cs="宋体"/>
          <w:bCs/>
          <w:sz w:val="21"/>
          <w:szCs w:val="21"/>
        </w:rPr>
      </w:pPr>
      <w:r>
        <w:rPr>
          <w:rFonts w:hint="eastAsia" w:ascii="宋体" w:hAnsi="宋体" w:cs="宋体"/>
          <w:bCs/>
          <w:sz w:val="21"/>
          <w:szCs w:val="21"/>
        </w:rPr>
        <w:t xml:space="preserve">                                          法定代表人或其委托代理人（签字或盖章）</w:t>
      </w:r>
    </w:p>
    <w:p>
      <w:pPr>
        <w:pStyle w:val="15"/>
        <w:adjustRightInd w:val="0"/>
        <w:snapToGrid w:val="0"/>
        <w:spacing w:line="300" w:lineRule="auto"/>
        <w:jc w:val="right"/>
        <w:rPr>
          <w:rFonts w:ascii="宋体" w:hAnsi="宋体" w:cs="宋体"/>
          <w:bCs/>
          <w:sz w:val="21"/>
          <w:szCs w:val="21"/>
        </w:rPr>
      </w:pPr>
    </w:p>
    <w:p>
      <w:pPr>
        <w:pStyle w:val="15"/>
        <w:adjustRightInd w:val="0"/>
        <w:snapToGrid w:val="0"/>
        <w:spacing w:line="300" w:lineRule="auto"/>
        <w:jc w:val="center"/>
        <w:rPr>
          <w:rFonts w:ascii="宋体" w:hAnsi="宋体" w:cs="宋体"/>
          <w:bCs/>
          <w:sz w:val="21"/>
          <w:szCs w:val="21"/>
        </w:rPr>
      </w:pPr>
      <w:r>
        <w:rPr>
          <w:rFonts w:hint="eastAsia" w:ascii="宋体" w:hAnsi="宋体" w:cs="宋体"/>
          <w:bCs/>
          <w:sz w:val="21"/>
          <w:szCs w:val="21"/>
        </w:rPr>
        <w:t xml:space="preserve">                                         年     月     日</w:t>
      </w:r>
    </w:p>
    <w:p>
      <w:pPr>
        <w:pStyle w:val="15"/>
        <w:adjustRightInd w:val="0"/>
        <w:snapToGrid w:val="0"/>
        <w:spacing w:line="300" w:lineRule="auto"/>
        <w:rPr>
          <w:rFonts w:ascii="宋体" w:hAnsi="宋体" w:cs="宋体"/>
          <w:b/>
          <w:bCs/>
          <w:sz w:val="24"/>
          <w:szCs w:val="24"/>
        </w:rPr>
      </w:pPr>
      <w:r>
        <w:rPr>
          <w:rFonts w:hint="eastAsia" w:ascii="宋体" w:hAnsi="宋体" w:cs="宋体"/>
          <w:b/>
          <w:bCs/>
          <w:sz w:val="24"/>
          <w:szCs w:val="24"/>
        </w:rPr>
        <w:t xml:space="preserve"> </w:t>
      </w:r>
    </w:p>
    <w:p>
      <w:pPr>
        <w:pStyle w:val="2"/>
        <w:jc w:val="center"/>
        <w:rPr>
          <w:rFonts w:ascii="宋体" w:hAnsi="宋体" w:eastAsia="宋体" w:cs="宋体"/>
          <w:b w:val="0"/>
          <w:bCs w:val="0"/>
          <w:sz w:val="24"/>
          <w:szCs w:val="24"/>
        </w:rPr>
        <w:sectPr>
          <w:pgSz w:w="11906" w:h="16838"/>
          <w:pgMar w:top="1276" w:right="991" w:bottom="1247" w:left="964" w:header="1134" w:footer="851" w:gutter="170"/>
          <w:cols w:space="720" w:num="1"/>
          <w:titlePg/>
          <w:docGrid w:type="linesAndChars" w:linePitch="328" w:charSpace="0"/>
        </w:sectPr>
      </w:pPr>
      <w:r>
        <w:rPr>
          <w:rFonts w:hint="eastAsia" w:ascii="宋体" w:hAnsi="宋体" w:eastAsia="宋体" w:cs="宋体"/>
          <w:b w:val="0"/>
          <w:bCs w:val="0"/>
          <w:sz w:val="24"/>
          <w:szCs w:val="24"/>
        </w:rPr>
        <w:br w:type="page"/>
      </w:r>
      <w:bookmarkStart w:id="165" w:name="_Toc29506"/>
    </w:p>
    <w:p>
      <w:pPr>
        <w:pStyle w:val="2"/>
        <w:jc w:val="center"/>
        <w:rPr>
          <w:rFonts w:ascii="宋体" w:hAnsi="宋体" w:eastAsia="宋体" w:cs="宋体"/>
        </w:rPr>
      </w:pPr>
      <w:r>
        <w:rPr>
          <w:rFonts w:hint="eastAsia" w:ascii="宋体" w:hAnsi="宋体" w:eastAsia="宋体" w:cs="宋体"/>
        </w:rPr>
        <w:t>五、分项报价表</w:t>
      </w:r>
    </w:p>
    <w:p>
      <w:pPr>
        <w:spacing w:line="288" w:lineRule="auto"/>
        <w:ind w:right="420"/>
        <w:rPr>
          <w:rFonts w:asciiTheme="minorEastAsia" w:hAnsiTheme="minorEastAsia" w:eastAsiaTheme="minorEastAsia"/>
          <w:szCs w:val="21"/>
        </w:rPr>
      </w:pPr>
      <w:r>
        <w:rPr>
          <w:rFonts w:hint="eastAsia" w:asciiTheme="minorEastAsia" w:hAnsiTheme="minorEastAsia" w:eastAsiaTheme="minorEastAsia"/>
          <w:szCs w:val="21"/>
        </w:rPr>
        <w:t>项目名称</w:t>
      </w:r>
      <w:r>
        <w:rPr>
          <w:rFonts w:hint="eastAsia" w:asciiTheme="minorEastAsia" w:hAnsiTheme="minorEastAsia" w:eastAsiaTheme="minorEastAsia"/>
          <w:szCs w:val="21"/>
          <w:u w:val="single"/>
        </w:rPr>
        <w:t xml:space="preserve">                                     </w:t>
      </w:r>
    </w:p>
    <w:p>
      <w:pPr>
        <w:spacing w:line="288" w:lineRule="auto"/>
        <w:ind w:right="420"/>
        <w:rPr>
          <w:rFonts w:asciiTheme="minorEastAsia" w:hAnsiTheme="minorEastAsia" w:eastAsiaTheme="minorEastAsia"/>
        </w:rPr>
      </w:pPr>
      <w:r>
        <w:rPr>
          <w:rFonts w:hint="eastAsia" w:asciiTheme="minorEastAsia" w:hAnsiTheme="minorEastAsia" w:eastAsiaTheme="minorEastAsia"/>
          <w:szCs w:val="21"/>
        </w:rPr>
        <w:t>项目</w:t>
      </w:r>
      <w:r>
        <w:rPr>
          <w:rFonts w:asciiTheme="minorEastAsia" w:hAnsiTheme="minorEastAsia" w:eastAsiaTheme="minorEastAsia"/>
          <w:szCs w:val="21"/>
        </w:rPr>
        <w:t>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[货币单位：人民币元]</w:t>
      </w:r>
    </w:p>
    <w:tbl>
      <w:tblPr>
        <w:tblStyle w:val="32"/>
        <w:tblW w:w="4998"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79"/>
        <w:gridCol w:w="1353"/>
        <w:gridCol w:w="1141"/>
        <w:gridCol w:w="2025"/>
        <w:gridCol w:w="932"/>
        <w:gridCol w:w="1095"/>
        <w:gridCol w:w="186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0" w:type="pct"/>
            <w:vAlign w:val="center"/>
          </w:tcPr>
          <w:p>
            <w:pPr>
              <w:snapToGrid w:val="0"/>
              <w:jc w:val="center"/>
              <w:rPr>
                <w:rFonts w:asciiTheme="minorEastAsia" w:hAnsiTheme="minorEastAsia" w:eastAsiaTheme="minorEastAsia"/>
                <w:b/>
                <w:szCs w:val="21"/>
              </w:rPr>
            </w:pPr>
            <w:r>
              <w:rPr>
                <w:rFonts w:asciiTheme="minorEastAsia" w:hAnsiTheme="minorEastAsia" w:eastAsiaTheme="minorEastAsia"/>
                <w:b/>
                <w:szCs w:val="21"/>
              </w:rPr>
              <w:t>1</w:t>
            </w:r>
          </w:p>
        </w:tc>
        <w:tc>
          <w:tcPr>
            <w:tcW w:w="677" w:type="pct"/>
            <w:vAlign w:val="center"/>
          </w:tcPr>
          <w:p>
            <w:pPr>
              <w:snapToGrid w:val="0"/>
              <w:jc w:val="center"/>
              <w:rPr>
                <w:rFonts w:asciiTheme="minorEastAsia" w:hAnsiTheme="minorEastAsia" w:eastAsiaTheme="minorEastAsia"/>
                <w:b/>
                <w:szCs w:val="21"/>
              </w:rPr>
            </w:pPr>
            <w:r>
              <w:rPr>
                <w:rFonts w:asciiTheme="minorEastAsia" w:hAnsiTheme="minorEastAsia" w:eastAsiaTheme="minorEastAsia"/>
                <w:b/>
                <w:szCs w:val="21"/>
              </w:rPr>
              <w:t>2</w:t>
            </w:r>
          </w:p>
        </w:tc>
        <w:tc>
          <w:tcPr>
            <w:tcW w:w="571"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013"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4</w:t>
            </w:r>
          </w:p>
        </w:tc>
        <w:tc>
          <w:tcPr>
            <w:tcW w:w="466"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545"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934"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0"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产品</w:t>
            </w:r>
            <w:r>
              <w:rPr>
                <w:rFonts w:asciiTheme="minorEastAsia" w:hAnsiTheme="minorEastAsia" w:eastAsiaTheme="minorEastAsia"/>
                <w:b/>
                <w:szCs w:val="21"/>
              </w:rPr>
              <w:t>名称</w:t>
            </w:r>
          </w:p>
        </w:tc>
        <w:tc>
          <w:tcPr>
            <w:tcW w:w="677"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规格型号</w:t>
            </w:r>
          </w:p>
        </w:tc>
        <w:tc>
          <w:tcPr>
            <w:tcW w:w="571"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制造商</w:t>
            </w:r>
          </w:p>
        </w:tc>
        <w:tc>
          <w:tcPr>
            <w:tcW w:w="1013"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产品</w:t>
            </w:r>
            <w:r>
              <w:rPr>
                <w:rFonts w:asciiTheme="minorEastAsia" w:hAnsiTheme="minorEastAsia" w:eastAsiaTheme="minorEastAsia"/>
                <w:b/>
                <w:szCs w:val="21"/>
              </w:rPr>
              <w:t>单价</w:t>
            </w:r>
          </w:p>
        </w:tc>
        <w:tc>
          <w:tcPr>
            <w:tcW w:w="466"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单位</w:t>
            </w:r>
          </w:p>
        </w:tc>
        <w:tc>
          <w:tcPr>
            <w:tcW w:w="545" w:type="pct"/>
            <w:vAlign w:val="center"/>
          </w:tcPr>
          <w:p>
            <w:pPr>
              <w:snapToGrid w:val="0"/>
              <w:jc w:val="center"/>
              <w:rPr>
                <w:rFonts w:asciiTheme="minorEastAsia" w:hAnsiTheme="minorEastAsia" w:eastAsiaTheme="minorEastAsia"/>
                <w:b/>
                <w:szCs w:val="21"/>
              </w:rPr>
            </w:pPr>
            <w:r>
              <w:rPr>
                <w:rFonts w:asciiTheme="minorEastAsia" w:hAnsiTheme="minorEastAsia" w:eastAsiaTheme="minorEastAsia"/>
                <w:b/>
                <w:szCs w:val="21"/>
              </w:rPr>
              <w:t>数量</w:t>
            </w:r>
          </w:p>
        </w:tc>
        <w:tc>
          <w:tcPr>
            <w:tcW w:w="934" w:type="pct"/>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产品</w:t>
            </w:r>
            <w:r>
              <w:rPr>
                <w:rFonts w:asciiTheme="minorEastAsia" w:hAnsiTheme="minorEastAsia" w:eastAsiaTheme="minorEastAsia"/>
                <w:b/>
                <w:szCs w:val="21"/>
              </w:rPr>
              <w:t>总价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0" w:type="pct"/>
            <w:vAlign w:val="center"/>
          </w:tcPr>
          <w:p>
            <w:pPr>
              <w:snapToGrid w:val="0"/>
              <w:jc w:val="center"/>
              <w:rPr>
                <w:rFonts w:asciiTheme="minorEastAsia" w:hAnsiTheme="minorEastAsia" w:eastAsiaTheme="minorEastAsia"/>
                <w:szCs w:val="21"/>
              </w:rPr>
            </w:pPr>
          </w:p>
        </w:tc>
        <w:tc>
          <w:tcPr>
            <w:tcW w:w="677" w:type="pct"/>
            <w:vAlign w:val="center"/>
          </w:tcPr>
          <w:p>
            <w:pPr>
              <w:snapToGrid w:val="0"/>
              <w:jc w:val="center"/>
              <w:rPr>
                <w:rFonts w:asciiTheme="minorEastAsia" w:hAnsiTheme="minorEastAsia" w:eastAsiaTheme="minorEastAsia"/>
                <w:szCs w:val="21"/>
              </w:rPr>
            </w:pPr>
          </w:p>
        </w:tc>
        <w:tc>
          <w:tcPr>
            <w:tcW w:w="571" w:type="pct"/>
            <w:vAlign w:val="center"/>
          </w:tcPr>
          <w:p>
            <w:pPr>
              <w:snapToGrid w:val="0"/>
              <w:jc w:val="center"/>
              <w:rPr>
                <w:rFonts w:asciiTheme="minorEastAsia" w:hAnsiTheme="minorEastAsia" w:eastAsiaTheme="minorEastAsia"/>
                <w:szCs w:val="21"/>
              </w:rPr>
            </w:pPr>
          </w:p>
        </w:tc>
        <w:tc>
          <w:tcPr>
            <w:tcW w:w="1013" w:type="pct"/>
            <w:vAlign w:val="center"/>
          </w:tcPr>
          <w:p>
            <w:pPr>
              <w:snapToGrid w:val="0"/>
              <w:jc w:val="center"/>
              <w:rPr>
                <w:rFonts w:asciiTheme="minorEastAsia" w:hAnsiTheme="minorEastAsia" w:eastAsiaTheme="minorEastAsia"/>
                <w:szCs w:val="21"/>
              </w:rPr>
            </w:pPr>
          </w:p>
        </w:tc>
        <w:tc>
          <w:tcPr>
            <w:tcW w:w="466" w:type="pct"/>
            <w:vAlign w:val="center"/>
          </w:tcPr>
          <w:p>
            <w:pPr>
              <w:snapToGrid w:val="0"/>
              <w:jc w:val="center"/>
              <w:rPr>
                <w:rFonts w:asciiTheme="minorEastAsia" w:hAnsiTheme="minorEastAsia" w:eastAsiaTheme="minorEastAsia"/>
                <w:szCs w:val="21"/>
              </w:rPr>
            </w:pPr>
          </w:p>
        </w:tc>
        <w:tc>
          <w:tcPr>
            <w:tcW w:w="545" w:type="pct"/>
            <w:vAlign w:val="center"/>
          </w:tcPr>
          <w:p>
            <w:pPr>
              <w:snapToGrid w:val="0"/>
              <w:jc w:val="center"/>
              <w:rPr>
                <w:rFonts w:asciiTheme="minorEastAsia" w:hAnsiTheme="minorEastAsia" w:eastAsiaTheme="minorEastAsia"/>
                <w:szCs w:val="21"/>
              </w:rPr>
            </w:pPr>
          </w:p>
        </w:tc>
        <w:tc>
          <w:tcPr>
            <w:tcW w:w="934" w:type="pct"/>
            <w:vAlign w:val="center"/>
          </w:tcPr>
          <w:p>
            <w:pPr>
              <w:snapToGrid w:val="0"/>
              <w:jc w:val="center"/>
              <w:rPr>
                <w:rFonts w:asciiTheme="minorEastAsia" w:hAnsiTheme="minorEastAsia" w:eastAsiaTheme="minorEastAsia"/>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0" w:type="pct"/>
            <w:vAlign w:val="center"/>
          </w:tcPr>
          <w:p>
            <w:pPr>
              <w:snapToGrid w:val="0"/>
              <w:jc w:val="center"/>
              <w:rPr>
                <w:rFonts w:asciiTheme="minorEastAsia" w:hAnsiTheme="minorEastAsia" w:eastAsiaTheme="minorEastAsia"/>
                <w:szCs w:val="21"/>
              </w:rPr>
            </w:pPr>
          </w:p>
        </w:tc>
        <w:tc>
          <w:tcPr>
            <w:tcW w:w="677" w:type="pct"/>
            <w:vAlign w:val="center"/>
          </w:tcPr>
          <w:p>
            <w:pPr>
              <w:snapToGrid w:val="0"/>
              <w:jc w:val="center"/>
              <w:rPr>
                <w:rFonts w:asciiTheme="minorEastAsia" w:hAnsiTheme="minorEastAsia" w:eastAsiaTheme="minorEastAsia"/>
                <w:szCs w:val="21"/>
              </w:rPr>
            </w:pPr>
          </w:p>
        </w:tc>
        <w:tc>
          <w:tcPr>
            <w:tcW w:w="571" w:type="pct"/>
            <w:vAlign w:val="center"/>
          </w:tcPr>
          <w:p>
            <w:pPr>
              <w:snapToGrid w:val="0"/>
              <w:jc w:val="center"/>
              <w:rPr>
                <w:rFonts w:asciiTheme="minorEastAsia" w:hAnsiTheme="minorEastAsia" w:eastAsiaTheme="minorEastAsia"/>
                <w:szCs w:val="21"/>
              </w:rPr>
            </w:pPr>
          </w:p>
        </w:tc>
        <w:tc>
          <w:tcPr>
            <w:tcW w:w="1013" w:type="pct"/>
            <w:vAlign w:val="center"/>
          </w:tcPr>
          <w:p>
            <w:pPr>
              <w:snapToGrid w:val="0"/>
              <w:jc w:val="center"/>
              <w:rPr>
                <w:rFonts w:asciiTheme="minorEastAsia" w:hAnsiTheme="minorEastAsia" w:eastAsiaTheme="minorEastAsia"/>
                <w:szCs w:val="21"/>
              </w:rPr>
            </w:pPr>
          </w:p>
        </w:tc>
        <w:tc>
          <w:tcPr>
            <w:tcW w:w="466" w:type="pct"/>
            <w:vAlign w:val="center"/>
          </w:tcPr>
          <w:p>
            <w:pPr>
              <w:snapToGrid w:val="0"/>
              <w:jc w:val="center"/>
              <w:rPr>
                <w:rFonts w:asciiTheme="minorEastAsia" w:hAnsiTheme="minorEastAsia" w:eastAsiaTheme="minorEastAsia"/>
                <w:szCs w:val="21"/>
              </w:rPr>
            </w:pPr>
          </w:p>
        </w:tc>
        <w:tc>
          <w:tcPr>
            <w:tcW w:w="545" w:type="pct"/>
            <w:vAlign w:val="center"/>
          </w:tcPr>
          <w:p>
            <w:pPr>
              <w:snapToGrid w:val="0"/>
              <w:jc w:val="center"/>
              <w:rPr>
                <w:rFonts w:asciiTheme="minorEastAsia" w:hAnsiTheme="minorEastAsia" w:eastAsiaTheme="minorEastAsia"/>
                <w:szCs w:val="21"/>
              </w:rPr>
            </w:pPr>
          </w:p>
        </w:tc>
        <w:tc>
          <w:tcPr>
            <w:tcW w:w="934" w:type="pct"/>
            <w:vAlign w:val="center"/>
          </w:tcPr>
          <w:p>
            <w:pPr>
              <w:snapToGrid w:val="0"/>
              <w:jc w:val="center"/>
              <w:rPr>
                <w:rFonts w:asciiTheme="minorEastAsia" w:hAnsiTheme="minorEastAsia" w:eastAsiaTheme="minorEastAsia"/>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0" w:type="pct"/>
            <w:vAlign w:val="center"/>
          </w:tcPr>
          <w:p>
            <w:pPr>
              <w:snapToGrid w:val="0"/>
              <w:jc w:val="center"/>
              <w:rPr>
                <w:rFonts w:asciiTheme="minorEastAsia" w:hAnsiTheme="minorEastAsia" w:eastAsiaTheme="minorEastAsia"/>
                <w:szCs w:val="21"/>
              </w:rPr>
            </w:pPr>
          </w:p>
        </w:tc>
        <w:tc>
          <w:tcPr>
            <w:tcW w:w="677" w:type="pct"/>
            <w:vAlign w:val="center"/>
          </w:tcPr>
          <w:p>
            <w:pPr>
              <w:snapToGrid w:val="0"/>
              <w:jc w:val="center"/>
              <w:rPr>
                <w:rFonts w:asciiTheme="minorEastAsia" w:hAnsiTheme="minorEastAsia" w:eastAsiaTheme="minorEastAsia"/>
                <w:szCs w:val="21"/>
              </w:rPr>
            </w:pPr>
          </w:p>
        </w:tc>
        <w:tc>
          <w:tcPr>
            <w:tcW w:w="571" w:type="pct"/>
            <w:vAlign w:val="center"/>
          </w:tcPr>
          <w:p>
            <w:pPr>
              <w:snapToGrid w:val="0"/>
              <w:jc w:val="center"/>
              <w:rPr>
                <w:rFonts w:asciiTheme="minorEastAsia" w:hAnsiTheme="minorEastAsia" w:eastAsiaTheme="minorEastAsia"/>
                <w:szCs w:val="21"/>
              </w:rPr>
            </w:pPr>
          </w:p>
        </w:tc>
        <w:tc>
          <w:tcPr>
            <w:tcW w:w="1013" w:type="pct"/>
            <w:vAlign w:val="center"/>
          </w:tcPr>
          <w:p>
            <w:pPr>
              <w:snapToGrid w:val="0"/>
              <w:jc w:val="center"/>
              <w:rPr>
                <w:rFonts w:asciiTheme="minorEastAsia" w:hAnsiTheme="minorEastAsia" w:eastAsiaTheme="minorEastAsia"/>
                <w:szCs w:val="21"/>
              </w:rPr>
            </w:pPr>
          </w:p>
        </w:tc>
        <w:tc>
          <w:tcPr>
            <w:tcW w:w="466" w:type="pct"/>
            <w:vAlign w:val="center"/>
          </w:tcPr>
          <w:p>
            <w:pPr>
              <w:snapToGrid w:val="0"/>
              <w:jc w:val="center"/>
              <w:rPr>
                <w:rFonts w:asciiTheme="minorEastAsia" w:hAnsiTheme="minorEastAsia" w:eastAsiaTheme="minorEastAsia"/>
                <w:szCs w:val="21"/>
              </w:rPr>
            </w:pPr>
          </w:p>
        </w:tc>
        <w:tc>
          <w:tcPr>
            <w:tcW w:w="545" w:type="pct"/>
            <w:vAlign w:val="center"/>
          </w:tcPr>
          <w:p>
            <w:pPr>
              <w:snapToGrid w:val="0"/>
              <w:jc w:val="center"/>
              <w:rPr>
                <w:rFonts w:asciiTheme="minorEastAsia" w:hAnsiTheme="minorEastAsia" w:eastAsiaTheme="minorEastAsia"/>
                <w:szCs w:val="21"/>
              </w:rPr>
            </w:pPr>
          </w:p>
        </w:tc>
        <w:tc>
          <w:tcPr>
            <w:tcW w:w="934" w:type="pct"/>
            <w:vAlign w:val="center"/>
          </w:tcPr>
          <w:p>
            <w:pPr>
              <w:snapToGrid w:val="0"/>
              <w:jc w:val="center"/>
              <w:rPr>
                <w:rFonts w:asciiTheme="minorEastAsia" w:hAnsiTheme="minorEastAsia" w:eastAsiaTheme="minorEastAsia"/>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0" w:type="pct"/>
            <w:vAlign w:val="center"/>
          </w:tcPr>
          <w:p>
            <w:pPr>
              <w:snapToGrid w:val="0"/>
              <w:jc w:val="center"/>
              <w:rPr>
                <w:rFonts w:asciiTheme="minorEastAsia" w:hAnsiTheme="minorEastAsia" w:eastAsiaTheme="minorEastAsia"/>
                <w:szCs w:val="21"/>
              </w:rPr>
            </w:pPr>
          </w:p>
        </w:tc>
        <w:tc>
          <w:tcPr>
            <w:tcW w:w="677" w:type="pct"/>
            <w:vAlign w:val="center"/>
          </w:tcPr>
          <w:p>
            <w:pPr>
              <w:snapToGrid w:val="0"/>
              <w:jc w:val="center"/>
              <w:rPr>
                <w:rFonts w:asciiTheme="minorEastAsia" w:hAnsiTheme="minorEastAsia" w:eastAsiaTheme="minorEastAsia"/>
                <w:szCs w:val="21"/>
              </w:rPr>
            </w:pPr>
          </w:p>
        </w:tc>
        <w:tc>
          <w:tcPr>
            <w:tcW w:w="571" w:type="pct"/>
            <w:vAlign w:val="center"/>
          </w:tcPr>
          <w:p>
            <w:pPr>
              <w:snapToGrid w:val="0"/>
              <w:jc w:val="center"/>
              <w:rPr>
                <w:rFonts w:asciiTheme="minorEastAsia" w:hAnsiTheme="minorEastAsia" w:eastAsiaTheme="minorEastAsia"/>
                <w:szCs w:val="21"/>
              </w:rPr>
            </w:pPr>
          </w:p>
        </w:tc>
        <w:tc>
          <w:tcPr>
            <w:tcW w:w="1013" w:type="pct"/>
            <w:vAlign w:val="center"/>
          </w:tcPr>
          <w:p>
            <w:pPr>
              <w:snapToGrid w:val="0"/>
              <w:jc w:val="center"/>
              <w:rPr>
                <w:rFonts w:asciiTheme="minorEastAsia" w:hAnsiTheme="minorEastAsia" w:eastAsiaTheme="minorEastAsia"/>
                <w:szCs w:val="21"/>
              </w:rPr>
            </w:pPr>
          </w:p>
        </w:tc>
        <w:tc>
          <w:tcPr>
            <w:tcW w:w="466" w:type="pct"/>
            <w:vAlign w:val="center"/>
          </w:tcPr>
          <w:p>
            <w:pPr>
              <w:snapToGrid w:val="0"/>
              <w:jc w:val="center"/>
              <w:rPr>
                <w:rFonts w:asciiTheme="minorEastAsia" w:hAnsiTheme="minorEastAsia" w:eastAsiaTheme="minorEastAsia"/>
                <w:szCs w:val="21"/>
              </w:rPr>
            </w:pPr>
          </w:p>
        </w:tc>
        <w:tc>
          <w:tcPr>
            <w:tcW w:w="545" w:type="pct"/>
            <w:vAlign w:val="center"/>
          </w:tcPr>
          <w:p>
            <w:pPr>
              <w:snapToGrid w:val="0"/>
              <w:jc w:val="center"/>
              <w:rPr>
                <w:rFonts w:asciiTheme="minorEastAsia" w:hAnsiTheme="minorEastAsia" w:eastAsiaTheme="minorEastAsia"/>
                <w:szCs w:val="21"/>
              </w:rPr>
            </w:pPr>
          </w:p>
        </w:tc>
        <w:tc>
          <w:tcPr>
            <w:tcW w:w="934" w:type="pct"/>
            <w:vAlign w:val="center"/>
          </w:tcPr>
          <w:p>
            <w:pPr>
              <w:snapToGrid w:val="0"/>
              <w:jc w:val="center"/>
              <w:rPr>
                <w:rFonts w:asciiTheme="minorEastAsia" w:hAnsiTheme="minorEastAsia" w:eastAsiaTheme="minorEastAsia"/>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5" w:type="pct"/>
            <w:gridSpan w:val="6"/>
            <w:tcBorders>
              <w:right w:val="single" w:color="auto" w:sz="4" w:space="0"/>
            </w:tcBorders>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合计</w:t>
            </w:r>
          </w:p>
        </w:tc>
        <w:tc>
          <w:tcPr>
            <w:tcW w:w="934" w:type="pct"/>
            <w:tcBorders>
              <w:left w:val="single" w:color="auto" w:sz="4" w:space="0"/>
            </w:tcBorders>
            <w:vAlign w:val="center"/>
          </w:tcPr>
          <w:p>
            <w:pPr>
              <w:snapToGrid w:val="0"/>
              <w:jc w:val="center"/>
              <w:rPr>
                <w:rFonts w:asciiTheme="minorEastAsia" w:hAnsiTheme="minorEastAsia" w:eastAsiaTheme="minorEastAsia"/>
                <w:szCs w:val="21"/>
              </w:rPr>
            </w:pPr>
          </w:p>
        </w:tc>
      </w:tr>
    </w:tbl>
    <w:p>
      <w:pPr>
        <w:spacing w:line="288" w:lineRule="auto"/>
        <w:rPr>
          <w:rFonts w:asciiTheme="minorEastAsia" w:hAnsiTheme="minorEastAsia" w:eastAsiaTheme="minorEastAsia"/>
          <w:bCs/>
          <w:szCs w:val="21"/>
        </w:rPr>
      </w:pPr>
    </w:p>
    <w:p>
      <w:pPr>
        <w:spacing w:line="288" w:lineRule="auto"/>
        <w:rPr>
          <w:rFonts w:asciiTheme="minorEastAsia" w:hAnsiTheme="minorEastAsia" w:eastAsiaTheme="minorEastAsia"/>
          <w:bCs/>
          <w:szCs w:val="21"/>
        </w:rPr>
      </w:pPr>
      <w:r>
        <w:rPr>
          <w:rFonts w:asciiTheme="minorEastAsia" w:hAnsiTheme="minorEastAsia" w:eastAsiaTheme="minorEastAsia"/>
          <w:bCs/>
          <w:szCs w:val="21"/>
        </w:rPr>
        <w:t>注：</w:t>
      </w:r>
      <w:r>
        <w:rPr>
          <w:rFonts w:hint="eastAsia" w:asciiTheme="minorEastAsia" w:hAnsiTheme="minorEastAsia" w:eastAsiaTheme="minorEastAsia"/>
          <w:bCs/>
          <w:szCs w:val="21"/>
        </w:rPr>
        <w:t>1、</w:t>
      </w:r>
      <w:r>
        <w:rPr>
          <w:rFonts w:asciiTheme="minorEastAsia" w:hAnsiTheme="minorEastAsia" w:eastAsiaTheme="minorEastAsia"/>
          <w:bCs/>
          <w:szCs w:val="21"/>
        </w:rPr>
        <w:t>此表</w:t>
      </w:r>
      <w:r>
        <w:rPr>
          <w:rFonts w:hint="eastAsia" w:asciiTheme="minorEastAsia" w:hAnsiTheme="minorEastAsia" w:eastAsiaTheme="minorEastAsia"/>
          <w:bCs/>
          <w:szCs w:val="21"/>
        </w:rPr>
        <w:t>为</w:t>
      </w:r>
      <w:r>
        <w:rPr>
          <w:rFonts w:asciiTheme="minorEastAsia" w:hAnsiTheme="minorEastAsia" w:eastAsiaTheme="minorEastAsia"/>
          <w:bCs/>
          <w:szCs w:val="21"/>
        </w:rPr>
        <w:t>报价表之</w:t>
      </w:r>
      <w:r>
        <w:rPr>
          <w:rFonts w:hint="eastAsia" w:asciiTheme="minorEastAsia" w:hAnsiTheme="minorEastAsia" w:eastAsiaTheme="minorEastAsia"/>
          <w:bCs/>
          <w:szCs w:val="21"/>
        </w:rPr>
        <w:t>设备分项报价</w:t>
      </w:r>
      <w:r>
        <w:rPr>
          <w:rFonts w:asciiTheme="minorEastAsia" w:hAnsiTheme="minorEastAsia" w:eastAsiaTheme="minorEastAsia"/>
          <w:bCs/>
          <w:szCs w:val="21"/>
        </w:rPr>
        <w:t>表。</w:t>
      </w:r>
    </w:p>
    <w:p>
      <w:pPr>
        <w:spacing w:line="288" w:lineRule="auto"/>
        <w:ind w:firstLine="420" w:firstLineChars="200"/>
        <w:rPr>
          <w:rFonts w:asciiTheme="minorEastAsia" w:hAnsiTheme="minorEastAsia" w:eastAsiaTheme="minorEastAsia"/>
          <w:szCs w:val="21"/>
        </w:rPr>
      </w:pPr>
      <w:r>
        <w:rPr>
          <w:rFonts w:hint="eastAsia" w:asciiTheme="minorEastAsia" w:hAnsiTheme="minorEastAsia" w:eastAsiaTheme="minorEastAsia"/>
          <w:bCs/>
          <w:szCs w:val="21"/>
        </w:rPr>
        <w:t>2、</w:t>
      </w:r>
      <w:r>
        <w:rPr>
          <w:rFonts w:asciiTheme="minorEastAsia" w:hAnsiTheme="minorEastAsia" w:eastAsiaTheme="minorEastAsia"/>
          <w:bCs/>
          <w:szCs w:val="21"/>
        </w:rPr>
        <w:t>所报内容</w:t>
      </w:r>
      <w:r>
        <w:rPr>
          <w:rFonts w:hint="eastAsia" w:asciiTheme="minorEastAsia" w:hAnsiTheme="minorEastAsia" w:eastAsiaTheme="minorEastAsia"/>
          <w:bCs/>
          <w:szCs w:val="21"/>
        </w:rPr>
        <w:t>需参照磋商文件及采购需求</w:t>
      </w:r>
      <w:r>
        <w:rPr>
          <w:rFonts w:asciiTheme="minorEastAsia" w:hAnsiTheme="minorEastAsia" w:eastAsiaTheme="minorEastAsia"/>
          <w:bCs/>
          <w:szCs w:val="21"/>
        </w:rPr>
        <w:t>相关条款的要求。</w:t>
      </w:r>
    </w:p>
    <w:p>
      <w:pPr>
        <w:spacing w:line="288"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3、</w:t>
      </w:r>
      <w:r>
        <w:rPr>
          <w:rFonts w:hint="eastAsia" w:asciiTheme="minorEastAsia" w:hAnsiTheme="minorEastAsia" w:eastAsiaTheme="minorEastAsia"/>
          <w:bCs/>
        </w:rPr>
        <w:t>超过最高限价，按否决投标处理。</w:t>
      </w:r>
    </w:p>
    <w:p>
      <w:pPr>
        <w:spacing w:beforeLines="50" w:line="288" w:lineRule="auto"/>
        <w:rPr>
          <w:rFonts w:asciiTheme="minorEastAsia" w:hAnsiTheme="minorEastAsia" w:eastAsiaTheme="minorEastAsia"/>
          <w:szCs w:val="21"/>
        </w:rPr>
      </w:pPr>
    </w:p>
    <w:p>
      <w:pPr>
        <w:pStyle w:val="4"/>
        <w:rPr>
          <w:rFonts w:asciiTheme="minorEastAsia" w:hAnsiTheme="minorEastAsia" w:eastAsiaTheme="minorEastAsia"/>
          <w:szCs w:val="21"/>
        </w:rPr>
      </w:pPr>
    </w:p>
    <w:p>
      <w:pPr>
        <w:pStyle w:val="15"/>
        <w:adjustRightInd w:val="0"/>
        <w:snapToGrid w:val="0"/>
        <w:spacing w:line="300" w:lineRule="auto"/>
        <w:jc w:val="right"/>
        <w:rPr>
          <w:rFonts w:ascii="宋体" w:hAnsi="宋体"/>
          <w:sz w:val="21"/>
          <w:szCs w:val="21"/>
        </w:rPr>
      </w:pPr>
      <w:r>
        <w:rPr>
          <w:rFonts w:hint="eastAsia" w:ascii="宋体"/>
          <w:b/>
          <w:bCs/>
          <w:sz w:val="21"/>
          <w:szCs w:val="21"/>
        </w:rPr>
        <w:t xml:space="preserve"> </w:t>
      </w:r>
    </w:p>
    <w:p>
      <w:pPr>
        <w:pStyle w:val="15"/>
        <w:adjustRightInd w:val="0"/>
        <w:snapToGrid w:val="0"/>
        <w:spacing w:line="300" w:lineRule="auto"/>
        <w:jc w:val="center"/>
        <w:rPr>
          <w:rFonts w:ascii="宋体"/>
          <w:bCs/>
          <w:sz w:val="21"/>
          <w:szCs w:val="21"/>
        </w:rPr>
      </w:pPr>
      <w:r>
        <w:rPr>
          <w:rFonts w:hint="eastAsia" w:ascii="宋体"/>
          <w:bCs/>
          <w:sz w:val="21"/>
          <w:szCs w:val="21"/>
        </w:rPr>
        <w:t>供应商（盖单位公章）</w:t>
      </w:r>
      <w:r>
        <w:rPr>
          <w:rFonts w:hint="eastAsia" w:ascii="宋体" w:hAnsi="宋体"/>
          <w:szCs w:val="21"/>
        </w:rPr>
        <w:t>：</w:t>
      </w:r>
      <w:r>
        <w:rPr>
          <w:rFonts w:hint="eastAsia" w:ascii="宋体" w:hAnsi="宋体"/>
          <w:szCs w:val="21"/>
          <w:u w:val="single"/>
        </w:rPr>
        <w:t xml:space="preserve">                   </w:t>
      </w:r>
    </w:p>
    <w:p>
      <w:pPr>
        <w:pStyle w:val="15"/>
        <w:adjustRightInd w:val="0"/>
        <w:snapToGrid w:val="0"/>
        <w:spacing w:line="300" w:lineRule="auto"/>
        <w:rPr>
          <w:rFonts w:ascii="宋体"/>
          <w:bCs/>
          <w:sz w:val="21"/>
          <w:szCs w:val="21"/>
        </w:rPr>
      </w:pPr>
    </w:p>
    <w:p>
      <w:pPr>
        <w:pStyle w:val="15"/>
        <w:adjustRightInd w:val="0"/>
        <w:snapToGrid w:val="0"/>
        <w:spacing w:line="300" w:lineRule="auto"/>
        <w:rPr>
          <w:rFonts w:ascii="宋体"/>
          <w:bCs/>
          <w:sz w:val="21"/>
          <w:szCs w:val="21"/>
        </w:rPr>
      </w:pPr>
      <w:r>
        <w:rPr>
          <w:rFonts w:hint="eastAsia" w:ascii="宋体"/>
          <w:bCs/>
          <w:sz w:val="21"/>
          <w:szCs w:val="21"/>
        </w:rPr>
        <w:t xml:space="preserve">                               法定代表人或其委托代理人（签字或盖章）</w:t>
      </w:r>
      <w:r>
        <w:rPr>
          <w:rFonts w:hint="eastAsia" w:ascii="宋体" w:hAnsi="宋体"/>
          <w:szCs w:val="21"/>
        </w:rPr>
        <w:t>：</w:t>
      </w:r>
      <w:r>
        <w:rPr>
          <w:rFonts w:hint="eastAsia" w:ascii="宋体" w:hAnsi="宋体"/>
          <w:szCs w:val="21"/>
          <w:u w:val="single"/>
        </w:rPr>
        <w:t xml:space="preserve">                   </w:t>
      </w:r>
    </w:p>
    <w:p>
      <w:pPr>
        <w:pStyle w:val="15"/>
        <w:adjustRightInd w:val="0"/>
        <w:snapToGrid w:val="0"/>
        <w:spacing w:line="300" w:lineRule="auto"/>
        <w:jc w:val="right"/>
        <w:rPr>
          <w:rFonts w:ascii="宋体"/>
          <w:bCs/>
          <w:sz w:val="21"/>
          <w:szCs w:val="21"/>
        </w:rPr>
      </w:pPr>
    </w:p>
    <w:p>
      <w:pPr>
        <w:pStyle w:val="15"/>
        <w:adjustRightInd w:val="0"/>
        <w:snapToGrid w:val="0"/>
        <w:spacing w:line="300" w:lineRule="auto"/>
        <w:jc w:val="center"/>
        <w:rPr>
          <w:rFonts w:ascii="宋体"/>
          <w:bCs/>
          <w:sz w:val="21"/>
          <w:szCs w:val="21"/>
        </w:rPr>
      </w:pPr>
      <w:r>
        <w:rPr>
          <w:rFonts w:hint="eastAsia" w:ascii="宋体"/>
          <w:bCs/>
          <w:sz w:val="21"/>
          <w:szCs w:val="21"/>
        </w:rPr>
        <w:t xml:space="preserve">                                         年     月     日</w:t>
      </w:r>
    </w:p>
    <w:p/>
    <w:p>
      <w:pPr>
        <w:sectPr>
          <w:pgSz w:w="11906" w:h="16838"/>
          <w:pgMar w:top="1276" w:right="991" w:bottom="1247" w:left="964" w:header="1134" w:footer="851" w:gutter="170"/>
          <w:cols w:space="720" w:num="1"/>
          <w:titlePg/>
          <w:docGrid w:type="linesAndChars" w:linePitch="328" w:charSpace="0"/>
        </w:sectPr>
      </w:pPr>
    </w:p>
    <w:p>
      <w:pPr>
        <w:pStyle w:val="2"/>
        <w:jc w:val="center"/>
        <w:rPr>
          <w:rFonts w:ascii="宋体" w:hAnsi="宋体" w:eastAsia="宋体" w:cs="宋体"/>
          <w:sz w:val="30"/>
          <w:szCs w:val="30"/>
        </w:rPr>
      </w:pPr>
      <w:r>
        <w:rPr>
          <w:rFonts w:hint="eastAsia" w:ascii="宋体" w:hAnsi="宋体" w:eastAsia="宋体" w:cs="宋体"/>
        </w:rPr>
        <w:t xml:space="preserve">六、 </w:t>
      </w:r>
      <w:bookmarkEnd w:id="165"/>
      <w:r>
        <w:rPr>
          <w:rFonts w:hint="eastAsia" w:ascii="宋体" w:hAnsi="宋体" w:eastAsia="宋体" w:cs="宋体"/>
        </w:rPr>
        <w:t>技术文件</w:t>
      </w:r>
    </w:p>
    <w:p>
      <w:pPr>
        <w:spacing w:line="360" w:lineRule="auto"/>
        <w:ind w:firstLine="420" w:firstLineChars="200"/>
        <w:jc w:val="left"/>
        <w:rPr>
          <w:rFonts w:ascii="宋体" w:hAnsi="宋体" w:cs="宋体"/>
          <w:bCs/>
          <w:szCs w:val="21"/>
        </w:rPr>
      </w:pPr>
      <w:r>
        <w:rPr>
          <w:rFonts w:hint="eastAsia" w:ascii="宋体" w:hAnsi="宋体" w:cs="宋体"/>
          <w:bCs/>
          <w:szCs w:val="21"/>
        </w:rPr>
        <w:t>供应商应编制投标技术方案，编制具体要求：编制时应采用文字并结合图表形式说明各阶段工作方法；</w:t>
      </w:r>
    </w:p>
    <w:p>
      <w:pPr>
        <w:pStyle w:val="18"/>
        <w:spacing w:line="280" w:lineRule="exact"/>
        <w:rPr>
          <w:rFonts w:hAnsi="宋体" w:cs="宋体"/>
          <w:bCs/>
          <w:sz w:val="21"/>
          <w:szCs w:val="21"/>
        </w:rPr>
      </w:pPr>
      <w:r>
        <w:rPr>
          <w:rFonts w:hint="eastAsia" w:hAnsi="宋体" w:cs="宋体"/>
          <w:bCs/>
          <w:szCs w:val="21"/>
        </w:rPr>
        <w:t>供应商在满足竞争性磋商文件要求得基础上，可以根据自身实际情况提出更有利于采购人的技术方案。</w:t>
      </w:r>
    </w:p>
    <w:p>
      <w:pPr>
        <w:pStyle w:val="18"/>
        <w:spacing w:line="280" w:lineRule="exact"/>
        <w:rPr>
          <w:rFonts w:hAnsi="宋体" w:cs="宋体"/>
          <w:bCs/>
          <w:sz w:val="21"/>
          <w:szCs w:val="21"/>
        </w:rPr>
      </w:pPr>
    </w:p>
    <w:p>
      <w:pPr>
        <w:pStyle w:val="2"/>
        <w:jc w:val="center"/>
        <w:rPr>
          <w:rFonts w:ascii="宋体" w:hAnsi="宋体" w:eastAsia="宋体" w:cs="宋体"/>
          <w:b w:val="0"/>
          <w:bCs w:val="0"/>
          <w:sz w:val="24"/>
          <w:szCs w:val="24"/>
        </w:rPr>
        <w:sectPr>
          <w:pgSz w:w="11906" w:h="16838"/>
          <w:pgMar w:top="1276" w:right="991" w:bottom="1247" w:left="964" w:header="1134" w:footer="851" w:gutter="170"/>
          <w:cols w:space="720" w:num="1"/>
          <w:titlePg/>
          <w:docGrid w:type="linesAndChars" w:linePitch="328" w:charSpace="0"/>
        </w:sectPr>
      </w:pPr>
    </w:p>
    <w:p>
      <w:pPr>
        <w:pStyle w:val="2"/>
        <w:jc w:val="center"/>
        <w:rPr>
          <w:rFonts w:hint="eastAsia" w:ascii="宋体" w:hAnsi="宋体" w:eastAsia="宋体" w:cs="宋体"/>
          <w:sz w:val="30"/>
          <w:szCs w:val="30"/>
          <w:lang w:eastAsia="zh-CN"/>
        </w:rPr>
      </w:pPr>
      <w:bookmarkStart w:id="166" w:name="_Toc16689"/>
      <w:r>
        <w:rPr>
          <w:rFonts w:hint="eastAsia" w:ascii="宋体" w:hAnsi="宋体" w:eastAsia="宋体" w:cs="宋体"/>
        </w:rPr>
        <w:t>七、</w:t>
      </w:r>
      <w:bookmarkEnd w:id="166"/>
      <w:r>
        <w:rPr>
          <w:rFonts w:hint="eastAsia" w:ascii="宋体" w:hAnsi="宋体" w:eastAsia="宋体" w:cs="宋体"/>
        </w:rPr>
        <w:t>承诺</w:t>
      </w:r>
      <w:r>
        <w:rPr>
          <w:rFonts w:hint="eastAsia" w:ascii="宋体" w:hAnsi="宋体" w:eastAsia="宋体" w:cs="宋体"/>
          <w:lang w:eastAsia="zh-CN"/>
        </w:rPr>
        <w:t>书</w:t>
      </w:r>
    </w:p>
    <w:p>
      <w:pPr>
        <w:ind w:right="-418" w:rightChars="-199"/>
        <w:jc w:val="center"/>
        <w:rPr>
          <w:rFonts w:ascii="宋体" w:hAnsi="宋体" w:cs="宋体"/>
          <w:b/>
          <w:bCs/>
          <w:szCs w:val="21"/>
        </w:rPr>
      </w:pPr>
      <w:r>
        <w:rPr>
          <w:rFonts w:hint="eastAsia" w:ascii="宋体" w:hAnsi="宋体" w:cs="宋体"/>
          <w:b/>
          <w:bCs/>
          <w:szCs w:val="21"/>
        </w:rPr>
        <w:t>格式自拟</w:t>
      </w:r>
    </w:p>
    <w:p>
      <w:pPr>
        <w:ind w:right="-418" w:rightChars="-199"/>
        <w:jc w:val="center"/>
        <w:rPr>
          <w:rFonts w:ascii="宋体" w:hAnsi="宋体" w:cs="宋体"/>
          <w:b/>
          <w:bCs/>
          <w:sz w:val="30"/>
          <w:szCs w:val="30"/>
        </w:rPr>
      </w:pPr>
    </w:p>
    <w:p>
      <w:pPr>
        <w:ind w:right="-418" w:rightChars="-199"/>
        <w:jc w:val="center"/>
        <w:rPr>
          <w:rFonts w:ascii="宋体" w:hAnsi="宋体" w:cs="宋体"/>
          <w:b/>
          <w:bCs/>
          <w:sz w:val="30"/>
          <w:szCs w:val="30"/>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wordWrap w:val="0"/>
        <w:spacing w:line="360" w:lineRule="auto"/>
        <w:ind w:left="2402" w:leftChars="1144" w:firstLine="210" w:firstLineChars="100"/>
        <w:jc w:val="right"/>
        <w:rPr>
          <w:rFonts w:ascii="宋体" w:hAnsi="宋体" w:cs="宋体"/>
          <w:szCs w:val="21"/>
        </w:rPr>
      </w:pPr>
      <w:r>
        <w:rPr>
          <w:rFonts w:hint="eastAsia" w:ascii="宋体" w:hAnsi="宋体" w:cs="宋体"/>
          <w:szCs w:val="21"/>
        </w:rPr>
        <w:t>供应商：（盖单位公章）</w:t>
      </w:r>
    </w:p>
    <w:p>
      <w:pPr>
        <w:wordWrap w:val="0"/>
        <w:spacing w:line="360" w:lineRule="auto"/>
        <w:jc w:val="right"/>
        <w:rPr>
          <w:rFonts w:ascii="宋体" w:hAnsi="宋体" w:cs="宋体"/>
          <w:szCs w:val="21"/>
        </w:rPr>
      </w:pPr>
      <w:r>
        <w:rPr>
          <w:rFonts w:hint="eastAsia" w:ascii="宋体" w:hAnsi="宋体" w:cs="宋体"/>
          <w:bCs/>
          <w:szCs w:val="21"/>
        </w:rPr>
        <w:t>法定代表人或其委托代理人</w:t>
      </w:r>
      <w:r>
        <w:rPr>
          <w:rFonts w:hint="eastAsia" w:ascii="宋体" w:hAnsi="宋体" w:cs="宋体"/>
          <w:szCs w:val="21"/>
        </w:rPr>
        <w:t>：（签字或盖章）</w:t>
      </w:r>
    </w:p>
    <w:p>
      <w:pPr>
        <w:spacing w:line="360" w:lineRule="auto"/>
        <w:rPr>
          <w:rFonts w:ascii="宋体" w:hAnsi="宋体" w:cs="宋体"/>
          <w:sz w:val="28"/>
          <w:szCs w:val="28"/>
        </w:rPr>
      </w:pPr>
    </w:p>
    <w:p>
      <w:pPr>
        <w:wordWrap w:val="0"/>
        <w:spacing w:line="360" w:lineRule="auto"/>
        <w:ind w:left="2402" w:leftChars="1144" w:firstLine="210" w:firstLineChars="100"/>
        <w:jc w:val="right"/>
        <w:rPr>
          <w:rFonts w:ascii="宋体" w:hAnsi="宋体" w:cs="宋体"/>
          <w:sz w:val="24"/>
          <w:szCs w:val="24"/>
        </w:rPr>
      </w:pPr>
      <w:r>
        <w:rPr>
          <w:rFonts w:hint="eastAsia" w:ascii="宋体" w:hAnsi="宋体" w:cs="宋体"/>
          <w:szCs w:val="21"/>
        </w:rPr>
        <w:t xml:space="preserve">年  月  日  </w:t>
      </w: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 </w:t>
      </w:r>
    </w:p>
    <w:p>
      <w:pPr>
        <w:spacing w:line="400" w:lineRule="exact"/>
        <w:rPr>
          <w:rFonts w:ascii="宋体" w:hAnsi="宋体" w:cs="宋体"/>
          <w:sz w:val="24"/>
          <w:szCs w:val="24"/>
        </w:rPr>
      </w:pPr>
      <w:r>
        <w:rPr>
          <w:rFonts w:hint="eastAsia" w:ascii="宋体" w:hAnsi="宋体" w:cs="宋体"/>
          <w:b/>
          <w:bCs/>
          <w:sz w:val="30"/>
          <w:szCs w:val="30"/>
        </w:rPr>
        <w:br w:type="page"/>
      </w:r>
    </w:p>
    <w:p>
      <w:pPr>
        <w:pStyle w:val="2"/>
        <w:jc w:val="center"/>
        <w:rPr>
          <w:rFonts w:ascii="宋体" w:hAnsi="宋体" w:eastAsia="宋体" w:cs="宋体"/>
        </w:rPr>
      </w:pPr>
      <w:bookmarkStart w:id="167" w:name="_Toc4466"/>
      <w:r>
        <w:rPr>
          <w:rFonts w:hint="eastAsia" w:ascii="宋体" w:hAnsi="宋体" w:eastAsia="宋体" w:cs="宋体"/>
        </w:rPr>
        <w:t>八、售后服务承诺</w:t>
      </w:r>
      <w:bookmarkEnd w:id="167"/>
    </w:p>
    <w:p>
      <w:pPr>
        <w:rPr>
          <w:rFonts w:ascii="宋体" w:hAnsi="宋体" w:cs="宋体"/>
          <w:szCs w:val="21"/>
        </w:rPr>
      </w:pPr>
      <w:r>
        <w:rPr>
          <w:rFonts w:hint="eastAsia" w:ascii="宋体" w:hAnsi="宋体" w:cs="宋体"/>
        </w:rPr>
        <w:t xml:space="preserve"> </w:t>
      </w:r>
    </w:p>
    <w:p>
      <w:pPr>
        <w:widowControl/>
        <w:jc w:val="center"/>
        <w:rPr>
          <w:rFonts w:ascii="宋体" w:hAnsi="宋体" w:cs="宋体"/>
          <w:b/>
          <w:bCs/>
          <w:kern w:val="0"/>
          <w:szCs w:val="21"/>
        </w:rPr>
      </w:pPr>
      <w:r>
        <w:rPr>
          <w:rFonts w:hint="eastAsia" w:ascii="宋体" w:hAnsi="宋体" w:cs="宋体"/>
          <w:b/>
          <w:bCs/>
          <w:kern w:val="0"/>
          <w:szCs w:val="21"/>
        </w:rPr>
        <w:t>格式自拟</w:t>
      </w:r>
    </w:p>
    <w:p>
      <w:pPr>
        <w:widowControl/>
        <w:jc w:val="center"/>
        <w:rPr>
          <w:rFonts w:ascii="宋体" w:hAnsi="宋体" w:cs="宋体"/>
          <w:b/>
          <w:bCs/>
          <w:kern w:val="0"/>
          <w:sz w:val="27"/>
          <w:szCs w:val="27"/>
        </w:rPr>
      </w:pPr>
      <w:r>
        <w:rPr>
          <w:rFonts w:hint="eastAsia" w:ascii="宋体" w:hAnsi="宋体" w:cs="宋体"/>
          <w:b/>
          <w:bCs/>
          <w:kern w:val="0"/>
          <w:sz w:val="27"/>
          <w:szCs w:val="27"/>
        </w:rPr>
        <w:t xml:space="preserve"> </w:t>
      </w:r>
    </w:p>
    <w:p>
      <w:pPr>
        <w:widowControl/>
        <w:jc w:val="center"/>
        <w:rPr>
          <w:rFonts w:ascii="宋体" w:hAnsi="宋体" w:cs="宋体"/>
          <w:b/>
          <w:bCs/>
          <w:kern w:val="0"/>
          <w:szCs w:val="21"/>
        </w:rPr>
      </w:pPr>
      <w:r>
        <w:rPr>
          <w:rFonts w:hint="eastAsia" w:ascii="宋体" w:hAnsi="宋体" w:cs="宋体"/>
          <w:b/>
          <w:bCs/>
          <w:kern w:val="0"/>
          <w:szCs w:val="21"/>
        </w:rPr>
        <w:t xml:space="preserve"> </w:t>
      </w:r>
    </w:p>
    <w:p>
      <w:pPr>
        <w:spacing w:line="360" w:lineRule="auto"/>
        <w:rPr>
          <w:rFonts w:ascii="宋体" w:hAnsi="宋体" w:cs="宋体"/>
          <w:szCs w:val="21"/>
        </w:rPr>
      </w:pPr>
      <w:r>
        <w:rPr>
          <w:rFonts w:hint="eastAsia" w:ascii="宋体" w:hAnsi="宋体" w:cs="宋体"/>
          <w:szCs w:val="21"/>
        </w:rPr>
        <w:t xml:space="preserve">                         </w:t>
      </w:r>
    </w:p>
    <w:p>
      <w:pPr>
        <w:wordWrap w:val="0"/>
        <w:spacing w:line="360" w:lineRule="auto"/>
        <w:ind w:left="2402" w:leftChars="1144" w:firstLine="210" w:firstLineChars="100"/>
        <w:jc w:val="right"/>
        <w:rPr>
          <w:rFonts w:ascii="宋体" w:hAnsi="宋体" w:cs="宋体"/>
          <w:szCs w:val="21"/>
        </w:rPr>
      </w:pPr>
      <w:r>
        <w:rPr>
          <w:rFonts w:hint="eastAsia" w:ascii="宋体" w:hAnsi="宋体" w:cs="宋体"/>
          <w:szCs w:val="21"/>
        </w:rPr>
        <w:tab/>
      </w:r>
      <w:r>
        <w:rPr>
          <w:rFonts w:hint="eastAsia" w:ascii="宋体" w:hAnsi="宋体" w:cs="宋体"/>
          <w:szCs w:val="21"/>
        </w:rPr>
        <w:t>供应商：（盖单位公章）</w:t>
      </w:r>
    </w:p>
    <w:p>
      <w:pPr>
        <w:wordWrap w:val="0"/>
        <w:spacing w:line="360" w:lineRule="auto"/>
        <w:jc w:val="right"/>
        <w:rPr>
          <w:rFonts w:ascii="宋体" w:hAnsi="宋体" w:cs="宋体"/>
          <w:szCs w:val="21"/>
        </w:rPr>
      </w:pPr>
      <w:r>
        <w:rPr>
          <w:rFonts w:hint="eastAsia" w:ascii="宋体" w:hAnsi="宋体" w:cs="宋体"/>
          <w:bCs/>
          <w:szCs w:val="21"/>
        </w:rPr>
        <w:t>法定代表人或其委托代理人</w:t>
      </w:r>
      <w:r>
        <w:rPr>
          <w:rFonts w:hint="eastAsia" w:ascii="宋体" w:hAnsi="宋体" w:cs="宋体"/>
          <w:szCs w:val="21"/>
        </w:rPr>
        <w:t>：（签字或盖章）</w:t>
      </w:r>
    </w:p>
    <w:p>
      <w:pPr>
        <w:spacing w:line="360" w:lineRule="auto"/>
        <w:rPr>
          <w:rFonts w:ascii="宋体" w:hAnsi="宋体" w:cs="宋体"/>
          <w:sz w:val="28"/>
          <w:szCs w:val="28"/>
        </w:rPr>
      </w:pPr>
    </w:p>
    <w:p>
      <w:pPr>
        <w:spacing w:line="360" w:lineRule="auto"/>
        <w:ind w:left="2402" w:leftChars="1144" w:firstLine="210" w:firstLineChars="100"/>
        <w:jc w:val="right"/>
        <w:rPr>
          <w:rFonts w:ascii="宋体" w:hAnsi="宋体" w:cs="宋体"/>
          <w:szCs w:val="21"/>
        </w:rPr>
      </w:pPr>
      <w:r>
        <w:rPr>
          <w:rFonts w:hint="eastAsia" w:ascii="宋体" w:hAnsi="宋体" w:cs="宋体"/>
          <w:szCs w:val="21"/>
        </w:rPr>
        <w:t xml:space="preserve">年  月  日  </w:t>
      </w:r>
    </w:p>
    <w:p>
      <w:pPr>
        <w:spacing w:line="360" w:lineRule="auto"/>
        <w:ind w:firstLine="210" w:firstLineChars="100"/>
        <w:jc w:val="center"/>
        <w:rPr>
          <w:rFonts w:ascii="宋体" w:hAnsi="宋体" w:cs="宋体"/>
          <w:b/>
          <w:bCs/>
          <w:kern w:val="0"/>
          <w:sz w:val="32"/>
          <w:szCs w:val="32"/>
        </w:rPr>
      </w:pPr>
      <w:r>
        <w:rPr>
          <w:rFonts w:hint="eastAsia" w:ascii="宋体" w:hAnsi="宋体" w:cs="宋体"/>
          <w:szCs w:val="21"/>
        </w:rPr>
        <w:br w:type="page"/>
      </w:r>
      <w:r>
        <w:rPr>
          <w:rFonts w:hint="eastAsia" w:ascii="宋体" w:hAnsi="宋体" w:cs="宋体"/>
          <w:b/>
          <w:bCs/>
          <w:kern w:val="0"/>
          <w:sz w:val="32"/>
          <w:szCs w:val="32"/>
        </w:rPr>
        <w:t>九、相应资质</w:t>
      </w:r>
    </w:p>
    <w:p>
      <w:pPr>
        <w:rPr>
          <w:rFonts w:ascii="宋体" w:hAnsi="宋体" w:cs="宋体"/>
        </w:rPr>
      </w:pPr>
      <w:bookmarkStart w:id="168" w:name="_Toc18182"/>
      <w:r>
        <w:rPr>
          <w:rFonts w:hint="eastAsia" w:ascii="宋体" w:hAnsi="宋体" w:cs="宋体"/>
        </w:rPr>
        <w:br w:type="page"/>
      </w:r>
    </w:p>
    <w:p>
      <w:pPr>
        <w:pStyle w:val="2"/>
        <w:jc w:val="center"/>
        <w:rPr>
          <w:rFonts w:ascii="宋体" w:hAnsi="宋体" w:eastAsia="宋体" w:cs="宋体"/>
        </w:rPr>
      </w:pPr>
      <w:r>
        <w:rPr>
          <w:rFonts w:hint="eastAsia" w:ascii="宋体" w:hAnsi="宋体" w:eastAsia="宋体" w:cs="宋体"/>
        </w:rPr>
        <w:t>十、资格证明文件及相关资料</w:t>
      </w:r>
      <w:bookmarkEnd w:id="168"/>
    </w:p>
    <w:p>
      <w:pPr>
        <w:ind w:right="-418" w:rightChars="-199"/>
        <w:jc w:val="center"/>
        <w:rPr>
          <w:rFonts w:ascii="宋体" w:hAnsi="宋体" w:cs="宋体"/>
          <w:b/>
          <w:bCs/>
          <w:sz w:val="30"/>
          <w:szCs w:val="30"/>
        </w:rPr>
      </w:pPr>
      <w:r>
        <w:rPr>
          <w:rFonts w:hint="eastAsia" w:ascii="宋体" w:hAnsi="宋体" w:cs="宋体"/>
          <w:b/>
          <w:bCs/>
          <w:sz w:val="30"/>
          <w:szCs w:val="30"/>
        </w:rPr>
        <w:t xml:space="preserve"> </w:t>
      </w:r>
    </w:p>
    <w:p>
      <w:pPr>
        <w:spacing w:line="360" w:lineRule="auto"/>
        <w:rPr>
          <w:rFonts w:ascii="宋体" w:hAnsi="宋体" w:cs="宋体"/>
          <w:sz w:val="24"/>
          <w:szCs w:val="24"/>
        </w:rPr>
      </w:pPr>
      <w:bookmarkStart w:id="169" w:name="_Toc15604"/>
      <w:bookmarkStart w:id="170" w:name="_Toc18442"/>
      <w:bookmarkStart w:id="171" w:name="_Toc19881"/>
      <w:bookmarkStart w:id="172" w:name="_Toc10448"/>
    </w:p>
    <w:p>
      <w:pPr>
        <w:spacing w:line="360" w:lineRule="auto"/>
        <w:rPr>
          <w:rFonts w:ascii="宋体" w:hAnsi="宋体" w:cs="宋体"/>
          <w:sz w:val="24"/>
          <w:szCs w:val="24"/>
        </w:rPr>
      </w:pPr>
    </w:p>
    <w:p/>
    <w:p/>
    <w:p>
      <w:pPr>
        <w:rPr>
          <w:rFonts w:ascii="宋体" w:hAnsi="宋体" w:cs="宋体"/>
          <w:sz w:val="24"/>
          <w:szCs w:val="24"/>
        </w:rPr>
      </w:pPr>
      <w:r>
        <w:rPr>
          <w:rFonts w:hint="eastAsia" w:ascii="宋体" w:hAnsi="宋体" w:cs="宋体"/>
          <w:sz w:val="24"/>
          <w:szCs w:val="24"/>
        </w:rPr>
        <w:br w:type="page"/>
      </w:r>
    </w:p>
    <w:p>
      <w:pPr>
        <w:jc w:val="center"/>
        <w:outlineLvl w:val="2"/>
        <w:rPr>
          <w:rFonts w:ascii="宋体" w:hAnsi="宋体" w:cs="宋体"/>
          <w:b/>
          <w:sz w:val="24"/>
        </w:rPr>
      </w:pPr>
      <w:bookmarkStart w:id="173" w:name="_Toc12274"/>
      <w:r>
        <w:rPr>
          <w:rFonts w:hint="eastAsia" w:ascii="宋体" w:hAnsi="宋体" w:cs="宋体"/>
          <w:b/>
          <w:sz w:val="24"/>
        </w:rPr>
        <w:t>营业执照</w:t>
      </w:r>
      <w:bookmarkEnd w:id="169"/>
      <w:bookmarkEnd w:id="170"/>
      <w:bookmarkEnd w:id="173"/>
    </w:p>
    <w:p>
      <w:pPr>
        <w:jc w:val="left"/>
        <w:rPr>
          <w:rFonts w:ascii="宋体" w:hAnsi="宋体" w:cs="宋体"/>
          <w:sz w:val="24"/>
        </w:rPr>
      </w:pPr>
    </w:p>
    <w:p>
      <w:pPr>
        <w:widowControl/>
        <w:jc w:val="left"/>
        <w:rPr>
          <w:rFonts w:ascii="宋体" w:hAnsi="宋体" w:cs="宋体"/>
          <w:sz w:val="24"/>
          <w:szCs w:val="24"/>
        </w:rPr>
      </w:pPr>
      <w:r>
        <w:rPr>
          <w:rFonts w:hint="eastAsia" w:ascii="宋体" w:hAnsi="宋体" w:cs="宋体"/>
          <w:sz w:val="24"/>
          <w:szCs w:val="24"/>
        </w:rPr>
        <w:br w:type="page"/>
      </w:r>
    </w:p>
    <w:bookmarkEnd w:id="171"/>
    <w:bookmarkEnd w:id="172"/>
    <w:p>
      <w:pPr>
        <w:tabs>
          <w:tab w:val="left" w:pos="993"/>
          <w:tab w:val="left" w:pos="1030"/>
          <w:tab w:val="left" w:pos="8364"/>
        </w:tabs>
        <w:snapToGrid w:val="0"/>
        <w:spacing w:afterLines="50"/>
        <w:ind w:left="420" w:right="-57" w:rightChars="-27"/>
        <w:jc w:val="center"/>
        <w:outlineLvl w:val="2"/>
        <w:rPr>
          <w:rFonts w:ascii="宋体" w:hAnsi="宋体" w:cs="宋体"/>
          <w:b/>
          <w:sz w:val="24"/>
        </w:rPr>
      </w:pPr>
      <w:bookmarkStart w:id="174" w:name="_Toc8177"/>
    </w:p>
    <w:p>
      <w:pPr>
        <w:tabs>
          <w:tab w:val="left" w:pos="993"/>
          <w:tab w:val="left" w:pos="1030"/>
          <w:tab w:val="left" w:pos="8364"/>
        </w:tabs>
        <w:snapToGrid w:val="0"/>
        <w:spacing w:afterLines="50"/>
        <w:ind w:left="420" w:right="-57" w:rightChars="-27"/>
        <w:jc w:val="center"/>
        <w:outlineLvl w:val="2"/>
        <w:rPr>
          <w:rFonts w:ascii="宋体" w:hAnsi="宋体" w:cs="宋体"/>
          <w:b/>
          <w:sz w:val="24"/>
        </w:rPr>
      </w:pPr>
      <w:r>
        <w:rPr>
          <w:rFonts w:hint="eastAsia" w:ascii="宋体" w:hAnsi="宋体" w:cs="宋体"/>
          <w:b/>
          <w:sz w:val="24"/>
        </w:rPr>
        <w:t>法定代表人身份证明</w:t>
      </w:r>
      <w:bookmarkEnd w:id="174"/>
    </w:p>
    <w:p>
      <w:pPr>
        <w:ind w:firstLine="420" w:firstLineChars="200"/>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 xml:space="preserve"> </w:t>
      </w:r>
    </w:p>
    <w:p>
      <w:pPr>
        <w:ind w:firstLine="420" w:firstLineChars="200"/>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ind w:firstLine="420" w:firstLineChars="20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 xml:space="preserve"> </w:t>
      </w:r>
    </w:p>
    <w:p>
      <w:pPr>
        <w:ind w:firstLine="420" w:firstLineChars="200"/>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ind w:firstLine="420" w:firstLineChars="200"/>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r>
        <w:rPr>
          <w:rFonts w:hint="eastAsia" w:ascii="宋体" w:hAnsi="宋体" w:cs="宋体"/>
          <w:szCs w:val="21"/>
        </w:rPr>
        <w:t xml:space="preserve"> </w:t>
      </w:r>
    </w:p>
    <w:p>
      <w:pPr>
        <w:ind w:firstLine="420" w:firstLineChars="200"/>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_</w:t>
      </w:r>
    </w:p>
    <w:p>
      <w:pPr>
        <w:ind w:firstLine="420" w:firstLineChars="200"/>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（供应商名称）的法定代表人。</w:t>
      </w:r>
    </w:p>
    <w:p>
      <w:pPr>
        <w:ind w:firstLine="420" w:firstLineChars="200"/>
        <w:rPr>
          <w:rFonts w:ascii="宋体" w:hAnsi="宋体" w:cs="宋体"/>
          <w:szCs w:val="21"/>
        </w:rPr>
      </w:pPr>
      <w:r>
        <w:rPr>
          <w:rFonts w:hint="eastAsia" w:ascii="宋体" w:hAnsi="宋体" w:cs="宋体"/>
          <w:szCs w:val="21"/>
        </w:rPr>
        <w:t>特此证明。</w:t>
      </w:r>
    </w:p>
    <w:p>
      <w:pPr>
        <w:ind w:firstLine="420" w:firstLineChars="200"/>
        <w:rPr>
          <w:rFonts w:ascii="宋体" w:hAnsi="宋体" w:cs="宋体"/>
          <w:szCs w:val="21"/>
        </w:rPr>
      </w:pPr>
      <w:r>
        <w:rPr>
          <w:rFonts w:hint="eastAsia" w:ascii="宋体" w:hAnsi="宋体" w:cs="宋体"/>
          <w:szCs w:val="21"/>
        </w:rPr>
        <w:t xml:space="preserve"> </w:t>
      </w:r>
    </w:p>
    <w:p>
      <w:pPr>
        <w:ind w:firstLine="420" w:firstLineChars="200"/>
        <w:rPr>
          <w:rFonts w:ascii="宋体" w:hAnsi="宋体" w:cs="宋体"/>
          <w:szCs w:val="21"/>
        </w:rPr>
      </w:pPr>
      <w:r>
        <w:rPr>
          <w:rFonts w:hint="eastAsia" w:ascii="宋体" w:hAnsi="宋体" w:cs="宋体"/>
          <w:szCs w:val="21"/>
        </w:rPr>
        <w:t xml:space="preserve"> </w:t>
      </w:r>
    </w:p>
    <w:p>
      <w:pPr>
        <w:jc w:val="right"/>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（盖单位公章）</w:t>
      </w:r>
    </w:p>
    <w:p>
      <w:pPr>
        <w:ind w:firstLine="4515" w:firstLineChars="2150"/>
        <w:jc w:val="right"/>
        <w:rPr>
          <w:rFonts w:ascii="宋体" w:hAnsi="宋体" w:cs="宋体"/>
          <w:szCs w:val="21"/>
          <w:u w:val="single"/>
        </w:rPr>
      </w:pPr>
      <w:r>
        <w:rPr>
          <w:rFonts w:hint="eastAsia" w:ascii="宋体" w:hAnsi="宋体" w:cs="宋体"/>
          <w:szCs w:val="21"/>
          <w:u w:val="single"/>
        </w:rPr>
        <w:t xml:space="preserve"> </w:t>
      </w:r>
    </w:p>
    <w:p>
      <w:pPr>
        <w:ind w:right="1200"/>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widowControl/>
        <w:spacing w:line="480" w:lineRule="auto"/>
        <w:jc w:val="center"/>
        <w:rPr>
          <w:rFonts w:ascii="宋体" w:hAnsi="宋体" w:cs="宋体"/>
          <w:b/>
          <w:bCs/>
          <w:kern w:val="0"/>
          <w:sz w:val="24"/>
          <w:szCs w:val="24"/>
        </w:rPr>
      </w:pPr>
      <w:r>
        <w:rPr>
          <w:rFonts w:hint="eastAsia" w:ascii="宋体" w:hAnsi="宋体" w:cs="宋体"/>
          <w:b/>
          <w:bCs/>
          <w:kern w:val="0"/>
          <w:sz w:val="24"/>
          <w:szCs w:val="24"/>
        </w:rPr>
        <w:t xml:space="preserve"> </w:t>
      </w:r>
    </w:p>
    <w:p>
      <w:pPr>
        <w:spacing w:line="480" w:lineRule="auto"/>
        <w:rPr>
          <w:rFonts w:ascii="宋体" w:hAnsi="宋体" w:cs="宋体"/>
          <w:sz w:val="24"/>
          <w:szCs w:val="24"/>
        </w:rPr>
      </w:pPr>
      <w:r>
        <w:rPr>
          <w:rFonts w:hint="eastAsia" w:ascii="宋体" w:hAnsi="宋体" w:cs="宋体"/>
          <w:sz w:val="24"/>
          <w:szCs w:val="24"/>
        </w:rPr>
        <w:br w:type="page"/>
      </w:r>
    </w:p>
    <w:p>
      <w:pPr>
        <w:tabs>
          <w:tab w:val="left" w:pos="993"/>
          <w:tab w:val="left" w:pos="1030"/>
          <w:tab w:val="left" w:pos="8364"/>
        </w:tabs>
        <w:snapToGrid w:val="0"/>
        <w:spacing w:afterLines="50"/>
        <w:ind w:left="420" w:right="-57" w:rightChars="-27"/>
        <w:jc w:val="center"/>
        <w:outlineLvl w:val="2"/>
        <w:rPr>
          <w:rFonts w:ascii="宋体" w:hAnsi="宋体" w:cs="宋体"/>
          <w:b/>
          <w:sz w:val="24"/>
        </w:rPr>
      </w:pPr>
      <w:bookmarkStart w:id="175" w:name="_Toc1967"/>
    </w:p>
    <w:p>
      <w:pPr>
        <w:tabs>
          <w:tab w:val="left" w:pos="993"/>
          <w:tab w:val="left" w:pos="1030"/>
          <w:tab w:val="left" w:pos="8364"/>
        </w:tabs>
        <w:snapToGrid w:val="0"/>
        <w:spacing w:afterLines="50"/>
        <w:ind w:right="-57" w:rightChars="-27"/>
        <w:jc w:val="center"/>
        <w:outlineLvl w:val="2"/>
        <w:rPr>
          <w:rFonts w:ascii="宋体" w:hAnsi="宋体" w:cs="宋体"/>
          <w:b/>
          <w:sz w:val="24"/>
        </w:rPr>
      </w:pPr>
      <w:r>
        <w:rPr>
          <w:rFonts w:hint="eastAsia" w:ascii="宋体" w:hAnsi="宋体" w:cs="宋体"/>
          <w:b/>
          <w:sz w:val="24"/>
        </w:rPr>
        <w:t>法定代表人授权委托书</w:t>
      </w:r>
      <w:bookmarkEnd w:id="175"/>
    </w:p>
    <w:p>
      <w:pPr>
        <w:rPr>
          <w:rFonts w:ascii="宋体" w:hAnsi="宋体" w:cs="宋体"/>
          <w:szCs w:val="21"/>
        </w:rPr>
      </w:pPr>
      <w:r>
        <w:rPr>
          <w:rFonts w:hint="eastAsia" w:ascii="宋体" w:hAnsi="宋体" w:cs="宋体"/>
          <w:szCs w:val="21"/>
        </w:rPr>
        <w:t xml:space="preserve"> </w:t>
      </w:r>
    </w:p>
    <w:p>
      <w:pPr>
        <w:pStyle w:val="18"/>
        <w:autoSpaceDE w:val="0"/>
        <w:ind w:firstLine="420" w:firstLineChars="200"/>
        <w:rPr>
          <w:rFonts w:hAnsi="宋体" w:cs="宋体"/>
          <w:sz w:val="21"/>
          <w:szCs w:val="21"/>
        </w:rPr>
      </w:pPr>
      <w:r>
        <w:rPr>
          <w:rFonts w:hint="eastAsia" w:hAnsi="宋体" w:cs="宋体"/>
          <w:sz w:val="21"/>
          <w:szCs w:val="21"/>
        </w:rPr>
        <w:t>本人</w:t>
      </w:r>
      <w:r>
        <w:rPr>
          <w:rFonts w:hint="eastAsia" w:hAnsi="宋体" w:cs="宋体"/>
          <w:sz w:val="21"/>
          <w:szCs w:val="21"/>
          <w:u w:val="single"/>
        </w:rPr>
        <w:t xml:space="preserve">      </w:t>
      </w:r>
      <w:r>
        <w:rPr>
          <w:rFonts w:hint="eastAsia" w:hAnsi="宋体" w:cs="宋体"/>
          <w:sz w:val="21"/>
          <w:szCs w:val="21"/>
        </w:rPr>
        <w:t>（姓名）系</w:t>
      </w:r>
      <w:r>
        <w:rPr>
          <w:rFonts w:hint="eastAsia" w:hAnsi="宋体" w:cs="宋体"/>
          <w:sz w:val="21"/>
          <w:szCs w:val="21"/>
          <w:u w:val="single"/>
        </w:rPr>
        <w:t xml:space="preserve">             </w:t>
      </w:r>
      <w:r>
        <w:rPr>
          <w:rFonts w:hint="eastAsia" w:hAnsi="宋体" w:cs="宋体"/>
          <w:sz w:val="21"/>
          <w:szCs w:val="21"/>
        </w:rPr>
        <w:t>（供应商名称）的法定代表人，现委托</w:t>
      </w:r>
      <w:r>
        <w:rPr>
          <w:rFonts w:hint="eastAsia" w:hAnsi="宋体" w:cs="宋体"/>
          <w:sz w:val="21"/>
          <w:szCs w:val="21"/>
          <w:u w:val="single"/>
        </w:rPr>
        <w:t xml:space="preserve">     </w:t>
      </w:r>
      <w:r>
        <w:rPr>
          <w:rFonts w:hint="eastAsia" w:hAnsi="宋体" w:cs="宋体"/>
          <w:sz w:val="21"/>
          <w:szCs w:val="21"/>
        </w:rPr>
        <w:t>（姓名）为我方代理人。代理人根据授权，以我方名义签署、澄清、说明、补正、递交、撤回、修改贵方组织的</w:t>
      </w:r>
      <w:r>
        <w:rPr>
          <w:rFonts w:hint="eastAsia" w:hAnsi="宋体" w:cs="宋体"/>
          <w:sz w:val="21"/>
          <w:szCs w:val="21"/>
          <w:u w:val="single"/>
        </w:rPr>
        <w:t xml:space="preserve">   （项目名称）     </w:t>
      </w:r>
      <w:r>
        <w:rPr>
          <w:rFonts w:hint="eastAsia" w:hAnsi="宋体" w:cs="宋体"/>
          <w:sz w:val="21"/>
          <w:szCs w:val="21"/>
        </w:rPr>
        <w:t>（项目编号：</w:t>
      </w:r>
      <w:r>
        <w:rPr>
          <w:rFonts w:hint="eastAsia" w:hAnsi="宋体" w:cs="宋体"/>
          <w:sz w:val="21"/>
          <w:szCs w:val="21"/>
          <w:u w:val="single"/>
        </w:rPr>
        <w:t xml:space="preserve">           </w:t>
      </w:r>
      <w:r>
        <w:rPr>
          <w:rFonts w:hint="eastAsia" w:hAnsi="宋体" w:cs="宋体"/>
          <w:sz w:val="21"/>
          <w:szCs w:val="21"/>
        </w:rPr>
        <w:t>）项目的响应文件、签订合同和处理一切有关事宜，其法律后果由我方承担。</w:t>
      </w:r>
    </w:p>
    <w:p>
      <w:pPr>
        <w:autoSpaceDE w:val="0"/>
        <w:ind w:firstLine="420" w:firstLineChars="200"/>
        <w:rPr>
          <w:rFonts w:ascii="宋体" w:hAnsi="宋体" w:cs="宋体"/>
          <w:szCs w:val="21"/>
        </w:rPr>
      </w:pPr>
      <w:r>
        <w:rPr>
          <w:rFonts w:hint="eastAsia" w:ascii="宋体" w:hAnsi="宋体" w:cs="宋体"/>
          <w:szCs w:val="21"/>
        </w:rPr>
        <w:t>本委托书自</w:t>
      </w:r>
      <w:r>
        <w:rPr>
          <w:rFonts w:hint="eastAsia" w:ascii="宋体" w:hAnsi="宋体" w:cs="宋体"/>
          <w:szCs w:val="21"/>
          <w:u w:val="single"/>
        </w:rPr>
        <w:t xml:space="preserve">    年   月   日</w:t>
      </w:r>
      <w:r>
        <w:rPr>
          <w:rFonts w:hint="eastAsia" w:ascii="宋体" w:hAnsi="宋体" w:cs="宋体"/>
          <w:szCs w:val="21"/>
        </w:rPr>
        <w:t xml:space="preserve"> 签字盖章之日起生效至投标有效期满止。</w:t>
      </w:r>
    </w:p>
    <w:p>
      <w:pPr>
        <w:autoSpaceDE w:val="0"/>
        <w:ind w:firstLine="420" w:firstLineChars="200"/>
        <w:rPr>
          <w:rFonts w:ascii="宋体" w:hAnsi="宋体" w:cs="宋体"/>
          <w:szCs w:val="21"/>
        </w:rPr>
      </w:pPr>
      <w:r>
        <w:rPr>
          <w:rFonts w:hint="eastAsia" w:ascii="宋体" w:hAnsi="宋体" w:cs="宋体"/>
          <w:szCs w:val="21"/>
        </w:rPr>
        <w:t>附：法定代表人及委托代理人有效期内的身份证正反面复印件</w:t>
      </w:r>
    </w:p>
    <w:p>
      <w:pPr>
        <w:autoSpaceDE w:val="0"/>
        <w:ind w:firstLine="420" w:firstLineChars="200"/>
        <w:rPr>
          <w:rFonts w:ascii="宋体" w:hAnsi="宋体" w:cs="宋体"/>
          <w:szCs w:val="21"/>
        </w:rPr>
      </w:pPr>
      <w:r>
        <w:rPr>
          <w:rFonts w:hint="eastAsia" w:ascii="宋体" w:hAnsi="宋体" w:cs="宋体"/>
          <w:szCs w:val="21"/>
        </w:rPr>
        <w:t>代理人无转委托权。</w:t>
      </w:r>
    </w:p>
    <w:p>
      <w:pPr>
        <w:rPr>
          <w:rFonts w:ascii="宋体" w:hAnsi="宋体" w:cs="宋体"/>
          <w:szCs w:val="21"/>
        </w:rPr>
      </w:pPr>
      <w:r>
        <w:rPr>
          <w:rFonts w:hint="eastAsia" w:ascii="宋体" w:hAnsi="宋体" w:cs="宋体"/>
          <w:szCs w:val="21"/>
        </w:rPr>
        <w:t xml:space="preserve"> </w:t>
      </w:r>
    </w:p>
    <w:p>
      <w:pPr>
        <w:rPr>
          <w:rFonts w:ascii="宋体" w:hAnsi="宋体" w:cs="宋体"/>
          <w:szCs w:val="21"/>
        </w:rPr>
      </w:pPr>
      <w:r>
        <w:rPr>
          <w:rFonts w:hint="eastAsia" w:ascii="宋体" w:hAnsi="宋体" w:cs="宋体"/>
          <w:szCs w:val="21"/>
        </w:rPr>
        <w:drawing>
          <wp:inline distT="0" distB="0" distL="0" distR="0">
            <wp:extent cx="2752725" cy="1800225"/>
            <wp:effectExtent l="0" t="0" r="9525" b="9525"/>
            <wp:docPr id="4" name="图片 6"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wps3"/>
                    <pic:cNvPicPr>
                      <a:picLocks noChangeAspect="1" noChangeArrowheads="1"/>
                    </pic:cNvPicPr>
                  </pic:nvPicPr>
                  <pic:blipFill>
                    <a:blip r:embed="rId23" cstate="print"/>
                    <a:srcRect/>
                    <a:stretch>
                      <a:fillRect/>
                    </a:stretch>
                  </pic:blipFill>
                  <pic:spPr>
                    <a:xfrm>
                      <a:off x="0" y="0"/>
                      <a:ext cx="2752725" cy="1800225"/>
                    </a:xfrm>
                    <a:prstGeom prst="rect">
                      <a:avLst/>
                    </a:prstGeom>
                    <a:noFill/>
                    <a:ln w="9525">
                      <a:noFill/>
                      <a:miter lim="800000"/>
                      <a:headEnd/>
                      <a:tailEnd/>
                    </a:ln>
                  </pic:spPr>
                </pic:pic>
              </a:graphicData>
            </a:graphic>
          </wp:inline>
        </w:drawing>
      </w:r>
      <w:r>
        <w:rPr>
          <w:rFonts w:hint="eastAsia" w:ascii="宋体" w:hAnsi="宋体" w:cs="宋体"/>
          <w:szCs w:val="21"/>
        </w:rPr>
        <w:drawing>
          <wp:inline distT="0" distB="0" distL="0" distR="0">
            <wp:extent cx="2752725" cy="1800225"/>
            <wp:effectExtent l="0" t="0" r="9525" b="9525"/>
            <wp:docPr id="3" name="图片 5"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wps2"/>
                    <pic:cNvPicPr>
                      <a:picLocks noChangeAspect="1" noChangeArrowheads="1"/>
                    </pic:cNvPicPr>
                  </pic:nvPicPr>
                  <pic:blipFill>
                    <a:blip r:embed="rId24" cstate="print"/>
                    <a:srcRect/>
                    <a:stretch>
                      <a:fillRect/>
                    </a:stretch>
                  </pic:blipFill>
                  <pic:spPr>
                    <a:xfrm>
                      <a:off x="0" y="0"/>
                      <a:ext cx="2752725" cy="1800225"/>
                    </a:xfrm>
                    <a:prstGeom prst="rect">
                      <a:avLst/>
                    </a:prstGeom>
                    <a:noFill/>
                    <a:ln w="9525">
                      <a:noFill/>
                      <a:miter lim="800000"/>
                      <a:headEnd/>
                      <a:tailEnd/>
                    </a:ln>
                  </pic:spPr>
                </pic:pic>
              </a:graphicData>
            </a:graphic>
          </wp:inline>
        </w:drawing>
      </w:r>
      <w:r>
        <w:rPr>
          <w:rFonts w:hint="eastAsia" w:ascii="宋体" w:hAnsi="宋体" w:cs="宋体"/>
          <w:szCs w:val="21"/>
        </w:rPr>
        <w:t xml:space="preserve"> </w:t>
      </w:r>
    </w:p>
    <w:p>
      <w:pPr>
        <w:rPr>
          <w:rFonts w:ascii="宋体" w:hAnsi="宋体" w:cs="宋体"/>
          <w:szCs w:val="21"/>
        </w:rPr>
      </w:pPr>
      <w:r>
        <w:rPr>
          <w:rFonts w:hint="eastAsia" w:ascii="宋体" w:hAnsi="宋体" w:cs="宋体"/>
          <w:szCs w:val="21"/>
        </w:rPr>
        <w:t xml:space="preserve"> </w:t>
      </w:r>
    </w:p>
    <w:p>
      <w:pPr>
        <w:jc w:val="center"/>
        <w:rPr>
          <w:rFonts w:ascii="宋体" w:hAnsi="宋体" w:cs="宋体"/>
          <w:szCs w:val="21"/>
        </w:rPr>
      </w:pPr>
      <w:r>
        <w:rPr>
          <w:rFonts w:hint="eastAsia" w:ascii="宋体" w:hAnsi="宋体" w:cs="宋体"/>
          <w:szCs w:val="21"/>
        </w:rPr>
        <w:t xml:space="preserve">                         供应商（盖单位公章）</w:t>
      </w:r>
    </w:p>
    <w:p>
      <w:pPr>
        <w:jc w:val="center"/>
        <w:rPr>
          <w:rFonts w:ascii="宋体" w:hAnsi="宋体" w:cs="宋体"/>
          <w:szCs w:val="21"/>
        </w:rPr>
      </w:pPr>
      <w:r>
        <w:rPr>
          <w:rFonts w:hint="eastAsia" w:ascii="宋体" w:hAnsi="宋体" w:cs="宋体"/>
          <w:szCs w:val="21"/>
        </w:rPr>
        <w:t xml:space="preserve"> </w:t>
      </w:r>
    </w:p>
    <w:p>
      <w:pPr>
        <w:jc w:val="center"/>
        <w:rPr>
          <w:rFonts w:ascii="宋体" w:hAnsi="宋体" w:cs="宋体"/>
          <w:szCs w:val="21"/>
        </w:rPr>
      </w:pPr>
      <w:r>
        <w:rPr>
          <w:rFonts w:hint="eastAsia" w:ascii="宋体" w:hAnsi="宋体" w:cs="宋体"/>
          <w:szCs w:val="21"/>
        </w:rPr>
        <w:t xml:space="preserve">                             法定代表人（签字或盖章）</w:t>
      </w:r>
    </w:p>
    <w:p>
      <w:pPr>
        <w:jc w:val="center"/>
        <w:rPr>
          <w:rFonts w:ascii="宋体" w:hAnsi="宋体" w:cs="宋体"/>
          <w:szCs w:val="21"/>
        </w:rPr>
      </w:pPr>
      <w:r>
        <w:rPr>
          <w:rFonts w:hint="eastAsia" w:ascii="宋体" w:hAnsi="宋体" w:cs="宋体"/>
          <w:szCs w:val="21"/>
        </w:rPr>
        <w:t xml:space="preserve"> </w:t>
      </w:r>
    </w:p>
    <w:p>
      <w:pPr>
        <w:jc w:val="center"/>
        <w:rPr>
          <w:rFonts w:ascii="宋体" w:hAnsi="宋体" w:cs="宋体"/>
          <w:szCs w:val="21"/>
        </w:rPr>
      </w:pPr>
      <w:r>
        <w:rPr>
          <w:rFonts w:hint="eastAsia" w:ascii="宋体" w:hAnsi="宋体" w:cs="宋体"/>
          <w:szCs w:val="21"/>
        </w:rPr>
        <w:t xml:space="preserve">                             委托代理人（签字或盖章）</w:t>
      </w:r>
    </w:p>
    <w:p>
      <w:pPr>
        <w:jc w:val="center"/>
        <w:rPr>
          <w:rFonts w:ascii="宋体" w:hAnsi="宋体" w:cs="宋体"/>
          <w:szCs w:val="21"/>
        </w:rPr>
      </w:pPr>
      <w:r>
        <w:rPr>
          <w:rFonts w:hint="eastAsia" w:ascii="宋体" w:hAnsi="宋体" w:cs="宋体"/>
          <w:szCs w:val="21"/>
        </w:rPr>
        <w:t xml:space="preserve"> </w:t>
      </w:r>
    </w:p>
    <w:p>
      <w:pPr>
        <w:ind w:left="1050" w:hanging="1050" w:hangingChars="500"/>
        <w:jc w:val="center"/>
        <w:rPr>
          <w:rFonts w:ascii="宋体" w:hAnsi="宋体" w:cs="宋体"/>
          <w:szCs w:val="21"/>
        </w:rPr>
      </w:pPr>
      <w:r>
        <w:rPr>
          <w:rFonts w:hint="eastAsia" w:ascii="宋体" w:hAnsi="宋体" w:cs="宋体"/>
          <w:szCs w:val="21"/>
        </w:rPr>
        <w:t xml:space="preserve">                                    年     月     日</w:t>
      </w:r>
    </w:p>
    <w:p>
      <w:pPr>
        <w:spacing w:line="480" w:lineRule="auto"/>
        <w:rPr>
          <w:rFonts w:ascii="宋体" w:hAnsi="宋体" w:cs="宋体"/>
          <w:sz w:val="24"/>
          <w:szCs w:val="24"/>
        </w:rPr>
      </w:pPr>
      <w:r>
        <w:rPr>
          <w:rFonts w:hint="eastAsia" w:ascii="宋体" w:hAnsi="宋体" w:cs="宋体"/>
          <w:sz w:val="24"/>
          <w:szCs w:val="24"/>
        </w:rPr>
        <w:br w:type="page"/>
      </w:r>
    </w:p>
    <w:p>
      <w:pPr>
        <w:tabs>
          <w:tab w:val="left" w:pos="993"/>
          <w:tab w:val="left" w:pos="1030"/>
          <w:tab w:val="left" w:pos="8364"/>
        </w:tabs>
        <w:snapToGrid w:val="0"/>
        <w:spacing w:afterLines="50"/>
        <w:ind w:left="420" w:right="-57" w:rightChars="-27"/>
        <w:jc w:val="center"/>
        <w:outlineLvl w:val="2"/>
        <w:rPr>
          <w:rFonts w:ascii="宋体" w:hAnsi="宋体" w:cs="宋体"/>
          <w:b/>
          <w:sz w:val="24"/>
        </w:rPr>
      </w:pPr>
      <w:bookmarkStart w:id="176" w:name="_Toc21290"/>
      <w:r>
        <w:rPr>
          <w:rFonts w:hint="eastAsia" w:ascii="宋体" w:hAnsi="宋体" w:cs="宋体"/>
          <w:b/>
          <w:sz w:val="24"/>
        </w:rPr>
        <w:t>企业信誉承诺书</w:t>
      </w:r>
      <w:bookmarkEnd w:id="176"/>
    </w:p>
    <w:p>
      <w:pPr>
        <w:spacing w:before="240"/>
        <w:ind w:firstLine="420" w:firstLineChars="200"/>
        <w:rPr>
          <w:rFonts w:ascii="宋体" w:hAnsi="宋体" w:cs="宋体"/>
          <w:szCs w:val="21"/>
        </w:rPr>
      </w:pPr>
      <w:r>
        <w:rPr>
          <w:rFonts w:hint="eastAsia" w:ascii="宋体" w:hAnsi="宋体" w:cs="宋体"/>
          <w:szCs w:val="21"/>
        </w:rPr>
        <w:t>本企业已详细阅读本项目竞争性磋商文件，现自愿郑重作出承诺如下：</w:t>
      </w:r>
    </w:p>
    <w:p>
      <w:pPr>
        <w:spacing w:before="240"/>
        <w:ind w:firstLine="420" w:firstLineChars="200"/>
        <w:rPr>
          <w:rFonts w:ascii="宋体" w:hAnsi="宋体" w:cs="宋体"/>
          <w:szCs w:val="21"/>
        </w:rPr>
      </w:pPr>
      <w:r>
        <w:rPr>
          <w:rFonts w:hint="eastAsia" w:ascii="宋体" w:hAnsi="宋体" w:cs="宋体"/>
          <w:szCs w:val="21"/>
        </w:rPr>
        <w:t>（一）将遵循公开、公平、公正和诚实信用的原则参加本次投标活动；</w:t>
      </w:r>
    </w:p>
    <w:p>
      <w:pPr>
        <w:spacing w:before="240"/>
        <w:ind w:firstLine="420" w:firstLineChars="200"/>
        <w:rPr>
          <w:rFonts w:ascii="宋体" w:hAnsi="宋体" w:cs="宋体"/>
          <w:szCs w:val="21"/>
        </w:rPr>
      </w:pPr>
      <w:r>
        <w:rPr>
          <w:rFonts w:hint="eastAsia" w:ascii="宋体" w:hAnsi="宋体" w:cs="宋体"/>
          <w:szCs w:val="21"/>
        </w:rPr>
        <w:t>（二）所提供的一切材料都是真实、有效、合法的；</w:t>
      </w:r>
    </w:p>
    <w:p>
      <w:pPr>
        <w:spacing w:before="240"/>
        <w:ind w:firstLine="420" w:firstLineChars="200"/>
        <w:rPr>
          <w:rFonts w:ascii="宋体" w:hAnsi="宋体" w:cs="宋体"/>
          <w:szCs w:val="21"/>
        </w:rPr>
      </w:pPr>
      <w:r>
        <w:rPr>
          <w:rFonts w:hint="eastAsia" w:ascii="宋体" w:hAnsi="宋体" w:cs="宋体"/>
          <w:szCs w:val="21"/>
        </w:rPr>
        <w:t>（三）本企业具有良好的商业信誉和健全的财务会计制度，财务审计报告或财务报表真实合理有效；</w:t>
      </w:r>
    </w:p>
    <w:p>
      <w:pPr>
        <w:spacing w:before="240"/>
        <w:ind w:firstLine="420" w:firstLineChars="200"/>
        <w:rPr>
          <w:rFonts w:ascii="宋体" w:hAnsi="宋体" w:cs="宋体"/>
          <w:szCs w:val="21"/>
        </w:rPr>
      </w:pPr>
      <w:r>
        <w:rPr>
          <w:rFonts w:hint="eastAsia" w:ascii="宋体" w:hAnsi="宋体" w:cs="宋体"/>
          <w:szCs w:val="21"/>
        </w:rPr>
        <w:t>（四）本企业具有履行合同所必需的专业技术能力；</w:t>
      </w:r>
    </w:p>
    <w:p>
      <w:pPr>
        <w:spacing w:before="240"/>
        <w:ind w:firstLine="420" w:firstLineChars="200"/>
        <w:rPr>
          <w:rFonts w:ascii="宋体" w:hAnsi="宋体" w:cs="宋体"/>
          <w:szCs w:val="21"/>
        </w:rPr>
      </w:pPr>
      <w:r>
        <w:rPr>
          <w:rFonts w:hint="eastAsia" w:ascii="宋体" w:hAnsi="宋体" w:cs="宋体"/>
          <w:szCs w:val="21"/>
        </w:rPr>
        <w:t>（五）</w:t>
      </w:r>
      <w:r>
        <w:rPr>
          <w:rFonts w:hint="eastAsia" w:ascii="宋体" w:hAnsi="宋体" w:cs="宋体"/>
        </w:rPr>
        <w:t>我公司郑重承诺在参加本项目政府采购活动前三年内，在经营活动中无重大违法记录。公司未受到刑事处罚或责令停业、吊销许可证（或执照）、较大数额罚款等行政处罚；未处于财产被接管、冻结、破产状况；</w:t>
      </w:r>
    </w:p>
    <w:p>
      <w:pPr>
        <w:spacing w:before="240"/>
        <w:ind w:firstLine="420" w:firstLineChars="200"/>
        <w:rPr>
          <w:rFonts w:ascii="宋体" w:hAnsi="宋体" w:cs="宋体"/>
          <w:bCs/>
          <w:szCs w:val="21"/>
        </w:rPr>
      </w:pPr>
      <w:r>
        <w:rPr>
          <w:rFonts w:hint="eastAsia" w:ascii="宋体" w:hAnsi="宋体" w:cs="宋体"/>
          <w:szCs w:val="21"/>
        </w:rPr>
        <w:t>（六）</w:t>
      </w:r>
      <w:r>
        <w:rPr>
          <w:rFonts w:hint="eastAsia" w:ascii="宋体" w:hAnsi="宋体" w:cs="宋体"/>
          <w:bCs/>
          <w:szCs w:val="21"/>
        </w:rPr>
        <w:t>未被列入政府取消投标资格记录期间的企业</w:t>
      </w:r>
      <w:r>
        <w:rPr>
          <w:rFonts w:hint="eastAsia" w:ascii="宋体" w:hAnsi="宋体" w:cs="宋体"/>
          <w:bCs/>
          <w:szCs w:val="21"/>
          <w:lang w:val="zh-CN"/>
        </w:rPr>
        <w:t>或个人投标，</w:t>
      </w:r>
      <w:r>
        <w:rPr>
          <w:rFonts w:hint="eastAsia" w:ascii="宋体" w:hAnsi="宋体" w:cs="宋体"/>
          <w:szCs w:val="21"/>
        </w:rPr>
        <w:t>未被“中国政府采购网”列入政府采购严重违法失信行为记录名单，本项目投标截止时间前未被“信用中国”网站中列入失信被执行人或重大税收违法案件当事人名单；</w:t>
      </w:r>
    </w:p>
    <w:p>
      <w:pPr>
        <w:spacing w:before="240"/>
        <w:ind w:firstLine="420" w:firstLineChars="200"/>
        <w:rPr>
          <w:rFonts w:ascii="宋体" w:hAnsi="宋体" w:cs="宋体"/>
          <w:kern w:val="0"/>
          <w:szCs w:val="21"/>
        </w:rPr>
      </w:pPr>
      <w:r>
        <w:rPr>
          <w:rFonts w:hint="eastAsia" w:ascii="宋体" w:hAnsi="宋体" w:cs="宋体"/>
          <w:szCs w:val="21"/>
        </w:rPr>
        <w:t>（七）</w:t>
      </w:r>
      <w:r>
        <w:rPr>
          <w:rFonts w:hint="eastAsia" w:ascii="宋体" w:hAnsi="宋体" w:cs="宋体"/>
          <w:kern w:val="0"/>
          <w:szCs w:val="21"/>
        </w:rPr>
        <w:t>在政府采购活动中，采购人员及相关人员与供应商有利害关系的，必须回避；单位负责人为同一人或者存在直接控股、管理关系的不同供应商，不得参加同一合同项下的政府采购活动。违反这两款规定的，相关投标均无效。</w:t>
      </w:r>
    </w:p>
    <w:p>
      <w:pPr>
        <w:pStyle w:val="14"/>
        <w:ind w:firstLine="420" w:firstLineChars="200"/>
        <w:rPr>
          <w:rFonts w:ascii="宋体" w:hAnsi="宋体" w:eastAsia="宋体" w:cs="宋体"/>
          <w:sz w:val="21"/>
          <w:szCs w:val="21"/>
        </w:rPr>
      </w:pPr>
      <w:r>
        <w:rPr>
          <w:rFonts w:hint="eastAsia" w:ascii="宋体" w:hAnsi="宋体" w:eastAsia="宋体" w:cs="宋体"/>
          <w:sz w:val="21"/>
          <w:szCs w:val="21"/>
        </w:rPr>
        <w:t>（八）不存在违反法律、法规的情况。</w:t>
      </w:r>
    </w:p>
    <w:p>
      <w:pPr>
        <w:spacing w:before="240"/>
        <w:ind w:firstLine="420" w:firstLineChars="200"/>
        <w:rPr>
          <w:rFonts w:ascii="宋体" w:hAnsi="宋体" w:cs="宋体"/>
          <w:szCs w:val="21"/>
        </w:rPr>
      </w:pPr>
      <w:r>
        <w:rPr>
          <w:rFonts w:hint="eastAsia" w:ascii="宋体" w:hAnsi="宋体" w:cs="宋体"/>
          <w:szCs w:val="21"/>
        </w:rPr>
        <w:t>上述承诺事项均为本企业真实意见表达，愿承担一切责任。若有任何弄虚作假、违反本承诺内容的行为，自愿接受取消投标资格、没收磋商保证金等有关处理，并承担法律责任；如已中标的，自动放弃中标资格；给采购人造成损失的，依法承担赔偿责任。</w:t>
      </w:r>
    </w:p>
    <w:p>
      <w:pPr>
        <w:rPr>
          <w:rFonts w:ascii="宋体" w:hAnsi="宋体" w:cs="宋体"/>
          <w:szCs w:val="21"/>
        </w:rPr>
      </w:pPr>
    </w:p>
    <w:p>
      <w:pPr>
        <w:ind w:left="2402" w:leftChars="1144" w:firstLine="210" w:firstLineChars="100"/>
        <w:jc w:val="right"/>
        <w:rPr>
          <w:rFonts w:ascii="宋体" w:hAnsi="宋体" w:cs="宋体"/>
          <w:szCs w:val="21"/>
        </w:rPr>
      </w:pPr>
      <w:r>
        <w:rPr>
          <w:rFonts w:hint="eastAsia" w:ascii="宋体" w:hAnsi="宋体" w:cs="宋体"/>
          <w:szCs w:val="21"/>
        </w:rPr>
        <w:tab/>
      </w:r>
      <w:r>
        <w:rPr>
          <w:rFonts w:hint="eastAsia" w:ascii="宋体" w:hAnsi="宋体" w:cs="宋体"/>
          <w:szCs w:val="21"/>
        </w:rPr>
        <w:t>供应商：（盖公章）</w:t>
      </w:r>
    </w:p>
    <w:p>
      <w:pPr>
        <w:jc w:val="right"/>
        <w:rPr>
          <w:rFonts w:ascii="宋体" w:hAnsi="宋体" w:cs="宋体"/>
          <w:szCs w:val="21"/>
        </w:rPr>
      </w:pPr>
      <w:r>
        <w:rPr>
          <w:rFonts w:hint="eastAsia" w:ascii="宋体" w:hAnsi="宋体" w:cs="宋体"/>
          <w:bCs/>
          <w:szCs w:val="21"/>
        </w:rPr>
        <w:t>法定代表人或其委托代理人</w:t>
      </w:r>
      <w:r>
        <w:rPr>
          <w:rFonts w:hint="eastAsia" w:ascii="宋体" w:hAnsi="宋体" w:cs="宋体"/>
          <w:szCs w:val="21"/>
        </w:rPr>
        <w:t>：（签字或盖章）</w:t>
      </w:r>
    </w:p>
    <w:p>
      <w:pPr>
        <w:ind w:left="2402" w:leftChars="1144" w:firstLine="210" w:firstLineChars="100"/>
        <w:jc w:val="right"/>
        <w:rPr>
          <w:rFonts w:ascii="宋体" w:hAnsi="宋体" w:cs="宋体"/>
          <w:szCs w:val="21"/>
        </w:rPr>
      </w:pPr>
      <w:r>
        <w:rPr>
          <w:rFonts w:hint="eastAsia" w:ascii="宋体" w:hAnsi="宋体" w:cs="宋体"/>
          <w:szCs w:val="21"/>
        </w:rPr>
        <w:t>年  月  日</w:t>
      </w:r>
    </w:p>
    <w:p>
      <w:pPr>
        <w:spacing w:line="480" w:lineRule="auto"/>
        <w:rPr>
          <w:rFonts w:ascii="宋体" w:hAnsi="宋体" w:cs="宋体"/>
          <w:b/>
          <w:sz w:val="24"/>
        </w:rPr>
      </w:pPr>
      <w:r>
        <w:rPr>
          <w:rFonts w:hint="eastAsia" w:ascii="宋体" w:hAnsi="宋体" w:cs="宋体"/>
          <w:szCs w:val="21"/>
        </w:rPr>
        <w:br w:type="page"/>
      </w:r>
      <w:bookmarkStart w:id="177" w:name="_Toc14366"/>
      <w:bookmarkStart w:id="178" w:name="_Toc27325"/>
    </w:p>
    <w:p>
      <w:pPr>
        <w:tabs>
          <w:tab w:val="left" w:pos="993"/>
          <w:tab w:val="left" w:pos="1030"/>
          <w:tab w:val="left" w:pos="8364"/>
        </w:tabs>
        <w:snapToGrid w:val="0"/>
        <w:spacing w:afterLines="50"/>
        <w:ind w:left="420" w:right="-57" w:rightChars="-27"/>
        <w:jc w:val="center"/>
        <w:outlineLvl w:val="2"/>
        <w:rPr>
          <w:rFonts w:ascii="宋体" w:hAnsi="宋体" w:cs="宋体"/>
          <w:b/>
          <w:sz w:val="24"/>
        </w:rPr>
      </w:pPr>
      <w:bookmarkStart w:id="179" w:name="_Toc31424"/>
    </w:p>
    <w:p>
      <w:pPr>
        <w:tabs>
          <w:tab w:val="left" w:pos="993"/>
          <w:tab w:val="left" w:pos="1030"/>
          <w:tab w:val="left" w:pos="8364"/>
        </w:tabs>
        <w:snapToGrid w:val="0"/>
        <w:spacing w:afterLines="50"/>
        <w:ind w:left="420" w:right="-57" w:rightChars="-27"/>
        <w:jc w:val="center"/>
        <w:outlineLvl w:val="2"/>
        <w:rPr>
          <w:rFonts w:ascii="宋体" w:hAnsi="宋体" w:cs="宋体"/>
          <w:b/>
          <w:sz w:val="24"/>
        </w:rPr>
      </w:pPr>
      <w:r>
        <w:rPr>
          <w:rFonts w:hint="eastAsia" w:ascii="宋体" w:hAnsi="宋体" w:cs="宋体"/>
          <w:b/>
          <w:sz w:val="24"/>
        </w:rPr>
        <w:t>具备履行合同所必需的设备和专业技术能力承诺书</w:t>
      </w:r>
      <w:bookmarkEnd w:id="177"/>
      <w:bookmarkEnd w:id="178"/>
      <w:bookmarkEnd w:id="179"/>
    </w:p>
    <w:p>
      <w:pPr>
        <w:ind w:firstLine="480"/>
        <w:rPr>
          <w:rFonts w:ascii="宋体" w:hAnsi="宋体" w:cs="宋体"/>
          <w:kern w:val="0"/>
          <w:sz w:val="24"/>
        </w:rPr>
      </w:pPr>
    </w:p>
    <w:p>
      <w:pPr>
        <w:ind w:firstLine="480"/>
        <w:rPr>
          <w:rFonts w:ascii="宋体" w:hAnsi="宋体" w:cs="宋体"/>
          <w:kern w:val="0"/>
          <w:sz w:val="24"/>
        </w:rPr>
      </w:pPr>
    </w:p>
    <w:p>
      <w:pPr>
        <w:pStyle w:val="18"/>
        <w:autoSpaceDE w:val="0"/>
        <w:ind w:firstLine="420" w:firstLineChars="200"/>
        <w:rPr>
          <w:rFonts w:hAnsi="宋体" w:cs="宋体"/>
          <w:sz w:val="21"/>
          <w:szCs w:val="21"/>
        </w:rPr>
      </w:pPr>
      <w:r>
        <w:rPr>
          <w:rFonts w:hint="eastAsia" w:hAnsi="宋体" w:cs="宋体"/>
          <w:sz w:val="21"/>
          <w:szCs w:val="21"/>
        </w:rPr>
        <w:t>(采购人名称)</w:t>
      </w:r>
      <w:r>
        <w:rPr>
          <w:rFonts w:hint="eastAsia" w:hAnsi="宋体" w:cs="宋体"/>
          <w:sz w:val="21"/>
          <w:szCs w:val="21"/>
          <w:u w:val="single"/>
        </w:rPr>
        <w:t xml:space="preserve">      </w:t>
      </w:r>
    </w:p>
    <w:p>
      <w:pPr>
        <w:pStyle w:val="18"/>
        <w:autoSpaceDE w:val="0"/>
        <w:ind w:firstLine="420" w:firstLineChars="200"/>
        <w:rPr>
          <w:rFonts w:hAnsi="宋体" w:cs="宋体"/>
          <w:sz w:val="21"/>
          <w:szCs w:val="21"/>
        </w:rPr>
      </w:pPr>
    </w:p>
    <w:p>
      <w:pPr>
        <w:pStyle w:val="18"/>
        <w:autoSpaceDE w:val="0"/>
        <w:ind w:firstLine="420" w:firstLineChars="200"/>
        <w:rPr>
          <w:rFonts w:hAnsi="宋体" w:cs="宋体"/>
          <w:sz w:val="21"/>
          <w:szCs w:val="21"/>
        </w:rPr>
      </w:pPr>
      <w:r>
        <w:rPr>
          <w:rFonts w:hint="eastAsia" w:hAnsi="宋体" w:cs="宋体"/>
          <w:sz w:val="21"/>
          <w:szCs w:val="21"/>
        </w:rPr>
        <w:t>我公司承诺具备履行合同所必需的设备和专业技术能力。</w:t>
      </w:r>
    </w:p>
    <w:p>
      <w:pPr>
        <w:pStyle w:val="18"/>
        <w:autoSpaceDE w:val="0"/>
        <w:ind w:firstLine="420" w:firstLineChars="200"/>
        <w:rPr>
          <w:rFonts w:hAnsi="宋体" w:cs="宋体"/>
          <w:sz w:val="21"/>
          <w:szCs w:val="21"/>
        </w:rPr>
      </w:pPr>
    </w:p>
    <w:p>
      <w:pPr>
        <w:pStyle w:val="18"/>
        <w:autoSpaceDE w:val="0"/>
        <w:ind w:firstLine="420" w:firstLineChars="200"/>
        <w:rPr>
          <w:rFonts w:hAnsi="宋体" w:cs="宋体"/>
          <w:sz w:val="21"/>
          <w:szCs w:val="21"/>
        </w:rPr>
      </w:pPr>
    </w:p>
    <w:p>
      <w:pPr>
        <w:pStyle w:val="18"/>
        <w:autoSpaceDE w:val="0"/>
        <w:ind w:firstLine="420" w:firstLineChars="200"/>
        <w:rPr>
          <w:rFonts w:hAnsi="宋体" w:cs="宋体"/>
          <w:sz w:val="21"/>
          <w:szCs w:val="21"/>
        </w:rPr>
      </w:pPr>
    </w:p>
    <w:p>
      <w:pPr>
        <w:pStyle w:val="18"/>
        <w:autoSpaceDE w:val="0"/>
        <w:ind w:firstLine="420" w:firstLineChars="200"/>
        <w:rPr>
          <w:rFonts w:hAnsi="宋体" w:cs="宋体"/>
          <w:sz w:val="21"/>
          <w:szCs w:val="21"/>
        </w:rPr>
      </w:pPr>
      <w:r>
        <w:rPr>
          <w:rFonts w:hint="eastAsia" w:hAnsi="宋体" w:cs="宋体"/>
          <w:sz w:val="21"/>
          <w:szCs w:val="21"/>
        </w:rPr>
        <w:t>供应商：（公章）</w:t>
      </w:r>
    </w:p>
    <w:p>
      <w:pPr>
        <w:pStyle w:val="18"/>
        <w:autoSpaceDE w:val="0"/>
        <w:ind w:firstLine="420" w:firstLineChars="200"/>
        <w:rPr>
          <w:rFonts w:hAnsi="宋体" w:cs="宋体"/>
          <w:sz w:val="21"/>
          <w:szCs w:val="21"/>
        </w:rPr>
      </w:pPr>
      <w:r>
        <w:rPr>
          <w:rFonts w:hint="eastAsia" w:hAnsi="宋体" w:cs="宋体"/>
          <w:sz w:val="21"/>
          <w:szCs w:val="21"/>
        </w:rPr>
        <w:t>法定代表人或委托代理人：（</w:t>
      </w:r>
      <w:r>
        <w:rPr>
          <w:rFonts w:hint="eastAsia" w:hAnsi="宋体" w:cs="宋体"/>
          <w:sz w:val="21"/>
          <w:szCs w:val="22"/>
        </w:rPr>
        <w:t>签字或盖章</w:t>
      </w:r>
      <w:r>
        <w:rPr>
          <w:rFonts w:hint="eastAsia" w:hAnsi="宋体" w:cs="宋体"/>
          <w:sz w:val="21"/>
          <w:szCs w:val="21"/>
        </w:rPr>
        <w:t>）</w:t>
      </w:r>
    </w:p>
    <w:p>
      <w:pPr>
        <w:pStyle w:val="18"/>
        <w:autoSpaceDE w:val="0"/>
        <w:ind w:firstLine="420" w:firstLineChars="200"/>
        <w:rPr>
          <w:rFonts w:hAnsi="宋体" w:cs="宋体"/>
          <w:sz w:val="21"/>
          <w:szCs w:val="21"/>
        </w:rPr>
      </w:pPr>
      <w:r>
        <w:rPr>
          <w:rFonts w:hint="eastAsia" w:hAnsi="宋体" w:cs="宋体"/>
          <w:sz w:val="21"/>
          <w:szCs w:val="21"/>
        </w:rPr>
        <w:t>日期：</w:t>
      </w:r>
    </w:p>
    <w:p>
      <w:pPr>
        <w:ind w:right="280"/>
        <w:rPr>
          <w:rFonts w:ascii="宋体" w:hAnsi="宋体" w:cs="宋体"/>
          <w:sz w:val="24"/>
        </w:rPr>
      </w:pPr>
    </w:p>
    <w:p>
      <w:pPr>
        <w:widowControl/>
        <w:jc w:val="left"/>
        <w:rPr>
          <w:rFonts w:ascii="宋体" w:hAnsi="宋体" w:cs="宋体"/>
          <w:szCs w:val="21"/>
        </w:rPr>
      </w:pPr>
    </w:p>
    <w:p>
      <w:pPr>
        <w:spacing w:line="360" w:lineRule="auto"/>
        <w:jc w:val="left"/>
        <w:rPr>
          <w:rFonts w:ascii="宋体" w:hAnsi="宋体" w:cs="宋体"/>
        </w:rPr>
      </w:pPr>
      <w:r>
        <w:rPr>
          <w:rFonts w:hint="eastAsia" w:ascii="宋体" w:hAnsi="宋体" w:cs="宋体"/>
        </w:rPr>
        <w:t xml:space="preserve"> </w:t>
      </w:r>
    </w:p>
    <w:p>
      <w:pPr>
        <w:widowControl/>
        <w:jc w:val="left"/>
        <w:rPr>
          <w:rFonts w:ascii="宋体" w:hAnsi="宋体" w:cs="宋体"/>
        </w:rPr>
        <w:sectPr>
          <w:headerReference r:id="rId10" w:type="default"/>
          <w:pgSz w:w="11906" w:h="16838"/>
          <w:pgMar w:top="1134" w:right="1134" w:bottom="1134" w:left="1134" w:header="567" w:footer="737" w:gutter="0"/>
          <w:cols w:space="720" w:num="1"/>
          <w:titlePg/>
          <w:docGrid w:type="lines" w:linePitch="490" w:charSpace="0"/>
        </w:sectPr>
      </w:pPr>
    </w:p>
    <w:p>
      <w:pPr>
        <w:tabs>
          <w:tab w:val="left" w:pos="993"/>
          <w:tab w:val="left" w:pos="1030"/>
          <w:tab w:val="left" w:pos="8364"/>
        </w:tabs>
        <w:snapToGrid w:val="0"/>
        <w:spacing w:afterLines="50"/>
        <w:ind w:left="420" w:right="-57" w:rightChars="-27"/>
        <w:jc w:val="center"/>
        <w:outlineLvl w:val="2"/>
        <w:rPr>
          <w:rFonts w:ascii="宋体" w:hAnsi="宋体" w:cs="宋体"/>
          <w:b/>
          <w:sz w:val="24"/>
        </w:rPr>
      </w:pPr>
      <w:r>
        <w:rPr>
          <w:rFonts w:hint="eastAsia" w:ascii="宋体" w:hAnsi="宋体" w:cs="宋体"/>
          <w:b/>
          <w:sz w:val="24"/>
        </w:rPr>
        <w:t>资格条件承诺函</w:t>
      </w:r>
    </w:p>
    <w:p>
      <w:pPr>
        <w:tabs>
          <w:tab w:val="left" w:pos="993"/>
          <w:tab w:val="left" w:pos="1030"/>
          <w:tab w:val="left" w:pos="8364"/>
        </w:tabs>
        <w:snapToGrid w:val="0"/>
        <w:spacing w:afterLines="50"/>
        <w:ind w:left="420" w:right="-57" w:rightChars="-27"/>
        <w:jc w:val="center"/>
        <w:outlineLvl w:val="2"/>
        <w:rPr>
          <w:rFonts w:ascii="宋体" w:hAnsi="宋体" w:cs="宋体"/>
          <w:b/>
          <w:sz w:val="24"/>
        </w:rPr>
      </w:pPr>
    </w:p>
    <w:p>
      <w:pPr>
        <w:spacing w:line="274" w:lineRule="auto"/>
        <w:rPr>
          <w:rFonts w:ascii="Arial"/>
        </w:rPr>
      </w:pPr>
    </w:p>
    <w:p>
      <w:pPr>
        <w:spacing w:before="107" w:line="222" w:lineRule="auto"/>
        <w:rPr>
          <w:rFonts w:ascii="宋体" w:hAnsi="宋体" w:cs="宋体"/>
          <w:szCs w:val="21"/>
        </w:rPr>
      </w:pPr>
      <w:r>
        <w:rPr>
          <w:rFonts w:hint="eastAsia" w:ascii="宋体" w:hAnsi="宋体" w:cs="宋体"/>
          <w:spacing w:val="28"/>
          <w:szCs w:val="21"/>
        </w:rPr>
        <w:t>致：</w:t>
      </w:r>
      <w:r>
        <w:rPr>
          <w:rFonts w:hint="eastAsia" w:ascii="宋体" w:hAnsi="宋体" w:cs="宋体"/>
          <w:spacing w:val="-54"/>
          <w:szCs w:val="21"/>
        </w:rPr>
        <w:t xml:space="preserve"> </w:t>
      </w:r>
      <w:r>
        <w:rPr>
          <w:rFonts w:hint="eastAsia" w:ascii="宋体" w:hAnsi="宋体" w:cs="宋体"/>
          <w:spacing w:val="127"/>
          <w:szCs w:val="21"/>
          <w:u w:val="single"/>
        </w:rPr>
        <w:t xml:space="preserve"> </w:t>
      </w:r>
      <w:r>
        <w:rPr>
          <w:rFonts w:hint="eastAsia" w:ascii="宋体" w:hAnsi="宋体" w:cs="宋体"/>
          <w:spacing w:val="28"/>
          <w:szCs w:val="21"/>
          <w:u w:val="single"/>
        </w:rPr>
        <w:t>(采购人、采购代理机构)</w:t>
      </w:r>
      <w:r>
        <w:rPr>
          <w:rFonts w:hint="eastAsia" w:ascii="宋体" w:hAnsi="宋体" w:cs="宋体"/>
          <w:spacing w:val="57"/>
          <w:szCs w:val="21"/>
          <w:u w:val="single"/>
        </w:rPr>
        <w:t xml:space="preserve">  </w:t>
      </w:r>
      <w:r>
        <w:rPr>
          <w:rFonts w:hint="eastAsia" w:ascii="宋体" w:hAnsi="宋体" w:cs="宋体"/>
          <w:spacing w:val="-104"/>
          <w:szCs w:val="21"/>
        </w:rPr>
        <w:t xml:space="preserve"> </w:t>
      </w:r>
      <w:r>
        <w:rPr>
          <w:rFonts w:hint="eastAsia" w:ascii="宋体" w:hAnsi="宋体" w:cs="宋体"/>
          <w:spacing w:val="28"/>
          <w:szCs w:val="21"/>
        </w:rPr>
        <w:t>:</w:t>
      </w:r>
    </w:p>
    <w:p>
      <w:pPr>
        <w:spacing w:before="210" w:line="365" w:lineRule="auto"/>
        <w:ind w:left="629"/>
        <w:rPr>
          <w:rFonts w:ascii="宋体" w:hAnsi="宋体" w:cs="宋体"/>
          <w:bCs/>
          <w:szCs w:val="18"/>
          <w:lang w:val="zh-CN"/>
        </w:rPr>
      </w:pPr>
      <w:r>
        <w:rPr>
          <w:rFonts w:hint="eastAsia" w:ascii="宋体" w:hAnsi="宋体" w:cs="宋体"/>
          <w:bCs/>
          <w:szCs w:val="18"/>
          <w:lang w:val="zh-CN"/>
        </w:rPr>
        <w:t>我单位(公司)参与</w:t>
      </w:r>
      <w:r>
        <w:rPr>
          <w:rFonts w:hint="eastAsia" w:ascii="宋体" w:hAnsi="宋体" w:cs="宋体"/>
          <w:spacing w:val="-66"/>
          <w:szCs w:val="21"/>
        </w:rPr>
        <w:t xml:space="preserve"> </w:t>
      </w:r>
      <w:r>
        <w:rPr>
          <w:rFonts w:hint="eastAsia" w:ascii="宋体" w:hAnsi="宋体" w:cs="宋体"/>
          <w:spacing w:val="13"/>
          <w:szCs w:val="21"/>
          <w:u w:val="single"/>
        </w:rPr>
        <w:t xml:space="preserve">   </w:t>
      </w:r>
      <w:r>
        <w:rPr>
          <w:rFonts w:hint="eastAsia" w:ascii="宋体" w:hAnsi="宋体" w:cs="宋体"/>
          <w:spacing w:val="39"/>
          <w:szCs w:val="21"/>
          <w:u w:val="single"/>
        </w:rPr>
        <w:t>(采购项目名称项目编号)</w:t>
      </w:r>
      <w:r>
        <w:rPr>
          <w:rFonts w:hint="eastAsia" w:ascii="宋体" w:hAnsi="宋体" w:cs="宋体"/>
          <w:bCs/>
          <w:szCs w:val="18"/>
          <w:lang w:val="zh-CN"/>
        </w:rPr>
        <w:t>采购项目的政府采购活动，现承诺如下：</w:t>
      </w:r>
    </w:p>
    <w:p>
      <w:pPr>
        <w:autoSpaceDE w:val="0"/>
        <w:autoSpaceDN w:val="0"/>
        <w:adjustRightInd w:val="0"/>
        <w:spacing w:line="360" w:lineRule="auto"/>
        <w:ind w:firstLine="420" w:firstLineChars="200"/>
        <w:jc w:val="left"/>
        <w:outlineLvl w:val="2"/>
        <w:rPr>
          <w:rFonts w:ascii="宋体" w:hAnsi="宋体" w:cs="宋体"/>
          <w:bCs/>
          <w:szCs w:val="18"/>
          <w:lang w:val="zh-CN"/>
        </w:rPr>
      </w:pPr>
      <w:r>
        <w:rPr>
          <w:rFonts w:hint="eastAsia" w:ascii="宋体" w:hAnsi="宋体" w:cs="宋体"/>
          <w:bCs/>
          <w:szCs w:val="18"/>
          <w:lang w:val="zh-CN"/>
        </w:rPr>
        <w:t>1. 具有良好的商业信誉和健全的财务会计制度；</w:t>
      </w:r>
    </w:p>
    <w:p>
      <w:pPr>
        <w:autoSpaceDE w:val="0"/>
        <w:autoSpaceDN w:val="0"/>
        <w:adjustRightInd w:val="0"/>
        <w:spacing w:line="360" w:lineRule="auto"/>
        <w:ind w:firstLine="420" w:firstLineChars="200"/>
        <w:jc w:val="left"/>
        <w:outlineLvl w:val="2"/>
        <w:rPr>
          <w:rFonts w:ascii="宋体" w:hAnsi="宋体" w:cs="宋体"/>
          <w:bCs/>
          <w:szCs w:val="18"/>
          <w:lang w:val="zh-CN"/>
        </w:rPr>
      </w:pPr>
      <w:r>
        <w:rPr>
          <w:rFonts w:hint="eastAsia" w:ascii="宋体" w:hAnsi="宋体" w:cs="宋体"/>
          <w:bCs/>
          <w:szCs w:val="18"/>
          <w:lang w:val="zh-CN"/>
        </w:rPr>
        <w:t>2. 具有依法缴纳税收的良好记录；</w:t>
      </w:r>
    </w:p>
    <w:p>
      <w:pPr>
        <w:autoSpaceDE w:val="0"/>
        <w:autoSpaceDN w:val="0"/>
        <w:adjustRightInd w:val="0"/>
        <w:spacing w:line="360" w:lineRule="auto"/>
        <w:ind w:firstLine="420" w:firstLineChars="200"/>
        <w:jc w:val="left"/>
        <w:outlineLvl w:val="2"/>
        <w:rPr>
          <w:rFonts w:ascii="宋体" w:hAnsi="宋体" w:cs="宋体"/>
          <w:bCs/>
          <w:szCs w:val="18"/>
          <w:lang w:val="zh-CN"/>
        </w:rPr>
      </w:pPr>
      <w:r>
        <w:rPr>
          <w:rFonts w:hint="eastAsia" w:ascii="宋体" w:hAnsi="宋体" w:cs="宋体"/>
          <w:bCs/>
          <w:szCs w:val="18"/>
          <w:lang w:val="zh-CN"/>
        </w:rPr>
        <w:t>3.具有依法缴纳社会保障金的良好记录。</w:t>
      </w:r>
    </w:p>
    <w:p>
      <w:pPr>
        <w:autoSpaceDE w:val="0"/>
        <w:autoSpaceDN w:val="0"/>
        <w:adjustRightInd w:val="0"/>
        <w:spacing w:line="360" w:lineRule="auto"/>
        <w:ind w:firstLine="420" w:firstLineChars="200"/>
        <w:jc w:val="left"/>
        <w:outlineLvl w:val="2"/>
        <w:rPr>
          <w:rFonts w:ascii="宋体" w:hAnsi="宋体" w:cs="宋体"/>
          <w:bCs/>
          <w:szCs w:val="18"/>
          <w:lang w:val="zh-CN"/>
        </w:rPr>
      </w:pPr>
      <w:r>
        <w:rPr>
          <w:rFonts w:hint="eastAsia" w:ascii="宋体" w:hAnsi="宋体" w:cs="宋体"/>
          <w:bCs/>
          <w:szCs w:val="18"/>
          <w:lang w:val="zh-CN"/>
        </w:rPr>
        <w:t>我方在采购项目评审(评审)环节结束后，随时接受采购人、采购代理机构的检查验证，配合提供相关证明材料， 证明符合《中华人民共和国政府采购法》规定的供应商基本资格条件。</w:t>
      </w:r>
    </w:p>
    <w:p>
      <w:pPr>
        <w:spacing w:before="248" w:line="603" w:lineRule="exact"/>
        <w:ind w:left="629"/>
        <w:rPr>
          <w:rFonts w:ascii="宋体" w:hAnsi="宋体" w:cs="宋体"/>
          <w:bCs/>
          <w:szCs w:val="18"/>
          <w:lang w:val="zh-CN"/>
        </w:rPr>
      </w:pPr>
      <w:r>
        <w:rPr>
          <w:rFonts w:hint="eastAsia" w:ascii="宋体" w:hAnsi="宋体" w:cs="宋体"/>
          <w:spacing w:val="-2"/>
          <w:position w:val="20"/>
          <w:szCs w:val="21"/>
        </w:rPr>
        <w:t>我单位(公司)对上述承诺的真实性负责。如有虚假，</w:t>
      </w:r>
      <w:r>
        <w:rPr>
          <w:rFonts w:hint="eastAsia" w:ascii="宋体" w:hAnsi="宋体" w:cs="宋体"/>
          <w:spacing w:val="-2"/>
          <w:position w:val="20"/>
          <w:szCs w:val="21"/>
          <w:lang w:val="zh-CN"/>
        </w:rPr>
        <w:t>将依法承担相应责任。</w:t>
      </w:r>
    </w:p>
    <w:p>
      <w:pPr>
        <w:spacing w:before="248" w:line="603" w:lineRule="exact"/>
        <w:ind w:left="629"/>
        <w:rPr>
          <w:rFonts w:ascii="宋体" w:hAnsi="宋体" w:cs="宋体"/>
          <w:spacing w:val="-2"/>
          <w:position w:val="20"/>
          <w:szCs w:val="21"/>
        </w:rPr>
      </w:pPr>
      <w:r>
        <w:rPr>
          <w:rFonts w:hint="eastAsia" w:ascii="宋体" w:hAnsi="宋体" w:cs="宋体"/>
          <w:spacing w:val="-2"/>
          <w:position w:val="20"/>
          <w:szCs w:val="21"/>
        </w:rPr>
        <w:t>特此承诺。</w:t>
      </w:r>
    </w:p>
    <w:p>
      <w:pPr>
        <w:spacing w:line="245" w:lineRule="auto"/>
        <w:jc w:val="right"/>
        <w:rPr>
          <w:rFonts w:ascii="宋体" w:hAnsi="宋体" w:cs="宋体"/>
          <w:szCs w:val="21"/>
        </w:rPr>
      </w:pPr>
    </w:p>
    <w:p>
      <w:pPr>
        <w:spacing w:line="245" w:lineRule="auto"/>
        <w:jc w:val="right"/>
        <w:rPr>
          <w:rFonts w:ascii="宋体" w:hAnsi="宋体" w:cs="宋体"/>
          <w:szCs w:val="21"/>
        </w:rPr>
      </w:pPr>
    </w:p>
    <w:p>
      <w:pPr>
        <w:spacing w:line="246" w:lineRule="auto"/>
        <w:jc w:val="right"/>
        <w:rPr>
          <w:rFonts w:ascii="宋体" w:hAnsi="宋体" w:cs="宋体"/>
          <w:szCs w:val="21"/>
        </w:rPr>
      </w:pPr>
    </w:p>
    <w:p>
      <w:pPr>
        <w:spacing w:before="248" w:line="603" w:lineRule="exact"/>
        <w:ind w:left="629"/>
        <w:jc w:val="center"/>
        <w:rPr>
          <w:rFonts w:ascii="宋体" w:hAnsi="宋体" w:cs="宋体"/>
          <w:spacing w:val="-2"/>
          <w:position w:val="20"/>
          <w:szCs w:val="21"/>
        </w:rPr>
      </w:pPr>
      <w:r>
        <w:rPr>
          <w:rFonts w:hint="eastAsia" w:ascii="宋体" w:hAnsi="宋体" w:cs="宋体"/>
          <w:spacing w:val="-2"/>
          <w:position w:val="20"/>
          <w:szCs w:val="21"/>
        </w:rPr>
        <w:t>盖章：</w:t>
      </w:r>
    </w:p>
    <w:p>
      <w:pPr>
        <w:spacing w:before="248" w:line="603" w:lineRule="exact"/>
        <w:ind w:left="629"/>
        <w:jc w:val="center"/>
        <w:rPr>
          <w:rFonts w:ascii="宋体" w:hAnsi="宋体" w:cs="宋体"/>
          <w:spacing w:val="-2"/>
          <w:position w:val="20"/>
          <w:szCs w:val="21"/>
        </w:rPr>
      </w:pPr>
      <w:r>
        <w:rPr>
          <w:rFonts w:hint="eastAsia" w:ascii="宋体" w:hAnsi="宋体" w:cs="宋体"/>
          <w:spacing w:val="-2"/>
          <w:position w:val="20"/>
          <w:szCs w:val="21"/>
        </w:rPr>
        <w:t>签字：</w:t>
      </w:r>
    </w:p>
    <w:p>
      <w:pPr>
        <w:spacing w:before="248" w:line="603" w:lineRule="exact"/>
        <w:ind w:left="629"/>
        <w:jc w:val="center"/>
        <w:rPr>
          <w:rFonts w:ascii="宋体" w:hAnsi="宋体" w:cs="宋体"/>
          <w:spacing w:val="-2"/>
          <w:position w:val="20"/>
          <w:szCs w:val="21"/>
        </w:rPr>
      </w:pPr>
      <w:r>
        <w:rPr>
          <w:rFonts w:hint="eastAsia" w:ascii="宋体" w:hAnsi="宋体" w:cs="宋体"/>
          <w:spacing w:val="-2"/>
          <w:position w:val="20"/>
          <w:szCs w:val="21"/>
        </w:rPr>
        <w:t>日期：</w:t>
      </w:r>
    </w:p>
    <w:p>
      <w:pPr>
        <w:jc w:val="center"/>
        <w:rPr>
          <w:rFonts w:ascii="宋体" w:hAnsi="宋体" w:cs="宋体"/>
          <w:szCs w:val="21"/>
        </w:rPr>
        <w:sectPr>
          <w:footerReference r:id="rId11" w:type="default"/>
          <w:pgSz w:w="11906" w:h="16838"/>
          <w:pgMar w:top="1344" w:right="1828" w:bottom="1083" w:left="1759" w:header="0" w:footer="567" w:gutter="0"/>
          <w:pgNumType w:fmt="decimal"/>
          <w:cols w:space="720" w:num="1"/>
        </w:sectPr>
      </w:pPr>
    </w:p>
    <w:p>
      <w:pPr>
        <w:spacing w:line="480" w:lineRule="auto"/>
        <w:jc w:val="center"/>
        <w:rPr>
          <w:rFonts w:ascii="宋体" w:hAnsi="宋体" w:cs="宋体"/>
          <w:b/>
          <w:bCs/>
          <w:sz w:val="28"/>
          <w:szCs w:val="28"/>
        </w:rPr>
      </w:pPr>
      <w:r>
        <w:rPr>
          <w:rFonts w:hint="eastAsia" w:ascii="宋体" w:hAnsi="宋体" w:cs="宋体"/>
          <w:b/>
          <w:bCs/>
          <w:sz w:val="28"/>
          <w:szCs w:val="28"/>
        </w:rPr>
        <w:t>供应商情况表</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44"/>
        <w:gridCol w:w="3441"/>
        <w:gridCol w:w="158"/>
        <w:gridCol w:w="1398"/>
        <w:gridCol w:w="226"/>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企业名称</w:t>
            </w:r>
          </w:p>
        </w:tc>
        <w:tc>
          <w:tcPr>
            <w:tcW w:w="1866" w:type="pct"/>
            <w:gridSpan w:val="2"/>
            <w:vAlign w:val="center"/>
          </w:tcPr>
          <w:p>
            <w:pPr>
              <w:jc w:val="center"/>
              <w:rPr>
                <w:rFonts w:ascii="宋体" w:hAnsi="宋体" w:cs="宋体"/>
                <w:sz w:val="22"/>
                <w:szCs w:val="18"/>
              </w:rPr>
            </w:pPr>
          </w:p>
        </w:tc>
        <w:tc>
          <w:tcPr>
            <w:tcW w:w="842" w:type="pct"/>
            <w:gridSpan w:val="2"/>
            <w:vAlign w:val="center"/>
          </w:tcPr>
          <w:p>
            <w:pPr>
              <w:jc w:val="center"/>
              <w:rPr>
                <w:rFonts w:ascii="宋体" w:hAnsi="宋体" w:cs="宋体"/>
                <w:sz w:val="22"/>
                <w:szCs w:val="18"/>
              </w:rPr>
            </w:pPr>
            <w:r>
              <w:rPr>
                <w:rFonts w:hint="eastAsia" w:ascii="宋体" w:hAnsi="宋体" w:cs="宋体"/>
                <w:sz w:val="22"/>
                <w:szCs w:val="18"/>
              </w:rPr>
              <w:t>成立日期</w:t>
            </w:r>
          </w:p>
        </w:tc>
        <w:tc>
          <w:tcPr>
            <w:tcW w:w="1386" w:type="pct"/>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注册资本</w:t>
            </w:r>
          </w:p>
        </w:tc>
        <w:tc>
          <w:tcPr>
            <w:tcW w:w="1866" w:type="pct"/>
            <w:gridSpan w:val="2"/>
            <w:vAlign w:val="center"/>
          </w:tcPr>
          <w:p>
            <w:pPr>
              <w:jc w:val="center"/>
              <w:rPr>
                <w:rFonts w:ascii="宋体" w:hAnsi="宋体" w:cs="宋体"/>
                <w:sz w:val="22"/>
                <w:szCs w:val="18"/>
              </w:rPr>
            </w:pPr>
          </w:p>
        </w:tc>
        <w:tc>
          <w:tcPr>
            <w:tcW w:w="842" w:type="pct"/>
            <w:gridSpan w:val="2"/>
            <w:vAlign w:val="center"/>
          </w:tcPr>
          <w:p>
            <w:pPr>
              <w:jc w:val="center"/>
              <w:rPr>
                <w:rFonts w:ascii="宋体" w:hAnsi="宋体" w:cs="宋体"/>
                <w:sz w:val="22"/>
                <w:szCs w:val="18"/>
              </w:rPr>
            </w:pPr>
            <w:r>
              <w:rPr>
                <w:rFonts w:hint="eastAsia" w:ascii="宋体" w:hAnsi="宋体" w:cs="宋体"/>
                <w:sz w:val="22"/>
                <w:szCs w:val="18"/>
              </w:rPr>
              <w:t>企业类型</w:t>
            </w:r>
          </w:p>
        </w:tc>
        <w:tc>
          <w:tcPr>
            <w:tcW w:w="1386" w:type="pct"/>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批准登记机关</w:t>
            </w:r>
          </w:p>
        </w:tc>
        <w:tc>
          <w:tcPr>
            <w:tcW w:w="1866" w:type="pct"/>
            <w:gridSpan w:val="2"/>
            <w:vAlign w:val="center"/>
          </w:tcPr>
          <w:p>
            <w:pPr>
              <w:jc w:val="center"/>
              <w:rPr>
                <w:rFonts w:ascii="宋体" w:hAnsi="宋体" w:cs="宋体"/>
                <w:sz w:val="22"/>
                <w:szCs w:val="18"/>
              </w:rPr>
            </w:pPr>
          </w:p>
        </w:tc>
        <w:tc>
          <w:tcPr>
            <w:tcW w:w="842" w:type="pct"/>
            <w:gridSpan w:val="2"/>
            <w:vAlign w:val="center"/>
          </w:tcPr>
          <w:p>
            <w:pPr>
              <w:jc w:val="center"/>
              <w:rPr>
                <w:rFonts w:ascii="宋体" w:hAnsi="宋体" w:cs="宋体"/>
                <w:sz w:val="22"/>
                <w:szCs w:val="18"/>
              </w:rPr>
            </w:pPr>
            <w:r>
              <w:rPr>
                <w:rFonts w:hint="eastAsia" w:ascii="宋体" w:hAnsi="宋体" w:cs="宋体"/>
                <w:sz w:val="22"/>
                <w:szCs w:val="22"/>
              </w:rPr>
              <w:t>统一社会信用代码</w:t>
            </w:r>
          </w:p>
        </w:tc>
        <w:tc>
          <w:tcPr>
            <w:tcW w:w="1386" w:type="pct"/>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法定代表人</w:t>
            </w:r>
          </w:p>
        </w:tc>
        <w:tc>
          <w:tcPr>
            <w:tcW w:w="1866" w:type="pct"/>
            <w:gridSpan w:val="2"/>
            <w:vAlign w:val="center"/>
          </w:tcPr>
          <w:p>
            <w:pPr>
              <w:jc w:val="center"/>
              <w:rPr>
                <w:rFonts w:ascii="宋体" w:hAnsi="宋体" w:cs="宋体"/>
                <w:sz w:val="22"/>
                <w:szCs w:val="18"/>
              </w:rPr>
            </w:pPr>
          </w:p>
        </w:tc>
        <w:tc>
          <w:tcPr>
            <w:tcW w:w="842" w:type="pct"/>
            <w:gridSpan w:val="2"/>
            <w:vAlign w:val="center"/>
          </w:tcPr>
          <w:p>
            <w:pPr>
              <w:jc w:val="center"/>
              <w:rPr>
                <w:rFonts w:ascii="宋体" w:hAnsi="宋体" w:cs="宋体"/>
                <w:sz w:val="22"/>
                <w:szCs w:val="18"/>
              </w:rPr>
            </w:pPr>
            <w:r>
              <w:rPr>
                <w:rFonts w:hint="eastAsia" w:ascii="宋体" w:hAnsi="宋体" w:cs="宋体"/>
                <w:sz w:val="22"/>
                <w:szCs w:val="18"/>
              </w:rPr>
              <w:t>营业期限</w:t>
            </w:r>
          </w:p>
        </w:tc>
        <w:tc>
          <w:tcPr>
            <w:tcW w:w="1386" w:type="pct"/>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主营业务</w:t>
            </w:r>
          </w:p>
        </w:tc>
        <w:tc>
          <w:tcPr>
            <w:tcW w:w="4095" w:type="pct"/>
            <w:gridSpan w:val="5"/>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组织结构</w:t>
            </w:r>
          </w:p>
        </w:tc>
        <w:tc>
          <w:tcPr>
            <w:tcW w:w="4095" w:type="pct"/>
            <w:gridSpan w:val="5"/>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地  址</w:t>
            </w:r>
          </w:p>
        </w:tc>
        <w:tc>
          <w:tcPr>
            <w:tcW w:w="4095" w:type="pct"/>
            <w:gridSpan w:val="5"/>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开户银行</w:t>
            </w:r>
          </w:p>
        </w:tc>
        <w:tc>
          <w:tcPr>
            <w:tcW w:w="4095" w:type="pct"/>
            <w:gridSpan w:val="5"/>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开户行号</w:t>
            </w:r>
          </w:p>
          <w:p>
            <w:pPr>
              <w:jc w:val="center"/>
              <w:rPr>
                <w:rFonts w:ascii="宋体" w:hAnsi="宋体" w:cs="宋体"/>
                <w:sz w:val="22"/>
                <w:szCs w:val="18"/>
              </w:rPr>
            </w:pPr>
            <w:r>
              <w:rPr>
                <w:rFonts w:hint="eastAsia" w:ascii="宋体" w:hAnsi="宋体" w:cs="宋体"/>
                <w:sz w:val="22"/>
                <w:szCs w:val="18"/>
              </w:rPr>
              <w:t>（如有）</w:t>
            </w:r>
          </w:p>
        </w:tc>
        <w:tc>
          <w:tcPr>
            <w:tcW w:w="4095" w:type="pct"/>
            <w:gridSpan w:val="5"/>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银行账号</w:t>
            </w:r>
          </w:p>
        </w:tc>
        <w:tc>
          <w:tcPr>
            <w:tcW w:w="4095" w:type="pct"/>
            <w:gridSpan w:val="5"/>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电  话</w:t>
            </w:r>
          </w:p>
        </w:tc>
        <w:tc>
          <w:tcPr>
            <w:tcW w:w="1784" w:type="pct"/>
            <w:vAlign w:val="center"/>
          </w:tcPr>
          <w:p>
            <w:pPr>
              <w:jc w:val="center"/>
              <w:rPr>
                <w:rFonts w:ascii="宋体" w:hAnsi="宋体" w:cs="宋体"/>
                <w:sz w:val="22"/>
                <w:szCs w:val="18"/>
              </w:rPr>
            </w:pPr>
          </w:p>
        </w:tc>
        <w:tc>
          <w:tcPr>
            <w:tcW w:w="807" w:type="pct"/>
            <w:gridSpan w:val="2"/>
            <w:vAlign w:val="center"/>
          </w:tcPr>
          <w:p>
            <w:pPr>
              <w:jc w:val="center"/>
              <w:rPr>
                <w:rFonts w:ascii="宋体" w:hAnsi="宋体" w:cs="宋体"/>
                <w:sz w:val="22"/>
                <w:szCs w:val="18"/>
              </w:rPr>
            </w:pPr>
            <w:r>
              <w:rPr>
                <w:rFonts w:hint="eastAsia" w:ascii="宋体" w:hAnsi="宋体" w:cs="宋体"/>
                <w:sz w:val="22"/>
                <w:szCs w:val="18"/>
              </w:rPr>
              <w:t>传  真</w:t>
            </w:r>
          </w:p>
        </w:tc>
        <w:tc>
          <w:tcPr>
            <w:tcW w:w="1503" w:type="pct"/>
            <w:gridSpan w:val="2"/>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邮  箱</w:t>
            </w:r>
          </w:p>
        </w:tc>
        <w:tc>
          <w:tcPr>
            <w:tcW w:w="1784" w:type="pct"/>
            <w:vAlign w:val="center"/>
          </w:tcPr>
          <w:p>
            <w:pPr>
              <w:jc w:val="center"/>
              <w:rPr>
                <w:rFonts w:ascii="宋体" w:hAnsi="宋体" w:cs="宋体"/>
                <w:sz w:val="22"/>
                <w:szCs w:val="18"/>
              </w:rPr>
            </w:pPr>
          </w:p>
        </w:tc>
        <w:tc>
          <w:tcPr>
            <w:tcW w:w="807" w:type="pct"/>
            <w:gridSpan w:val="2"/>
            <w:vAlign w:val="center"/>
          </w:tcPr>
          <w:p>
            <w:pPr>
              <w:jc w:val="center"/>
              <w:rPr>
                <w:rFonts w:ascii="宋体" w:hAnsi="宋体" w:cs="宋体"/>
                <w:sz w:val="22"/>
                <w:szCs w:val="18"/>
              </w:rPr>
            </w:pPr>
            <w:r>
              <w:rPr>
                <w:rFonts w:hint="eastAsia" w:ascii="宋体" w:hAnsi="宋体" w:cs="宋体"/>
                <w:sz w:val="22"/>
                <w:szCs w:val="18"/>
              </w:rPr>
              <w:t>邮  编</w:t>
            </w:r>
          </w:p>
        </w:tc>
        <w:tc>
          <w:tcPr>
            <w:tcW w:w="1503" w:type="pct"/>
            <w:gridSpan w:val="2"/>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904" w:type="pct"/>
            <w:vAlign w:val="center"/>
          </w:tcPr>
          <w:p>
            <w:pPr>
              <w:jc w:val="center"/>
              <w:rPr>
                <w:rFonts w:ascii="宋体" w:hAnsi="宋体" w:cs="宋体"/>
                <w:sz w:val="22"/>
                <w:szCs w:val="18"/>
              </w:rPr>
            </w:pPr>
            <w:r>
              <w:rPr>
                <w:rFonts w:hint="eastAsia" w:ascii="宋体" w:hAnsi="宋体" w:cs="宋体"/>
                <w:sz w:val="22"/>
                <w:szCs w:val="18"/>
              </w:rPr>
              <w:t>联系人</w:t>
            </w:r>
          </w:p>
        </w:tc>
        <w:tc>
          <w:tcPr>
            <w:tcW w:w="1784" w:type="pct"/>
            <w:vAlign w:val="center"/>
          </w:tcPr>
          <w:p>
            <w:pPr>
              <w:jc w:val="center"/>
              <w:rPr>
                <w:rFonts w:ascii="宋体" w:hAnsi="宋体" w:cs="宋体"/>
                <w:sz w:val="22"/>
                <w:szCs w:val="18"/>
              </w:rPr>
            </w:pPr>
          </w:p>
        </w:tc>
        <w:tc>
          <w:tcPr>
            <w:tcW w:w="807" w:type="pct"/>
            <w:gridSpan w:val="2"/>
            <w:vAlign w:val="center"/>
          </w:tcPr>
          <w:p>
            <w:pPr>
              <w:jc w:val="center"/>
              <w:rPr>
                <w:rFonts w:ascii="宋体" w:hAnsi="宋体" w:cs="宋体"/>
                <w:sz w:val="22"/>
                <w:szCs w:val="18"/>
              </w:rPr>
            </w:pPr>
            <w:r>
              <w:rPr>
                <w:rFonts w:hint="eastAsia" w:ascii="宋体" w:hAnsi="宋体" w:cs="宋体"/>
                <w:sz w:val="22"/>
                <w:szCs w:val="18"/>
              </w:rPr>
              <w:t>联系方式</w:t>
            </w:r>
          </w:p>
        </w:tc>
        <w:tc>
          <w:tcPr>
            <w:tcW w:w="1503" w:type="pct"/>
            <w:gridSpan w:val="2"/>
            <w:vAlign w:val="center"/>
          </w:tcPr>
          <w:p>
            <w:pPr>
              <w:jc w:val="center"/>
              <w:rPr>
                <w:rFonts w:ascii="宋体" w:hAnsi="宋体" w:cs="宋体"/>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5000" w:type="pct"/>
            <w:gridSpan w:val="6"/>
            <w:vAlign w:val="center"/>
          </w:tcPr>
          <w:p>
            <w:pPr>
              <w:wordWrap w:val="0"/>
              <w:jc w:val="center"/>
              <w:rPr>
                <w:rFonts w:ascii="宋体" w:hAnsi="宋体" w:cs="宋体"/>
                <w:sz w:val="22"/>
                <w:szCs w:val="18"/>
                <w:u w:val="single"/>
              </w:rPr>
            </w:pPr>
          </w:p>
        </w:tc>
      </w:tr>
    </w:tbl>
    <w:p>
      <w:pPr>
        <w:spacing w:line="440" w:lineRule="exact"/>
        <w:ind w:firstLine="420" w:firstLineChars="200"/>
        <w:rPr>
          <w:rFonts w:ascii="宋体" w:hAnsi="宋体" w:cs="宋体"/>
        </w:rPr>
      </w:pPr>
      <w:r>
        <w:rPr>
          <w:rFonts w:hint="eastAsia" w:ascii="宋体" w:hAnsi="宋体" w:cs="宋体"/>
        </w:rPr>
        <w:t>兹声明上述信息是真实、正确的，并提供了全部能提供的资料和数据；如我方提供的证明材料有虚假情况，愿承担相应后果。</w:t>
      </w:r>
    </w:p>
    <w:p>
      <w:pPr>
        <w:spacing w:line="400" w:lineRule="exact"/>
        <w:jc w:val="right"/>
        <w:rPr>
          <w:rFonts w:ascii="宋体" w:hAnsi="宋体" w:cs="宋体"/>
          <w:szCs w:val="21"/>
        </w:rPr>
      </w:pPr>
      <w:r>
        <w:rPr>
          <w:rFonts w:hint="eastAsia" w:ascii="宋体" w:hAnsi="宋体" w:cs="宋体"/>
          <w:sz w:val="24"/>
          <w:szCs w:val="24"/>
        </w:rPr>
        <w:t xml:space="preserve"> </w:t>
      </w:r>
      <w:r>
        <w:rPr>
          <w:rFonts w:hint="eastAsia" w:ascii="宋体" w:hAnsi="宋体" w:cs="宋体"/>
          <w:szCs w:val="21"/>
        </w:rPr>
        <w:t xml:space="preserve"> 供应商（盖单位公章） </w:t>
      </w:r>
    </w:p>
    <w:p>
      <w:pPr>
        <w:spacing w:line="400" w:lineRule="exact"/>
        <w:jc w:val="right"/>
        <w:rPr>
          <w:rFonts w:ascii="宋体" w:hAnsi="宋体" w:cs="宋体"/>
          <w:szCs w:val="21"/>
        </w:rPr>
      </w:pPr>
      <w:r>
        <w:rPr>
          <w:rFonts w:hint="eastAsia" w:ascii="宋体" w:hAnsi="宋体" w:cs="宋体"/>
        </w:rPr>
        <w:t>法定代表人或委托代理人：（</w:t>
      </w:r>
      <w:r>
        <w:rPr>
          <w:rFonts w:hint="eastAsia" w:ascii="宋体" w:hAnsi="宋体" w:cs="宋体"/>
          <w:szCs w:val="21"/>
        </w:rPr>
        <w:t>签字或盖章</w:t>
      </w:r>
      <w:r>
        <w:rPr>
          <w:rFonts w:hint="eastAsia" w:ascii="宋体" w:hAnsi="宋体" w:cs="宋体"/>
        </w:rPr>
        <w:t>）</w:t>
      </w:r>
    </w:p>
    <w:p>
      <w:pPr>
        <w:spacing w:line="360" w:lineRule="auto"/>
        <w:jc w:val="right"/>
        <w:rPr>
          <w:rFonts w:ascii="宋体" w:hAnsi="宋体" w:cs="宋体"/>
          <w:szCs w:val="21"/>
        </w:rPr>
      </w:pPr>
      <w:r>
        <w:rPr>
          <w:rFonts w:hint="eastAsia" w:ascii="宋体" w:hAnsi="宋体" w:cs="宋体"/>
          <w:szCs w:val="21"/>
        </w:rPr>
        <w:t xml:space="preserve">                 年     月     日</w:t>
      </w:r>
    </w:p>
    <w:p>
      <w:pPr>
        <w:spacing w:line="480" w:lineRule="auto"/>
        <w:rPr>
          <w:rFonts w:ascii="宋体" w:hAnsi="宋体" w:cs="宋体"/>
          <w:sz w:val="24"/>
          <w:szCs w:val="24"/>
        </w:rPr>
        <w:sectPr>
          <w:footerReference r:id="rId13" w:type="first"/>
          <w:footerReference r:id="rId12" w:type="default"/>
          <w:pgSz w:w="11906" w:h="16838"/>
          <w:pgMar w:top="1134" w:right="1134" w:bottom="1134" w:left="1134" w:header="567" w:footer="737" w:gutter="0"/>
          <w:cols w:space="720" w:num="1"/>
          <w:titlePg/>
          <w:docGrid w:type="lines" w:linePitch="490" w:charSpace="0"/>
        </w:sectPr>
      </w:pPr>
      <w:r>
        <w:rPr>
          <w:rFonts w:hint="eastAsia" w:ascii="宋体" w:hAnsi="宋体" w:cs="宋体"/>
          <w:sz w:val="24"/>
          <w:szCs w:val="24"/>
        </w:rPr>
        <w:br w:type="page"/>
      </w:r>
      <w:bookmarkStart w:id="180" w:name="_Toc15314"/>
      <w:bookmarkStart w:id="181" w:name="_Toc1047"/>
    </w:p>
    <w:bookmarkEnd w:id="180"/>
    <w:bookmarkEnd w:id="181"/>
    <w:p>
      <w:pPr>
        <w:jc w:val="center"/>
        <w:outlineLvl w:val="2"/>
        <w:rPr>
          <w:rFonts w:hAnsi="宋体"/>
          <w:sz w:val="28"/>
          <w:szCs w:val="28"/>
        </w:rPr>
      </w:pPr>
      <w:bookmarkStart w:id="182" w:name="_Toc13395"/>
      <w:bookmarkStart w:id="183" w:name="_Toc3780"/>
    </w:p>
    <w:p>
      <w:pPr>
        <w:jc w:val="center"/>
        <w:outlineLvl w:val="2"/>
        <w:rPr>
          <w:rFonts w:hAnsi="宋体"/>
          <w:sz w:val="28"/>
          <w:szCs w:val="28"/>
        </w:rPr>
      </w:pPr>
      <w:r>
        <w:rPr>
          <w:rFonts w:hint="eastAsia" w:hAnsi="宋体"/>
          <w:sz w:val="28"/>
          <w:szCs w:val="28"/>
        </w:rPr>
        <w:t>（一）中小企业声明函</w:t>
      </w:r>
    </w:p>
    <w:p>
      <w:pPr>
        <w:widowControl/>
        <w:adjustRightInd w:val="0"/>
        <w:snapToGrid w:val="0"/>
        <w:spacing w:line="360" w:lineRule="auto"/>
        <w:ind w:firstLine="420" w:firstLineChars="200"/>
        <w:jc w:val="left"/>
        <w:rPr>
          <w:rFonts w:ascii="宋体" w:hAnsi="宋体" w:cs="宋体"/>
          <w:szCs w:val="21"/>
        </w:rPr>
      </w:pPr>
    </w:p>
    <w:p>
      <w:pPr>
        <w:widowControl/>
        <w:adjustRightInd w:val="0"/>
        <w:snapToGrid w:val="0"/>
        <w:spacing w:line="480" w:lineRule="auto"/>
        <w:ind w:firstLine="420" w:firstLineChars="200"/>
        <w:jc w:val="left"/>
        <w:rPr>
          <w:rFonts w:ascii="宋体" w:hAnsi="宋体" w:cs="宋体"/>
          <w:szCs w:val="21"/>
        </w:rPr>
      </w:pPr>
      <w:r>
        <w:rPr>
          <w:rFonts w:hint="eastAsia" w:ascii="宋体" w:hAnsi="宋体" w:cs="宋体"/>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widowControl/>
        <w:adjustRightInd w:val="0"/>
        <w:snapToGrid w:val="0"/>
        <w:spacing w:line="48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u w:val="single"/>
        </w:rPr>
        <w:t>（标的名称）</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行业；制造商为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p>
      <w:pPr>
        <w:widowControl/>
        <w:adjustRightInd w:val="0"/>
        <w:snapToGrid w:val="0"/>
        <w:spacing w:line="48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u w:val="single"/>
        </w:rPr>
        <w:t>（标的名称）</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行业；制造商为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 xml:space="preserve">； </w:t>
      </w:r>
    </w:p>
    <w:p>
      <w:pPr>
        <w:widowControl/>
        <w:adjustRightInd w:val="0"/>
        <w:snapToGrid w:val="0"/>
        <w:spacing w:line="480" w:lineRule="auto"/>
        <w:ind w:firstLine="420" w:firstLineChars="200"/>
        <w:jc w:val="left"/>
        <w:rPr>
          <w:rFonts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widowControl/>
        <w:adjustRightInd w:val="0"/>
        <w:snapToGrid w:val="0"/>
        <w:spacing w:line="480" w:lineRule="auto"/>
        <w:ind w:firstLine="420" w:firstLineChars="200"/>
        <w:jc w:val="left"/>
        <w:rPr>
          <w:rFonts w:ascii="宋体" w:hAnsi="宋体" w:cs="宋体"/>
          <w:szCs w:val="21"/>
        </w:rPr>
      </w:pPr>
      <w:r>
        <w:rPr>
          <w:rFonts w:hint="eastAsia" w:ascii="宋体" w:hAnsi="宋体" w:cs="宋体"/>
          <w:szCs w:val="21"/>
        </w:rPr>
        <w:t xml:space="preserve">本企业对上述声明内容的真实性负责。如有虚假，将依法承担相应责任。 </w:t>
      </w:r>
    </w:p>
    <w:p>
      <w:pPr>
        <w:widowControl/>
        <w:adjustRightInd w:val="0"/>
        <w:snapToGrid w:val="0"/>
        <w:spacing w:line="360" w:lineRule="auto"/>
        <w:ind w:firstLine="420" w:firstLineChars="200"/>
        <w:jc w:val="left"/>
        <w:rPr>
          <w:rFonts w:ascii="宋体" w:hAnsi="宋体" w:cs="宋体"/>
          <w:szCs w:val="21"/>
        </w:rPr>
      </w:pPr>
    </w:p>
    <w:p>
      <w:pPr>
        <w:widowControl/>
        <w:adjustRightInd w:val="0"/>
        <w:snapToGrid w:val="0"/>
        <w:spacing w:line="360" w:lineRule="auto"/>
        <w:ind w:firstLine="420" w:firstLineChars="200"/>
        <w:jc w:val="left"/>
        <w:rPr>
          <w:rFonts w:ascii="宋体" w:hAnsi="宋体" w:cs="宋体"/>
          <w:szCs w:val="21"/>
        </w:rPr>
      </w:pPr>
    </w:p>
    <w:p>
      <w:pPr>
        <w:widowControl/>
        <w:adjustRightInd w:val="0"/>
        <w:snapToGrid w:val="0"/>
        <w:spacing w:line="360" w:lineRule="auto"/>
        <w:jc w:val="right"/>
        <w:rPr>
          <w:rFonts w:ascii="宋体" w:hAnsi="宋体" w:cs="宋体"/>
          <w:szCs w:val="21"/>
          <w:u w:val="single"/>
        </w:rPr>
      </w:pPr>
      <w:r>
        <w:rPr>
          <w:rFonts w:hint="eastAsia" w:ascii="宋体" w:hAnsi="宋体" w:cs="宋体"/>
          <w:szCs w:val="21"/>
        </w:rPr>
        <w:t>企业名称（公章）：</w:t>
      </w:r>
    </w:p>
    <w:p>
      <w:pPr>
        <w:widowControl/>
        <w:adjustRightInd w:val="0"/>
        <w:snapToGrid w:val="0"/>
        <w:spacing w:line="360" w:lineRule="auto"/>
        <w:ind w:firstLine="6803"/>
        <w:jc w:val="right"/>
        <w:rPr>
          <w:rFonts w:ascii="宋体" w:hAnsi="宋体" w:cs="宋体"/>
          <w:szCs w:val="21"/>
        </w:rPr>
      </w:pPr>
    </w:p>
    <w:p>
      <w:pPr>
        <w:widowControl/>
        <w:adjustRightInd w:val="0"/>
        <w:snapToGrid w:val="0"/>
        <w:spacing w:line="360" w:lineRule="auto"/>
        <w:jc w:val="right"/>
        <w:rPr>
          <w:rFonts w:ascii="宋体" w:hAnsi="宋体" w:cs="宋体"/>
          <w:szCs w:val="21"/>
        </w:rPr>
      </w:pPr>
      <w:r>
        <w:rPr>
          <w:rFonts w:hint="eastAsia" w:ascii="宋体" w:hAnsi="宋体" w:cs="宋体"/>
          <w:szCs w:val="21"/>
        </w:rPr>
        <w:t>日    期：</w:t>
      </w:r>
    </w:p>
    <w:p>
      <w:pPr>
        <w:pStyle w:val="51"/>
        <w:ind w:firstLine="0" w:firstLineChars="0"/>
        <w:rPr>
          <w:rFonts w:ascii="宋体" w:hAnsi="宋体" w:cs="宋体"/>
          <w:szCs w:val="21"/>
          <w:u w:val="single"/>
        </w:rPr>
      </w:pPr>
    </w:p>
    <w:p>
      <w:pPr>
        <w:ind w:right="-65" w:rightChars="-31"/>
        <w:rPr>
          <w:rFonts w:ascii="宋体" w:hAnsi="宋体"/>
          <w:szCs w:val="21"/>
        </w:rPr>
      </w:pPr>
      <w:r>
        <w:rPr>
          <w:rFonts w:hint="eastAsia" w:ascii="宋体" w:hAnsi="宋体" w:cs="宋体"/>
          <w:szCs w:val="21"/>
        </w:rPr>
        <w:t>从业人员、营业收入、资产总额填报上一年度数据，无上一年度数据的新成立企业可不填报。</w:t>
      </w:r>
    </w:p>
    <w:p>
      <w:pPr>
        <w:rPr>
          <w:rFonts w:ascii="宋体" w:hAnsi="宋体"/>
          <w:szCs w:val="21"/>
        </w:rPr>
      </w:pPr>
      <w:r>
        <w:rPr>
          <w:rFonts w:hint="eastAsia" w:ascii="宋体" w:hAnsi="宋体"/>
          <w:szCs w:val="21"/>
        </w:rPr>
        <w:t xml:space="preserve">                           </w:t>
      </w:r>
    </w:p>
    <w:p>
      <w:pPr>
        <w:ind w:right="-65" w:rightChars="-31"/>
        <w:jc w:val="center"/>
        <w:rPr>
          <w:rFonts w:ascii="宋体" w:hAnsi="宋体" w:cs="宋体"/>
          <w:b/>
          <w:sz w:val="30"/>
          <w:szCs w:val="30"/>
        </w:rPr>
        <w:sectPr>
          <w:pgSz w:w="11906" w:h="16838"/>
          <w:pgMar w:top="1134" w:right="1134" w:bottom="1134" w:left="1134" w:header="567" w:footer="737" w:gutter="0"/>
          <w:cols w:space="720" w:num="1"/>
          <w:titlePg/>
          <w:docGrid w:type="lines" w:linePitch="490" w:charSpace="0"/>
        </w:sectPr>
      </w:pPr>
    </w:p>
    <w:p>
      <w:pPr>
        <w:ind w:right="-65" w:rightChars="-31"/>
        <w:jc w:val="center"/>
        <w:rPr>
          <w:rFonts w:ascii="宋体" w:hAnsi="宋体" w:cs="宋体"/>
          <w:b/>
          <w:sz w:val="30"/>
          <w:szCs w:val="30"/>
        </w:rPr>
      </w:pPr>
      <w:r>
        <w:rPr>
          <w:rFonts w:hint="eastAsia" w:hAnsi="宋体"/>
          <w:sz w:val="28"/>
          <w:szCs w:val="28"/>
        </w:rPr>
        <w:t>（二）中小企业划型标准</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114" w:type="dxa"/>
            <w:vAlign w:val="center"/>
          </w:tcPr>
          <w:p>
            <w:pPr>
              <w:spacing w:line="240" w:lineRule="exact"/>
              <w:jc w:val="left"/>
              <w:rPr>
                <w:rFonts w:ascii="宋体" w:hAnsi="宋体" w:cs="宋体"/>
                <w:sz w:val="18"/>
                <w:szCs w:val="21"/>
              </w:rPr>
            </w:pPr>
            <w:r>
              <w:rPr>
                <w:rFonts w:hint="eastAsia" w:ascii="宋体" w:hAnsi="宋体" w:cs="宋体"/>
                <w:sz w:val="18"/>
                <w:szCs w:val="21"/>
              </w:rPr>
              <w:t>行业名称</w:t>
            </w:r>
          </w:p>
        </w:tc>
        <w:tc>
          <w:tcPr>
            <w:tcW w:w="1369" w:type="dxa"/>
            <w:vAlign w:val="center"/>
          </w:tcPr>
          <w:p>
            <w:pPr>
              <w:jc w:val="left"/>
              <w:rPr>
                <w:rFonts w:ascii="宋体" w:hAnsi="宋体" w:cs="宋体"/>
                <w:sz w:val="18"/>
                <w:szCs w:val="18"/>
              </w:rPr>
            </w:pPr>
            <w:r>
              <w:rPr>
                <w:rFonts w:hint="eastAsia" w:ascii="宋体" w:hAnsi="宋体" w:cs="宋体"/>
                <w:sz w:val="18"/>
                <w:szCs w:val="18"/>
              </w:rPr>
              <w:t>指标名称</w:t>
            </w:r>
          </w:p>
        </w:tc>
        <w:tc>
          <w:tcPr>
            <w:tcW w:w="709" w:type="dxa"/>
            <w:vAlign w:val="center"/>
          </w:tcPr>
          <w:p>
            <w:pPr>
              <w:jc w:val="left"/>
              <w:rPr>
                <w:rFonts w:ascii="宋体" w:hAnsi="宋体" w:cs="宋体"/>
                <w:sz w:val="18"/>
                <w:szCs w:val="18"/>
              </w:rPr>
            </w:pPr>
            <w:r>
              <w:rPr>
                <w:rFonts w:hint="eastAsia" w:ascii="宋体" w:hAnsi="宋体" w:cs="宋体"/>
                <w:sz w:val="18"/>
                <w:szCs w:val="18"/>
              </w:rPr>
              <w:t>计量</w:t>
            </w:r>
            <w:r>
              <w:rPr>
                <w:rFonts w:hint="eastAsia" w:ascii="宋体" w:hAnsi="宋体" w:cs="宋体"/>
                <w:sz w:val="18"/>
                <w:szCs w:val="18"/>
              </w:rPr>
              <w:br w:type="textWrapping"/>
            </w:r>
            <w:r>
              <w:rPr>
                <w:rFonts w:hint="eastAsia" w:ascii="宋体" w:hAnsi="宋体" w:cs="宋体"/>
                <w:sz w:val="18"/>
                <w:szCs w:val="18"/>
              </w:rPr>
              <w:t>单位</w:t>
            </w:r>
          </w:p>
        </w:tc>
        <w:tc>
          <w:tcPr>
            <w:tcW w:w="1125" w:type="dxa"/>
            <w:vAlign w:val="center"/>
          </w:tcPr>
          <w:p>
            <w:pPr>
              <w:jc w:val="left"/>
              <w:rPr>
                <w:rFonts w:ascii="宋体" w:hAnsi="宋体" w:cs="宋体"/>
                <w:sz w:val="18"/>
                <w:szCs w:val="18"/>
              </w:rPr>
            </w:pPr>
            <w:r>
              <w:rPr>
                <w:rFonts w:hint="eastAsia" w:ascii="宋体" w:hAnsi="宋体" w:cs="宋体"/>
                <w:sz w:val="18"/>
                <w:szCs w:val="18"/>
              </w:rPr>
              <w:t>大型</w:t>
            </w:r>
          </w:p>
        </w:tc>
        <w:tc>
          <w:tcPr>
            <w:tcW w:w="1701" w:type="dxa"/>
            <w:vAlign w:val="center"/>
          </w:tcPr>
          <w:p>
            <w:pPr>
              <w:jc w:val="left"/>
              <w:rPr>
                <w:rFonts w:ascii="宋体" w:hAnsi="宋体" w:cs="宋体"/>
                <w:sz w:val="18"/>
                <w:szCs w:val="18"/>
              </w:rPr>
            </w:pPr>
            <w:r>
              <w:rPr>
                <w:rFonts w:hint="eastAsia" w:ascii="宋体" w:hAnsi="宋体" w:cs="宋体"/>
                <w:sz w:val="18"/>
                <w:szCs w:val="18"/>
              </w:rPr>
              <w:t>中型</w:t>
            </w:r>
          </w:p>
        </w:tc>
        <w:tc>
          <w:tcPr>
            <w:tcW w:w="1426" w:type="dxa"/>
            <w:vAlign w:val="center"/>
          </w:tcPr>
          <w:p>
            <w:pPr>
              <w:jc w:val="left"/>
              <w:rPr>
                <w:rFonts w:ascii="宋体" w:hAnsi="宋体" w:cs="宋体"/>
                <w:sz w:val="18"/>
                <w:szCs w:val="18"/>
              </w:rPr>
            </w:pPr>
            <w:r>
              <w:rPr>
                <w:rFonts w:hint="eastAsia" w:ascii="宋体" w:hAnsi="宋体" w:cs="宋体"/>
                <w:sz w:val="18"/>
                <w:szCs w:val="18"/>
              </w:rPr>
              <w:t>小型</w:t>
            </w:r>
          </w:p>
        </w:tc>
        <w:tc>
          <w:tcPr>
            <w:tcW w:w="992" w:type="dxa"/>
            <w:vAlign w:val="center"/>
          </w:tcPr>
          <w:p>
            <w:pPr>
              <w:jc w:val="left"/>
              <w:rPr>
                <w:rFonts w:ascii="宋体" w:hAnsi="宋体" w:cs="宋体"/>
                <w:sz w:val="18"/>
                <w:szCs w:val="18"/>
              </w:rPr>
            </w:pPr>
            <w:r>
              <w:rPr>
                <w:rFonts w:hint="eastAsia" w:ascii="宋体" w:hAnsi="宋体" w:cs="宋体"/>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Align w:val="center"/>
          </w:tcPr>
          <w:p>
            <w:pPr>
              <w:spacing w:line="240" w:lineRule="exact"/>
              <w:jc w:val="left"/>
              <w:rPr>
                <w:rFonts w:ascii="宋体" w:hAnsi="宋体" w:cs="宋体"/>
                <w:sz w:val="18"/>
                <w:szCs w:val="18"/>
              </w:rPr>
            </w:pPr>
            <w:r>
              <w:rPr>
                <w:rFonts w:hint="eastAsia" w:ascii="宋体" w:hAnsi="宋体" w:cs="宋体"/>
                <w:sz w:val="18"/>
                <w:szCs w:val="18"/>
              </w:rPr>
              <w:t>农、林、牧、渔业</w:t>
            </w:r>
          </w:p>
        </w:tc>
        <w:tc>
          <w:tcPr>
            <w:tcW w:w="1369" w:type="dxa"/>
            <w:vAlign w:val="center"/>
          </w:tcPr>
          <w:p>
            <w:pPr>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Y≥20000</w:t>
            </w:r>
          </w:p>
        </w:tc>
        <w:tc>
          <w:tcPr>
            <w:tcW w:w="1701" w:type="dxa"/>
            <w:vAlign w:val="center"/>
          </w:tcPr>
          <w:p>
            <w:pPr>
              <w:jc w:val="left"/>
              <w:rPr>
                <w:rFonts w:ascii="宋体" w:hAnsi="宋体" w:cs="宋体"/>
                <w:sz w:val="18"/>
                <w:szCs w:val="18"/>
              </w:rPr>
            </w:pPr>
            <w:r>
              <w:rPr>
                <w:rFonts w:hint="eastAsia" w:ascii="宋体" w:hAnsi="宋体" w:cs="宋体"/>
                <w:sz w:val="18"/>
                <w:szCs w:val="18"/>
              </w:rPr>
              <w:t xml:space="preserve"> 500≤Y＜20000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50≤Y＜500</w:t>
            </w:r>
          </w:p>
        </w:tc>
        <w:tc>
          <w:tcPr>
            <w:tcW w:w="992" w:type="dxa"/>
            <w:vAlign w:val="center"/>
          </w:tcPr>
          <w:p>
            <w:pPr>
              <w:jc w:val="left"/>
              <w:rPr>
                <w:rFonts w:ascii="宋体" w:hAnsi="宋体" w:cs="宋体"/>
                <w:sz w:val="18"/>
                <w:szCs w:val="18"/>
              </w:rPr>
            </w:pPr>
            <w:r>
              <w:rPr>
                <w:rFonts w:hint="eastAsia" w:ascii="宋体" w:hAnsi="宋体" w:cs="宋体"/>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工业 *</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X≥1000</w:t>
            </w:r>
          </w:p>
        </w:tc>
        <w:tc>
          <w:tcPr>
            <w:tcW w:w="1701" w:type="dxa"/>
            <w:vAlign w:val="center"/>
          </w:tcPr>
          <w:p>
            <w:pPr>
              <w:jc w:val="left"/>
              <w:rPr>
                <w:rFonts w:ascii="宋体" w:hAnsi="宋体" w:cs="宋体"/>
                <w:sz w:val="18"/>
                <w:szCs w:val="18"/>
              </w:rPr>
            </w:pPr>
            <w:r>
              <w:rPr>
                <w:rFonts w:hint="eastAsia" w:ascii="宋体" w:hAnsi="宋体" w:cs="宋体"/>
                <w:sz w:val="18"/>
                <w:szCs w:val="18"/>
              </w:rPr>
              <w:t>300≤X＜1000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20≤X＜300</w:t>
            </w:r>
          </w:p>
        </w:tc>
        <w:tc>
          <w:tcPr>
            <w:tcW w:w="992" w:type="dxa"/>
            <w:vAlign w:val="center"/>
          </w:tcPr>
          <w:p>
            <w:pPr>
              <w:jc w:val="left"/>
              <w:rPr>
                <w:rFonts w:ascii="宋体" w:hAnsi="宋体" w:cs="宋体"/>
                <w:sz w:val="18"/>
                <w:szCs w:val="18"/>
              </w:rPr>
            </w:pPr>
            <w:r>
              <w:rPr>
                <w:rFonts w:hint="eastAsia" w:ascii="宋体" w:hAnsi="宋体" w:cs="宋体"/>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Y≥40000</w:t>
            </w:r>
          </w:p>
        </w:tc>
        <w:tc>
          <w:tcPr>
            <w:tcW w:w="1701" w:type="dxa"/>
            <w:vAlign w:val="center"/>
          </w:tcPr>
          <w:p>
            <w:pPr>
              <w:jc w:val="left"/>
              <w:rPr>
                <w:rFonts w:ascii="宋体" w:hAnsi="宋体" w:cs="宋体"/>
                <w:sz w:val="18"/>
                <w:szCs w:val="18"/>
              </w:rPr>
            </w:pPr>
            <w:r>
              <w:rPr>
                <w:rFonts w:hint="eastAsia" w:ascii="宋体" w:hAnsi="宋体" w:cs="宋体"/>
                <w:sz w:val="18"/>
                <w:szCs w:val="18"/>
              </w:rPr>
              <w:t>2000≤Y＜40000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300≤Y＜2000</w:t>
            </w:r>
          </w:p>
        </w:tc>
        <w:tc>
          <w:tcPr>
            <w:tcW w:w="992" w:type="dxa"/>
            <w:vAlign w:val="center"/>
          </w:tcPr>
          <w:p>
            <w:pPr>
              <w:jc w:val="left"/>
              <w:rPr>
                <w:rFonts w:ascii="宋体" w:hAnsi="宋体" w:cs="宋体"/>
                <w:sz w:val="18"/>
                <w:szCs w:val="18"/>
              </w:rPr>
            </w:pPr>
            <w:r>
              <w:rPr>
                <w:rFonts w:hint="eastAsia" w:ascii="宋体" w:hAnsi="宋体" w:cs="宋体"/>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建筑业</w:t>
            </w:r>
          </w:p>
        </w:tc>
        <w:tc>
          <w:tcPr>
            <w:tcW w:w="1369" w:type="dxa"/>
            <w:vAlign w:val="center"/>
          </w:tcPr>
          <w:p>
            <w:pPr>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Y≥80000</w:t>
            </w:r>
          </w:p>
        </w:tc>
        <w:tc>
          <w:tcPr>
            <w:tcW w:w="1701" w:type="dxa"/>
            <w:vAlign w:val="center"/>
          </w:tcPr>
          <w:p>
            <w:pPr>
              <w:jc w:val="left"/>
              <w:rPr>
                <w:rFonts w:ascii="宋体" w:hAnsi="宋体" w:cs="宋体"/>
                <w:sz w:val="18"/>
                <w:szCs w:val="18"/>
              </w:rPr>
            </w:pPr>
            <w:r>
              <w:rPr>
                <w:rFonts w:hint="eastAsia" w:ascii="宋体" w:hAnsi="宋体" w:cs="宋体"/>
                <w:sz w:val="18"/>
                <w:szCs w:val="18"/>
              </w:rPr>
              <w:t>6000≤Y＜80000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300≤Y＜6000</w:t>
            </w:r>
          </w:p>
        </w:tc>
        <w:tc>
          <w:tcPr>
            <w:tcW w:w="992" w:type="dxa"/>
            <w:vAlign w:val="center"/>
          </w:tcPr>
          <w:p>
            <w:pPr>
              <w:jc w:val="left"/>
              <w:rPr>
                <w:rFonts w:ascii="宋体" w:hAnsi="宋体" w:cs="宋体"/>
                <w:sz w:val="18"/>
                <w:szCs w:val="18"/>
              </w:rPr>
            </w:pPr>
            <w:r>
              <w:rPr>
                <w:rFonts w:hint="eastAsia" w:ascii="宋体" w:hAnsi="宋体" w:cs="宋体"/>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资产总额(Z)</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Z≥80000</w:t>
            </w:r>
          </w:p>
        </w:tc>
        <w:tc>
          <w:tcPr>
            <w:tcW w:w="1701" w:type="dxa"/>
            <w:vAlign w:val="center"/>
          </w:tcPr>
          <w:p>
            <w:pPr>
              <w:jc w:val="left"/>
              <w:rPr>
                <w:rFonts w:ascii="宋体" w:hAnsi="宋体" w:cs="宋体"/>
                <w:sz w:val="18"/>
                <w:szCs w:val="18"/>
              </w:rPr>
            </w:pPr>
            <w:r>
              <w:rPr>
                <w:rFonts w:hint="eastAsia" w:ascii="宋体" w:hAnsi="宋体" w:cs="宋体"/>
                <w:sz w:val="18"/>
                <w:szCs w:val="18"/>
              </w:rPr>
              <w:t>5000≤Z＜80000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300≤Z＜5000</w:t>
            </w:r>
          </w:p>
        </w:tc>
        <w:tc>
          <w:tcPr>
            <w:tcW w:w="992" w:type="dxa"/>
            <w:vAlign w:val="center"/>
          </w:tcPr>
          <w:p>
            <w:pPr>
              <w:jc w:val="left"/>
              <w:rPr>
                <w:rFonts w:ascii="宋体" w:hAnsi="宋体" w:cs="宋体"/>
                <w:sz w:val="18"/>
                <w:szCs w:val="18"/>
              </w:rPr>
            </w:pPr>
            <w:r>
              <w:rPr>
                <w:rFonts w:hint="eastAsia" w:ascii="宋体" w:hAnsi="宋体" w:cs="宋体"/>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批发业</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X≥200</w:t>
            </w:r>
          </w:p>
        </w:tc>
        <w:tc>
          <w:tcPr>
            <w:tcW w:w="1701" w:type="dxa"/>
            <w:vAlign w:val="center"/>
          </w:tcPr>
          <w:p>
            <w:pPr>
              <w:jc w:val="left"/>
              <w:rPr>
                <w:rFonts w:ascii="宋体" w:hAnsi="宋体" w:cs="宋体"/>
                <w:sz w:val="18"/>
                <w:szCs w:val="18"/>
              </w:rPr>
            </w:pPr>
            <w:r>
              <w:rPr>
                <w:rFonts w:hint="eastAsia" w:ascii="宋体" w:hAnsi="宋体" w:cs="宋体"/>
                <w:sz w:val="18"/>
                <w:szCs w:val="18"/>
              </w:rPr>
              <w:t>20≤X＜200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5≤X＜20</w:t>
            </w:r>
          </w:p>
        </w:tc>
        <w:tc>
          <w:tcPr>
            <w:tcW w:w="992" w:type="dxa"/>
            <w:vAlign w:val="center"/>
          </w:tcPr>
          <w:p>
            <w:pPr>
              <w:jc w:val="left"/>
              <w:rPr>
                <w:rFonts w:ascii="宋体" w:hAnsi="宋体" w:cs="宋体"/>
                <w:sz w:val="18"/>
                <w:szCs w:val="18"/>
              </w:rPr>
            </w:pPr>
            <w:r>
              <w:rPr>
                <w:rFonts w:hint="eastAsia" w:ascii="宋体" w:hAnsi="宋体" w:cs="宋体"/>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Y≥40000</w:t>
            </w:r>
          </w:p>
        </w:tc>
        <w:tc>
          <w:tcPr>
            <w:tcW w:w="1701" w:type="dxa"/>
            <w:vAlign w:val="center"/>
          </w:tcPr>
          <w:p>
            <w:pPr>
              <w:jc w:val="left"/>
              <w:rPr>
                <w:rFonts w:ascii="宋体" w:hAnsi="宋体" w:cs="宋体"/>
                <w:sz w:val="18"/>
                <w:szCs w:val="18"/>
              </w:rPr>
            </w:pPr>
            <w:r>
              <w:rPr>
                <w:rFonts w:hint="eastAsia" w:ascii="宋体" w:hAnsi="宋体" w:cs="宋体"/>
                <w:sz w:val="18"/>
                <w:szCs w:val="18"/>
              </w:rPr>
              <w:t>5000≤Y＜40000</w:t>
            </w:r>
          </w:p>
        </w:tc>
        <w:tc>
          <w:tcPr>
            <w:tcW w:w="1426" w:type="dxa"/>
            <w:vAlign w:val="center"/>
          </w:tcPr>
          <w:p>
            <w:pPr>
              <w:ind w:left="-1" w:leftChars="-1" w:hanging="1"/>
              <w:jc w:val="left"/>
              <w:rPr>
                <w:rFonts w:ascii="宋体" w:hAnsi="宋体" w:cs="宋体"/>
                <w:sz w:val="18"/>
                <w:szCs w:val="18"/>
              </w:rPr>
            </w:pPr>
            <w:r>
              <w:rPr>
                <w:rFonts w:hint="eastAsia" w:ascii="宋体" w:hAnsi="宋体" w:cs="宋体"/>
                <w:sz w:val="18"/>
                <w:szCs w:val="18"/>
              </w:rPr>
              <w:t>1000≤Y＜5000</w:t>
            </w:r>
          </w:p>
        </w:tc>
        <w:tc>
          <w:tcPr>
            <w:tcW w:w="992" w:type="dxa"/>
            <w:vAlign w:val="center"/>
          </w:tcPr>
          <w:p>
            <w:pPr>
              <w:jc w:val="left"/>
              <w:rPr>
                <w:rFonts w:ascii="宋体" w:hAnsi="宋体" w:cs="宋体"/>
                <w:sz w:val="18"/>
                <w:szCs w:val="18"/>
              </w:rPr>
            </w:pPr>
            <w:r>
              <w:rPr>
                <w:rFonts w:hint="eastAsia" w:ascii="宋体" w:hAnsi="宋体" w:cs="宋体"/>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零售业</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X≥300</w:t>
            </w:r>
          </w:p>
        </w:tc>
        <w:tc>
          <w:tcPr>
            <w:tcW w:w="1701" w:type="dxa"/>
            <w:vAlign w:val="center"/>
          </w:tcPr>
          <w:p>
            <w:pPr>
              <w:jc w:val="left"/>
              <w:rPr>
                <w:rFonts w:ascii="宋体" w:hAnsi="宋体" w:cs="宋体"/>
                <w:sz w:val="18"/>
                <w:szCs w:val="18"/>
              </w:rPr>
            </w:pPr>
            <w:r>
              <w:rPr>
                <w:rFonts w:hint="eastAsia" w:ascii="宋体" w:hAnsi="宋体" w:cs="宋体"/>
                <w:sz w:val="18"/>
                <w:szCs w:val="18"/>
              </w:rPr>
              <w:t>50≤X＜300</w:t>
            </w:r>
          </w:p>
        </w:tc>
        <w:tc>
          <w:tcPr>
            <w:tcW w:w="1426" w:type="dxa"/>
            <w:vAlign w:val="center"/>
          </w:tcPr>
          <w:p>
            <w:pPr>
              <w:ind w:left="-1" w:leftChars="-1" w:hanging="1"/>
              <w:jc w:val="left"/>
              <w:rPr>
                <w:rFonts w:ascii="宋体" w:hAnsi="宋体" w:cs="宋体"/>
                <w:sz w:val="18"/>
                <w:szCs w:val="18"/>
              </w:rPr>
            </w:pPr>
            <w:r>
              <w:rPr>
                <w:rFonts w:hint="eastAsia" w:ascii="宋体" w:hAnsi="宋体" w:cs="宋体"/>
                <w:sz w:val="18"/>
                <w:szCs w:val="18"/>
              </w:rPr>
              <w:t xml:space="preserve">10≤X＜50 </w:t>
            </w:r>
          </w:p>
        </w:tc>
        <w:tc>
          <w:tcPr>
            <w:tcW w:w="992" w:type="dxa"/>
            <w:vAlign w:val="center"/>
          </w:tcPr>
          <w:p>
            <w:pPr>
              <w:jc w:val="left"/>
              <w:rPr>
                <w:rFonts w:ascii="宋体" w:hAnsi="宋体" w:cs="宋体"/>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Y≥20000</w:t>
            </w:r>
          </w:p>
        </w:tc>
        <w:tc>
          <w:tcPr>
            <w:tcW w:w="1701" w:type="dxa"/>
            <w:vAlign w:val="center"/>
          </w:tcPr>
          <w:p>
            <w:pPr>
              <w:jc w:val="left"/>
              <w:rPr>
                <w:rFonts w:ascii="宋体" w:hAnsi="宋体" w:cs="宋体"/>
                <w:sz w:val="18"/>
                <w:szCs w:val="18"/>
              </w:rPr>
            </w:pPr>
            <w:r>
              <w:rPr>
                <w:rFonts w:hint="eastAsia" w:ascii="宋体" w:hAnsi="宋体" w:cs="宋体"/>
                <w:sz w:val="18"/>
                <w:szCs w:val="18"/>
              </w:rPr>
              <w:t xml:space="preserve"> 500≤Y＜20000</w:t>
            </w:r>
          </w:p>
        </w:tc>
        <w:tc>
          <w:tcPr>
            <w:tcW w:w="1426" w:type="dxa"/>
            <w:vAlign w:val="center"/>
          </w:tcPr>
          <w:p>
            <w:pPr>
              <w:ind w:left="-1" w:leftChars="-1" w:hanging="1"/>
              <w:jc w:val="left"/>
              <w:rPr>
                <w:rFonts w:ascii="宋体" w:hAnsi="宋体" w:cs="宋体"/>
                <w:sz w:val="18"/>
                <w:szCs w:val="18"/>
              </w:rPr>
            </w:pPr>
            <w:r>
              <w:rPr>
                <w:rFonts w:hint="eastAsia" w:ascii="宋体" w:hAnsi="宋体" w:cs="宋体"/>
                <w:sz w:val="18"/>
                <w:szCs w:val="18"/>
              </w:rPr>
              <w:t xml:space="preserve">100≤Y＜500 </w:t>
            </w:r>
          </w:p>
        </w:tc>
        <w:tc>
          <w:tcPr>
            <w:tcW w:w="992" w:type="dxa"/>
            <w:vAlign w:val="center"/>
          </w:tcPr>
          <w:p>
            <w:pPr>
              <w:jc w:val="left"/>
              <w:rPr>
                <w:rFonts w:ascii="宋体" w:hAnsi="宋体" w:cs="宋体"/>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交通运输业 *</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X≥1000</w:t>
            </w:r>
          </w:p>
        </w:tc>
        <w:tc>
          <w:tcPr>
            <w:tcW w:w="1701" w:type="dxa"/>
            <w:vAlign w:val="center"/>
          </w:tcPr>
          <w:p>
            <w:pPr>
              <w:jc w:val="left"/>
              <w:rPr>
                <w:rFonts w:ascii="宋体" w:hAnsi="宋体" w:cs="宋体"/>
                <w:sz w:val="18"/>
                <w:szCs w:val="18"/>
              </w:rPr>
            </w:pPr>
            <w:r>
              <w:rPr>
                <w:rFonts w:hint="eastAsia" w:ascii="宋体" w:hAnsi="宋体" w:cs="宋体"/>
                <w:sz w:val="18"/>
                <w:szCs w:val="18"/>
              </w:rPr>
              <w:t>300≤X＜1000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20≤X＜300</w:t>
            </w:r>
          </w:p>
        </w:tc>
        <w:tc>
          <w:tcPr>
            <w:tcW w:w="992" w:type="dxa"/>
            <w:vAlign w:val="center"/>
          </w:tcPr>
          <w:p>
            <w:pPr>
              <w:jc w:val="left"/>
              <w:rPr>
                <w:rFonts w:ascii="宋体" w:hAnsi="宋体" w:cs="宋体"/>
                <w:sz w:val="18"/>
                <w:szCs w:val="18"/>
              </w:rPr>
            </w:pPr>
            <w:r>
              <w:rPr>
                <w:rFonts w:hint="eastAsia" w:ascii="宋体" w:hAnsi="宋体" w:cs="宋体"/>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Y≥30000</w:t>
            </w:r>
          </w:p>
        </w:tc>
        <w:tc>
          <w:tcPr>
            <w:tcW w:w="1701" w:type="dxa"/>
            <w:vAlign w:val="center"/>
          </w:tcPr>
          <w:p>
            <w:pPr>
              <w:jc w:val="left"/>
              <w:rPr>
                <w:rFonts w:ascii="宋体" w:hAnsi="宋体" w:cs="宋体"/>
                <w:sz w:val="18"/>
                <w:szCs w:val="18"/>
              </w:rPr>
            </w:pPr>
            <w:r>
              <w:rPr>
                <w:rFonts w:hint="eastAsia" w:ascii="宋体" w:hAnsi="宋体" w:cs="宋体"/>
                <w:sz w:val="18"/>
                <w:szCs w:val="18"/>
              </w:rPr>
              <w:t>3000≤Y＜30000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200≤Y＜3000</w:t>
            </w:r>
          </w:p>
        </w:tc>
        <w:tc>
          <w:tcPr>
            <w:tcW w:w="992" w:type="dxa"/>
            <w:vAlign w:val="center"/>
          </w:tcPr>
          <w:p>
            <w:pPr>
              <w:jc w:val="left"/>
              <w:rPr>
                <w:rFonts w:ascii="宋体" w:hAnsi="宋体" w:cs="宋体"/>
                <w:sz w:val="18"/>
                <w:szCs w:val="18"/>
              </w:rPr>
            </w:pPr>
            <w:r>
              <w:rPr>
                <w:rFonts w:hint="eastAsia" w:ascii="宋体" w:hAnsi="宋体" w:cs="宋体"/>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仓储业*</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X≥200</w:t>
            </w:r>
          </w:p>
        </w:tc>
        <w:tc>
          <w:tcPr>
            <w:tcW w:w="1701" w:type="dxa"/>
            <w:vAlign w:val="center"/>
          </w:tcPr>
          <w:p>
            <w:pPr>
              <w:ind w:left="1" w:leftChars="-51" w:hanging="108" w:hangingChars="60"/>
              <w:jc w:val="left"/>
              <w:rPr>
                <w:rFonts w:ascii="宋体" w:hAnsi="宋体" w:cs="宋体"/>
                <w:sz w:val="18"/>
                <w:szCs w:val="18"/>
              </w:rPr>
            </w:pPr>
            <w:r>
              <w:rPr>
                <w:rFonts w:hint="eastAsia" w:ascii="宋体" w:hAnsi="宋体" w:cs="宋体"/>
                <w:sz w:val="18"/>
                <w:szCs w:val="18"/>
              </w:rPr>
              <w:t>100≤X＜200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20≤X＜100</w:t>
            </w:r>
          </w:p>
        </w:tc>
        <w:tc>
          <w:tcPr>
            <w:tcW w:w="992" w:type="dxa"/>
            <w:vAlign w:val="center"/>
          </w:tcPr>
          <w:p>
            <w:pPr>
              <w:jc w:val="left"/>
              <w:rPr>
                <w:rFonts w:ascii="宋体" w:hAnsi="宋体" w:cs="宋体"/>
                <w:sz w:val="18"/>
                <w:szCs w:val="18"/>
              </w:rPr>
            </w:pPr>
            <w:r>
              <w:rPr>
                <w:rFonts w:hint="eastAsia" w:ascii="宋体" w:hAnsi="宋体" w:cs="宋体"/>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Y≥30000</w:t>
            </w:r>
          </w:p>
        </w:tc>
        <w:tc>
          <w:tcPr>
            <w:tcW w:w="1701" w:type="dxa"/>
            <w:vAlign w:val="center"/>
          </w:tcPr>
          <w:p>
            <w:pPr>
              <w:jc w:val="left"/>
              <w:rPr>
                <w:rFonts w:ascii="宋体" w:hAnsi="宋体" w:cs="宋体"/>
                <w:sz w:val="18"/>
                <w:szCs w:val="18"/>
              </w:rPr>
            </w:pPr>
            <w:r>
              <w:rPr>
                <w:rFonts w:hint="eastAsia" w:ascii="宋体" w:hAnsi="宋体" w:cs="宋体"/>
                <w:sz w:val="18"/>
                <w:szCs w:val="18"/>
              </w:rPr>
              <w:t>1000≤Y＜30000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100≤Y＜1000</w:t>
            </w:r>
          </w:p>
        </w:tc>
        <w:tc>
          <w:tcPr>
            <w:tcW w:w="992" w:type="dxa"/>
            <w:vAlign w:val="center"/>
          </w:tcPr>
          <w:p>
            <w:pPr>
              <w:jc w:val="left"/>
              <w:rPr>
                <w:rFonts w:ascii="宋体" w:hAnsi="宋体" w:cs="宋体"/>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邮政业</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X≥1000</w:t>
            </w:r>
          </w:p>
        </w:tc>
        <w:tc>
          <w:tcPr>
            <w:tcW w:w="1701" w:type="dxa"/>
            <w:vAlign w:val="center"/>
          </w:tcPr>
          <w:p>
            <w:pPr>
              <w:jc w:val="left"/>
              <w:rPr>
                <w:rFonts w:ascii="宋体" w:hAnsi="宋体" w:cs="宋体"/>
                <w:sz w:val="18"/>
                <w:szCs w:val="18"/>
              </w:rPr>
            </w:pPr>
            <w:r>
              <w:rPr>
                <w:rFonts w:hint="eastAsia" w:ascii="宋体" w:hAnsi="宋体" w:cs="宋体"/>
                <w:sz w:val="18"/>
                <w:szCs w:val="18"/>
              </w:rPr>
              <w:t>300≤X＜1000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20≤X＜300</w:t>
            </w:r>
          </w:p>
        </w:tc>
        <w:tc>
          <w:tcPr>
            <w:tcW w:w="992" w:type="dxa"/>
            <w:vAlign w:val="center"/>
          </w:tcPr>
          <w:p>
            <w:pPr>
              <w:jc w:val="left"/>
              <w:rPr>
                <w:rFonts w:ascii="宋体" w:hAnsi="宋体" w:cs="宋体"/>
                <w:sz w:val="18"/>
                <w:szCs w:val="18"/>
              </w:rPr>
            </w:pPr>
            <w:r>
              <w:rPr>
                <w:rFonts w:hint="eastAsia" w:ascii="宋体" w:hAnsi="宋体" w:cs="宋体"/>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Y≥30000</w:t>
            </w:r>
          </w:p>
        </w:tc>
        <w:tc>
          <w:tcPr>
            <w:tcW w:w="1701" w:type="dxa"/>
            <w:vAlign w:val="center"/>
          </w:tcPr>
          <w:p>
            <w:pPr>
              <w:jc w:val="center"/>
              <w:rPr>
                <w:rFonts w:ascii="宋体" w:hAnsi="宋体" w:cs="宋体"/>
                <w:sz w:val="18"/>
                <w:szCs w:val="18"/>
              </w:rPr>
            </w:pPr>
            <w:r>
              <w:rPr>
                <w:rFonts w:hint="eastAsia" w:ascii="宋体" w:hAnsi="宋体" w:cs="宋体"/>
                <w:sz w:val="18"/>
                <w:szCs w:val="18"/>
              </w:rPr>
              <w:t>2000≤Y＜30000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100≤Y＜2000</w:t>
            </w:r>
          </w:p>
        </w:tc>
        <w:tc>
          <w:tcPr>
            <w:tcW w:w="992" w:type="dxa"/>
            <w:vAlign w:val="center"/>
          </w:tcPr>
          <w:p>
            <w:pPr>
              <w:jc w:val="left"/>
              <w:rPr>
                <w:rFonts w:ascii="宋体" w:hAnsi="宋体" w:cs="宋体"/>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住宿业</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X≥300</w:t>
            </w:r>
          </w:p>
        </w:tc>
        <w:tc>
          <w:tcPr>
            <w:tcW w:w="1701" w:type="dxa"/>
            <w:vAlign w:val="center"/>
          </w:tcPr>
          <w:p>
            <w:pPr>
              <w:ind w:left="1" w:leftChars="-51" w:hanging="108" w:hangingChars="60"/>
              <w:jc w:val="center"/>
              <w:rPr>
                <w:rFonts w:ascii="宋体" w:hAnsi="宋体" w:cs="宋体"/>
                <w:sz w:val="18"/>
                <w:szCs w:val="18"/>
              </w:rPr>
            </w:pPr>
            <w:r>
              <w:rPr>
                <w:rFonts w:hint="eastAsia" w:ascii="宋体" w:hAnsi="宋体" w:cs="宋体"/>
                <w:sz w:val="18"/>
                <w:szCs w:val="18"/>
              </w:rPr>
              <w:t>100≤X＜300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10≤X＜100</w:t>
            </w:r>
          </w:p>
        </w:tc>
        <w:tc>
          <w:tcPr>
            <w:tcW w:w="992" w:type="dxa"/>
            <w:vAlign w:val="center"/>
          </w:tcPr>
          <w:p>
            <w:pPr>
              <w:jc w:val="left"/>
              <w:rPr>
                <w:rFonts w:ascii="宋体" w:hAnsi="宋体" w:cs="宋体"/>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Y≥10000</w:t>
            </w:r>
          </w:p>
        </w:tc>
        <w:tc>
          <w:tcPr>
            <w:tcW w:w="1701" w:type="dxa"/>
            <w:vAlign w:val="center"/>
          </w:tcPr>
          <w:p>
            <w:pPr>
              <w:jc w:val="center"/>
              <w:rPr>
                <w:rFonts w:ascii="宋体" w:hAnsi="宋体" w:cs="宋体"/>
                <w:sz w:val="18"/>
                <w:szCs w:val="18"/>
              </w:rPr>
            </w:pPr>
            <w:r>
              <w:rPr>
                <w:rFonts w:hint="eastAsia" w:ascii="宋体" w:hAnsi="宋体" w:cs="宋体"/>
                <w:sz w:val="18"/>
                <w:szCs w:val="18"/>
              </w:rPr>
              <w:t>2000≤Y＜10000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100≤Y＜2000</w:t>
            </w:r>
          </w:p>
        </w:tc>
        <w:tc>
          <w:tcPr>
            <w:tcW w:w="992" w:type="dxa"/>
            <w:vAlign w:val="center"/>
          </w:tcPr>
          <w:p>
            <w:pPr>
              <w:jc w:val="left"/>
              <w:rPr>
                <w:rFonts w:ascii="宋体" w:hAnsi="宋体" w:cs="宋体"/>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餐饮业</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X≥300</w:t>
            </w:r>
          </w:p>
        </w:tc>
        <w:tc>
          <w:tcPr>
            <w:tcW w:w="1701" w:type="dxa"/>
            <w:vAlign w:val="center"/>
          </w:tcPr>
          <w:p>
            <w:pPr>
              <w:ind w:left="1" w:leftChars="-51" w:hanging="108" w:hangingChars="60"/>
              <w:jc w:val="center"/>
              <w:rPr>
                <w:rFonts w:ascii="宋体" w:hAnsi="宋体" w:cs="宋体"/>
                <w:sz w:val="18"/>
                <w:szCs w:val="18"/>
              </w:rPr>
            </w:pPr>
            <w:r>
              <w:rPr>
                <w:rFonts w:hint="eastAsia" w:ascii="宋体" w:hAnsi="宋体" w:cs="宋体"/>
                <w:sz w:val="18"/>
                <w:szCs w:val="18"/>
              </w:rPr>
              <w:t>100≤X＜300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10≤X＜100</w:t>
            </w:r>
          </w:p>
        </w:tc>
        <w:tc>
          <w:tcPr>
            <w:tcW w:w="992" w:type="dxa"/>
            <w:vAlign w:val="center"/>
          </w:tcPr>
          <w:p>
            <w:pPr>
              <w:jc w:val="left"/>
              <w:rPr>
                <w:rFonts w:ascii="宋体" w:hAnsi="宋体" w:cs="宋体"/>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Y≥10000</w:t>
            </w:r>
          </w:p>
        </w:tc>
        <w:tc>
          <w:tcPr>
            <w:tcW w:w="1701" w:type="dxa"/>
            <w:vAlign w:val="center"/>
          </w:tcPr>
          <w:p>
            <w:pPr>
              <w:jc w:val="center"/>
              <w:rPr>
                <w:rFonts w:ascii="宋体" w:hAnsi="宋体" w:cs="宋体"/>
                <w:sz w:val="18"/>
                <w:szCs w:val="18"/>
              </w:rPr>
            </w:pPr>
            <w:r>
              <w:rPr>
                <w:rFonts w:hint="eastAsia" w:ascii="宋体" w:hAnsi="宋体" w:cs="宋体"/>
                <w:sz w:val="18"/>
                <w:szCs w:val="18"/>
              </w:rPr>
              <w:t>2000≤Y＜10000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100≤Y＜2000</w:t>
            </w:r>
          </w:p>
        </w:tc>
        <w:tc>
          <w:tcPr>
            <w:tcW w:w="992" w:type="dxa"/>
            <w:vAlign w:val="center"/>
          </w:tcPr>
          <w:p>
            <w:pPr>
              <w:jc w:val="left"/>
              <w:rPr>
                <w:rFonts w:ascii="宋体" w:hAnsi="宋体" w:cs="宋体"/>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信息传输业*</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X≥2000</w:t>
            </w:r>
          </w:p>
        </w:tc>
        <w:tc>
          <w:tcPr>
            <w:tcW w:w="1701" w:type="dxa"/>
            <w:vAlign w:val="center"/>
          </w:tcPr>
          <w:p>
            <w:pPr>
              <w:jc w:val="center"/>
              <w:rPr>
                <w:rFonts w:ascii="宋体" w:hAnsi="宋体" w:cs="宋体"/>
                <w:sz w:val="18"/>
                <w:szCs w:val="18"/>
              </w:rPr>
            </w:pPr>
            <w:r>
              <w:rPr>
                <w:rFonts w:hint="eastAsia" w:ascii="宋体" w:hAnsi="宋体" w:cs="宋体"/>
                <w:sz w:val="18"/>
                <w:szCs w:val="18"/>
              </w:rPr>
              <w:t>100≤X＜2000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10≤X＜100</w:t>
            </w:r>
          </w:p>
        </w:tc>
        <w:tc>
          <w:tcPr>
            <w:tcW w:w="992" w:type="dxa"/>
            <w:vAlign w:val="center"/>
          </w:tcPr>
          <w:p>
            <w:pPr>
              <w:jc w:val="left"/>
              <w:rPr>
                <w:rFonts w:ascii="宋体" w:hAnsi="宋体" w:cs="宋体"/>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Y≥100000</w:t>
            </w:r>
          </w:p>
        </w:tc>
        <w:tc>
          <w:tcPr>
            <w:tcW w:w="1701" w:type="dxa"/>
            <w:vAlign w:val="center"/>
          </w:tcPr>
          <w:p>
            <w:pPr>
              <w:jc w:val="center"/>
              <w:rPr>
                <w:rFonts w:ascii="宋体" w:hAnsi="宋体" w:cs="宋体"/>
                <w:sz w:val="18"/>
                <w:szCs w:val="18"/>
              </w:rPr>
            </w:pPr>
            <w:r>
              <w:rPr>
                <w:rFonts w:hint="eastAsia" w:ascii="宋体" w:hAnsi="宋体" w:cs="宋体"/>
                <w:sz w:val="18"/>
                <w:szCs w:val="18"/>
              </w:rPr>
              <w:t>1000≤Y＜100000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100≤Y＜1000</w:t>
            </w:r>
          </w:p>
        </w:tc>
        <w:tc>
          <w:tcPr>
            <w:tcW w:w="992" w:type="dxa"/>
            <w:vAlign w:val="center"/>
          </w:tcPr>
          <w:p>
            <w:pPr>
              <w:jc w:val="left"/>
              <w:rPr>
                <w:rFonts w:ascii="宋体" w:hAnsi="宋体" w:cs="宋体"/>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2114" w:type="dxa"/>
            <w:vMerge w:val="restart"/>
            <w:vAlign w:val="center"/>
          </w:tcPr>
          <w:p>
            <w:pPr>
              <w:spacing w:line="240" w:lineRule="exact"/>
              <w:jc w:val="left"/>
              <w:rPr>
                <w:rFonts w:ascii="宋体" w:hAnsi="宋体" w:cs="宋体"/>
                <w:spacing w:val="-12"/>
                <w:sz w:val="18"/>
                <w:szCs w:val="18"/>
              </w:rPr>
            </w:pPr>
            <w:r>
              <w:rPr>
                <w:rFonts w:hint="eastAsia" w:ascii="宋体" w:hAnsi="宋体" w:cs="宋体"/>
                <w:spacing w:val="-12"/>
                <w:sz w:val="18"/>
                <w:szCs w:val="18"/>
              </w:rPr>
              <w:t>软件和信息技术服</w:t>
            </w:r>
            <w:r>
              <w:rPr>
                <w:rFonts w:hint="eastAsia" w:ascii="宋体" w:hAnsi="宋体" w:cs="宋体"/>
                <w:sz w:val="18"/>
                <w:szCs w:val="18"/>
              </w:rPr>
              <w:t>务业</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X≥300</w:t>
            </w:r>
          </w:p>
        </w:tc>
        <w:tc>
          <w:tcPr>
            <w:tcW w:w="1701" w:type="dxa"/>
            <w:vAlign w:val="center"/>
          </w:tcPr>
          <w:p>
            <w:pPr>
              <w:ind w:left="1" w:leftChars="-51" w:hanging="108" w:hangingChars="60"/>
              <w:jc w:val="center"/>
              <w:rPr>
                <w:rFonts w:ascii="宋体" w:hAnsi="宋体" w:cs="宋体"/>
                <w:sz w:val="18"/>
                <w:szCs w:val="18"/>
              </w:rPr>
            </w:pPr>
            <w:r>
              <w:rPr>
                <w:rFonts w:hint="eastAsia" w:ascii="宋体" w:hAnsi="宋体" w:cs="宋体"/>
                <w:sz w:val="18"/>
                <w:szCs w:val="18"/>
              </w:rPr>
              <w:t>100≤X＜300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10≤X＜100</w:t>
            </w:r>
          </w:p>
        </w:tc>
        <w:tc>
          <w:tcPr>
            <w:tcW w:w="992" w:type="dxa"/>
            <w:vAlign w:val="center"/>
          </w:tcPr>
          <w:p>
            <w:pPr>
              <w:jc w:val="left"/>
              <w:rPr>
                <w:rFonts w:ascii="宋体" w:hAnsi="宋体" w:cs="宋体"/>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2114" w:type="dxa"/>
            <w:vMerge w:val="continue"/>
            <w:vAlign w:val="center"/>
          </w:tcPr>
          <w:p>
            <w:pPr>
              <w:jc w:val="left"/>
              <w:rPr>
                <w:rFonts w:ascii="宋体" w:hAnsi="宋体" w:cs="宋体"/>
                <w:spacing w:val="-12"/>
                <w:sz w:val="18"/>
                <w:szCs w:val="18"/>
              </w:rPr>
            </w:pPr>
          </w:p>
        </w:tc>
        <w:tc>
          <w:tcPr>
            <w:tcW w:w="1369" w:type="dxa"/>
            <w:vAlign w:val="center"/>
          </w:tcPr>
          <w:p>
            <w:pPr>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Y≥10000</w:t>
            </w:r>
          </w:p>
        </w:tc>
        <w:tc>
          <w:tcPr>
            <w:tcW w:w="1701" w:type="dxa"/>
            <w:vAlign w:val="center"/>
          </w:tcPr>
          <w:p>
            <w:pPr>
              <w:jc w:val="center"/>
              <w:rPr>
                <w:rFonts w:ascii="宋体" w:hAnsi="宋体" w:cs="宋体"/>
                <w:sz w:val="18"/>
                <w:szCs w:val="18"/>
              </w:rPr>
            </w:pPr>
            <w:r>
              <w:rPr>
                <w:rFonts w:hint="eastAsia" w:ascii="宋体" w:hAnsi="宋体" w:cs="宋体"/>
                <w:sz w:val="18"/>
                <w:szCs w:val="18"/>
              </w:rPr>
              <w:t>1000≤Y＜10000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50≤Y＜1000</w:t>
            </w:r>
          </w:p>
        </w:tc>
        <w:tc>
          <w:tcPr>
            <w:tcW w:w="992" w:type="dxa"/>
            <w:vAlign w:val="center"/>
          </w:tcPr>
          <w:p>
            <w:pPr>
              <w:jc w:val="left"/>
              <w:rPr>
                <w:rFonts w:ascii="宋体" w:hAnsi="宋体" w:cs="宋体"/>
                <w:sz w:val="18"/>
                <w:szCs w:val="18"/>
              </w:rPr>
            </w:pPr>
            <w:r>
              <w:rPr>
                <w:rFonts w:hint="eastAsia" w:ascii="宋体" w:hAnsi="宋体" w:cs="宋体"/>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房地产开发经营</w:t>
            </w:r>
          </w:p>
        </w:tc>
        <w:tc>
          <w:tcPr>
            <w:tcW w:w="1369" w:type="dxa"/>
            <w:vAlign w:val="center"/>
          </w:tcPr>
          <w:p>
            <w:pPr>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Y≥200000</w:t>
            </w:r>
          </w:p>
        </w:tc>
        <w:tc>
          <w:tcPr>
            <w:tcW w:w="1701" w:type="dxa"/>
            <w:vAlign w:val="center"/>
          </w:tcPr>
          <w:p>
            <w:pPr>
              <w:jc w:val="center"/>
              <w:rPr>
                <w:rFonts w:ascii="宋体" w:hAnsi="宋体" w:cs="宋体"/>
                <w:sz w:val="18"/>
                <w:szCs w:val="18"/>
              </w:rPr>
            </w:pPr>
            <w:r>
              <w:rPr>
                <w:rFonts w:hint="eastAsia" w:ascii="宋体" w:hAnsi="宋体" w:cs="宋体"/>
                <w:sz w:val="18"/>
                <w:szCs w:val="18"/>
              </w:rPr>
              <w:t>1000≤Y＜200000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100≤Y＜1000</w:t>
            </w:r>
          </w:p>
        </w:tc>
        <w:tc>
          <w:tcPr>
            <w:tcW w:w="992" w:type="dxa"/>
            <w:vAlign w:val="center"/>
          </w:tcPr>
          <w:p>
            <w:pPr>
              <w:jc w:val="left"/>
              <w:rPr>
                <w:rFonts w:ascii="宋体" w:hAnsi="宋体" w:cs="宋体"/>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资产总额(Z)</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Z≥10000</w:t>
            </w:r>
          </w:p>
        </w:tc>
        <w:tc>
          <w:tcPr>
            <w:tcW w:w="1701" w:type="dxa"/>
            <w:vAlign w:val="center"/>
          </w:tcPr>
          <w:p>
            <w:pPr>
              <w:jc w:val="center"/>
              <w:rPr>
                <w:rFonts w:ascii="宋体" w:hAnsi="宋体" w:cs="宋体"/>
                <w:sz w:val="18"/>
                <w:szCs w:val="18"/>
              </w:rPr>
            </w:pPr>
            <w:r>
              <w:rPr>
                <w:rFonts w:hint="eastAsia" w:ascii="宋体" w:hAnsi="宋体" w:cs="宋体"/>
                <w:sz w:val="18"/>
                <w:szCs w:val="18"/>
              </w:rPr>
              <w:t>5000≤Z＜10000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2000≤Z＜5000   </w:t>
            </w:r>
          </w:p>
        </w:tc>
        <w:tc>
          <w:tcPr>
            <w:tcW w:w="992" w:type="dxa"/>
            <w:vAlign w:val="center"/>
          </w:tcPr>
          <w:p>
            <w:pPr>
              <w:jc w:val="left"/>
              <w:rPr>
                <w:rFonts w:ascii="宋体" w:hAnsi="宋体" w:cs="宋体"/>
                <w:sz w:val="18"/>
                <w:szCs w:val="18"/>
              </w:rPr>
            </w:pPr>
            <w:r>
              <w:rPr>
                <w:rFonts w:hint="eastAsia" w:ascii="宋体" w:hAnsi="宋体" w:cs="宋体"/>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物业管理</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X≥1000</w:t>
            </w:r>
          </w:p>
        </w:tc>
        <w:tc>
          <w:tcPr>
            <w:tcW w:w="1701" w:type="dxa"/>
            <w:vAlign w:val="center"/>
          </w:tcPr>
          <w:p>
            <w:pPr>
              <w:jc w:val="center"/>
              <w:rPr>
                <w:rFonts w:ascii="宋体" w:hAnsi="宋体" w:cs="宋体"/>
                <w:sz w:val="18"/>
                <w:szCs w:val="18"/>
              </w:rPr>
            </w:pPr>
            <w:r>
              <w:rPr>
                <w:rFonts w:hint="eastAsia" w:ascii="宋体" w:hAnsi="宋体" w:cs="宋体"/>
                <w:sz w:val="18"/>
                <w:szCs w:val="18"/>
              </w:rPr>
              <w:t>300≤X＜1000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100≤X＜300 </w:t>
            </w:r>
          </w:p>
        </w:tc>
        <w:tc>
          <w:tcPr>
            <w:tcW w:w="992" w:type="dxa"/>
            <w:vAlign w:val="center"/>
          </w:tcPr>
          <w:p>
            <w:pPr>
              <w:jc w:val="left"/>
              <w:rPr>
                <w:rFonts w:ascii="宋体" w:hAnsi="宋体" w:cs="宋体"/>
                <w:sz w:val="18"/>
                <w:szCs w:val="18"/>
              </w:rPr>
            </w:pPr>
            <w:r>
              <w:rPr>
                <w:rFonts w:hint="eastAsia" w:ascii="宋体" w:hAnsi="宋体" w:cs="宋体"/>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营业收入(Y)</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Y≥5000</w:t>
            </w:r>
          </w:p>
        </w:tc>
        <w:tc>
          <w:tcPr>
            <w:tcW w:w="1701" w:type="dxa"/>
            <w:vAlign w:val="center"/>
          </w:tcPr>
          <w:p>
            <w:pPr>
              <w:ind w:left="1" w:leftChars="-51" w:hanging="108" w:hangingChars="60"/>
              <w:jc w:val="center"/>
              <w:rPr>
                <w:rFonts w:ascii="宋体" w:hAnsi="宋体" w:cs="宋体"/>
                <w:sz w:val="18"/>
                <w:szCs w:val="18"/>
              </w:rPr>
            </w:pPr>
            <w:r>
              <w:rPr>
                <w:rFonts w:hint="eastAsia" w:ascii="宋体" w:hAnsi="宋体" w:cs="宋体"/>
                <w:sz w:val="18"/>
                <w:szCs w:val="18"/>
              </w:rPr>
              <w:t>1000≤Y＜5000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500≤Y＜1000</w:t>
            </w:r>
          </w:p>
        </w:tc>
        <w:tc>
          <w:tcPr>
            <w:tcW w:w="992" w:type="dxa"/>
            <w:vAlign w:val="center"/>
          </w:tcPr>
          <w:p>
            <w:pPr>
              <w:jc w:val="left"/>
              <w:rPr>
                <w:rFonts w:ascii="宋体" w:hAnsi="宋体" w:cs="宋体"/>
                <w:sz w:val="18"/>
                <w:szCs w:val="18"/>
              </w:rPr>
            </w:pPr>
            <w:r>
              <w:rPr>
                <w:rFonts w:hint="eastAsia" w:ascii="宋体" w:hAnsi="宋体" w:cs="宋体"/>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2114" w:type="dxa"/>
            <w:vMerge w:val="restart"/>
            <w:vAlign w:val="center"/>
          </w:tcPr>
          <w:p>
            <w:pPr>
              <w:spacing w:line="240" w:lineRule="exact"/>
              <w:jc w:val="left"/>
              <w:rPr>
                <w:rFonts w:ascii="宋体" w:hAnsi="宋体" w:cs="宋体"/>
                <w:sz w:val="18"/>
                <w:szCs w:val="18"/>
              </w:rPr>
            </w:pPr>
            <w:r>
              <w:rPr>
                <w:rFonts w:hint="eastAsia" w:ascii="宋体" w:hAnsi="宋体" w:cs="宋体"/>
                <w:sz w:val="18"/>
                <w:szCs w:val="18"/>
              </w:rPr>
              <w:t>租赁和商务服务业</w:t>
            </w:r>
          </w:p>
        </w:tc>
        <w:tc>
          <w:tcPr>
            <w:tcW w:w="1369" w:type="dxa"/>
            <w:vAlign w:val="center"/>
          </w:tcPr>
          <w:p>
            <w:pPr>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jc w:val="left"/>
              <w:rPr>
                <w:rFonts w:ascii="宋体" w:hAnsi="宋体" w:cs="宋体"/>
                <w:sz w:val="18"/>
                <w:szCs w:val="18"/>
              </w:rPr>
            </w:pPr>
            <w:r>
              <w:rPr>
                <w:rFonts w:hint="eastAsia" w:ascii="宋体" w:hAnsi="宋体" w:cs="宋体"/>
                <w:sz w:val="18"/>
                <w:szCs w:val="18"/>
              </w:rPr>
              <w:t>人</w:t>
            </w:r>
          </w:p>
        </w:tc>
        <w:tc>
          <w:tcPr>
            <w:tcW w:w="1125" w:type="dxa"/>
            <w:vAlign w:val="center"/>
          </w:tcPr>
          <w:p>
            <w:pPr>
              <w:jc w:val="left"/>
              <w:rPr>
                <w:rFonts w:ascii="宋体" w:hAnsi="宋体" w:cs="宋体"/>
                <w:sz w:val="18"/>
                <w:szCs w:val="18"/>
              </w:rPr>
            </w:pPr>
            <w:r>
              <w:rPr>
                <w:rFonts w:hint="eastAsia" w:ascii="宋体" w:hAnsi="宋体" w:cs="宋体"/>
                <w:sz w:val="18"/>
                <w:szCs w:val="18"/>
              </w:rPr>
              <w:t>X≥300</w:t>
            </w:r>
          </w:p>
        </w:tc>
        <w:tc>
          <w:tcPr>
            <w:tcW w:w="1701" w:type="dxa"/>
            <w:vAlign w:val="center"/>
          </w:tcPr>
          <w:p>
            <w:pPr>
              <w:ind w:left="1" w:leftChars="-51" w:hanging="108" w:hangingChars="60"/>
              <w:jc w:val="center"/>
              <w:rPr>
                <w:rFonts w:ascii="宋体" w:hAnsi="宋体" w:cs="宋体"/>
                <w:sz w:val="18"/>
                <w:szCs w:val="18"/>
              </w:rPr>
            </w:pPr>
            <w:r>
              <w:rPr>
                <w:rFonts w:hint="eastAsia" w:ascii="宋体" w:hAnsi="宋体" w:cs="宋体"/>
                <w:sz w:val="18"/>
                <w:szCs w:val="18"/>
              </w:rPr>
              <w:t>100≤X＜300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10≤X＜100</w:t>
            </w:r>
          </w:p>
        </w:tc>
        <w:tc>
          <w:tcPr>
            <w:tcW w:w="992" w:type="dxa"/>
            <w:vAlign w:val="center"/>
          </w:tcPr>
          <w:p>
            <w:pPr>
              <w:jc w:val="left"/>
              <w:rPr>
                <w:rFonts w:ascii="宋体" w:hAnsi="宋体" w:cs="宋体"/>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2114" w:type="dxa"/>
            <w:vMerge w:val="continue"/>
            <w:vAlign w:val="center"/>
          </w:tcPr>
          <w:p>
            <w:pPr>
              <w:jc w:val="left"/>
              <w:rPr>
                <w:rFonts w:ascii="宋体" w:hAnsi="宋体" w:cs="宋体"/>
                <w:sz w:val="18"/>
                <w:szCs w:val="18"/>
              </w:rPr>
            </w:pP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资产总额(Z)</w:t>
            </w:r>
          </w:p>
        </w:tc>
        <w:tc>
          <w:tcPr>
            <w:tcW w:w="709" w:type="dxa"/>
            <w:vAlign w:val="center"/>
          </w:tcPr>
          <w:p>
            <w:pPr>
              <w:jc w:val="left"/>
              <w:rPr>
                <w:rFonts w:ascii="宋体" w:hAnsi="宋体" w:cs="宋体"/>
                <w:sz w:val="18"/>
                <w:szCs w:val="18"/>
              </w:rPr>
            </w:pPr>
            <w:r>
              <w:rPr>
                <w:rFonts w:hint="eastAsia" w:ascii="宋体" w:hAnsi="宋体" w:cs="宋体"/>
                <w:sz w:val="18"/>
                <w:szCs w:val="18"/>
              </w:rPr>
              <w:t>万元</w:t>
            </w:r>
          </w:p>
        </w:tc>
        <w:tc>
          <w:tcPr>
            <w:tcW w:w="1125" w:type="dxa"/>
            <w:vAlign w:val="center"/>
          </w:tcPr>
          <w:p>
            <w:pPr>
              <w:jc w:val="left"/>
              <w:rPr>
                <w:rFonts w:ascii="宋体" w:hAnsi="宋体" w:cs="宋体"/>
                <w:sz w:val="18"/>
                <w:szCs w:val="18"/>
              </w:rPr>
            </w:pPr>
            <w:r>
              <w:rPr>
                <w:rFonts w:hint="eastAsia" w:ascii="宋体" w:hAnsi="宋体" w:cs="宋体"/>
                <w:sz w:val="18"/>
                <w:szCs w:val="18"/>
              </w:rPr>
              <w:t>Z≥120000</w:t>
            </w:r>
          </w:p>
        </w:tc>
        <w:tc>
          <w:tcPr>
            <w:tcW w:w="1701" w:type="dxa"/>
            <w:vAlign w:val="center"/>
          </w:tcPr>
          <w:p>
            <w:pPr>
              <w:jc w:val="center"/>
              <w:rPr>
                <w:rFonts w:ascii="宋体" w:hAnsi="宋体" w:cs="宋体"/>
                <w:sz w:val="18"/>
                <w:szCs w:val="18"/>
              </w:rPr>
            </w:pPr>
            <w:r>
              <w:rPr>
                <w:rFonts w:hint="eastAsia" w:ascii="宋体" w:hAnsi="宋体" w:cs="宋体"/>
                <w:sz w:val="18"/>
                <w:szCs w:val="18"/>
              </w:rPr>
              <w:t>8000≤Z＜120000</w:t>
            </w:r>
          </w:p>
        </w:tc>
        <w:tc>
          <w:tcPr>
            <w:tcW w:w="1426" w:type="dxa"/>
            <w:vAlign w:val="center"/>
          </w:tcPr>
          <w:p>
            <w:pPr>
              <w:jc w:val="left"/>
              <w:rPr>
                <w:rFonts w:ascii="宋体" w:hAnsi="宋体" w:cs="宋体"/>
                <w:sz w:val="18"/>
                <w:szCs w:val="18"/>
              </w:rPr>
            </w:pPr>
            <w:r>
              <w:rPr>
                <w:rFonts w:hint="eastAsia" w:ascii="宋体" w:hAnsi="宋体" w:cs="宋体"/>
                <w:sz w:val="18"/>
                <w:szCs w:val="18"/>
              </w:rPr>
              <w:t xml:space="preserve"> 100≤Z＜8000</w:t>
            </w:r>
          </w:p>
        </w:tc>
        <w:tc>
          <w:tcPr>
            <w:tcW w:w="992" w:type="dxa"/>
            <w:vAlign w:val="center"/>
          </w:tcPr>
          <w:p>
            <w:pPr>
              <w:jc w:val="left"/>
              <w:rPr>
                <w:rFonts w:ascii="宋体" w:hAnsi="宋体" w:cs="宋体"/>
                <w:sz w:val="18"/>
                <w:szCs w:val="18"/>
              </w:rPr>
            </w:pPr>
            <w:r>
              <w:rPr>
                <w:rFonts w:hint="eastAsia" w:ascii="宋体" w:hAnsi="宋体" w:cs="宋体"/>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14" w:type="dxa"/>
            <w:vAlign w:val="center"/>
          </w:tcPr>
          <w:p>
            <w:pPr>
              <w:spacing w:line="240" w:lineRule="exact"/>
              <w:jc w:val="left"/>
              <w:rPr>
                <w:rFonts w:ascii="宋体" w:hAnsi="宋体" w:cs="宋体"/>
                <w:sz w:val="20"/>
                <w:szCs w:val="21"/>
              </w:rPr>
            </w:pPr>
            <w:r>
              <w:rPr>
                <w:rFonts w:hint="eastAsia" w:ascii="宋体" w:hAnsi="宋体" w:cs="宋体"/>
                <w:sz w:val="18"/>
                <w:szCs w:val="18"/>
              </w:rPr>
              <w:t>其他未列明行业*</w:t>
            </w:r>
          </w:p>
        </w:tc>
        <w:tc>
          <w:tcPr>
            <w:tcW w:w="1369" w:type="dxa"/>
            <w:vAlign w:val="center"/>
          </w:tcPr>
          <w:p>
            <w:pPr>
              <w:spacing w:line="240" w:lineRule="exact"/>
              <w:jc w:val="left"/>
              <w:rPr>
                <w:rFonts w:ascii="宋体" w:hAnsi="宋体" w:cs="宋体"/>
                <w:sz w:val="18"/>
                <w:szCs w:val="18"/>
              </w:rPr>
            </w:pPr>
            <w:r>
              <w:rPr>
                <w:rFonts w:hint="eastAsia" w:ascii="宋体" w:hAnsi="宋体" w:cs="宋体"/>
                <w:sz w:val="18"/>
                <w:szCs w:val="18"/>
              </w:rPr>
              <w:t>从业人员(X)</w:t>
            </w:r>
          </w:p>
        </w:tc>
        <w:tc>
          <w:tcPr>
            <w:tcW w:w="709" w:type="dxa"/>
            <w:vAlign w:val="center"/>
          </w:tcPr>
          <w:p>
            <w:pPr>
              <w:spacing w:line="240" w:lineRule="exact"/>
              <w:jc w:val="left"/>
              <w:rPr>
                <w:rFonts w:ascii="宋体" w:hAnsi="宋体" w:cs="宋体"/>
                <w:sz w:val="18"/>
                <w:szCs w:val="18"/>
              </w:rPr>
            </w:pPr>
            <w:r>
              <w:rPr>
                <w:rFonts w:hint="eastAsia" w:ascii="宋体" w:hAnsi="宋体" w:cs="宋体"/>
                <w:sz w:val="18"/>
                <w:szCs w:val="18"/>
              </w:rPr>
              <w:t>人</w:t>
            </w:r>
          </w:p>
        </w:tc>
        <w:tc>
          <w:tcPr>
            <w:tcW w:w="1125" w:type="dxa"/>
            <w:vAlign w:val="center"/>
          </w:tcPr>
          <w:p>
            <w:pPr>
              <w:spacing w:line="240" w:lineRule="exact"/>
              <w:jc w:val="left"/>
              <w:rPr>
                <w:rFonts w:ascii="宋体" w:hAnsi="宋体" w:cs="宋体"/>
                <w:sz w:val="18"/>
                <w:szCs w:val="18"/>
              </w:rPr>
            </w:pPr>
            <w:r>
              <w:rPr>
                <w:rFonts w:hint="eastAsia" w:ascii="宋体" w:hAnsi="宋体" w:cs="宋体"/>
                <w:sz w:val="18"/>
                <w:szCs w:val="18"/>
              </w:rPr>
              <w:t>X≥300</w:t>
            </w:r>
          </w:p>
        </w:tc>
        <w:tc>
          <w:tcPr>
            <w:tcW w:w="1701" w:type="dxa"/>
            <w:vAlign w:val="center"/>
          </w:tcPr>
          <w:p>
            <w:pPr>
              <w:spacing w:line="240" w:lineRule="exact"/>
              <w:ind w:left="1" w:leftChars="-51" w:hanging="108" w:hangingChars="60"/>
              <w:jc w:val="center"/>
              <w:rPr>
                <w:rFonts w:ascii="宋体" w:hAnsi="宋体" w:cs="宋体"/>
                <w:sz w:val="18"/>
                <w:szCs w:val="18"/>
              </w:rPr>
            </w:pPr>
            <w:r>
              <w:rPr>
                <w:rFonts w:hint="eastAsia" w:ascii="宋体" w:hAnsi="宋体" w:cs="宋体"/>
                <w:sz w:val="18"/>
                <w:szCs w:val="18"/>
              </w:rPr>
              <w:t>100≤X＜300</w:t>
            </w:r>
          </w:p>
        </w:tc>
        <w:tc>
          <w:tcPr>
            <w:tcW w:w="1426" w:type="dxa"/>
            <w:vAlign w:val="center"/>
          </w:tcPr>
          <w:p>
            <w:pPr>
              <w:spacing w:line="240" w:lineRule="exact"/>
              <w:jc w:val="left"/>
              <w:rPr>
                <w:rFonts w:ascii="宋体" w:hAnsi="宋体" w:cs="宋体"/>
                <w:sz w:val="18"/>
                <w:szCs w:val="18"/>
              </w:rPr>
            </w:pPr>
            <w:r>
              <w:rPr>
                <w:rFonts w:hint="eastAsia" w:ascii="宋体" w:hAnsi="宋体" w:cs="宋体"/>
                <w:sz w:val="18"/>
                <w:szCs w:val="18"/>
              </w:rPr>
              <w:t xml:space="preserve"> 10≤X＜100</w:t>
            </w:r>
          </w:p>
        </w:tc>
        <w:tc>
          <w:tcPr>
            <w:tcW w:w="992" w:type="dxa"/>
            <w:vAlign w:val="center"/>
          </w:tcPr>
          <w:p>
            <w:pPr>
              <w:spacing w:line="240" w:lineRule="exact"/>
              <w:jc w:val="left"/>
              <w:rPr>
                <w:rFonts w:ascii="宋体" w:hAnsi="宋体" w:cs="宋体"/>
                <w:sz w:val="18"/>
                <w:szCs w:val="18"/>
              </w:rPr>
            </w:pPr>
            <w:r>
              <w:rPr>
                <w:rFonts w:hint="eastAsia" w:ascii="宋体" w:hAnsi="宋体" w:cs="宋体"/>
                <w:sz w:val="18"/>
                <w:szCs w:val="18"/>
              </w:rPr>
              <w:t>X＜10</w:t>
            </w:r>
          </w:p>
        </w:tc>
      </w:tr>
    </w:tbl>
    <w:p>
      <w:pPr>
        <w:ind w:firstLine="420" w:firstLineChars="200"/>
        <w:rPr>
          <w:rFonts w:ascii="宋体" w:hAnsi="宋体" w:cs="宋体"/>
          <w:szCs w:val="21"/>
        </w:rPr>
      </w:pPr>
      <w:r>
        <w:rPr>
          <w:rFonts w:hint="eastAsia" w:ascii="宋体" w:hAnsi="宋体" w:cs="宋体"/>
          <w:szCs w:val="21"/>
        </w:rPr>
        <w:t>说明：</w:t>
      </w:r>
    </w:p>
    <w:p>
      <w:pPr>
        <w:ind w:firstLine="420" w:firstLineChars="200"/>
        <w:rPr>
          <w:rFonts w:ascii="宋体" w:hAnsi="宋体" w:cs="宋体"/>
          <w:szCs w:val="21"/>
        </w:rPr>
      </w:pPr>
      <w:r>
        <w:rPr>
          <w:rFonts w:hint="eastAsia" w:ascii="宋体" w:hAnsi="宋体" w:cs="宋体"/>
          <w:szCs w:val="21"/>
        </w:rPr>
        <w:t>1.大型、中型和小型企业须同时满足所列指标的下限，否则下划一档；微型企业只须满足所列指标中的一项即可。</w:t>
      </w:r>
    </w:p>
    <w:p>
      <w:pPr>
        <w:ind w:firstLine="420" w:firstLineChars="200"/>
        <w:rPr>
          <w:rFonts w:ascii="宋体" w:hAnsi="宋体" w:cs="宋体"/>
          <w:szCs w:val="21"/>
        </w:rPr>
      </w:pPr>
      <w:r>
        <w:rPr>
          <w:rFonts w:hint="eastAsia" w:ascii="宋体" w:hAnsi="宋体" w:cs="宋体"/>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420" w:firstLineChars="200"/>
        <w:rPr>
          <w:rFonts w:ascii="宋体" w:hAnsi="宋体" w:cs="宋体"/>
          <w:szCs w:val="21"/>
        </w:rPr>
      </w:pPr>
      <w:r>
        <w:rPr>
          <w:rFonts w:hint="eastAsia" w:ascii="宋体" w:hAnsi="宋体" w:cs="宋体"/>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31"/>
      </w:pPr>
    </w:p>
    <w:p>
      <w:pPr>
        <w:widowControl/>
        <w:jc w:val="left"/>
        <w:rPr>
          <w:rFonts w:ascii="宋体" w:hAnsi="宋体" w:cs="宋体"/>
          <w:sz w:val="32"/>
          <w:szCs w:val="32"/>
        </w:rPr>
        <w:sectPr>
          <w:pgSz w:w="11906" w:h="16838"/>
          <w:pgMar w:top="1134" w:right="1134" w:bottom="1134" w:left="1134" w:header="567" w:footer="737" w:gutter="0"/>
          <w:cols w:space="720" w:num="1"/>
          <w:titlePg/>
          <w:docGrid w:type="lines" w:linePitch="490" w:charSpace="0"/>
        </w:sectPr>
      </w:pPr>
    </w:p>
    <w:bookmarkEnd w:id="182"/>
    <w:bookmarkEnd w:id="183"/>
    <w:p>
      <w:pPr>
        <w:pStyle w:val="2"/>
        <w:jc w:val="center"/>
        <w:rPr>
          <w:rFonts w:ascii="宋体" w:hAnsi="宋体" w:eastAsia="宋体" w:cs="宋体"/>
          <w:sz w:val="30"/>
          <w:szCs w:val="30"/>
        </w:rPr>
      </w:pPr>
      <w:bookmarkStart w:id="184" w:name="_Toc32222"/>
      <w:bookmarkStart w:id="185" w:name="_Toc16962"/>
      <w:r>
        <w:rPr>
          <w:rFonts w:hint="eastAsia" w:ascii="宋体" w:hAnsi="宋体" w:eastAsia="宋体" w:cs="宋体"/>
          <w:sz w:val="30"/>
          <w:szCs w:val="30"/>
        </w:rPr>
        <w:t>十一、</w:t>
      </w:r>
      <w:bookmarkEnd w:id="184"/>
      <w:r>
        <w:rPr>
          <w:rFonts w:hint="eastAsia" w:ascii="宋体" w:hAnsi="宋体" w:eastAsia="宋体" w:cs="宋体"/>
          <w:sz w:val="30"/>
          <w:szCs w:val="30"/>
        </w:rPr>
        <w:t>其他供应商认为有必要提供的材料</w:t>
      </w:r>
      <w:bookmarkEnd w:id="185"/>
    </w:p>
    <w:sectPr>
      <w:pgSz w:w="11906" w:h="16838"/>
      <w:pgMar w:top="1134" w:right="1134" w:bottom="1134" w:left="1134" w:header="567" w:footer="737" w:gutter="0"/>
      <w:cols w:space="720" w:num="1"/>
      <w:titlePg/>
      <w:docGrid w:type="lines" w:linePitch="4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font-weight : 700">
    <w:altName w:val="Courier New"/>
    <w:panose1 w:val="00000000000000000000"/>
    <w:charset w:val="00"/>
    <w:family w:val="auto"/>
    <w:pitch w:val="default"/>
    <w:sig w:usb0="00000000" w:usb1="00000000" w:usb2="00000000" w:usb3="00000000" w:csb0="00040001" w:csb1="00000000"/>
  </w:font>
  <w:font w:name="F5">
    <w:altName w:val="Segoe Print"/>
    <w:panose1 w:val="00000000000000000000"/>
    <w:charset w:val="00"/>
    <w:family w:val="auto"/>
    <w:pitch w:val="default"/>
    <w:sig w:usb0="00000000" w:usb1="00000000" w:usb2="00000000" w:usb3="00000000" w:csb0="00000001" w:csb1="00000000"/>
  </w:font>
  <w:font w:name="F11">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Lucida Sans Unicode">
    <w:panose1 w:val="020B0602030504020204"/>
    <w:charset w:val="00"/>
    <w:family w:val="swiss"/>
    <w:pitch w:val="default"/>
    <w:sig w:usb0="80001AFF" w:usb1="0000396B" w:usb2="00000000" w:usb3="00000000" w:csb0="200000BF" w:csb1="D7F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819"/>
        <w:tab w:val="clear" w:pos="4153"/>
        <w:tab w:val="clear" w:pos="8306"/>
      </w:tabs>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Ff1fNtgBAACxAwAADgAAAAAAAAAB&#10;ACAAAAAiAQAAZHJzL2Uyb0RvYy54bWxQSwUGAAAAAAYABgBZAQAAbAUAAAAA&#10;">
          <v:path/>
          <v:fill on="f" focussize="0,0"/>
          <v:stroke on="f" weight="1.25pt" joinstyle="miter"/>
          <v:imagedata o:title=""/>
          <o:lock v:ext="edit"/>
          <v:textbox inset="0mm,0mm,0mm,0mm" style="mso-fit-shape-to-text:t;">
            <w:txbxContent>
              <w:p>
                <w:pPr>
                  <w:pStyle w:val="22"/>
                  <w:jc w:val="center"/>
                </w:pPr>
                <w:r>
                  <w:fldChar w:fldCharType="begin"/>
                </w:r>
                <w:r>
                  <w:instrText xml:space="preserve"> PAGE   \* MERGEFORMAT </w:instrText>
                </w:r>
                <w:r>
                  <w:fldChar w:fldCharType="separate"/>
                </w:r>
                <w:r>
                  <w:rPr>
                    <w:lang w:val="zh-CN"/>
                  </w:rPr>
                  <w:t>15</w:t>
                </w:r>
                <w:r>
                  <w:rPr>
                    <w:lang w:val="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rPr>
    </w:pPr>
    <w:r>
      <w:fldChar w:fldCharType="begin"/>
    </w:r>
    <w:r>
      <w:rPr>
        <w:rStyle w:val="36"/>
      </w:rPr>
      <w:instrText xml:space="preserve">PAGE  </w:instrText>
    </w:r>
    <w:r>
      <w:fldChar w:fldCharType="separate"/>
    </w:r>
    <w:r>
      <w:rPr>
        <w:rStyle w:val="36"/>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2" o:spid="_x0000_s1032"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HxjsVPOAQAAqQMAAA4AAAAAAAAAAQAgAAAAHgEAAGRycy9l&#10;Mm9Eb2MueG1sUEsFBgAAAAAGAAYAWQEAAF4FAAAAAA==&#1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21</w:t>
                </w:r>
                <w:r>
                  <w:fldChar w:fldCharType="end"/>
                </w:r>
              </w:p>
            </w:txbxContent>
          </v:textbox>
        </v:shape>
      </w:pict>
    </w:r>
    <w:r>
      <w:pict>
        <v:shape id="文本框 13" o:spid="_x0000_s1031" o:spt="202" type="#_x0000_t202" style="position:absolute;left:0pt;margin-left:227.4pt;margin-top:-0.75pt;height:144pt;width:144pt;mso-position-horizontal-relative:margin;mso-wrap-style:none;z-index:251665408;mso-width-relative:page;mso-height-relative:page;" filled="f" stroked="f" coordsize="21600,21600" o:gfxdata="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&#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k9xz31wAAAAoBAAAPAAAAAAAAAAEAIAAAACIAAABk&#10;cnMvZG93bnJldi54bWxQSwECFAAUAAAACACHTuJAdTVTzs4BAACpAwAADgAAAAAAAAABACAAAAAm&#10;AQAAZHJzL2Uyb0RvYy54bWxQSwUGAAAAAAYABgBZAQAAZgUAAAAA&#10;">
          <v:path/>
          <v:fill on="f" focussize="0,0"/>
          <v:stroke on="f" joinstyle="miter"/>
          <v:imagedata o:title=""/>
          <o:lock v:ext="edit"/>
          <v:textbox inset="0mm,0mm,0mm,0mm" style="mso-fit-shape-to-text:t;">
            <w:txbxContent>
              <w:p>
                <w:pPr>
                  <w:pStyle w:val="22"/>
                </w:pPr>
              </w:p>
            </w:txbxContent>
          </v:textbox>
        </v:shape>
      </w:pict>
    </w:r>
    <w:r>
      <w:pict>
        <v:shape id="文本框 14" o:spid="_x0000_s103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AP13vOAQAAqAMAAA4AAAAAAAAAAQAgAAAAHgEAAGRycy9l&#10;Mm9Eb2MueG1sUEsFBgAAAAAGAAYAWQEAAF4FAAAAAA==&#10;">
          <v:path/>
          <v:fill on="f" focussize="0,0"/>
          <v:stroke on="f" joinstyle="miter"/>
          <v:imagedata o:title=""/>
          <o:lock v:ext="edit"/>
          <v:textbox inset="0mm,0mm,0mm,0mm" style="mso-fit-shape-to-text:t;">
            <w:txbxContent>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6" o:spid="_x0000_s102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FBWs0BAACnAwAADgAAAGRycy9lMm9Eb2MueG1srVPNjtMwEL4j8Q6W&#10;7zRpD6sS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TV/zZkVhh788uP75efvy69v7CbJ&#10;03usqOreU10c3rqBlmaOIwUT66ENJn2JD6M8iXu+igtDZDJdWq/W65JSknKzQ/jFw3UfML4DZ1gy&#10;ah7o9bKo4vQB41g6l6Ru1t0prfMLavtXgDDHCOQVmG4nJuPEyYrDfpjo7V1zJnY9rUHNLW09Z/q9&#10;JZXTxsxGmI39bBx9UIeOBl3mKdG/OUYaKU+aOoywxDA59H6Z67RraUEe+7nq4f/a/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FFBWs0BAACnAwAADgAAAAAAAAABACAAAAAeAQAAZHJzL2Uy&#10;b0RvYy54bWxQSwUGAAAAAAYABgBZAQAAXQUAAAAA&#1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71</w:t>
                </w:r>
                <w:r>
                  <w:fldChar w:fldCharType="end"/>
                </w:r>
              </w:p>
            </w:txbxContent>
          </v:textbox>
        </v:shape>
      </w:pict>
    </w:r>
    <w:r>
      <w:pict>
        <v:shape id="文本框 7" o:spid="_x0000_s1028" o:spt="202" type="#_x0000_t202" style="position:absolute;left:0pt;margin-left:227.4pt;margin-top:-0.75pt;height:144pt;width:144pt;mso-position-horizontal-relative:margin;mso-wrap-style:none;z-index:251664384;mso-width-relative:page;mso-height-relative:page;" filled="f" stroked="f" coordsize="21600,21600" o:gfxdata="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&#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T3HPfXAAAACgEAAA8AAAAAAAAAAQAgAAAAIgAAAGRy&#10;cy9kb3ducmV2LnhtbFBLAQIUABQAAAAIAIdO4kA2DOGlzQEAAKgDAAAOAAAAAAAAAAEAIAAAACYB&#10;AABkcnMvZTJvRG9jLnhtbFBLBQYAAAAABgAGAFkBAABlBQAAAAA=&#10;">
          <v:path/>
          <v:fill on="f" focussize="0,0"/>
          <v:stroke on="f" joinstyle="miter"/>
          <v:imagedata o:title=""/>
          <o:lock v:ext="edit"/>
          <v:textbox inset="0mm,0mm,0mm,0mm" style="mso-fit-shape-to-text:t;">
            <w:txbxContent>
              <w:p>
                <w:pPr>
                  <w:pStyle w:val="22"/>
                </w:pPr>
              </w:p>
            </w:txbxContent>
          </v:textbox>
        </v:shape>
      </w:pict>
    </w:r>
    <w:r>
      <w:pict>
        <v:shape id="文本框 8"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krnJM0BAACnAwAADgAAAGRycy9lMm9Eb2MueG1srVNLbtswEN0XyB0I&#10;7mPJXrSC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ob+o4Syww++Pn7t/OPX+efX0mV&#10;5Ok91Fj15LEuDnduwKWZ44DBxHqQwaQv8iGYR3FPF3HFEAlPl6pVVZWY4pibHcQvnq/7APG9cIYk&#10;o6EBXy+Lyo6PEMfSuSR1s+5eaZ1fUNu/Aog5RkRegel2YjJOnKw47IaJ3s61J2TX4xo01OLWU6If&#10;LKqcNmY2wmzsZuPgg9p3OOgyTwn+9hBxpDxp6jDCIsPk4PtlrtOupQX5089Vz//X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krnJM0BAACnAwAADgAAAAAAAAABACAAAAAeAQAAZHJzL2Uy&#10;b0RvYy54bWxQSwUGAAAAAAYABgBZAQAAXQUAAAAA&#10;">
          <v:path/>
          <v:fill on="f" focussize="0,0"/>
          <v:stroke on="f" joinstyle="miter"/>
          <v:imagedata o:title=""/>
          <o:lock v:ext="edit"/>
          <v:textbox inset="0mm,0mm,0mm,0mm" style="mso-fit-shape-to-text:t;">
            <w:txbxContent>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69</w:t>
    </w:r>
    <w:r>
      <w:rPr>
        <w:lang w:val="zh-CN"/>
      </w:rPr>
      <w:fldChar w:fldCharType="end"/>
    </w:r>
  </w:p>
  <w:p>
    <w:pPr>
      <w:pStyle w:val="2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42" o:spid="_x0000_s1042"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FBWs0BAACnAwAADgAAAGRycy9lMm9Eb2MueG1srVPNjtMwEL4j8Q6W&#10;7zRpD6sS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TV/zZkVhh788uP75efvy69v7CbJ&#10;03usqOreU10c3rqBlmaOIwUT66ENJn2JD6M8iXu+igtDZDJdWq/W65JSknKzQ/jFw3UfML4DZ1gy&#10;ah7o9bKo4vQB41g6l6Ru1t0prfMLavtXgDDHCOQVmG4nJuPEyYrDfpjo7V1zJnY9rUHNLW09Z/q9&#10;JZXTxsxGmI39bBx9UIeOBl3mKdG/OUYaKU+aOoywxDA59H6Z67RraUEe+7nq4f/a/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FFBWs0BAACnAwAADgAAAAAAAAABACAAAAAeAQAAZHJzL2Uy&#10;b0RvYy54bWxQSwUGAAAAAAYABgBZAQAAXQUAAAAA&#10;">
          <v:path/>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71</w:t>
                </w:r>
                <w:r>
                  <w:fldChar w:fldCharType="end"/>
                </w:r>
              </w:p>
            </w:txbxContent>
          </v:textbox>
        </v:shape>
      </w:pict>
    </w:r>
    <w:r>
      <w:pict>
        <v:shape id="_x0000_s1043" o:spid="_x0000_s1043" o:spt="202" type="#_x0000_t202" style="position:absolute;left:0pt;margin-left:227.4pt;margin-top:-0.75pt;height:144pt;width:144pt;mso-position-horizontal-relative:margin;mso-wrap-style:none;z-index:251671552;mso-width-relative:page;mso-height-relative:page;" filled="f" stroked="f" coordsize="21600,21600" o:gfxdata="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&#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T3HPfXAAAACgEAAA8AAAAAAAAAAQAgAAAAIgAAAGRy&#10;cy9kb3ducmV2LnhtbFBLAQIUABQAAAAIAIdO4kA2DOGlzQEAAKgDAAAOAAAAAAAAAAEAIAAAACYB&#10;AABkcnMvZTJvRG9jLnhtbFBLBQYAAAAABgAGAFkBAABlBQAAAAA=&#10;">
          <v:path/>
          <v:fill on="f" focussize="0,0"/>
          <v:stroke on="f" joinstyle="miter"/>
          <v:imagedata o:title=""/>
          <o:lock v:ext="edit"/>
          <v:textbox inset="0mm,0mm,0mm,0mm" style="mso-fit-shape-to-text:t;">
            <w:txbxContent>
              <w:p>
                <w:pPr>
                  <w:pStyle w:val="22"/>
                </w:pPr>
              </w:p>
            </w:txbxContent>
          </v:textbox>
        </v:shape>
      </w:pict>
    </w:r>
    <w:r>
      <w:pict>
        <v:shape id="_x0000_s1044" o:spid="_x0000_s1044"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krnJM0BAACnAwAADgAAAGRycy9lMm9Eb2MueG1srVNLbtswEN0XyB0I&#10;7mPJXrSC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ob+o4Syww++Pn7t/OPX+efX0mV&#10;5Ok91Fj15LEuDnduwKWZ44DBxHqQwaQv8iGYR3FPF3HFEAlPl6pVVZWY4pibHcQvnq/7APG9cIYk&#10;o6EBXy+Lyo6PEMfSuSR1s+5eaZ1fUNu/Aog5RkRegel2YjJOnKw47IaJ3s61J2TX4xo01OLWU6If&#10;LKqcNmY2wmzsZuPgg9p3OOgyTwn+9hBxpDxp6jDCIsPk4PtlrtOupQX5089Vz//X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krnJM0BAACnAwAADgAAAAAAAAABACAAAAAeAQAAZHJzL2Uy&#10;b0RvYy54bWxQSwUGAAAAAAYABgBZAQAAXQUAAAAA&#10;">
          <v:path/>
          <v:fill on="f" focussize="0,0"/>
          <v:stroke on="f" joinstyle="miter"/>
          <v:imagedata o:title=""/>
          <o:lock v:ext="edit"/>
          <v:textbox inset="0mm,0mm,0mm,0mm" style="mso-fit-shape-to-text:t;">
            <w:txbxContent>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9" o:spid="_x0000_s1039"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FBWs0BAACnAwAADgAAAGRycy9lMm9Eb2MueG1srVPNjtMwEL4j8Q6W&#10;7zRpD6sS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TV/zZkVhh788uP75efvy69v7CbJ&#10;03usqOreU10c3rqBlmaOIwUT66ENJn2JD6M8iXu+igtDZDJdWq/W65JSknKzQ/jFw3UfML4DZ1gy&#10;ah7o9bKo4vQB41g6l6Ru1t0prfMLavtXgDDHCOQVmG4nJuPEyYrDfpjo7V1zJnY9rUHNLW09Z/q9&#10;JZXTxsxGmI39bBx9UIeOBl3mKdG/OUYaKU+aOoywxDA59H6Z67RraUEe+7nq4f/a/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FFBWs0BAACnAwAADgAAAAAAAAABACAAAAAeAQAAZHJzL2Uy&#10;b0RvYy54bWxQSwUGAAAAAAYABgBZAQAAXQUAAAAA&#1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71</w:t>
                </w:r>
                <w:r>
                  <w:fldChar w:fldCharType="end"/>
                </w:r>
              </w:p>
            </w:txbxContent>
          </v:textbox>
        </v:shape>
      </w:pict>
    </w:r>
    <w:r>
      <w:pict>
        <v:shape id="_x0000_s1040" o:spid="_x0000_s1040" o:spt="202" type="#_x0000_t202" style="position:absolute;left:0pt;margin-left:227.4pt;margin-top:-0.75pt;height:144pt;width:144pt;mso-position-horizontal-relative:margin;mso-wrap-style:none;z-index:251668480;mso-width-relative:page;mso-height-relative:page;" filled="f" stroked="f" coordsize="21600,21600" o:gfxdata="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&#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T3HPfXAAAACgEAAA8AAAAAAAAAAQAgAAAAIgAAAGRy&#10;cy9kb3ducmV2LnhtbFBLAQIUABQAAAAIAIdO4kA2DOGlzQEAAKgDAAAOAAAAAAAAAAEAIAAAACYB&#10;AABkcnMvZTJvRG9jLnhtbFBLBQYAAAAABgAGAFkBAABlBQAAAAA=&#10;">
          <v:path/>
          <v:fill on="f" focussize="0,0"/>
          <v:stroke on="f" joinstyle="miter"/>
          <v:imagedata o:title=""/>
          <o:lock v:ext="edit"/>
          <v:textbox inset="0mm,0mm,0mm,0mm" style="mso-fit-shape-to-text:t;">
            <w:txbxContent>
              <w:p>
                <w:pPr>
                  <w:pStyle w:val="22"/>
                </w:pPr>
              </w:p>
            </w:txbxContent>
          </v:textbox>
        </v:shape>
      </w:pict>
    </w:r>
    <w:r>
      <w:pict>
        <v:shape id="_x0000_s1041" o:spid="_x0000_s1041"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krnJM0BAACnAwAADgAAAGRycy9lMm9Eb2MueG1srVNLbtswEN0XyB0I&#10;7mPJXrSC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ob+o4Syww++Pn7t/OPX+efX0mV&#10;5Ok91Fj15LEuDnduwKWZ44DBxHqQwaQv8iGYR3FPF3HFEAlPl6pVVZWY4pibHcQvnq/7APG9cIYk&#10;o6EBXy+Lyo6PEMfSuSR1s+5eaZ1fUNu/Aog5RkRegel2YjJOnKw47IaJ3s61J2TX4xo01OLWU6If&#10;LKqcNmY2wmzsZuPgg9p3OOgyTwn+9hBxpDxp6jDCIsPk4PtlrtOupQX5089Vz//X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krnJM0BAACnAwAADgAAAAAAAAABACAAAAAeAQAAZHJzL2Uy&#10;b0RvYy54bWxQSwUGAAAAAAYABgBZAQAAXQUAAAAA&#10;">
          <v:path/>
          <v:fill on="f" focussize="0,0"/>
          <v:stroke on="f" joinstyle="miter"/>
          <v:imagedata o:title=""/>
          <o:lock v:ext="edit"/>
          <v:textbox inset="0mm,0mm,0mm,0mm" style="mso-fit-shape-to-text:t;">
            <w:txbxContent>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69</w:t>
    </w:r>
    <w:r>
      <w:rPr>
        <w:lang w:val="zh-CN"/>
      </w:rP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tabs>
        <w:tab w:val="left" w:pos="8742"/>
        <w:tab w:val="clear" w:pos="4153"/>
        <w:tab w:val="clear" w:pos="8306"/>
      </w:tabs>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39A96"/>
    <w:multiLevelType w:val="singleLevel"/>
    <w:tmpl w:val="90F39A96"/>
    <w:lvl w:ilvl="0" w:tentative="0">
      <w:start w:val="5"/>
      <w:numFmt w:val="chineseCounting"/>
      <w:suff w:val="space"/>
      <w:lvlText w:val="第%1章"/>
      <w:lvlJc w:val="left"/>
      <w:rPr>
        <w:rFonts w:hint="eastAsia"/>
        <w:sz w:val="44"/>
        <w:szCs w:val="44"/>
      </w:rPr>
    </w:lvl>
  </w:abstractNum>
  <w:abstractNum w:abstractNumId="1">
    <w:nsid w:val="C5C883E6"/>
    <w:multiLevelType w:val="singleLevel"/>
    <w:tmpl w:val="C5C883E6"/>
    <w:lvl w:ilvl="0" w:tentative="0">
      <w:start w:val="1"/>
      <w:numFmt w:val="decimal"/>
      <w:suff w:val="space"/>
      <w:lvlText w:val="%1."/>
      <w:lvlJc w:val="left"/>
    </w:lvl>
  </w:abstractNum>
  <w:abstractNum w:abstractNumId="2">
    <w:nsid w:val="0000000C"/>
    <w:multiLevelType w:val="multilevel"/>
    <w:tmpl w:val="0000000C"/>
    <w:lvl w:ilvl="0" w:tentative="0">
      <w:start w:val="1"/>
      <w:numFmt w:val="decimal"/>
      <w:lvlText w:val="%1"/>
      <w:lvlJc w:val="left"/>
      <w:pPr>
        <w:tabs>
          <w:tab w:val="left" w:pos="1134"/>
        </w:tabs>
        <w:ind w:left="1134" w:hanging="1134"/>
      </w:pPr>
      <w:rPr>
        <w:rFonts w:hint="eastAsia" w:ascii="宋体" w:eastAsia="宋体"/>
        <w:sz w:val="24"/>
        <w:szCs w:val="24"/>
      </w:rPr>
    </w:lvl>
    <w:lvl w:ilvl="1" w:tentative="0">
      <w:start w:val="1"/>
      <w:numFmt w:val="decimal"/>
      <w:lvlText w:val="%1.%2"/>
      <w:lvlJc w:val="left"/>
      <w:pPr>
        <w:tabs>
          <w:tab w:val="left" w:pos="1134"/>
        </w:tabs>
        <w:ind w:left="1134" w:hanging="1134"/>
      </w:pPr>
      <w:rPr>
        <w:rFonts w:hint="eastAsia" w:ascii="宋体" w:eastAsia="宋体"/>
        <w:color w:val="auto"/>
      </w:rPr>
    </w:lvl>
    <w:lvl w:ilvl="2" w:tentative="0">
      <w:start w:val="1"/>
      <w:numFmt w:val="decimal"/>
      <w:lvlText w:val="%1.%2.%3"/>
      <w:lvlJc w:val="left"/>
      <w:pPr>
        <w:tabs>
          <w:tab w:val="left" w:pos="1134"/>
        </w:tabs>
        <w:ind w:left="1134" w:hanging="1134"/>
      </w:pPr>
      <w:rPr>
        <w:rFonts w:hint="eastAsia" w:ascii="宋体" w:eastAsia="宋体"/>
      </w:rPr>
    </w:lvl>
    <w:lvl w:ilvl="3" w:tentative="0">
      <w:start w:val="1"/>
      <w:numFmt w:val="decimal"/>
      <w:lvlText w:val="%1.%2.%3.%4"/>
      <w:lvlJc w:val="left"/>
      <w:pPr>
        <w:tabs>
          <w:tab w:val="left" w:pos="1021"/>
        </w:tabs>
        <w:ind w:left="1134" w:hanging="1134"/>
      </w:pPr>
      <w:rPr>
        <w:rFonts w:hint="eastAsia"/>
      </w:rPr>
    </w:lvl>
    <w:lvl w:ilvl="4" w:tentative="0">
      <w:start w:val="1"/>
      <w:numFmt w:val="decimal"/>
      <w:lvlText w:val="%1.%2.%3.%4.%5"/>
      <w:lvlJc w:val="left"/>
      <w:pPr>
        <w:tabs>
          <w:tab w:val="left" w:pos="1021"/>
        </w:tabs>
        <w:ind w:left="1134" w:hanging="1134"/>
      </w:pPr>
      <w:rPr>
        <w:rFonts w:hint="eastAsia"/>
      </w:rPr>
    </w:lvl>
    <w:lvl w:ilvl="5" w:tentative="0">
      <w:start w:val="1"/>
      <w:numFmt w:val="decimal"/>
      <w:lvlText w:val="%1.%2.%3.%4.%5.%6."/>
      <w:lvlJc w:val="left"/>
      <w:pPr>
        <w:tabs>
          <w:tab w:val="left" w:pos="1021"/>
        </w:tabs>
        <w:ind w:left="1134" w:hanging="1134"/>
      </w:pPr>
      <w:rPr>
        <w:rFonts w:hint="eastAsia"/>
      </w:rPr>
    </w:lvl>
    <w:lvl w:ilvl="6" w:tentative="0">
      <w:start w:val="1"/>
      <w:numFmt w:val="decimal"/>
      <w:lvlText w:val="%1.%2.%3.%4.%5.%6.%7."/>
      <w:lvlJc w:val="left"/>
      <w:pPr>
        <w:tabs>
          <w:tab w:val="left" w:pos="1021"/>
        </w:tabs>
        <w:ind w:left="1134" w:hanging="1134"/>
      </w:pPr>
      <w:rPr>
        <w:rFonts w:hint="eastAsia"/>
      </w:rPr>
    </w:lvl>
    <w:lvl w:ilvl="7" w:tentative="0">
      <w:start w:val="1"/>
      <w:numFmt w:val="decimal"/>
      <w:lvlText w:val="%1.%2.%3.%4.%5.%6.%7.%8."/>
      <w:lvlJc w:val="left"/>
      <w:pPr>
        <w:tabs>
          <w:tab w:val="left" w:pos="1021"/>
        </w:tabs>
        <w:ind w:left="1134" w:hanging="1134"/>
      </w:pPr>
      <w:rPr>
        <w:rFonts w:hint="eastAsia"/>
      </w:rPr>
    </w:lvl>
    <w:lvl w:ilvl="8" w:tentative="0">
      <w:start w:val="1"/>
      <w:numFmt w:val="decimal"/>
      <w:lvlText w:val="%1.%2.%3.%4.%5.%6.%7.%8.%9."/>
      <w:lvlJc w:val="left"/>
      <w:pPr>
        <w:tabs>
          <w:tab w:val="left" w:pos="1021"/>
        </w:tabs>
        <w:ind w:left="1134" w:hanging="1134"/>
      </w:pPr>
      <w:rPr>
        <w:rFonts w:hint="eastAsia"/>
      </w:rPr>
    </w:lvl>
  </w:abstractNum>
  <w:abstractNum w:abstractNumId="3">
    <w:nsid w:val="00000013"/>
    <w:multiLevelType w:val="multilevel"/>
    <w:tmpl w:val="00000013"/>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4">
    <w:nsid w:val="0000001B"/>
    <w:multiLevelType w:val="multilevel"/>
    <w:tmpl w:val="0000001B"/>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5">
    <w:nsid w:val="0000001C"/>
    <w:multiLevelType w:val="multilevel"/>
    <w:tmpl w:val="0000001C"/>
    <w:lvl w:ilvl="0" w:tentative="0">
      <w:start w:val="1"/>
      <w:numFmt w:val="decimal"/>
      <w:lvlText w:val="（%1）"/>
      <w:lvlJc w:val="left"/>
      <w:pPr>
        <w:ind w:left="1441" w:hanging="420"/>
      </w:pPr>
      <w:rPr>
        <w:rFonts w:hint="eastAsia"/>
      </w:rPr>
    </w:lvl>
    <w:lvl w:ilvl="1" w:tentative="0">
      <w:start w:val="1"/>
      <w:numFmt w:val="decimal"/>
      <w:lvlText w:val="%2."/>
      <w:lvlJc w:val="left"/>
      <w:pPr>
        <w:ind w:left="2568" w:hanging="1127"/>
      </w:pPr>
      <w:rPr>
        <w:rFonts w:hint="default"/>
      </w:rPr>
    </w:lvl>
    <w:lvl w:ilvl="2" w:tentative="0">
      <w:start w:val="1"/>
      <w:numFmt w:val="decimal"/>
      <w:lvlText w:val="%3)"/>
      <w:lvlJc w:val="left"/>
      <w:pPr>
        <w:ind w:left="2221" w:hanging="360"/>
      </w:pPr>
      <w:rPr>
        <w:rFonts w:hint="default"/>
      </w:rPr>
    </w:lvl>
    <w:lvl w:ilvl="3" w:tentative="0">
      <w:start w:val="1"/>
      <w:numFmt w:val="decimal"/>
      <w:lvlText w:val="%4."/>
      <w:lvlJc w:val="left"/>
      <w:pPr>
        <w:ind w:left="2701" w:hanging="420"/>
      </w:pPr>
    </w:lvl>
    <w:lvl w:ilvl="4" w:tentative="0">
      <w:start w:val="1"/>
      <w:numFmt w:val="lowerLetter"/>
      <w:lvlText w:val="%5)"/>
      <w:lvlJc w:val="left"/>
      <w:pPr>
        <w:ind w:left="3121" w:hanging="420"/>
      </w:pPr>
    </w:lvl>
    <w:lvl w:ilvl="5" w:tentative="0">
      <w:start w:val="1"/>
      <w:numFmt w:val="lowerRoman"/>
      <w:lvlText w:val="%6."/>
      <w:lvlJc w:val="right"/>
      <w:pPr>
        <w:ind w:left="3541" w:hanging="420"/>
      </w:pPr>
    </w:lvl>
    <w:lvl w:ilvl="6" w:tentative="0">
      <w:start w:val="1"/>
      <w:numFmt w:val="decimal"/>
      <w:lvlText w:val="%7."/>
      <w:lvlJc w:val="left"/>
      <w:pPr>
        <w:ind w:left="3961" w:hanging="420"/>
      </w:pPr>
    </w:lvl>
    <w:lvl w:ilvl="7" w:tentative="0">
      <w:start w:val="1"/>
      <w:numFmt w:val="lowerLetter"/>
      <w:lvlText w:val="%8)"/>
      <w:lvlJc w:val="left"/>
      <w:pPr>
        <w:ind w:left="4381" w:hanging="420"/>
      </w:pPr>
    </w:lvl>
    <w:lvl w:ilvl="8" w:tentative="0">
      <w:start w:val="1"/>
      <w:numFmt w:val="lowerRoman"/>
      <w:lvlText w:val="%9."/>
      <w:lvlJc w:val="right"/>
      <w:pPr>
        <w:ind w:left="4801" w:hanging="420"/>
      </w:pPr>
    </w:lvl>
  </w:abstractNum>
  <w:abstractNum w:abstractNumId="6">
    <w:nsid w:val="37F58267"/>
    <w:multiLevelType w:val="singleLevel"/>
    <w:tmpl w:val="37F58267"/>
    <w:lvl w:ilvl="0" w:tentative="0">
      <w:start w:val="2"/>
      <w:numFmt w:val="decimal"/>
      <w:lvlText w:val="%1."/>
      <w:lvlJc w:val="left"/>
      <w:pPr>
        <w:tabs>
          <w:tab w:val="left" w:pos="312"/>
        </w:tabs>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245"/>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zOTBjODhiY2ExODBmY2Q2MGY0NjY5NmYwNDM4YzUifQ=="/>
  </w:docVars>
  <w:rsids>
    <w:rsidRoot w:val="00172A27"/>
    <w:rsid w:val="00000118"/>
    <w:rsid w:val="00000AC8"/>
    <w:rsid w:val="00001B64"/>
    <w:rsid w:val="00002F16"/>
    <w:rsid w:val="0000447F"/>
    <w:rsid w:val="00005416"/>
    <w:rsid w:val="00006CA9"/>
    <w:rsid w:val="00010C41"/>
    <w:rsid w:val="00010D09"/>
    <w:rsid w:val="00012441"/>
    <w:rsid w:val="00012CF4"/>
    <w:rsid w:val="00015D95"/>
    <w:rsid w:val="00015E20"/>
    <w:rsid w:val="000220EE"/>
    <w:rsid w:val="00024826"/>
    <w:rsid w:val="0002668A"/>
    <w:rsid w:val="00026B0F"/>
    <w:rsid w:val="0002770B"/>
    <w:rsid w:val="00031879"/>
    <w:rsid w:val="0003256D"/>
    <w:rsid w:val="000352EA"/>
    <w:rsid w:val="00035766"/>
    <w:rsid w:val="00042408"/>
    <w:rsid w:val="0004258D"/>
    <w:rsid w:val="00043ACC"/>
    <w:rsid w:val="00044C16"/>
    <w:rsid w:val="00054B32"/>
    <w:rsid w:val="00060891"/>
    <w:rsid w:val="000639CC"/>
    <w:rsid w:val="000640E0"/>
    <w:rsid w:val="000655C2"/>
    <w:rsid w:val="00067091"/>
    <w:rsid w:val="0006787A"/>
    <w:rsid w:val="00071F02"/>
    <w:rsid w:val="00072812"/>
    <w:rsid w:val="00074A95"/>
    <w:rsid w:val="00074C87"/>
    <w:rsid w:val="00081396"/>
    <w:rsid w:val="00081F60"/>
    <w:rsid w:val="0008378C"/>
    <w:rsid w:val="00084789"/>
    <w:rsid w:val="000859EF"/>
    <w:rsid w:val="00087E1D"/>
    <w:rsid w:val="000906FE"/>
    <w:rsid w:val="0009659E"/>
    <w:rsid w:val="0009719E"/>
    <w:rsid w:val="000978E1"/>
    <w:rsid w:val="000A2CB2"/>
    <w:rsid w:val="000A484F"/>
    <w:rsid w:val="000A48F4"/>
    <w:rsid w:val="000A520D"/>
    <w:rsid w:val="000A55BB"/>
    <w:rsid w:val="000A7C8E"/>
    <w:rsid w:val="000B1BAC"/>
    <w:rsid w:val="000B40C9"/>
    <w:rsid w:val="000B4DC2"/>
    <w:rsid w:val="000B733C"/>
    <w:rsid w:val="000C1834"/>
    <w:rsid w:val="000C2402"/>
    <w:rsid w:val="000C38C4"/>
    <w:rsid w:val="000C4DEC"/>
    <w:rsid w:val="000C5184"/>
    <w:rsid w:val="000D055C"/>
    <w:rsid w:val="000D1BDD"/>
    <w:rsid w:val="000E0149"/>
    <w:rsid w:val="000E10E4"/>
    <w:rsid w:val="000E15CC"/>
    <w:rsid w:val="000E192A"/>
    <w:rsid w:val="000E260B"/>
    <w:rsid w:val="000E300E"/>
    <w:rsid w:val="000E324A"/>
    <w:rsid w:val="000E734E"/>
    <w:rsid w:val="000E7851"/>
    <w:rsid w:val="000F358A"/>
    <w:rsid w:val="000F7BB6"/>
    <w:rsid w:val="00102597"/>
    <w:rsid w:val="0010699F"/>
    <w:rsid w:val="00114A26"/>
    <w:rsid w:val="00116052"/>
    <w:rsid w:val="001207B3"/>
    <w:rsid w:val="00121277"/>
    <w:rsid w:val="00121EA2"/>
    <w:rsid w:val="001263A0"/>
    <w:rsid w:val="001269B0"/>
    <w:rsid w:val="001273E0"/>
    <w:rsid w:val="00130589"/>
    <w:rsid w:val="00132B25"/>
    <w:rsid w:val="00133935"/>
    <w:rsid w:val="00141586"/>
    <w:rsid w:val="001424AB"/>
    <w:rsid w:val="00144D53"/>
    <w:rsid w:val="00144DF2"/>
    <w:rsid w:val="00152501"/>
    <w:rsid w:val="00153759"/>
    <w:rsid w:val="00154F55"/>
    <w:rsid w:val="00155482"/>
    <w:rsid w:val="001571C1"/>
    <w:rsid w:val="00160167"/>
    <w:rsid w:val="0016469D"/>
    <w:rsid w:val="00165B0B"/>
    <w:rsid w:val="00167B27"/>
    <w:rsid w:val="001703FD"/>
    <w:rsid w:val="00170BF5"/>
    <w:rsid w:val="00172A27"/>
    <w:rsid w:val="00174ADB"/>
    <w:rsid w:val="0017554D"/>
    <w:rsid w:val="00176CF7"/>
    <w:rsid w:val="00180B99"/>
    <w:rsid w:val="001819BC"/>
    <w:rsid w:val="00182FE9"/>
    <w:rsid w:val="001834B1"/>
    <w:rsid w:val="0018381A"/>
    <w:rsid w:val="001850A6"/>
    <w:rsid w:val="00186F0C"/>
    <w:rsid w:val="00191EC7"/>
    <w:rsid w:val="00193BBF"/>
    <w:rsid w:val="00193D62"/>
    <w:rsid w:val="00194A33"/>
    <w:rsid w:val="00197100"/>
    <w:rsid w:val="001A055E"/>
    <w:rsid w:val="001A35BA"/>
    <w:rsid w:val="001A4114"/>
    <w:rsid w:val="001A5F91"/>
    <w:rsid w:val="001B03AE"/>
    <w:rsid w:val="001B14B9"/>
    <w:rsid w:val="001B20B9"/>
    <w:rsid w:val="001B293F"/>
    <w:rsid w:val="001B393F"/>
    <w:rsid w:val="001B5390"/>
    <w:rsid w:val="001B5CD4"/>
    <w:rsid w:val="001B5EBD"/>
    <w:rsid w:val="001B66F7"/>
    <w:rsid w:val="001C0584"/>
    <w:rsid w:val="001C0C11"/>
    <w:rsid w:val="001C10A4"/>
    <w:rsid w:val="001C1208"/>
    <w:rsid w:val="001C4C1A"/>
    <w:rsid w:val="001C7859"/>
    <w:rsid w:val="001D206F"/>
    <w:rsid w:val="001D294B"/>
    <w:rsid w:val="001D30A4"/>
    <w:rsid w:val="001D4501"/>
    <w:rsid w:val="001D6C36"/>
    <w:rsid w:val="001D6C95"/>
    <w:rsid w:val="001D72C9"/>
    <w:rsid w:val="001D75B0"/>
    <w:rsid w:val="001E14E2"/>
    <w:rsid w:val="001E3E39"/>
    <w:rsid w:val="001E578A"/>
    <w:rsid w:val="001E7E56"/>
    <w:rsid w:val="001F14B5"/>
    <w:rsid w:val="001F16C6"/>
    <w:rsid w:val="001F4D6F"/>
    <w:rsid w:val="001F6AA6"/>
    <w:rsid w:val="0020264B"/>
    <w:rsid w:val="00203854"/>
    <w:rsid w:val="00204096"/>
    <w:rsid w:val="00204991"/>
    <w:rsid w:val="002075A0"/>
    <w:rsid w:val="00210F7A"/>
    <w:rsid w:val="002130BA"/>
    <w:rsid w:val="00213906"/>
    <w:rsid w:val="00213967"/>
    <w:rsid w:val="002163D3"/>
    <w:rsid w:val="002203B6"/>
    <w:rsid w:val="0022079B"/>
    <w:rsid w:val="00221499"/>
    <w:rsid w:val="00221EF8"/>
    <w:rsid w:val="0022272A"/>
    <w:rsid w:val="00223DEE"/>
    <w:rsid w:val="00225ED9"/>
    <w:rsid w:val="0023677D"/>
    <w:rsid w:val="0023776D"/>
    <w:rsid w:val="0024018D"/>
    <w:rsid w:val="00241817"/>
    <w:rsid w:val="00243BC5"/>
    <w:rsid w:val="00244ACC"/>
    <w:rsid w:val="002470B3"/>
    <w:rsid w:val="002476C9"/>
    <w:rsid w:val="0025166C"/>
    <w:rsid w:val="0025168D"/>
    <w:rsid w:val="00251B7D"/>
    <w:rsid w:val="002525FF"/>
    <w:rsid w:val="00253BCB"/>
    <w:rsid w:val="002560D9"/>
    <w:rsid w:val="0025641C"/>
    <w:rsid w:val="00256598"/>
    <w:rsid w:val="0026009E"/>
    <w:rsid w:val="00265A9D"/>
    <w:rsid w:val="00266747"/>
    <w:rsid w:val="0026712B"/>
    <w:rsid w:val="00270DCC"/>
    <w:rsid w:val="0027292C"/>
    <w:rsid w:val="00273F7C"/>
    <w:rsid w:val="00275CF4"/>
    <w:rsid w:val="00275D8C"/>
    <w:rsid w:val="0027690C"/>
    <w:rsid w:val="00277F3B"/>
    <w:rsid w:val="00281A5D"/>
    <w:rsid w:val="00282CE0"/>
    <w:rsid w:val="00286326"/>
    <w:rsid w:val="00286F0E"/>
    <w:rsid w:val="00292AAC"/>
    <w:rsid w:val="00295223"/>
    <w:rsid w:val="00296D93"/>
    <w:rsid w:val="002A33EA"/>
    <w:rsid w:val="002A45CB"/>
    <w:rsid w:val="002A7B2D"/>
    <w:rsid w:val="002B0136"/>
    <w:rsid w:val="002B06C4"/>
    <w:rsid w:val="002B456D"/>
    <w:rsid w:val="002B460B"/>
    <w:rsid w:val="002B4C9E"/>
    <w:rsid w:val="002B56A9"/>
    <w:rsid w:val="002C0530"/>
    <w:rsid w:val="002C0DB1"/>
    <w:rsid w:val="002C13C4"/>
    <w:rsid w:val="002C1D30"/>
    <w:rsid w:val="002C3D5B"/>
    <w:rsid w:val="002C4B5C"/>
    <w:rsid w:val="002C521B"/>
    <w:rsid w:val="002D06E5"/>
    <w:rsid w:val="002D13E8"/>
    <w:rsid w:val="002D4103"/>
    <w:rsid w:val="002D4194"/>
    <w:rsid w:val="002D587D"/>
    <w:rsid w:val="002D6281"/>
    <w:rsid w:val="002E7265"/>
    <w:rsid w:val="002F22E2"/>
    <w:rsid w:val="002F3F6B"/>
    <w:rsid w:val="002F42D9"/>
    <w:rsid w:val="002F45C4"/>
    <w:rsid w:val="00300F91"/>
    <w:rsid w:val="00303335"/>
    <w:rsid w:val="003062AB"/>
    <w:rsid w:val="00307074"/>
    <w:rsid w:val="00310272"/>
    <w:rsid w:val="003131C0"/>
    <w:rsid w:val="00322FCD"/>
    <w:rsid w:val="0032304E"/>
    <w:rsid w:val="00326A22"/>
    <w:rsid w:val="00330958"/>
    <w:rsid w:val="00332F84"/>
    <w:rsid w:val="00334C93"/>
    <w:rsid w:val="0033612E"/>
    <w:rsid w:val="00337436"/>
    <w:rsid w:val="00337451"/>
    <w:rsid w:val="0034042A"/>
    <w:rsid w:val="00342A73"/>
    <w:rsid w:val="00342AC8"/>
    <w:rsid w:val="00346C82"/>
    <w:rsid w:val="00347B9E"/>
    <w:rsid w:val="00350777"/>
    <w:rsid w:val="00351AB1"/>
    <w:rsid w:val="00353939"/>
    <w:rsid w:val="00354684"/>
    <w:rsid w:val="00354CA4"/>
    <w:rsid w:val="00355D1F"/>
    <w:rsid w:val="003568B3"/>
    <w:rsid w:val="00356C34"/>
    <w:rsid w:val="003570A9"/>
    <w:rsid w:val="00361F52"/>
    <w:rsid w:val="00363079"/>
    <w:rsid w:val="00363EAD"/>
    <w:rsid w:val="00363F4C"/>
    <w:rsid w:val="0036501B"/>
    <w:rsid w:val="0036535A"/>
    <w:rsid w:val="00370097"/>
    <w:rsid w:val="00371BB7"/>
    <w:rsid w:val="003742F5"/>
    <w:rsid w:val="00374AC7"/>
    <w:rsid w:val="00374C89"/>
    <w:rsid w:val="00375A16"/>
    <w:rsid w:val="0037670C"/>
    <w:rsid w:val="00377495"/>
    <w:rsid w:val="0037752E"/>
    <w:rsid w:val="0038393F"/>
    <w:rsid w:val="00385B80"/>
    <w:rsid w:val="003916A6"/>
    <w:rsid w:val="00394745"/>
    <w:rsid w:val="0039628B"/>
    <w:rsid w:val="00397092"/>
    <w:rsid w:val="003A6DC2"/>
    <w:rsid w:val="003B22CA"/>
    <w:rsid w:val="003B3CF0"/>
    <w:rsid w:val="003B4676"/>
    <w:rsid w:val="003B6B15"/>
    <w:rsid w:val="003B72CB"/>
    <w:rsid w:val="003B7D02"/>
    <w:rsid w:val="003C02DF"/>
    <w:rsid w:val="003C2437"/>
    <w:rsid w:val="003C298F"/>
    <w:rsid w:val="003C3E31"/>
    <w:rsid w:val="003C5902"/>
    <w:rsid w:val="003C6294"/>
    <w:rsid w:val="003D0ACA"/>
    <w:rsid w:val="003D1C12"/>
    <w:rsid w:val="003D3CC5"/>
    <w:rsid w:val="003D499A"/>
    <w:rsid w:val="003E36AE"/>
    <w:rsid w:val="003E43DE"/>
    <w:rsid w:val="003F22DB"/>
    <w:rsid w:val="003F239C"/>
    <w:rsid w:val="003F4423"/>
    <w:rsid w:val="003F7360"/>
    <w:rsid w:val="00401108"/>
    <w:rsid w:val="0040258D"/>
    <w:rsid w:val="00403131"/>
    <w:rsid w:val="0040343B"/>
    <w:rsid w:val="00403A55"/>
    <w:rsid w:val="00403B4F"/>
    <w:rsid w:val="0040427B"/>
    <w:rsid w:val="00406DB4"/>
    <w:rsid w:val="00411D77"/>
    <w:rsid w:val="00412359"/>
    <w:rsid w:val="00413760"/>
    <w:rsid w:val="00414D78"/>
    <w:rsid w:val="00415C22"/>
    <w:rsid w:val="004171F5"/>
    <w:rsid w:val="00417E89"/>
    <w:rsid w:val="004216A2"/>
    <w:rsid w:val="00422134"/>
    <w:rsid w:val="00423EF7"/>
    <w:rsid w:val="00424434"/>
    <w:rsid w:val="0042474A"/>
    <w:rsid w:val="00424B8D"/>
    <w:rsid w:val="00425468"/>
    <w:rsid w:val="00427C84"/>
    <w:rsid w:val="00430A4C"/>
    <w:rsid w:val="004317F7"/>
    <w:rsid w:val="00431B59"/>
    <w:rsid w:val="00434BBC"/>
    <w:rsid w:val="004370C2"/>
    <w:rsid w:val="004441EE"/>
    <w:rsid w:val="00444BF1"/>
    <w:rsid w:val="00445FE6"/>
    <w:rsid w:val="00446B3E"/>
    <w:rsid w:val="004508B4"/>
    <w:rsid w:val="004530ED"/>
    <w:rsid w:val="00454182"/>
    <w:rsid w:val="00454E37"/>
    <w:rsid w:val="00462D47"/>
    <w:rsid w:val="0046341B"/>
    <w:rsid w:val="00465BCC"/>
    <w:rsid w:val="0046672B"/>
    <w:rsid w:val="004668B6"/>
    <w:rsid w:val="00470E2E"/>
    <w:rsid w:val="00471FDB"/>
    <w:rsid w:val="0047400B"/>
    <w:rsid w:val="0047548A"/>
    <w:rsid w:val="00475499"/>
    <w:rsid w:val="004821DD"/>
    <w:rsid w:val="004822EF"/>
    <w:rsid w:val="00482FB4"/>
    <w:rsid w:val="00484DFC"/>
    <w:rsid w:val="004854F3"/>
    <w:rsid w:val="00486537"/>
    <w:rsid w:val="00486F32"/>
    <w:rsid w:val="0049406F"/>
    <w:rsid w:val="004941D6"/>
    <w:rsid w:val="004955EC"/>
    <w:rsid w:val="00495ED7"/>
    <w:rsid w:val="00497F6D"/>
    <w:rsid w:val="004A0100"/>
    <w:rsid w:val="004A0500"/>
    <w:rsid w:val="004A0A26"/>
    <w:rsid w:val="004A1153"/>
    <w:rsid w:val="004A22EA"/>
    <w:rsid w:val="004A3FF2"/>
    <w:rsid w:val="004A764E"/>
    <w:rsid w:val="004A79EB"/>
    <w:rsid w:val="004B009A"/>
    <w:rsid w:val="004B0366"/>
    <w:rsid w:val="004B32C1"/>
    <w:rsid w:val="004B49F4"/>
    <w:rsid w:val="004B5BC9"/>
    <w:rsid w:val="004B625C"/>
    <w:rsid w:val="004B6D85"/>
    <w:rsid w:val="004B799D"/>
    <w:rsid w:val="004C1115"/>
    <w:rsid w:val="004C111F"/>
    <w:rsid w:val="004C3FF5"/>
    <w:rsid w:val="004C40DA"/>
    <w:rsid w:val="004C4567"/>
    <w:rsid w:val="004C456E"/>
    <w:rsid w:val="004C57AB"/>
    <w:rsid w:val="004C586C"/>
    <w:rsid w:val="004C6107"/>
    <w:rsid w:val="004D0651"/>
    <w:rsid w:val="004D07B5"/>
    <w:rsid w:val="004D4DA2"/>
    <w:rsid w:val="004D7922"/>
    <w:rsid w:val="004E5EC4"/>
    <w:rsid w:val="004E60C0"/>
    <w:rsid w:val="004E67E2"/>
    <w:rsid w:val="004F10A3"/>
    <w:rsid w:val="004F193D"/>
    <w:rsid w:val="004F4444"/>
    <w:rsid w:val="004F51A5"/>
    <w:rsid w:val="00500479"/>
    <w:rsid w:val="005006FC"/>
    <w:rsid w:val="0050366C"/>
    <w:rsid w:val="00503764"/>
    <w:rsid w:val="00507F13"/>
    <w:rsid w:val="0051197D"/>
    <w:rsid w:val="00513907"/>
    <w:rsid w:val="00513BD6"/>
    <w:rsid w:val="00514397"/>
    <w:rsid w:val="005162D5"/>
    <w:rsid w:val="00522C2E"/>
    <w:rsid w:val="0052760F"/>
    <w:rsid w:val="00527956"/>
    <w:rsid w:val="005357DF"/>
    <w:rsid w:val="00536D14"/>
    <w:rsid w:val="00540DE8"/>
    <w:rsid w:val="005412E7"/>
    <w:rsid w:val="00541AE6"/>
    <w:rsid w:val="00542145"/>
    <w:rsid w:val="005422C2"/>
    <w:rsid w:val="005429F5"/>
    <w:rsid w:val="005436A3"/>
    <w:rsid w:val="00544CA3"/>
    <w:rsid w:val="00550E32"/>
    <w:rsid w:val="0055400C"/>
    <w:rsid w:val="00557C49"/>
    <w:rsid w:val="00560559"/>
    <w:rsid w:val="00560E50"/>
    <w:rsid w:val="00561A3B"/>
    <w:rsid w:val="00561C97"/>
    <w:rsid w:val="00562627"/>
    <w:rsid w:val="005640BC"/>
    <w:rsid w:val="00564B68"/>
    <w:rsid w:val="00567E91"/>
    <w:rsid w:val="0057214F"/>
    <w:rsid w:val="00572CB6"/>
    <w:rsid w:val="00572DDF"/>
    <w:rsid w:val="00573553"/>
    <w:rsid w:val="005745F6"/>
    <w:rsid w:val="0057671F"/>
    <w:rsid w:val="00577803"/>
    <w:rsid w:val="00577813"/>
    <w:rsid w:val="00580E82"/>
    <w:rsid w:val="0058416F"/>
    <w:rsid w:val="00584DDC"/>
    <w:rsid w:val="005855EF"/>
    <w:rsid w:val="0059380D"/>
    <w:rsid w:val="00593B9C"/>
    <w:rsid w:val="005942A4"/>
    <w:rsid w:val="005A01FE"/>
    <w:rsid w:val="005A2870"/>
    <w:rsid w:val="005A3730"/>
    <w:rsid w:val="005B4387"/>
    <w:rsid w:val="005B657E"/>
    <w:rsid w:val="005B7090"/>
    <w:rsid w:val="005C10C9"/>
    <w:rsid w:val="005C3E12"/>
    <w:rsid w:val="005C522C"/>
    <w:rsid w:val="005C5C55"/>
    <w:rsid w:val="005D090A"/>
    <w:rsid w:val="005D0C62"/>
    <w:rsid w:val="005D12B0"/>
    <w:rsid w:val="005D15CE"/>
    <w:rsid w:val="005D174B"/>
    <w:rsid w:val="005D19C8"/>
    <w:rsid w:val="005D32AB"/>
    <w:rsid w:val="005D4C93"/>
    <w:rsid w:val="005D7A1A"/>
    <w:rsid w:val="005D7A8E"/>
    <w:rsid w:val="005E1082"/>
    <w:rsid w:val="005E2C88"/>
    <w:rsid w:val="005E3861"/>
    <w:rsid w:val="005E51AC"/>
    <w:rsid w:val="005E54B6"/>
    <w:rsid w:val="005E7371"/>
    <w:rsid w:val="005F0BBB"/>
    <w:rsid w:val="006000FC"/>
    <w:rsid w:val="006021D7"/>
    <w:rsid w:val="006030FE"/>
    <w:rsid w:val="0060339E"/>
    <w:rsid w:val="0060359B"/>
    <w:rsid w:val="00604052"/>
    <w:rsid w:val="00606552"/>
    <w:rsid w:val="00614515"/>
    <w:rsid w:val="006162CF"/>
    <w:rsid w:val="0062162B"/>
    <w:rsid w:val="00625B76"/>
    <w:rsid w:val="00627B04"/>
    <w:rsid w:val="00627EF7"/>
    <w:rsid w:val="00631914"/>
    <w:rsid w:val="0063298A"/>
    <w:rsid w:val="00633E19"/>
    <w:rsid w:val="00633FF1"/>
    <w:rsid w:val="006341BC"/>
    <w:rsid w:val="00636F1A"/>
    <w:rsid w:val="00641350"/>
    <w:rsid w:val="006415A7"/>
    <w:rsid w:val="006419EB"/>
    <w:rsid w:val="00642E14"/>
    <w:rsid w:val="00643DD4"/>
    <w:rsid w:val="00647E2A"/>
    <w:rsid w:val="00650D0C"/>
    <w:rsid w:val="00652A17"/>
    <w:rsid w:val="00652DFD"/>
    <w:rsid w:val="00653FCF"/>
    <w:rsid w:val="00656B87"/>
    <w:rsid w:val="00656E58"/>
    <w:rsid w:val="006612B1"/>
    <w:rsid w:val="00661CAB"/>
    <w:rsid w:val="006622DC"/>
    <w:rsid w:val="00666487"/>
    <w:rsid w:val="00667DCD"/>
    <w:rsid w:val="00667E28"/>
    <w:rsid w:val="00670D65"/>
    <w:rsid w:val="00671FCE"/>
    <w:rsid w:val="006723BC"/>
    <w:rsid w:val="00673DA6"/>
    <w:rsid w:val="006744CE"/>
    <w:rsid w:val="0067542B"/>
    <w:rsid w:val="00675ABB"/>
    <w:rsid w:val="00677E7B"/>
    <w:rsid w:val="006824C3"/>
    <w:rsid w:val="00691494"/>
    <w:rsid w:val="0069284D"/>
    <w:rsid w:val="00696147"/>
    <w:rsid w:val="006966E5"/>
    <w:rsid w:val="00696DAE"/>
    <w:rsid w:val="006A0DF9"/>
    <w:rsid w:val="006A10BB"/>
    <w:rsid w:val="006A1416"/>
    <w:rsid w:val="006A1CA1"/>
    <w:rsid w:val="006A2624"/>
    <w:rsid w:val="006A50FE"/>
    <w:rsid w:val="006A5BEE"/>
    <w:rsid w:val="006A6F2E"/>
    <w:rsid w:val="006A756B"/>
    <w:rsid w:val="006B1331"/>
    <w:rsid w:val="006B179F"/>
    <w:rsid w:val="006B1B36"/>
    <w:rsid w:val="006B3658"/>
    <w:rsid w:val="006B471E"/>
    <w:rsid w:val="006B6C2A"/>
    <w:rsid w:val="006C05FF"/>
    <w:rsid w:val="006C088B"/>
    <w:rsid w:val="006C29E0"/>
    <w:rsid w:val="006C365E"/>
    <w:rsid w:val="006C687A"/>
    <w:rsid w:val="006D1CC7"/>
    <w:rsid w:val="006D31AD"/>
    <w:rsid w:val="006E05C7"/>
    <w:rsid w:val="006E1003"/>
    <w:rsid w:val="006E267D"/>
    <w:rsid w:val="006E3496"/>
    <w:rsid w:val="006E47DA"/>
    <w:rsid w:val="006E6083"/>
    <w:rsid w:val="006E62AE"/>
    <w:rsid w:val="006E78B0"/>
    <w:rsid w:val="006E7C42"/>
    <w:rsid w:val="006F4EC5"/>
    <w:rsid w:val="007023B3"/>
    <w:rsid w:val="00702578"/>
    <w:rsid w:val="00703ED8"/>
    <w:rsid w:val="00704990"/>
    <w:rsid w:val="00705FB9"/>
    <w:rsid w:val="00710D91"/>
    <w:rsid w:val="0071147A"/>
    <w:rsid w:val="007153C6"/>
    <w:rsid w:val="0071648B"/>
    <w:rsid w:val="00721592"/>
    <w:rsid w:val="007224F0"/>
    <w:rsid w:val="007254BF"/>
    <w:rsid w:val="00732E10"/>
    <w:rsid w:val="00733252"/>
    <w:rsid w:val="007362FA"/>
    <w:rsid w:val="0073740F"/>
    <w:rsid w:val="00741D86"/>
    <w:rsid w:val="00742F86"/>
    <w:rsid w:val="00745374"/>
    <w:rsid w:val="00746E49"/>
    <w:rsid w:val="00750236"/>
    <w:rsid w:val="0075043D"/>
    <w:rsid w:val="00751310"/>
    <w:rsid w:val="0075192C"/>
    <w:rsid w:val="007526ED"/>
    <w:rsid w:val="00752CDE"/>
    <w:rsid w:val="007531AC"/>
    <w:rsid w:val="0075745D"/>
    <w:rsid w:val="00760209"/>
    <w:rsid w:val="00760EAC"/>
    <w:rsid w:val="00763620"/>
    <w:rsid w:val="007639C3"/>
    <w:rsid w:val="00767CA3"/>
    <w:rsid w:val="00770173"/>
    <w:rsid w:val="00772444"/>
    <w:rsid w:val="00772971"/>
    <w:rsid w:val="00772AD5"/>
    <w:rsid w:val="00773A2E"/>
    <w:rsid w:val="0077463B"/>
    <w:rsid w:val="00776128"/>
    <w:rsid w:val="00777317"/>
    <w:rsid w:val="00780E29"/>
    <w:rsid w:val="007811D0"/>
    <w:rsid w:val="00783CEC"/>
    <w:rsid w:val="00785E49"/>
    <w:rsid w:val="00787CBD"/>
    <w:rsid w:val="00790996"/>
    <w:rsid w:val="00790FB7"/>
    <w:rsid w:val="007911BF"/>
    <w:rsid w:val="00791984"/>
    <w:rsid w:val="00794159"/>
    <w:rsid w:val="007A0E62"/>
    <w:rsid w:val="007A1793"/>
    <w:rsid w:val="007A1D87"/>
    <w:rsid w:val="007A2B1A"/>
    <w:rsid w:val="007A5EA5"/>
    <w:rsid w:val="007A6FE2"/>
    <w:rsid w:val="007B2C6D"/>
    <w:rsid w:val="007B3233"/>
    <w:rsid w:val="007B378A"/>
    <w:rsid w:val="007B65FC"/>
    <w:rsid w:val="007C0B01"/>
    <w:rsid w:val="007C2713"/>
    <w:rsid w:val="007C39E4"/>
    <w:rsid w:val="007D114E"/>
    <w:rsid w:val="007D390D"/>
    <w:rsid w:val="007D46B1"/>
    <w:rsid w:val="007D4F3D"/>
    <w:rsid w:val="007D5792"/>
    <w:rsid w:val="007D5DEA"/>
    <w:rsid w:val="007D73EB"/>
    <w:rsid w:val="007E0FC9"/>
    <w:rsid w:val="007E33BA"/>
    <w:rsid w:val="007E401C"/>
    <w:rsid w:val="007E46A9"/>
    <w:rsid w:val="007E564F"/>
    <w:rsid w:val="007E5848"/>
    <w:rsid w:val="007E6BF0"/>
    <w:rsid w:val="007E7115"/>
    <w:rsid w:val="007E7307"/>
    <w:rsid w:val="007F0888"/>
    <w:rsid w:val="007F377A"/>
    <w:rsid w:val="007F3DA8"/>
    <w:rsid w:val="007F61CD"/>
    <w:rsid w:val="007F6B5A"/>
    <w:rsid w:val="00800D80"/>
    <w:rsid w:val="00803B46"/>
    <w:rsid w:val="00803E8E"/>
    <w:rsid w:val="00805AE3"/>
    <w:rsid w:val="0081211F"/>
    <w:rsid w:val="00816997"/>
    <w:rsid w:val="00817696"/>
    <w:rsid w:val="00817776"/>
    <w:rsid w:val="008229B4"/>
    <w:rsid w:val="008264AB"/>
    <w:rsid w:val="00827B24"/>
    <w:rsid w:val="00830E23"/>
    <w:rsid w:val="008347B3"/>
    <w:rsid w:val="008373FC"/>
    <w:rsid w:val="0084195C"/>
    <w:rsid w:val="00844623"/>
    <w:rsid w:val="00844F37"/>
    <w:rsid w:val="008466B5"/>
    <w:rsid w:val="008511A4"/>
    <w:rsid w:val="00852916"/>
    <w:rsid w:val="008575B4"/>
    <w:rsid w:val="00860E6C"/>
    <w:rsid w:val="00861AE1"/>
    <w:rsid w:val="00865C4D"/>
    <w:rsid w:val="00870A95"/>
    <w:rsid w:val="008735F9"/>
    <w:rsid w:val="00883CB1"/>
    <w:rsid w:val="008900AB"/>
    <w:rsid w:val="008914DE"/>
    <w:rsid w:val="008918F5"/>
    <w:rsid w:val="00892BBC"/>
    <w:rsid w:val="0089400E"/>
    <w:rsid w:val="00895296"/>
    <w:rsid w:val="008A054F"/>
    <w:rsid w:val="008A150E"/>
    <w:rsid w:val="008A1974"/>
    <w:rsid w:val="008A7153"/>
    <w:rsid w:val="008B1173"/>
    <w:rsid w:val="008B4EE5"/>
    <w:rsid w:val="008B4FFB"/>
    <w:rsid w:val="008B57EE"/>
    <w:rsid w:val="008B7BB7"/>
    <w:rsid w:val="008C2364"/>
    <w:rsid w:val="008C3DBE"/>
    <w:rsid w:val="008C57C9"/>
    <w:rsid w:val="008C6C5B"/>
    <w:rsid w:val="008C7718"/>
    <w:rsid w:val="008C7F06"/>
    <w:rsid w:val="008D149D"/>
    <w:rsid w:val="008D1B14"/>
    <w:rsid w:val="008D1BE9"/>
    <w:rsid w:val="008D1F9E"/>
    <w:rsid w:val="008D3D13"/>
    <w:rsid w:val="008D4119"/>
    <w:rsid w:val="008D590E"/>
    <w:rsid w:val="008D68C3"/>
    <w:rsid w:val="008D74DF"/>
    <w:rsid w:val="008D7C94"/>
    <w:rsid w:val="008E1E7C"/>
    <w:rsid w:val="008E3CE0"/>
    <w:rsid w:val="008E72C1"/>
    <w:rsid w:val="008F1783"/>
    <w:rsid w:val="00900874"/>
    <w:rsid w:val="009010D8"/>
    <w:rsid w:val="00901900"/>
    <w:rsid w:val="00903E9B"/>
    <w:rsid w:val="00903F2D"/>
    <w:rsid w:val="00903F9E"/>
    <w:rsid w:val="00904179"/>
    <w:rsid w:val="00904773"/>
    <w:rsid w:val="0090479D"/>
    <w:rsid w:val="009059A7"/>
    <w:rsid w:val="00905F9C"/>
    <w:rsid w:val="009068A0"/>
    <w:rsid w:val="00907B6D"/>
    <w:rsid w:val="00911EA0"/>
    <w:rsid w:val="0091603A"/>
    <w:rsid w:val="00916A13"/>
    <w:rsid w:val="00916F0C"/>
    <w:rsid w:val="009179EB"/>
    <w:rsid w:val="00920F21"/>
    <w:rsid w:val="00921159"/>
    <w:rsid w:val="009232E8"/>
    <w:rsid w:val="00925E45"/>
    <w:rsid w:val="0092679C"/>
    <w:rsid w:val="0093173B"/>
    <w:rsid w:val="00931D39"/>
    <w:rsid w:val="00931D62"/>
    <w:rsid w:val="00932CB4"/>
    <w:rsid w:val="00934C00"/>
    <w:rsid w:val="00935477"/>
    <w:rsid w:val="00936E49"/>
    <w:rsid w:val="0093772B"/>
    <w:rsid w:val="00937B52"/>
    <w:rsid w:val="00942422"/>
    <w:rsid w:val="00943CFA"/>
    <w:rsid w:val="00945783"/>
    <w:rsid w:val="00947CCC"/>
    <w:rsid w:val="009503BB"/>
    <w:rsid w:val="00950461"/>
    <w:rsid w:val="00950ECE"/>
    <w:rsid w:val="00952324"/>
    <w:rsid w:val="00956680"/>
    <w:rsid w:val="00960974"/>
    <w:rsid w:val="009671C7"/>
    <w:rsid w:val="00970F07"/>
    <w:rsid w:val="00973533"/>
    <w:rsid w:val="00974BEB"/>
    <w:rsid w:val="00974D32"/>
    <w:rsid w:val="0097626B"/>
    <w:rsid w:val="00977FB0"/>
    <w:rsid w:val="00982904"/>
    <w:rsid w:val="00982C21"/>
    <w:rsid w:val="0098324B"/>
    <w:rsid w:val="009867CB"/>
    <w:rsid w:val="00992D59"/>
    <w:rsid w:val="009948BD"/>
    <w:rsid w:val="00994E23"/>
    <w:rsid w:val="009953FE"/>
    <w:rsid w:val="009956CD"/>
    <w:rsid w:val="00997DC5"/>
    <w:rsid w:val="00997DE1"/>
    <w:rsid w:val="009A020C"/>
    <w:rsid w:val="009A056D"/>
    <w:rsid w:val="009A15B1"/>
    <w:rsid w:val="009A27F0"/>
    <w:rsid w:val="009A3324"/>
    <w:rsid w:val="009A7C19"/>
    <w:rsid w:val="009A7C52"/>
    <w:rsid w:val="009B016B"/>
    <w:rsid w:val="009B052F"/>
    <w:rsid w:val="009B409F"/>
    <w:rsid w:val="009B4CAB"/>
    <w:rsid w:val="009C035D"/>
    <w:rsid w:val="009C076E"/>
    <w:rsid w:val="009C1073"/>
    <w:rsid w:val="009C54B7"/>
    <w:rsid w:val="009D0193"/>
    <w:rsid w:val="009D1080"/>
    <w:rsid w:val="009D3DED"/>
    <w:rsid w:val="009D4810"/>
    <w:rsid w:val="009D7AB7"/>
    <w:rsid w:val="009E01AB"/>
    <w:rsid w:val="009E23CA"/>
    <w:rsid w:val="009E35D9"/>
    <w:rsid w:val="009E3AB2"/>
    <w:rsid w:val="009E3FBA"/>
    <w:rsid w:val="009E4266"/>
    <w:rsid w:val="009E73BD"/>
    <w:rsid w:val="009F2B33"/>
    <w:rsid w:val="009F2CA0"/>
    <w:rsid w:val="009F3B94"/>
    <w:rsid w:val="009F42E3"/>
    <w:rsid w:val="009F4EE8"/>
    <w:rsid w:val="009F517C"/>
    <w:rsid w:val="009F621E"/>
    <w:rsid w:val="00A00729"/>
    <w:rsid w:val="00A01059"/>
    <w:rsid w:val="00A017E8"/>
    <w:rsid w:val="00A059BD"/>
    <w:rsid w:val="00A11532"/>
    <w:rsid w:val="00A11779"/>
    <w:rsid w:val="00A14019"/>
    <w:rsid w:val="00A21BFA"/>
    <w:rsid w:val="00A23961"/>
    <w:rsid w:val="00A24BA4"/>
    <w:rsid w:val="00A25B59"/>
    <w:rsid w:val="00A27954"/>
    <w:rsid w:val="00A30E78"/>
    <w:rsid w:val="00A31BA9"/>
    <w:rsid w:val="00A31FA9"/>
    <w:rsid w:val="00A331BE"/>
    <w:rsid w:val="00A339B6"/>
    <w:rsid w:val="00A41A45"/>
    <w:rsid w:val="00A423C3"/>
    <w:rsid w:val="00A45F14"/>
    <w:rsid w:val="00A46594"/>
    <w:rsid w:val="00A47659"/>
    <w:rsid w:val="00A505DA"/>
    <w:rsid w:val="00A50CCE"/>
    <w:rsid w:val="00A53E17"/>
    <w:rsid w:val="00A56FFF"/>
    <w:rsid w:val="00A57BEB"/>
    <w:rsid w:val="00A601FA"/>
    <w:rsid w:val="00A6193D"/>
    <w:rsid w:val="00A6347D"/>
    <w:rsid w:val="00A6451B"/>
    <w:rsid w:val="00A67500"/>
    <w:rsid w:val="00A67CB1"/>
    <w:rsid w:val="00A73FFF"/>
    <w:rsid w:val="00A7620A"/>
    <w:rsid w:val="00A76A83"/>
    <w:rsid w:val="00A77425"/>
    <w:rsid w:val="00A82A17"/>
    <w:rsid w:val="00A82C58"/>
    <w:rsid w:val="00A86BB8"/>
    <w:rsid w:val="00A8788B"/>
    <w:rsid w:val="00A87D59"/>
    <w:rsid w:val="00A922E5"/>
    <w:rsid w:val="00A92B43"/>
    <w:rsid w:val="00A953FD"/>
    <w:rsid w:val="00A96457"/>
    <w:rsid w:val="00A96C7D"/>
    <w:rsid w:val="00A97952"/>
    <w:rsid w:val="00AA33AA"/>
    <w:rsid w:val="00AA4682"/>
    <w:rsid w:val="00AA6E7B"/>
    <w:rsid w:val="00AA6F32"/>
    <w:rsid w:val="00AA7083"/>
    <w:rsid w:val="00AB05DB"/>
    <w:rsid w:val="00AB1F33"/>
    <w:rsid w:val="00AB2242"/>
    <w:rsid w:val="00AC0565"/>
    <w:rsid w:val="00AC2616"/>
    <w:rsid w:val="00AC4AC2"/>
    <w:rsid w:val="00AC6DE1"/>
    <w:rsid w:val="00AC6F91"/>
    <w:rsid w:val="00AD437E"/>
    <w:rsid w:val="00AD4F04"/>
    <w:rsid w:val="00AE0B02"/>
    <w:rsid w:val="00AE10DD"/>
    <w:rsid w:val="00AE497B"/>
    <w:rsid w:val="00AE7A9F"/>
    <w:rsid w:val="00AF0856"/>
    <w:rsid w:val="00AF0B79"/>
    <w:rsid w:val="00AF296D"/>
    <w:rsid w:val="00AF2F1A"/>
    <w:rsid w:val="00AF5DA1"/>
    <w:rsid w:val="00AF6E38"/>
    <w:rsid w:val="00AF7121"/>
    <w:rsid w:val="00B00DD3"/>
    <w:rsid w:val="00B02124"/>
    <w:rsid w:val="00B02844"/>
    <w:rsid w:val="00B04A03"/>
    <w:rsid w:val="00B061A7"/>
    <w:rsid w:val="00B124B8"/>
    <w:rsid w:val="00B1279E"/>
    <w:rsid w:val="00B12CEA"/>
    <w:rsid w:val="00B1591A"/>
    <w:rsid w:val="00B16678"/>
    <w:rsid w:val="00B17728"/>
    <w:rsid w:val="00B247CF"/>
    <w:rsid w:val="00B31C07"/>
    <w:rsid w:val="00B32594"/>
    <w:rsid w:val="00B3350D"/>
    <w:rsid w:val="00B33CDB"/>
    <w:rsid w:val="00B3665F"/>
    <w:rsid w:val="00B4214C"/>
    <w:rsid w:val="00B43B9F"/>
    <w:rsid w:val="00B43CF7"/>
    <w:rsid w:val="00B44B26"/>
    <w:rsid w:val="00B462E2"/>
    <w:rsid w:val="00B46CC7"/>
    <w:rsid w:val="00B50DBD"/>
    <w:rsid w:val="00B514A5"/>
    <w:rsid w:val="00B53DC2"/>
    <w:rsid w:val="00B53E9C"/>
    <w:rsid w:val="00B578BE"/>
    <w:rsid w:val="00B57F05"/>
    <w:rsid w:val="00B61734"/>
    <w:rsid w:val="00B62E5E"/>
    <w:rsid w:val="00B63952"/>
    <w:rsid w:val="00B6411E"/>
    <w:rsid w:val="00B709B8"/>
    <w:rsid w:val="00B70DF1"/>
    <w:rsid w:val="00B70E75"/>
    <w:rsid w:val="00B721E2"/>
    <w:rsid w:val="00B725A2"/>
    <w:rsid w:val="00B7315F"/>
    <w:rsid w:val="00B75343"/>
    <w:rsid w:val="00B75535"/>
    <w:rsid w:val="00B76D50"/>
    <w:rsid w:val="00B811EE"/>
    <w:rsid w:val="00B819B7"/>
    <w:rsid w:val="00B827A9"/>
    <w:rsid w:val="00B83C0D"/>
    <w:rsid w:val="00B84BE7"/>
    <w:rsid w:val="00B854C4"/>
    <w:rsid w:val="00B87260"/>
    <w:rsid w:val="00B877AB"/>
    <w:rsid w:val="00B91FB5"/>
    <w:rsid w:val="00B93382"/>
    <w:rsid w:val="00B9347E"/>
    <w:rsid w:val="00B9377D"/>
    <w:rsid w:val="00BA04DA"/>
    <w:rsid w:val="00BA0A60"/>
    <w:rsid w:val="00BA5498"/>
    <w:rsid w:val="00BA6506"/>
    <w:rsid w:val="00BA74AD"/>
    <w:rsid w:val="00BA7CA9"/>
    <w:rsid w:val="00BB045F"/>
    <w:rsid w:val="00BB25B6"/>
    <w:rsid w:val="00BB3796"/>
    <w:rsid w:val="00BB4049"/>
    <w:rsid w:val="00BB62AE"/>
    <w:rsid w:val="00BB65FA"/>
    <w:rsid w:val="00BC11CD"/>
    <w:rsid w:val="00BC2547"/>
    <w:rsid w:val="00BC306E"/>
    <w:rsid w:val="00BC35ED"/>
    <w:rsid w:val="00BC5B22"/>
    <w:rsid w:val="00BC6DCF"/>
    <w:rsid w:val="00BD15CA"/>
    <w:rsid w:val="00BD15FA"/>
    <w:rsid w:val="00BD24FA"/>
    <w:rsid w:val="00BD2C5C"/>
    <w:rsid w:val="00BD4542"/>
    <w:rsid w:val="00BD49AA"/>
    <w:rsid w:val="00BD53EC"/>
    <w:rsid w:val="00BD5BB9"/>
    <w:rsid w:val="00BD5D33"/>
    <w:rsid w:val="00BD7B13"/>
    <w:rsid w:val="00BE0191"/>
    <w:rsid w:val="00BE6620"/>
    <w:rsid w:val="00BE69E1"/>
    <w:rsid w:val="00BE7360"/>
    <w:rsid w:val="00BF0401"/>
    <w:rsid w:val="00BF1BAD"/>
    <w:rsid w:val="00BF1EBF"/>
    <w:rsid w:val="00BF252F"/>
    <w:rsid w:val="00BF488C"/>
    <w:rsid w:val="00BF6534"/>
    <w:rsid w:val="00BF6A72"/>
    <w:rsid w:val="00BF72EF"/>
    <w:rsid w:val="00C00426"/>
    <w:rsid w:val="00C01726"/>
    <w:rsid w:val="00C0294A"/>
    <w:rsid w:val="00C0494D"/>
    <w:rsid w:val="00C0735A"/>
    <w:rsid w:val="00C07686"/>
    <w:rsid w:val="00C078A7"/>
    <w:rsid w:val="00C109A4"/>
    <w:rsid w:val="00C143E7"/>
    <w:rsid w:val="00C16C2E"/>
    <w:rsid w:val="00C21BD0"/>
    <w:rsid w:val="00C254EB"/>
    <w:rsid w:val="00C25B2C"/>
    <w:rsid w:val="00C26BE2"/>
    <w:rsid w:val="00C35FF9"/>
    <w:rsid w:val="00C375EB"/>
    <w:rsid w:val="00C42B03"/>
    <w:rsid w:val="00C42B74"/>
    <w:rsid w:val="00C4356E"/>
    <w:rsid w:val="00C445F4"/>
    <w:rsid w:val="00C44C26"/>
    <w:rsid w:val="00C44E9C"/>
    <w:rsid w:val="00C45237"/>
    <w:rsid w:val="00C454A4"/>
    <w:rsid w:val="00C4655C"/>
    <w:rsid w:val="00C546A2"/>
    <w:rsid w:val="00C60289"/>
    <w:rsid w:val="00C642A3"/>
    <w:rsid w:val="00C6570C"/>
    <w:rsid w:val="00C65CE3"/>
    <w:rsid w:val="00C65E7F"/>
    <w:rsid w:val="00C66584"/>
    <w:rsid w:val="00C67A56"/>
    <w:rsid w:val="00C71439"/>
    <w:rsid w:val="00C757CC"/>
    <w:rsid w:val="00C7694A"/>
    <w:rsid w:val="00C81D5E"/>
    <w:rsid w:val="00C8637F"/>
    <w:rsid w:val="00C87076"/>
    <w:rsid w:val="00C877F2"/>
    <w:rsid w:val="00C918B3"/>
    <w:rsid w:val="00CA1034"/>
    <w:rsid w:val="00CA2DA8"/>
    <w:rsid w:val="00CA3C2F"/>
    <w:rsid w:val="00CA4096"/>
    <w:rsid w:val="00CA4C88"/>
    <w:rsid w:val="00CA5CA2"/>
    <w:rsid w:val="00CA75F5"/>
    <w:rsid w:val="00CB677A"/>
    <w:rsid w:val="00CB7CFA"/>
    <w:rsid w:val="00CC3701"/>
    <w:rsid w:val="00CC569F"/>
    <w:rsid w:val="00CC7554"/>
    <w:rsid w:val="00CD0033"/>
    <w:rsid w:val="00CD122C"/>
    <w:rsid w:val="00CD1DCD"/>
    <w:rsid w:val="00CD216B"/>
    <w:rsid w:val="00CD2355"/>
    <w:rsid w:val="00CD59DB"/>
    <w:rsid w:val="00CE2D00"/>
    <w:rsid w:val="00CE4338"/>
    <w:rsid w:val="00CE43F0"/>
    <w:rsid w:val="00CE4DAB"/>
    <w:rsid w:val="00CE5FB9"/>
    <w:rsid w:val="00CE6CBF"/>
    <w:rsid w:val="00CF0F73"/>
    <w:rsid w:val="00CF1526"/>
    <w:rsid w:val="00CF1585"/>
    <w:rsid w:val="00CF1857"/>
    <w:rsid w:val="00CF2D42"/>
    <w:rsid w:val="00CF4709"/>
    <w:rsid w:val="00CF5CF9"/>
    <w:rsid w:val="00CF6C69"/>
    <w:rsid w:val="00CF7041"/>
    <w:rsid w:val="00CF7AF1"/>
    <w:rsid w:val="00D02DA2"/>
    <w:rsid w:val="00D032D8"/>
    <w:rsid w:val="00D04860"/>
    <w:rsid w:val="00D06010"/>
    <w:rsid w:val="00D07BEB"/>
    <w:rsid w:val="00D11ABF"/>
    <w:rsid w:val="00D1240C"/>
    <w:rsid w:val="00D13B76"/>
    <w:rsid w:val="00D16845"/>
    <w:rsid w:val="00D16C96"/>
    <w:rsid w:val="00D23D0E"/>
    <w:rsid w:val="00D24588"/>
    <w:rsid w:val="00D24C75"/>
    <w:rsid w:val="00D265C1"/>
    <w:rsid w:val="00D3060F"/>
    <w:rsid w:val="00D35CEA"/>
    <w:rsid w:val="00D36294"/>
    <w:rsid w:val="00D40B21"/>
    <w:rsid w:val="00D417E5"/>
    <w:rsid w:val="00D42B52"/>
    <w:rsid w:val="00D4523D"/>
    <w:rsid w:val="00D45CC7"/>
    <w:rsid w:val="00D52322"/>
    <w:rsid w:val="00D53CCC"/>
    <w:rsid w:val="00D54B97"/>
    <w:rsid w:val="00D54D69"/>
    <w:rsid w:val="00D551DA"/>
    <w:rsid w:val="00D60D52"/>
    <w:rsid w:val="00D60F07"/>
    <w:rsid w:val="00D618C1"/>
    <w:rsid w:val="00D64B4F"/>
    <w:rsid w:val="00D656B7"/>
    <w:rsid w:val="00D7014A"/>
    <w:rsid w:val="00D746FE"/>
    <w:rsid w:val="00D834B5"/>
    <w:rsid w:val="00D83D3B"/>
    <w:rsid w:val="00D87413"/>
    <w:rsid w:val="00D901DE"/>
    <w:rsid w:val="00D904AF"/>
    <w:rsid w:val="00D91F52"/>
    <w:rsid w:val="00D92A68"/>
    <w:rsid w:val="00D93644"/>
    <w:rsid w:val="00DA0141"/>
    <w:rsid w:val="00DA018A"/>
    <w:rsid w:val="00DA028A"/>
    <w:rsid w:val="00DA1D84"/>
    <w:rsid w:val="00DA2697"/>
    <w:rsid w:val="00DA5F96"/>
    <w:rsid w:val="00DB043B"/>
    <w:rsid w:val="00DB21C2"/>
    <w:rsid w:val="00DB6E8F"/>
    <w:rsid w:val="00DB70DC"/>
    <w:rsid w:val="00DC132F"/>
    <w:rsid w:val="00DC4887"/>
    <w:rsid w:val="00DD115E"/>
    <w:rsid w:val="00DD1E11"/>
    <w:rsid w:val="00DD2453"/>
    <w:rsid w:val="00DD3444"/>
    <w:rsid w:val="00DD3466"/>
    <w:rsid w:val="00DD3EBC"/>
    <w:rsid w:val="00DD4917"/>
    <w:rsid w:val="00DD4C9A"/>
    <w:rsid w:val="00DD511D"/>
    <w:rsid w:val="00DD54EB"/>
    <w:rsid w:val="00DD6C77"/>
    <w:rsid w:val="00DD6DEC"/>
    <w:rsid w:val="00DE2953"/>
    <w:rsid w:val="00DE2C6E"/>
    <w:rsid w:val="00DE5089"/>
    <w:rsid w:val="00DE7541"/>
    <w:rsid w:val="00DF068C"/>
    <w:rsid w:val="00DF262E"/>
    <w:rsid w:val="00DF5463"/>
    <w:rsid w:val="00DF6B0B"/>
    <w:rsid w:val="00DF72A5"/>
    <w:rsid w:val="00DF778A"/>
    <w:rsid w:val="00E01D31"/>
    <w:rsid w:val="00E01D3D"/>
    <w:rsid w:val="00E026FF"/>
    <w:rsid w:val="00E04F75"/>
    <w:rsid w:val="00E06298"/>
    <w:rsid w:val="00E06A1E"/>
    <w:rsid w:val="00E0707C"/>
    <w:rsid w:val="00E11ED7"/>
    <w:rsid w:val="00E13B5F"/>
    <w:rsid w:val="00E150B4"/>
    <w:rsid w:val="00E15EE8"/>
    <w:rsid w:val="00E206FB"/>
    <w:rsid w:val="00E21AF6"/>
    <w:rsid w:val="00E247FF"/>
    <w:rsid w:val="00E26199"/>
    <w:rsid w:val="00E26314"/>
    <w:rsid w:val="00E31934"/>
    <w:rsid w:val="00E337DF"/>
    <w:rsid w:val="00E34A46"/>
    <w:rsid w:val="00E4267C"/>
    <w:rsid w:val="00E43A24"/>
    <w:rsid w:val="00E43FB7"/>
    <w:rsid w:val="00E441E4"/>
    <w:rsid w:val="00E45964"/>
    <w:rsid w:val="00E46BA5"/>
    <w:rsid w:val="00E472E0"/>
    <w:rsid w:val="00E500E7"/>
    <w:rsid w:val="00E50ADE"/>
    <w:rsid w:val="00E5208F"/>
    <w:rsid w:val="00E52A29"/>
    <w:rsid w:val="00E53153"/>
    <w:rsid w:val="00E568BA"/>
    <w:rsid w:val="00E60DE6"/>
    <w:rsid w:val="00E64F64"/>
    <w:rsid w:val="00E6550F"/>
    <w:rsid w:val="00E65653"/>
    <w:rsid w:val="00E663DF"/>
    <w:rsid w:val="00E667F2"/>
    <w:rsid w:val="00E66E3D"/>
    <w:rsid w:val="00E674C2"/>
    <w:rsid w:val="00E677B8"/>
    <w:rsid w:val="00E70123"/>
    <w:rsid w:val="00E72CA7"/>
    <w:rsid w:val="00E73202"/>
    <w:rsid w:val="00E81F71"/>
    <w:rsid w:val="00E82661"/>
    <w:rsid w:val="00E8365C"/>
    <w:rsid w:val="00E84A4E"/>
    <w:rsid w:val="00E87014"/>
    <w:rsid w:val="00E8778E"/>
    <w:rsid w:val="00E91735"/>
    <w:rsid w:val="00E91B48"/>
    <w:rsid w:val="00E92F6F"/>
    <w:rsid w:val="00E943FD"/>
    <w:rsid w:val="00E9450E"/>
    <w:rsid w:val="00E95B63"/>
    <w:rsid w:val="00E96B69"/>
    <w:rsid w:val="00E97642"/>
    <w:rsid w:val="00E97C61"/>
    <w:rsid w:val="00EA038F"/>
    <w:rsid w:val="00EA0428"/>
    <w:rsid w:val="00EA1839"/>
    <w:rsid w:val="00EA525C"/>
    <w:rsid w:val="00EA743D"/>
    <w:rsid w:val="00EB1A3C"/>
    <w:rsid w:val="00EB2786"/>
    <w:rsid w:val="00EB2C50"/>
    <w:rsid w:val="00EB46D9"/>
    <w:rsid w:val="00EB5204"/>
    <w:rsid w:val="00EB6519"/>
    <w:rsid w:val="00EB6A80"/>
    <w:rsid w:val="00EB720F"/>
    <w:rsid w:val="00EC5736"/>
    <w:rsid w:val="00EC5CDB"/>
    <w:rsid w:val="00ED1935"/>
    <w:rsid w:val="00ED2768"/>
    <w:rsid w:val="00ED27A6"/>
    <w:rsid w:val="00EE1916"/>
    <w:rsid w:val="00EE1DD5"/>
    <w:rsid w:val="00EF08BE"/>
    <w:rsid w:val="00EF0DF5"/>
    <w:rsid w:val="00EF0F9D"/>
    <w:rsid w:val="00EF2511"/>
    <w:rsid w:val="00EF51FB"/>
    <w:rsid w:val="00EF53B1"/>
    <w:rsid w:val="00EF54F7"/>
    <w:rsid w:val="00EF6437"/>
    <w:rsid w:val="00EF7B3B"/>
    <w:rsid w:val="00EF7E9C"/>
    <w:rsid w:val="00F037B6"/>
    <w:rsid w:val="00F03D13"/>
    <w:rsid w:val="00F057B8"/>
    <w:rsid w:val="00F06F6A"/>
    <w:rsid w:val="00F156AA"/>
    <w:rsid w:val="00F16EF6"/>
    <w:rsid w:val="00F179E9"/>
    <w:rsid w:val="00F20681"/>
    <w:rsid w:val="00F20DC5"/>
    <w:rsid w:val="00F2447E"/>
    <w:rsid w:val="00F31E1A"/>
    <w:rsid w:val="00F32841"/>
    <w:rsid w:val="00F32907"/>
    <w:rsid w:val="00F3335E"/>
    <w:rsid w:val="00F35E77"/>
    <w:rsid w:val="00F371F6"/>
    <w:rsid w:val="00F41240"/>
    <w:rsid w:val="00F418D6"/>
    <w:rsid w:val="00F43903"/>
    <w:rsid w:val="00F4565A"/>
    <w:rsid w:val="00F4588A"/>
    <w:rsid w:val="00F46602"/>
    <w:rsid w:val="00F47901"/>
    <w:rsid w:val="00F52996"/>
    <w:rsid w:val="00F53412"/>
    <w:rsid w:val="00F53726"/>
    <w:rsid w:val="00F55ADF"/>
    <w:rsid w:val="00F5655B"/>
    <w:rsid w:val="00F578D2"/>
    <w:rsid w:val="00F619DB"/>
    <w:rsid w:val="00F63985"/>
    <w:rsid w:val="00F64919"/>
    <w:rsid w:val="00F64A9E"/>
    <w:rsid w:val="00F65031"/>
    <w:rsid w:val="00F65C5D"/>
    <w:rsid w:val="00F65EB2"/>
    <w:rsid w:val="00F71140"/>
    <w:rsid w:val="00F711CA"/>
    <w:rsid w:val="00F728B9"/>
    <w:rsid w:val="00F73FE1"/>
    <w:rsid w:val="00F81266"/>
    <w:rsid w:val="00F837C5"/>
    <w:rsid w:val="00F8736B"/>
    <w:rsid w:val="00F87F40"/>
    <w:rsid w:val="00F87FBA"/>
    <w:rsid w:val="00F90994"/>
    <w:rsid w:val="00F90FC3"/>
    <w:rsid w:val="00F9175D"/>
    <w:rsid w:val="00F91C87"/>
    <w:rsid w:val="00F9576E"/>
    <w:rsid w:val="00F97172"/>
    <w:rsid w:val="00FA3AC1"/>
    <w:rsid w:val="00FA43AE"/>
    <w:rsid w:val="00FA597C"/>
    <w:rsid w:val="00FB2F1D"/>
    <w:rsid w:val="00FB488B"/>
    <w:rsid w:val="00FB667C"/>
    <w:rsid w:val="00FC5E06"/>
    <w:rsid w:val="00FC6504"/>
    <w:rsid w:val="00FD30B7"/>
    <w:rsid w:val="00FD68E7"/>
    <w:rsid w:val="00FD6A10"/>
    <w:rsid w:val="00FE22D7"/>
    <w:rsid w:val="00FE4272"/>
    <w:rsid w:val="00FE63E6"/>
    <w:rsid w:val="00FF14EB"/>
    <w:rsid w:val="00FF26D0"/>
    <w:rsid w:val="00FF3FE5"/>
    <w:rsid w:val="00FF4C81"/>
    <w:rsid w:val="00FF58B3"/>
    <w:rsid w:val="00FF5F91"/>
    <w:rsid w:val="010C17EA"/>
    <w:rsid w:val="01153B57"/>
    <w:rsid w:val="01256BE7"/>
    <w:rsid w:val="02164FC6"/>
    <w:rsid w:val="02422369"/>
    <w:rsid w:val="0275478F"/>
    <w:rsid w:val="02863CFD"/>
    <w:rsid w:val="02A32060"/>
    <w:rsid w:val="02CB3ABB"/>
    <w:rsid w:val="02F3758A"/>
    <w:rsid w:val="02F90434"/>
    <w:rsid w:val="037812F4"/>
    <w:rsid w:val="03AA6FCE"/>
    <w:rsid w:val="0406450A"/>
    <w:rsid w:val="04165736"/>
    <w:rsid w:val="042542DE"/>
    <w:rsid w:val="042A0CA0"/>
    <w:rsid w:val="04842688"/>
    <w:rsid w:val="05486C87"/>
    <w:rsid w:val="055F4150"/>
    <w:rsid w:val="05B336F9"/>
    <w:rsid w:val="05B42D89"/>
    <w:rsid w:val="05F14D67"/>
    <w:rsid w:val="06077803"/>
    <w:rsid w:val="0609362E"/>
    <w:rsid w:val="062254F8"/>
    <w:rsid w:val="0689375E"/>
    <w:rsid w:val="068B7826"/>
    <w:rsid w:val="07271AEB"/>
    <w:rsid w:val="073216FD"/>
    <w:rsid w:val="07840A97"/>
    <w:rsid w:val="07A171AB"/>
    <w:rsid w:val="07AE2C0E"/>
    <w:rsid w:val="07CE55F2"/>
    <w:rsid w:val="07E10001"/>
    <w:rsid w:val="0807410A"/>
    <w:rsid w:val="0834624D"/>
    <w:rsid w:val="08690AD1"/>
    <w:rsid w:val="088219AA"/>
    <w:rsid w:val="099D5711"/>
    <w:rsid w:val="0A795802"/>
    <w:rsid w:val="0AB661D5"/>
    <w:rsid w:val="0AC3328D"/>
    <w:rsid w:val="0ACF008A"/>
    <w:rsid w:val="0AE56ABA"/>
    <w:rsid w:val="0AFF6C77"/>
    <w:rsid w:val="0B7727D1"/>
    <w:rsid w:val="0BA27BC8"/>
    <w:rsid w:val="0BA55DDA"/>
    <w:rsid w:val="0C727782"/>
    <w:rsid w:val="0CA227D1"/>
    <w:rsid w:val="0D076AAD"/>
    <w:rsid w:val="0D2E4C17"/>
    <w:rsid w:val="0DA73361"/>
    <w:rsid w:val="0E257F4A"/>
    <w:rsid w:val="0E3E465C"/>
    <w:rsid w:val="0E811712"/>
    <w:rsid w:val="0F1253B8"/>
    <w:rsid w:val="0F145373"/>
    <w:rsid w:val="0FB719A1"/>
    <w:rsid w:val="0FD75D43"/>
    <w:rsid w:val="0FDB43AD"/>
    <w:rsid w:val="10160A0B"/>
    <w:rsid w:val="101D3604"/>
    <w:rsid w:val="109113E4"/>
    <w:rsid w:val="109B4630"/>
    <w:rsid w:val="128A5555"/>
    <w:rsid w:val="129C5FF9"/>
    <w:rsid w:val="12EF1D2E"/>
    <w:rsid w:val="132F22B6"/>
    <w:rsid w:val="13486DCB"/>
    <w:rsid w:val="13811D28"/>
    <w:rsid w:val="13AC0C03"/>
    <w:rsid w:val="13E12BA1"/>
    <w:rsid w:val="13FB2E04"/>
    <w:rsid w:val="141C7EA6"/>
    <w:rsid w:val="145202AB"/>
    <w:rsid w:val="146546C8"/>
    <w:rsid w:val="14C013EB"/>
    <w:rsid w:val="154D3DDA"/>
    <w:rsid w:val="15AA0A99"/>
    <w:rsid w:val="15C70701"/>
    <w:rsid w:val="15F43A69"/>
    <w:rsid w:val="167C0225"/>
    <w:rsid w:val="169D685A"/>
    <w:rsid w:val="16C42250"/>
    <w:rsid w:val="16CD7683"/>
    <w:rsid w:val="16CE2114"/>
    <w:rsid w:val="1780041E"/>
    <w:rsid w:val="17C74D2B"/>
    <w:rsid w:val="190D249C"/>
    <w:rsid w:val="1928773F"/>
    <w:rsid w:val="194507A0"/>
    <w:rsid w:val="194E3EEF"/>
    <w:rsid w:val="198D6224"/>
    <w:rsid w:val="19C5507B"/>
    <w:rsid w:val="19C95F2A"/>
    <w:rsid w:val="19F41D96"/>
    <w:rsid w:val="1A0548AF"/>
    <w:rsid w:val="1A2D426C"/>
    <w:rsid w:val="1A567094"/>
    <w:rsid w:val="1A7367AB"/>
    <w:rsid w:val="1B5A2537"/>
    <w:rsid w:val="1B660E75"/>
    <w:rsid w:val="1B7C1AC6"/>
    <w:rsid w:val="1B8224A6"/>
    <w:rsid w:val="1C4622D6"/>
    <w:rsid w:val="1C5923E0"/>
    <w:rsid w:val="1C5B68BD"/>
    <w:rsid w:val="1C8E7A48"/>
    <w:rsid w:val="1CCA1678"/>
    <w:rsid w:val="1D6E6501"/>
    <w:rsid w:val="1D74259D"/>
    <w:rsid w:val="1DB35F7C"/>
    <w:rsid w:val="1E3B6102"/>
    <w:rsid w:val="1EDA35C3"/>
    <w:rsid w:val="1F5477CE"/>
    <w:rsid w:val="20D0092B"/>
    <w:rsid w:val="20DA7A27"/>
    <w:rsid w:val="211B610E"/>
    <w:rsid w:val="211E5E44"/>
    <w:rsid w:val="21230DB2"/>
    <w:rsid w:val="21884916"/>
    <w:rsid w:val="21F41AEF"/>
    <w:rsid w:val="222531C4"/>
    <w:rsid w:val="224372DE"/>
    <w:rsid w:val="228C3320"/>
    <w:rsid w:val="22964CB4"/>
    <w:rsid w:val="22E23ECE"/>
    <w:rsid w:val="23185789"/>
    <w:rsid w:val="23A9212A"/>
    <w:rsid w:val="23C36021"/>
    <w:rsid w:val="23C51742"/>
    <w:rsid w:val="23EF17C4"/>
    <w:rsid w:val="24017274"/>
    <w:rsid w:val="24121836"/>
    <w:rsid w:val="24310219"/>
    <w:rsid w:val="248F3363"/>
    <w:rsid w:val="24BA764A"/>
    <w:rsid w:val="24D50EFC"/>
    <w:rsid w:val="24EA4B39"/>
    <w:rsid w:val="25046B01"/>
    <w:rsid w:val="253B0639"/>
    <w:rsid w:val="25716113"/>
    <w:rsid w:val="259A3A19"/>
    <w:rsid w:val="25CB59E7"/>
    <w:rsid w:val="25F17D6D"/>
    <w:rsid w:val="260E7BC2"/>
    <w:rsid w:val="263A0DB0"/>
    <w:rsid w:val="26E77E58"/>
    <w:rsid w:val="274968C3"/>
    <w:rsid w:val="276264AD"/>
    <w:rsid w:val="27DF53BB"/>
    <w:rsid w:val="281C26A2"/>
    <w:rsid w:val="282C5587"/>
    <w:rsid w:val="286260CB"/>
    <w:rsid w:val="287E29B7"/>
    <w:rsid w:val="288A1B89"/>
    <w:rsid w:val="2950496F"/>
    <w:rsid w:val="2976430B"/>
    <w:rsid w:val="298A5C70"/>
    <w:rsid w:val="29A62027"/>
    <w:rsid w:val="29EA2E65"/>
    <w:rsid w:val="2A2329E3"/>
    <w:rsid w:val="2A257B11"/>
    <w:rsid w:val="2A433FDF"/>
    <w:rsid w:val="2A667E3C"/>
    <w:rsid w:val="2A7156E7"/>
    <w:rsid w:val="2A9803F1"/>
    <w:rsid w:val="2AC47F1A"/>
    <w:rsid w:val="2B0D5E23"/>
    <w:rsid w:val="2B895054"/>
    <w:rsid w:val="2BD46333"/>
    <w:rsid w:val="2C307C60"/>
    <w:rsid w:val="2C5823B5"/>
    <w:rsid w:val="2C5E1C1D"/>
    <w:rsid w:val="2C907A9F"/>
    <w:rsid w:val="2CFB024B"/>
    <w:rsid w:val="2D402BD8"/>
    <w:rsid w:val="2D430542"/>
    <w:rsid w:val="2D5806C4"/>
    <w:rsid w:val="2DDF5CC1"/>
    <w:rsid w:val="2F310C07"/>
    <w:rsid w:val="30026D12"/>
    <w:rsid w:val="301369BF"/>
    <w:rsid w:val="30527CE5"/>
    <w:rsid w:val="30636123"/>
    <w:rsid w:val="307971C3"/>
    <w:rsid w:val="30955FA1"/>
    <w:rsid w:val="30B8478C"/>
    <w:rsid w:val="30C333F5"/>
    <w:rsid w:val="30FD5F74"/>
    <w:rsid w:val="313E5696"/>
    <w:rsid w:val="316A6620"/>
    <w:rsid w:val="3195415B"/>
    <w:rsid w:val="319D3F94"/>
    <w:rsid w:val="31C20A7A"/>
    <w:rsid w:val="31F70515"/>
    <w:rsid w:val="32A368F5"/>
    <w:rsid w:val="32CB0727"/>
    <w:rsid w:val="32E30699"/>
    <w:rsid w:val="33184DB7"/>
    <w:rsid w:val="33D4727D"/>
    <w:rsid w:val="34416538"/>
    <w:rsid w:val="34A137D2"/>
    <w:rsid w:val="34D14F32"/>
    <w:rsid w:val="34D776E7"/>
    <w:rsid w:val="34FE3911"/>
    <w:rsid w:val="350805A7"/>
    <w:rsid w:val="350B2C11"/>
    <w:rsid w:val="354C7B88"/>
    <w:rsid w:val="35642652"/>
    <w:rsid w:val="360C7CFD"/>
    <w:rsid w:val="36BE159D"/>
    <w:rsid w:val="37293F4F"/>
    <w:rsid w:val="3773322A"/>
    <w:rsid w:val="37B03DA6"/>
    <w:rsid w:val="37D3533A"/>
    <w:rsid w:val="385A223F"/>
    <w:rsid w:val="38A800C7"/>
    <w:rsid w:val="38CE3ABD"/>
    <w:rsid w:val="38DC088D"/>
    <w:rsid w:val="38F109C3"/>
    <w:rsid w:val="39C85FA8"/>
    <w:rsid w:val="3AAD1967"/>
    <w:rsid w:val="3AB31750"/>
    <w:rsid w:val="3AD12CC2"/>
    <w:rsid w:val="3B8C7800"/>
    <w:rsid w:val="3BCC257D"/>
    <w:rsid w:val="3C476E07"/>
    <w:rsid w:val="3D0F6763"/>
    <w:rsid w:val="3D1C1E9A"/>
    <w:rsid w:val="3D280A5B"/>
    <w:rsid w:val="3D5C16A1"/>
    <w:rsid w:val="3D7B5B5B"/>
    <w:rsid w:val="3DAB7747"/>
    <w:rsid w:val="3DBC3A8D"/>
    <w:rsid w:val="3E4B6664"/>
    <w:rsid w:val="3E582A9C"/>
    <w:rsid w:val="3EA30731"/>
    <w:rsid w:val="3EC977A1"/>
    <w:rsid w:val="3EE770D7"/>
    <w:rsid w:val="3EF0656C"/>
    <w:rsid w:val="3F726015"/>
    <w:rsid w:val="3FD77BAA"/>
    <w:rsid w:val="4098049D"/>
    <w:rsid w:val="410F6555"/>
    <w:rsid w:val="41B83649"/>
    <w:rsid w:val="41DF04EA"/>
    <w:rsid w:val="42385148"/>
    <w:rsid w:val="425D2944"/>
    <w:rsid w:val="426209C8"/>
    <w:rsid w:val="432A412C"/>
    <w:rsid w:val="43373254"/>
    <w:rsid w:val="433C0400"/>
    <w:rsid w:val="43C200BF"/>
    <w:rsid w:val="43CC20DA"/>
    <w:rsid w:val="44163A79"/>
    <w:rsid w:val="44552337"/>
    <w:rsid w:val="44867E96"/>
    <w:rsid w:val="44BC1930"/>
    <w:rsid w:val="44E17945"/>
    <w:rsid w:val="45373785"/>
    <w:rsid w:val="456604E0"/>
    <w:rsid w:val="462D713C"/>
    <w:rsid w:val="46B96933"/>
    <w:rsid w:val="46D52BC8"/>
    <w:rsid w:val="47065B76"/>
    <w:rsid w:val="47153DF3"/>
    <w:rsid w:val="472D3538"/>
    <w:rsid w:val="4736652B"/>
    <w:rsid w:val="47B362E4"/>
    <w:rsid w:val="47B801CA"/>
    <w:rsid w:val="47E17C5F"/>
    <w:rsid w:val="48353619"/>
    <w:rsid w:val="48414A85"/>
    <w:rsid w:val="484449BB"/>
    <w:rsid w:val="48A31674"/>
    <w:rsid w:val="48A5058A"/>
    <w:rsid w:val="48B325DE"/>
    <w:rsid w:val="48C15350"/>
    <w:rsid w:val="49413E8D"/>
    <w:rsid w:val="496505A0"/>
    <w:rsid w:val="49A026BD"/>
    <w:rsid w:val="49D23A49"/>
    <w:rsid w:val="49E96FDA"/>
    <w:rsid w:val="4A4B09D9"/>
    <w:rsid w:val="4A5908C0"/>
    <w:rsid w:val="4A782655"/>
    <w:rsid w:val="4B0C247A"/>
    <w:rsid w:val="4B1052B9"/>
    <w:rsid w:val="4B4B2D21"/>
    <w:rsid w:val="4B717EF9"/>
    <w:rsid w:val="4BAE43B7"/>
    <w:rsid w:val="4BAF0E23"/>
    <w:rsid w:val="4BD21601"/>
    <w:rsid w:val="4C3C0825"/>
    <w:rsid w:val="4C4E2360"/>
    <w:rsid w:val="4CCD27B1"/>
    <w:rsid w:val="4CCF4EFA"/>
    <w:rsid w:val="4D1473F9"/>
    <w:rsid w:val="4D4D4C94"/>
    <w:rsid w:val="4D817439"/>
    <w:rsid w:val="4E131ACC"/>
    <w:rsid w:val="4E600306"/>
    <w:rsid w:val="4E670940"/>
    <w:rsid w:val="4E941A56"/>
    <w:rsid w:val="4E980C89"/>
    <w:rsid w:val="4EBC27F9"/>
    <w:rsid w:val="4F071BF9"/>
    <w:rsid w:val="4F47584C"/>
    <w:rsid w:val="4F557FA5"/>
    <w:rsid w:val="4F9323F3"/>
    <w:rsid w:val="4FA74325"/>
    <w:rsid w:val="50653FF3"/>
    <w:rsid w:val="50821469"/>
    <w:rsid w:val="50D00E0E"/>
    <w:rsid w:val="510C5FB5"/>
    <w:rsid w:val="51830965"/>
    <w:rsid w:val="51C944B0"/>
    <w:rsid w:val="51F010D6"/>
    <w:rsid w:val="520B242B"/>
    <w:rsid w:val="52622F8D"/>
    <w:rsid w:val="52CC1BF6"/>
    <w:rsid w:val="52E369E5"/>
    <w:rsid w:val="53495210"/>
    <w:rsid w:val="53D376B8"/>
    <w:rsid w:val="53D564F3"/>
    <w:rsid w:val="541145DC"/>
    <w:rsid w:val="542D6275"/>
    <w:rsid w:val="54310FFD"/>
    <w:rsid w:val="54317DB4"/>
    <w:rsid w:val="546565BE"/>
    <w:rsid w:val="54A22AA4"/>
    <w:rsid w:val="54D27AD9"/>
    <w:rsid w:val="54F27683"/>
    <w:rsid w:val="55295B15"/>
    <w:rsid w:val="55C510C6"/>
    <w:rsid w:val="56175063"/>
    <w:rsid w:val="570A4794"/>
    <w:rsid w:val="574C1253"/>
    <w:rsid w:val="57725C07"/>
    <w:rsid w:val="577F4436"/>
    <w:rsid w:val="57D57251"/>
    <w:rsid w:val="57F724F1"/>
    <w:rsid w:val="585E23F0"/>
    <w:rsid w:val="589337FE"/>
    <w:rsid w:val="58CC5572"/>
    <w:rsid w:val="58EE3C43"/>
    <w:rsid w:val="592D48F7"/>
    <w:rsid w:val="592E08A3"/>
    <w:rsid w:val="5948212E"/>
    <w:rsid w:val="59810B11"/>
    <w:rsid w:val="5A79536E"/>
    <w:rsid w:val="5AD41B5C"/>
    <w:rsid w:val="5AFC776D"/>
    <w:rsid w:val="5B203B1A"/>
    <w:rsid w:val="5B777B7D"/>
    <w:rsid w:val="5BCB2A2E"/>
    <w:rsid w:val="5BDF231B"/>
    <w:rsid w:val="5C381899"/>
    <w:rsid w:val="5C587A75"/>
    <w:rsid w:val="5C711B98"/>
    <w:rsid w:val="5C96111B"/>
    <w:rsid w:val="5CC7109C"/>
    <w:rsid w:val="5CC93AA8"/>
    <w:rsid w:val="5CE52370"/>
    <w:rsid w:val="5CF43F63"/>
    <w:rsid w:val="5CFB327D"/>
    <w:rsid w:val="5D0715E2"/>
    <w:rsid w:val="5D4B1566"/>
    <w:rsid w:val="5D56306C"/>
    <w:rsid w:val="5D7E30A1"/>
    <w:rsid w:val="5D9C58DF"/>
    <w:rsid w:val="5DCE3E14"/>
    <w:rsid w:val="5E021C74"/>
    <w:rsid w:val="5E0E35A3"/>
    <w:rsid w:val="5E153C6B"/>
    <w:rsid w:val="5EFB4BD5"/>
    <w:rsid w:val="5F51216C"/>
    <w:rsid w:val="5FC0084A"/>
    <w:rsid w:val="5FC42773"/>
    <w:rsid w:val="5FC56E5F"/>
    <w:rsid w:val="5FDA6506"/>
    <w:rsid w:val="5FEA18DA"/>
    <w:rsid w:val="615A02C8"/>
    <w:rsid w:val="61760567"/>
    <w:rsid w:val="617E4632"/>
    <w:rsid w:val="629B06A9"/>
    <w:rsid w:val="62BA532A"/>
    <w:rsid w:val="62C040D9"/>
    <w:rsid w:val="63FF42BA"/>
    <w:rsid w:val="644F4D38"/>
    <w:rsid w:val="648028B9"/>
    <w:rsid w:val="648C7EFE"/>
    <w:rsid w:val="64AC2EA2"/>
    <w:rsid w:val="64C74014"/>
    <w:rsid w:val="658560D0"/>
    <w:rsid w:val="65E67470"/>
    <w:rsid w:val="66462966"/>
    <w:rsid w:val="664F11C3"/>
    <w:rsid w:val="668B2F39"/>
    <w:rsid w:val="66B97468"/>
    <w:rsid w:val="66BE0104"/>
    <w:rsid w:val="66F3205B"/>
    <w:rsid w:val="671310F4"/>
    <w:rsid w:val="67800F27"/>
    <w:rsid w:val="67A213C6"/>
    <w:rsid w:val="67CE79EB"/>
    <w:rsid w:val="67E10571"/>
    <w:rsid w:val="685E10D3"/>
    <w:rsid w:val="6888718C"/>
    <w:rsid w:val="68A0020A"/>
    <w:rsid w:val="68B80A62"/>
    <w:rsid w:val="690A71E9"/>
    <w:rsid w:val="696A54A5"/>
    <w:rsid w:val="697E2AC3"/>
    <w:rsid w:val="69EE7060"/>
    <w:rsid w:val="69FF6A31"/>
    <w:rsid w:val="6A1B7151"/>
    <w:rsid w:val="6A5C063B"/>
    <w:rsid w:val="6A665D7E"/>
    <w:rsid w:val="6AB77D8E"/>
    <w:rsid w:val="6AC8491D"/>
    <w:rsid w:val="6B3B2FD6"/>
    <w:rsid w:val="6B5D2E5A"/>
    <w:rsid w:val="6BA91D76"/>
    <w:rsid w:val="6BD335C5"/>
    <w:rsid w:val="6BFE7AE4"/>
    <w:rsid w:val="6C340C59"/>
    <w:rsid w:val="6D115728"/>
    <w:rsid w:val="6D9C76EB"/>
    <w:rsid w:val="6DD06017"/>
    <w:rsid w:val="6E3F6DDD"/>
    <w:rsid w:val="6E557E31"/>
    <w:rsid w:val="6E751734"/>
    <w:rsid w:val="6E95112F"/>
    <w:rsid w:val="6EAE15D9"/>
    <w:rsid w:val="6EC270B2"/>
    <w:rsid w:val="6EC62CA9"/>
    <w:rsid w:val="6ECD3360"/>
    <w:rsid w:val="6ECD443F"/>
    <w:rsid w:val="6F174F9E"/>
    <w:rsid w:val="6F214C5C"/>
    <w:rsid w:val="6F336070"/>
    <w:rsid w:val="6F380638"/>
    <w:rsid w:val="6F54383B"/>
    <w:rsid w:val="6F726F28"/>
    <w:rsid w:val="70076BE8"/>
    <w:rsid w:val="701D014B"/>
    <w:rsid w:val="70244222"/>
    <w:rsid w:val="70666086"/>
    <w:rsid w:val="70977057"/>
    <w:rsid w:val="709C5D76"/>
    <w:rsid w:val="70A84B24"/>
    <w:rsid w:val="70B01B82"/>
    <w:rsid w:val="70C366D8"/>
    <w:rsid w:val="70C841B1"/>
    <w:rsid w:val="70CD7E32"/>
    <w:rsid w:val="70E41417"/>
    <w:rsid w:val="7104588C"/>
    <w:rsid w:val="71157833"/>
    <w:rsid w:val="71360E34"/>
    <w:rsid w:val="714A3020"/>
    <w:rsid w:val="715421D7"/>
    <w:rsid w:val="7183399A"/>
    <w:rsid w:val="71B514B3"/>
    <w:rsid w:val="71BF2A27"/>
    <w:rsid w:val="71C50D4D"/>
    <w:rsid w:val="71E4090E"/>
    <w:rsid w:val="723815EF"/>
    <w:rsid w:val="72DA4267"/>
    <w:rsid w:val="73BB1B84"/>
    <w:rsid w:val="73E511CB"/>
    <w:rsid w:val="7491127E"/>
    <w:rsid w:val="74A55C41"/>
    <w:rsid w:val="750C791B"/>
    <w:rsid w:val="754A43CA"/>
    <w:rsid w:val="75745715"/>
    <w:rsid w:val="7591701C"/>
    <w:rsid w:val="75A110CB"/>
    <w:rsid w:val="75A35873"/>
    <w:rsid w:val="75B2747D"/>
    <w:rsid w:val="763A2238"/>
    <w:rsid w:val="766F21F9"/>
    <w:rsid w:val="76761CAB"/>
    <w:rsid w:val="7682155A"/>
    <w:rsid w:val="76F13ED0"/>
    <w:rsid w:val="770644E0"/>
    <w:rsid w:val="77761F7E"/>
    <w:rsid w:val="77E95BED"/>
    <w:rsid w:val="78450FBA"/>
    <w:rsid w:val="787C3549"/>
    <w:rsid w:val="78BF72FD"/>
    <w:rsid w:val="78D436C2"/>
    <w:rsid w:val="78F775E6"/>
    <w:rsid w:val="79EE1FAD"/>
    <w:rsid w:val="79F30B2D"/>
    <w:rsid w:val="7A391454"/>
    <w:rsid w:val="7A3D2FFA"/>
    <w:rsid w:val="7A8023D2"/>
    <w:rsid w:val="7AB7387C"/>
    <w:rsid w:val="7B1D1455"/>
    <w:rsid w:val="7B303D62"/>
    <w:rsid w:val="7B8E5564"/>
    <w:rsid w:val="7BC01F93"/>
    <w:rsid w:val="7C482BC8"/>
    <w:rsid w:val="7C4F0BF0"/>
    <w:rsid w:val="7C844BE2"/>
    <w:rsid w:val="7CA156F4"/>
    <w:rsid w:val="7D043DE5"/>
    <w:rsid w:val="7D065D0C"/>
    <w:rsid w:val="7D0C0A04"/>
    <w:rsid w:val="7D386E4D"/>
    <w:rsid w:val="7DC30555"/>
    <w:rsid w:val="7E6A79C6"/>
    <w:rsid w:val="7E6C64BC"/>
    <w:rsid w:val="7EC344FB"/>
    <w:rsid w:val="7F0B7DCF"/>
    <w:rsid w:val="7F69317D"/>
    <w:rsid w:val="7F870CE1"/>
    <w:rsid w:val="7F960417"/>
    <w:rsid w:val="7FA812F4"/>
    <w:rsid w:val="7FD83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4"/>
    <w:link w:val="85"/>
    <w:qFormat/>
    <w:uiPriority w:val="0"/>
    <w:pPr>
      <w:keepNext/>
      <w:keepLines/>
      <w:spacing w:before="340" w:after="330" w:line="576" w:lineRule="auto"/>
      <w:outlineLvl w:val="0"/>
    </w:pPr>
    <w:rPr>
      <w:b/>
      <w:kern w:val="44"/>
      <w:sz w:val="44"/>
    </w:rPr>
  </w:style>
  <w:style w:type="paragraph" w:styleId="2">
    <w:name w:val="heading 2"/>
    <w:basedOn w:val="1"/>
    <w:next w:val="1"/>
    <w:link w:val="105"/>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62"/>
    <w:qFormat/>
    <w:uiPriority w:val="0"/>
    <w:pPr>
      <w:keepNext/>
      <w:keepLines/>
      <w:spacing w:before="260" w:after="260" w:line="413" w:lineRule="auto"/>
      <w:outlineLvl w:val="2"/>
    </w:pPr>
    <w:rPr>
      <w:b/>
      <w:kern w:val="0"/>
      <w:sz w:val="32"/>
    </w:rPr>
  </w:style>
  <w:style w:type="paragraph" w:styleId="6">
    <w:name w:val="heading 4"/>
    <w:basedOn w:val="1"/>
    <w:next w:val="1"/>
    <w:link w:val="89"/>
    <w:qFormat/>
    <w:uiPriority w:val="0"/>
    <w:pPr>
      <w:keepNext/>
      <w:keepLines/>
      <w:spacing w:before="280" w:after="290" w:line="376" w:lineRule="auto"/>
      <w:outlineLvl w:val="3"/>
    </w:pPr>
    <w:rPr>
      <w:rFonts w:ascii="Cambria" w:hAnsi="Cambria"/>
      <w:b/>
      <w:bCs/>
      <w:kern w:val="0"/>
      <w:sz w:val="28"/>
      <w:szCs w:val="28"/>
    </w:rPr>
  </w:style>
  <w:style w:type="paragraph" w:styleId="7">
    <w:name w:val="heading 5"/>
    <w:basedOn w:val="1"/>
    <w:next w:val="1"/>
    <w:link w:val="67"/>
    <w:qFormat/>
    <w:uiPriority w:val="0"/>
    <w:pPr>
      <w:keepNext/>
      <w:keepLines/>
      <w:spacing w:before="280" w:after="290" w:line="376" w:lineRule="auto"/>
      <w:outlineLvl w:val="4"/>
    </w:pPr>
    <w:rPr>
      <w:b/>
      <w:bCs/>
      <w:kern w:val="0"/>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4">
    <w:name w:val="Title"/>
    <w:basedOn w:val="1"/>
    <w:next w:val="1"/>
    <w:link w:val="153"/>
    <w:qFormat/>
    <w:uiPriority w:val="0"/>
    <w:pPr>
      <w:adjustRightInd w:val="0"/>
      <w:spacing w:before="240" w:after="60" w:line="420" w:lineRule="atLeast"/>
      <w:jc w:val="center"/>
      <w:textAlignment w:val="baseline"/>
      <w:outlineLvl w:val="0"/>
    </w:pPr>
    <w:rPr>
      <w:rFonts w:ascii="Arial" w:hAnsi="Arial" w:cs="Arial"/>
      <w:b/>
      <w:kern w:val="0"/>
      <w:sz w:val="32"/>
    </w:rPr>
  </w:style>
  <w:style w:type="paragraph" w:styleId="8">
    <w:name w:val="table of authorities"/>
    <w:basedOn w:val="1"/>
    <w:next w:val="1"/>
    <w:qFormat/>
    <w:uiPriority w:val="0"/>
    <w:pPr>
      <w:ind w:left="420" w:leftChars="200"/>
    </w:pPr>
  </w:style>
  <w:style w:type="paragraph" w:styleId="9">
    <w:name w:val="Normal Indent"/>
    <w:basedOn w:val="1"/>
    <w:link w:val="70"/>
    <w:qFormat/>
    <w:uiPriority w:val="0"/>
    <w:pPr>
      <w:ind w:firstLine="420"/>
    </w:pPr>
  </w:style>
  <w:style w:type="paragraph" w:styleId="10">
    <w:name w:val="Document Map"/>
    <w:basedOn w:val="1"/>
    <w:link w:val="71"/>
    <w:semiHidden/>
    <w:qFormat/>
    <w:uiPriority w:val="0"/>
    <w:pPr>
      <w:shd w:val="clear" w:color="auto" w:fill="000080"/>
    </w:pPr>
    <w:rPr>
      <w:kern w:val="0"/>
      <w:sz w:val="20"/>
    </w:rPr>
  </w:style>
  <w:style w:type="paragraph" w:styleId="11">
    <w:name w:val="annotation text"/>
    <w:basedOn w:val="12"/>
    <w:link w:val="103"/>
    <w:unhideWhenUsed/>
    <w:qFormat/>
    <w:uiPriority w:val="0"/>
    <w:pPr>
      <w:jc w:val="left"/>
    </w:p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3">
    <w:name w:val="Body Text 3"/>
    <w:basedOn w:val="1"/>
    <w:link w:val="74"/>
    <w:unhideWhenUsed/>
    <w:qFormat/>
    <w:uiPriority w:val="99"/>
    <w:pPr>
      <w:spacing w:after="120"/>
    </w:pPr>
    <w:rPr>
      <w:sz w:val="16"/>
      <w:szCs w:val="16"/>
    </w:rPr>
  </w:style>
  <w:style w:type="paragraph" w:styleId="14">
    <w:name w:val="Body Text"/>
    <w:basedOn w:val="1"/>
    <w:next w:val="1"/>
    <w:link w:val="99"/>
    <w:qFormat/>
    <w:uiPriority w:val="0"/>
    <w:rPr>
      <w:rFonts w:eastAsia="楷体_GB2312"/>
      <w:kern w:val="0"/>
      <w:sz w:val="30"/>
    </w:rPr>
  </w:style>
  <w:style w:type="paragraph" w:styleId="15">
    <w:name w:val="Body Text Indent"/>
    <w:basedOn w:val="1"/>
    <w:link w:val="111"/>
    <w:qFormat/>
    <w:uiPriority w:val="0"/>
    <w:pPr>
      <w:spacing w:after="120"/>
      <w:ind w:left="420" w:leftChars="200"/>
    </w:pPr>
    <w:rPr>
      <w:kern w:val="0"/>
      <w:sz w:val="20"/>
    </w:rPr>
  </w:style>
  <w:style w:type="paragraph" w:styleId="16">
    <w:name w:val="Block Text"/>
    <w:basedOn w:val="1"/>
    <w:qFormat/>
    <w:uiPriority w:val="0"/>
    <w:pPr>
      <w:autoSpaceDE w:val="0"/>
      <w:autoSpaceDN w:val="0"/>
      <w:adjustRightInd w:val="0"/>
      <w:ind w:left="360" w:right="-154" w:firstLine="480"/>
      <w:textAlignment w:val="bottom"/>
    </w:pPr>
    <w:rPr>
      <w:rFonts w:ascii="宋体"/>
      <w:kern w:val="0"/>
      <w:sz w:val="28"/>
    </w:rPr>
  </w:style>
  <w:style w:type="paragraph" w:styleId="17">
    <w:name w:val="toc 3"/>
    <w:basedOn w:val="1"/>
    <w:next w:val="1"/>
    <w:semiHidden/>
    <w:unhideWhenUsed/>
    <w:qFormat/>
    <w:uiPriority w:val="39"/>
    <w:pPr>
      <w:ind w:left="840" w:leftChars="400"/>
    </w:pPr>
  </w:style>
  <w:style w:type="paragraph" w:styleId="18">
    <w:name w:val="Plain Text"/>
    <w:basedOn w:val="1"/>
    <w:link w:val="110"/>
    <w:qFormat/>
    <w:uiPriority w:val="99"/>
    <w:rPr>
      <w:rFonts w:ascii="宋体" w:hAnsi="Courier New"/>
      <w:kern w:val="0"/>
      <w:sz w:val="20"/>
    </w:rPr>
  </w:style>
  <w:style w:type="paragraph" w:styleId="19">
    <w:name w:val="Date"/>
    <w:basedOn w:val="1"/>
    <w:next w:val="1"/>
    <w:link w:val="65"/>
    <w:qFormat/>
    <w:uiPriority w:val="0"/>
    <w:pPr>
      <w:ind w:left="100" w:leftChars="2500"/>
    </w:pPr>
    <w:rPr>
      <w:kern w:val="0"/>
      <w:sz w:val="36"/>
    </w:rPr>
  </w:style>
  <w:style w:type="paragraph" w:styleId="20">
    <w:name w:val="Body Text Indent 2"/>
    <w:basedOn w:val="1"/>
    <w:link w:val="64"/>
    <w:qFormat/>
    <w:uiPriority w:val="0"/>
    <w:pPr>
      <w:spacing w:after="120" w:line="480" w:lineRule="auto"/>
      <w:ind w:left="420" w:leftChars="200"/>
    </w:pPr>
    <w:rPr>
      <w:kern w:val="0"/>
      <w:sz w:val="20"/>
    </w:rPr>
  </w:style>
  <w:style w:type="paragraph" w:styleId="21">
    <w:name w:val="Balloon Text"/>
    <w:basedOn w:val="1"/>
    <w:link w:val="57"/>
    <w:qFormat/>
    <w:uiPriority w:val="0"/>
    <w:rPr>
      <w:kern w:val="0"/>
      <w:sz w:val="18"/>
    </w:rPr>
  </w:style>
  <w:style w:type="paragraph" w:styleId="22">
    <w:name w:val="footer"/>
    <w:basedOn w:val="1"/>
    <w:link w:val="98"/>
    <w:unhideWhenUsed/>
    <w:qFormat/>
    <w:uiPriority w:val="99"/>
    <w:pPr>
      <w:tabs>
        <w:tab w:val="center" w:pos="4153"/>
        <w:tab w:val="right" w:pos="8306"/>
      </w:tabs>
      <w:snapToGrid w:val="0"/>
      <w:jc w:val="left"/>
    </w:pPr>
    <w:rPr>
      <w:kern w:val="0"/>
      <w:sz w:val="18"/>
      <w:szCs w:val="18"/>
    </w:rPr>
  </w:style>
  <w:style w:type="paragraph" w:styleId="23">
    <w:name w:val="header"/>
    <w:basedOn w:val="1"/>
    <w:link w:val="8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4">
    <w:name w:val="toc 1"/>
    <w:basedOn w:val="1"/>
    <w:next w:val="1"/>
    <w:qFormat/>
    <w:uiPriority w:val="39"/>
  </w:style>
  <w:style w:type="paragraph" w:styleId="25">
    <w:name w:val="Body Text Indent 3"/>
    <w:basedOn w:val="1"/>
    <w:link w:val="106"/>
    <w:qFormat/>
    <w:uiPriority w:val="0"/>
    <w:pPr>
      <w:tabs>
        <w:tab w:val="left" w:pos="1365"/>
      </w:tabs>
      <w:ind w:left="-4" w:leftChars="-2" w:firstLine="640" w:firstLineChars="200"/>
    </w:pPr>
    <w:rPr>
      <w:rFonts w:ascii="宋体" w:hAnsi="宋体"/>
      <w:kern w:val="0"/>
      <w:sz w:val="32"/>
    </w:rPr>
  </w:style>
  <w:style w:type="paragraph" w:styleId="26">
    <w:name w:val="toc 2"/>
    <w:basedOn w:val="1"/>
    <w:next w:val="1"/>
    <w:semiHidden/>
    <w:unhideWhenUsed/>
    <w:qFormat/>
    <w:uiPriority w:val="39"/>
    <w:pPr>
      <w:ind w:left="420" w:leftChars="200"/>
    </w:pPr>
  </w:style>
  <w:style w:type="paragraph" w:styleId="27">
    <w:name w:val="HTML Preformatted"/>
    <w:basedOn w:val="1"/>
    <w:link w:val="1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pPr>
    <w:rPr>
      <w:rFonts w:ascii="Arial" w:hAnsi="Arial"/>
      <w:kern w:val="0"/>
      <w:sz w:val="15"/>
      <w:szCs w:val="15"/>
    </w:rPr>
  </w:style>
  <w:style w:type="paragraph" w:styleId="28">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9">
    <w:name w:val="annotation subject"/>
    <w:basedOn w:val="11"/>
    <w:next w:val="11"/>
    <w:link w:val="69"/>
    <w:unhideWhenUsed/>
    <w:qFormat/>
    <w:uiPriority w:val="99"/>
    <w:rPr>
      <w:b/>
      <w:bCs/>
    </w:rPr>
  </w:style>
  <w:style w:type="paragraph" w:styleId="30">
    <w:name w:val="Body Text First Indent"/>
    <w:basedOn w:val="14"/>
    <w:link w:val="100"/>
    <w:qFormat/>
    <w:uiPriority w:val="0"/>
    <w:pPr>
      <w:adjustRightInd w:val="0"/>
      <w:spacing w:after="120" w:line="360" w:lineRule="auto"/>
      <w:ind w:left="289" w:leftChars="1" w:firstLine="420" w:firstLineChars="100"/>
      <w:textAlignment w:val="baseline"/>
    </w:pPr>
    <w:rPr>
      <w:rFonts w:ascii="宋体" w:hAnsi="宋体" w:eastAsia="宋体"/>
      <w:b/>
      <w:bCs/>
      <w:sz w:val="20"/>
    </w:rPr>
  </w:style>
  <w:style w:type="paragraph" w:styleId="31">
    <w:name w:val="Body Text First Indent 2"/>
    <w:basedOn w:val="15"/>
    <w:qFormat/>
    <w:uiPriority w:val="99"/>
    <w:pPr>
      <w:ind w:firstLine="624"/>
    </w:pPr>
    <w:rPr>
      <w:rFonts w:ascii="Calibri" w:hAnsi="Calibri"/>
    </w:rPr>
  </w:style>
  <w:style w:type="table" w:styleId="33">
    <w:name w:val="Table Grid"/>
    <w:basedOn w:val="3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rPr>
  </w:style>
  <w:style w:type="character" w:styleId="36">
    <w:name w:val="page number"/>
    <w:basedOn w:val="34"/>
    <w:qFormat/>
    <w:uiPriority w:val="0"/>
  </w:style>
  <w:style w:type="character" w:styleId="37">
    <w:name w:val="FollowedHyperlink"/>
    <w:unhideWhenUsed/>
    <w:qFormat/>
    <w:uiPriority w:val="99"/>
    <w:rPr>
      <w:color w:val="333333"/>
      <w:u w:val="none"/>
    </w:rPr>
  </w:style>
  <w:style w:type="character" w:styleId="38">
    <w:name w:val="Emphasis"/>
    <w:qFormat/>
    <w:uiPriority w:val="0"/>
    <w:rPr>
      <w:i/>
      <w:iCs/>
    </w:rPr>
  </w:style>
  <w:style w:type="character" w:styleId="39">
    <w:name w:val="line number"/>
    <w:basedOn w:val="34"/>
    <w:qFormat/>
    <w:uiPriority w:val="0"/>
  </w:style>
  <w:style w:type="character" w:styleId="40">
    <w:name w:val="HTML Definition"/>
    <w:basedOn w:val="34"/>
    <w:semiHidden/>
    <w:unhideWhenUsed/>
    <w:qFormat/>
    <w:uiPriority w:val="99"/>
  </w:style>
  <w:style w:type="character" w:styleId="41">
    <w:name w:val="HTML Typewriter"/>
    <w:basedOn w:val="34"/>
    <w:semiHidden/>
    <w:unhideWhenUsed/>
    <w:qFormat/>
    <w:uiPriority w:val="99"/>
    <w:rPr>
      <w:rFonts w:hint="default" w:ascii="monospace" w:hAnsi="monospace" w:eastAsia="monospace" w:cs="monospace"/>
      <w:sz w:val="20"/>
    </w:rPr>
  </w:style>
  <w:style w:type="character" w:styleId="42">
    <w:name w:val="HTML Acronym"/>
    <w:basedOn w:val="34"/>
    <w:semiHidden/>
    <w:unhideWhenUsed/>
    <w:qFormat/>
    <w:uiPriority w:val="99"/>
    <w:rPr>
      <w:bdr w:val="single" w:color="D2D2D2" w:sz="2" w:space="0"/>
      <w:shd w:val="clear" w:color="auto" w:fill="FFFFFF"/>
    </w:rPr>
  </w:style>
  <w:style w:type="character" w:styleId="43">
    <w:name w:val="HTML Variable"/>
    <w:basedOn w:val="34"/>
    <w:semiHidden/>
    <w:unhideWhenUsed/>
    <w:qFormat/>
    <w:uiPriority w:val="99"/>
  </w:style>
  <w:style w:type="character" w:styleId="44">
    <w:name w:val="Hyperlink"/>
    <w:basedOn w:val="34"/>
    <w:qFormat/>
    <w:uiPriority w:val="99"/>
    <w:rPr>
      <w:color w:val="0000FF"/>
      <w:u w:val="none"/>
    </w:rPr>
  </w:style>
  <w:style w:type="character" w:styleId="45">
    <w:name w:val="HTML Code"/>
    <w:basedOn w:val="34"/>
    <w:semiHidden/>
    <w:unhideWhenUsed/>
    <w:qFormat/>
    <w:uiPriority w:val="99"/>
    <w:rPr>
      <w:rFonts w:ascii="monospace" w:hAnsi="monospace" w:eastAsia="monospace" w:cs="monospace"/>
      <w:sz w:val="20"/>
    </w:rPr>
  </w:style>
  <w:style w:type="character" w:styleId="46">
    <w:name w:val="annotation reference"/>
    <w:unhideWhenUsed/>
    <w:qFormat/>
    <w:uiPriority w:val="99"/>
    <w:rPr>
      <w:sz w:val="21"/>
      <w:szCs w:val="21"/>
    </w:rPr>
  </w:style>
  <w:style w:type="character" w:styleId="47">
    <w:name w:val="HTML Cite"/>
    <w:basedOn w:val="34"/>
    <w:semiHidden/>
    <w:unhideWhenUsed/>
    <w:qFormat/>
    <w:uiPriority w:val="99"/>
  </w:style>
  <w:style w:type="character" w:styleId="48">
    <w:name w:val="HTML Keyboard"/>
    <w:basedOn w:val="34"/>
    <w:semiHidden/>
    <w:unhideWhenUsed/>
    <w:qFormat/>
    <w:uiPriority w:val="99"/>
    <w:rPr>
      <w:rFonts w:hint="default" w:ascii="monospace" w:hAnsi="monospace" w:eastAsia="monospace" w:cs="monospace"/>
      <w:sz w:val="20"/>
    </w:rPr>
  </w:style>
  <w:style w:type="character" w:styleId="49">
    <w:name w:val="HTML Sample"/>
    <w:basedOn w:val="34"/>
    <w:semiHidden/>
    <w:unhideWhenUsed/>
    <w:qFormat/>
    <w:uiPriority w:val="99"/>
    <w:rPr>
      <w:rFonts w:hint="default" w:ascii="monospace" w:hAnsi="monospace" w:eastAsia="monospace" w:cs="monospace"/>
    </w:rPr>
  </w:style>
  <w:style w:type="paragraph" w:customStyle="1" w:styleId="50">
    <w:name w:val="Heading1"/>
    <w:basedOn w:val="1"/>
    <w:next w:val="1"/>
    <w:qFormat/>
    <w:uiPriority w:val="0"/>
    <w:pPr>
      <w:keepNext/>
      <w:keepLines/>
      <w:jc w:val="center"/>
      <w:textAlignment w:val="baseline"/>
    </w:pPr>
    <w:rPr>
      <w:rFonts w:ascii="Calibri" w:hAnsi="Calibri"/>
      <w:b/>
      <w:spacing w:val="20"/>
      <w:kern w:val="44"/>
      <w:sz w:val="32"/>
      <w:szCs w:val="24"/>
    </w:rPr>
  </w:style>
  <w:style w:type="paragraph" w:customStyle="1" w:styleId="51">
    <w:name w:val="列出段落1"/>
    <w:basedOn w:val="1"/>
    <w:qFormat/>
    <w:uiPriority w:val="0"/>
    <w:pPr>
      <w:ind w:firstLine="420" w:firstLineChars="200"/>
    </w:pPr>
    <w:rPr>
      <w:rFonts w:ascii="Calibri" w:hAnsi="Calibri"/>
      <w:szCs w:val="22"/>
    </w:rPr>
  </w:style>
  <w:style w:type="paragraph" w:customStyle="1" w:styleId="52">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character" w:customStyle="1" w:styleId="53">
    <w:name w:val="font61"/>
    <w:basedOn w:val="34"/>
    <w:qFormat/>
    <w:uiPriority w:val="0"/>
    <w:rPr>
      <w:rFonts w:hint="eastAsia" w:ascii="宋体" w:hAnsi="宋体" w:eastAsia="宋体" w:cs="宋体"/>
      <w:color w:val="000000"/>
      <w:sz w:val="20"/>
      <w:szCs w:val="20"/>
      <w:u w:val="none"/>
    </w:rPr>
  </w:style>
  <w:style w:type="character" w:customStyle="1" w:styleId="54">
    <w:name w:val="g1481"/>
    <w:qFormat/>
    <w:uiPriority w:val="0"/>
    <w:rPr>
      <w:color w:val="5F897B"/>
      <w:sz w:val="22"/>
    </w:rPr>
  </w:style>
  <w:style w:type="character" w:customStyle="1" w:styleId="55">
    <w:name w:val="ca-1"/>
    <w:basedOn w:val="34"/>
    <w:qFormat/>
    <w:uiPriority w:val="0"/>
  </w:style>
  <w:style w:type="character" w:customStyle="1" w:styleId="56">
    <w:name w:val="p141"/>
    <w:qFormat/>
    <w:uiPriority w:val="0"/>
    <w:rPr>
      <w:sz w:val="21"/>
      <w:szCs w:val="21"/>
    </w:rPr>
  </w:style>
  <w:style w:type="character" w:customStyle="1" w:styleId="57">
    <w:name w:val="批注框文本 Char"/>
    <w:link w:val="21"/>
    <w:qFormat/>
    <w:uiPriority w:val="0"/>
    <w:rPr>
      <w:rFonts w:ascii="Times New Roman" w:hAnsi="Times New Roman" w:eastAsia="宋体" w:cs="Times New Roman"/>
      <w:sz w:val="18"/>
      <w:szCs w:val="20"/>
    </w:rPr>
  </w:style>
  <w:style w:type="character" w:customStyle="1" w:styleId="58">
    <w:name w:val="font01"/>
    <w:basedOn w:val="34"/>
    <w:qFormat/>
    <w:uiPriority w:val="0"/>
    <w:rPr>
      <w:rFonts w:ascii="Arial" w:hAnsi="Arial" w:cs="Arial"/>
      <w:color w:val="000000"/>
      <w:sz w:val="20"/>
      <w:szCs w:val="20"/>
      <w:u w:val="none"/>
    </w:rPr>
  </w:style>
  <w:style w:type="character" w:customStyle="1" w:styleId="59">
    <w:name w:val="样式1 Char"/>
    <w:link w:val="60"/>
    <w:qFormat/>
    <w:uiPriority w:val="0"/>
    <w:rPr>
      <w:rFonts w:ascii="Cambria" w:hAnsi="Cambria" w:eastAsia="黑体"/>
      <w:bCs/>
      <w:iCs/>
      <w:sz w:val="21"/>
      <w:szCs w:val="28"/>
      <w:lang w:eastAsia="en-US" w:bidi="en-US"/>
    </w:rPr>
  </w:style>
  <w:style w:type="paragraph" w:customStyle="1" w:styleId="60">
    <w:name w:val="样式1"/>
    <w:basedOn w:val="2"/>
    <w:link w:val="59"/>
    <w:qFormat/>
    <w:uiPriority w:val="0"/>
    <w:pPr>
      <w:keepNext w:val="0"/>
      <w:keepLines w:val="0"/>
      <w:widowControl/>
      <w:spacing w:before="100" w:beforeAutospacing="1" w:after="100" w:afterAutospacing="1" w:line="240" w:lineRule="auto"/>
      <w:ind w:right="100" w:rightChars="100"/>
      <w:jc w:val="left"/>
    </w:pPr>
    <w:rPr>
      <w:rFonts w:ascii="Cambria" w:hAnsi="Cambria"/>
      <w:b w:val="0"/>
      <w:iCs/>
      <w:sz w:val="21"/>
      <w:szCs w:val="28"/>
      <w:lang w:eastAsia="en-US" w:bidi="en-US"/>
    </w:rPr>
  </w:style>
  <w:style w:type="character" w:customStyle="1" w:styleId="61">
    <w:name w:val="apple-converted-space"/>
    <w:basedOn w:val="34"/>
    <w:qFormat/>
    <w:uiPriority w:val="0"/>
  </w:style>
  <w:style w:type="character" w:customStyle="1" w:styleId="62">
    <w:name w:val="标题 3 Char"/>
    <w:link w:val="5"/>
    <w:qFormat/>
    <w:uiPriority w:val="0"/>
    <w:rPr>
      <w:rFonts w:ascii="Times New Roman" w:hAnsi="Times New Roman" w:eastAsia="宋体" w:cs="Times New Roman"/>
      <w:b/>
      <w:sz w:val="32"/>
      <w:szCs w:val="20"/>
    </w:rPr>
  </w:style>
  <w:style w:type="character" w:customStyle="1" w:styleId="63">
    <w:name w:val="正文首行缩进 Char1"/>
    <w:semiHidden/>
    <w:qFormat/>
    <w:uiPriority w:val="99"/>
    <w:rPr>
      <w:rFonts w:ascii="Times New Roman" w:hAnsi="Times New Roman" w:eastAsia="楷体_GB2312" w:cs="Times New Roman"/>
      <w:kern w:val="2"/>
      <w:sz w:val="21"/>
      <w:szCs w:val="20"/>
    </w:rPr>
  </w:style>
  <w:style w:type="character" w:customStyle="1" w:styleId="64">
    <w:name w:val="正文文本缩进 2 Char"/>
    <w:link w:val="20"/>
    <w:qFormat/>
    <w:uiPriority w:val="0"/>
    <w:rPr>
      <w:rFonts w:ascii="Times New Roman" w:hAnsi="Times New Roman" w:eastAsia="宋体" w:cs="Times New Roman"/>
      <w:szCs w:val="20"/>
    </w:rPr>
  </w:style>
  <w:style w:type="character" w:customStyle="1" w:styleId="65">
    <w:name w:val="日期 Char"/>
    <w:link w:val="19"/>
    <w:qFormat/>
    <w:uiPriority w:val="0"/>
    <w:rPr>
      <w:rFonts w:ascii="Times New Roman" w:hAnsi="Times New Roman" w:eastAsia="宋体" w:cs="Times New Roman"/>
      <w:sz w:val="36"/>
      <w:szCs w:val="20"/>
    </w:rPr>
  </w:style>
  <w:style w:type="character" w:customStyle="1" w:styleId="66">
    <w:name w:val="font21"/>
    <w:qFormat/>
    <w:uiPriority w:val="0"/>
    <w:rPr>
      <w:rFonts w:hint="default" w:ascii="Times New Roman" w:hAnsi="Times New Roman" w:cs="Times New Roman"/>
      <w:color w:val="000000"/>
      <w:sz w:val="20"/>
      <w:szCs w:val="20"/>
      <w:u w:val="none"/>
    </w:rPr>
  </w:style>
  <w:style w:type="character" w:customStyle="1" w:styleId="67">
    <w:name w:val="标题 5 Char"/>
    <w:link w:val="7"/>
    <w:qFormat/>
    <w:uiPriority w:val="0"/>
    <w:rPr>
      <w:b/>
      <w:bCs/>
      <w:sz w:val="28"/>
      <w:szCs w:val="28"/>
    </w:rPr>
  </w:style>
  <w:style w:type="character" w:customStyle="1" w:styleId="68">
    <w:name w:val="纯文本 Char1"/>
    <w:qFormat/>
    <w:uiPriority w:val="0"/>
    <w:rPr>
      <w:rFonts w:ascii="宋体" w:hAnsi="Courier New" w:eastAsia="宋体"/>
      <w:kern w:val="2"/>
      <w:sz w:val="21"/>
      <w:lang w:val="en-US" w:eastAsia="zh-CN" w:bidi="ar-SA"/>
    </w:rPr>
  </w:style>
  <w:style w:type="character" w:customStyle="1" w:styleId="69">
    <w:name w:val="批注主题 Char"/>
    <w:link w:val="29"/>
    <w:qFormat/>
    <w:uiPriority w:val="99"/>
    <w:rPr>
      <w:b/>
      <w:bCs/>
      <w:kern w:val="2"/>
      <w:sz w:val="21"/>
    </w:rPr>
  </w:style>
  <w:style w:type="character" w:customStyle="1" w:styleId="70">
    <w:name w:val="正文缩进 Char"/>
    <w:link w:val="9"/>
    <w:qFormat/>
    <w:uiPriority w:val="0"/>
    <w:rPr>
      <w:kern w:val="2"/>
      <w:sz w:val="21"/>
    </w:rPr>
  </w:style>
  <w:style w:type="character" w:customStyle="1" w:styleId="71">
    <w:name w:val="文档结构图 Char"/>
    <w:link w:val="10"/>
    <w:semiHidden/>
    <w:qFormat/>
    <w:uiPriority w:val="0"/>
    <w:rPr>
      <w:shd w:val="clear" w:color="auto" w:fill="000080"/>
    </w:rPr>
  </w:style>
  <w:style w:type="character" w:customStyle="1" w:styleId="72">
    <w:name w:val="列出段落 Char"/>
    <w:link w:val="73"/>
    <w:qFormat/>
    <w:locked/>
    <w:uiPriority w:val="99"/>
    <w:rPr>
      <w:kern w:val="2"/>
      <w:sz w:val="36"/>
    </w:rPr>
  </w:style>
  <w:style w:type="paragraph" w:styleId="73">
    <w:name w:val="List Paragraph"/>
    <w:basedOn w:val="1"/>
    <w:link w:val="72"/>
    <w:qFormat/>
    <w:uiPriority w:val="99"/>
    <w:pPr>
      <w:ind w:firstLine="420" w:firstLineChars="200"/>
    </w:pPr>
    <w:rPr>
      <w:sz w:val="36"/>
    </w:rPr>
  </w:style>
  <w:style w:type="character" w:customStyle="1" w:styleId="74">
    <w:name w:val="正文文本 3 Char"/>
    <w:link w:val="13"/>
    <w:qFormat/>
    <w:uiPriority w:val="99"/>
    <w:rPr>
      <w:kern w:val="2"/>
      <w:sz w:val="16"/>
      <w:szCs w:val="16"/>
    </w:rPr>
  </w:style>
  <w:style w:type="character" w:customStyle="1" w:styleId="75">
    <w:name w:val="apple-style-span"/>
    <w:basedOn w:val="34"/>
    <w:qFormat/>
    <w:uiPriority w:val="0"/>
  </w:style>
  <w:style w:type="character" w:customStyle="1" w:styleId="76">
    <w:name w:val="批注主题 Char1"/>
    <w:semiHidden/>
    <w:qFormat/>
    <w:uiPriority w:val="99"/>
    <w:rPr>
      <w:b/>
      <w:bCs/>
      <w:kern w:val="2"/>
      <w:sz w:val="21"/>
    </w:rPr>
  </w:style>
  <w:style w:type="character" w:customStyle="1" w:styleId="77">
    <w:name w:val="正文文本缩进 3 Char1"/>
    <w:semiHidden/>
    <w:qFormat/>
    <w:uiPriority w:val="99"/>
    <w:rPr>
      <w:kern w:val="2"/>
      <w:sz w:val="16"/>
      <w:szCs w:val="16"/>
    </w:rPr>
  </w:style>
  <w:style w:type="character" w:customStyle="1" w:styleId="78">
    <w:name w:val="font31"/>
    <w:qFormat/>
    <w:uiPriority w:val="0"/>
    <w:rPr>
      <w:rFonts w:hint="eastAsia" w:ascii="宋体" w:hAnsi="宋体" w:eastAsia="宋体" w:cs="宋体"/>
      <w:color w:val="000000"/>
      <w:sz w:val="20"/>
      <w:szCs w:val="20"/>
      <w:u w:val="none"/>
    </w:rPr>
  </w:style>
  <w:style w:type="character" w:customStyle="1" w:styleId="79">
    <w:name w:val="样式4 Char"/>
    <w:basedOn w:val="80"/>
    <w:link w:val="81"/>
    <w:qFormat/>
    <w:uiPriority w:val="0"/>
    <w:rPr>
      <w:sz w:val="18"/>
      <w:szCs w:val="18"/>
    </w:rPr>
  </w:style>
  <w:style w:type="character" w:customStyle="1" w:styleId="80">
    <w:name w:val="页眉 Char"/>
    <w:link w:val="23"/>
    <w:qFormat/>
    <w:uiPriority w:val="99"/>
    <w:rPr>
      <w:sz w:val="18"/>
      <w:szCs w:val="18"/>
    </w:rPr>
  </w:style>
  <w:style w:type="paragraph" w:customStyle="1" w:styleId="81">
    <w:name w:val="样式4"/>
    <w:basedOn w:val="23"/>
    <w:link w:val="79"/>
    <w:qFormat/>
    <w:uiPriority w:val="0"/>
    <w:pPr>
      <w:pBdr>
        <w:bottom w:val="none" w:color="auto" w:sz="0" w:space="0"/>
      </w:pBdr>
      <w:jc w:val="both"/>
    </w:pPr>
  </w:style>
  <w:style w:type="character" w:customStyle="1" w:styleId="82">
    <w:name w:val="font11"/>
    <w:basedOn w:val="34"/>
    <w:qFormat/>
    <w:uiPriority w:val="0"/>
    <w:rPr>
      <w:rFonts w:ascii="font-weight : 700" w:hAnsi="font-weight : 700" w:eastAsia="font-weight : 700" w:cs="font-weight : 700"/>
      <w:color w:val="000000"/>
      <w:sz w:val="20"/>
      <w:szCs w:val="20"/>
      <w:u w:val="none"/>
    </w:rPr>
  </w:style>
  <w:style w:type="character" w:customStyle="1" w:styleId="83">
    <w:name w:val="fontstyle01"/>
    <w:qFormat/>
    <w:uiPriority w:val="99"/>
    <w:rPr>
      <w:rFonts w:ascii="F5" w:hAnsi="F5" w:eastAsia="Times New Roman" w:cs="F5"/>
      <w:color w:val="000000"/>
      <w:sz w:val="22"/>
      <w:szCs w:val="22"/>
    </w:rPr>
  </w:style>
  <w:style w:type="character" w:customStyle="1" w:styleId="84">
    <w:name w:val="文档结构图 Char1"/>
    <w:semiHidden/>
    <w:qFormat/>
    <w:uiPriority w:val="99"/>
    <w:rPr>
      <w:rFonts w:ascii="宋体"/>
      <w:kern w:val="2"/>
      <w:sz w:val="18"/>
      <w:szCs w:val="18"/>
    </w:rPr>
  </w:style>
  <w:style w:type="character" w:customStyle="1" w:styleId="85">
    <w:name w:val="标题 1 Char"/>
    <w:link w:val="3"/>
    <w:qFormat/>
    <w:uiPriority w:val="0"/>
    <w:rPr>
      <w:rFonts w:ascii="Times New Roman" w:hAnsi="Times New Roman" w:eastAsia="宋体" w:cs="Times New Roman"/>
      <w:b/>
      <w:kern w:val="44"/>
      <w:sz w:val="44"/>
      <w:szCs w:val="20"/>
    </w:rPr>
  </w:style>
  <w:style w:type="character" w:customStyle="1" w:styleId="86">
    <w:name w:val="fontstyle21"/>
    <w:qFormat/>
    <w:uiPriority w:val="99"/>
    <w:rPr>
      <w:rFonts w:ascii="F11" w:hAnsi="F11" w:eastAsia="Times New Roman" w:cs="F11"/>
      <w:color w:val="000000"/>
      <w:sz w:val="22"/>
      <w:szCs w:val="22"/>
    </w:rPr>
  </w:style>
  <w:style w:type="character" w:customStyle="1" w:styleId="87">
    <w:name w:val="纯文本 Char2"/>
    <w:semiHidden/>
    <w:qFormat/>
    <w:uiPriority w:val="99"/>
    <w:rPr>
      <w:rFonts w:ascii="宋体" w:hAnsi="Courier New" w:eastAsia="宋体" w:cs="Courier New"/>
      <w:szCs w:val="21"/>
    </w:rPr>
  </w:style>
  <w:style w:type="character" w:customStyle="1" w:styleId="88">
    <w:name w:val="ca-0"/>
    <w:basedOn w:val="34"/>
    <w:qFormat/>
    <w:uiPriority w:val="0"/>
  </w:style>
  <w:style w:type="character" w:customStyle="1" w:styleId="89">
    <w:name w:val="标题 4 Char"/>
    <w:link w:val="6"/>
    <w:qFormat/>
    <w:uiPriority w:val="0"/>
    <w:rPr>
      <w:rFonts w:ascii="Cambria" w:hAnsi="Cambria"/>
      <w:b/>
      <w:bCs/>
      <w:sz w:val="28"/>
      <w:szCs w:val="28"/>
    </w:rPr>
  </w:style>
  <w:style w:type="character" w:customStyle="1" w:styleId="90">
    <w:name w:val="样式2 Char"/>
    <w:basedOn w:val="80"/>
    <w:link w:val="91"/>
    <w:qFormat/>
    <w:uiPriority w:val="0"/>
    <w:rPr>
      <w:sz w:val="18"/>
      <w:szCs w:val="18"/>
    </w:rPr>
  </w:style>
  <w:style w:type="paragraph" w:customStyle="1" w:styleId="91">
    <w:name w:val="样式2"/>
    <w:basedOn w:val="23"/>
    <w:link w:val="90"/>
    <w:qFormat/>
    <w:uiPriority w:val="0"/>
    <w:pPr>
      <w:pBdr>
        <w:bottom w:val="none" w:color="auto" w:sz="0" w:space="0"/>
      </w:pBdr>
      <w:jc w:val="both"/>
    </w:pPr>
  </w:style>
  <w:style w:type="character" w:customStyle="1" w:styleId="92">
    <w:name w:val="样式5 Char"/>
    <w:basedOn w:val="80"/>
    <w:link w:val="93"/>
    <w:qFormat/>
    <w:uiPriority w:val="0"/>
    <w:rPr>
      <w:sz w:val="18"/>
      <w:szCs w:val="18"/>
    </w:rPr>
  </w:style>
  <w:style w:type="paragraph" w:customStyle="1" w:styleId="93">
    <w:name w:val="样式5"/>
    <w:basedOn w:val="23"/>
    <w:link w:val="92"/>
    <w:qFormat/>
    <w:uiPriority w:val="0"/>
    <w:pPr>
      <w:pBdr>
        <w:bottom w:val="none" w:color="auto" w:sz="0" w:space="0"/>
      </w:pBdr>
      <w:jc w:val="both"/>
    </w:pPr>
  </w:style>
  <w:style w:type="character" w:customStyle="1" w:styleId="94">
    <w:name w:val="样式6 Char"/>
    <w:basedOn w:val="80"/>
    <w:link w:val="95"/>
    <w:qFormat/>
    <w:uiPriority w:val="0"/>
    <w:rPr>
      <w:sz w:val="18"/>
      <w:szCs w:val="18"/>
    </w:rPr>
  </w:style>
  <w:style w:type="paragraph" w:customStyle="1" w:styleId="95">
    <w:name w:val="样式6"/>
    <w:basedOn w:val="23"/>
    <w:link w:val="94"/>
    <w:qFormat/>
    <w:uiPriority w:val="0"/>
    <w:pPr>
      <w:pBdr>
        <w:bottom w:val="none" w:color="auto" w:sz="0" w:space="0"/>
      </w:pBdr>
    </w:pPr>
  </w:style>
  <w:style w:type="character" w:customStyle="1" w:styleId="96">
    <w:name w:val="Char Char"/>
    <w:qFormat/>
    <w:locked/>
    <w:uiPriority w:val="0"/>
    <w:rPr>
      <w:rFonts w:ascii="宋体" w:hAnsi="Courier New" w:eastAsia="宋体"/>
      <w:kern w:val="2"/>
      <w:sz w:val="21"/>
      <w:lang w:bidi="ar-SA"/>
    </w:rPr>
  </w:style>
  <w:style w:type="character" w:customStyle="1" w:styleId="97">
    <w:name w:val="HTML 预设格式 Char1"/>
    <w:semiHidden/>
    <w:qFormat/>
    <w:uiPriority w:val="99"/>
    <w:rPr>
      <w:rFonts w:ascii="Courier New" w:hAnsi="Courier New" w:cs="Courier New"/>
      <w:kern w:val="2"/>
    </w:rPr>
  </w:style>
  <w:style w:type="character" w:customStyle="1" w:styleId="98">
    <w:name w:val="页脚 Char"/>
    <w:link w:val="22"/>
    <w:qFormat/>
    <w:uiPriority w:val="99"/>
    <w:rPr>
      <w:sz w:val="18"/>
      <w:szCs w:val="18"/>
    </w:rPr>
  </w:style>
  <w:style w:type="character" w:customStyle="1" w:styleId="99">
    <w:name w:val="正文文本 Char"/>
    <w:link w:val="14"/>
    <w:qFormat/>
    <w:uiPriority w:val="0"/>
    <w:rPr>
      <w:rFonts w:ascii="Times New Roman" w:hAnsi="Times New Roman" w:eastAsia="楷体_GB2312" w:cs="Times New Roman"/>
      <w:sz w:val="30"/>
      <w:szCs w:val="20"/>
    </w:rPr>
  </w:style>
  <w:style w:type="character" w:customStyle="1" w:styleId="100">
    <w:name w:val="正文首行缩进 Char"/>
    <w:link w:val="30"/>
    <w:qFormat/>
    <w:uiPriority w:val="0"/>
    <w:rPr>
      <w:rFonts w:ascii="宋体" w:hAnsi="宋体" w:cs="宋体"/>
      <w:b/>
      <w:bCs/>
    </w:rPr>
  </w:style>
  <w:style w:type="character" w:customStyle="1" w:styleId="101">
    <w:name w:val="正文文本缩进 Char1"/>
    <w:semiHidden/>
    <w:qFormat/>
    <w:uiPriority w:val="99"/>
    <w:rPr>
      <w:rFonts w:ascii="Times New Roman" w:hAnsi="Times New Roman" w:eastAsia="宋体" w:cs="Times New Roman"/>
      <w:szCs w:val="20"/>
    </w:rPr>
  </w:style>
  <w:style w:type="character" w:customStyle="1" w:styleId="102">
    <w:name w:val="ca-3"/>
    <w:basedOn w:val="34"/>
    <w:qFormat/>
    <w:uiPriority w:val="0"/>
  </w:style>
  <w:style w:type="character" w:customStyle="1" w:styleId="103">
    <w:name w:val="批注文字 Char"/>
    <w:link w:val="11"/>
    <w:qFormat/>
    <w:uiPriority w:val="0"/>
    <w:rPr>
      <w:kern w:val="2"/>
      <w:sz w:val="21"/>
    </w:rPr>
  </w:style>
  <w:style w:type="character" w:customStyle="1" w:styleId="104">
    <w:name w:val="HTML 预设格式 Char"/>
    <w:link w:val="27"/>
    <w:qFormat/>
    <w:uiPriority w:val="0"/>
    <w:rPr>
      <w:rFonts w:ascii="Arial" w:hAnsi="Arial" w:cs="Arial"/>
      <w:sz w:val="15"/>
      <w:szCs w:val="15"/>
    </w:rPr>
  </w:style>
  <w:style w:type="character" w:customStyle="1" w:styleId="105">
    <w:name w:val="标题 2 Char"/>
    <w:link w:val="2"/>
    <w:qFormat/>
    <w:uiPriority w:val="0"/>
    <w:rPr>
      <w:rFonts w:ascii="Arial" w:hAnsi="Arial" w:eastAsia="黑体" w:cs="Times New Roman"/>
      <w:b/>
      <w:bCs/>
      <w:sz w:val="32"/>
      <w:szCs w:val="32"/>
    </w:rPr>
  </w:style>
  <w:style w:type="character" w:customStyle="1" w:styleId="106">
    <w:name w:val="正文文本缩进 3 Char"/>
    <w:link w:val="25"/>
    <w:qFormat/>
    <w:uiPriority w:val="0"/>
    <w:rPr>
      <w:rFonts w:ascii="宋体" w:hAnsi="宋体"/>
      <w:sz w:val="32"/>
    </w:rPr>
  </w:style>
  <w:style w:type="character" w:customStyle="1" w:styleId="107">
    <w:name w:val="font41"/>
    <w:qFormat/>
    <w:uiPriority w:val="0"/>
    <w:rPr>
      <w:rFonts w:hint="eastAsia" w:ascii="宋体" w:hAnsi="宋体" w:eastAsia="宋体" w:cs="宋体"/>
      <w:color w:val="000000"/>
      <w:sz w:val="20"/>
      <w:szCs w:val="20"/>
      <w:u w:val="none"/>
    </w:rPr>
  </w:style>
  <w:style w:type="character" w:customStyle="1" w:styleId="108">
    <w:name w:val="页脚2 Char"/>
    <w:link w:val="109"/>
    <w:qFormat/>
    <w:uiPriority w:val="0"/>
    <w:rPr>
      <w:rFonts w:ascii="宋体" w:hAnsi="宋体"/>
      <w:sz w:val="18"/>
      <w:szCs w:val="18"/>
    </w:rPr>
  </w:style>
  <w:style w:type="paragraph" w:customStyle="1" w:styleId="109">
    <w:name w:val="页脚2"/>
    <w:basedOn w:val="1"/>
    <w:link w:val="108"/>
    <w:qFormat/>
    <w:uiPriority w:val="0"/>
    <w:pPr>
      <w:widowControl/>
      <w:pBdr>
        <w:top w:val="single" w:color="auto" w:sz="6" w:space="0"/>
      </w:pBdr>
      <w:jc w:val="right"/>
      <w:textAlignment w:val="center"/>
    </w:pPr>
    <w:rPr>
      <w:rFonts w:ascii="宋体" w:hAnsi="宋体"/>
      <w:kern w:val="0"/>
      <w:sz w:val="18"/>
      <w:szCs w:val="18"/>
    </w:rPr>
  </w:style>
  <w:style w:type="character" w:customStyle="1" w:styleId="110">
    <w:name w:val="纯文本 Char"/>
    <w:link w:val="18"/>
    <w:qFormat/>
    <w:uiPriority w:val="0"/>
    <w:rPr>
      <w:rFonts w:ascii="宋体" w:hAnsi="Courier New" w:eastAsia="宋体"/>
    </w:rPr>
  </w:style>
  <w:style w:type="character" w:customStyle="1" w:styleId="111">
    <w:name w:val="正文文本缩进 Char"/>
    <w:link w:val="15"/>
    <w:qFormat/>
    <w:uiPriority w:val="0"/>
    <w:rPr>
      <w:rFonts w:ascii="Times New Roman" w:hAnsi="Times New Roman" w:eastAsia="宋体" w:cs="Times New Roman"/>
      <w:szCs w:val="20"/>
    </w:rPr>
  </w:style>
  <w:style w:type="paragraph" w:customStyle="1" w:styleId="112">
    <w:name w:val="List Paragraph1"/>
    <w:basedOn w:val="1"/>
    <w:qFormat/>
    <w:uiPriority w:val="0"/>
    <w:pPr>
      <w:ind w:firstLine="420" w:firstLineChars="200"/>
    </w:pPr>
    <w:rPr>
      <w:rFonts w:ascii="Calibri" w:hAnsi="Calibri"/>
      <w:szCs w:val="22"/>
    </w:rPr>
  </w:style>
  <w:style w:type="paragraph" w:customStyle="1" w:styleId="113">
    <w:name w:val="xl6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114">
    <w:name w:val="Style First line:  1.71 ch"/>
    <w:basedOn w:val="1"/>
    <w:qFormat/>
    <w:uiPriority w:val="0"/>
    <w:pPr>
      <w:spacing w:line="360" w:lineRule="auto"/>
      <w:ind w:firstLine="359" w:firstLineChars="171"/>
    </w:pPr>
    <w:rPr>
      <w:rFonts w:cs="宋体"/>
      <w:sz w:val="24"/>
    </w:rPr>
  </w:style>
  <w:style w:type="paragraph" w:customStyle="1" w:styleId="115">
    <w:name w:val="Char Char Char Char"/>
    <w:basedOn w:val="1"/>
    <w:qFormat/>
    <w:uiPriority w:val="0"/>
    <w:pPr>
      <w:spacing w:line="360" w:lineRule="auto"/>
      <w:ind w:firstLine="200" w:firstLineChars="200"/>
    </w:pPr>
  </w:style>
  <w:style w:type="paragraph" w:customStyle="1" w:styleId="116">
    <w:name w:val="默认段落字体 Para Char"/>
    <w:basedOn w:val="1"/>
    <w:qFormat/>
    <w:uiPriority w:val="0"/>
    <w:rPr>
      <w:rFonts w:ascii="Tahoma" w:hAnsi="Tahoma"/>
      <w:sz w:val="24"/>
    </w:rPr>
  </w:style>
  <w:style w:type="paragraph" w:customStyle="1" w:styleId="117">
    <w:name w:val="_Style 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18">
    <w:name w:val="Char Char Char"/>
    <w:basedOn w:val="10"/>
    <w:qFormat/>
    <w:uiPriority w:val="0"/>
    <w:pPr>
      <w:adjustRightInd w:val="0"/>
      <w:spacing w:line="436" w:lineRule="exact"/>
      <w:ind w:left="357"/>
      <w:jc w:val="left"/>
      <w:outlineLvl w:val="3"/>
    </w:pPr>
    <w:rPr>
      <w:rFonts w:ascii="Tahoma" w:hAnsi="Tahoma" w:cs="Tahoma"/>
      <w:b/>
      <w:bCs/>
      <w:sz w:val="24"/>
      <w:szCs w:val="24"/>
    </w:rPr>
  </w:style>
  <w:style w:type="paragraph" w:customStyle="1" w:styleId="119">
    <w:name w:val="p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0">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1">
    <w:name w:val="p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2">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123">
    <w:name w:val="Default"/>
    <w:next w:val="115"/>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24">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25">
    <w:name w:val="p0"/>
    <w:basedOn w:val="1"/>
    <w:qFormat/>
    <w:uiPriority w:val="0"/>
    <w:pPr>
      <w:widowControl/>
    </w:pPr>
    <w:rPr>
      <w:kern w:val="0"/>
      <w:szCs w:val="21"/>
    </w:rPr>
  </w:style>
  <w:style w:type="paragraph" w:customStyle="1" w:styleId="126">
    <w:name w:val="样式 标题 2 + Times New Roman 四号 非加粗 段前: 5 磅 段后: 0 磅 行距: 固定值 20..."/>
    <w:basedOn w:val="2"/>
    <w:qFormat/>
    <w:uiPriority w:val="0"/>
    <w:pPr>
      <w:autoSpaceDE w:val="0"/>
      <w:autoSpaceDN w:val="0"/>
      <w:spacing w:before="100" w:after="0" w:line="400" w:lineRule="exact"/>
    </w:pPr>
    <w:rPr>
      <w:rFonts w:ascii="Times New Roman" w:hAnsi="Times New Roman" w:eastAsia="宋体" w:cs="宋体"/>
      <w:b w:val="0"/>
      <w:bCs w:val="0"/>
      <w:caps/>
      <w:sz w:val="28"/>
      <w:szCs w:val="20"/>
    </w:rPr>
  </w:style>
  <w:style w:type="paragraph" w:customStyle="1" w:styleId="127">
    <w:name w:val="Char11"/>
    <w:basedOn w:val="1"/>
    <w:qFormat/>
    <w:uiPriority w:val="0"/>
    <w:pPr>
      <w:adjustRightInd w:val="0"/>
      <w:spacing w:line="360" w:lineRule="auto"/>
    </w:pPr>
    <w:rPr>
      <w:kern w:val="0"/>
      <w:sz w:val="24"/>
    </w:rPr>
  </w:style>
  <w:style w:type="paragraph" w:customStyle="1" w:styleId="128">
    <w:name w:val="标题4"/>
    <w:basedOn w:val="6"/>
    <w:qFormat/>
    <w:uiPriority w:val="0"/>
    <w:pPr>
      <w:keepNext w:val="0"/>
      <w:keepLines w:val="0"/>
      <w:adjustRightInd w:val="0"/>
      <w:spacing w:before="100" w:beforeAutospacing="1" w:after="100" w:afterAutospacing="1" w:line="320" w:lineRule="exact"/>
      <w:jc w:val="center"/>
      <w:textAlignment w:val="baseline"/>
    </w:pPr>
    <w:rPr>
      <w:rFonts w:ascii="幼圆" w:hAnsi="Arial" w:eastAsia="幼圆" w:cs="Arial"/>
      <w:szCs w:val="24"/>
    </w:rPr>
  </w:style>
  <w:style w:type="paragraph" w:customStyle="1" w:styleId="12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31">
    <w:name w:val="Column Headings"/>
    <w:basedOn w:val="2"/>
    <w:qFormat/>
    <w:uiPriority w:val="99"/>
    <w:pPr>
      <w:keepLines w:val="0"/>
      <w:widowControl/>
      <w:spacing w:before="20" w:after="0" w:line="240" w:lineRule="auto"/>
    </w:pPr>
    <w:rPr>
      <w:rFonts w:ascii="Microsoft Sans Serif" w:hAnsi="Microsoft Sans Serif"/>
      <w:bCs w:val="0"/>
      <w:color w:val="7F7F7F"/>
      <w:sz w:val="16"/>
      <w:szCs w:val="16"/>
      <w:lang w:eastAsia="en-US"/>
    </w:rPr>
  </w:style>
  <w:style w:type="paragraph" w:customStyle="1" w:styleId="132">
    <w:name w:val="p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3">
    <w:name w:val="列出段落11"/>
    <w:basedOn w:val="1"/>
    <w:qFormat/>
    <w:uiPriority w:val="0"/>
    <w:pPr>
      <w:widowControl/>
      <w:ind w:firstLine="420" w:firstLineChars="200"/>
      <w:jc w:val="left"/>
    </w:pPr>
    <w:rPr>
      <w:kern w:val="0"/>
      <w:sz w:val="24"/>
      <w:szCs w:val="24"/>
    </w:rPr>
  </w:style>
  <w:style w:type="paragraph" w:customStyle="1" w:styleId="134">
    <w:name w:val="Char1 Char Char Char Char Char Char"/>
    <w:basedOn w:val="1"/>
    <w:qFormat/>
    <w:uiPriority w:val="0"/>
    <w:pPr>
      <w:ind w:left="289" w:leftChars="1" w:hanging="287" w:hangingChars="143"/>
    </w:pPr>
    <w:rPr>
      <w:rFonts w:ascii="Tahoma" w:hAnsi="Tahoma" w:cs="宋体"/>
      <w:sz w:val="20"/>
    </w:rPr>
  </w:style>
  <w:style w:type="paragraph" w:customStyle="1" w:styleId="1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6">
    <w:name w:val="样式3"/>
    <w:basedOn w:val="23"/>
    <w:qFormat/>
    <w:uiPriority w:val="0"/>
    <w:pPr>
      <w:pBdr>
        <w:bottom w:val="none" w:color="auto" w:sz="0" w:space="0"/>
      </w:pBdr>
      <w:jc w:val="left"/>
    </w:pPr>
    <w:rPr>
      <w:rFonts w:ascii="仿宋_GB2312" w:hAnsi="宋体" w:eastAsia="仿宋_GB2312" w:cs="Lucida Sans Unicode"/>
      <w:sz w:val="24"/>
    </w:rPr>
  </w:style>
  <w:style w:type="paragraph" w:customStyle="1" w:styleId="137">
    <w:name w:val="表 靠左"/>
    <w:basedOn w:val="1"/>
    <w:next w:val="1"/>
    <w:qFormat/>
    <w:uiPriority w:val="0"/>
    <w:pPr>
      <w:adjustRightInd w:val="0"/>
      <w:snapToGrid w:val="0"/>
      <w:ind w:left="420" w:hanging="420"/>
      <w:jc w:val="center"/>
    </w:pPr>
    <w:rPr>
      <w:rFonts w:ascii="宋体" w:hAnsi="宋体" w:cs="宋体"/>
      <w:kern w:val="0"/>
      <w:sz w:val="24"/>
      <w:szCs w:val="24"/>
    </w:rPr>
  </w:style>
  <w:style w:type="paragraph" w:customStyle="1" w:styleId="138">
    <w:name w:val="Char Char Char1"/>
    <w:basedOn w:val="1"/>
    <w:qFormat/>
    <w:uiPriority w:val="0"/>
  </w:style>
  <w:style w:type="paragraph" w:customStyle="1" w:styleId="139">
    <w:name w:val="Char1"/>
    <w:basedOn w:val="1"/>
    <w:qFormat/>
    <w:uiPriority w:val="0"/>
    <w:rPr>
      <w:rFonts w:ascii="Tahoma" w:hAnsi="Tahoma"/>
      <w:sz w:val="24"/>
    </w:rPr>
  </w:style>
  <w:style w:type="paragraph" w:customStyle="1" w:styleId="140">
    <w:name w:val="列出段落2"/>
    <w:basedOn w:val="1"/>
    <w:qFormat/>
    <w:uiPriority w:val="0"/>
    <w:pPr>
      <w:ind w:firstLine="420" w:firstLineChars="200"/>
    </w:pPr>
  </w:style>
  <w:style w:type="paragraph" w:customStyle="1" w:styleId="141">
    <w:name w:val="列出段落111"/>
    <w:basedOn w:val="1"/>
    <w:qFormat/>
    <w:uiPriority w:val="34"/>
    <w:pPr>
      <w:ind w:firstLine="420" w:firstLineChars="200"/>
    </w:pPr>
  </w:style>
  <w:style w:type="paragraph" w:customStyle="1" w:styleId="142">
    <w:name w:val="默认段落字体 Para Char Char Char Char"/>
    <w:basedOn w:val="1"/>
    <w:qFormat/>
    <w:uiPriority w:val="0"/>
    <w:rPr>
      <w:szCs w:val="24"/>
    </w:rPr>
  </w:style>
  <w:style w:type="paragraph" w:customStyle="1" w:styleId="143">
    <w:name w:val="_Style 2"/>
    <w:basedOn w:val="1"/>
    <w:qFormat/>
    <w:uiPriority w:val="99"/>
    <w:pPr>
      <w:ind w:left="720"/>
      <w:contextualSpacing/>
    </w:pPr>
  </w:style>
  <w:style w:type="paragraph" w:customStyle="1" w:styleId="144">
    <w:name w:val="_Style 3"/>
    <w:basedOn w:val="1"/>
    <w:qFormat/>
    <w:uiPriority w:val="99"/>
    <w:pPr>
      <w:ind w:firstLine="420" w:firstLineChars="200"/>
    </w:pPr>
  </w:style>
  <w:style w:type="paragraph" w:customStyle="1" w:styleId="145">
    <w:name w:val="样式 小四 段前: 5 磅 段后: 5 磅 首行缩进:  2 字符"/>
    <w:basedOn w:val="1"/>
    <w:qFormat/>
    <w:uiPriority w:val="0"/>
    <w:pPr>
      <w:spacing w:line="360" w:lineRule="auto"/>
    </w:pPr>
    <w:rPr>
      <w:rFonts w:ascii="宋体" w:hAnsi="宋体"/>
      <w:sz w:val="24"/>
      <w:szCs w:val="21"/>
    </w:rPr>
  </w:style>
  <w:style w:type="paragraph" w:customStyle="1" w:styleId="14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Amount"/>
    <w:basedOn w:val="1"/>
    <w:qFormat/>
    <w:uiPriority w:val="99"/>
    <w:pPr>
      <w:widowControl/>
      <w:jc w:val="right"/>
    </w:pPr>
    <w:rPr>
      <w:rFonts w:ascii="Microsoft Sans Serif" w:hAnsi="Microsoft Sans Serif" w:eastAsia="黑体"/>
      <w:kern w:val="0"/>
      <w:sz w:val="16"/>
      <w:szCs w:val="24"/>
      <w:lang w:eastAsia="en-US"/>
    </w:rPr>
  </w:style>
  <w:style w:type="paragraph" w:customStyle="1" w:styleId="148">
    <w:name w:val="_Style 7"/>
    <w:basedOn w:val="1"/>
    <w:qFormat/>
    <w:uiPriority w:val="99"/>
    <w:pPr>
      <w:ind w:firstLine="420" w:firstLineChars="200"/>
    </w:pPr>
    <w:rPr>
      <w:rFonts w:ascii="Calibri" w:hAnsi="Calibri"/>
      <w:kern w:val="0"/>
      <w:sz w:val="20"/>
    </w:rPr>
  </w:style>
  <w:style w:type="paragraph" w:customStyle="1" w:styleId="149">
    <w:name w:val="p16"/>
    <w:basedOn w:val="1"/>
    <w:qFormat/>
    <w:uiPriority w:val="99"/>
    <w:pPr>
      <w:widowControl/>
      <w:ind w:firstLine="420"/>
    </w:pPr>
    <w:rPr>
      <w:rFonts w:ascii="Calibri" w:hAnsi="Calibri" w:cs="宋体"/>
      <w:kern w:val="0"/>
      <w:szCs w:val="21"/>
    </w:rPr>
  </w:style>
  <w:style w:type="paragraph" w:customStyle="1" w:styleId="150">
    <w:name w:val="p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1">
    <w:name w:val="纯文本1"/>
    <w:basedOn w:val="1"/>
    <w:qFormat/>
    <w:uiPriority w:val="0"/>
    <w:rPr>
      <w:rFonts w:ascii="宋体" w:hAnsi="Courier New" w:cs="Courier New"/>
      <w:szCs w:val="21"/>
    </w:rPr>
  </w:style>
  <w:style w:type="character" w:customStyle="1" w:styleId="152">
    <w:name w:val="标题 Char"/>
    <w:basedOn w:val="34"/>
    <w:qFormat/>
    <w:uiPriority w:val="0"/>
    <w:rPr>
      <w:rFonts w:ascii="Arial" w:hAnsi="Arial" w:cs="Arial"/>
      <w:b/>
      <w:sz w:val="32"/>
    </w:rPr>
  </w:style>
  <w:style w:type="character" w:customStyle="1" w:styleId="153">
    <w:name w:val="标题 Char1"/>
    <w:basedOn w:val="34"/>
    <w:link w:val="4"/>
    <w:qFormat/>
    <w:uiPriority w:val="10"/>
    <w:rPr>
      <w:rFonts w:asciiTheme="majorHAnsi" w:hAnsiTheme="majorHAnsi" w:cstheme="majorBidi"/>
      <w:b/>
      <w:bCs/>
      <w:kern w:val="2"/>
      <w:sz w:val="32"/>
      <w:szCs w:val="32"/>
    </w:rPr>
  </w:style>
  <w:style w:type="character" w:customStyle="1" w:styleId="154">
    <w:name w:val="layui-layer-tabnow"/>
    <w:basedOn w:val="34"/>
    <w:qFormat/>
    <w:uiPriority w:val="0"/>
    <w:rPr>
      <w:bdr w:val="single" w:color="CCCCCC" w:sz="6" w:space="0"/>
      <w:shd w:val="clear" w:color="auto" w:fill="FFFFFF"/>
    </w:rPr>
  </w:style>
  <w:style w:type="character" w:customStyle="1" w:styleId="155">
    <w:name w:val="first-child"/>
    <w:basedOn w:val="34"/>
    <w:qFormat/>
    <w:uiPriority w:val="0"/>
  </w:style>
  <w:style w:type="paragraph" w:customStyle="1" w:styleId="156">
    <w:name w:val="列出段落3"/>
    <w:basedOn w:val="1"/>
    <w:qFormat/>
    <w:uiPriority w:val="34"/>
    <w:pPr>
      <w:ind w:firstLine="420" w:firstLineChars="200"/>
    </w:pPr>
  </w:style>
  <w:style w:type="paragraph" w:customStyle="1" w:styleId="157">
    <w:name w:val="10 f"/>
    <w:basedOn w:val="1"/>
    <w:qFormat/>
    <w:uiPriority w:val="0"/>
    <w:pPr>
      <w:tabs>
        <w:tab w:val="left" w:pos="2835"/>
        <w:tab w:val="left" w:pos="3119"/>
        <w:tab w:val="left" w:pos="3402"/>
        <w:tab w:val="left" w:pos="3686"/>
        <w:tab w:val="left" w:pos="3969"/>
        <w:tab w:val="left" w:pos="4253"/>
      </w:tabs>
    </w:pPr>
    <w:rPr>
      <w:b/>
    </w:rPr>
  </w:style>
  <w:style w:type="character" w:customStyle="1" w:styleId="158">
    <w:name w:val="s1"/>
    <w:qFormat/>
    <w:uiPriority w:val="99"/>
    <w:rPr>
      <w:sz w:val="20"/>
    </w:rPr>
  </w:style>
  <w:style w:type="paragraph" w:customStyle="1" w:styleId="159">
    <w:name w:val="列表段落1"/>
    <w:basedOn w:val="1"/>
    <w:qFormat/>
    <w:uiPriority w:val="34"/>
    <w:pPr>
      <w:ind w:firstLine="420" w:firstLineChars="200"/>
    </w:pPr>
  </w:style>
  <w:style w:type="character" w:customStyle="1" w:styleId="160">
    <w:name w:val="NormalCharacter"/>
    <w:semiHidden/>
    <w:qFormat/>
    <w:uiPriority w:val="0"/>
    <w:rPr>
      <w:rFonts w:ascii="Times New Roman" w:hAnsi="Times New Roman" w:eastAsia="宋体" w:cs="Times New Roman"/>
      <w:kern w:val="2"/>
      <w:sz w:val="21"/>
      <w:lang w:val="en-US" w:eastAsia="zh-CN" w:bidi="ar-SA"/>
    </w:rPr>
  </w:style>
  <w:style w:type="paragraph" w:customStyle="1" w:styleId="161">
    <w:name w:val="表格文字"/>
    <w:basedOn w:val="1"/>
    <w:qFormat/>
    <w:uiPriority w:val="0"/>
    <w:pPr>
      <w:spacing w:before="25" w:after="25"/>
      <w:jc w:val="left"/>
    </w:pPr>
    <w:rPr>
      <w:rFonts w:ascii="Calibri" w:hAnsi="Calibri"/>
      <w:bCs/>
      <w:spacing w:val="10"/>
      <w:kern w:val="0"/>
      <w:sz w:val="24"/>
      <w:szCs w:val="24"/>
    </w:rPr>
  </w:style>
  <w:style w:type="paragraph" w:customStyle="1" w:styleId="162">
    <w:name w:val="样式 标题 1 + 宋体 居中 段前: 17 磅 段后: 16.5 磅"/>
    <w:basedOn w:val="3"/>
    <w:qFormat/>
    <w:uiPriority w:val="0"/>
    <w:pPr>
      <w:widowControl/>
      <w:tabs>
        <w:tab w:val="left" w:pos="840"/>
      </w:tabs>
      <w:snapToGrid w:val="0"/>
      <w:spacing w:before="0" w:line="360" w:lineRule="auto"/>
      <w:ind w:left="840" w:hanging="420"/>
    </w:pPr>
    <w:rPr>
      <w:rFonts w:ascii="华文中宋" w:hAnsi="华文中宋" w:eastAsia="华文中宋" w:cs="宋体"/>
      <w:b w:val="0"/>
      <w:sz w:val="28"/>
    </w:rPr>
  </w:style>
  <w:style w:type="paragraph" w:customStyle="1" w:styleId="163">
    <w:name w:val="纯文本2"/>
    <w:qFormat/>
    <w:uiPriority w:val="0"/>
    <w:pPr>
      <w:widowControl w:val="0"/>
      <w:jc w:val="both"/>
    </w:pPr>
    <w:rPr>
      <w:rFonts w:ascii="宋体" w:hAnsi="Courier New" w:eastAsia="宋体" w:cs="Courier New"/>
      <w:kern w:val="2"/>
      <w:sz w:val="21"/>
      <w:szCs w:val="21"/>
      <w:lang w:val="en-US" w:eastAsia="zh-CN" w:bidi="ar-SA"/>
    </w:rPr>
  </w:style>
  <w:style w:type="paragraph" w:customStyle="1" w:styleId="164">
    <w:name w:val="标题 2_0"/>
    <w:basedOn w:val="12"/>
    <w:next w:val="12"/>
    <w:unhideWhenUsed/>
    <w:qFormat/>
    <w:uiPriority w:val="0"/>
    <w:pPr>
      <w:keepNext/>
      <w:keepLines/>
      <w:spacing w:before="260" w:after="260" w:line="416" w:lineRule="auto"/>
      <w:outlineLvl w:val="1"/>
    </w:pPr>
    <w:rPr>
      <w:rFonts w:ascii="Cambria" w:hAnsi="Cambria"/>
      <w:b/>
      <w:bCs/>
      <w:sz w:val="32"/>
      <w:szCs w:val="32"/>
    </w:rPr>
  </w:style>
  <w:style w:type="paragraph" w:customStyle="1" w:styleId="165">
    <w:name w:val="普通(网站)_0"/>
    <w:basedOn w:val="12"/>
    <w:qFormat/>
    <w:uiPriority w:val="0"/>
    <w:pPr>
      <w:widowControl/>
      <w:spacing w:beforeAutospacing="1" w:afterAutospacing="1"/>
      <w:jc w:val="left"/>
    </w:pPr>
    <w:rPr>
      <w:rFonts w:ascii="宋体" w:hAnsi="宋体"/>
      <w:kern w:val="0"/>
      <w:sz w:val="24"/>
    </w:rPr>
  </w:style>
  <w:style w:type="paragraph" w:customStyle="1" w:styleId="166">
    <w:name w:val="Normal_0_1_1"/>
    <w:qFormat/>
    <w:uiPriority w:val="0"/>
    <w:rPr>
      <w:rFonts w:ascii="Times New Roman" w:hAnsi="Times New Roman" w:eastAsia="Times New Roman" w:cs="Times New Roman"/>
      <w:sz w:val="24"/>
      <w:szCs w:val="24"/>
      <w:lang w:val="en-US" w:eastAsia="zh-CN" w:bidi="ar-SA"/>
    </w:rPr>
  </w:style>
  <w:style w:type="paragraph" w:customStyle="1" w:styleId="167">
    <w:name w:val="Normal_0_0_1"/>
    <w:qFormat/>
    <w:uiPriority w:val="0"/>
    <w:rPr>
      <w:rFonts w:ascii="Times New Roman" w:hAnsi="Times New Roman" w:eastAsia="Times New Roman" w:cs="Times New Roman"/>
      <w:sz w:val="24"/>
      <w:szCs w:val="24"/>
      <w:lang w:val="en-US" w:eastAsia="zh-CN" w:bidi="ar-SA"/>
    </w:rPr>
  </w:style>
  <w:style w:type="paragraph" w:customStyle="1" w:styleId="168">
    <w:name w:val="Normal_0_1"/>
    <w:qFormat/>
    <w:uiPriority w:val="0"/>
    <w:rPr>
      <w:rFonts w:ascii="Times New Roman" w:hAnsi="Times New Roman" w:eastAsia="Times New Roman" w:cs="Times New Roman"/>
      <w:sz w:val="24"/>
      <w:szCs w:val="24"/>
      <w:lang w:val="en-US" w:eastAsia="zh-CN" w:bidi="ar-SA"/>
    </w:rPr>
  </w:style>
  <w:style w:type="table" w:customStyle="1" w:styleId="169">
    <w:name w:val="网格型2"/>
    <w:basedOn w:val="3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Info spid="_x0000_s1042"/>
    <customShpInfo spid="_x0000_s1043"/>
    <customShpInfo spid="_x0000_s1044"/>
    <customShpInfo spid="_x0000_s1039"/>
    <customShpInfo spid="_x0000_s1040"/>
    <customShpInfo spid="_x0000_s104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95</Pages>
  <Words>8718</Words>
  <Characters>49697</Characters>
  <Lines>414</Lines>
  <Paragraphs>116</Paragraphs>
  <TotalTime>8</TotalTime>
  <ScaleCrop>false</ScaleCrop>
  <LinksUpToDate>false</LinksUpToDate>
  <CharactersWithSpaces>58299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2023-11-20T06:40:00Z</dcterms:created>
  <dc:creator>微软用户</dc:creator>
  <cp:lastModifiedBy>ndqfdx</cp:lastModifiedBy>
  <cp:lastPrinted>2022-06-17T07:08:00Z</cp:lastPrinted>
  <dcterms:modified xsi:type="dcterms:W3CDTF">2023-11-22T05:26:53Z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A938F9E0DF104987B9BD488CAF1396E8_13</vt:lpwstr>
  </property>
</Properties>
</file>