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ascii="黑体" w:hAnsi="宋体" w:eastAsia="黑体" w:cs="黑体"/>
          <w:b/>
          <w:bCs/>
          <w:caps w:val="0"/>
          <w:color w:val="000000"/>
          <w:sz w:val="32"/>
          <w:szCs w:val="32"/>
          <w:highlight w:val="none"/>
          <w:vertAlign w:val="baseline"/>
        </w:rPr>
      </w:pPr>
      <w:bookmarkStart w:id="0" w:name="_Toc247085669"/>
      <w:bookmarkStart w:id="1" w:name="_Toc246996898"/>
      <w:bookmarkStart w:id="2" w:name="_Toc296602400"/>
    </w:p>
    <w:p>
      <w:pPr>
        <w:pStyle w:val="2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p>
    <w:p>
      <w:pPr>
        <w:pStyle w:val="2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0" w:lineRule="atLeast"/>
        <w:ind w:left="0" w:right="0" w:firstLine="0"/>
        <w:jc w:val="center"/>
        <w:outlineLvl w:val="9"/>
        <w:rPr>
          <w:rFonts w:hint="eastAsia" w:ascii="黑体" w:hAnsi="宋体" w:eastAsia="黑体" w:cs="黑体"/>
          <w:b/>
          <w:bCs/>
          <w:caps w:val="0"/>
          <w:color w:val="000000"/>
          <w:sz w:val="32"/>
          <w:szCs w:val="32"/>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Times New Roman"/>
          <w:b/>
          <w:bCs/>
          <w:caps w:val="0"/>
          <w:snapToGrid/>
          <w:color w:val="000000"/>
          <w:spacing w:val="0"/>
          <w:w w:val="100"/>
          <w:kern w:val="2"/>
          <w:position w:val="0"/>
          <w:sz w:val="44"/>
          <w:szCs w:val="44"/>
          <w:highlight w:val="none"/>
          <w:u w:val="none" w:color="auto"/>
          <w:vertAlign w:val="baseline"/>
          <w:lang w:val="en-US" w:eastAsia="zh-CN" w:bidi="ar"/>
        </w:rPr>
      </w:pPr>
      <w:bookmarkStart w:id="3" w:name="_Hlk64874400"/>
      <w:bookmarkEnd w:id="3"/>
      <w:r>
        <w:rPr>
          <w:rFonts w:hint="eastAsia" w:ascii="宋体" w:hAnsi="宋体" w:eastAsia="宋体" w:cs="Times New Roman"/>
          <w:b/>
          <w:bCs/>
          <w:caps w:val="0"/>
          <w:snapToGrid/>
          <w:color w:val="000000"/>
          <w:spacing w:val="0"/>
          <w:w w:val="100"/>
          <w:kern w:val="2"/>
          <w:position w:val="0"/>
          <w:sz w:val="44"/>
          <w:szCs w:val="44"/>
          <w:highlight w:val="none"/>
          <w:u w:val="none" w:color="auto"/>
          <w:vertAlign w:val="baseline"/>
          <w:lang w:val="en-US" w:eastAsia="zh-CN" w:bidi="ar"/>
        </w:rPr>
        <w:t>长春市绿园区电子政务外网平台项目</w:t>
      </w:r>
    </w:p>
    <w:p>
      <w:pPr>
        <w:pStyle w:val="6"/>
        <w:rPr>
          <w:rFonts w:hint="default"/>
          <w:lang w:val="en-US"/>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黑体" w:hAnsi="宋体" w:eastAsia="黑体" w:cs="黑体"/>
          <w:b/>
          <w:bCs/>
          <w:caps w:val="0"/>
          <w:color w:val="000000"/>
          <w:sz w:val="28"/>
          <w:szCs w:val="28"/>
          <w:highlight w:val="none"/>
          <w:vertAlign w:val="baseline"/>
        </w:rPr>
      </w:pPr>
      <w:r>
        <w:rPr>
          <w:rFonts w:hint="default" w:ascii="Times New Roman" w:hAnsi="Times New Roman" w:eastAsia="宋体" w:cs="Times New Roman"/>
          <w:b w:val="0"/>
          <w:bCs w:val="0"/>
          <w:kern w:val="2"/>
          <w:sz w:val="21"/>
          <w:szCs w:val="24"/>
          <w:highlight w:val="none"/>
          <w:lang w:val="en-US" w:eastAsia="zh-CN" w:bidi="a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5398770" cy="153543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398770" cy="1535430"/>
                        </a:xfrm>
                        <a:prstGeom prst="rect">
                          <a:avLst/>
                        </a:prstGeom>
                        <a:noFill/>
                        <a:ln>
                          <a:noFill/>
                        </a:ln>
                      </wps:spPr>
                      <wps:txbx>
                        <w:txbxContent>
                          <w:p>
                            <w:pPr>
                              <w:pStyle w:val="2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240" w:lineRule="auto"/>
                              <w:ind w:left="0" w:right="0" w:firstLine="0"/>
                              <w:jc w:val="center"/>
                              <w:outlineLvl w:val="9"/>
                              <w:rPr>
                                <w:rFonts w:hint="default" w:ascii="??" w:hAnsi="??" w:eastAsia="宋体" w:cs="??"/>
                                <w:caps w:val="0"/>
                                <w:color w:val="auto"/>
                                <w:sz w:val="24"/>
                                <w:szCs w:val="24"/>
                                <w:vertAlign w:val="baseline"/>
                              </w:rPr>
                            </w:pPr>
                            <w:r>
                              <w:rPr>
                                <w:rFonts w:hint="eastAsia" w:ascii="华文行楷" w:hAnsi="华文行楷" w:eastAsia="华文行楷" w:cs="华文行楷"/>
                                <w:b/>
                                <w:bCs/>
                                <w:caps w:val="0"/>
                                <w:color w:val="000000"/>
                                <w:spacing w:val="360"/>
                                <w:kern w:val="2"/>
                                <w:sz w:val="72"/>
                                <w:szCs w:val="72"/>
                                <w:vertAlign w:val="baseline"/>
                                <w:lang w:val="en-US" w:eastAsia="zh-CN" w:bidi="ar"/>
                              </w:rPr>
                              <w:t xml:space="preserve"> </w:t>
                            </w:r>
                            <w:r>
                              <w:rPr>
                                <w:rFonts w:hint="default" w:ascii="华文行楷" w:hAnsi="华文行楷" w:eastAsia="华文行楷" w:cs="华文行楷"/>
                                <w:b/>
                                <w:bCs/>
                                <w:caps w:val="0"/>
                                <w:color w:val="000000"/>
                                <w:spacing w:val="360"/>
                                <w:kern w:val="2"/>
                                <w:sz w:val="72"/>
                                <w:szCs w:val="72"/>
                                <w:vertAlign w:val="baseline"/>
                                <w:lang w:val="en-US" w:eastAsia="zh-CN" w:bidi="ar"/>
                              </w:rPr>
                              <w:t>招标文件</w:t>
                            </w:r>
                          </w:p>
                        </w:txbxContent>
                      </wps:txbx>
                      <wps:bodyPr vert="horz" wrap="square" lIns="91440" tIns="45720" rIns="91440" bIns="45720" anchor="t" anchorCtr="0" upright="0"/>
                    </wps:wsp>
                  </a:graphicData>
                </a:graphic>
              </wp:anchor>
            </w:drawing>
          </mc:Choice>
          <mc:Fallback>
            <w:pict>
              <v:shape id="文本框 2" o:spid="_x0000_s1026" o:spt="202" type="#_x0000_t202" style="position:absolute;left:0pt;margin-top:0.65pt;height:120.9pt;width:425.1pt;mso-position-horizontal:right;mso-position-horizontal-relative:margin;z-index:251659264;mso-width-relative:page;mso-height-relative:page;" filled="f" stroked="f" coordsize="21600,21600" o:gfxdata="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JzRQ1AAAAAYBAAAP&#10;AAAAAAAAAAEAIAAAACIAAABkcnMvZG93bnJldi54bWxQSwECFAAUAAAACACHTuJAAtpZ+uMBAAC2&#10;AwAADgAAAAAAAAABACAAAAAjAQAAZHJzL2Uyb0RvYy54bWxQSwUGAAAAAAYABgBZAQAAeAUAAAAA&#10;">
                <v:fill on="f" focussize="0,0"/>
                <v:stroke on="f"/>
                <v:imagedata o:title=""/>
                <o:lock v:ext="edit" aspectratio="f"/>
                <v:textbox>
                  <w:txbxContent>
                    <w:p>
                      <w:pPr>
                        <w:pStyle w:val="21"/>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1" w:after="0" w:afterAutospacing="1" w:line="240" w:lineRule="auto"/>
                        <w:ind w:left="0" w:right="0" w:firstLine="0"/>
                        <w:jc w:val="center"/>
                        <w:outlineLvl w:val="9"/>
                        <w:rPr>
                          <w:rFonts w:hint="default" w:ascii="??" w:hAnsi="??" w:eastAsia="宋体" w:cs="??"/>
                          <w:caps w:val="0"/>
                          <w:color w:val="auto"/>
                          <w:sz w:val="24"/>
                          <w:szCs w:val="24"/>
                          <w:vertAlign w:val="baseline"/>
                        </w:rPr>
                      </w:pPr>
                      <w:r>
                        <w:rPr>
                          <w:rFonts w:hint="eastAsia" w:ascii="华文行楷" w:hAnsi="华文行楷" w:eastAsia="华文行楷" w:cs="华文行楷"/>
                          <w:b/>
                          <w:bCs/>
                          <w:caps w:val="0"/>
                          <w:color w:val="000000"/>
                          <w:spacing w:val="360"/>
                          <w:kern w:val="2"/>
                          <w:sz w:val="72"/>
                          <w:szCs w:val="72"/>
                          <w:vertAlign w:val="baseline"/>
                          <w:lang w:val="en-US" w:eastAsia="zh-CN" w:bidi="ar"/>
                        </w:rPr>
                        <w:t xml:space="preserve"> </w:t>
                      </w:r>
                      <w:r>
                        <w:rPr>
                          <w:rFonts w:hint="default" w:ascii="华文行楷" w:hAnsi="华文行楷" w:eastAsia="华文行楷" w:cs="华文行楷"/>
                          <w:b/>
                          <w:bCs/>
                          <w:caps w:val="0"/>
                          <w:color w:val="000000"/>
                          <w:spacing w:val="360"/>
                          <w:kern w:val="2"/>
                          <w:sz w:val="72"/>
                          <w:szCs w:val="72"/>
                          <w:vertAlign w:val="baseline"/>
                          <w:lang w:val="en-US" w:eastAsia="zh-CN" w:bidi="ar"/>
                        </w:rPr>
                        <w:t>招标文件</w:t>
                      </w:r>
                    </w:p>
                  </w:txbxContent>
                </v:textbox>
              </v:shape>
            </w:pict>
          </mc:Fallback>
        </mc:AlternateConten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宋体" w:eastAsia="黑体" w:cs="黑体"/>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宋体" w:hAnsi="宋体" w:eastAsia="宋体" w:cs="宋体"/>
          <w:b/>
          <w:bCs/>
          <w:caps w:val="0"/>
          <w:color w:val="000000"/>
          <w:sz w:val="32"/>
          <w:szCs w:val="32"/>
          <w:highlight w:val="none"/>
          <w:vertAlign w:val="baseline"/>
          <w:lang w:val="en-US"/>
        </w:rPr>
      </w:pPr>
      <w:r>
        <w:rPr>
          <w:rFonts w:hint="eastAsia" w:ascii="宋体" w:hAnsi="宋体" w:eastAsia="宋体" w:cs="宋体"/>
          <w:b/>
          <w:bCs/>
          <w:caps w:val="0"/>
          <w:color w:val="000000"/>
          <w:kern w:val="2"/>
          <w:sz w:val="32"/>
          <w:szCs w:val="32"/>
          <w:highlight w:val="none"/>
          <w:vertAlign w:val="baseline"/>
          <w:lang w:val="en-US" w:eastAsia="zh-CN" w:bidi="ar"/>
        </w:rPr>
        <w:t>项目编号：</w:t>
      </w:r>
      <w:bookmarkStart w:id="4" w:name="_Hlk64874388"/>
      <w:bookmarkEnd w:id="4"/>
      <w:r>
        <w:rPr>
          <w:rFonts w:hint="eastAsia" w:ascii="宋体" w:hAnsi="宋体" w:eastAsia="宋体" w:cs="宋体"/>
          <w:b/>
          <w:bCs/>
          <w:caps w:val="0"/>
          <w:color w:val="000000"/>
          <w:kern w:val="2"/>
          <w:sz w:val="32"/>
          <w:szCs w:val="32"/>
          <w:highlight w:val="none"/>
          <w:vertAlign w:val="baseline"/>
          <w:lang w:val="en-US" w:eastAsia="zh-CN" w:bidi="ar"/>
        </w:rPr>
        <w:t>LY202309-100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000000"/>
          <w:sz w:val="18"/>
          <w:szCs w:val="1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0" w:right="0" w:firstLine="0"/>
        <w:jc w:val="center"/>
        <w:outlineLvl w:val="9"/>
        <w:rPr>
          <w:rFonts w:hint="eastAsia" w:ascii="宋体" w:hAnsi="宋体" w:eastAsia="宋体" w:cs="宋体"/>
          <w:caps w:val="0"/>
          <w:color w:val="000000"/>
          <w:sz w:val="18"/>
          <w:szCs w:val="1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0" w:right="0" w:firstLine="0"/>
        <w:jc w:val="center"/>
        <w:outlineLvl w:val="9"/>
        <w:rPr>
          <w:rFonts w:hint="eastAsia" w:ascii="宋体" w:hAnsi="宋体" w:eastAsia="宋体" w:cs="宋体"/>
          <w:caps w:val="0"/>
          <w:color w:val="000000"/>
          <w:sz w:val="18"/>
          <w:szCs w:val="1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0" w:right="0" w:firstLine="562" w:firstLineChars="200"/>
        <w:jc w:val="both"/>
        <w:outlineLvl w:val="9"/>
        <w:rPr>
          <w:rFonts w:hint="eastAsia" w:ascii="宋体" w:hAnsi="宋体" w:eastAsia="宋体" w:cs="宋体"/>
          <w:b/>
          <w:bCs/>
          <w:caps w:val="0"/>
          <w:color w:val="000000"/>
          <w:sz w:val="28"/>
          <w:szCs w:val="28"/>
          <w:highlight w:val="none"/>
          <w:u w:val="single"/>
          <w:vertAlign w:val="baseline"/>
        </w:rPr>
      </w:pPr>
      <w:r>
        <w:rPr>
          <w:rFonts w:hint="eastAsia" w:ascii="宋体" w:hAnsi="宋体" w:eastAsia="宋体" w:cs="宋体"/>
          <w:b/>
          <w:bCs/>
          <w:caps w:val="0"/>
          <w:color w:val="000000"/>
          <w:kern w:val="2"/>
          <w:sz w:val="28"/>
          <w:szCs w:val="28"/>
          <w:highlight w:val="none"/>
          <w:vertAlign w:val="baseline"/>
          <w:lang w:val="en-US" w:eastAsia="zh-CN" w:bidi="ar"/>
        </w:rPr>
        <w:t>采   购   人：</w:t>
      </w:r>
      <w:r>
        <w:rPr>
          <w:rFonts w:hint="eastAsia" w:ascii="宋体" w:hAnsi="宋体" w:eastAsia="宋体" w:cs="宋体"/>
          <w:b/>
          <w:bCs/>
          <w:caps w:val="0"/>
          <w:color w:val="000000"/>
          <w:kern w:val="2"/>
          <w:sz w:val="28"/>
          <w:szCs w:val="28"/>
          <w:highlight w:val="none"/>
          <w:u w:val="single"/>
          <w:vertAlign w:val="baseline"/>
          <w:lang w:val="en-US" w:eastAsia="zh-CN" w:bidi="ar"/>
        </w:rPr>
        <w:t xml:space="preserve"> </w:t>
      </w:r>
      <w:r>
        <w:rPr>
          <w:rFonts w:hint="eastAsia" w:ascii="宋体" w:hAnsi="宋体" w:eastAsia="宋体" w:cs="Times New Roman"/>
          <w:b/>
          <w:bCs/>
          <w:caps w:val="0"/>
          <w:snapToGrid/>
          <w:color w:val="000000"/>
          <w:spacing w:val="0"/>
          <w:w w:val="100"/>
          <w:kern w:val="2"/>
          <w:position w:val="0"/>
          <w:sz w:val="28"/>
          <w:szCs w:val="28"/>
          <w:highlight w:val="none"/>
          <w:u w:val="single" w:color="auto"/>
          <w:vertAlign w:val="baseline"/>
          <w:lang w:val="en-US" w:eastAsia="zh-CN" w:bidi="ar"/>
        </w:rPr>
        <w:t>长春市绿园区公共信息管理服务中心</w:t>
      </w:r>
      <w:r>
        <w:rPr>
          <w:rFonts w:hint="eastAsia" w:ascii="宋体" w:hAnsi="宋体" w:eastAsia="宋体" w:cs="宋体"/>
          <w:b/>
          <w:bCs/>
          <w:caps w:val="0"/>
          <w:color w:val="000000"/>
          <w:kern w:val="2"/>
          <w:sz w:val="28"/>
          <w:szCs w:val="28"/>
          <w:highlight w:val="none"/>
          <w:u w:val="single"/>
          <w:vertAlign w:val="baseline"/>
          <w:lang w:val="en-US" w:eastAsia="zh-CN" w:bidi="ar"/>
        </w:rPr>
        <w:t>（盖章）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0" w:right="0" w:firstLine="562" w:firstLineChars="200"/>
        <w:jc w:val="both"/>
        <w:outlineLvl w:val="9"/>
        <w:rPr>
          <w:rFonts w:hint="eastAsia" w:ascii="宋体" w:hAnsi="宋体" w:eastAsia="宋体" w:cs="宋体"/>
          <w:b/>
          <w:bCs/>
          <w:caps w:val="0"/>
          <w:color w:val="000000"/>
          <w:sz w:val="28"/>
          <w:szCs w:val="28"/>
          <w:highlight w:val="none"/>
          <w:u w:val="single"/>
          <w:vertAlign w:val="baseline"/>
        </w:rPr>
      </w:pPr>
      <w:r>
        <w:rPr>
          <w:rFonts w:hint="eastAsia" w:ascii="宋体" w:hAnsi="宋体" w:eastAsia="宋体" w:cs="宋体"/>
          <w:b/>
          <w:bCs/>
          <w:caps w:val="0"/>
          <w:color w:val="000000"/>
          <w:kern w:val="2"/>
          <w:sz w:val="28"/>
          <w:szCs w:val="28"/>
          <w:highlight w:val="none"/>
          <w:vertAlign w:val="baseline"/>
          <w:lang w:val="en-US" w:eastAsia="zh-CN" w:bidi="ar"/>
        </w:rPr>
        <w:t>采购代理机构：</w:t>
      </w:r>
      <w:r>
        <w:rPr>
          <w:rFonts w:hint="eastAsia" w:ascii="宋体" w:hAnsi="宋体" w:eastAsia="宋体" w:cs="宋体"/>
          <w:b/>
          <w:bCs/>
          <w:caps w:val="0"/>
          <w:color w:val="000000"/>
          <w:kern w:val="2"/>
          <w:sz w:val="28"/>
          <w:szCs w:val="28"/>
          <w:highlight w:val="none"/>
          <w:u w:val="single"/>
          <w:vertAlign w:val="baseline"/>
          <w:lang w:val="en-US" w:eastAsia="zh-CN" w:bidi="ar"/>
        </w:rPr>
        <w:t xml:space="preserve"> </w:t>
      </w:r>
      <w:r>
        <w:rPr>
          <w:rFonts w:hint="eastAsia" w:ascii="宋体" w:hAnsi="宋体" w:eastAsia="宋体" w:cs="Times New Roman"/>
          <w:b/>
          <w:bCs/>
          <w:caps w:val="0"/>
          <w:snapToGrid/>
          <w:color w:val="000000"/>
          <w:spacing w:val="0"/>
          <w:w w:val="100"/>
          <w:kern w:val="2"/>
          <w:position w:val="0"/>
          <w:sz w:val="28"/>
          <w:szCs w:val="28"/>
          <w:highlight w:val="none"/>
          <w:u w:val="single" w:color="auto"/>
          <w:vertAlign w:val="baseline"/>
          <w:lang w:val="en-US" w:eastAsia="zh-CN" w:bidi="ar"/>
        </w:rPr>
        <w:t>吉林省万图工程咨询有限公司</w:t>
      </w:r>
      <w:r>
        <w:rPr>
          <w:rFonts w:hint="eastAsia" w:ascii="宋体" w:hAnsi="宋体" w:eastAsia="宋体" w:cs="宋体"/>
          <w:b/>
          <w:bCs/>
          <w:caps w:val="0"/>
          <w:color w:val="000000"/>
          <w:kern w:val="2"/>
          <w:sz w:val="28"/>
          <w:szCs w:val="28"/>
          <w:highlight w:val="none"/>
          <w:u w:val="single"/>
          <w:vertAlign w:val="baseline"/>
          <w:lang w:val="en-US" w:eastAsia="zh-CN" w:bidi="ar"/>
        </w:rPr>
        <w:t>（盖章）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0" w:right="0" w:firstLine="0"/>
        <w:jc w:val="center"/>
        <w:outlineLvl w:val="9"/>
        <w:rPr>
          <w:rFonts w:hint="eastAsia" w:ascii="黑体" w:hAnsi="宋体" w:eastAsia="黑体" w:cs="黑体"/>
          <w:b/>
          <w:bCs/>
          <w:caps w:val="0"/>
          <w:color w:val="000000"/>
          <w:sz w:val="32"/>
          <w:szCs w:val="32"/>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3" w:firstLineChars="200"/>
        <w:jc w:val="left"/>
        <w:outlineLvl w:val="9"/>
        <w:rPr>
          <w:rFonts w:hint="eastAsia" w:ascii="黑体" w:hAnsi="宋体" w:eastAsia="黑体" w:cs="黑体"/>
          <w:b/>
          <w:bCs/>
          <w:caps w:val="0"/>
          <w:color w:val="000000"/>
          <w:sz w:val="32"/>
          <w:szCs w:val="32"/>
          <w:highlight w:val="none"/>
          <w:vertAlign w:val="baseline"/>
        </w:rPr>
      </w:pPr>
      <w:r>
        <w:rPr>
          <w:rFonts w:hint="eastAsia" w:ascii="黑体" w:hAnsi="宋体" w:eastAsia="黑体" w:cs="黑体"/>
          <w:b/>
          <w:bCs/>
          <w:caps w:val="0"/>
          <w:color w:val="000000"/>
          <w:kern w:val="2"/>
          <w:sz w:val="32"/>
          <w:szCs w:val="32"/>
          <w:highlight w:val="none"/>
          <w:vertAlign w:val="baseline"/>
          <w:lang w:val="en-US" w:eastAsia="zh-CN" w:bidi="ar"/>
        </w:rPr>
        <w:t xml:space="preserve">日     期： </w:t>
      </w:r>
      <w:r>
        <w:rPr>
          <w:rFonts w:hint="eastAsia" w:ascii="黑体" w:hAnsi="宋体" w:eastAsia="黑体" w:cs="Times New Roman"/>
          <w:b/>
          <w:bCs/>
          <w:caps w:val="0"/>
          <w:snapToGrid/>
          <w:color w:val="000000"/>
          <w:spacing w:val="0"/>
          <w:w w:val="100"/>
          <w:kern w:val="2"/>
          <w:position w:val="0"/>
          <w:sz w:val="32"/>
          <w:szCs w:val="24"/>
          <w:highlight w:val="none"/>
          <w:u w:val="none" w:color="auto"/>
          <w:vertAlign w:val="baseline"/>
          <w:lang w:val="en-US" w:eastAsia="zh-CN" w:bidi="ar"/>
        </w:rPr>
        <w:t>2023年9月</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521" w:rightChars="248" w:firstLine="0"/>
        <w:jc w:val="center"/>
        <w:outlineLvl w:val="9"/>
        <w:rPr>
          <w:rFonts w:hint="default" w:ascii="Times New Roman" w:hAnsi="Times New Roman" w:eastAsia="华文中宋" w:cs="Times New Roman"/>
          <w:b/>
          <w:bCs/>
          <w:caps w:val="0"/>
          <w:color w:val="000000"/>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bCs/>
          <w:caps w:val="0"/>
          <w:color w:val="000000"/>
          <w:sz w:val="32"/>
          <w:szCs w:val="32"/>
          <w:highlight w:val="none"/>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312" w:lineRule="auto"/>
        <w:ind w:left="0" w:right="0" w:firstLine="420"/>
        <w:jc w:val="both"/>
        <w:outlineLvl w:val="9"/>
        <w:rPr>
          <w:rFonts w:hint="default" w:ascii="Times New Roman" w:hAnsi="Times New Roman" w:eastAsia="宋体" w:cs="Times New Roman"/>
          <w:caps w:val="0"/>
          <w:color w:val="auto"/>
          <w:sz w:val="21"/>
          <w:szCs w:val="21"/>
          <w:highlight w:val="none"/>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120" w:afterAutospacing="0" w:line="312" w:lineRule="auto"/>
        <w:ind w:left="0" w:right="0" w:firstLine="420"/>
        <w:jc w:val="both"/>
        <w:outlineLvl w:val="9"/>
        <w:rPr>
          <w:rFonts w:hint="default" w:ascii="Times New Roman" w:hAnsi="Times New Roman" w:eastAsia="宋体" w:cs="Times New Roman"/>
          <w:caps w:val="0"/>
          <w:color w:val="auto"/>
          <w:sz w:val="21"/>
          <w:szCs w:val="21"/>
          <w:highlight w:val="none"/>
          <w:vertAlign w:val="baseline"/>
        </w:rPr>
      </w:pPr>
    </w:p>
    <w:p>
      <w:pPr>
        <w:keepNext w:val="0"/>
        <w:keepLines w:val="0"/>
        <w:pageBreakBefore w:val="0"/>
        <w:widowControl w:val="0"/>
        <w:suppressLineNumbers w:val="0"/>
        <w:tabs>
          <w:tab w:val="left" w:pos="9379"/>
        </w:tabs>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caps w:val="0"/>
          <w:color w:val="000000"/>
          <w:sz w:val="36"/>
          <w:szCs w:val="36"/>
          <w:highlight w:val="none"/>
          <w:vertAlign w:val="baseline"/>
        </w:rPr>
      </w:pPr>
      <w:bookmarkStart w:id="5" w:name="_Toc98580389"/>
      <w:r>
        <w:rPr>
          <w:rFonts w:hint="eastAsia" w:ascii="宋体" w:hAnsi="宋体" w:eastAsia="宋体" w:cs="宋体"/>
          <w:b/>
          <w:bCs/>
          <w:caps w:val="0"/>
          <w:color w:val="000000"/>
          <w:kern w:val="2"/>
          <w:sz w:val="36"/>
          <w:szCs w:val="36"/>
          <w:highlight w:val="none"/>
          <w:vertAlign w:val="baseline"/>
          <w:lang w:val="en-US" w:eastAsia="zh-CN" w:bidi="ar"/>
        </w:rPr>
        <w:t>目　　录</w:t>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240" w:lineRule="auto"/>
        <w:ind w:left="0" w:right="0" w:firstLine="0"/>
        <w:jc w:val="both"/>
        <w:outlineLvl w:val="9"/>
        <w:rPr>
          <w:rFonts w:hint="default" w:ascii="Times New Roman" w:hAnsi="Times New Roman" w:eastAsia="宋体" w:cs="Times New Roman"/>
          <w:b/>
          <w:bCs/>
          <w:caps/>
          <w:color w:val="auto"/>
          <w:sz w:val="20"/>
          <w:szCs w:val="20"/>
          <w:highlight w:val="none"/>
          <w:u w:val="none"/>
          <w:vertAlign w:val="baseline"/>
          <w:lang w:val="en-US" w:eastAsia="zh-CN"/>
        </w:rPr>
      </w:pPr>
      <w:r>
        <w:rPr>
          <w:rFonts w:hint="eastAsia" w:ascii="宋体" w:hAnsi="宋体" w:eastAsia="宋体" w:cs="宋体"/>
          <w:b w:val="0"/>
          <w:bCs w:val="0"/>
          <w:caps/>
          <w:color w:val="000000"/>
          <w:sz w:val="32"/>
          <w:szCs w:val="32"/>
          <w:highlight w:val="none"/>
          <w:u w:val="none"/>
          <w:vertAlign w:val="baseline"/>
        </w:rPr>
        <w:fldChar w:fldCharType="begin"/>
      </w:r>
      <w:r>
        <w:rPr>
          <w:rFonts w:hint="eastAsia" w:ascii="宋体" w:hAnsi="宋体" w:eastAsia="宋体" w:cs="宋体"/>
          <w:b w:val="0"/>
          <w:bCs w:val="0"/>
          <w:caps/>
          <w:color w:val="000000"/>
          <w:sz w:val="32"/>
          <w:szCs w:val="32"/>
          <w:highlight w:val="none"/>
          <w:u w:val="none"/>
          <w:vertAlign w:val="baseline"/>
        </w:rPr>
        <w:instrText xml:space="preserve">TOC \o "1-1" \h \z \u </w:instrText>
      </w:r>
      <w:r>
        <w:rPr>
          <w:rFonts w:hint="eastAsia" w:ascii="宋体" w:hAnsi="宋体" w:eastAsia="宋体" w:cs="宋体"/>
          <w:b w:val="0"/>
          <w:bCs w:val="0"/>
          <w:caps/>
          <w:color w:val="000000"/>
          <w:sz w:val="32"/>
          <w:szCs w:val="32"/>
          <w:highlight w:val="none"/>
          <w:u w:val="none"/>
          <w:vertAlign w:val="baseline"/>
        </w:rPr>
        <w:fldChar w:fldCharType="separate"/>
      </w:r>
      <w:r>
        <w:rPr>
          <w:snapToGrid/>
          <w:highlight w:val="none"/>
        </w:rPr>
        <w:fldChar w:fldCharType="begin"/>
      </w:r>
      <w:r>
        <w:rPr>
          <w:snapToGrid/>
          <w:highlight w:val="none"/>
        </w:rPr>
        <w:instrText xml:space="preserve"> HYPERLINK "" \l "_Toc51884120" </w:instrText>
      </w:r>
      <w:r>
        <w:rPr>
          <w:snapToGrid/>
          <w:highlight w:val="none"/>
        </w:rPr>
        <w:fldChar w:fldCharType="separate"/>
      </w:r>
      <w:r>
        <w:rPr>
          <w:rStyle w:val="34"/>
          <w:rFonts w:hint="eastAsia" w:ascii="Times New Roman" w:hAnsi="宋体" w:eastAsia="宋体" w:cs="宋体"/>
          <w:b/>
          <w:bCs/>
          <w:caps/>
          <w:color w:val="auto"/>
          <w:sz w:val="20"/>
          <w:szCs w:val="20"/>
          <w:highlight w:val="none"/>
          <w:u w:val="none"/>
          <w:vertAlign w:val="baseline"/>
        </w:rPr>
        <w:t>第一部分</w:t>
      </w:r>
      <w:r>
        <w:rPr>
          <w:rStyle w:val="34"/>
          <w:rFonts w:hint="default" w:ascii="Times New Roman" w:hAnsi="Times New Roman" w:eastAsia="宋体" w:cs="Times New Roman"/>
          <w:b/>
          <w:bCs/>
          <w:caps/>
          <w:color w:val="auto"/>
          <w:sz w:val="20"/>
          <w:szCs w:val="20"/>
          <w:highlight w:val="none"/>
          <w:u w:val="none"/>
          <w:vertAlign w:val="baseline"/>
        </w:rPr>
        <w:t xml:space="preserve">  </w:t>
      </w:r>
      <w:r>
        <w:rPr>
          <w:rStyle w:val="34"/>
          <w:rFonts w:hint="eastAsia" w:ascii="Times New Roman" w:hAnsi="宋体" w:eastAsia="宋体" w:cs="宋体"/>
          <w:b/>
          <w:bCs/>
          <w:caps/>
          <w:color w:val="auto"/>
          <w:sz w:val="20"/>
          <w:szCs w:val="20"/>
          <w:highlight w:val="none"/>
          <w:u w:val="none"/>
          <w:vertAlign w:val="baseline"/>
        </w:rPr>
        <w:t>招标公告</w:t>
      </w:r>
      <w:r>
        <w:rPr>
          <w:snapToGrid/>
          <w:highlight w:val="none"/>
        </w:rPr>
        <w:fldChar w:fldCharType="end"/>
      </w:r>
      <w:r>
        <w:rPr>
          <w:rFonts w:hint="eastAsia"/>
          <w:snapToGrid/>
          <w:highlight w:val="none"/>
          <w:lang w:eastAsia="zh-CN"/>
        </w:rPr>
        <w:t>…………………………………………………………………………………</w:t>
      </w:r>
      <w:r>
        <w:rPr>
          <w:rFonts w:hint="eastAsia"/>
          <w:snapToGrid/>
          <w:highlight w:val="none"/>
          <w:lang w:val="en-US" w:eastAsia="zh-CN"/>
        </w:rPr>
        <w:t>2</w:t>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240" w:lineRule="auto"/>
        <w:ind w:left="0" w:right="0" w:firstLine="0"/>
        <w:jc w:val="both"/>
        <w:outlineLvl w:val="9"/>
        <w:rPr>
          <w:rFonts w:hint="default" w:ascii="Times New Roman" w:hAnsi="Times New Roman" w:eastAsia="宋体" w:cs="Times New Roman"/>
          <w:b/>
          <w:bCs/>
          <w:caps/>
          <w:color w:val="auto"/>
          <w:sz w:val="20"/>
          <w:szCs w:val="20"/>
          <w:highlight w:val="none"/>
          <w:u w:val="none"/>
          <w:vertAlign w:val="baseline"/>
        </w:rPr>
      </w:pPr>
      <w:r>
        <w:rPr>
          <w:snapToGrid/>
          <w:highlight w:val="none"/>
        </w:rPr>
        <w:fldChar w:fldCharType="begin"/>
      </w:r>
      <w:r>
        <w:rPr>
          <w:snapToGrid/>
          <w:highlight w:val="none"/>
        </w:rPr>
        <w:instrText xml:space="preserve"> HYPERLINK "" \l "_Toc51884121" </w:instrText>
      </w:r>
      <w:r>
        <w:rPr>
          <w:snapToGrid/>
          <w:highlight w:val="none"/>
        </w:rPr>
        <w:fldChar w:fldCharType="separate"/>
      </w:r>
      <w:r>
        <w:rPr>
          <w:rStyle w:val="34"/>
          <w:rFonts w:hint="eastAsia" w:ascii="Times New Roman" w:hAnsi="宋体" w:eastAsia="宋体" w:cs="宋体"/>
          <w:b/>
          <w:bCs/>
          <w:caps/>
          <w:color w:val="auto"/>
          <w:sz w:val="20"/>
          <w:szCs w:val="20"/>
          <w:highlight w:val="none"/>
          <w:u w:val="none"/>
          <w:vertAlign w:val="baseline"/>
        </w:rPr>
        <w:t>第二部分</w:t>
      </w:r>
      <w:r>
        <w:rPr>
          <w:rStyle w:val="34"/>
          <w:rFonts w:hint="default" w:ascii="Times New Roman" w:hAnsi="Times New Roman" w:eastAsia="宋体" w:cs="Times New Roman"/>
          <w:b/>
          <w:bCs/>
          <w:caps/>
          <w:color w:val="auto"/>
          <w:sz w:val="20"/>
          <w:szCs w:val="20"/>
          <w:highlight w:val="none"/>
          <w:u w:val="none"/>
          <w:vertAlign w:val="baseline"/>
        </w:rPr>
        <w:t xml:space="preserve">  </w:t>
      </w:r>
      <w:r>
        <w:rPr>
          <w:rStyle w:val="34"/>
          <w:rFonts w:hint="eastAsia" w:ascii="Times New Roman" w:hAnsi="宋体" w:eastAsia="宋体" w:cs="宋体"/>
          <w:b/>
          <w:bCs/>
          <w:caps/>
          <w:color w:val="auto"/>
          <w:sz w:val="20"/>
          <w:szCs w:val="20"/>
          <w:highlight w:val="none"/>
          <w:u w:val="none"/>
          <w:vertAlign w:val="baseline"/>
        </w:rPr>
        <w:t>供应商须知</w:t>
      </w:r>
      <w:r>
        <w:rPr>
          <w:rFonts w:hint="eastAsia"/>
          <w:snapToGrid/>
          <w:highlight w:val="none"/>
          <w:lang w:eastAsia="zh-CN"/>
        </w:rPr>
        <w:t>………………………………………………………………………………</w:t>
      </w:r>
      <w:r>
        <w:rPr>
          <w:rStyle w:val="34"/>
          <w:rFonts w:hint="eastAsia" w:cs="Times New Roman"/>
          <w:b/>
          <w:bCs/>
          <w:caps/>
          <w:vanish w:val="0"/>
          <w:color w:val="auto"/>
          <w:sz w:val="20"/>
          <w:szCs w:val="20"/>
          <w:highlight w:val="none"/>
          <w:u w:val="none"/>
          <w:vertAlign w:val="baseline"/>
          <w:lang w:val="en-US" w:eastAsia="zh-CN"/>
        </w:rPr>
        <w:t>7</w:t>
      </w:r>
      <w:r>
        <w:rPr>
          <w:snapToGrid/>
          <w:highlight w:val="none"/>
        </w:rPr>
        <w:fldChar w:fldCharType="end"/>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240" w:lineRule="auto"/>
        <w:ind w:left="0" w:right="0" w:firstLine="0"/>
        <w:jc w:val="both"/>
        <w:outlineLvl w:val="9"/>
        <w:rPr>
          <w:rFonts w:hint="eastAsia" w:ascii="Times New Roman" w:hAnsi="Times New Roman" w:eastAsia="宋体" w:cs="Times New Roman"/>
          <w:b/>
          <w:bCs/>
          <w:caps/>
          <w:color w:val="auto"/>
          <w:sz w:val="20"/>
          <w:szCs w:val="20"/>
          <w:highlight w:val="none"/>
          <w:u w:val="none"/>
          <w:vertAlign w:val="baseline"/>
          <w:lang w:val="en-US" w:eastAsia="zh-CN"/>
        </w:rPr>
      </w:pPr>
      <w:r>
        <w:rPr>
          <w:snapToGrid/>
          <w:highlight w:val="none"/>
        </w:rPr>
        <w:fldChar w:fldCharType="begin"/>
      </w:r>
      <w:r>
        <w:rPr>
          <w:snapToGrid/>
          <w:highlight w:val="none"/>
        </w:rPr>
        <w:instrText xml:space="preserve"> HYPERLINK "" \l "_Toc51884122" </w:instrText>
      </w:r>
      <w:r>
        <w:rPr>
          <w:snapToGrid/>
          <w:highlight w:val="none"/>
        </w:rPr>
        <w:fldChar w:fldCharType="separate"/>
      </w:r>
      <w:r>
        <w:rPr>
          <w:rStyle w:val="34"/>
          <w:rFonts w:hint="eastAsia" w:ascii="Times New Roman" w:hAnsi="宋体" w:eastAsia="宋体" w:cs="宋体"/>
          <w:b/>
          <w:bCs/>
          <w:caps/>
          <w:color w:val="auto"/>
          <w:sz w:val="20"/>
          <w:szCs w:val="20"/>
          <w:highlight w:val="none"/>
          <w:u w:val="none"/>
          <w:vertAlign w:val="baseline"/>
        </w:rPr>
        <w:t>第三部分</w:t>
      </w:r>
      <w:r>
        <w:rPr>
          <w:rStyle w:val="34"/>
          <w:rFonts w:hint="default" w:ascii="Times New Roman" w:hAnsi="Times New Roman" w:eastAsia="宋体" w:cs="Times New Roman"/>
          <w:b/>
          <w:bCs/>
          <w:caps/>
          <w:color w:val="auto"/>
          <w:sz w:val="20"/>
          <w:szCs w:val="20"/>
          <w:highlight w:val="none"/>
          <w:u w:val="none"/>
          <w:vertAlign w:val="baseline"/>
        </w:rPr>
        <w:t xml:space="preserve">  </w:t>
      </w:r>
      <w:r>
        <w:rPr>
          <w:rStyle w:val="34"/>
          <w:rFonts w:hint="eastAsia" w:ascii="Times New Roman" w:hAnsi="宋体" w:eastAsia="宋体" w:cs="宋体"/>
          <w:b/>
          <w:bCs/>
          <w:caps/>
          <w:color w:val="auto"/>
          <w:sz w:val="20"/>
          <w:szCs w:val="20"/>
          <w:highlight w:val="none"/>
          <w:u w:val="none"/>
          <w:vertAlign w:val="baseline"/>
        </w:rPr>
        <w:t>评标办法</w:t>
      </w:r>
      <w:r>
        <w:rPr>
          <w:rFonts w:hint="eastAsia"/>
          <w:snapToGrid/>
          <w:highlight w:val="none"/>
          <w:lang w:eastAsia="zh-CN"/>
        </w:rPr>
        <w:t>…………………………………………………………………………………</w:t>
      </w:r>
      <w:r>
        <w:rPr>
          <w:rStyle w:val="34"/>
          <w:rFonts w:hint="eastAsia" w:cs="Times New Roman"/>
          <w:b/>
          <w:bCs/>
          <w:caps/>
          <w:vanish w:val="0"/>
          <w:color w:val="auto"/>
          <w:sz w:val="20"/>
          <w:szCs w:val="20"/>
          <w:highlight w:val="none"/>
          <w:u w:val="none"/>
          <w:vertAlign w:val="baseline"/>
          <w:lang w:val="en-US" w:eastAsia="zh-CN"/>
        </w:rPr>
        <w:t>1</w:t>
      </w:r>
      <w:r>
        <w:rPr>
          <w:snapToGrid/>
          <w:highlight w:val="none"/>
        </w:rPr>
        <w:fldChar w:fldCharType="end"/>
      </w:r>
      <w:r>
        <w:rPr>
          <w:rFonts w:hint="eastAsia"/>
          <w:snapToGrid/>
          <w:highlight w:val="none"/>
          <w:lang w:val="en-US" w:eastAsia="zh-CN"/>
        </w:rPr>
        <w:t>9</w:t>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240" w:lineRule="auto"/>
        <w:ind w:left="0" w:right="0" w:firstLine="0"/>
        <w:jc w:val="both"/>
        <w:outlineLvl w:val="9"/>
        <w:rPr>
          <w:rFonts w:hint="eastAsia" w:ascii="Times New Roman" w:hAnsi="Times New Roman" w:eastAsia="宋体" w:cs="Times New Roman"/>
          <w:b/>
          <w:bCs/>
          <w:caps/>
          <w:color w:val="auto"/>
          <w:sz w:val="20"/>
          <w:szCs w:val="20"/>
          <w:highlight w:val="none"/>
          <w:u w:val="none"/>
          <w:vertAlign w:val="baseline"/>
          <w:lang w:val="en-US" w:eastAsia="zh-CN"/>
        </w:rPr>
      </w:pPr>
      <w:r>
        <w:rPr>
          <w:snapToGrid/>
          <w:highlight w:val="none"/>
        </w:rPr>
        <w:fldChar w:fldCharType="begin"/>
      </w:r>
      <w:r>
        <w:rPr>
          <w:snapToGrid/>
          <w:highlight w:val="none"/>
        </w:rPr>
        <w:instrText xml:space="preserve"> HYPERLINK "" \l "_Toc51884123" </w:instrText>
      </w:r>
      <w:r>
        <w:rPr>
          <w:snapToGrid/>
          <w:highlight w:val="none"/>
        </w:rPr>
        <w:fldChar w:fldCharType="separate"/>
      </w:r>
      <w:r>
        <w:rPr>
          <w:rStyle w:val="34"/>
          <w:rFonts w:hint="eastAsia" w:ascii="Times New Roman" w:hAnsi="宋体" w:eastAsia="宋体" w:cs="宋体"/>
          <w:b/>
          <w:bCs/>
          <w:caps/>
          <w:color w:val="auto"/>
          <w:sz w:val="20"/>
          <w:szCs w:val="20"/>
          <w:highlight w:val="none"/>
          <w:u w:val="none"/>
          <w:vertAlign w:val="baseline"/>
        </w:rPr>
        <w:t>第四部分</w:t>
      </w:r>
      <w:r>
        <w:rPr>
          <w:rStyle w:val="34"/>
          <w:rFonts w:hint="default" w:ascii="Times New Roman" w:hAnsi="Times New Roman" w:eastAsia="宋体" w:cs="Times New Roman"/>
          <w:b/>
          <w:bCs/>
          <w:caps/>
          <w:color w:val="auto"/>
          <w:sz w:val="20"/>
          <w:szCs w:val="20"/>
          <w:highlight w:val="none"/>
          <w:u w:val="none"/>
          <w:vertAlign w:val="baseline"/>
        </w:rPr>
        <w:t xml:space="preserve">  </w:t>
      </w:r>
      <w:r>
        <w:rPr>
          <w:rStyle w:val="34"/>
          <w:rFonts w:hint="eastAsia" w:ascii="Times New Roman" w:hAnsi="宋体" w:eastAsia="宋体" w:cs="宋体"/>
          <w:b/>
          <w:bCs/>
          <w:caps/>
          <w:color w:val="auto"/>
          <w:sz w:val="20"/>
          <w:szCs w:val="20"/>
          <w:highlight w:val="none"/>
          <w:u w:val="none"/>
          <w:vertAlign w:val="baseline"/>
        </w:rPr>
        <w:t>采购需求</w:t>
      </w:r>
      <w:r>
        <w:rPr>
          <w:rFonts w:hint="eastAsia"/>
          <w:snapToGrid/>
          <w:highlight w:val="none"/>
          <w:lang w:eastAsia="zh-CN"/>
        </w:rPr>
        <w:t>…………………………………………………………………………………</w:t>
      </w:r>
      <w:r>
        <w:rPr>
          <w:rStyle w:val="34"/>
          <w:rFonts w:hint="eastAsia" w:cs="Times New Roman"/>
          <w:b/>
          <w:bCs/>
          <w:caps/>
          <w:vanish w:val="0"/>
          <w:color w:val="auto"/>
          <w:sz w:val="20"/>
          <w:szCs w:val="20"/>
          <w:highlight w:val="none"/>
          <w:u w:val="none"/>
          <w:vertAlign w:val="baseline"/>
          <w:lang w:val="en-US" w:eastAsia="zh-CN"/>
        </w:rPr>
        <w:t>2</w:t>
      </w:r>
      <w:r>
        <w:rPr>
          <w:snapToGrid/>
          <w:highlight w:val="none"/>
        </w:rPr>
        <w:fldChar w:fldCharType="end"/>
      </w:r>
      <w:r>
        <w:rPr>
          <w:rFonts w:hint="eastAsia"/>
          <w:snapToGrid/>
          <w:highlight w:val="none"/>
          <w:lang w:val="en-US" w:eastAsia="zh-CN"/>
        </w:rPr>
        <w:t>6</w:t>
      </w:r>
    </w:p>
    <w:p>
      <w:pPr>
        <w:pStyle w:val="19"/>
        <w:keepNext w:val="0"/>
        <w:keepLines w:val="0"/>
        <w:pageBreakBefore w:val="0"/>
        <w:widowControl w:val="0"/>
        <w:suppressLineNumbers w:val="0"/>
        <w:tabs>
          <w:tab w:val="right" w:leader="dot" w:pos="8504"/>
        </w:tabs>
        <w:suppressAutoHyphens w:val="0"/>
        <w:kinsoku/>
        <w:wordWrap/>
        <w:overflowPunct/>
        <w:topLinePunct w:val="0"/>
        <w:autoSpaceDE/>
        <w:autoSpaceDN w:val="0"/>
        <w:bidi w:val="0"/>
        <w:adjustRightInd/>
        <w:snapToGrid/>
        <w:spacing w:before="120" w:beforeAutospacing="0" w:after="120" w:afterAutospacing="0" w:line="240" w:lineRule="auto"/>
        <w:ind w:left="0" w:right="0" w:firstLine="0"/>
        <w:jc w:val="both"/>
        <w:outlineLvl w:val="9"/>
        <w:rPr>
          <w:rFonts w:hint="default" w:ascii="宋体" w:hAnsi="宋体" w:eastAsia="宋体" w:cs="宋体"/>
          <w:b/>
          <w:bCs/>
          <w:caps/>
          <w:color w:val="000000"/>
          <w:sz w:val="20"/>
          <w:szCs w:val="32"/>
          <w:highlight w:val="none"/>
          <w:vertAlign w:val="baseline"/>
          <w:lang w:val="en-US" w:eastAsia="zh-CN"/>
        </w:rPr>
      </w:pPr>
      <w:r>
        <w:rPr>
          <w:snapToGrid/>
          <w:highlight w:val="none"/>
        </w:rPr>
        <w:fldChar w:fldCharType="begin"/>
      </w:r>
      <w:r>
        <w:rPr>
          <w:snapToGrid/>
          <w:highlight w:val="none"/>
        </w:rPr>
        <w:instrText xml:space="preserve"> HYPERLINK "" \l "_Toc51884124" </w:instrText>
      </w:r>
      <w:r>
        <w:rPr>
          <w:snapToGrid/>
          <w:highlight w:val="none"/>
        </w:rPr>
        <w:fldChar w:fldCharType="separate"/>
      </w:r>
      <w:r>
        <w:rPr>
          <w:rStyle w:val="34"/>
          <w:rFonts w:hint="eastAsia" w:ascii="宋体" w:hAnsi="宋体" w:eastAsia="宋体" w:cs="宋体"/>
          <w:b/>
          <w:bCs/>
          <w:caps/>
          <w:color w:val="auto"/>
          <w:sz w:val="20"/>
          <w:szCs w:val="20"/>
          <w:highlight w:val="none"/>
          <w:u w:val="none"/>
          <w:vertAlign w:val="baseline"/>
          <w:lang w:bidi="ar"/>
        </w:rPr>
        <w:t>第</w:t>
      </w:r>
      <w:r>
        <w:rPr>
          <w:rStyle w:val="34"/>
          <w:rFonts w:hint="eastAsia" w:ascii="宋体" w:hAnsi="宋体" w:eastAsia="宋体" w:cs="宋体"/>
          <w:b/>
          <w:bCs/>
          <w:caps/>
          <w:color w:val="auto"/>
          <w:sz w:val="20"/>
          <w:szCs w:val="20"/>
          <w:highlight w:val="none"/>
          <w:u w:val="none"/>
          <w:vertAlign w:val="baseline"/>
          <w:lang w:val="en-US" w:eastAsia="zh-CN" w:bidi="ar"/>
        </w:rPr>
        <w:t>五</w:t>
      </w:r>
      <w:r>
        <w:rPr>
          <w:rStyle w:val="34"/>
          <w:rFonts w:hint="eastAsia" w:ascii="宋体" w:hAnsi="宋体" w:eastAsia="宋体" w:cs="宋体"/>
          <w:b/>
          <w:bCs/>
          <w:caps/>
          <w:color w:val="auto"/>
          <w:sz w:val="20"/>
          <w:szCs w:val="20"/>
          <w:highlight w:val="none"/>
          <w:u w:val="none"/>
          <w:vertAlign w:val="baseline"/>
          <w:lang w:bidi="ar"/>
        </w:rPr>
        <w:t xml:space="preserve">部分 </w:t>
      </w:r>
      <w:r>
        <w:rPr>
          <w:rStyle w:val="34"/>
          <w:rFonts w:hint="eastAsia" w:ascii="宋体" w:hAnsi="宋体" w:cs="宋体"/>
          <w:b/>
          <w:bCs/>
          <w:caps/>
          <w:color w:val="auto"/>
          <w:sz w:val="20"/>
          <w:szCs w:val="20"/>
          <w:highlight w:val="none"/>
          <w:u w:val="none"/>
          <w:vertAlign w:val="baseline"/>
          <w:lang w:val="en-US" w:eastAsia="zh-CN" w:bidi="ar"/>
        </w:rPr>
        <w:t xml:space="preserve"> </w:t>
      </w:r>
      <w:r>
        <w:rPr>
          <w:rStyle w:val="34"/>
          <w:rFonts w:hint="eastAsia" w:ascii="宋体" w:hAnsi="宋体" w:eastAsia="宋体" w:cs="宋体"/>
          <w:b/>
          <w:bCs/>
          <w:caps/>
          <w:color w:val="auto"/>
          <w:sz w:val="20"/>
          <w:szCs w:val="20"/>
          <w:highlight w:val="none"/>
          <w:u w:val="none"/>
          <w:vertAlign w:val="baseline"/>
          <w:lang w:bidi="ar"/>
        </w:rPr>
        <w:t>合同条款及格式</w:t>
      </w:r>
      <w:r>
        <w:rPr>
          <w:snapToGrid/>
          <w:highlight w:val="none"/>
        </w:rPr>
        <w:fldChar w:fldCharType="end"/>
      </w:r>
      <w:r>
        <w:rPr>
          <w:rFonts w:hint="eastAsia" w:ascii="宋体" w:hAnsi="宋体" w:eastAsia="宋体" w:cs="宋体"/>
          <w:b/>
          <w:bCs/>
          <w:caps/>
          <w:color w:val="000000"/>
          <w:sz w:val="20"/>
          <w:szCs w:val="32"/>
          <w:highlight w:val="none"/>
          <w:vertAlign w:val="baseline"/>
        </w:rPr>
        <w:fldChar w:fldCharType="end"/>
      </w:r>
      <w:r>
        <w:rPr>
          <w:rFonts w:hint="eastAsia"/>
          <w:snapToGrid/>
          <w:highlight w:val="none"/>
          <w:lang w:eastAsia="zh-CN"/>
        </w:rPr>
        <w:t>…………………………………………………………………………</w:t>
      </w:r>
      <w:r>
        <w:rPr>
          <w:rFonts w:hint="eastAsia" w:ascii="宋体" w:hAnsi="宋体" w:cs="宋体"/>
          <w:b/>
          <w:bCs/>
          <w:caps/>
          <w:color w:val="000000"/>
          <w:sz w:val="20"/>
          <w:szCs w:val="32"/>
          <w:highlight w:val="none"/>
          <w:vertAlign w:val="baseline"/>
          <w:lang w:val="en-US" w:eastAsia="zh-CN"/>
        </w:rPr>
        <w:t>47</w:t>
      </w:r>
    </w:p>
    <w:p>
      <w:pPr>
        <w:jc w:val="both"/>
        <w:rPr>
          <w:rFonts w:hint="default" w:eastAsia="宋体"/>
          <w:highlight w:val="none"/>
          <w:lang w:val="en-US" w:eastAsia="zh-CN"/>
        </w:rPr>
      </w:pPr>
      <w:r>
        <w:rPr>
          <w:rFonts w:hint="eastAsia" w:ascii="宋体" w:hAnsi="宋体" w:eastAsia="宋体" w:cs="宋体"/>
          <w:b/>
          <w:bCs/>
          <w:caps/>
          <w:color w:val="000000"/>
          <w:sz w:val="20"/>
          <w:szCs w:val="32"/>
          <w:highlight w:val="none"/>
          <w:vertAlign w:val="baseline"/>
          <w:lang w:val="en-US" w:eastAsia="zh-CN"/>
        </w:rPr>
        <w:t>第六部分  投标文件格式</w:t>
      </w:r>
      <w:r>
        <w:rPr>
          <w:rFonts w:hint="eastAsia"/>
          <w:snapToGrid/>
          <w:highlight w:val="none"/>
          <w:lang w:eastAsia="zh-CN"/>
        </w:rPr>
        <w:t>…………………………………………………………………………</w:t>
      </w:r>
      <w:r>
        <w:rPr>
          <w:rFonts w:hint="eastAsia" w:ascii="宋体" w:hAnsi="宋体" w:eastAsia="宋体" w:cs="宋体"/>
          <w:b/>
          <w:bCs/>
          <w:caps/>
          <w:color w:val="000000"/>
          <w:sz w:val="20"/>
          <w:szCs w:val="32"/>
          <w:highlight w:val="none"/>
          <w:vertAlign w:val="baseline"/>
          <w:lang w:val="en-US" w:eastAsia="zh-CN"/>
        </w:rPr>
        <w:t>57</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auto"/>
        <w:ind w:left="420" w:leftChars="200" w:right="420" w:rightChars="200" w:firstLine="0"/>
        <w:jc w:val="both"/>
        <w:outlineLvl w:val="9"/>
        <w:rPr>
          <w:rFonts w:hint="eastAsia" w:ascii="宋体" w:hAnsi="宋体" w:eastAsia="宋体" w:cs="宋体"/>
          <w:caps w:val="0"/>
          <w:color w:val="000000"/>
          <w:sz w:val="28"/>
          <w:szCs w:val="28"/>
          <w:highlight w:val="none"/>
          <w:vertAlign w:val="baseline"/>
        </w:rPr>
      </w:pPr>
    </w:p>
    <w:bookmarkEnd w:id="5"/>
    <w:p>
      <w:pPr>
        <w:pStyle w:val="5"/>
        <w:keepNext/>
        <w:keepLines/>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0"/>
        <w:rPr>
          <w:rFonts w:hint="default" w:ascii="Times New Roman" w:hAnsi="Times New Roman" w:eastAsia="宋体" w:cs="Times New Roman"/>
          <w:b/>
          <w:bCs/>
          <w:caps w:val="0"/>
          <w:color w:val="000000"/>
          <w:sz w:val="44"/>
          <w:szCs w:val="44"/>
          <w:highlight w:val="none"/>
          <w:vertAlign w:val="baseline"/>
        </w:rPr>
      </w:pPr>
      <w:r>
        <w:rPr>
          <w:rFonts w:hint="default" w:ascii="Times New Roman" w:hAnsi="Times New Roman" w:eastAsia="宋体" w:cs="Times New Roman"/>
          <w:b/>
          <w:bCs/>
          <w:caps w:val="0"/>
          <w:color w:val="000000"/>
          <w:sz w:val="44"/>
          <w:szCs w:val="44"/>
          <w:highlight w:val="none"/>
          <w:vertAlign w:val="baseline"/>
        </w:rPr>
        <w:br w:type="page"/>
      </w:r>
      <w:bookmarkStart w:id="6" w:name="_Toc51884120"/>
      <w:r>
        <w:rPr>
          <w:rFonts w:hint="eastAsia" w:ascii="Times New Roman" w:hAnsi="宋体" w:eastAsia="宋体" w:cs="宋体"/>
          <w:b/>
          <w:bCs/>
          <w:caps w:val="0"/>
          <w:color w:val="000000"/>
          <w:sz w:val="44"/>
          <w:szCs w:val="44"/>
          <w:highlight w:val="none"/>
          <w:vertAlign w:val="baseline"/>
        </w:rPr>
        <w:t>第一部分</w:t>
      </w:r>
      <w:r>
        <w:rPr>
          <w:rFonts w:hint="default" w:ascii="Times New Roman" w:hAnsi="Times New Roman" w:eastAsia="宋体" w:cs="Times New Roman"/>
          <w:b/>
          <w:bCs/>
          <w:caps w:val="0"/>
          <w:color w:val="000000"/>
          <w:sz w:val="44"/>
          <w:szCs w:val="44"/>
          <w:highlight w:val="none"/>
          <w:vertAlign w:val="baseline"/>
        </w:rPr>
        <w:t xml:space="preserve">  </w:t>
      </w:r>
      <w:r>
        <w:rPr>
          <w:rFonts w:hint="eastAsia" w:ascii="Times New Roman" w:hAnsi="宋体" w:eastAsia="宋体" w:cs="宋体"/>
          <w:b/>
          <w:bCs/>
          <w:caps w:val="0"/>
          <w:color w:val="000000"/>
          <w:sz w:val="44"/>
          <w:szCs w:val="44"/>
          <w:highlight w:val="none"/>
          <w:vertAlign w:val="baseline"/>
        </w:rPr>
        <w:t>招标公告</w:t>
      </w:r>
      <w:bookmarkEnd w:id="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bCs/>
          <w:caps w:val="0"/>
          <w:color w:val="000000"/>
          <w:sz w:val="21"/>
          <w:szCs w:val="21"/>
          <w:highlight w:val="none"/>
          <w:vertAlign w:val="baseline"/>
        </w:rPr>
      </w:pPr>
      <w:r>
        <w:rPr>
          <w:rFonts w:hint="eastAsia" w:ascii="宋体" w:hAnsi="宋体" w:eastAsia="宋体" w:cs="宋体"/>
          <w:b/>
          <w:bCs/>
          <w:caps w:val="0"/>
          <w:color w:val="000000"/>
          <w:kern w:val="2"/>
          <w:sz w:val="21"/>
          <w:szCs w:val="21"/>
          <w:highlight w:val="none"/>
          <w:vertAlign w:val="baseline"/>
          <w:lang w:val="en-US" w:eastAsia="zh-CN" w:bidi="ar"/>
        </w:rPr>
        <w:t>（</w:t>
      </w:r>
      <w:bookmarkStart w:id="7" w:name="blank24_copy_1619581275000"/>
      <w:r>
        <w:rPr>
          <w:rFonts w:hint="eastAsia" w:ascii="宋体" w:hAnsi="宋体" w:eastAsia="宋体" w:cs="Times New Roman"/>
          <w:b/>
          <w:bCs/>
          <w:caps w:val="0"/>
          <w:snapToGrid/>
          <w:color w:val="000000"/>
          <w:spacing w:val="0"/>
          <w:w w:val="100"/>
          <w:kern w:val="0"/>
          <w:position w:val="0"/>
          <w:sz w:val="21"/>
          <w:szCs w:val="21"/>
          <w:highlight w:val="none"/>
          <w:u w:val="none" w:color="auto"/>
          <w:vertAlign w:val="baseline"/>
          <w:lang w:val="en-US" w:eastAsia="zh-CN" w:bidi="ar"/>
        </w:rPr>
        <w:t>资格后审</w:t>
      </w:r>
      <w:bookmarkEnd w:id="7"/>
      <w:r>
        <w:rPr>
          <w:rFonts w:hint="eastAsia" w:ascii="宋体" w:hAnsi="宋体" w:eastAsia="宋体" w:cs="宋体"/>
          <w:b/>
          <w:bCs/>
          <w:caps w:val="0"/>
          <w:color w:val="000000"/>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项目概况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u w:val="none"/>
          <w:vertAlign w:val="baseline"/>
          <w:lang w:val="en-US" w:eastAsia="zh-CN" w:bidi="ar"/>
        </w:rPr>
        <w:t>长春市绿园区电子政务外网平台项目的潜在投标人应在“政采云”平台（http：//www.zcygov.cn）获取采购文件，并于2023年10月07日09点30分</w:t>
      </w:r>
      <w:r>
        <w:rPr>
          <w:rFonts w:hint="eastAsia" w:ascii="宋体" w:hAnsi="宋体" w:eastAsia="宋体" w:cs="宋体"/>
          <w:b w:val="0"/>
          <w:bCs w:val="0"/>
          <w:caps w:val="0"/>
          <w:color w:val="auto"/>
          <w:kern w:val="2"/>
          <w:sz w:val="24"/>
          <w:szCs w:val="24"/>
          <w:highlight w:val="none"/>
          <w:vertAlign w:val="baseline"/>
          <w:lang w:val="en-US" w:eastAsia="zh-CN" w:bidi="ar"/>
        </w:rPr>
        <w:t>（北京时间）前提交响应文件。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一、项目基本情况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caps w:val="0"/>
          <w:color w:val="auto"/>
          <w:kern w:val="2"/>
          <w:sz w:val="24"/>
          <w:szCs w:val="24"/>
          <w:highlight w:val="none"/>
          <w:vertAlign w:val="baseline"/>
          <w:lang w:val="en-US"/>
        </w:rPr>
      </w:pPr>
      <w:r>
        <w:rPr>
          <w:rFonts w:hint="eastAsia" w:ascii="宋体" w:hAnsi="宋体" w:eastAsia="宋体" w:cs="宋体"/>
          <w:b w:val="0"/>
          <w:bCs w:val="0"/>
          <w:caps w:val="0"/>
          <w:color w:val="auto"/>
          <w:kern w:val="2"/>
          <w:sz w:val="24"/>
          <w:szCs w:val="24"/>
          <w:highlight w:val="none"/>
          <w:vertAlign w:val="baseline"/>
          <w:lang w:val="en-US" w:eastAsia="zh-CN" w:bidi="ar"/>
        </w:rPr>
        <w:t>项目编号：LY202309-100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项目名称：长春市绿园区电子政务外网平台项目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预算金额（最高限价）：13,498,100.00元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cs="宋体"/>
          <w:b w:val="0"/>
          <w:bCs w:val="0"/>
          <w:caps w:val="0"/>
          <w:color w:val="auto"/>
          <w:kern w:val="2"/>
          <w:sz w:val="24"/>
          <w:szCs w:val="24"/>
          <w:highlight w:val="none"/>
          <w:vertAlign w:val="baseline"/>
          <w:lang w:val="en-US" w:eastAsia="zh-CN" w:bidi="ar"/>
        </w:rPr>
        <w:t>采购需求：电子政务外网网络服务及安全管理服务等</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aps w:val="0"/>
          <w:color w:val="auto"/>
          <w:kern w:val="2"/>
          <w:sz w:val="24"/>
          <w:szCs w:val="24"/>
          <w:highlight w:val="none"/>
          <w:vertAlign w:val="baseline"/>
          <w:lang w:val="en-US" w:eastAsia="zh-CN" w:bidi="ar"/>
        </w:rPr>
        <w:t>具体内容详见采购文件）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合同履行期限：建设期为签订合同之日起至2023年12月。</w:t>
      </w:r>
      <w:r>
        <w:rPr>
          <w:rFonts w:hint="eastAsia" w:ascii="宋体" w:hAnsi="宋体" w:eastAsia="宋体" w:cs="宋体"/>
          <w:b w:val="0"/>
          <w:bCs w:val="0"/>
          <w:caps w:val="0"/>
          <w:color w:val="auto"/>
          <w:kern w:val="2"/>
          <w:sz w:val="24"/>
          <w:szCs w:val="24"/>
          <w:highlight w:val="none"/>
          <w:vertAlign w:val="baseline"/>
          <w:lang w:val="en-US" w:eastAsia="zh-Hans" w:bidi="ar"/>
        </w:rPr>
        <w:t>验收合格后，</w:t>
      </w:r>
      <w:r>
        <w:rPr>
          <w:rFonts w:hint="eastAsia" w:ascii="宋体" w:hAnsi="宋体" w:eastAsia="宋体" w:cs="宋体"/>
          <w:b w:val="0"/>
          <w:bCs w:val="0"/>
          <w:caps w:val="0"/>
          <w:color w:val="auto"/>
          <w:kern w:val="2"/>
          <w:sz w:val="24"/>
          <w:szCs w:val="24"/>
          <w:highlight w:val="none"/>
          <w:vertAlign w:val="baseline"/>
          <w:lang w:val="en-US" w:eastAsia="zh-CN" w:bidi="ar"/>
        </w:rPr>
        <w:t>服务期限三年（具体内容以签订合同为准）。为保障绿园区政府电子政务业务连续性，专线服务需要在签订合同后15天内完成。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caps w:val="0"/>
          <w:color w:val="auto"/>
          <w:kern w:val="2"/>
          <w:sz w:val="24"/>
          <w:szCs w:val="24"/>
          <w:highlight w:val="none"/>
          <w:vertAlign w:val="baseline"/>
          <w:lang w:val="en-US"/>
        </w:rPr>
      </w:pPr>
      <w:r>
        <w:rPr>
          <w:rFonts w:hint="eastAsia" w:ascii="宋体" w:hAnsi="宋体" w:eastAsia="宋体" w:cs="宋体"/>
          <w:b w:val="0"/>
          <w:bCs w:val="0"/>
          <w:caps w:val="0"/>
          <w:color w:val="auto"/>
          <w:kern w:val="2"/>
          <w:sz w:val="24"/>
          <w:szCs w:val="24"/>
          <w:highlight w:val="none"/>
          <w:vertAlign w:val="baseline"/>
          <w:lang w:val="en-US" w:eastAsia="zh-CN" w:bidi="ar"/>
        </w:rPr>
        <w:t>本项目不接受联合体投标。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二、申请人的资格要求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default" w:ascii="Calibri" w:hAnsi="Calibri" w:eastAsia="宋体" w:cs="Calibri"/>
          <w:b w:val="0"/>
          <w:bCs w:val="0"/>
          <w:caps w:val="0"/>
          <w:color w:val="auto"/>
          <w:kern w:val="2"/>
          <w:sz w:val="24"/>
          <w:szCs w:val="24"/>
          <w:highlight w:val="none"/>
          <w:vertAlign w:val="baseline"/>
          <w:lang w:val="en-US" w:eastAsia="zh-CN" w:bidi="ar"/>
        </w:rPr>
        <w:t xml:space="preserve">1. </w:t>
      </w:r>
      <w:r>
        <w:rPr>
          <w:rFonts w:hint="eastAsia" w:ascii="宋体" w:hAnsi="宋体" w:eastAsia="宋体" w:cs="宋体"/>
          <w:b w:val="0"/>
          <w:bCs w:val="0"/>
          <w:caps w:val="0"/>
          <w:color w:val="auto"/>
          <w:kern w:val="2"/>
          <w:sz w:val="24"/>
          <w:szCs w:val="24"/>
          <w:highlight w:val="none"/>
          <w:vertAlign w:val="baseline"/>
          <w:lang w:val="en-US" w:eastAsia="zh-CN" w:bidi="ar"/>
        </w:rPr>
        <w:t>满足《中华人民共和国政府采购法》第二十二条规定；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宋体"/>
          <w:caps w:val="0"/>
          <w:color w:val="auto"/>
          <w:kern w:val="2"/>
          <w:sz w:val="24"/>
          <w:szCs w:val="24"/>
          <w:highlight w:val="none"/>
          <w:vertAlign w:val="baseline"/>
          <w:lang w:bidi="ar"/>
        </w:rPr>
      </w:pPr>
      <w:r>
        <w:rPr>
          <w:rFonts w:hint="default" w:ascii="Calibri" w:hAnsi="Calibri" w:eastAsia="宋体" w:cs="Calibri"/>
          <w:b w:val="0"/>
          <w:bCs w:val="0"/>
          <w:caps w:val="0"/>
          <w:color w:val="auto"/>
          <w:kern w:val="2"/>
          <w:sz w:val="24"/>
          <w:szCs w:val="24"/>
          <w:highlight w:val="none"/>
          <w:vertAlign w:val="baseline"/>
          <w:lang w:val="en-US" w:eastAsia="zh-CN" w:bidi="ar"/>
        </w:rPr>
        <w:t>2.</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 </w:t>
      </w:r>
      <w:r>
        <w:rPr>
          <w:rFonts w:hint="eastAsia" w:ascii="宋体" w:hAnsi="宋体" w:eastAsia="宋体" w:cs="宋体"/>
          <w:b w:val="0"/>
          <w:bCs w:val="0"/>
          <w:caps w:val="0"/>
          <w:color w:val="auto"/>
          <w:kern w:val="2"/>
          <w:sz w:val="24"/>
          <w:szCs w:val="24"/>
          <w:highlight w:val="none"/>
          <w:vertAlign w:val="baseline"/>
          <w:lang w:val="en-US" w:eastAsia="zh-CN" w:bidi="ar"/>
        </w:rPr>
        <w:t>落实政府采购政策需满足的资格要求：本项目非专门面向中小企业采购；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宋体"/>
          <w:caps w:val="0"/>
          <w:color w:val="auto"/>
          <w:kern w:val="2"/>
          <w:sz w:val="24"/>
          <w:szCs w:val="24"/>
          <w:highlight w:val="none"/>
          <w:vertAlign w:val="baseline"/>
          <w:lang w:bidi="ar"/>
        </w:rPr>
      </w:pPr>
      <w:r>
        <w:rPr>
          <w:rFonts w:hint="default" w:ascii="Calibri" w:hAnsi="Calibri" w:eastAsia="宋体" w:cs="Calibri"/>
          <w:b w:val="0"/>
          <w:bCs w:val="0"/>
          <w:caps w:val="0"/>
          <w:color w:val="auto"/>
          <w:kern w:val="2"/>
          <w:sz w:val="24"/>
          <w:szCs w:val="24"/>
          <w:highlight w:val="none"/>
          <w:vertAlign w:val="baseline"/>
          <w:lang w:val="en-US" w:eastAsia="zh-CN" w:bidi="ar"/>
        </w:rPr>
        <w:t>3.</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 </w:t>
      </w:r>
      <w:r>
        <w:rPr>
          <w:rFonts w:hint="eastAsia" w:ascii="宋体" w:hAnsi="宋体" w:eastAsia="宋体" w:cs="宋体"/>
          <w:b w:val="0"/>
          <w:bCs w:val="0"/>
          <w:caps w:val="0"/>
          <w:color w:val="auto"/>
          <w:kern w:val="2"/>
          <w:sz w:val="24"/>
          <w:szCs w:val="24"/>
          <w:highlight w:val="none"/>
          <w:vertAlign w:val="baseline"/>
          <w:lang w:val="en-US" w:eastAsia="zh-CN" w:bidi="ar"/>
        </w:rPr>
        <w:t>本项目的特定资格要求：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宋体"/>
          <w:caps w:val="0"/>
          <w:color w:val="auto"/>
          <w:kern w:val="2"/>
          <w:sz w:val="24"/>
          <w:szCs w:val="24"/>
          <w:highlight w:val="none"/>
          <w:vertAlign w:val="baseline"/>
          <w:lang w:bidi="ar"/>
        </w:rPr>
      </w:pPr>
      <w:r>
        <w:rPr>
          <w:rFonts w:hint="default" w:ascii="Calibri" w:hAnsi="Calibri" w:eastAsia="宋体" w:cs="Calibri"/>
          <w:b w:val="0"/>
          <w:bCs w:val="0"/>
          <w:caps w:val="0"/>
          <w:color w:val="auto"/>
          <w:kern w:val="2"/>
          <w:sz w:val="24"/>
          <w:szCs w:val="24"/>
          <w:highlight w:val="none"/>
          <w:vertAlign w:val="baseline"/>
          <w:lang w:val="en-US" w:eastAsia="zh-CN" w:bidi="ar"/>
        </w:rPr>
        <w:t>3.1</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 </w:t>
      </w:r>
      <w:r>
        <w:rPr>
          <w:rFonts w:hint="eastAsia" w:ascii="宋体" w:hAnsi="宋体" w:eastAsia="宋体" w:cs="宋体"/>
          <w:b w:val="0"/>
          <w:bCs w:val="0"/>
          <w:caps w:val="0"/>
          <w:color w:val="auto"/>
          <w:kern w:val="2"/>
          <w:sz w:val="24"/>
          <w:szCs w:val="24"/>
          <w:highlight w:val="none"/>
          <w:vertAlign w:val="baseline"/>
          <w:lang w:val="en-US" w:eastAsia="zh-CN" w:bidi="ar"/>
        </w:rPr>
        <w:t>在中国境内注册，具有独立承担民事责任能力的独立法人或其他组织形式，具备有效的营业执照，具有履行合同所必需的设备和专业技术能力；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Calibri"/>
          <w:caps w:val="0"/>
          <w:color w:val="auto"/>
          <w:kern w:val="2"/>
          <w:sz w:val="24"/>
          <w:szCs w:val="24"/>
          <w:highlight w:val="none"/>
          <w:vertAlign w:val="baseline"/>
        </w:rPr>
      </w:pPr>
      <w:r>
        <w:rPr>
          <w:rFonts w:hint="default" w:ascii="Calibri" w:hAnsi="Calibri" w:eastAsia="宋体" w:cs="Calibri"/>
          <w:b w:val="0"/>
          <w:bCs w:val="0"/>
          <w:caps w:val="0"/>
          <w:color w:val="auto"/>
          <w:kern w:val="2"/>
          <w:sz w:val="24"/>
          <w:szCs w:val="24"/>
          <w:highlight w:val="none"/>
          <w:vertAlign w:val="baseline"/>
          <w:lang w:val="en-US" w:eastAsia="zh-CN" w:bidi="ar"/>
        </w:rPr>
        <w:t>3.2</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 </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rPr>
        <w:t>《中华人民共和国基础电信业务经营许可</w:t>
      </w:r>
      <w:r>
        <w:rPr>
          <w:rFonts w:hint="eastAsia" w:ascii="宋体" w:hAnsi="宋体" w:eastAsia="宋体" w:cs="宋体"/>
          <w:color w:val="auto"/>
          <w:sz w:val="24"/>
          <w:szCs w:val="24"/>
          <w:highlight w:val="none"/>
          <w:lang w:val="en-US" w:eastAsia="zh-CN"/>
        </w:rPr>
        <w:t>证</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或《增值电信业务经营许可证》</w:t>
      </w:r>
      <w:r>
        <w:rPr>
          <w:rFonts w:hint="eastAsia" w:ascii="宋体" w:hAnsi="宋体" w:eastAsia="宋体" w:cs="宋体"/>
          <w:b w:val="0"/>
          <w:bCs w:val="0"/>
          <w:caps w:val="0"/>
          <w:color w:val="auto"/>
          <w:kern w:val="2"/>
          <w:sz w:val="24"/>
          <w:szCs w:val="24"/>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eastAsia" w:ascii="Calibri" w:hAnsi="Calibri" w:eastAsia="宋体" w:cs="Calibri"/>
          <w:b w:val="0"/>
          <w:bCs w:val="0"/>
          <w:caps w:val="0"/>
          <w:color w:val="auto"/>
          <w:kern w:val="2"/>
          <w:sz w:val="24"/>
          <w:szCs w:val="24"/>
          <w:highlight w:val="none"/>
          <w:vertAlign w:val="baseline"/>
          <w:lang w:val="en-US" w:eastAsia="zh-CN" w:bidi="ar"/>
        </w:rPr>
      </w:pPr>
      <w:r>
        <w:rPr>
          <w:rFonts w:hint="default" w:ascii="Calibri" w:hAnsi="Calibri" w:eastAsia="宋体" w:cs="Calibri"/>
          <w:b w:val="0"/>
          <w:bCs w:val="0"/>
          <w:caps w:val="0"/>
          <w:color w:val="auto"/>
          <w:kern w:val="2"/>
          <w:sz w:val="24"/>
          <w:szCs w:val="24"/>
          <w:highlight w:val="none"/>
          <w:vertAlign w:val="baseline"/>
          <w:lang w:val="en-US" w:eastAsia="zh-CN" w:bidi="ar"/>
        </w:rPr>
        <w:t>3.3</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 具有良好的商业信誉和健全的财务会计制度，提供财务状况良好资格条件承诺函；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eastAsia" w:ascii="Calibri" w:hAnsi="Calibri" w:eastAsia="宋体" w:cs="Calibri"/>
          <w:b w:val="0"/>
          <w:bCs w:val="0"/>
          <w:caps w:val="0"/>
          <w:color w:val="auto"/>
          <w:kern w:val="2"/>
          <w:sz w:val="24"/>
          <w:szCs w:val="24"/>
          <w:highlight w:val="none"/>
          <w:vertAlign w:val="baseline"/>
          <w:lang w:val="en-US" w:eastAsia="zh-CN" w:bidi="ar"/>
        </w:rPr>
      </w:pPr>
      <w:r>
        <w:rPr>
          <w:rFonts w:hint="eastAsia" w:ascii="Calibri" w:hAnsi="Calibri" w:eastAsia="宋体" w:cs="Calibri"/>
          <w:b w:val="0"/>
          <w:bCs w:val="0"/>
          <w:caps w:val="0"/>
          <w:color w:val="auto"/>
          <w:kern w:val="2"/>
          <w:sz w:val="24"/>
          <w:szCs w:val="24"/>
          <w:highlight w:val="none"/>
          <w:vertAlign w:val="baseline"/>
          <w:lang w:val="en-US" w:eastAsia="zh-CN" w:bidi="ar"/>
        </w:rPr>
        <w:t>3.4 具有依法缴纳税收和社会保障资金的良好记录，提供依法缴纳税收和依法缴纳社会保障资金资格条件承诺函；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宋体"/>
          <w:caps w:val="0"/>
          <w:color w:val="auto"/>
          <w:kern w:val="2"/>
          <w:sz w:val="24"/>
          <w:szCs w:val="24"/>
          <w:highlight w:val="none"/>
          <w:vertAlign w:val="baseline"/>
          <w:lang w:bidi="ar"/>
        </w:rPr>
      </w:pPr>
      <w:r>
        <w:rPr>
          <w:rFonts w:hint="default" w:ascii="Calibri" w:hAnsi="Calibri" w:eastAsia="宋体" w:cs="Calibri"/>
          <w:b w:val="0"/>
          <w:bCs w:val="0"/>
          <w:caps w:val="0"/>
          <w:color w:val="auto"/>
          <w:kern w:val="2"/>
          <w:sz w:val="24"/>
          <w:szCs w:val="24"/>
          <w:highlight w:val="none"/>
          <w:vertAlign w:val="baseline"/>
          <w:lang w:val="en-US" w:eastAsia="zh-CN" w:bidi="ar"/>
        </w:rPr>
        <w:t>3.</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5 </w:t>
      </w:r>
      <w:r>
        <w:rPr>
          <w:rFonts w:hint="eastAsia" w:ascii="宋体" w:hAnsi="宋体" w:eastAsia="宋体" w:cs="宋体"/>
          <w:b w:val="0"/>
          <w:bCs w:val="0"/>
          <w:caps w:val="0"/>
          <w:color w:val="auto"/>
          <w:kern w:val="2"/>
          <w:sz w:val="24"/>
          <w:szCs w:val="24"/>
          <w:highlight w:val="none"/>
          <w:vertAlign w:val="baseline"/>
          <w:lang w:val="en-US" w:eastAsia="zh-CN" w:bidi="ar"/>
        </w:rPr>
        <w:t>与采购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Calibri"/>
          <w:b w:val="0"/>
          <w:bCs w:val="0"/>
          <w:caps w:val="0"/>
          <w:color w:val="auto"/>
          <w:kern w:val="2"/>
          <w:sz w:val="24"/>
          <w:szCs w:val="24"/>
          <w:highlight w:val="none"/>
          <w:vertAlign w:val="baseline"/>
          <w:lang w:val="en-US" w:eastAsia="zh-CN" w:bidi="ar"/>
        </w:rPr>
      </w:pPr>
      <w:r>
        <w:rPr>
          <w:rFonts w:hint="default" w:ascii="Calibri" w:hAnsi="Calibri" w:eastAsia="宋体" w:cs="Calibri"/>
          <w:b w:val="0"/>
          <w:bCs w:val="0"/>
          <w:caps w:val="0"/>
          <w:color w:val="auto"/>
          <w:kern w:val="2"/>
          <w:sz w:val="24"/>
          <w:szCs w:val="24"/>
          <w:highlight w:val="none"/>
          <w:vertAlign w:val="baseline"/>
          <w:lang w:val="en-US" w:eastAsia="zh-CN" w:bidi="ar"/>
        </w:rPr>
        <w:t>3.</w:t>
      </w:r>
      <w:r>
        <w:rPr>
          <w:rFonts w:hint="eastAsia" w:ascii="Calibri" w:hAnsi="Calibri" w:eastAsia="宋体" w:cs="Calibri"/>
          <w:b w:val="0"/>
          <w:bCs w:val="0"/>
          <w:caps w:val="0"/>
          <w:color w:val="auto"/>
          <w:kern w:val="2"/>
          <w:sz w:val="24"/>
          <w:szCs w:val="24"/>
          <w:highlight w:val="none"/>
          <w:vertAlign w:val="baseline"/>
          <w:lang w:val="en-US" w:eastAsia="zh-CN" w:bidi="ar"/>
        </w:rPr>
        <w:t xml:space="preserve">6 </w:t>
      </w:r>
      <w:r>
        <w:rPr>
          <w:rFonts w:hint="default" w:ascii="Calibri" w:hAnsi="Calibri" w:eastAsia="宋体" w:cs="Calibri"/>
          <w:b w:val="0"/>
          <w:bCs w:val="0"/>
          <w:caps w:val="0"/>
          <w:color w:val="auto"/>
          <w:kern w:val="2"/>
          <w:sz w:val="24"/>
          <w:szCs w:val="24"/>
          <w:highlight w:val="none"/>
          <w:vertAlign w:val="baseline"/>
          <w:lang w:val="en-US" w:eastAsia="zh-CN" w:bidi="ar"/>
        </w:rPr>
        <w:t>拒绝列入政府取消投标资格记录期间的企业或个人投标</w:t>
      </w:r>
      <w:r>
        <w:rPr>
          <w:rFonts w:hint="eastAsia" w:ascii="Calibri" w:hAnsi="Calibri" w:eastAsia="宋体" w:cs="Calibri"/>
          <w:b w:val="0"/>
          <w:bCs w:val="0"/>
          <w:caps w:val="0"/>
          <w:color w:val="auto"/>
          <w:kern w:val="2"/>
          <w:sz w:val="24"/>
          <w:szCs w:val="24"/>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eastAsia" w:ascii="Calibri" w:hAnsi="Calibri" w:eastAsia="宋体" w:cs="Calibri"/>
          <w:b w:val="0"/>
          <w:bCs w:val="0"/>
          <w:caps w:val="0"/>
          <w:color w:val="auto"/>
          <w:kern w:val="2"/>
          <w:sz w:val="24"/>
          <w:szCs w:val="24"/>
          <w:highlight w:val="none"/>
          <w:vertAlign w:val="baseline"/>
          <w:lang w:val="en-US" w:eastAsia="zh-CN" w:bidi="ar"/>
        </w:rPr>
      </w:pPr>
      <w:r>
        <w:rPr>
          <w:rFonts w:hint="eastAsia" w:ascii="Calibri" w:hAnsi="Calibri" w:eastAsia="宋体" w:cs="Calibri"/>
          <w:b w:val="0"/>
          <w:bCs w:val="0"/>
          <w:caps w:val="0"/>
          <w:color w:val="auto"/>
          <w:kern w:val="2"/>
          <w:sz w:val="24"/>
          <w:szCs w:val="24"/>
          <w:highlight w:val="none"/>
          <w:vertAlign w:val="baseline"/>
          <w:lang w:val="en-US" w:eastAsia="zh-CN" w:bidi="ar"/>
        </w:rPr>
        <w:t>3.7 对列入失信被执行人、重大税收违法案件当事人名单、政府采购严重违法失信行为记录名单的供应商，拒绝其参与政府采购活动。查询通道：“信用中国”网站（www.creditchina.gov.cn）、中国政府采购网（www.ccgp.gov.cn）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right="0"/>
        <w:jc w:val="both"/>
        <w:outlineLvl w:val="9"/>
        <w:rPr>
          <w:rFonts w:hint="default" w:ascii="Calibri" w:hAnsi="Calibri" w:eastAsia="宋体" w:cs="宋体"/>
          <w:caps w:val="0"/>
          <w:color w:val="auto"/>
          <w:kern w:val="2"/>
          <w:sz w:val="24"/>
          <w:szCs w:val="24"/>
          <w:highlight w:val="none"/>
          <w:vertAlign w:val="baseline"/>
          <w:lang w:bidi="ar"/>
        </w:rPr>
      </w:pPr>
      <w:r>
        <w:rPr>
          <w:rFonts w:hint="eastAsia" w:ascii="Calibri" w:hAnsi="Calibri" w:eastAsia="宋体" w:cs="Calibri"/>
          <w:b w:val="0"/>
          <w:bCs w:val="0"/>
          <w:caps w:val="0"/>
          <w:color w:val="auto"/>
          <w:kern w:val="2"/>
          <w:sz w:val="24"/>
          <w:szCs w:val="24"/>
          <w:highlight w:val="none"/>
          <w:vertAlign w:val="baseline"/>
          <w:lang w:val="en-US" w:eastAsia="zh-CN" w:bidi="ar"/>
        </w:rPr>
        <w:t>3.8 招投标过程中，投标单位所提供的所有证件均需在有效期内且注册单位名称与投标单位的名称一致，如企业名称发生变更，需提供主管部门出具的变更证明材料，否则不接受其供应商参与本次招标项目的投标。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三、获取招标文件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1.时间：2023年09月08日至2023年09月14日每天 00：00 至 23：59时(北京时间，法定节假日除外)；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2.获取方式:网上下载。本项目不发放纸质文件，投标人可自行在“政采云”平台（http：//www.zcygov.cn）下载招标文件（操作路径：登录“政采云”平台-项目采购-获取采购文件-找到本项目-点击“申请获取采购文件”），电子投标文件制作需要基于“政采云”平台获取的招标文件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3.未进行网上注册并办理CA认证的投标人将无法参与本次招标活动。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4.售价：0元。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四、提交投标文件截止时间、开标时间和地点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1.提交投标文件的截止时间、开标时间：2023年10月07日09时30分（北京时间）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2.提交投标文件地点和开标地点：东北亚国际金融中心（人民大街与谊民路交汇东行100米）3号楼1楼（仅开放东门、从东门进入）第三开标室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投标文件提交方式：本项目为全流程电子化项目，通过“政采云”平台（http：//www.zcygov.cn）实行在线电子投标，投标人应先安装“政采云电子交易客户端”（请自行前往“政采云”平台进行下载），并按照本项目招标文件和“政采云”平台的要求编制、加密后在投标截止时间前通过网络上传至“政采云”平台，投标人在“政采云”平台提交电子版投标文件时，请填写参加开标活动经办人联系方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2）未进行网上注册并办理数字证书（CA认证）的投标人将无法参与本项目政府采购活动，潜在投标人应当在投标截止时间前，完成电子交易平台上的CA数字证书办理及投标文件的提交。数字证书办理及投标技术咨询：联系方式：0431-80545000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（3）为确保网上操作合法、有效和安全，请投标人确保在电子投标过程中能够对相关数据电文进行加密和使用电子签章，妥善保管CA数字证书并使用有效的CA数字证书参与整个招标活动。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（4）CA 证书解密：投标人持制作该电子投标文件的同一数字证书（CA 锁）及电脑进行远程解密（各投标人开标前及网上开评标系统公布投标人名单前，不要提前进行远程解密；建议供应商自行携带笔记本电脑进行现场解密或进行远程解密）。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bCs/>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五、公告期限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自本公告发布之日起5个工作日。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六、其他补充事宜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1.本次招标公告同时在《中国政府采购网》、《长春市公共资源交易网》、《吉林省公共资源交易公共服务平台》、《</w:t>
      </w:r>
      <w:r>
        <w:rPr>
          <w:rFonts w:hint="eastAsia" w:ascii="宋体" w:hAnsi="宋体" w:eastAsia="宋体" w:cs="宋体"/>
          <w:color w:val="333333"/>
          <w:sz w:val="24"/>
          <w:szCs w:val="24"/>
          <w:highlight w:val="none"/>
        </w:rPr>
        <w:t>长春市绿园区人民政府网</w:t>
      </w:r>
      <w:r>
        <w:rPr>
          <w:rFonts w:hint="eastAsia" w:ascii="宋体" w:hAnsi="宋体" w:eastAsia="宋体" w:cs="宋体"/>
          <w:highlight w:val="none"/>
          <w:lang w:eastAsia="zh-CN"/>
        </w:rPr>
        <w:t>》</w:t>
      </w:r>
      <w:r>
        <w:rPr>
          <w:rFonts w:hint="eastAsia" w:ascii="宋体" w:hAnsi="宋体" w:eastAsia="宋体" w:cs="宋体"/>
          <w:b w:val="0"/>
          <w:bCs w:val="0"/>
          <w:caps w:val="0"/>
          <w:color w:val="auto"/>
          <w:kern w:val="2"/>
          <w:sz w:val="24"/>
          <w:szCs w:val="24"/>
          <w:highlight w:val="none"/>
          <w:vertAlign w:val="baseline"/>
          <w:lang w:val="en-US" w:eastAsia="zh-CN" w:bidi="ar"/>
        </w:rPr>
        <w:t>上发布。</w:t>
      </w:r>
    </w:p>
    <w:p>
      <w:pPr>
        <w:pStyle w:val="2"/>
        <w:spacing w:line="360" w:lineRule="auto"/>
        <w:ind w:left="0" w:leftChars="0" w:firstLine="0" w:firstLineChars="0"/>
        <w:rPr>
          <w:rFonts w:hint="default"/>
          <w:lang w:val="en-US" w:eastAsia="zh-CN"/>
        </w:rPr>
      </w:pPr>
      <w:r>
        <w:rPr>
          <w:rFonts w:hint="eastAsia" w:ascii="宋体" w:hAnsi="宋体" w:cs="宋体"/>
          <w:b w:val="0"/>
          <w:bCs w:val="0"/>
          <w:caps w:val="0"/>
          <w:color w:val="auto"/>
          <w:kern w:val="2"/>
          <w:sz w:val="24"/>
          <w:szCs w:val="24"/>
          <w:highlight w:val="none"/>
          <w:vertAlign w:val="baseline"/>
          <w:lang w:val="en-US" w:eastAsia="zh-CN" w:bidi="ar"/>
        </w:rPr>
        <w:t>2.采购项目需要落实的政府采购政策：《财政部关于进一步加大政府采购支持中小企业力度的通知》（财库〔2022〕19号）、《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关于运用政府采购政策支持脱贫攻坚的通知》（财库〔2019〕27号）等相关政策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bCs/>
          <w:caps w:val="0"/>
          <w:color w:val="auto"/>
          <w:kern w:val="2"/>
          <w:sz w:val="24"/>
          <w:szCs w:val="24"/>
          <w:highlight w:val="none"/>
          <w:vertAlign w:val="baseline"/>
          <w:lang w:val="en-US" w:eastAsia="zh-CN" w:bidi="ar"/>
        </w:rPr>
        <w:t>七、对本次招标提出询问，请按以下方式联系。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1.采购人信息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名    称：长春市绿园区公共信息管理服务中心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地    址：吉林省长春市绿园区和平大街2288号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b w:val="0"/>
          <w:bCs w:val="0"/>
          <w:caps w:val="0"/>
          <w:color w:val="auto"/>
          <w:kern w:val="2"/>
          <w:sz w:val="24"/>
          <w:szCs w:val="24"/>
          <w:highlight w:val="none"/>
          <w:vertAlign w:val="baseline"/>
          <w:lang w:val="en-US" w:eastAsia="zh-CN" w:bidi="ar"/>
        </w:rPr>
      </w:pPr>
      <w:r>
        <w:rPr>
          <w:rFonts w:hint="eastAsia" w:ascii="宋体" w:hAnsi="宋体" w:eastAsia="宋体" w:cs="宋体"/>
          <w:b w:val="0"/>
          <w:bCs w:val="0"/>
          <w:caps w:val="0"/>
          <w:color w:val="auto"/>
          <w:kern w:val="2"/>
          <w:sz w:val="24"/>
          <w:szCs w:val="24"/>
          <w:highlight w:val="none"/>
          <w:vertAlign w:val="baseline"/>
          <w:lang w:val="en-US" w:eastAsia="zh-CN" w:bidi="ar"/>
        </w:rPr>
        <w:t>联系方式：18504401431（姓名：李昊瑞）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2.采购代理机构信息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名    称：吉林省万图工程咨询有限公司</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地    址：长春市净月开发区生态广场东侧南四环路4266号华友国际三期一幢19层1906</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联系方式：13234455308（曹舒萍）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3.项目联系方式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caps w:val="0"/>
          <w:color w:val="auto"/>
          <w:kern w:val="2"/>
          <w:sz w:val="24"/>
          <w:szCs w:val="24"/>
          <w:highlight w:val="none"/>
          <w:vertAlign w:val="baseline"/>
          <w:lang w:val="en-US"/>
        </w:rPr>
      </w:pPr>
      <w:r>
        <w:rPr>
          <w:rFonts w:hint="eastAsia" w:ascii="宋体" w:hAnsi="宋体" w:eastAsia="宋体" w:cs="宋体"/>
          <w:b w:val="0"/>
          <w:bCs w:val="0"/>
          <w:caps w:val="0"/>
          <w:color w:val="auto"/>
          <w:kern w:val="2"/>
          <w:sz w:val="24"/>
          <w:szCs w:val="24"/>
          <w:highlight w:val="none"/>
          <w:vertAlign w:val="baseline"/>
          <w:lang w:val="en-US" w:eastAsia="zh-CN" w:bidi="ar"/>
        </w:rPr>
        <w:t>项目联系人：曹舒萍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宋体" w:hAnsi="宋体" w:eastAsia="宋体" w:cs="宋体"/>
          <w:caps w:val="0"/>
          <w:color w:val="auto"/>
          <w:kern w:val="2"/>
          <w:sz w:val="24"/>
          <w:szCs w:val="24"/>
          <w:highlight w:val="none"/>
          <w:vertAlign w:val="baseline"/>
          <w:lang w:val="en-US"/>
        </w:rPr>
      </w:pPr>
      <w:r>
        <w:rPr>
          <w:rFonts w:hint="eastAsia" w:ascii="宋体" w:hAnsi="宋体" w:eastAsia="宋体" w:cs="宋体"/>
          <w:b w:val="0"/>
          <w:bCs w:val="0"/>
          <w:caps w:val="0"/>
          <w:color w:val="auto"/>
          <w:kern w:val="2"/>
          <w:sz w:val="24"/>
          <w:szCs w:val="24"/>
          <w:highlight w:val="none"/>
          <w:vertAlign w:val="baseline"/>
          <w:lang w:val="en-US" w:eastAsia="zh-CN" w:bidi="ar"/>
        </w:rPr>
        <w:t>电   话：13234455308</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4.监督机构：长春市绿园区财政局政府采购管理工作办公室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联系方式：0431-87605030</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投诉方式：书面投诉</w:t>
      </w:r>
    </w:p>
    <w:p>
      <w:pPr>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default" w:ascii="Calibri" w:hAnsi="Calibri" w:eastAsia="宋体" w:cs="Times New Roman"/>
          <w:caps w:val="0"/>
          <w:color w:val="auto"/>
          <w:kern w:val="2"/>
          <w:sz w:val="32"/>
          <w:szCs w:val="32"/>
          <w:highlight w:val="none"/>
          <w:vertAlign w:val="baseline"/>
          <w:lang w:bidi="ar"/>
        </w:rPr>
      </w:pPr>
      <w:bookmarkStart w:id="8" w:name="_Toc51884121"/>
      <w:r>
        <w:rPr>
          <w:rFonts w:hint="eastAsia" w:ascii="宋体" w:hAnsi="宋体" w:eastAsia="宋体" w:cs="Times New Roman"/>
          <w:b w:val="0"/>
          <w:bCs w:val="0"/>
          <w:caps w:val="0"/>
          <w:color w:val="auto"/>
          <w:kern w:val="2"/>
          <w:sz w:val="32"/>
          <w:szCs w:val="32"/>
          <w:highlight w:val="none"/>
          <w:vertAlign w:val="baseline"/>
          <w:lang w:val="en-US" w:eastAsia="zh-CN" w:bidi="ar"/>
        </w:rPr>
        <w:t>第二部分</w:t>
      </w:r>
      <w:r>
        <w:rPr>
          <w:rFonts w:hint="default" w:ascii="Calibri" w:hAnsi="Calibri" w:eastAsia="宋体" w:cs="Times New Roman"/>
          <w:b w:val="0"/>
          <w:bCs w:val="0"/>
          <w:caps w:val="0"/>
          <w:color w:val="auto"/>
          <w:kern w:val="2"/>
          <w:sz w:val="32"/>
          <w:szCs w:val="32"/>
          <w:highlight w:val="non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一、供应商须知前附表</w:t>
      </w:r>
    </w:p>
    <w:tbl>
      <w:tblPr>
        <w:tblStyle w:val="24"/>
        <w:tblW w:w="907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71"/>
        <w:gridCol w:w="2127"/>
        <w:gridCol w:w="638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号</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容</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说明与要求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名    称：长春市绿园区公共信息管理服务中心</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地    址：吉林省长春市绿园区和平大街2288号</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联系方式：18504401431（姓名：李昊瑞）</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名    称：吉林省万图工程咨询有限公司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地    址：长春市净月开发区生态广场东侧南四环路4266号华友国际三期一幢19层1906</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联系方式：13234455308（曹舒萍）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长春市绿园区电子政务外网平台项目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项目编号</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default" w:ascii="宋体" w:hAnsi="宋体" w:eastAsia="宋体" w:cs="宋体"/>
                <w:b w:val="0"/>
                <w:bCs w:val="0"/>
                <w:caps w:val="0"/>
                <w:color w:val="auto"/>
                <w:kern w:val="2"/>
                <w:sz w:val="21"/>
                <w:szCs w:val="21"/>
                <w:highlight w:val="none"/>
                <w:vertAlign w:val="baseline"/>
                <w:lang w:val="en-US" w:eastAsia="zh-CN" w:bidi="ar"/>
              </w:rPr>
              <w:t>LY202309-100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91" w:hRule="atLeast"/>
          <w:jc w:val="center"/>
        </w:trPr>
        <w:tc>
          <w:tcPr>
            <w:tcW w:w="571"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采购预算</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spacing w:line="380" w:lineRule="exact"/>
              <w:rPr>
                <w:rFonts w:hint="default"/>
                <w:highlight w:val="none"/>
                <w:lang w:val="en-US" w:eastAsia="zh-CN"/>
              </w:rPr>
            </w:pPr>
            <w:r>
              <w:rPr>
                <w:rFonts w:hint="default"/>
                <w:highlight w:val="none"/>
                <w:lang w:val="en-US" w:eastAsia="zh-CN"/>
              </w:rPr>
              <w:t>13,498,100.00元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项目地点</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长春市绿园区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采购内容</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电子政务外网网络服务及安全管理服务等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8</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2"/>
                <w:szCs w:val="22"/>
                <w:highlight w:val="none"/>
                <w:vertAlign w:val="baseline"/>
                <w:lang w:val="en-US" w:eastAsia="zh-CN" w:bidi="ar"/>
              </w:rPr>
              <w:t>建设期为签订合同之日起至2023年12月。</w:t>
            </w:r>
            <w:r>
              <w:rPr>
                <w:rFonts w:hint="eastAsia" w:ascii="宋体" w:hAnsi="宋体" w:eastAsia="宋体" w:cs="宋体"/>
                <w:b w:val="0"/>
                <w:bCs w:val="0"/>
                <w:caps w:val="0"/>
                <w:color w:val="auto"/>
                <w:kern w:val="2"/>
                <w:sz w:val="22"/>
                <w:szCs w:val="22"/>
                <w:highlight w:val="none"/>
                <w:vertAlign w:val="baseline"/>
                <w:lang w:val="en-US" w:eastAsia="zh-Hans" w:bidi="ar"/>
              </w:rPr>
              <w:t>验收合格后，</w:t>
            </w:r>
            <w:r>
              <w:rPr>
                <w:rFonts w:hint="eastAsia" w:ascii="宋体" w:hAnsi="宋体" w:eastAsia="宋体" w:cs="宋体"/>
                <w:b w:val="0"/>
                <w:bCs w:val="0"/>
                <w:caps w:val="0"/>
                <w:color w:val="auto"/>
                <w:kern w:val="2"/>
                <w:sz w:val="22"/>
                <w:szCs w:val="22"/>
                <w:highlight w:val="none"/>
                <w:vertAlign w:val="baseline"/>
                <w:lang w:val="en-US" w:eastAsia="zh-CN" w:bidi="ar"/>
              </w:rPr>
              <w:t>服务期限三年（具体内容以签订合同为准）。为保障绿园区政府电子政务业务连续性，专线服务需要在签订合同后15天内完成。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资金来源</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一般预算资金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404"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10</w:t>
            </w:r>
          </w:p>
        </w:tc>
        <w:tc>
          <w:tcPr>
            <w:tcW w:w="212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供应商资格要求</w:t>
            </w:r>
          </w:p>
        </w:tc>
        <w:tc>
          <w:tcPr>
            <w:tcW w:w="638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1. 满足《中华人民共和国政府采购法》第二十二条规定；</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2. 落实政府采购政策需满足的资格要求：本项目非专门面向中小企业采购；</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 本项目的特定资格要求：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3.1 在中国境内注册，具有独立承担民事责任能力的独立法人或其他组织形式，具备有效的营业执照，具有履行合同所必需的设备和专业技术能力；</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3.2 具有《中华人民共和国基础电信业务经营许可证》或《增值电信业务经营许可证》；</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3.3 具有良好的商业信誉和健全的财务会计制度，提供财务状况良好资格条件承诺函；</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3.4 具有依法缴纳税收和社会保障资金的良好记录，提供依法缴纳税收和依法缴纳社会保障资金资格条件承诺函；</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3.5 与采购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3.6 拒绝列入政府取消投标资格记录期间的企业或个人投标；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3.7 对列入失信被执行人、重大税收违法案件当事人名单、政府采购严重违法失信行为记录名单的供应商，拒绝其参与政府采购活动。查询通道：“信用中国”网站（www.creditchina.gov.cn）、中国政府采购网（www.ccgp.gov.cn）等；</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3.8 招投标过程中，投标单位所提供的所有证件均需在有效期内且注册单位名称与投标单位的名称一致，如企业名称发生变更，需提供主管部门出具的变更证明材料，否则不接受其供应商参与本次招标项目的投标。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4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11</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是否接受联合体投标</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8"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12</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踏勘现场</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t>R</w:t>
            </w:r>
            <w:r>
              <w:rPr>
                <w:rFonts w:hint="eastAsia" w:ascii="宋体" w:hAnsi="宋体" w:eastAsia="宋体" w:cs="Times New Roman"/>
                <w:b w:val="0"/>
                <w:bCs w:val="0"/>
                <w:caps w:val="0"/>
                <w:color w:val="auto"/>
                <w:kern w:val="2"/>
                <w:sz w:val="21"/>
                <w:szCs w:val="21"/>
                <w:highlight w:val="none"/>
                <w:vertAlign w:val="baseline"/>
                <w:lang w:val="en-US" w:eastAsia="zh-CN" w:bidi="ar"/>
              </w:rPr>
              <w:t>不组织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24" w:hRule="atLeast"/>
          <w:jc w:val="center"/>
        </w:trPr>
        <w:tc>
          <w:tcPr>
            <w:tcW w:w="571"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13</w:t>
            </w:r>
          </w:p>
        </w:tc>
        <w:tc>
          <w:tcPr>
            <w:tcW w:w="2127"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答疑会时间及地点</w:t>
            </w:r>
          </w:p>
        </w:tc>
        <w:tc>
          <w:tcPr>
            <w:tcW w:w="6380"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t>R</w:t>
            </w:r>
            <w:r>
              <w:rPr>
                <w:rFonts w:hint="eastAsia" w:ascii="宋体" w:hAnsi="宋体" w:eastAsia="宋体" w:cs="Times New Roman"/>
                <w:b w:val="0"/>
                <w:bCs w:val="0"/>
                <w:caps w:val="0"/>
                <w:color w:val="auto"/>
                <w:kern w:val="2"/>
                <w:sz w:val="21"/>
                <w:szCs w:val="21"/>
                <w:highlight w:val="none"/>
                <w:vertAlign w:val="baseline"/>
                <w:lang w:val="en-US" w:eastAsia="zh-CN" w:bidi="ar"/>
              </w:rPr>
              <w:t>不召开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14</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分包、转包</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15</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偏离</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Wingdings 2" w:hAnsi="Wingdings 2" w:eastAsia="宋体" w:cs="Wingdings 2"/>
                <w:b w:val="0"/>
                <w:bCs w:val="0"/>
                <w:caps w:val="0"/>
                <w:color w:val="auto"/>
                <w:kern w:val="2"/>
                <w:sz w:val="21"/>
                <w:szCs w:val="21"/>
                <w:highlight w:val="none"/>
                <w:vertAlign w:val="baseline"/>
                <w:lang w:val="en-US" w:eastAsia="zh-CN" w:bidi="ar"/>
              </w:rPr>
              <w:t>R</w:t>
            </w:r>
            <w:r>
              <w:rPr>
                <w:rFonts w:hint="eastAsia" w:ascii="宋体" w:hAnsi="宋体" w:eastAsia="宋体" w:cs="Times New Roman"/>
                <w:b w:val="0"/>
                <w:bCs w:val="0"/>
                <w:caps w:val="0"/>
                <w:color w:val="auto"/>
                <w:kern w:val="2"/>
                <w:sz w:val="21"/>
                <w:szCs w:val="21"/>
                <w:highlight w:val="none"/>
                <w:vertAlign w:val="baseline"/>
                <w:lang w:val="en-US" w:eastAsia="zh-CN" w:bidi="ar"/>
              </w:rPr>
              <w:t>允许正偏离</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□不接受任何偏离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1"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16</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构成投标文件</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的其他材料</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cs="宋体"/>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17</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签字或盖章要求</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）所有要求签字的地方都应用不褪色的墨水或签字笔由本人亲笔手写签字（包括姓和名），不得用盖章（如签名章、签字章等）代替，也不得由他人代签。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）所有要求盖章的地方都应按照招标文件的规定加盖与投标人名称全称相一致的标准公章，不得使用彩喷或者彩印的印章、可使用专用章（如合同专用章、投标专用章等）代替。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）投标文件格式中要求投标人“法定代表人或其委托代理人”签字的，如法定代表人亲自投标而不委托代理人投标，由法定代表人签字；如法定代表人授权委托代理人投标，由委托代理人签字。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18</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日历天（从投标截止之日算起）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19</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w:t>
            </w:r>
          </w:p>
        </w:tc>
        <w:tc>
          <w:tcPr>
            <w:tcW w:w="6380"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不收取。</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eastAsia="宋体" w:cs="Times New Roman"/>
                <w:b w:val="0"/>
                <w:bCs w:val="0"/>
                <w:caps w:val="0"/>
                <w:color w:val="auto"/>
                <w:kern w:val="2"/>
                <w:sz w:val="21"/>
                <w:szCs w:val="21"/>
                <w:highlight w:val="none"/>
                <w:vertAlign w:val="baseline"/>
                <w:lang w:val="zh-CN" w:eastAsia="zh-CN" w:bidi="ar"/>
              </w:rPr>
              <w:t>诚信记录良好的供应商不收取投标保证金。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69"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20</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投标文件份数</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纸质版投标文件份数要求：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正本</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份，副本</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份，同时提供电子文件</w:t>
            </w:r>
            <w:r>
              <w:rPr>
                <w:rFonts w:hint="default" w:ascii="Calibri" w:hAnsi="Calibri" w:eastAsia="宋体" w:cs="Times New Roman"/>
                <w:b w:val="0"/>
                <w:bCs w:val="0"/>
                <w:caps w:val="0"/>
                <w:color w:val="auto"/>
                <w:kern w:val="2"/>
                <w:sz w:val="21"/>
                <w:szCs w:val="21"/>
                <w:highlight w:val="none"/>
                <w:vertAlign w:val="baseline"/>
                <w:lang w:val="en-US" w:eastAsia="zh-CN" w:bidi="ar"/>
              </w:rPr>
              <w:t>U</w:t>
            </w:r>
            <w:r>
              <w:rPr>
                <w:rFonts w:hint="eastAsia" w:ascii="宋体" w:hAnsi="宋体" w:eastAsia="宋体" w:cs="Times New Roman"/>
                <w:b w:val="0"/>
                <w:bCs w:val="0"/>
                <w:caps w:val="0"/>
                <w:color w:val="auto"/>
                <w:kern w:val="2"/>
                <w:sz w:val="21"/>
                <w:szCs w:val="21"/>
                <w:highlight w:val="none"/>
                <w:vertAlign w:val="baseline"/>
                <w:lang w:val="en-US" w:eastAsia="zh-CN" w:bidi="ar"/>
              </w:rPr>
              <w:t>盘</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份（投标文件格式为签字盖章后的</w:t>
            </w:r>
            <w:r>
              <w:rPr>
                <w:rFonts w:hint="default" w:ascii="Calibri" w:hAnsi="Calibri" w:eastAsia="宋体" w:cs="Times New Roman"/>
                <w:b w:val="0"/>
                <w:bCs w:val="0"/>
                <w:caps w:val="0"/>
                <w:color w:val="auto"/>
                <w:kern w:val="2"/>
                <w:sz w:val="21"/>
                <w:szCs w:val="21"/>
                <w:highlight w:val="none"/>
                <w:vertAlign w:val="baseline"/>
                <w:lang w:val="en-US" w:eastAsia="zh-CN" w:bidi="ar"/>
              </w:rPr>
              <w:t>PDF</w:t>
            </w:r>
            <w:r>
              <w:rPr>
                <w:rFonts w:hint="eastAsia" w:ascii="宋体" w:hAnsi="宋体" w:eastAsia="宋体" w:cs="Times New Roman"/>
                <w:b w:val="0"/>
                <w:bCs w:val="0"/>
                <w:caps w:val="0"/>
                <w:color w:val="auto"/>
                <w:kern w:val="2"/>
                <w:sz w:val="21"/>
                <w:szCs w:val="21"/>
                <w:highlight w:val="none"/>
                <w:vertAlign w:val="baseline"/>
                <w:lang w:val="en-US" w:eastAsia="zh-CN" w:bidi="ar"/>
              </w:rPr>
              <w:t>版本扫描件），提交电子文件中要求的内容应包括纸质投标文件的全部内容。</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）投标截止时间前以现场或邮寄方式递交纸质投标文件至采购代理机构。</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）投标单位在“政采云”平台（</w:t>
            </w:r>
            <w:r>
              <w:rPr>
                <w:rFonts w:hint="default" w:ascii="Calibri" w:hAnsi="Calibri" w:eastAsia="宋体" w:cs="Times New Roman"/>
                <w:b w:val="0"/>
                <w:bCs w:val="0"/>
                <w:caps w:val="0"/>
                <w:color w:val="auto"/>
                <w:kern w:val="2"/>
                <w:sz w:val="21"/>
                <w:szCs w:val="21"/>
                <w:highlight w:val="none"/>
                <w:vertAlign w:val="baseline"/>
                <w:lang w:val="en-US" w:eastAsia="zh-CN" w:bidi="ar"/>
              </w:rPr>
              <w:t>http</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//www.zcygov.cn</w:t>
            </w:r>
            <w:r>
              <w:rPr>
                <w:rFonts w:hint="eastAsia" w:ascii="宋体" w:hAnsi="宋体" w:eastAsia="宋体" w:cs="Times New Roman"/>
                <w:b w:val="0"/>
                <w:bCs w:val="0"/>
                <w:caps w:val="0"/>
                <w:color w:val="auto"/>
                <w:kern w:val="2"/>
                <w:sz w:val="21"/>
                <w:szCs w:val="21"/>
                <w:highlight w:val="none"/>
                <w:vertAlign w:val="baseline"/>
                <w:lang w:val="en-US" w:eastAsia="zh-CN" w:bidi="ar"/>
              </w:rPr>
              <w:t>）上制作投标文件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份（此投标文件须上传至“政采云”平台）。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）投标单位在制作投标文件时，电子投标文件以“政采云”平台的投标文件格式为准；纸质投标文件以招标文件中《第五章 投标文件格式》为准。投标单位上传至“政采云”平台的电子投标文件内容，在纸质投标文件中均应体现。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54"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21</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spacing w:line="240" w:lineRule="auto"/>
              <w:jc w:val="left"/>
              <w:rPr>
                <w:rFonts w:hint="default" w:ascii="宋体" w:hAnsi="宋体" w:eastAsia="宋体" w:cs="宋体"/>
                <w:kern w:val="0"/>
                <w:sz w:val="21"/>
                <w:szCs w:val="21"/>
                <w:highlight w:val="none"/>
                <w:lang w:val="zh-CN" w:eastAsia="zh-CN" w:bidi="ar-SA"/>
              </w:rPr>
            </w:pPr>
            <w:r>
              <w:rPr>
                <w:rFonts w:hint="eastAsia" w:ascii="宋体" w:hAnsi="宋体" w:eastAsia="宋体" w:cs="宋体"/>
                <w:kern w:val="0"/>
                <w:sz w:val="21"/>
                <w:szCs w:val="21"/>
                <w:highlight w:val="none"/>
                <w:lang w:val="zh-CN"/>
              </w:rPr>
              <w:t>装订要求</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rPr>
                <w:rFonts w:hint="default" w:ascii="宋体" w:hAnsi="宋体" w:eastAsia="宋体" w:cs="宋体"/>
                <w:kern w:val="15"/>
                <w:sz w:val="21"/>
                <w:szCs w:val="21"/>
                <w:highlight w:val="none"/>
                <w:lang w:val="zh-CN" w:eastAsia="zh-CN" w:bidi="ar-SA"/>
              </w:rPr>
            </w:pPr>
            <w:r>
              <w:rPr>
                <w:rFonts w:hint="eastAsia" w:ascii="宋体" w:hAnsi="宋体" w:eastAsia="宋体" w:cs="宋体"/>
                <w:kern w:val="15"/>
                <w:sz w:val="21"/>
                <w:szCs w:val="21"/>
                <w:highlight w:val="none"/>
              </w:rPr>
              <w:t>投标文件的装订要整齐、牢固，编制目录，便于保管和利用，不能采用活页装订方式。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22</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spacing w:line="240" w:lineRule="auto"/>
              <w:jc w:val="left"/>
              <w:rPr>
                <w:rFonts w:hint="default" w:ascii="宋体" w:hAnsi="宋体" w:eastAsia="宋体" w:cs="宋体"/>
                <w:kern w:val="0"/>
                <w:sz w:val="21"/>
                <w:szCs w:val="21"/>
                <w:highlight w:val="none"/>
                <w:lang w:val="zh-CN" w:eastAsia="zh-CN" w:bidi="ar-SA"/>
              </w:rPr>
            </w:pPr>
            <w:r>
              <w:rPr>
                <w:rFonts w:hint="eastAsia" w:ascii="宋体" w:hAnsi="宋体" w:eastAsia="宋体" w:cs="宋体"/>
                <w:kern w:val="0"/>
                <w:sz w:val="21"/>
                <w:szCs w:val="21"/>
                <w:highlight w:val="none"/>
                <w:lang w:val="zh-CN"/>
              </w:rPr>
              <w:t>封套上写明</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rPr>
                <w:rFonts w:hint="eastAsia" w:ascii="宋体" w:hAnsi="宋体" w:eastAsia="宋体" w:cs="宋体"/>
                <w:kern w:val="15"/>
                <w:sz w:val="21"/>
                <w:szCs w:val="21"/>
                <w:highlight w:val="none"/>
                <w:lang w:val="zh-CN"/>
              </w:rPr>
            </w:pPr>
            <w:r>
              <w:rPr>
                <w:rFonts w:hint="eastAsia" w:ascii="宋体" w:hAnsi="宋体" w:eastAsia="宋体" w:cs="宋体"/>
                <w:kern w:val="15"/>
                <w:sz w:val="21"/>
                <w:szCs w:val="21"/>
                <w:highlight w:val="none"/>
                <w:lang w:val="zh-CN"/>
              </w:rPr>
              <w:t>采购人名称：</w:t>
            </w:r>
            <w:r>
              <w:rPr>
                <w:rFonts w:hint="eastAsia" w:ascii="宋体" w:hAnsi="宋体" w:eastAsia="宋体" w:cs="宋体"/>
                <w:kern w:val="15"/>
                <w:sz w:val="21"/>
                <w:szCs w:val="21"/>
                <w:highlight w:val="none"/>
              </w:rPr>
              <w:t xml:space="preserve"> </w:t>
            </w:r>
          </w:p>
          <w:p>
            <w:pPr>
              <w:spacing w:line="240" w:lineRule="auto"/>
              <w:rPr>
                <w:rFonts w:hint="eastAsia" w:ascii="宋体" w:hAnsi="宋体" w:eastAsia="宋体" w:cs="宋体"/>
                <w:kern w:val="15"/>
                <w:sz w:val="21"/>
                <w:szCs w:val="21"/>
                <w:highlight w:val="none"/>
              </w:rPr>
            </w:pPr>
            <w:r>
              <w:rPr>
                <w:rFonts w:hint="eastAsia" w:ascii="宋体" w:hAnsi="宋体" w:eastAsia="宋体" w:cs="宋体"/>
                <w:kern w:val="15"/>
                <w:sz w:val="21"/>
                <w:szCs w:val="21"/>
                <w:highlight w:val="none"/>
                <w:lang w:val="zh-CN"/>
              </w:rPr>
              <w:t>采购人地址：</w:t>
            </w:r>
            <w:r>
              <w:rPr>
                <w:rFonts w:hint="eastAsia" w:ascii="宋体" w:hAnsi="宋体" w:eastAsia="宋体" w:cs="宋体"/>
                <w:kern w:val="15"/>
                <w:sz w:val="21"/>
                <w:szCs w:val="21"/>
                <w:highlight w:val="none"/>
              </w:rPr>
              <w:t xml:space="preserve"> </w:t>
            </w:r>
          </w:p>
          <w:p>
            <w:pPr>
              <w:spacing w:line="240" w:lineRule="auto"/>
              <w:rPr>
                <w:rFonts w:hint="eastAsia" w:ascii="宋体" w:hAnsi="宋体" w:eastAsia="宋体" w:cs="宋体"/>
                <w:kern w:val="15"/>
                <w:sz w:val="21"/>
                <w:szCs w:val="21"/>
                <w:highlight w:val="none"/>
              </w:rPr>
            </w:pPr>
            <w:r>
              <w:rPr>
                <w:rFonts w:hint="eastAsia" w:ascii="宋体" w:hAnsi="宋体" w:eastAsia="宋体" w:cs="宋体"/>
                <w:kern w:val="15"/>
                <w:sz w:val="21"/>
                <w:szCs w:val="21"/>
                <w:highlight w:val="none"/>
              </w:rPr>
              <w:t>项目名称：</w:t>
            </w:r>
          </w:p>
          <w:p>
            <w:pPr>
              <w:spacing w:line="240" w:lineRule="auto"/>
              <w:rPr>
                <w:rFonts w:hint="eastAsia" w:ascii="宋体" w:hAnsi="宋体" w:eastAsia="宋体" w:cs="宋体"/>
                <w:kern w:val="15"/>
                <w:sz w:val="21"/>
                <w:szCs w:val="21"/>
                <w:highlight w:val="none"/>
              </w:rPr>
            </w:pPr>
            <w:r>
              <w:rPr>
                <w:rFonts w:hint="eastAsia" w:ascii="宋体" w:hAnsi="宋体" w:eastAsia="宋体" w:cs="宋体"/>
                <w:kern w:val="15"/>
                <w:sz w:val="21"/>
                <w:szCs w:val="21"/>
                <w:highlight w:val="none"/>
              </w:rPr>
              <w:t>项目编号：</w:t>
            </w:r>
          </w:p>
          <w:p>
            <w:pPr>
              <w:spacing w:line="240" w:lineRule="auto"/>
              <w:rPr>
                <w:rFonts w:hint="eastAsia" w:ascii="宋体" w:hAnsi="宋体" w:eastAsia="宋体" w:cs="宋体"/>
                <w:kern w:val="15"/>
                <w:sz w:val="21"/>
                <w:szCs w:val="21"/>
                <w:highlight w:val="none"/>
              </w:rPr>
            </w:pPr>
            <w:r>
              <w:rPr>
                <w:rFonts w:hint="eastAsia" w:ascii="宋体" w:hAnsi="宋体" w:eastAsia="宋体" w:cs="宋体"/>
                <w:kern w:val="15"/>
                <w:sz w:val="21"/>
                <w:szCs w:val="21"/>
                <w:highlight w:val="none"/>
              </w:rPr>
              <w:t>投标人名称：</w:t>
            </w:r>
          </w:p>
          <w:p>
            <w:pPr>
              <w:spacing w:line="240" w:lineRule="auto"/>
              <w:rPr>
                <w:rFonts w:hint="eastAsia" w:ascii="宋体" w:hAnsi="宋体" w:eastAsia="宋体" w:cs="宋体"/>
                <w:kern w:val="15"/>
                <w:sz w:val="21"/>
                <w:szCs w:val="21"/>
                <w:highlight w:val="none"/>
              </w:rPr>
            </w:pPr>
            <w:r>
              <w:rPr>
                <w:rFonts w:hint="eastAsia" w:ascii="宋体" w:hAnsi="宋体" w:eastAsia="宋体" w:cs="宋体"/>
                <w:kern w:val="15"/>
                <w:sz w:val="21"/>
                <w:szCs w:val="21"/>
                <w:highlight w:val="none"/>
              </w:rPr>
              <w:t>投标人地址：</w:t>
            </w:r>
          </w:p>
          <w:p>
            <w:pPr>
              <w:spacing w:line="240" w:lineRule="auto"/>
              <w:rPr>
                <w:rFonts w:hint="default" w:ascii="宋体" w:hAnsi="宋体" w:eastAsia="宋体" w:cs="宋体"/>
                <w:kern w:val="15"/>
                <w:sz w:val="21"/>
                <w:szCs w:val="21"/>
                <w:highlight w:val="none"/>
                <w:lang w:val="zh-CN" w:eastAsia="zh-CN" w:bidi="ar-SA"/>
              </w:rPr>
            </w:pPr>
            <w:r>
              <w:rPr>
                <w:rFonts w:hint="eastAsia" w:ascii="宋体" w:hAnsi="宋体" w:eastAsia="宋体" w:cs="宋体"/>
                <w:kern w:val="15"/>
                <w:sz w:val="21"/>
                <w:szCs w:val="21"/>
                <w:highlight w:val="none"/>
                <w:lang w:val="en-US" w:eastAsia="zh-CN"/>
              </w:rPr>
              <w:t>投标</w:t>
            </w:r>
            <w:r>
              <w:rPr>
                <w:rFonts w:hint="eastAsia" w:ascii="宋体" w:hAnsi="宋体" w:eastAsia="宋体" w:cs="宋体"/>
                <w:kern w:val="15"/>
                <w:sz w:val="21"/>
                <w:szCs w:val="21"/>
                <w:highlight w:val="none"/>
                <w:lang w:val="zh-CN"/>
              </w:rPr>
              <w:t>文件在</w:t>
            </w:r>
            <w:r>
              <w:rPr>
                <w:rFonts w:hint="eastAsia" w:ascii="宋体" w:hAnsi="宋体" w:eastAsia="宋体" w:cs="宋体"/>
                <w:kern w:val="15"/>
                <w:sz w:val="21"/>
                <w:szCs w:val="21"/>
                <w:highlight w:val="none"/>
              </w:rPr>
              <w:t xml:space="preserve"> </w:t>
            </w:r>
            <w:r>
              <w:rPr>
                <w:rFonts w:hint="eastAsia" w:ascii="宋体" w:hAnsi="宋体" w:eastAsia="宋体" w:cs="宋体"/>
                <w:kern w:val="15"/>
                <w:sz w:val="21"/>
                <w:szCs w:val="21"/>
                <w:highlight w:val="none"/>
                <w:lang w:val="zh-CN"/>
              </w:rPr>
              <w:t>年</w:t>
            </w:r>
            <w:r>
              <w:rPr>
                <w:rFonts w:hint="eastAsia" w:ascii="宋体" w:hAnsi="宋体" w:eastAsia="宋体" w:cs="宋体"/>
                <w:kern w:val="15"/>
                <w:sz w:val="21"/>
                <w:szCs w:val="21"/>
                <w:highlight w:val="none"/>
              </w:rPr>
              <w:t xml:space="preserve"> </w:t>
            </w:r>
            <w:r>
              <w:rPr>
                <w:rFonts w:hint="eastAsia" w:ascii="宋体" w:hAnsi="宋体" w:eastAsia="宋体" w:cs="宋体"/>
                <w:kern w:val="15"/>
                <w:sz w:val="21"/>
                <w:szCs w:val="21"/>
                <w:highlight w:val="none"/>
                <w:lang w:val="zh-CN"/>
              </w:rPr>
              <w:t>月</w:t>
            </w:r>
            <w:r>
              <w:rPr>
                <w:rFonts w:hint="eastAsia" w:ascii="宋体" w:hAnsi="宋体" w:eastAsia="宋体" w:cs="宋体"/>
                <w:kern w:val="15"/>
                <w:sz w:val="21"/>
                <w:szCs w:val="21"/>
                <w:highlight w:val="none"/>
              </w:rPr>
              <w:t xml:space="preserve"> </w:t>
            </w:r>
            <w:r>
              <w:rPr>
                <w:rFonts w:hint="eastAsia" w:ascii="宋体" w:hAnsi="宋体" w:eastAsia="宋体" w:cs="宋体"/>
                <w:kern w:val="15"/>
                <w:sz w:val="21"/>
                <w:szCs w:val="21"/>
                <w:highlight w:val="none"/>
                <w:lang w:val="zh-CN"/>
              </w:rPr>
              <w:t>日</w:t>
            </w:r>
            <w:r>
              <w:rPr>
                <w:rFonts w:hint="eastAsia" w:ascii="宋体" w:hAnsi="宋体" w:eastAsia="宋体" w:cs="宋体"/>
                <w:kern w:val="15"/>
                <w:sz w:val="21"/>
                <w:szCs w:val="21"/>
                <w:highlight w:val="none"/>
              </w:rPr>
              <w:t xml:space="preserve"> </w:t>
            </w:r>
            <w:r>
              <w:rPr>
                <w:rFonts w:hint="eastAsia" w:ascii="宋体" w:hAnsi="宋体" w:eastAsia="宋体" w:cs="宋体"/>
                <w:kern w:val="15"/>
                <w:sz w:val="21"/>
                <w:szCs w:val="21"/>
                <w:highlight w:val="none"/>
                <w:lang w:val="zh-CN"/>
              </w:rPr>
              <w:t>时</w:t>
            </w:r>
            <w:r>
              <w:rPr>
                <w:rFonts w:hint="eastAsia" w:ascii="宋体" w:hAnsi="宋体" w:eastAsia="宋体" w:cs="宋体"/>
                <w:kern w:val="15"/>
                <w:sz w:val="21"/>
                <w:szCs w:val="21"/>
                <w:highlight w:val="none"/>
              </w:rPr>
              <w:t xml:space="preserve"> </w:t>
            </w:r>
            <w:r>
              <w:rPr>
                <w:rFonts w:hint="eastAsia" w:ascii="宋体" w:hAnsi="宋体" w:eastAsia="宋体" w:cs="宋体"/>
                <w:kern w:val="15"/>
                <w:sz w:val="21"/>
                <w:szCs w:val="21"/>
                <w:highlight w:val="none"/>
                <w:lang w:val="zh-CN"/>
              </w:rPr>
              <w:t>分（北京时间）前不得开启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23</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投标文件提交地点及截止时间</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时间：2023年10月07日09时30分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地点：东北亚国际金融中心（人民大街与谊民路交汇东行100米）3号楼1楼（仅开放东门、从东门进入）第三</w:t>
            </w:r>
            <w:r>
              <w:rPr>
                <w:rFonts w:hint="eastAsia" w:ascii="宋体" w:hAnsi="宋体" w:eastAsia="宋体" w:cs="Times New Roman"/>
                <w:b w:val="0"/>
                <w:bCs w:val="0"/>
                <w:caps w:val="0"/>
                <w:color w:val="auto"/>
                <w:kern w:val="2"/>
                <w:sz w:val="21"/>
                <w:szCs w:val="21"/>
                <w:highlight w:val="none"/>
                <w:vertAlign w:val="baseline"/>
                <w:lang w:val="en-US" w:eastAsia="zh-CN" w:bidi="ar"/>
              </w:rPr>
              <w:t>开标室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24</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时间：2023年10月07日09时30分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地点：东北亚国际金融中心（人民大街与谊民路交汇东行100米）3号楼1楼（仅开放东门、从东门进入）第三</w:t>
            </w:r>
            <w:r>
              <w:rPr>
                <w:rFonts w:hint="eastAsia" w:ascii="宋体" w:hAnsi="宋体" w:eastAsia="宋体" w:cs="Times New Roman"/>
                <w:b w:val="0"/>
                <w:bCs w:val="0"/>
                <w:caps w:val="0"/>
                <w:color w:val="auto"/>
                <w:kern w:val="2"/>
                <w:sz w:val="21"/>
                <w:szCs w:val="21"/>
                <w:highlight w:val="none"/>
                <w:vertAlign w:val="baseline"/>
                <w:lang w:val="en-US" w:eastAsia="zh-CN" w:bidi="ar"/>
              </w:rPr>
              <w:t>开标室</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、采用邮寄方式递交的投标人须在邮寄前与代理机构取得联系确认收件地址，之后将投标文件邮寄至招标代理机构并做好密封。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采用邮寄方式的，纸质版投标文件、电子版投标文件、询标邮箱授权函及开标一览表（保函如有）要求分别单独密封后再一起封存在一个包装内，在投标截止时间前邮寄至代理机构，以代理机构签收时间为准作为投标人递交投标文件时间。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、采用邮寄方式递交投标文件的，由投</w:t>
            </w:r>
            <w:bookmarkStart w:id="9" w:name="_GoBack"/>
            <w:bookmarkEnd w:id="9"/>
            <w:r>
              <w:rPr>
                <w:rFonts w:hint="eastAsia" w:ascii="宋体" w:hAnsi="宋体" w:eastAsia="宋体" w:cs="Times New Roman"/>
                <w:b w:val="0"/>
                <w:bCs w:val="0"/>
                <w:caps w:val="0"/>
                <w:color w:val="auto"/>
                <w:kern w:val="2"/>
                <w:sz w:val="21"/>
                <w:szCs w:val="21"/>
                <w:highlight w:val="none"/>
                <w:vertAlign w:val="baseline"/>
                <w:lang w:val="en-US" w:eastAsia="zh-CN" w:bidi="ar"/>
              </w:rPr>
              <w:t>标人自行承担其投标文件密封、破损、安全等风险，采购人及招标代理机构概不负责。</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、采用邮寄方式递交的投标文件由代理机构统一将投标文件送至开标现场。</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5、现场递交投标文件的投标人在开标当天应尽量提前到场，递交完成投标文件后进入开标直播会议室后即刻离场，并保持电话畅通。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25</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评标方法及标准</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26</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资格审查方式</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资格后审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27</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评标委员会的组建</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评标委员会构成：</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人，评标委员会专家确定方式：从政府采购评审专家库中随机抽取产生。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28</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是否授权评标委员会确定中标人</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否</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caps w:val="0"/>
                <w:color w:val="auto"/>
                <w:kern w:val="2"/>
                <w:sz w:val="21"/>
                <w:szCs w:val="21"/>
                <w:highlight w:val="none"/>
                <w:vertAlign w:val="baseline"/>
                <w:lang w:bidi="ar"/>
              </w:rPr>
              <w:t>采购人应当自收到评标报告之日起５个工作日内，在评标报告确定的中标候选人名单中按顺序确定中标人。中标候选人并列的，采购人可采取随机抽取的方式确定。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29</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履约担保</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本项目不收取履约保证金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30</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付款方式</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caps w:val="0"/>
                <w:color w:val="auto"/>
                <w:kern w:val="2"/>
                <w:sz w:val="21"/>
                <w:szCs w:val="21"/>
                <w:highlight w:val="none"/>
                <w:vertAlign w:val="baseline"/>
                <w:lang w:bidi="ar"/>
              </w:rPr>
            </w:pPr>
            <w:r>
              <w:rPr>
                <w:rFonts w:hint="eastAsia" w:ascii="宋体" w:hAnsi="宋体" w:eastAsia="宋体" w:cs="宋体"/>
                <w:b w:val="0"/>
                <w:bCs w:val="0"/>
                <w:caps w:val="0"/>
                <w:color w:val="auto"/>
                <w:kern w:val="2"/>
                <w:sz w:val="21"/>
                <w:szCs w:val="21"/>
                <w:highlight w:val="none"/>
                <w:vertAlign w:val="baseline"/>
                <w:lang w:val="en-US" w:eastAsia="zh-CN" w:bidi="ar"/>
              </w:rPr>
              <w:t>具体内容以合同签订为准。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8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31</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签订合同</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中标人应在中标结果确定后</w:t>
            </w:r>
            <w:r>
              <w:rPr>
                <w:rFonts w:hint="default" w:ascii="Calibri" w:hAnsi="Calibri" w:eastAsia="宋体" w:cs="Times New Roman"/>
                <w:b w:val="0"/>
                <w:bCs w:val="0"/>
                <w:caps w:val="0"/>
                <w:color w:val="auto"/>
                <w:kern w:val="2"/>
                <w:sz w:val="21"/>
                <w:szCs w:val="21"/>
                <w:highlight w:val="none"/>
                <w:vertAlign w:val="baseline"/>
                <w:lang w:val="en-US" w:eastAsia="zh-CN" w:bidi="ar"/>
              </w:rPr>
              <w:t>30</w:t>
            </w:r>
            <w:r>
              <w:rPr>
                <w:rFonts w:hint="eastAsia" w:ascii="宋体" w:hAnsi="宋体" w:eastAsia="宋体" w:cs="Times New Roman"/>
                <w:b w:val="0"/>
                <w:bCs w:val="0"/>
                <w:caps w:val="0"/>
                <w:color w:val="auto"/>
                <w:kern w:val="2"/>
                <w:sz w:val="21"/>
                <w:szCs w:val="21"/>
                <w:highlight w:val="none"/>
                <w:vertAlign w:val="baseline"/>
                <w:lang w:val="en-US" w:eastAsia="zh-CN" w:bidi="ar"/>
              </w:rPr>
              <w:t>天内签订采购合同。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32</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合同存档</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中标单位与采购人签订合同后</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个工作日内将采购合同复印件送至采购代理机构存档。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33</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招标代理服务费</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依据国家发展改革委发改价格</w:t>
            </w:r>
            <w:r>
              <w:rPr>
                <w:rFonts w:hint="default" w:ascii="Calibri" w:hAnsi="Calibri" w:eastAsia="宋体" w:cs="Times New Roman"/>
                <w:b w:val="0"/>
                <w:bCs w:val="0"/>
                <w:caps w:val="0"/>
                <w:color w:val="auto"/>
                <w:kern w:val="2"/>
                <w:sz w:val="21"/>
                <w:szCs w:val="21"/>
                <w:highlight w:val="none"/>
                <w:vertAlign w:val="baseline"/>
                <w:lang w:val="en-US" w:eastAsia="zh-CN" w:bidi="ar"/>
              </w:rPr>
              <w:t>[2015]299</w:t>
            </w:r>
            <w:r>
              <w:rPr>
                <w:rFonts w:hint="eastAsia" w:ascii="宋体" w:hAnsi="宋体" w:eastAsia="宋体" w:cs="Times New Roman"/>
                <w:b w:val="0"/>
                <w:bCs w:val="0"/>
                <w:caps w:val="0"/>
                <w:color w:val="auto"/>
                <w:kern w:val="2"/>
                <w:sz w:val="21"/>
                <w:szCs w:val="21"/>
                <w:highlight w:val="none"/>
                <w:vertAlign w:val="baseline"/>
                <w:lang w:val="en-US" w:eastAsia="zh-CN" w:bidi="ar"/>
              </w:rPr>
              <w:t>号文件收取，本项目代理费由中标人支付。</w:t>
            </w:r>
            <w:r>
              <w:rPr>
                <w:rFonts w:hint="eastAsia" w:ascii="宋体" w:hAnsi="宋体" w:eastAsia="宋体" w:cs="宋体"/>
                <w:color w:val="auto"/>
                <w:sz w:val="21"/>
                <w:szCs w:val="21"/>
                <w:highlight w:val="none"/>
                <w:lang w:val="en-US"/>
              </w:rPr>
              <w:t>中标服务费金额为</w:t>
            </w:r>
            <w:r>
              <w:rPr>
                <w:rFonts w:hint="eastAsia" w:ascii="宋体" w:hAnsi="宋体" w:eastAsia="宋体" w:cs="宋体"/>
                <w:color w:val="auto"/>
                <w:sz w:val="21"/>
                <w:szCs w:val="21"/>
                <w:highlight w:val="none"/>
                <w:lang w:val="en-US" w:eastAsia="zh-CN"/>
              </w:rPr>
              <w:t>中标金额</w:t>
            </w:r>
            <w:r>
              <w:rPr>
                <w:rFonts w:hint="eastAsia" w:ascii="宋体" w:hAnsi="宋体" w:eastAsia="宋体" w:cs="宋体"/>
                <w:color w:val="auto"/>
                <w:sz w:val="21"/>
                <w:szCs w:val="21"/>
                <w:highlight w:val="none"/>
                <w:lang w:val="en-US"/>
              </w:rPr>
              <w:t>的</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34</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投标人信用信息查询</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查询渠道：</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拒绝列入政府取消投标资格记录期间的企业或个人投标。对列入失信被执行人、重大税收违法案件当事人名单、政府采购严重违法失信行为记录名单的供应商，拒绝其参与政府采购活动。查询通道：“信用中国”网站（www.creditchina.gov.cn）、中国政府采购网（www.ccgp.gov.cn）等。</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查询截止时点：同投标截止时间</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信用信息查询记录和证据留存的具体方式：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采购人或采购代理机构将按查询截止时点对所有投标人的信用信息进行查询，网站查询记录作为招投标存档备案材料的组成部分进行留存。</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信用信息的使用规则：</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采购人或采购代理机构按查询截止时点对所有投标人的信用信息进行查询，查询记录将作为评委评标的依据，对列入失信被执行人、重大税收违法案件当事人名单、政府采购严重违法失信行为记录名单的投标人，投标文件作无效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Calibri" w:hAnsi="Calibri" w:eastAsia="宋体" w:cs="Times New Roman"/>
                <w:b w:val="0"/>
                <w:bCs w:val="0"/>
                <w:caps w:val="0"/>
                <w:color w:val="auto"/>
                <w:kern w:val="2"/>
                <w:sz w:val="21"/>
                <w:szCs w:val="21"/>
                <w:highlight w:val="none"/>
                <w:vertAlign w:val="baseline"/>
                <w:lang w:val="en-US" w:eastAsia="zh-CN" w:bidi="ar"/>
              </w:rPr>
              <w:t>5</w:t>
            </w:r>
          </w:p>
        </w:tc>
        <w:tc>
          <w:tcPr>
            <w:tcW w:w="2127" w:type="dxa"/>
            <w:vMerge w:val="restar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其他要求</w:t>
            </w: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投标人必须保证投标时所报资料真实有效，采购人保留对资料的核查权力，一旦发现资料有虚假现象将没收投标人投标保证金，并移交有关部门处理。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7"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2127"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按照财政部、发展改革委最新发布执行的《节能产品政府采购清单》的规定，《货物需求及技术规格要求》中凡包含强制采购产品的，投标人必须提供列入《节能产品政府采购清单》的产品，否则投标无效。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0"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2127"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对于小型或微型企业参与本项目投标的：投标人需提供《中小企业声明函》原件，在评审中将对小型或微型企业上生产的产品价格给予</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的扣除，用扣除后的价格参与评审。</w:t>
            </w:r>
            <w:r>
              <w:rPr>
                <w:rFonts w:hint="eastAsia" w:ascii="宋体" w:eastAsia="宋体" w:cs="宋体"/>
                <w:color w:val="auto"/>
                <w:sz w:val="21"/>
                <w:szCs w:val="21"/>
                <w:highlight w:val="none"/>
                <w:lang w:val="en-US" w:eastAsia="zh-CN" w:bidi="ar-SA"/>
              </w:rPr>
              <w:t>中小企业声明函中项目采购标的对应的企业划分标准所属行业为</w:t>
            </w:r>
            <w:r>
              <w:rPr>
                <w:rFonts w:hint="eastAsia" w:ascii="宋体" w:eastAsia="宋体" w:cs="宋体"/>
                <w:color w:val="auto"/>
                <w:sz w:val="21"/>
                <w:szCs w:val="21"/>
                <w:highlight w:val="none"/>
                <w:u w:val="single"/>
                <w:lang w:val="en-US" w:eastAsia="zh-CN" w:bidi="ar-SA"/>
              </w:rPr>
              <w:t>软件和信息技术服物业</w:t>
            </w:r>
            <w:r>
              <w:rPr>
                <w:rFonts w:hint="eastAsia" w:ascii="宋体" w:eastAsia="宋体" w:cs="宋体"/>
                <w:color w:val="auto"/>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571"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2127"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sz w:val="24"/>
                <w:szCs w:val="24"/>
                <w:highlight w:val="none"/>
              </w:rPr>
            </w:pPr>
          </w:p>
        </w:tc>
        <w:tc>
          <w:tcPr>
            <w:tcW w:w="6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只接受以书面形式向采购人、采购代理机构提出质疑，不接受以其他形式或提出的质疑。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73" w:hRule="atLeast"/>
          <w:jc w:val="center"/>
        </w:trPr>
        <w:tc>
          <w:tcPr>
            <w:tcW w:w="90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注意事项：本项目招标公告与招标文件中内容有不符之处，以本招标文件中内容为准。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宋体" w:hAnsi="宋体"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在评审过程中，投标人报价过低，有可能影响产品质量或者不能诚信履约的，评标委员会应当要求其在评审现场合理的时间内提供书面说明，并提交相关证明材料，投标人不能证明其报价合理性的，评标委员会应当将其作为无效处理。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投标人的书面说明材料应当按照国家财务会计制度的规定要求，逐项就投标人提供的货物、工程和服务的主营业务成本、税金及附加、销售费用、管理费用、财务费用等成本构成事项详细陈述。</w:t>
            </w:r>
            <w:r>
              <w:rPr>
                <w:rFonts w:hint="default" w:ascii="宋体" w:hAnsi="宋体"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宋体" w:hAnsi="宋体"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、投标人书面说明应当签字确认或者加盖公章，否则无效。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书面说明的签字确认，由其法定代表人</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主要负责人</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本人或者其授权代表签字确认。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评标委员会应当将其投标文件作为无效处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电子投标文件编制及报送要求：</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投标人应按招标文件要求编制投标文件，将所有投标文件内容上传至</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政采云</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平台，并在开标现场持制作投标文件时用来加密的有效数字证书（</w:t>
            </w:r>
            <w:r>
              <w:rPr>
                <w:rFonts w:hint="default" w:ascii="宋体" w:hAnsi="宋体" w:eastAsia="宋体" w:cs="Times New Roman"/>
                <w:b w:val="0"/>
                <w:bCs w:val="0"/>
                <w:caps w:val="0"/>
                <w:color w:val="auto"/>
                <w:kern w:val="2"/>
                <w:sz w:val="21"/>
                <w:szCs w:val="21"/>
                <w:highlight w:val="none"/>
                <w:vertAlign w:val="baseline"/>
                <w:lang w:val="en-US" w:eastAsia="zh-CN" w:bidi="ar"/>
              </w:rPr>
              <w:t>CA</w:t>
            </w:r>
            <w:r>
              <w:rPr>
                <w:rFonts w:hint="eastAsia" w:ascii="宋体" w:hAnsi="宋体" w:eastAsia="宋体" w:cs="Times New Roman"/>
                <w:b w:val="0"/>
                <w:bCs w:val="0"/>
                <w:caps w:val="0"/>
                <w:color w:val="auto"/>
                <w:kern w:val="2"/>
                <w:sz w:val="21"/>
                <w:szCs w:val="21"/>
                <w:highlight w:val="none"/>
                <w:vertAlign w:val="baseline"/>
                <w:lang w:val="en-US" w:eastAsia="zh-CN" w:bidi="ar"/>
              </w:rPr>
              <w:t>认证）对投标文件进行解密。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电子投标文件中反应投标人资格审查的图片、扫描件、文字描述等，必须清晰可见。其中所有证书和执照必须为原件扫描。</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投标人应在招标文件要求提交投标文件的截止时间前，将电子投标文件和纸质投标文件分别密封，送达投标地点。</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若投标人上传的电子投标文件因无法解密而对投标文件无法进行评价的，招标人可以拒绝该投标人投标。</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当纸质投标文件与电子投标文件不一致时，以电子投标文件为准。</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pStyle w:val="2"/>
        <w:rPr>
          <w:rFonts w:hint="default" w:ascii="Calibri" w:hAnsi="Calibri" w:eastAsia="宋体" w:cs="Times New Roman"/>
          <w:caps w:val="0"/>
          <w:color w:val="auto"/>
          <w:kern w:val="2"/>
          <w:sz w:val="21"/>
          <w:szCs w:val="21"/>
          <w:highlight w:val="none"/>
          <w:vertAlign w:val="baseline"/>
          <w:lang w:bidi="ar"/>
        </w:rPr>
      </w:pPr>
    </w:p>
    <w:p>
      <w:pPr>
        <w:rPr>
          <w:rFonts w:hint="default" w:ascii="Calibri" w:hAnsi="Calibri" w:eastAsia="宋体" w:cs="Times New Roman"/>
          <w:caps w:val="0"/>
          <w:color w:val="auto"/>
          <w:kern w:val="2"/>
          <w:sz w:val="21"/>
          <w:szCs w:val="21"/>
          <w:highlight w:val="none"/>
          <w:vertAlign w:val="baseline"/>
          <w:lang w:bidi="ar"/>
        </w:rPr>
      </w:pPr>
    </w:p>
    <w:p>
      <w:pPr>
        <w:pStyle w:val="6"/>
        <w:rPr>
          <w:rFonts w:hint="default" w:ascii="Calibri" w:hAnsi="Calibri" w:eastAsia="宋体" w:cs="Times New Roman"/>
          <w:caps w:val="0"/>
          <w:color w:val="auto"/>
          <w:kern w:val="2"/>
          <w:sz w:val="21"/>
          <w:szCs w:val="21"/>
          <w:highlight w:val="none"/>
          <w:vertAlign w:val="baseline"/>
          <w:lang w:bidi="ar"/>
        </w:rPr>
      </w:pPr>
    </w:p>
    <w:p>
      <w:pPr>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rPr>
          <w:rFonts w:hint="default"/>
        </w:rPr>
      </w:pPr>
    </w:p>
    <w:p>
      <w:pPr>
        <w:pStyle w:val="6"/>
        <w:rPr>
          <w:rFonts w:hint="default"/>
        </w:rPr>
      </w:pPr>
    </w:p>
    <w:p>
      <w:pPr>
        <w:pStyle w:val="2"/>
        <w:ind w:left="0" w:leftChars="0" w:firstLine="0" w:firstLineChars="0"/>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28"/>
          <w:szCs w:val="28"/>
          <w:highlight w:val="none"/>
          <w:vertAlign w:val="baseline"/>
          <w:lang w:bidi="ar"/>
        </w:rPr>
      </w:pPr>
      <w:r>
        <w:rPr>
          <w:rFonts w:hint="eastAsia" w:ascii="宋体" w:hAnsi="宋体" w:eastAsia="宋体" w:cs="Times New Roman"/>
          <w:b/>
          <w:bCs/>
          <w:caps w:val="0"/>
          <w:color w:val="auto"/>
          <w:kern w:val="2"/>
          <w:sz w:val="28"/>
          <w:szCs w:val="28"/>
          <w:highlight w:val="none"/>
          <w:vertAlign w:val="baseline"/>
          <w:lang w:val="en-US" w:eastAsia="zh-CN" w:bidi="ar"/>
        </w:rPr>
        <w:t>二</w:t>
      </w:r>
      <w:r>
        <w:rPr>
          <w:rFonts w:hint="default" w:ascii="Calibri" w:hAnsi="Calibri" w:eastAsia="宋体" w:cs="Times New Roman"/>
          <w:b/>
          <w:bCs/>
          <w:caps w:val="0"/>
          <w:color w:val="auto"/>
          <w:kern w:val="2"/>
          <w:sz w:val="28"/>
          <w:szCs w:val="28"/>
          <w:highlight w:val="none"/>
          <w:vertAlign w:val="baseline"/>
          <w:lang w:val="en-US" w:eastAsia="zh-CN" w:bidi="ar"/>
        </w:rPr>
        <w:t xml:space="preserve"> </w:t>
      </w:r>
      <w:r>
        <w:rPr>
          <w:rFonts w:hint="eastAsia" w:ascii="宋体" w:hAnsi="宋体" w:eastAsia="宋体" w:cs="Times New Roman"/>
          <w:b/>
          <w:bCs/>
          <w:caps w:val="0"/>
          <w:color w:val="auto"/>
          <w:kern w:val="2"/>
          <w:sz w:val="28"/>
          <w:szCs w:val="28"/>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招标依据为《中华人民共和国政府采购法》、《中华人民共和国政府采购法实施条例》、《政府采购货物和服务招标投标管理办法》国家发展计划委员会等七部委《评标委员会和评标方法暂行规定》等有关法律、法规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 xml:space="preserve">A </w:t>
      </w:r>
      <w:r>
        <w:rPr>
          <w:rFonts w:hint="eastAsia" w:ascii="宋体" w:hAnsi="宋体" w:eastAsia="宋体" w:cs="Times New Roman"/>
          <w:b/>
          <w:bCs/>
          <w:caps w:val="0"/>
          <w:color w:val="auto"/>
          <w:kern w:val="2"/>
          <w:sz w:val="21"/>
          <w:szCs w:val="21"/>
          <w:highlight w:val="none"/>
          <w:vertAlign w:val="baseline"/>
          <w:lang w:val="en-US" w:eastAsia="zh-CN" w:bidi="ar"/>
        </w:rPr>
        <w:t>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适用范围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本文件是受采购人委托，对采购人委托采购项目的规范性招标文件，适用于本项目招标公告所述的标的采购及服务，是供应商编制投标文件的依据。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法律适用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本招标文件及由本次招标产生的合同适用中华人民共和国法律。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定义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“招标机构”系指组织本次招标的代理机构；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“供应商”系指向招标机构提交投标文件的投标商；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“买方”系指采购单位，合同一方当事人；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“服务”系指招标文件规定须完成的服务和其他的类似义务；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“日”、“天”系指日历日；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“合同”是买方与中标人共同以招标文件、投标文件为依据，经过协商签订的具备法律效力的文件。招标文件、投标文件及其共同确定的补充文件是合同的有效组成部分，与合同具备同等的法律效力。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合格的供应商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4.1</w:t>
      </w:r>
      <w:r>
        <w:rPr>
          <w:rFonts w:hint="eastAsia" w:ascii="宋体" w:hAnsi="宋体" w:eastAsia="宋体" w:cs="Times New Roman"/>
          <w:b w:val="0"/>
          <w:bCs w:val="0"/>
          <w:caps w:val="0"/>
          <w:color w:val="auto"/>
          <w:kern w:val="2"/>
          <w:sz w:val="21"/>
          <w:szCs w:val="21"/>
          <w:highlight w:val="none"/>
          <w:vertAlign w:val="baseline"/>
          <w:lang w:val="en-US" w:eastAsia="zh-CN" w:bidi="ar"/>
        </w:rPr>
        <w:t>合格供应商必须符合供应商须知前附表第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项下各项要求，并在投标时提供以下文件，若有遗漏或不符合要求均为资格审查不合格；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．投标费用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供应商应承担其在投标准备、编制、递交投标文件和签订合同协议书的整个过程中发生的一切费用而不论其投标结果如何。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B.</w:t>
      </w:r>
      <w:r>
        <w:rPr>
          <w:rFonts w:hint="eastAsia" w:ascii="宋体" w:hAnsi="宋体" w:eastAsia="宋体" w:cs="Times New Roman"/>
          <w:b/>
          <w:bCs/>
          <w:caps w:val="0"/>
          <w:color w:val="auto"/>
          <w:kern w:val="2"/>
          <w:sz w:val="21"/>
          <w:szCs w:val="21"/>
          <w:highlight w:val="none"/>
          <w:vertAlign w:val="baseline"/>
          <w:lang w:val="en-US" w:eastAsia="zh-CN" w:bidi="ar"/>
        </w:rPr>
        <w:t>招标文件说明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招标文件用以阐明所需货物及服务、招标投标程序和投标文件格式。招标文件由以下部分组成：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第一部分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第二部分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供应商须知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第三部分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第四部分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采购需求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第五部分</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合同条款及格式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7.</w:t>
      </w:r>
      <w:r>
        <w:rPr>
          <w:rFonts w:hint="eastAsia"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招标文件的澄清和修改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7.1 任何要求对招标文件进行澄清或对招标文件质疑的潜在投标人，均应在获取招标文件或者招标文件公告期限届满之日起7个工作日内一次性以书面形式（须加盖公章）通知采购代理机构（如投标人所参与项目须要在网上提交质疑程序，供应商须将纸质版质疑材料与网上提交质疑程序在同一工作日内进行，如出现日期不一致时，以两者中最后日期为准），超过这个规定期限提出的澄清要求或质疑将不予受理。采购代理机构对收到的澄清要求将视所提问题的具体情况以书面形式予以答复，同时传真给每个获取招标文件的潜在投标人或由潜在投标人直接到采购代理机构领取。潜在投标人应在1日内确认已收到该答复，未回复的潜在投标人视为已经收到该答复。答复中包括所提的问题，但不包括问题的来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7.2 采购人或者采购代理机构可以对已发出的招标文件、投标邀请书进行必要的澄清或者修改，但不得改变采购标的和资格条件。澄清或者修改将在原公告发布媒体上发布澄清公告。澄清或者修改的内容为招标文件、投标邀请书的组成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7.3 澄清或者修改的内容可能影响投标文件编制的，采购人或者采购代理机构将在投标截止时间15日前，以书面形式通知所有获取招标文件的潜在投标人（如为公共资源交易项目，采购代理机构将以网上公告形式通知潜在投标人，潜在投标人有义务自行关注网站发布的最新信息）；不足15日的，采购人或者采购代理机构将顺延提交投标文件的截止时间。在这种情况下，采购人、采购代理机构和投标人受投标截止时间制约的所有权利和义务均相应顺延至新的投标截止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7.4</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招标文件的修改书将构成招标文件的一部分，对供应商具有同样的约束力。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C</w:t>
      </w:r>
      <w:r>
        <w:rPr>
          <w:rFonts w:hint="eastAsia" w:ascii="宋体" w:hAnsi="宋体" w:eastAsia="宋体" w:cs="Times New Roman"/>
          <w:b/>
          <w:bCs/>
          <w:caps w:val="0"/>
          <w:color w:val="auto"/>
          <w:kern w:val="2"/>
          <w:sz w:val="21"/>
          <w:szCs w:val="21"/>
          <w:highlight w:val="none"/>
          <w:vertAlign w:val="baseline"/>
          <w:lang w:val="en-US" w:eastAsia="zh-CN" w:bidi="ar"/>
        </w:rPr>
        <w:t>投标文件的编写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投标语言及计量单位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投标文件及供应商和招标机构就投标交换的文件和来往信件，以中文书写（专有名词除外）；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除在招标文件的“技术/服务要求”中另有规定外，计量单位应使用中华人民共和国法定计量单位（国际单位制和国家选定的其他计量单位）。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9</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．投标文件的组成</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详见第五部分：合同条款及格式。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10</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投标文件内容填写说明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0</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供应商应严格按招标文件要求的内容逐项填写编制投标文件，有规定格式的按规定格式填写，无规定格式的由供应商自拟，并胶装成册。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10</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开标一览表为在开标仪式上唱标的内容，要求按格式填写、统一规范，不得自行增减内容。投标文件不得漏项或虚报，否则将可能导致其投标被拒绝。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10</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供应商应保证其所提供文件的真实性，并应对招标文件的实质性要求作出完全响应，否则其投标可能被拒绝。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10</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供应商视需要自行编制技术文件的补充附件。规格幅面应与正文一致，附于正文之后，与正文页码统一编目编码装订。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11</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11</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所有投标均以人民币报价；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11</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供应商应在填写分项报价表时注明各项单价、总价。投标人所报的价格在合同执行过程中是固定不变的，不得以任何理由予以变更。以可调整的价格提交的投标将作为非响应性投标而予以拒绝。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供应商应按上述</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.1-1</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条款要求填写投标报价，以供评标委员会比较评价。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11</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供应商因承包本项目需支付的一切费用，并包含在所报的单价或总额价内。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投标保证金（如有）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投标保证金的形式：现金或现金支票、保兑支票、银行汇票及银行、专业担保公司、保险公司出具的保函等形式，以现金或支票形式提交的投标保证金应当从供应商的基本账户转出。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投标保证金的金额：见供应商须知前附表第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项；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递交方式：见供应商须知前附表第</w:t>
      </w:r>
      <w:r>
        <w:rPr>
          <w:rFonts w:hint="default" w:ascii="Calibri" w:hAnsi="Calibri" w:eastAsia="宋体" w:cs="Times New Roman"/>
          <w:b w:val="0"/>
          <w:bCs w:val="0"/>
          <w:caps w:val="0"/>
          <w:color w:val="auto"/>
          <w:kern w:val="2"/>
          <w:sz w:val="21"/>
          <w:szCs w:val="21"/>
          <w:highlight w:val="none"/>
          <w:vertAlign w:val="baseline"/>
          <w:lang w:val="en-US" w:eastAsia="zh-CN" w:bidi="ar"/>
        </w:rPr>
        <w:t>19</w:t>
      </w:r>
      <w:r>
        <w:rPr>
          <w:rFonts w:hint="eastAsia" w:ascii="宋体" w:hAnsi="宋体" w:eastAsia="宋体" w:cs="Times New Roman"/>
          <w:b w:val="0"/>
          <w:bCs w:val="0"/>
          <w:caps w:val="0"/>
          <w:color w:val="auto"/>
          <w:kern w:val="2"/>
          <w:sz w:val="21"/>
          <w:szCs w:val="21"/>
          <w:highlight w:val="none"/>
          <w:vertAlign w:val="baseline"/>
          <w:lang w:val="en-US" w:eastAsia="zh-CN" w:bidi="ar"/>
        </w:rPr>
        <w:t>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投标保证金用于保护本次招标免受因供应商不履行投标承诺及合同等行为而引起的风险；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未按</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和</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条款要求提交投标保证金的投标将被视为投标无效；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.6</w:t>
      </w:r>
      <w:r>
        <w:rPr>
          <w:rFonts w:hint="eastAsia" w:ascii="宋体" w:hAnsi="宋体" w:eastAsia="宋体" w:cs="Times New Roman"/>
          <w:b w:val="0"/>
          <w:bCs w:val="0"/>
          <w:caps w:val="0"/>
          <w:color w:val="auto"/>
          <w:kern w:val="2"/>
          <w:sz w:val="21"/>
          <w:szCs w:val="21"/>
          <w:highlight w:val="none"/>
          <w:vertAlign w:val="baseline"/>
          <w:lang w:val="en-US" w:eastAsia="zh-CN" w:bidi="ar"/>
        </w:rPr>
        <w:t>未中标投标人的投标保证金将按</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条规定予以无息退还；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.7</w:t>
      </w:r>
      <w:r>
        <w:rPr>
          <w:rFonts w:hint="eastAsia" w:ascii="宋体" w:hAnsi="宋体" w:eastAsia="宋体" w:cs="Times New Roman"/>
          <w:b w:val="0"/>
          <w:bCs w:val="0"/>
          <w:caps w:val="0"/>
          <w:color w:val="auto"/>
          <w:kern w:val="2"/>
          <w:sz w:val="21"/>
          <w:szCs w:val="21"/>
          <w:highlight w:val="none"/>
          <w:vertAlign w:val="baseline"/>
          <w:lang w:val="en-US" w:eastAsia="zh-CN" w:bidi="ar"/>
        </w:rPr>
        <w:t>发生下列情况之一，投标保证金将被没收：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）供应商在提交响应文件截止时间后撤回响应文件的</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）供应商在响应文件中提供虚假材料的</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）除因不可抗力或谈判文件、询价通知书认可的情形以外，成交供应商不与采购人签订合同的</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）供应商与采购人、其他供应商或者采购代理机构恶意串通的</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）采购文件规定的其他情形。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从开标之日起，投标有效期为</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天。不能满足投标有效期的投标，将被拒绝；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特殊情况下，招标机构可于投标有效期满之前要求供应商延长投标有效期，这种要求和答复都应以书面、传真的形式进行。供应商可以拒绝接受延期要求。同意延长有效期的供应商不能修改投标文件。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投标文件的签署及规定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组成投标文件的各项资料均应遵守本须知第</w:t>
      </w:r>
      <w:r>
        <w:rPr>
          <w:rFonts w:hint="default"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条中所规定的内容。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供应商应填写单位全称，同时加盖印章。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投标文件必须由法人代表或法人授权代表签署。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.4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投标文件正本一份和副本四份，如果正本与副本不符，以正本为准，电子版</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份（</w:t>
      </w:r>
      <w:r>
        <w:rPr>
          <w:rFonts w:hint="default" w:ascii="Calibri" w:hAnsi="Calibri" w:eastAsia="宋体" w:cs="Times New Roman"/>
          <w:b w:val="0"/>
          <w:bCs w:val="0"/>
          <w:caps w:val="0"/>
          <w:color w:val="auto"/>
          <w:kern w:val="2"/>
          <w:sz w:val="21"/>
          <w:szCs w:val="21"/>
          <w:highlight w:val="none"/>
          <w:vertAlign w:val="baseline"/>
          <w:lang w:val="en-US" w:eastAsia="zh-CN" w:bidi="ar"/>
        </w:rPr>
        <w:t>U</w:t>
      </w:r>
      <w:r>
        <w:rPr>
          <w:rFonts w:hint="eastAsia" w:ascii="宋体" w:hAnsi="宋体" w:eastAsia="宋体" w:cs="Times New Roman"/>
          <w:b w:val="0"/>
          <w:bCs w:val="0"/>
          <w:caps w:val="0"/>
          <w:color w:val="auto"/>
          <w:kern w:val="2"/>
          <w:sz w:val="21"/>
          <w:szCs w:val="21"/>
          <w:highlight w:val="none"/>
          <w:vertAlign w:val="baseline"/>
          <w:lang w:val="en-US" w:eastAsia="zh-CN" w:bidi="ar"/>
        </w:rPr>
        <w:t>盘形式）。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.5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投标文件的正本必须用不退色的墨水填写或打印，注明“正本”字样。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.6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投标文件不得涂改和增删，如有修改错漏处，必须由同一签署人签字或盖章。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.7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投标文件因字迹潦草或表达不清所引起的后果由供应商负责。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.8</w:t>
      </w:r>
      <w:r>
        <w:rPr>
          <w:rFonts w:hint="eastAsia"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招标机构概不接受以电话、传真形式的投标。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D</w:t>
      </w:r>
      <w:r>
        <w:rPr>
          <w:rFonts w:hint="eastAsia" w:ascii="宋体" w:hAnsi="宋体" w:eastAsia="宋体" w:cs="Times New Roman"/>
          <w:b/>
          <w:bCs/>
          <w:caps w:val="0"/>
          <w:color w:val="auto"/>
          <w:kern w:val="2"/>
          <w:sz w:val="21"/>
          <w:szCs w:val="21"/>
          <w:highlight w:val="none"/>
          <w:vertAlign w:val="baseline"/>
          <w:lang w:val="en-US" w:eastAsia="zh-CN" w:bidi="ar"/>
        </w:rPr>
        <w:t>投标文件的递交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投标文件的密封和标记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供应商应将投标文件正本和副本分别用信封密封，并标明招标编号、投标项目名称、供应商名称及正本或副本等。封口骑缝处应加盖供应商印章；投标文件电子版应单独密封。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每一密封信封上注明“于   年   月  日   时之前不准启封”的字样；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如投标文件由专人送交，供应商应将投标文件按</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.1-1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中的规定进行密封和标记后，按投标邀请注明的投标地址送至招标机构；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如果投标文件通过邮寄递交</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供应商应将投标文件用内外两层信封密封</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内层信封的封装与标记同</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.1-1</w:t>
      </w:r>
      <w:r>
        <w:rPr>
          <w:rFonts w:hint="eastAsia" w:ascii="Calibri" w:hAnsi="Calibri" w:eastAsia="宋体" w:cs="Times New Roman"/>
          <w:b w:val="0"/>
          <w:bCs w:val="0"/>
          <w:caps w:val="0"/>
          <w:color w:val="auto"/>
          <w:kern w:val="2"/>
          <w:sz w:val="21"/>
          <w:szCs w:val="21"/>
          <w:highlight w:val="none"/>
          <w:vertAlign w:val="baseline"/>
          <w:lang w:val="en-US" w:eastAsia="zh-CN" w:bidi="ar"/>
        </w:rPr>
        <w:t>5.2</w:t>
      </w:r>
      <w:r>
        <w:rPr>
          <w:rFonts w:hint="eastAsia" w:ascii="宋体" w:hAnsi="宋体" w:eastAsia="宋体" w:cs="Times New Roman"/>
          <w:b w:val="0"/>
          <w:bCs w:val="0"/>
          <w:caps w:val="0"/>
          <w:color w:val="auto"/>
          <w:kern w:val="2"/>
          <w:sz w:val="21"/>
          <w:szCs w:val="21"/>
          <w:highlight w:val="none"/>
          <w:vertAlign w:val="baseline"/>
          <w:lang w:val="en-US" w:eastAsia="zh-CN" w:bidi="ar"/>
        </w:rPr>
        <w:t>规定；外层信封注明招标编号、投标项目名称、招标机构名称、地址。同时应写明供应商的名称、地址，以便将迟交的投标文件原封退还。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招标机构对投标文件的误投或未投标前提前拆封概不负责。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递交投标文件的截止时间</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所有投标文件不论是通过专人或邮寄递交，都必须按照招标机构在投标邀请中规定的投标截止时间之前送至投标地点。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招标机构推迟投标截止时间时，应以书面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的形式，通知所有供应商。在这种情况下，招标机构和供应商的权利和义务将受到新的截止期的约束。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招标机构对投标文件在邮寄过程中的遗失或损坏不负责任。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.4 </w:t>
      </w:r>
      <w:r>
        <w:rPr>
          <w:rFonts w:hint="eastAsia" w:ascii="宋体" w:hAnsi="宋体" w:eastAsia="宋体" w:cs="Times New Roman"/>
          <w:b w:val="0"/>
          <w:bCs w:val="0"/>
          <w:caps w:val="0"/>
          <w:color w:val="auto"/>
          <w:kern w:val="2"/>
          <w:sz w:val="21"/>
          <w:szCs w:val="21"/>
          <w:highlight w:val="none"/>
          <w:vertAlign w:val="baseline"/>
          <w:lang w:val="en-US" w:eastAsia="zh-CN" w:bidi="ar"/>
        </w:rPr>
        <w:t>在投标截止时间以后送达的投标文件，招标机构拒绝接收。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投标文件修改和撤消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投标以后，如果供应商提出书面修改和撤标要求，在投标截止时间前送达招标机构者，招标机构可以予以接受。但不退还投标文件。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供应商修改投标文件的书面材料，须密封送达招标机构，同时应在封套上标明“修改投标文件</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并注明招标编号</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”和“开标时启封”字样。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 </w:t>
      </w:r>
      <w:r>
        <w:rPr>
          <w:rFonts w:hint="eastAsia" w:ascii="宋体" w:hAnsi="宋体" w:eastAsia="宋体" w:cs="Times New Roman"/>
          <w:b w:val="0"/>
          <w:bCs w:val="0"/>
          <w:caps w:val="0"/>
          <w:color w:val="auto"/>
          <w:kern w:val="2"/>
          <w:sz w:val="21"/>
          <w:szCs w:val="21"/>
          <w:highlight w:val="none"/>
          <w:vertAlign w:val="baseline"/>
          <w:lang w:val="en-US" w:eastAsia="zh-CN" w:bidi="ar"/>
        </w:rPr>
        <w:t>撤消投标应以书面</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或传真</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的形式通知招标机构。如采取传真形式撤回投标，随后必须补充有法人代表或授权代表签署的要求撤消投标的正式文件。撤消投标的时间以送达招标机构或邮电到达日戳为准。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投标截止时间以后不得修改投标文件；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开标后供应商不得撤回投标。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E</w:t>
      </w:r>
      <w:r>
        <w:rPr>
          <w:rFonts w:hint="eastAsia" w:ascii="宋体" w:hAnsi="宋体" w:eastAsia="宋体" w:cs="Times New Roman"/>
          <w:b/>
          <w:bCs/>
          <w:caps w:val="0"/>
          <w:color w:val="auto"/>
          <w:kern w:val="2"/>
          <w:sz w:val="21"/>
          <w:szCs w:val="21"/>
          <w:highlight w:val="none"/>
          <w:vertAlign w:val="baseline"/>
          <w:lang w:val="en-US" w:eastAsia="zh-CN" w:bidi="ar"/>
        </w:rPr>
        <w:t>开标及评标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开标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招标代理机构将在招标文件规定的时间和地点公开开标。投标人法定代表人或其授权代理人可参加并签名报到以证明其出席。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采购代理机构按招标文件规定的时间、地点主持公开开标。开标仪式由采购代理机构主持，采购人代表及有关工作人员参加。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开标时由供应商查验投标文件密封情况，确认无误后拆封唱标（电子标项目不适用）。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采购代理机构在开标仪式上，将公开唱出所有供应商的“开标一览表”内容及投标声明，以及采购机构认为合适的其它内容并记录。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.5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开标时有下列情形之一的为无效投标：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）投标文件在规定的投标截止时间以后上传至政采云的；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）未按招标文件规定提交投标保证金的；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）投标文件未按招标文件规定密封的；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）招标文件规定开标时属于无效投标的其他情形。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.6 </w:t>
      </w:r>
      <w:r>
        <w:rPr>
          <w:rFonts w:hint="eastAsia" w:ascii="宋体" w:hAnsi="宋体" w:eastAsia="宋体" w:cs="Times New Roman"/>
          <w:b w:val="0"/>
          <w:bCs w:val="0"/>
          <w:caps w:val="0"/>
          <w:color w:val="auto"/>
          <w:kern w:val="2"/>
          <w:sz w:val="21"/>
          <w:szCs w:val="21"/>
          <w:highlight w:val="none"/>
          <w:vertAlign w:val="baseline"/>
          <w:lang w:val="en-US" w:eastAsia="zh-CN" w:bidi="ar"/>
        </w:rPr>
        <w:t>开标时有下列情形之一的，招标代理机构有权宣布本项目招标失败：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）交货时间符合招标文件要求的投标人不足三家的；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）所有投标人的报价均超过采购项目预算，采购单位不能支付的。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19</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对投标文件的初审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19</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采购人根据招标项目特点组建评标委员会，由采购人从政府采购专家库中抽取的专家组成。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评标委员会对投标文件进行初审，初审内容为投标文件是否符合招标文件的要求、内容是否完整、价格构成有无计算错误、文件签署是否齐全及验证保证金以及投标文件是否具有实质响应性。</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19</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初审中，对价格的计算错误按下述原则修正：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）投标文件中开标一览表内容与投标文件中相应内容不一致的，以《开标一览表》的报价为准；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）开标一览表内如果小写金额与大写金额不一致时，以大写金额为准；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）如果总价金额与单价金额不一致，以单价金额为准。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eastAsia" w:ascii="宋体" w:hAnsi="宋体" w:eastAsia="宋体" w:cs="Times New Roman"/>
          <w:b w:val="0"/>
          <w:bCs w:val="0"/>
          <w:caps w:val="0"/>
          <w:color w:val="auto"/>
          <w:kern w:val="2"/>
          <w:sz w:val="21"/>
          <w:szCs w:val="21"/>
          <w:highlight w:val="none"/>
          <w:vertAlign w:val="baseline"/>
          <w:lang w:val="en-US" w:eastAsia="zh-CN" w:bidi="ar"/>
        </w:rPr>
        <w:t>）除非单价有明显的小数点错位，此时应以该行标出的总额为准，并修改单价。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同时出现两种以上不一致的，按照前款规定的顺序修正。按上述原则调整后的价格为评标价，经投标人法定代表人或授权代理人签字确认后对投标人具有约束力。如果投标人不按照上述原则修正其投标报价及分项报价，则其投标将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19</w:t>
      </w:r>
      <w:r>
        <w:rPr>
          <w:rFonts w:hint="default" w:ascii="Calibri" w:hAnsi="Calibri" w:eastAsia="宋体" w:cs="Times New Roman"/>
          <w:b w:val="0"/>
          <w:bCs w:val="0"/>
          <w:caps w:val="0"/>
          <w:color w:val="auto"/>
          <w:kern w:val="2"/>
          <w:sz w:val="21"/>
          <w:szCs w:val="21"/>
          <w:highlight w:val="none"/>
          <w:vertAlign w:val="baseline"/>
          <w:lang w:val="en-US" w:eastAsia="zh-CN" w:bidi="ar"/>
        </w:rPr>
        <w:t>.3 评标委员会将允许修正投标文件中不构成重大偏离的细微偏离，但这些修正应不会对实质上响应招标文件要求的投标人的竞争地位（相互排序）产生不公正的影响。</w:t>
      </w:r>
      <w:r>
        <w:rPr>
          <w:rFonts w:hint="eastAsia" w:ascii="宋体" w:hAnsi="宋体" w:eastAsia="宋体" w:cs="Times New Roman"/>
          <w:b w:val="0"/>
          <w:bCs w:val="0"/>
          <w:caps w:val="0"/>
          <w:color w:val="auto"/>
          <w:kern w:val="2"/>
          <w:sz w:val="21"/>
          <w:szCs w:val="21"/>
          <w:highlight w:val="none"/>
          <w:vertAlign w:val="baseline"/>
          <w:lang w:val="en-US" w:eastAsia="zh-CN" w:bidi="ar"/>
        </w:rPr>
        <w:t>与招标文件有重大偏离的投标文件将被视为具有非实质响应性的投标文件而被拒绝。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19</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.4 </w:t>
      </w:r>
      <w:r>
        <w:rPr>
          <w:rFonts w:hint="eastAsia" w:ascii="宋体" w:hAnsi="宋体" w:eastAsia="宋体" w:cs="Times New Roman"/>
          <w:b w:val="0"/>
          <w:bCs w:val="0"/>
          <w:caps w:val="0"/>
          <w:color w:val="auto"/>
          <w:kern w:val="2"/>
          <w:sz w:val="21"/>
          <w:szCs w:val="21"/>
          <w:highlight w:val="none"/>
          <w:vertAlign w:val="baseline"/>
          <w:lang w:val="en-US" w:eastAsia="zh-CN" w:bidi="ar"/>
        </w:rPr>
        <w:t>投标有下列情况之一者，</w:t>
      </w:r>
      <w:r>
        <w:rPr>
          <w:rFonts w:hint="eastAsia" w:ascii="宋体" w:hAnsi="宋体" w:eastAsia="宋体" w:cs="Times New Roman"/>
          <w:b/>
          <w:bCs/>
          <w:caps w:val="0"/>
          <w:color w:val="auto"/>
          <w:kern w:val="2"/>
          <w:sz w:val="21"/>
          <w:szCs w:val="21"/>
          <w:highlight w:val="none"/>
          <w:vertAlign w:val="baseline"/>
          <w:lang w:val="en-US" w:eastAsia="zh-CN" w:bidi="ar"/>
        </w:rPr>
        <w:t>将被视为非实质性响应的投标而被拒绝：</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资格条件及证明文件不符合招标文件要求的；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投标文件无公章或无法定代表人签字，或签字人无法定代表人有效授权书的，或未按要求签字、盖公章的；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不能满足投标有效期的；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投标明显不符合技术规格、技术标准的要求；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投标文件附有买方不能接受的条件；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投标报价超过采购预算的；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未响应招标文件规定的其它实质性条款。</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0</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投标的澄清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0</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招标机构有权就投标文件中含混之处向供应商提出询问或澄清要求，或要求其补充某些材料。供应商必须按照招标机构通知的时间、地点派技术和商务人员进行答疑和澄清。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0</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投标人的澄清、说明或者补正应当采用书面形式，由投标人法定代表人或其授权代理人签字（须提交签字人身份证件并与投标文件签字人一致），并不得超出投标文件的范围或者改变投标文件的实质性内容。投标人拒不进行澄清、说明、补正的，或者不能在规定时间内作出书面澄清、说明、补正的，评标委员会将拒绝其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评标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.1 </w:t>
      </w:r>
      <w:r>
        <w:rPr>
          <w:rFonts w:hint="eastAsia" w:ascii="宋体" w:hAnsi="宋体" w:eastAsia="宋体" w:cs="Times New Roman"/>
          <w:b w:val="0"/>
          <w:bCs w:val="0"/>
          <w:caps w:val="0"/>
          <w:color w:val="auto"/>
          <w:kern w:val="2"/>
          <w:sz w:val="21"/>
          <w:szCs w:val="21"/>
          <w:highlight w:val="none"/>
          <w:vertAlign w:val="baseline"/>
          <w:lang w:val="en-US" w:eastAsia="zh-CN" w:bidi="ar"/>
        </w:rPr>
        <w:t>原则：对所有供应商的投标评估，都采用相同的程序和标准。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.2 </w:t>
      </w:r>
      <w:r>
        <w:rPr>
          <w:rFonts w:hint="eastAsia" w:ascii="宋体" w:hAnsi="宋体" w:eastAsia="宋体" w:cs="Times New Roman"/>
          <w:b w:val="0"/>
          <w:bCs w:val="0"/>
          <w:caps w:val="0"/>
          <w:color w:val="auto"/>
          <w:kern w:val="2"/>
          <w:sz w:val="21"/>
          <w:szCs w:val="21"/>
          <w:highlight w:val="none"/>
          <w:vertAlign w:val="baseline"/>
          <w:lang w:val="en-US" w:eastAsia="zh-CN" w:bidi="ar"/>
        </w:rPr>
        <w:t>标准：评标严格按照招标文件的要求和条件进行。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1</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评标委员会将按第三章规定的评审因素和标准，按评审后投标人综合得分由高到低的顺序推荐中标候选人排序。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评标过程保密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有关投标文件的审查、澄清、评估和比较以及有关授予合同意向的一切情况均不得透露给任一供应商或与上述评标工作无关的人员；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2</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在评标期间，供应商企图影响招标方的任何活动，将导致投标被拒绝，并承担相应的法律责任。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21"/>
          <w:szCs w:val="21"/>
          <w:highlight w:val="none"/>
          <w:vertAlign w:val="baseline"/>
          <w:lang w:bidi="ar"/>
        </w:rPr>
      </w:pPr>
      <w:r>
        <w:rPr>
          <w:rFonts w:hint="default" w:ascii="Calibri" w:hAnsi="Calibri" w:eastAsia="宋体" w:cs="Times New Roman"/>
          <w:b/>
          <w:bCs/>
          <w:caps w:val="0"/>
          <w:color w:val="auto"/>
          <w:kern w:val="2"/>
          <w:sz w:val="21"/>
          <w:szCs w:val="21"/>
          <w:highlight w:val="none"/>
          <w:vertAlign w:val="baseline"/>
          <w:lang w:val="en-US" w:eastAsia="zh-CN" w:bidi="ar"/>
        </w:rPr>
        <w:t xml:space="preserve">F </w:t>
      </w:r>
      <w:r>
        <w:rPr>
          <w:rFonts w:hint="eastAsia" w:ascii="宋体" w:hAnsi="宋体" w:eastAsia="宋体" w:cs="Times New Roman"/>
          <w:b/>
          <w:bCs/>
          <w:caps w:val="0"/>
          <w:color w:val="auto"/>
          <w:kern w:val="2"/>
          <w:sz w:val="21"/>
          <w:szCs w:val="21"/>
          <w:highlight w:val="none"/>
          <w:vertAlign w:val="baseline"/>
          <w:lang w:val="en-US" w:eastAsia="zh-CN" w:bidi="ar"/>
        </w:rPr>
        <w:t>确定中标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最终审查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评标委员会按照招标文件确定的评标标准和方法，对投标文件进行评审，并提出书面评标报告。最终审查的对象是招标项目的合格的供应商。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最终审查的内容是对合格的供应商的财务状况、资格、信誉以及采购人认为有必要了解的其他问题作进一步的审查。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 </w:t>
      </w:r>
      <w:r>
        <w:rPr>
          <w:rFonts w:hint="eastAsia" w:ascii="宋体" w:hAnsi="宋体" w:eastAsia="宋体" w:cs="Times New Roman"/>
          <w:b w:val="0"/>
          <w:bCs w:val="0"/>
          <w:caps w:val="0"/>
          <w:color w:val="auto"/>
          <w:kern w:val="2"/>
          <w:sz w:val="21"/>
          <w:szCs w:val="21"/>
          <w:highlight w:val="none"/>
          <w:vertAlign w:val="baseline"/>
          <w:lang w:val="en-US" w:eastAsia="zh-CN" w:bidi="ar"/>
        </w:rPr>
        <w:t>接受最终审查的合格的供应商，必须如实回答和受理采购人的询问或考查，并提供所需的有关资料。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.4</w:t>
      </w:r>
      <w:r>
        <w:rPr>
          <w:rFonts w:hint="default" w:ascii="宋体" w:hAnsi="宋体" w:eastAsia="宋体" w:cs="Times New Roman"/>
          <w:b w:val="0"/>
          <w:bCs w:val="0"/>
          <w:caps w:val="0"/>
          <w:color w:val="auto"/>
          <w:kern w:val="2"/>
          <w:sz w:val="21"/>
          <w:szCs w:val="21"/>
          <w:highlight w:val="none"/>
          <w:vertAlign w:val="baseline"/>
          <w:lang w:val="en-US" w:eastAsia="zh-CN" w:bidi="ar"/>
        </w:rPr>
        <w:t>采购代理机构应当在评标结束后2个工作日内将评标报告送采购人。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宋体" w:hAnsi="宋体" w:eastAsia="宋体" w:cs="Times New Roman"/>
          <w:b w:val="0"/>
          <w:bCs w:val="0"/>
          <w:caps w:val="0"/>
          <w:color w:val="auto"/>
          <w:kern w:val="2"/>
          <w:sz w:val="21"/>
          <w:szCs w:val="21"/>
          <w:highlight w:val="none"/>
          <w:vertAlign w:val="baseline"/>
          <w:lang w:val="en-US" w:eastAsia="zh-CN" w:bidi="ar"/>
        </w:rPr>
        <w:t>采购人应当自收到评标报告之日起５个工作日内，在评标报告确定的中标候选人名单中按顺序确定中标人。中标候选人并列的，采购人可采取随机抽取的方式确定。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宋体" w:hAnsi="宋体" w:eastAsia="宋体" w:cs="Times New Roman"/>
          <w:b w:val="0"/>
          <w:bCs w:val="0"/>
          <w:caps w:val="0"/>
          <w:color w:val="auto"/>
          <w:kern w:val="2"/>
          <w:sz w:val="21"/>
          <w:szCs w:val="21"/>
          <w:highlight w:val="none"/>
          <w:vertAlign w:val="baseline"/>
          <w:lang w:val="en-US" w:eastAsia="zh-CN" w:bidi="ar"/>
        </w:rPr>
        <w:t>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宋体" w:hAnsi="宋体" w:eastAsia="宋体" w:cs="Times New Roman"/>
          <w:b w:val="0"/>
          <w:bCs w:val="0"/>
          <w:caps w:val="0"/>
          <w:color w:val="auto"/>
          <w:kern w:val="2"/>
          <w:sz w:val="21"/>
          <w:szCs w:val="21"/>
          <w:highlight w:val="none"/>
          <w:vertAlign w:val="baseline"/>
          <w:lang w:val="en-US" w:eastAsia="zh-CN" w:bidi="ar"/>
        </w:rPr>
        <w:t>采购代理机构应当自评标委员会中标人确定之日起2个工作日内，在省级以上财政部门指定的媒体上公告中标结果，招标文件应当随中标结果同时公告。中标公告期限为1个工作日。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3</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default" w:ascii="宋体" w:hAnsi="宋体" w:eastAsia="宋体" w:cs="Times New Roman"/>
          <w:b w:val="0"/>
          <w:bCs w:val="0"/>
          <w:caps w:val="0"/>
          <w:color w:val="auto"/>
          <w:kern w:val="2"/>
          <w:sz w:val="21"/>
          <w:szCs w:val="21"/>
          <w:highlight w:val="none"/>
          <w:vertAlign w:val="baseline"/>
          <w:lang w:val="en-US" w:eastAsia="zh-CN" w:bidi="ar"/>
        </w:rPr>
        <w:t>在公告中标结果的同时，采购代理机构向中标人发出中标通知书；对未通过资格审查的投标人，将告知其未通过的原因；采用综合评分法评审的，还将告知未中标人本人的评审得分与排序。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val="en-US"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退还投标保证金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4</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招标代理机构将自中标通知书发出之日起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个工作日内退还未中标供应商的投标保证金，自政府采购合同签订之日起</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个工作日内退还中标供应商的投标保证金。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签定合同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.1中标通知书发出后，采购人不得违法改变中标结果，中标人无正当理由不得放弃中标。</w:t>
      </w:r>
      <w:r>
        <w:rPr>
          <w:rFonts w:hint="eastAsia" w:ascii="宋体" w:hAnsi="宋体" w:eastAsia="宋体" w:cs="Times New Roman"/>
          <w:b w:val="0"/>
          <w:bCs w:val="0"/>
          <w:caps w:val="0"/>
          <w:color w:val="auto"/>
          <w:kern w:val="2"/>
          <w:sz w:val="21"/>
          <w:szCs w:val="21"/>
          <w:highlight w:val="none"/>
          <w:vertAlign w:val="baseline"/>
          <w:lang w:val="en-US" w:eastAsia="zh-CN" w:bidi="ar"/>
        </w:rPr>
        <w:t>如果中标人不在规定的时间内签署合同，视为自动放弃中标资格，其提交的投标保证金不予退还，列入不良行为记录名单，在一至三年内禁止参加政府采购活动并予以公告。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.2采购人应当自中标通知书发出之日起30日内，按照招标文件和中标人投标文件的规定，与中标人签订书面合同。所签订的合同不得对招标文件确定的事项和中标人投标文件作实质性修改。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.3采购人不得向中标人提出任何不合理的要求作为签订合同的条件。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5</w:t>
      </w:r>
      <w:r>
        <w:rPr>
          <w:rFonts w:hint="default" w:ascii="Calibri" w:hAnsi="Calibri" w:eastAsia="宋体" w:cs="Times New Roman"/>
          <w:b w:val="0"/>
          <w:bCs w:val="0"/>
          <w:caps w:val="0"/>
          <w:color w:val="auto"/>
          <w:kern w:val="2"/>
          <w:sz w:val="21"/>
          <w:szCs w:val="21"/>
          <w:highlight w:val="none"/>
          <w:vertAlign w:val="baseline"/>
          <w:lang w:val="en-US" w:eastAsia="zh-CN" w:bidi="ar"/>
        </w:rPr>
        <w:t>.4 根据《中华人民共和国政府采购法实施条例》采购人应当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6</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本项目不收取履约保证金。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保密和披露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.1 投标人自领购招标文件之日起，须承诺承担本招标项目下的保密义务，不得将因本次招标获得的信息向第三人外传。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.2 采购人有权将投标人提供的所有资料向其他政府部门或有关的非政府机构负责评审标书的人员或与评标有关的人员披露。</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7</w:t>
      </w:r>
      <w:r>
        <w:rPr>
          <w:rFonts w:hint="default" w:ascii="Calibri" w:hAnsi="Calibri" w:eastAsia="宋体" w:cs="Times New Roman"/>
          <w:b w:val="0"/>
          <w:bCs w:val="0"/>
          <w:caps w:val="0"/>
          <w:color w:val="auto"/>
          <w:kern w:val="2"/>
          <w:sz w:val="21"/>
          <w:szCs w:val="21"/>
          <w:highlight w:val="none"/>
          <w:vertAlign w:val="baseline"/>
          <w:lang w:val="en-US" w:eastAsia="zh-CN" w:bidi="ar"/>
        </w:rPr>
        <w:t>.3 在下列情形下：当发布中标公告和其它公告时，当国家机关调查、审查、审计时，以及在其他符合法律规定的情形下，采购人无须事先征求投标人/中标人同意而可以披露关于采购过程、投标文件、合同文本、合同签署情况的资料、投标人/中标人的名称及地址、采购内容的有关信息以及补充条款等，并且对任何已经公布过的内容或与之内容相同的资料无须再承担保密责任</w:t>
      </w:r>
      <w:r>
        <w:rPr>
          <w:rFonts w:hint="eastAsia" w:ascii="宋体" w:hAnsi="宋体"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8</w:t>
      </w:r>
      <w:r>
        <w:rPr>
          <w:rFonts w:hint="eastAsia" w:ascii="宋体" w:hAnsi="宋体" w:eastAsia="宋体" w:cs="Times New Roman"/>
          <w:b w:val="0"/>
          <w:bCs w:val="0"/>
          <w:caps w:val="0"/>
          <w:color w:val="auto"/>
          <w:kern w:val="2"/>
          <w:sz w:val="21"/>
          <w:szCs w:val="21"/>
          <w:highlight w:val="none"/>
          <w:vertAlign w:val="baseline"/>
          <w:lang w:val="en-US" w:eastAsia="zh-CN" w:bidi="ar"/>
        </w:rPr>
        <w:t>.质疑和投诉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9</w:t>
      </w:r>
      <w:r>
        <w:rPr>
          <w:rFonts w:hint="default" w:ascii="Calibri" w:hAnsi="Calibri" w:eastAsia="宋体" w:cs="Times New Roman"/>
          <w:b w:val="0"/>
          <w:bCs w:val="0"/>
          <w:caps w:val="0"/>
          <w:color w:val="auto"/>
          <w:kern w:val="2"/>
          <w:sz w:val="21"/>
          <w:szCs w:val="21"/>
          <w:highlight w:val="none"/>
          <w:vertAlign w:val="baseline"/>
          <w:lang w:val="en-US" w:eastAsia="zh-CN" w:bidi="ar"/>
        </w:rPr>
        <w:t>.1投标人认为招标文件、招标过程和中标结果使自己的合法权益受到损害的，应当在知道或者应知其权益受到损害之日起七个工作日内以书面形式（须加盖公章）{质疑书的具体内容详见《政府采购质疑和投诉办法》（第94号令）}通知采购代理机构向招标方提出质疑（如投标人所参与项目须要在网上提交质疑程序，供应商须将纸质版质疑材料与网上提交质疑程序在同一工作日内进行，如出现日期不一致时，以两者中最后日期为准）。供应商应在法定质疑期内一次性提出针对同一采购程序环节的质疑。（质疑联系人及联系方式：曹舒萍、13234455308）投标人对采购人的质疑答复不满意或者采购人未在规定时间内作出答复的，可以在答复期满后十五个工作日内向同级采购监管部门投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Calibri" w:hAnsi="Calibri" w:eastAsia="宋体" w:cs="Times New Roman"/>
          <w:b w:val="0"/>
          <w:bCs w:val="0"/>
          <w:caps w:val="0"/>
          <w:color w:val="auto"/>
          <w:kern w:val="2"/>
          <w:sz w:val="21"/>
          <w:szCs w:val="21"/>
          <w:highlight w:val="none"/>
          <w:vertAlign w:val="baseline"/>
          <w:lang w:val="en-US" w:eastAsia="zh-CN" w:bidi="ar"/>
        </w:rPr>
        <w:t>9</w:t>
      </w:r>
      <w:r>
        <w:rPr>
          <w:rFonts w:hint="default" w:ascii="Calibri" w:hAnsi="Calibri" w:eastAsia="宋体" w:cs="Times New Roman"/>
          <w:b w:val="0"/>
          <w:bCs w:val="0"/>
          <w:caps w:val="0"/>
          <w:color w:val="auto"/>
          <w:kern w:val="2"/>
          <w:sz w:val="21"/>
          <w:szCs w:val="21"/>
          <w:highlight w:val="none"/>
          <w:vertAlign w:val="baseline"/>
          <w:lang w:val="en-US" w:eastAsia="zh-CN" w:bidi="ar"/>
        </w:rPr>
        <w:t>.2质疑书、投诉书均应明确阐述招标文件、招标过程和中标结果中使自己合法权益受到损害的实质性内容，提供相关事实、依据和证据及其来源或线索，便于有关单位调查、答复和处理。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44"/>
          <w:szCs w:val="44"/>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第三部分</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（本项目采用综合评分法）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按照国家相关部门的规定，遵循公开、公平、公正和诚实信用的原则，结合本招标项目的实际情况，制定本招标项目评标办法。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Calibri" w:hAnsi="宋体" w:eastAsia="宋体" w:cs="Times New Roman"/>
          <w:b/>
          <w:bCs/>
          <w:caps w:val="0"/>
          <w:color w:val="auto"/>
          <w:kern w:val="2"/>
          <w:sz w:val="44"/>
          <w:szCs w:val="44"/>
          <w:highlight w:val="none"/>
          <w:vertAlign w:val="baseline"/>
          <w:lang w:bidi="ar"/>
        </w:rPr>
      </w:pPr>
      <w:r>
        <w:rPr>
          <w:rFonts w:hint="eastAsia" w:ascii="Calibri" w:hAnsi="宋体" w:eastAsia="宋体" w:cs="Times New Roman"/>
          <w:b/>
          <w:bCs/>
          <w:caps w:val="0"/>
          <w:color w:val="auto"/>
          <w:kern w:val="2"/>
          <w:sz w:val="44"/>
          <w:szCs w:val="44"/>
          <w:highlight w:val="none"/>
          <w:vertAlign w:val="baseline"/>
          <w:lang w:val="en-US" w:eastAsia="zh-CN" w:bidi="ar"/>
        </w:rPr>
        <w:t>一、评</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Calibri" w:hAnsi="宋体" w:eastAsia="宋体" w:cs="Times New Roman"/>
          <w:b/>
          <w:bCs/>
          <w:caps w:val="0"/>
          <w:color w:val="auto"/>
          <w:kern w:val="2"/>
          <w:sz w:val="44"/>
          <w:szCs w:val="44"/>
          <w:highlight w:val="none"/>
          <w:vertAlign w:val="baseline"/>
          <w:lang w:val="en-US" w:eastAsia="zh-CN" w:bidi="ar"/>
        </w:rPr>
        <w:t>标</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Calibri" w:hAnsi="宋体" w:eastAsia="宋体" w:cs="Times New Roman"/>
          <w:b/>
          <w:bCs/>
          <w:caps w:val="0"/>
          <w:color w:val="auto"/>
          <w:kern w:val="2"/>
          <w:sz w:val="44"/>
          <w:szCs w:val="44"/>
          <w:highlight w:val="none"/>
          <w:vertAlign w:val="baseline"/>
          <w:lang w:val="en-US" w:eastAsia="zh-CN" w:bidi="ar"/>
        </w:rPr>
        <w:t>程</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Calibri" w:hAnsi="宋体" w:eastAsia="宋体" w:cs="Times New Roman"/>
          <w:b/>
          <w:bCs/>
          <w:caps w:val="0"/>
          <w:color w:val="auto"/>
          <w:kern w:val="2"/>
          <w:sz w:val="44"/>
          <w:szCs w:val="44"/>
          <w:highlight w:val="none"/>
          <w:vertAlign w:val="baseline"/>
          <w:lang w:val="en-US" w:eastAsia="zh-CN" w:bidi="ar"/>
        </w:rPr>
        <w:t>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（一）组成评标委员会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按照国家有关部委及省、市的相关规定，由从政府采购云平台评标专家库中随机抽取经济、技术类等方面的专家共</w:t>
      </w:r>
      <w:r>
        <w:rPr>
          <w:rFonts w:hint="default" w:ascii="Calibri" w:hAnsi="Calibri" w:eastAsia="宋体" w:cs="Times New Roman"/>
          <w:b w:val="0"/>
          <w:bCs w:val="0"/>
          <w:caps w:val="0"/>
          <w:color w:val="auto"/>
          <w:kern w:val="2"/>
          <w:sz w:val="21"/>
          <w:szCs w:val="21"/>
          <w:highlight w:val="none"/>
          <w:vertAlign w:val="baseline"/>
          <w:lang w:val="en-US" w:eastAsia="zh-CN" w:bidi="ar"/>
        </w:rPr>
        <w:t>5</w:t>
      </w:r>
      <w:r>
        <w:rPr>
          <w:rFonts w:hint="eastAsia" w:ascii="宋体" w:hAnsi="宋体" w:eastAsia="宋体" w:cs="Times New Roman"/>
          <w:b w:val="0"/>
          <w:bCs w:val="0"/>
          <w:caps w:val="0"/>
          <w:color w:val="auto"/>
          <w:kern w:val="2"/>
          <w:sz w:val="21"/>
          <w:szCs w:val="21"/>
          <w:highlight w:val="none"/>
          <w:vertAlign w:val="baseline"/>
          <w:lang w:val="en-US" w:eastAsia="zh-CN" w:bidi="ar"/>
        </w:rPr>
        <w:t>人组成评标委员会。为保证评标工作的顺利进行，推荐一名评委担任评委会主任，负责评标全面工作。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（二）评标工作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评标本着客观公正、公平竞争、择优推荐、规范合法的原则进行。评标工作分为资格审查、初步评审和详细评审三个步骤。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资格审查。采购人或代理机构对各供应商的资格进行审查。资格审查合格的供应商方可进入符合性审查。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符合性审查。评委会对供应商的投标文件进行符合性鉴定。符合性审查合格的供应商方可进入详细评审。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详细评审。详细评审采用综合评分法。评委依据评标办法分别对各供应商的投标文件进行评审、赋分。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（三）询标（必要时）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评标委员会对投标文件需要澄清的问题，采用集体询标方式进行。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（四）确定中标人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按最终综合得分由高到低的顺序推荐中标候选人</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（五）评标报告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评标工作结束时，评委会将本项目综合评审结果向采购人提交书面“评标报告”，各评委对评标报告内容讨论通过后，在“评标报告”上签字，对评标结果予以确认。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44"/>
          <w:szCs w:val="44"/>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二、评</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标</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办</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（一）资格审查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资格审查表</w:t>
      </w:r>
    </w:p>
    <w:tbl>
      <w:tblPr>
        <w:tblStyle w:val="24"/>
        <w:tblW w:w="882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22"/>
        <w:gridCol w:w="5326"/>
        <w:gridCol w:w="27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序号</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资格审查内容</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caps w:val="0"/>
                <w:color w:val="auto"/>
                <w:kern w:val="2"/>
                <w:sz w:val="21"/>
                <w:szCs w:val="21"/>
                <w:highlight w:val="none"/>
                <w:vertAlign w:val="baseline"/>
                <w:lang w:val="en-US" w:eastAsia="zh-CN" w:bidi="ar"/>
              </w:rPr>
              <w:t>法人或者其他组织的营业执照等证明文件</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caps w:val="0"/>
                <w:color w:val="auto"/>
                <w:kern w:val="2"/>
                <w:sz w:val="21"/>
                <w:szCs w:val="21"/>
                <w:highlight w:val="none"/>
                <w:vertAlign w:val="baseline"/>
                <w:lang w:val="en-US" w:eastAsia="zh-CN" w:bidi="ar"/>
              </w:rPr>
              <w:t>资格条件</w:t>
            </w:r>
            <w:r>
              <w:rPr>
                <w:rFonts w:hint="eastAsia" w:ascii="Calibri" w:hAnsi="Calibri" w:eastAsia="宋体" w:cs="Times New Roman"/>
                <w:caps w:val="0"/>
                <w:color w:val="auto"/>
                <w:kern w:val="2"/>
                <w:sz w:val="21"/>
                <w:szCs w:val="21"/>
                <w:highlight w:val="none"/>
                <w:vertAlign w:val="baseline"/>
                <w:lang w:val="en-US" w:eastAsia="zh-CN" w:bidi="ar"/>
              </w:rPr>
              <w:t>承诺</w:t>
            </w:r>
            <w:r>
              <w:rPr>
                <w:rFonts w:hint="default" w:ascii="Calibri" w:hAnsi="Calibri" w:eastAsia="宋体" w:cs="Times New Roman"/>
                <w:caps w:val="0"/>
                <w:color w:val="auto"/>
                <w:kern w:val="2"/>
                <w:sz w:val="21"/>
                <w:szCs w:val="21"/>
                <w:highlight w:val="none"/>
                <w:vertAlign w:val="baseline"/>
                <w:lang w:val="en-US" w:eastAsia="zh-CN" w:bidi="ar"/>
              </w:rPr>
              <w:t>函</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标书内附承诺函加盖单位公章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3</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caps w:val="0"/>
                <w:color w:val="auto"/>
                <w:kern w:val="2"/>
                <w:sz w:val="21"/>
                <w:szCs w:val="21"/>
                <w:highlight w:val="none"/>
                <w:vertAlign w:val="baseline"/>
                <w:lang w:val="en-US" w:eastAsia="zh-CN" w:bidi="ar"/>
              </w:rPr>
              <w:t>具有履行合同所必需的设备和专业技术能力</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标书内附有关资格条件的声明函加盖单位公章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4</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参加政府采购活动前三年内，在经营活动中没有重大违法记录</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标书内附声明函加盖单位公章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5</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投标人具有《中华人民共和国基础电信业务经营许可证》</w:t>
            </w:r>
            <w:r>
              <w:rPr>
                <w:rFonts w:hint="default" w:ascii="Calibri" w:hAnsi="Calibri" w:eastAsia="宋体" w:cs="Times New Roman"/>
                <w:caps w:val="0"/>
                <w:color w:val="auto"/>
                <w:kern w:val="2"/>
                <w:sz w:val="21"/>
                <w:szCs w:val="21"/>
                <w:highlight w:val="none"/>
                <w:vertAlign w:val="baseline"/>
                <w:lang w:bidi="ar"/>
              </w:rPr>
              <w:t>或《增值电信业务经营许可证》</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标书内附证书复印件加盖单位公章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6</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采购人存在利害关系可能影响招标公正性的法人、其他组织或者个人，不得参加投标。单位负责人为同一人或者存在控股、管理关系的不同单位，不得参加同一标段投标或者未划分标段的同一招标项目投标。违反上述规定的，相关投标均无效。</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标书内附法定代表人或委托代理人签字并加盖投标人公章的承诺书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37"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7</w:t>
            </w:r>
          </w:p>
        </w:tc>
        <w:tc>
          <w:tcPr>
            <w:tcW w:w="5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拒绝列入政府取消投标资格期间的企业或个人投标。未被列入失信被执行人、重大税收违法案件当事人名单、政府采购严重违法失信行为记录名单。</w:t>
            </w:r>
          </w:p>
        </w:tc>
        <w:tc>
          <w:tcPr>
            <w:tcW w:w="2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标书内附法定代表人或委托代理人签字并加盖投标人公章的承诺书</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注：本表中符合评审内容要求的写“ √ ”，不符合评审内容要求的写“ × ”。结论为“合 格”或“不合格” 。结论不合格的不进入符合性审查阶段。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（二）符合性审查表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符合性审查表</w:t>
      </w:r>
    </w:p>
    <w:tbl>
      <w:tblPr>
        <w:tblStyle w:val="24"/>
        <w:tblW w:w="918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078"/>
        <w:gridCol w:w="710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评审因素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投标人名称</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与营业执照一致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投标函签字盖章</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有投标单位印章并经法定代表人或其委托代理人签字或盖章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投标文件格式</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符合第六部分“投标文件格式”的要求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招标内容</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符合招标文件要求，对招标文件的实质性要求作出响应</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Calibri" w:hAnsi="Calibri" w:eastAsia="宋体" w:cs="Times New Roman"/>
                <w:caps w:val="0"/>
                <w:color w:val="auto"/>
                <w:kern w:val="2"/>
                <w:sz w:val="21"/>
                <w:szCs w:val="21"/>
                <w:highlight w:val="none"/>
                <w:vertAlign w:val="baseline"/>
                <w:lang w:eastAsia="zh-CN" w:bidi="ar"/>
              </w:rPr>
            </w:pPr>
            <w:r>
              <w:rPr>
                <w:rFonts w:hint="eastAsia" w:ascii="宋体" w:hAnsi="宋体" w:eastAsia="宋体" w:cs="宋体"/>
                <w:b w:val="0"/>
                <w:bCs w:val="0"/>
                <w:caps w:val="0"/>
                <w:color w:val="auto"/>
                <w:kern w:val="2"/>
                <w:sz w:val="22"/>
                <w:szCs w:val="22"/>
                <w:highlight w:val="none"/>
                <w:vertAlign w:val="baseline"/>
                <w:lang w:val="en-US" w:eastAsia="zh-CN" w:bidi="ar"/>
              </w:rPr>
              <w:t>建设期为签订合同之日起至2023年12月。</w:t>
            </w:r>
            <w:r>
              <w:rPr>
                <w:rFonts w:hint="eastAsia" w:ascii="宋体" w:hAnsi="宋体" w:eastAsia="宋体" w:cs="宋体"/>
                <w:b w:val="0"/>
                <w:bCs w:val="0"/>
                <w:caps w:val="0"/>
                <w:color w:val="auto"/>
                <w:kern w:val="2"/>
                <w:sz w:val="22"/>
                <w:szCs w:val="22"/>
                <w:highlight w:val="none"/>
                <w:vertAlign w:val="baseline"/>
                <w:lang w:val="en-US" w:eastAsia="zh-Hans" w:bidi="ar"/>
              </w:rPr>
              <w:t>验收合格后，</w:t>
            </w:r>
            <w:r>
              <w:rPr>
                <w:rFonts w:hint="eastAsia" w:ascii="宋体" w:hAnsi="宋体" w:eastAsia="宋体" w:cs="宋体"/>
                <w:b w:val="0"/>
                <w:bCs w:val="0"/>
                <w:caps w:val="0"/>
                <w:color w:val="auto"/>
                <w:kern w:val="2"/>
                <w:sz w:val="22"/>
                <w:szCs w:val="22"/>
                <w:highlight w:val="none"/>
                <w:vertAlign w:val="baseline"/>
                <w:lang w:val="en-US" w:eastAsia="zh-CN" w:bidi="ar"/>
              </w:rPr>
              <w:t>服务期限三年（具体内容以签订合同为准）。为保障绿园区政府电子政务业务连续性，专线服务需要在签订合同后15天内完成。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42"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投标有效期</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投标截止之日后</w:t>
            </w:r>
            <w:r>
              <w:rPr>
                <w:rFonts w:hint="default" w:ascii="Calibri" w:hAnsi="Calibri" w:eastAsia="宋体" w:cs="Times New Roman"/>
                <w:b w:val="0"/>
                <w:bCs w:val="0"/>
                <w:caps w:val="0"/>
                <w:color w:val="auto"/>
                <w:kern w:val="2"/>
                <w:sz w:val="21"/>
                <w:szCs w:val="21"/>
                <w:highlight w:val="none"/>
                <w:vertAlign w:val="baseline"/>
                <w:lang w:val="en-US" w:eastAsia="zh-CN" w:bidi="ar"/>
              </w:rPr>
              <w:t>90</w:t>
            </w:r>
            <w:r>
              <w:rPr>
                <w:rFonts w:hint="eastAsia" w:ascii="宋体" w:hAnsi="宋体" w:eastAsia="宋体" w:cs="Times New Roman"/>
                <w:b w:val="0"/>
                <w:bCs w:val="0"/>
                <w:caps w:val="0"/>
                <w:color w:val="auto"/>
                <w:kern w:val="2"/>
                <w:sz w:val="21"/>
                <w:szCs w:val="21"/>
                <w:highlight w:val="none"/>
                <w:vertAlign w:val="baseline"/>
                <w:lang w:val="en-US" w:eastAsia="zh-CN" w:bidi="ar"/>
              </w:rPr>
              <w:t>天（日历天）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63" w:hRule="atLeast"/>
          <w:jc w:val="center"/>
        </w:trPr>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w:t>
            </w:r>
          </w:p>
        </w:tc>
        <w:tc>
          <w:tcPr>
            <w:tcW w:w="7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未超过最高限价</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w:t>
      </w: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）供应商或其投标文件不符合上述情况之一的，则符合性审查不合格，不进入详细评审；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）符合性审查结束后，合格的供应商进入详细评审。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除此之外的内容，不作为本次资格审查及符合性审查的内容。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投标文件属下列情况之一的，应当在资格性、符合性审查时按照无效投标处理：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未按照招标文件的规定提交投标保证金的；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投标文件未按招标文件要求签署、盖章的；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不具备招标文件中规定资格要求的；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报价超过招标文件中规定的预算金额或者最高限价的；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投标文件含有采购人不能接受的附加条件的；</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法律、法规和招标文件规定的其他无效情形。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审查投标人是否存在串通投标行为：评标委员会发现有下列情形之一的，视为投标人串通投标，其投标无效：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一、有下列情形之一的，属于投标人相互串通投标：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投标人之间协商投标报价等投标文件的实质性内容；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投标人之间约定中标人；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投标人之间约定部分投标人放弃投标或者中标；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属于同一集团、协会、商会等组织成员的投标人按照该组织要求协同投标；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投标人之间为谋取中标或者排斥特定投标人而采取的其他联合行动。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二、有下列情形之一的，视为投标人相互串通投标：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不同投标人的投标文件由同一单位或者个人编制；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不同投标人委托同一单位或者个人办理投标事宜；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不同投标人的投标文件载明的项目管理成员为同一人；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不同投标人的投标文件异常一致或者投标报价呈规律性差异；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不同投标人的投标文件相互混装；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不同投标人的投标保证金从同一单位或者个人的账户转出；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七</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《关于禁止串通招标投标行为的暂行规定》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国家工商行政管理局令第 </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82 </w:t>
      </w:r>
      <w:r>
        <w:rPr>
          <w:rFonts w:hint="eastAsia" w:ascii="宋体" w:hAnsi="宋体" w:eastAsia="宋体" w:cs="Times New Roman"/>
          <w:b w:val="0"/>
          <w:bCs w:val="0"/>
          <w:caps w:val="0"/>
          <w:color w:val="auto"/>
          <w:kern w:val="2"/>
          <w:sz w:val="21"/>
          <w:szCs w:val="21"/>
          <w:highlight w:val="none"/>
          <w:vertAlign w:val="baseline"/>
          <w:lang w:val="en-US" w:eastAsia="zh-CN" w:bidi="ar"/>
        </w:rPr>
        <w:t>号</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第三条规定的串通投标行为；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八</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投标人串通投标的其他情形。</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三、有下列情形之一的，属于招标人与投标人串通投标：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招标人在开标前开启投标文件并将有关信息泄露给其他投标人</w:t>
      </w:r>
      <w:r>
        <w:rPr>
          <w:rFonts w:hint="default" w:ascii="Calibri" w:hAnsi="Calibri"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招标人直接或者间接向投标人泄露标底、评标委员会成员等信息；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招标人明示或者暗示投标人压低或者抬高投标报价；</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招标人授意投标人撤换、修改投标文件；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五</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招标人明示或者暗示投标人为特定投标人中标提供方便；</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六</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招标人与投标人为谋求特定投标人中标而采取的其他串通行为。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注：经评标委员会评审合格投标商的家数不足三家，该项目废标，采购人有权委托采</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购代理机构重新组织招标。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 </w:t>
      </w:r>
      <w:r>
        <w:rPr>
          <w:rFonts w:hint="eastAsia" w:ascii="宋体" w:hAnsi="宋体" w:eastAsia="宋体" w:cs="Times New Roman"/>
          <w:b w:val="0"/>
          <w:bCs w:val="0"/>
          <w:caps w:val="0"/>
          <w:color w:val="auto"/>
          <w:kern w:val="2"/>
          <w:sz w:val="21"/>
          <w:szCs w:val="21"/>
          <w:highlight w:val="none"/>
          <w:vertAlign w:val="baseline"/>
          <w:lang w:val="en-US" w:eastAsia="zh-CN" w:bidi="ar"/>
        </w:rPr>
        <w:t>澄清有关问题。对投标文件中含义不明确、同类问题表述不一致或者有明显文字和计算错误的内容，评标委员会可以书面形式要求投标人做出必要的澄清、说明或者纠正。投 标人的澄清、说明或者补正不得超出投标文件的范围或者改变投标文件的实质性内容。投 标人的澄清、说明或者补正应当采用书面形式，由投标人单位负责人或其授权代理人签字</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须提交签字人身份证件并与投标文件签字人一致</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，并不得超出投标文件的范围或者改 变投标文件的实质性内容。投标人拒不进行澄清、说明、补正的，或者不能在规定时间内 作出书面澄清、说明、补正的，评标委员会将按最不利于投标人的方式处理。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3.2.1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评标委员会将允许修正投标文件中不构成重大偏离的细微偏离，但这些修正应不会对实质上响应招标文件要求的投标人的竞争地位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相互排序</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产生不公正的影响。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3.2.2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投标文件报价出现前后不一致的，除招标文件另有规定外，按照下列规定修正：</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一</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投标文件中开标一览表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内容与投标文件中相应内容不一致的，以开标一览表</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报 价表</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二</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大写金额和小写金额不一致的，以大写金额为准；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三</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单价金额小 数点或者百分比有明显错位的，以开标一览表的总价为准，并修改单价；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总价金额 与按单价汇总金额不一致的，以单价金额计算结果为准。同时出现两种以上不一致的，按 照规定的顺序修正。修正后的报价经投标人确认后产生约束力，投标人不确认的，其投标无效。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3.2.3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 </w:t>
      </w:r>
      <w:r>
        <w:rPr>
          <w:rFonts w:hint="eastAsia" w:ascii="宋体" w:hAnsi="宋体" w:eastAsia="宋体" w:cs="Times New Roman"/>
          <w:b w:val="0"/>
          <w:bCs w:val="0"/>
          <w:caps w:val="0"/>
          <w:color w:val="auto"/>
          <w:kern w:val="2"/>
          <w:sz w:val="21"/>
          <w:szCs w:val="21"/>
          <w:highlight w:val="none"/>
          <w:vertAlign w:val="baseline"/>
          <w:lang w:val="en-US" w:eastAsia="zh-CN" w:bidi="ar"/>
        </w:rPr>
        <w:t>评标委员会应当按照招标文件中规定的评标方法和标准，对符合性审查合格的投标文 件进行商务和技术评估，综合比较与评价。</w:t>
      </w:r>
    </w:p>
    <w:p>
      <w:pPr>
        <w:rPr>
          <w:highlight w:val="none"/>
        </w:rPr>
        <w:sectPr>
          <w:footerReference r:id="rId3" w:type="default"/>
          <w:pgSz w:w="11906" w:h="16839"/>
          <w:pgMar w:top="1440" w:right="1800" w:bottom="1440" w:left="1800" w:header="1" w:footer="660" w:gutter="1"/>
          <w:pgBorders w:offsetFrom="page">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3.3.2 </w:t>
      </w: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综合评分法评分方法 </w:t>
      </w:r>
      <w:r>
        <w:rPr>
          <w:rFonts w:hint="default" w:ascii="Calibri" w:hAnsi="Calibri"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计算结果精确到小数点后两位</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w:t>
      </w:r>
    </w:p>
    <w:tbl>
      <w:tblPr>
        <w:tblStyle w:val="24"/>
        <w:tblW w:w="1018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912"/>
        <w:gridCol w:w="2609"/>
        <w:gridCol w:w="5017"/>
        <w:gridCol w:w="6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5" w:hRule="atLeast"/>
          <w:jc w:val="center"/>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条款号</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评分因素</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评分标准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权重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5" w:hRule="atLeast"/>
          <w:jc w:val="center"/>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报价部分</w:t>
            </w:r>
            <w:r>
              <w:rPr>
                <w:rFonts w:hint="eastAsia" w:ascii="Calibri" w:hAnsi="Calibri" w:eastAsia="宋体" w:cs="Times New Roman"/>
                <w:b w:val="0"/>
                <w:bCs w:val="0"/>
                <w:caps w:val="0"/>
                <w:color w:val="auto"/>
                <w:kern w:val="2"/>
                <w:sz w:val="21"/>
                <w:szCs w:val="21"/>
                <w:highlight w:val="none"/>
                <w:vertAlign w:val="baseline"/>
                <w:lang w:val="en-US" w:eastAsia="zh-CN" w:bidi="ar"/>
              </w:rPr>
              <w:t>10</w:t>
            </w:r>
            <w:r>
              <w:rPr>
                <w:rFonts w:hint="eastAsia" w:ascii="宋体" w:hAnsi="宋体" w:eastAsia="宋体" w:cs="Times New Roman"/>
                <w:b w:val="0"/>
                <w:bCs w:val="0"/>
                <w:caps w:val="0"/>
                <w:color w:val="auto"/>
                <w:kern w:val="2"/>
                <w:sz w:val="21"/>
                <w:szCs w:val="21"/>
                <w:highlight w:val="none"/>
                <w:vertAlign w:val="baseline"/>
                <w:lang w:val="en-US" w:eastAsia="zh-CN" w:bidi="ar"/>
              </w:rPr>
              <w:t>分</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投标报价得分</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满足招标文件要求且评标价格最低的价格为评标基准价，其价格分为满分。其他投标人的价格分统一按照下列公式计算：投标报价得分=(评标基准价／评标价格)×10</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小数点后保留两位，第三位四舍五入</w:t>
            </w:r>
            <w:r>
              <w:rPr>
                <w:rFonts w:hint="default" w:ascii="宋体" w:hAnsi="宋体" w:eastAsia="宋体" w:cs="Times New Roman"/>
                <w:b w:val="0"/>
                <w:bCs w:val="0"/>
                <w:caps w:val="0"/>
                <w:color w:val="auto"/>
                <w:kern w:val="2"/>
                <w:sz w:val="21"/>
                <w:szCs w:val="21"/>
                <w:highlight w:val="none"/>
                <w:vertAlign w:val="baseline"/>
                <w:lang w:val="en-US" w:eastAsia="zh-CN" w:bidi="ar"/>
              </w:rPr>
              <w:t>)</w:t>
            </w:r>
            <w:r>
              <w:rPr>
                <w:rFonts w:hint="eastAsia" w:ascii="宋体" w:hAnsi="宋体" w:eastAsia="宋体" w:cs="Times New Roman"/>
                <w:b w:val="0"/>
                <w:bCs w:val="0"/>
                <w:caps w:val="0"/>
                <w:color w:val="auto"/>
                <w:kern w:val="2"/>
                <w:sz w:val="21"/>
                <w:szCs w:val="21"/>
                <w:highlight w:val="none"/>
                <w:vertAlign w:val="baseline"/>
                <w:lang w:val="en-US" w:eastAsia="zh-CN" w:bidi="ar"/>
              </w:rPr>
              <w:t>。</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如评标委员会认为投标人的报价明显低于其他通过符合性审查投标人的报价，有可能影响产品质量或者不能诚信履约的，将要求投标人在评标现场合理的时间内提供书面说明，必要时提交相关证明材料；投标人不能证明其报价合理性的，评标委员会将其作为无效投标处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Calibri" w:hAnsi="Calibri" w:eastAsia="宋体" w:cs="Times New Roman"/>
                <w:b w:val="0"/>
                <w:bCs w:val="0"/>
                <w:caps w:val="0"/>
                <w:color w:val="auto"/>
                <w:kern w:val="2"/>
                <w:sz w:val="21"/>
                <w:szCs w:val="21"/>
                <w:highlight w:val="none"/>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90" w:hRule="atLeast"/>
          <w:jc w:val="center"/>
        </w:trPr>
        <w:tc>
          <w:tcPr>
            <w:tcW w:w="191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技术服务部分50分</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ind w:left="-126" w:leftChars="-60" w:right="-128" w:rightChars="-61" w:firstLine="210" w:firstLineChars="100"/>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产品质量性能及介绍</w:t>
            </w:r>
          </w:p>
          <w:p>
            <w:pPr>
              <w:spacing w:line="0" w:lineRule="atLeast"/>
              <w:ind w:left="-126" w:leftChars="-60" w:right="-128" w:rightChars="-61"/>
              <w:jc w:val="left"/>
              <w:rPr>
                <w:rFonts w:hint="default" w:ascii="宋体" w:hAnsi="宋体" w:eastAsia="宋体" w:cs="宋体"/>
                <w:b w:val="0"/>
                <w:bCs w:val="0"/>
                <w:caps w:val="0"/>
                <w:color w:val="auto"/>
                <w:spacing w:val="-2"/>
                <w:kern w:val="2"/>
                <w:sz w:val="21"/>
                <w:szCs w:val="21"/>
                <w:vertAlign w:val="baseline"/>
                <w:lang w:val="en-US" w:eastAsia="zh-CN" w:bidi="ar"/>
              </w:rPr>
            </w:pP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zh-CN" w:eastAsia="zh-CN" w:bidi="ar"/>
              </w:rPr>
              <w:t>产品具备功能完全满足招标文件要求，且针对本项目所采取的技术参数标准及产品的配置作出详细介绍，且组网技术完善，接入方式合理，安全性高。</w:t>
            </w:r>
            <w:r>
              <w:rPr>
                <w:rFonts w:hint="eastAsia" w:ascii="宋体" w:hAnsi="宋体" w:eastAsia="宋体" w:cs="宋体"/>
                <w:color w:val="auto"/>
                <w:sz w:val="21"/>
                <w:szCs w:val="21"/>
                <w:highlight w:val="none"/>
                <w:lang w:val="zh-CN"/>
              </w:rPr>
              <w:t>质量性能及介绍</w:t>
            </w:r>
            <w:r>
              <w:rPr>
                <w:rFonts w:hint="eastAsia" w:ascii="宋体" w:hAnsi="宋体" w:eastAsia="宋体" w:cs="宋体"/>
                <w:color w:val="auto"/>
                <w:sz w:val="21"/>
                <w:szCs w:val="21"/>
                <w:highlight w:val="none"/>
                <w:lang w:val="en-US" w:eastAsia="zh-CN"/>
              </w:rPr>
              <w:t>全面、完整</w:t>
            </w:r>
            <w:r>
              <w:rPr>
                <w:rFonts w:hint="eastAsia" w:ascii="宋体" w:hAnsi="宋体" w:eastAsia="宋体" w:cs="Times New Roman"/>
                <w:b w:val="0"/>
                <w:bCs w:val="0"/>
                <w:caps w:val="0"/>
                <w:color w:val="auto"/>
                <w:kern w:val="2"/>
                <w:sz w:val="21"/>
                <w:szCs w:val="21"/>
                <w:highlight w:val="none"/>
                <w:vertAlign w:val="baseline"/>
                <w:lang w:val="en-US" w:eastAsia="zh-CN" w:bidi="ar"/>
              </w:rPr>
              <w:t>得10分；相对简单得7分；内容基本满足需求得4分；没有得0分。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46" w:hRule="atLeast"/>
          <w:jc w:val="center"/>
        </w:trPr>
        <w:tc>
          <w:tcPr>
            <w:tcW w:w="1912"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highlight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hAnsi="宋体" w:eastAsia="宋体" w:cs="宋体"/>
                <w:b w:val="0"/>
                <w:bCs w:val="0"/>
                <w:caps w:val="0"/>
                <w:color w:val="auto"/>
                <w:spacing w:val="-2"/>
                <w:kern w:val="2"/>
                <w:sz w:val="21"/>
                <w:szCs w:val="21"/>
                <w:vertAlign w:val="baseline"/>
                <w:lang w:val="en-US" w:eastAsia="zh-CN" w:bidi="ar"/>
              </w:rPr>
            </w:pPr>
            <w:r>
              <w:rPr>
                <w:rFonts w:hint="eastAsia" w:ascii="宋体" w:hAnsi="宋体" w:eastAsia="宋体" w:cs="宋体"/>
                <w:b w:val="0"/>
                <w:bCs w:val="0"/>
                <w:caps w:val="0"/>
                <w:color w:val="auto"/>
                <w:spacing w:val="-2"/>
                <w:kern w:val="2"/>
                <w:sz w:val="21"/>
                <w:szCs w:val="21"/>
                <w:vertAlign w:val="baseline"/>
                <w:lang w:val="en-US" w:eastAsia="zh-CN" w:bidi="ar"/>
              </w:rPr>
              <w:t>应急预案</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应急故障（如可能发生的应急事故情况分析、应急响应时间、紧急安全保障措施、临时处理措施、故障或事故解决处理措施等）进行综合评审。</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应急故障方案内容全面，方案描述详细，可行高，得10分；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应急故障方案内容全面，方案描述相对简单，具有可行性，得7分；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应急故障方案内容基本全面，有方案描述，具有可行性，得4分，无不得分。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46" w:hRule="atLeast"/>
          <w:jc w:val="center"/>
        </w:trPr>
        <w:tc>
          <w:tcPr>
            <w:tcW w:w="1912"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highlight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宋体" w:hAnsi="宋体" w:eastAsia="宋体" w:cs="宋体"/>
                <w:b w:val="0"/>
                <w:bCs w:val="0"/>
                <w:caps w:val="0"/>
                <w:color w:val="auto"/>
                <w:spacing w:val="-2"/>
                <w:kern w:val="2"/>
                <w:sz w:val="21"/>
                <w:szCs w:val="21"/>
                <w:vertAlign w:val="baseline"/>
                <w:lang w:val="en-US" w:eastAsia="zh-CN" w:bidi="ar"/>
              </w:rPr>
            </w:pPr>
            <w:r>
              <w:rPr>
                <w:rFonts w:hint="eastAsia" w:ascii="宋体" w:hAnsi="宋体" w:eastAsia="宋体" w:cs="宋体"/>
                <w:bCs/>
                <w:color w:val="auto"/>
                <w:sz w:val="21"/>
                <w:szCs w:val="21"/>
                <w:highlight w:val="none"/>
                <w:lang w:val="zh-CN"/>
              </w:rPr>
              <w:t>实施计划</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Cs/>
                <w:color w:val="auto"/>
                <w:sz w:val="21"/>
                <w:szCs w:val="21"/>
                <w:highlight w:val="none"/>
                <w:lang w:val="zh-CN"/>
              </w:rPr>
              <w:t>组织实施计划方案完善，有实地自行踏勘现场证明，列举详细的设备清单。</w:t>
            </w:r>
            <w:r>
              <w:rPr>
                <w:rFonts w:hint="eastAsia" w:ascii="宋体" w:hAnsi="宋体" w:eastAsia="宋体" w:cs="宋体"/>
                <w:color w:val="auto"/>
                <w:sz w:val="21"/>
                <w:szCs w:val="21"/>
                <w:highlight w:val="none"/>
                <w:lang w:val="en-US" w:eastAsia="zh-CN"/>
              </w:rPr>
              <w:t>内容完整、详细</w:t>
            </w:r>
            <w:r>
              <w:rPr>
                <w:rFonts w:hint="eastAsia" w:ascii="宋体" w:hAnsi="宋体" w:eastAsia="宋体" w:cs="宋体"/>
                <w:color w:val="auto"/>
                <w:sz w:val="21"/>
                <w:szCs w:val="21"/>
                <w:highlight w:val="none"/>
                <w:lang w:eastAsia="zh-CN"/>
              </w:rPr>
              <w:t>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内容一般完整、详细</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内容较为简单、基本满足需求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没有得0分</w:t>
            </w:r>
            <w:r>
              <w:rPr>
                <w:rFonts w:hint="eastAsia" w:ascii="宋体" w:hAnsi="宋体" w:eastAsia="宋体" w:cs="宋体"/>
                <w:color w:val="auto"/>
                <w:sz w:val="21"/>
                <w:szCs w:val="21"/>
                <w:highlight w:val="none"/>
                <w:lang w:val="en-US" w:eastAsia="zh-CN"/>
              </w:rPr>
              <w:t>。</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46" w:hRule="atLeast"/>
          <w:jc w:val="center"/>
        </w:trPr>
        <w:tc>
          <w:tcPr>
            <w:tcW w:w="1912"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highlight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zh-CN" w:eastAsia="zh-CN" w:bidi="ar"/>
              </w:rPr>
              <w:t>售后服务方案</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依据各投标人的售后服务方案进行评审：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投标人提供的售后服务方案总体合理完整，实用性强，可以完全满足项目需求，得10分；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投标人提供的售后服务方案有一定合理性、但考虑问题不周全、相关服务措施不够具体或涵盖不全面，得7分；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投标人的售后服务方案内容合理不完整、方案基本上满足项目要求可实施，得4分。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无售后服务方案本项不得分。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73" w:lineRule="auto"/>
              <w:ind w:left="0" w:leftChars="0" w:right="0" w:rightChars="0" w:firstLine="0" w:firstLineChars="0"/>
              <w:jc w:val="center"/>
              <w:textAlignment w:val="center"/>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46" w:hRule="atLeast"/>
          <w:jc w:val="center"/>
        </w:trPr>
        <w:tc>
          <w:tcPr>
            <w:tcW w:w="1912"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highlight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default" w:ascii="宋体" w:hAnsi="宋体" w:eastAsia="宋体" w:cs="宋体"/>
                <w:b w:val="0"/>
                <w:bCs w:val="0"/>
                <w:caps w:val="0"/>
                <w:color w:val="auto"/>
                <w:spacing w:val="-2"/>
                <w:kern w:val="2"/>
                <w:sz w:val="21"/>
                <w:szCs w:val="21"/>
                <w:vertAlign w:val="baseline"/>
                <w:lang w:val="en-US" w:eastAsia="zh-CN" w:bidi="ar"/>
              </w:rPr>
            </w:pPr>
            <w:r>
              <w:rPr>
                <w:rFonts w:hint="eastAsia" w:ascii="宋体" w:hAnsi="宋体" w:eastAsia="宋体" w:cs="宋体"/>
                <w:b w:val="0"/>
                <w:bCs w:val="0"/>
                <w:caps w:val="0"/>
                <w:color w:val="auto"/>
                <w:spacing w:val="-2"/>
                <w:kern w:val="2"/>
                <w:sz w:val="21"/>
                <w:szCs w:val="21"/>
                <w:vertAlign w:val="baseline"/>
                <w:lang w:val="en-US" w:eastAsia="zh-CN" w:bidi="ar"/>
              </w:rPr>
              <w:t>进度计划与保证措施</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根据投标人的进度计划与服务保证措施进行评审：</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1、投标人提供的进度计划与保证措施科学、合理，各工作流程衔接有序，运行流畅，可以完全满足采购人对项目进度的要求，得10分；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 xml:space="preserve">2、投标人提供的进度计划与保证措施基本可以在规定时间内完成项目内容，但各工作流程衔接存在一定的不足，进度管理缺乏一定的科学性，得7分；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3、投标人提供的进度计划、保证措施工作流程不够完整，得4分。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无进度计划与保证措施，本项不得分。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val="0"/>
              <w:autoSpaceDN w:val="0"/>
              <w:bidi w:val="0"/>
              <w:adjustRightInd w:val="0"/>
              <w:snapToGrid/>
              <w:spacing w:before="0" w:beforeAutospacing="0" w:after="0" w:afterAutospacing="0" w:line="36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val="en-US" w:bidi="ar"/>
              </w:rPr>
            </w:pPr>
            <w:r>
              <w:rPr>
                <w:rFonts w:hint="eastAsia" w:ascii="宋体" w:hAnsi="宋体" w:eastAsia="宋体" w:cs="宋体"/>
                <w:b w:val="0"/>
                <w:bCs w:val="0"/>
                <w:caps w:val="0"/>
                <w:color w:val="auto"/>
                <w:spacing w:val="-1"/>
                <w:kern w:val="2"/>
                <w:sz w:val="21"/>
                <w:szCs w:val="21"/>
                <w:highlight w:val="none"/>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39" w:hRule="atLeast"/>
          <w:jc w:val="center"/>
        </w:trPr>
        <w:tc>
          <w:tcPr>
            <w:tcW w:w="191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商务部分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eastAsia" w:ascii="Calibri" w:hAnsi="Calibri" w:eastAsia="宋体" w:cs="Times New Roman"/>
                <w:b w:val="0"/>
                <w:bCs w:val="0"/>
                <w:caps w:val="0"/>
                <w:color w:val="auto"/>
                <w:kern w:val="2"/>
                <w:sz w:val="21"/>
                <w:szCs w:val="21"/>
                <w:highlight w:val="none"/>
                <w:vertAlign w:val="baseline"/>
                <w:lang w:val="en-US" w:eastAsia="zh-CN" w:bidi="ar"/>
              </w:rPr>
              <w:t>40</w:t>
            </w:r>
            <w:r>
              <w:rPr>
                <w:rFonts w:hint="eastAsia" w:ascii="宋体" w:hAnsi="宋体" w:eastAsia="宋体" w:cs="Times New Roman"/>
                <w:b w:val="0"/>
                <w:bCs w:val="0"/>
                <w:caps w:val="0"/>
                <w:color w:val="auto"/>
                <w:kern w:val="2"/>
                <w:sz w:val="21"/>
                <w:szCs w:val="21"/>
                <w:highlight w:val="none"/>
                <w:vertAlign w:val="baseline"/>
                <w:lang w:val="en-US" w:eastAsia="zh-CN" w:bidi="ar"/>
              </w:rPr>
              <w:t>分）</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both"/>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zh-CN"/>
              </w:rPr>
              <w:t>政务外网接入能力</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both"/>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投标人具备省电子政务外网横向城域网接入能力（市内各省级部门接入能力）得</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zh-CN"/>
              </w:rPr>
              <w:t>分；</w:t>
            </w:r>
          </w:p>
          <w:p>
            <w:pPr>
              <w:autoSpaceDE w:val="0"/>
              <w:autoSpaceDN w:val="0"/>
              <w:adjustRightInd w:val="0"/>
              <w:jc w:val="both"/>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投标人具备省电子政务外网纵向广域网接入能力（各地市城域网接入能力）得</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zh-CN"/>
              </w:rPr>
              <w:t>分；</w:t>
            </w:r>
          </w:p>
          <w:p>
            <w:pPr>
              <w:autoSpaceDE w:val="0"/>
              <w:autoSpaceDN w:val="0"/>
              <w:adjustRightInd w:val="0"/>
              <w:jc w:val="both"/>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zh-CN"/>
              </w:rPr>
              <w:t>须提供省级电子政务外网核心网元与广域网和城域网各节点网元连通性测试截图并加盖投标人公章，不提供不得分。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73" w:lineRule="auto"/>
              <w:ind w:left="0" w:right="0" w:firstLine="0"/>
              <w:jc w:val="center"/>
              <w:textAlignment w:val="center"/>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Calibri" w:hAnsi="Calibri" w:eastAsia="宋体" w:cs="Times New Roman"/>
                <w:caps w:val="0"/>
                <w:color w:val="auto"/>
                <w:kern w:val="2"/>
                <w:sz w:val="21"/>
                <w:szCs w:val="21"/>
                <w:highlight w:val="none"/>
                <w:vertAlign w:val="baseline"/>
                <w:lang w:val="en-US" w:eastAsia="zh-CN" w:bidi="ar"/>
              </w:rPr>
              <w:t>6</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39" w:hRule="atLeast"/>
          <w:jc w:val="center"/>
        </w:trPr>
        <w:tc>
          <w:tcPr>
            <w:tcW w:w="1912"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业绩情况</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投标人每提供一份自2019年1月1日至今的同类项目业绩证明得3分，最高得15分。</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（评分依据：投标文件内提供中标通知书或合同复印件并加盖公章）</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73" w:lineRule="auto"/>
              <w:ind w:left="0" w:leftChars="0" w:right="0" w:rightChars="0" w:firstLine="0" w:firstLineChars="0"/>
              <w:jc w:val="center"/>
              <w:textAlignment w:val="center"/>
              <w:outlineLvl w:val="9"/>
              <w:rPr>
                <w:rFonts w:hint="default" w:ascii="Calibri" w:hAnsi="Calibri" w:eastAsia="宋体" w:cs="Times New Roman"/>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39" w:hRule="atLeast"/>
          <w:jc w:val="center"/>
        </w:trPr>
        <w:tc>
          <w:tcPr>
            <w:tcW w:w="1912"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Cs/>
                <w:color w:val="auto"/>
                <w:sz w:val="21"/>
                <w:szCs w:val="21"/>
                <w:highlight w:val="none"/>
                <w:lang w:val="zh-CN"/>
              </w:rPr>
              <w:t>网络资源情况</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both"/>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承诺互联网专线的长途网络延时≤30ms（提供测试截图并加盖供应商公章），且使用分配IP能够直接访问各类互联网资源，不进行地址变换；</w:t>
            </w:r>
          </w:p>
          <w:p>
            <w:pPr>
              <w:autoSpaceDE w:val="0"/>
              <w:autoSpaceDN w:val="0"/>
              <w:adjustRightInd w:val="0"/>
              <w:jc w:val="both"/>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本地网络延时≤10ms（提供测试截图并加盖供应商公章），且使用分配IP能够直接访问各类互联网资源，不进行地址变换；</w:t>
            </w:r>
          </w:p>
          <w:p>
            <w:pPr>
              <w:autoSpaceDE w:val="0"/>
              <w:autoSpaceDN w:val="0"/>
              <w:adjustRightInd w:val="0"/>
              <w:jc w:val="both"/>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Cs/>
                <w:color w:val="auto"/>
                <w:sz w:val="21"/>
                <w:szCs w:val="21"/>
                <w:highlight w:val="none"/>
                <w:lang w:val="en-US" w:eastAsia="zh-CN"/>
              </w:rPr>
              <w:t>每提供一条</w:t>
            </w:r>
            <w:r>
              <w:rPr>
                <w:rFonts w:hint="eastAsia" w:ascii="宋体" w:hAnsi="宋体" w:eastAsia="宋体" w:cs="宋体"/>
                <w:bCs/>
                <w:color w:val="auto"/>
                <w:sz w:val="21"/>
                <w:szCs w:val="21"/>
                <w:highlight w:val="none"/>
                <w:lang w:val="zh-CN"/>
              </w:rPr>
              <w:t>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zh-CN"/>
              </w:rPr>
              <w:t>分，</w:t>
            </w:r>
            <w:r>
              <w:rPr>
                <w:rFonts w:hint="eastAsia" w:ascii="宋体" w:hAnsi="宋体" w:eastAsia="宋体" w:cs="宋体"/>
                <w:bCs/>
                <w:color w:val="auto"/>
                <w:sz w:val="21"/>
                <w:szCs w:val="21"/>
                <w:highlight w:val="none"/>
                <w:lang w:val="en-US" w:eastAsia="zh-CN"/>
              </w:rPr>
              <w:t>满分4分</w:t>
            </w:r>
            <w:r>
              <w:rPr>
                <w:rFonts w:hint="eastAsia" w:ascii="宋体" w:hAnsi="宋体" w:eastAsia="宋体" w:cs="宋体"/>
                <w:bCs/>
                <w:color w:val="auto"/>
                <w:sz w:val="21"/>
                <w:szCs w:val="21"/>
                <w:highlight w:val="none"/>
                <w:lang w:val="zh-CN"/>
              </w:rPr>
              <w:t>，</w:t>
            </w:r>
            <w:r>
              <w:rPr>
                <w:rFonts w:hint="eastAsia" w:ascii="宋体" w:hAnsi="宋体" w:eastAsia="宋体" w:cs="宋体"/>
                <w:bCs/>
                <w:color w:val="auto"/>
                <w:sz w:val="21"/>
                <w:szCs w:val="21"/>
                <w:highlight w:val="none"/>
                <w:lang w:val="en-US" w:eastAsia="zh-CN"/>
              </w:rPr>
              <w:t>未提供得0分</w:t>
            </w:r>
            <w:r>
              <w:rPr>
                <w:rFonts w:hint="eastAsia" w:ascii="宋体" w:hAnsi="宋体" w:eastAsia="宋体" w:cs="宋体"/>
                <w:bCs/>
                <w:color w:val="auto"/>
                <w:sz w:val="21"/>
                <w:szCs w:val="21"/>
                <w:highlight w:val="none"/>
                <w:lang w:val="zh-CN"/>
              </w:rPr>
              <w:t>。</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73" w:lineRule="auto"/>
              <w:ind w:left="0" w:leftChars="0" w:right="0" w:rightChars="0" w:firstLine="0" w:firstLineChars="0"/>
              <w:jc w:val="center"/>
              <w:textAlignment w:val="center"/>
              <w:outlineLvl w:val="9"/>
              <w:rPr>
                <w:rFonts w:hint="default" w:ascii="宋体" w:hAnsi="宋体" w:eastAsia="宋体" w:cs="宋体"/>
                <w:b w:val="0"/>
                <w:bCs w:val="0"/>
                <w:caps w:val="0"/>
                <w:color w:val="auto"/>
                <w:kern w:val="2"/>
                <w:sz w:val="21"/>
                <w:szCs w:val="21"/>
                <w:highlight w:val="none"/>
                <w:vertAlign w:val="baseline"/>
                <w:lang w:val="en-US" w:eastAsia="zh-CN" w:bidi="ar"/>
              </w:rPr>
            </w:pPr>
            <w:r>
              <w:rPr>
                <w:rFonts w:hint="eastAsia" w:ascii="宋体" w:hAnsi="宋体" w:eastAsia="宋体" w:cs="宋体"/>
                <w:b w:val="0"/>
                <w:bCs w:val="0"/>
                <w:caps w:val="0"/>
                <w:color w:val="auto"/>
                <w:kern w:val="2"/>
                <w:sz w:val="21"/>
                <w:szCs w:val="21"/>
                <w:highlight w:val="none"/>
                <w:vertAlign w:val="baseline"/>
                <w:lang w:val="en-US" w:eastAsia="zh-CN" w:bidi="ar"/>
              </w:rPr>
              <w:t>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39" w:hRule="atLeast"/>
          <w:jc w:val="center"/>
        </w:trPr>
        <w:tc>
          <w:tcPr>
            <w:tcW w:w="1912"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leftChars="0" w:right="0" w:rightChars="0" w:firstLine="0" w:firstLineChars="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投入团队</w:t>
            </w:r>
          </w:p>
        </w:tc>
        <w:tc>
          <w:tcPr>
            <w:tcW w:w="5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宋体"/>
                <w:bCs/>
                <w:color w:val="auto"/>
                <w:sz w:val="21"/>
                <w:szCs w:val="21"/>
                <w:highlight w:val="none"/>
                <w:lang w:val="en-US" w:eastAsia="zh-CN"/>
              </w:rPr>
              <w:t>对投标人拟配主要人员的技术力量进行综合评价，具有通信专业高级工程师职称的，5人以上（包括5人）得15分；4人得11分；3人得6分；2人得4分；1人得2分；没有得0分。</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val="en-US" w:eastAsia="zh-CN"/>
              </w:rPr>
              <w:t>15</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综合评分表：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四</w:t>
      </w: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r>
        <w:rPr>
          <w:rFonts w:hint="eastAsia" w:ascii="宋体" w:hAnsi="宋体" w:eastAsia="宋体" w:cs="Times New Roman"/>
          <w:b w:val="0"/>
          <w:bCs w:val="0"/>
          <w:caps w:val="0"/>
          <w:color w:val="auto"/>
          <w:kern w:val="2"/>
          <w:sz w:val="21"/>
          <w:szCs w:val="21"/>
          <w:highlight w:val="none"/>
          <w:vertAlign w:val="baseline"/>
          <w:lang w:val="en-US" w:eastAsia="zh-CN" w:bidi="ar"/>
        </w:rPr>
        <w:t>说  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1</w:t>
      </w:r>
      <w:r>
        <w:rPr>
          <w:rFonts w:hint="eastAsia" w:ascii="宋体" w:hAnsi="宋体" w:eastAsia="宋体" w:cs="Times New Roman"/>
          <w:b w:val="0"/>
          <w:bCs w:val="0"/>
          <w:caps w:val="0"/>
          <w:color w:val="auto"/>
          <w:kern w:val="2"/>
          <w:sz w:val="21"/>
          <w:szCs w:val="21"/>
          <w:highlight w:val="none"/>
          <w:vertAlign w:val="baseline"/>
          <w:lang w:val="en-US" w:eastAsia="zh-CN" w:bidi="ar"/>
        </w:rPr>
        <w:t>、按最终得分由高到低的顺序推荐中标候选人</w:t>
      </w:r>
      <w:r>
        <w:rPr>
          <w:rFonts w:hint="default" w:ascii="Calibri" w:hAnsi="Calibri" w:eastAsia="宋体" w:cs="Times New Roman"/>
          <w:b w:val="0"/>
          <w:bCs w:val="0"/>
          <w:caps w:val="0"/>
          <w:color w:val="auto"/>
          <w:kern w:val="2"/>
          <w:sz w:val="21"/>
          <w:szCs w:val="21"/>
          <w:highlight w:val="none"/>
          <w:vertAlign w:val="baseline"/>
          <w:lang w:val="en-US" w:eastAsia="zh-CN" w:bidi="ar"/>
        </w:rPr>
        <w:t>3</w:t>
      </w:r>
      <w:r>
        <w:rPr>
          <w:rFonts w:hint="eastAsia" w:ascii="宋体" w:hAnsi="宋体" w:eastAsia="宋体" w:cs="Times New Roman"/>
          <w:b w:val="0"/>
          <w:bCs w:val="0"/>
          <w:caps w:val="0"/>
          <w:color w:val="auto"/>
          <w:kern w:val="2"/>
          <w:sz w:val="21"/>
          <w:szCs w:val="21"/>
          <w:highlight w:val="none"/>
          <w:vertAlign w:val="baseline"/>
          <w:lang w:val="en-US" w:eastAsia="zh-CN" w:bidi="ar"/>
        </w:rPr>
        <w:t>名。得分相同的，按投标报价（指投标报价经算术修正和落实政府采购政策需进行的价格扣除后的投标价格）由低到高顺序排列；得分且投标报价（指投标报价经算术修正和落实政府采购政策需进行的价格扣除后的投标价格）相同的，按技术服务评分由高到低顺序排列；得分、投标报价（指投标报价经算术修正和落实政府采购政策需进行的价格扣除后的投标价格）且技术服务评分相同的，按所投产品列入政府优先采购产品类别认证证书多少顺序排列；以上均相同的，按解密投标文件时间先后顺序（以递交投标文件登记表为准）排列。分包采购的，每包评标结果按上述规则排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2、提供相同品牌产品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本项目不适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2</w:t>
      </w:r>
      <w:r>
        <w:rPr>
          <w:rFonts w:hint="eastAsia" w:ascii="宋体" w:hAnsi="宋体" w:eastAsia="宋体" w:cs="Times New Roman"/>
          <w:b w:val="0"/>
          <w:bCs w:val="0"/>
          <w:caps w:val="0"/>
          <w:color w:val="auto"/>
          <w:kern w:val="2"/>
          <w:sz w:val="21"/>
          <w:szCs w:val="21"/>
          <w:highlight w:val="none"/>
          <w:vertAlign w:val="baseline"/>
          <w:lang w:val="en-US" w:eastAsia="zh-CN" w:bidi="ar"/>
        </w:rPr>
        <w:t>、本办法未列内容，不作为本次评审依据。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纳入节能产品政府采购清单的的投标产品及纳入环境标志产品政府采购品目清单的投标产品的证明材料：</w:t>
      </w:r>
    </w:p>
    <w:tbl>
      <w:tblPr>
        <w:tblStyle w:val="24"/>
        <w:tblW w:w="9092" w:type="dxa"/>
        <w:tblInd w:w="10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427"/>
        <w:gridCol w:w="1533"/>
        <w:gridCol w:w="1732"/>
        <w:gridCol w:w="1333"/>
        <w:gridCol w:w="1935"/>
        <w:gridCol w:w="11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项目名称</w:t>
            </w:r>
          </w:p>
        </w:tc>
        <w:tc>
          <w:tcPr>
            <w:tcW w:w="15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项目编码</w:t>
            </w:r>
          </w:p>
        </w:tc>
        <w:tc>
          <w:tcPr>
            <w:tcW w:w="1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是否纳入节能产品政府采购清单的投标产品</w:t>
            </w:r>
          </w:p>
        </w:tc>
        <w:tc>
          <w:tcPr>
            <w:tcW w:w="13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c>
          <w:tcPr>
            <w:tcW w:w="19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是否环境标志产品政府采购品目清单的投标产品</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金额（元）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70"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84" w:hRule="atLeast"/>
        </w:trPr>
        <w:tc>
          <w:tcPr>
            <w:tcW w:w="142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合计</w:t>
            </w:r>
          </w:p>
        </w:tc>
        <w:tc>
          <w:tcPr>
            <w:tcW w:w="15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7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333"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c>
          <w:tcPr>
            <w:tcW w:w="1935"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tc>
        <w:tc>
          <w:tcPr>
            <w:tcW w:w="1132" w:type="dxa"/>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元</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依据财政部《关于印发《政府采购促进中小企业发展暂行办法》的通知》（财库〔</w:t>
      </w:r>
      <w:r>
        <w:rPr>
          <w:rFonts w:hint="default" w:ascii="Calibri" w:hAnsi="Calibri" w:eastAsia="宋体" w:cs="Times New Roman"/>
          <w:b w:val="0"/>
          <w:bCs w:val="0"/>
          <w:caps w:val="0"/>
          <w:color w:val="auto"/>
          <w:kern w:val="2"/>
          <w:sz w:val="21"/>
          <w:szCs w:val="21"/>
          <w:highlight w:val="none"/>
          <w:vertAlign w:val="baseline"/>
          <w:lang w:val="en-US" w:eastAsia="zh-CN" w:bidi="ar"/>
        </w:rPr>
        <w:t>2011</w:t>
      </w:r>
      <w:r>
        <w:rPr>
          <w:rFonts w:hint="eastAsia" w:ascii="宋体" w:hAnsi="宋体" w:eastAsia="宋体" w:cs="Times New Roman"/>
          <w:b w:val="0"/>
          <w:bCs w:val="0"/>
          <w:caps w:val="0"/>
          <w:color w:val="auto"/>
          <w:kern w:val="2"/>
          <w:sz w:val="21"/>
          <w:szCs w:val="21"/>
          <w:highlight w:val="none"/>
          <w:vertAlign w:val="baseline"/>
          <w:lang w:val="en-US" w:eastAsia="zh-CN" w:bidi="ar"/>
        </w:rPr>
        <w:t>〕</w:t>
      </w:r>
      <w:r>
        <w:rPr>
          <w:rFonts w:hint="default" w:ascii="Calibri" w:hAnsi="Calibri" w:eastAsia="宋体" w:cs="Times New Roman"/>
          <w:b w:val="0"/>
          <w:bCs w:val="0"/>
          <w:caps w:val="0"/>
          <w:color w:val="auto"/>
          <w:kern w:val="2"/>
          <w:sz w:val="21"/>
          <w:szCs w:val="21"/>
          <w:highlight w:val="none"/>
          <w:vertAlign w:val="baseline"/>
          <w:lang w:val="en-US" w:eastAsia="zh-CN" w:bidi="ar"/>
        </w:rPr>
        <w:t>181</w:t>
      </w:r>
      <w:r>
        <w:rPr>
          <w:rFonts w:hint="eastAsia" w:ascii="宋体" w:hAnsi="宋体" w:eastAsia="宋体" w:cs="Times New Roman"/>
          <w:b w:val="0"/>
          <w:bCs w:val="0"/>
          <w:caps w:val="0"/>
          <w:color w:val="auto"/>
          <w:kern w:val="2"/>
          <w:sz w:val="21"/>
          <w:szCs w:val="21"/>
          <w:highlight w:val="none"/>
          <w:vertAlign w:val="baseline"/>
          <w:lang w:val="en-US" w:eastAsia="zh-CN" w:bidi="ar"/>
        </w:rPr>
        <w:t>号）规定本项目对小型和微型企业产品的价格给予</w:t>
      </w:r>
      <w:r>
        <w:rPr>
          <w:rFonts w:hint="default" w:ascii="Calibri" w:hAnsi="Calibri" w:eastAsia="宋体" w:cs="Times New Roman"/>
          <w:b w:val="0"/>
          <w:bCs w:val="0"/>
          <w:caps w:val="0"/>
          <w:color w:val="auto"/>
          <w:kern w:val="2"/>
          <w:sz w:val="21"/>
          <w:szCs w:val="21"/>
          <w:highlight w:val="none"/>
          <w:vertAlign w:val="baseline"/>
          <w:lang w:val="en-US" w:eastAsia="zh-CN" w:bidi="ar"/>
        </w:rPr>
        <w:t>10-20%</w:t>
      </w:r>
      <w:r>
        <w:rPr>
          <w:rFonts w:hint="eastAsia" w:ascii="宋体" w:hAnsi="宋体" w:eastAsia="宋体" w:cs="Times New Roman"/>
          <w:b w:val="0"/>
          <w:bCs w:val="0"/>
          <w:caps w:val="0"/>
          <w:color w:val="auto"/>
          <w:kern w:val="2"/>
          <w:sz w:val="21"/>
          <w:szCs w:val="21"/>
          <w:highlight w:val="none"/>
          <w:vertAlign w:val="baseline"/>
          <w:lang w:val="en-US" w:eastAsia="zh-CN" w:bidi="ar"/>
        </w:rPr>
        <w:t>的扣除，用扣除后的价格参与评审，但参加本次采购活动的中小企业应当提供本办法规定的《中小企业声明函》。小型、微型企业提供中型企业制造的货物的，视同为中型企业。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依据《财政部司法部关于政府采购支持监狱企业发展有关问题的通知》文件规定，在政府采购活动中，监狱企业视同小型、微型企业，享受预留份额、评审中价格扣除等政府采购促进中小企业发展的政府采购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注：评标委员会在评审时，价格分加分：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(1)、对于列入财政部、生态环境部发布的《环境标志产品政府采购品目清单》要求的产品，对其投标价格给予3%的价格扣除，并按照扣除后的价格参加排序。采购项目或者分包中既包含环境标志产品也包含非环境标志产品的，只对列入《环境标志产品政府采购品目清单》要求的产品按其在总报价中所占的比例给予价格扣除，投标文件中需提供认证证明，认证机构须在市场监管总局公布的名录内详见《市场监管总局关于发布参与实施政府采购节能产品、环境标志产品认证机构名录的公告（2019年第16号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(2)、对财政部、发展改革委发布的《节能产品政府采购品目清单》但不属于国家强制采购的产品，对其投标价格给予3%的价格扣除，并按照扣除后的价格参加排序。采购项目或者分包中既包含节能产品也包含非节能产品的，只对列入《节能产品政府采购品目清单》但不属于国家强制采购的产品按其在总报价中所占的比例给予价格扣除，投标文件中需提供认证证明，认证机构须在市场监管总局公布的名录内《详见市场监管总局关于发布参与实施政府采购节能产品、环境标志产品认证机构名录的公告（2019年第16号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3）对于列入财政部、国家发改委、信息产业部发布的《无线局域网认证产品政府采购清单》的产品，对其投标价格给予3%的价格扣除，并按扣除后的价格参加排序。采购项目或者分包中既包含清单中产品也包含非清单中产品的，只对列入清单的产品按其在总报价中所占的比例给予价格扣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（4）投标产品同时列入上述多个清单的，将上述规定的价格扣除比例叠加后计算价格扣除。</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5）根据《政府采购促进中小企业发展管理办法》（财库〔2020〕46号）文件及财政部《关于进一步加大政府采购支持中小企业力度的通知》（财库〔2022〕19号）规定，对小型和微型企业的产品/服务给予10%的价格扣除，并按照扣除后的价格参加排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（6）监狱企业视同小型、微型企业，监狱企业投标的提供由省级以上监狱管理局、戒毒管理局(含新疆生产建设兵团)出具的属于监狱企业的证明文件，不再提供《中小微企业声明函》；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val="0"/>
          <w:bCs w:val="0"/>
          <w:caps w:val="0"/>
          <w:color w:val="auto"/>
          <w:kern w:val="2"/>
          <w:sz w:val="21"/>
          <w:szCs w:val="21"/>
          <w:highlight w:val="none"/>
          <w:vertAlign w:val="baseline"/>
          <w:lang w:val="en-US" w:eastAsia="zh-CN"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（7）残疾人福利性单位视同小型、微型企业，残疾人福利性单位属于小型、微型企业的，不重复享受政策。符合条件的残疾人福利性单位在参加政府采购活动时，应当提供《残疾人福利性单位声明函》。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（8）价格扣除的依据：第（1）至（4）条提供投标货物相关认证证书复印件加盖投标人公章。第（5）、（7）条提供《中小微企业声明函》、《残疾人福利性单位声明函》</w:t>
      </w:r>
      <w:r>
        <w:rPr>
          <w:rFonts w:hint="default" w:ascii="Calibri" w:hAnsi="Calibri" w:eastAsia="宋体" w:cs="Times New Roman"/>
          <w:caps w:val="0"/>
          <w:color w:val="auto"/>
          <w:kern w:val="2"/>
          <w:sz w:val="21"/>
          <w:szCs w:val="21"/>
          <w:highlight w:val="none"/>
          <w:vertAlign w:val="baseline"/>
          <w:lang w:bidi="ar"/>
        </w:rPr>
        <w:t>。</w:t>
      </w:r>
    </w:p>
    <w:p>
      <w:pPr>
        <w:pStyle w:val="3"/>
        <w:rPr>
          <w:rFonts w:hint="default"/>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caps w:val="0"/>
          <w:color w:val="auto"/>
          <w:kern w:val="2"/>
          <w:sz w:val="21"/>
          <w:szCs w:val="21"/>
          <w:highlight w:val="none"/>
          <w:vertAlign w:val="baseline"/>
          <w:lang w:bidi="ar"/>
        </w:rPr>
        <w:t>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投标人不能证明其报价合理性的，未提供或内容不全面无法支持成本构成的，由评标委员会认定该投标人是否以低于成本价竞标，如果是，其报价分不得分。超过采购预算的投标报价将否决其投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b/>
          <w:bCs/>
          <w:caps w:val="0"/>
          <w:color w:val="auto"/>
          <w:kern w:val="2"/>
          <w:sz w:val="44"/>
          <w:szCs w:val="44"/>
          <w:highlight w:val="none"/>
          <w:vertAlign w:val="baseline"/>
          <w:lang w:bidi="ar"/>
        </w:rPr>
      </w:pPr>
      <w:r>
        <w:rPr>
          <w:rFonts w:hint="default" w:ascii="Calibri" w:hAnsi="Calibri" w:eastAsia="宋体" w:cs="Times New Roman"/>
          <w:b/>
          <w:bCs/>
          <w:caps w:val="0"/>
          <w:color w:val="auto"/>
          <w:kern w:val="2"/>
          <w:sz w:val="44"/>
          <w:szCs w:val="44"/>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44"/>
          <w:szCs w:val="44"/>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第四部分</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采购需求</w:t>
      </w:r>
    </w:p>
    <w:p>
      <w:pPr>
        <w:pStyle w:val="6"/>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Hans"/>
        </w:rPr>
        <w:t>项目建设目标、规模、内容、建设期</w:t>
      </w:r>
    </w:p>
    <w:p>
      <w:pPr>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CN"/>
        </w:rPr>
        <w:t>一、</w:t>
      </w:r>
      <w:r>
        <w:rPr>
          <w:rFonts w:hint="eastAsia"/>
          <w:sz w:val="24"/>
          <w:szCs w:val="24"/>
          <w:lang w:val="en-US" w:eastAsia="zh-Hans"/>
        </w:rPr>
        <w:t>项目服务实施目标</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按照国家、省统一的规划和标准规范，提供结构合理、边界清晰、技术先进、安全可靠的电子政务外网网络系统</w:t>
      </w:r>
      <w:r>
        <w:rPr>
          <w:rFonts w:hint="default"/>
          <w:sz w:val="24"/>
          <w:szCs w:val="24"/>
          <w:lang w:eastAsia="zh-Hans"/>
        </w:rPr>
        <w:t>平台</w:t>
      </w:r>
      <w:r>
        <w:rPr>
          <w:rFonts w:hint="eastAsia"/>
          <w:sz w:val="24"/>
          <w:szCs w:val="24"/>
          <w:lang w:val="en-US" w:eastAsia="zh-Hans"/>
        </w:rPr>
        <w:t>服务和安全管理</w:t>
      </w:r>
      <w:r>
        <w:rPr>
          <w:rFonts w:hint="default"/>
          <w:sz w:val="24"/>
          <w:szCs w:val="24"/>
          <w:lang w:eastAsia="zh-Hans"/>
        </w:rPr>
        <w:t>平台</w:t>
      </w:r>
      <w:r>
        <w:rPr>
          <w:rFonts w:hint="eastAsia"/>
          <w:sz w:val="24"/>
          <w:szCs w:val="24"/>
          <w:lang w:val="en-US" w:eastAsia="zh-Hans"/>
        </w:rPr>
        <w:t>服务，为推动长春市绿园区各级政务部门开展各类业务应用、办公协同以及提高公共服务能力，提供重要的网络支撑</w:t>
      </w:r>
      <w:r>
        <w:rPr>
          <w:rFonts w:hint="default"/>
          <w:sz w:val="24"/>
          <w:szCs w:val="24"/>
          <w:lang w:eastAsia="zh-Hans"/>
        </w:rPr>
        <w:t>平台</w:t>
      </w:r>
      <w:r>
        <w:rPr>
          <w:rFonts w:hint="eastAsia"/>
          <w:sz w:val="24"/>
          <w:szCs w:val="24"/>
          <w:lang w:val="en-US" w:eastAsia="zh-Hans"/>
        </w:rPr>
        <w:t>，满足长春市绿园区各级政务部门社会管理和公共服务的需求，促进政府监管能力和服务水平的提高。</w:t>
      </w:r>
    </w:p>
    <w:p>
      <w:pPr>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CN"/>
        </w:rPr>
        <w:t>二、</w:t>
      </w:r>
      <w:r>
        <w:rPr>
          <w:rFonts w:hint="eastAsia"/>
          <w:sz w:val="24"/>
          <w:szCs w:val="24"/>
          <w:lang w:val="en-US" w:eastAsia="zh-Hans"/>
        </w:rPr>
        <w:t>项目服务实施规模与内容</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长春市绿园区电子政务外网以政府购买服务的方式进行实施，主要服务内容包括：</w:t>
      </w:r>
    </w:p>
    <w:p>
      <w:pPr>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Hans"/>
        </w:rPr>
        <w:t>（1）电子政务外网网络服务及安全管理服务</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 xml:space="preserve">长春市绿园区电子政务外网接入服务，主要分为核心区服务、上联出口区服务、接入节点服务，用以满足相关政务部门对电子政务外网的接入需求。 </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长春市绿园区电子政务外网安全管理服务，主要分为安全认证服务和安全管理服务，其中，电子政务外网安全认证服务，主要实现长春市绿园区电子政务外网用户入网的身份认证，实现安全入网；电子政务外网安全管理服务，提供整个网络的态势感知、终端管理、防毒管理、漏扫管理、日志审计、防火墙管理、网络管理和运维审计等服务。</w:t>
      </w:r>
    </w:p>
    <w:p>
      <w:pPr>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Hans"/>
        </w:rPr>
        <w:t xml:space="preserve">（2）电子政务外网其他服务 </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长春市绿园区电子政务外网其他服务，主要分为电子政务外网设计服务，机房建设服务，电子政务外网监理服务，电子政务外网等保测评服务。</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网络带宽主要延续现网使用的带宽，对部分专线带宽进行了扩容调整。</w:t>
      </w:r>
    </w:p>
    <w:p>
      <w:pPr>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CN"/>
        </w:rPr>
        <w:t>三、</w:t>
      </w:r>
      <w:r>
        <w:rPr>
          <w:rFonts w:hint="eastAsia"/>
          <w:sz w:val="24"/>
          <w:szCs w:val="24"/>
          <w:lang w:val="en-US" w:eastAsia="zh-Hans"/>
        </w:rPr>
        <w:t>建设模式</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本项目建设模式为购买网络技术服务模式。</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服务方提供网络、安全设备及安全管理运维服务，办公运维服务，实现网络不间断、平稳、安全、可靠运行，保障绿园区政务外网正常使用。</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购买服务模式有利于政府转变职能，提高行政效率，由专业的人提供专业的服务，也有利于提高服务质量。</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政务外网的网络安全设备可部署在运营商IDC机房，由IDC机房提供高速、稳定的网络带宽，保障网络稳定、高速、可靠的通讯。</w:t>
      </w:r>
    </w:p>
    <w:p>
      <w:pPr>
        <w:pageBreakBefore w:val="0"/>
        <w:kinsoku/>
        <w:wordWrap/>
        <w:overflowPunct/>
        <w:topLinePunct w:val="0"/>
        <w:autoSpaceDE/>
        <w:autoSpaceDN/>
        <w:bidi w:val="0"/>
        <w:spacing w:line="360" w:lineRule="auto"/>
        <w:ind w:firstLine="480" w:firstLineChars="200"/>
        <w:textAlignment w:val="auto"/>
        <w:rPr>
          <w:rFonts w:hint="eastAsia"/>
          <w:sz w:val="24"/>
          <w:szCs w:val="24"/>
          <w:highlight w:val="none"/>
          <w:lang w:val="en-US" w:eastAsia="zh-Hans"/>
        </w:rPr>
      </w:pPr>
      <w:r>
        <w:rPr>
          <w:rFonts w:hint="eastAsia"/>
          <w:sz w:val="24"/>
          <w:szCs w:val="24"/>
          <w:lang w:val="en-US" w:eastAsia="zh-Hans"/>
        </w:rPr>
        <w:t>服务费采用按年支付方式。</w:t>
      </w:r>
    </w:p>
    <w:p>
      <w:pPr>
        <w:pageBreakBefore w:val="0"/>
        <w:kinsoku/>
        <w:wordWrap/>
        <w:overflowPunct/>
        <w:topLinePunct w:val="0"/>
        <w:autoSpaceDE/>
        <w:autoSpaceDN/>
        <w:bidi w:val="0"/>
        <w:spacing w:line="360" w:lineRule="auto"/>
        <w:textAlignment w:val="auto"/>
        <w:rPr>
          <w:rFonts w:hint="eastAsia"/>
          <w:sz w:val="24"/>
          <w:szCs w:val="24"/>
          <w:highlight w:val="none"/>
          <w:lang w:val="en-US" w:eastAsia="zh-Hans"/>
        </w:rPr>
      </w:pPr>
      <w:r>
        <w:rPr>
          <w:rFonts w:hint="eastAsia"/>
          <w:sz w:val="24"/>
          <w:szCs w:val="24"/>
          <w:highlight w:val="none"/>
          <w:lang w:val="en-US" w:eastAsia="zh-Hans"/>
        </w:rPr>
        <w:t>4)建设周期</w:t>
      </w:r>
    </w:p>
    <w:p>
      <w:pPr>
        <w:pageBreakBefore w:val="0"/>
        <w:kinsoku/>
        <w:wordWrap/>
        <w:overflowPunct/>
        <w:topLinePunct w:val="0"/>
        <w:autoSpaceDE/>
        <w:autoSpaceDN/>
        <w:bidi w:val="0"/>
        <w:spacing w:line="360" w:lineRule="auto"/>
        <w:ind w:firstLine="480" w:firstLineChars="200"/>
        <w:textAlignment w:val="auto"/>
        <w:rPr>
          <w:rFonts w:hint="eastAsia"/>
          <w:sz w:val="24"/>
          <w:szCs w:val="24"/>
          <w:highlight w:val="none"/>
          <w:lang w:val="en-US" w:eastAsia="zh-Hans"/>
        </w:rPr>
      </w:pPr>
      <w:r>
        <w:rPr>
          <w:rFonts w:hint="eastAsia"/>
          <w:sz w:val="24"/>
          <w:szCs w:val="24"/>
          <w:highlight w:val="none"/>
          <w:lang w:val="en-US" w:eastAsia="zh-Hans"/>
        </w:rPr>
        <w:t>项目建设严格按照国家基本建设程序进行，</w:t>
      </w:r>
      <w:r>
        <w:rPr>
          <w:rFonts w:hint="eastAsia"/>
          <w:sz w:val="24"/>
          <w:szCs w:val="24"/>
          <w:highlight w:val="none"/>
          <w:lang w:val="en-US" w:eastAsia="zh-CN"/>
        </w:rPr>
        <w:t>建设期为签订合同之日起至2023年12月</w:t>
      </w:r>
      <w:r>
        <w:rPr>
          <w:rFonts w:hint="eastAsia"/>
          <w:sz w:val="24"/>
          <w:szCs w:val="24"/>
          <w:highlight w:val="none"/>
          <w:lang w:val="en-US" w:eastAsia="zh-Hans"/>
        </w:rPr>
        <w:t>。</w:t>
      </w:r>
    </w:p>
    <w:p>
      <w:pPr>
        <w:pageBreakBefore w:val="0"/>
        <w:kinsoku/>
        <w:wordWrap/>
        <w:overflowPunct/>
        <w:topLinePunct w:val="0"/>
        <w:autoSpaceDE/>
        <w:autoSpaceDN/>
        <w:bidi w:val="0"/>
        <w:spacing w:line="360" w:lineRule="auto"/>
        <w:ind w:firstLine="480" w:firstLineChars="200"/>
        <w:textAlignment w:val="auto"/>
        <w:rPr>
          <w:rFonts w:hint="eastAsia"/>
          <w:sz w:val="24"/>
          <w:szCs w:val="24"/>
          <w:highlight w:val="none"/>
          <w:lang w:val="en-US" w:eastAsia="zh-Hans"/>
        </w:rPr>
      </w:pPr>
      <w:r>
        <w:rPr>
          <w:rFonts w:hint="eastAsia"/>
          <w:sz w:val="24"/>
          <w:szCs w:val="24"/>
          <w:highlight w:val="none"/>
          <w:lang w:val="en-US" w:eastAsia="zh-Hans"/>
        </w:rPr>
        <w:t>项目验收合格后，开始进入服务期，服务期总计为三年。</w:t>
      </w:r>
      <w:r>
        <w:rPr>
          <w:rFonts w:hint="eastAsia"/>
          <w:sz w:val="24"/>
          <w:szCs w:val="24"/>
          <w:highlight w:val="none"/>
          <w:lang w:val="en-US" w:eastAsia="zh-CN"/>
        </w:rPr>
        <w:t>为保障绿园区政府电子政务业务连续性，专线服务需要在签订合同后15天内完成。</w:t>
      </w:r>
    </w:p>
    <w:p>
      <w:pPr>
        <w:pageBreakBefore w:val="0"/>
        <w:kinsoku/>
        <w:wordWrap/>
        <w:overflowPunct/>
        <w:topLinePunct w:val="0"/>
        <w:autoSpaceDE/>
        <w:autoSpaceDN/>
        <w:bidi w:val="0"/>
        <w:spacing w:line="360" w:lineRule="auto"/>
        <w:ind w:firstLine="480" w:firstLineChars="200"/>
        <w:textAlignment w:val="auto"/>
        <w:rPr>
          <w:rFonts w:hint="eastAsia"/>
          <w:sz w:val="24"/>
          <w:szCs w:val="24"/>
          <w:highlight w:val="none"/>
          <w:lang w:val="en-US" w:eastAsia="zh-Hans"/>
        </w:rPr>
      </w:pPr>
      <w:r>
        <w:rPr>
          <w:rFonts w:hint="eastAsia"/>
          <w:sz w:val="24"/>
          <w:szCs w:val="24"/>
          <w:highlight w:val="none"/>
          <w:lang w:val="en-US" w:eastAsia="zh-Hans"/>
        </w:rPr>
        <w:t>三年服务期内，本项目所有设备和装修如不满足服务需求，需要更换并满足需求。</w:t>
      </w:r>
    </w:p>
    <w:p>
      <w:pPr>
        <w:pageBreakBefore w:val="0"/>
        <w:kinsoku/>
        <w:wordWrap/>
        <w:overflowPunct/>
        <w:topLinePunct w:val="0"/>
        <w:autoSpaceDE/>
        <w:autoSpaceDN/>
        <w:bidi w:val="0"/>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本期项目服务期满后可以延续购买服务模式。</w:t>
      </w:r>
    </w:p>
    <w:p>
      <w:pPr>
        <w:pStyle w:val="6"/>
        <w:pageBreakBefore w:val="0"/>
        <w:kinsoku/>
        <w:wordWrap/>
        <w:overflowPunct/>
        <w:topLinePunct w:val="0"/>
        <w:autoSpaceDE/>
        <w:autoSpaceDN/>
        <w:bidi w:val="0"/>
        <w:spacing w:line="360" w:lineRule="auto"/>
        <w:textAlignment w:val="auto"/>
        <w:rPr>
          <w:rFonts w:hint="eastAsia"/>
          <w:sz w:val="24"/>
          <w:szCs w:val="24"/>
          <w:lang w:val="en-US" w:eastAsia="zh-Hans"/>
        </w:rPr>
      </w:pPr>
      <w:r>
        <w:rPr>
          <w:rFonts w:hint="eastAsia"/>
          <w:sz w:val="24"/>
          <w:szCs w:val="24"/>
          <w:lang w:val="en-US" w:eastAsia="zh-Hans"/>
        </w:rPr>
        <w:t>采购需求清单</w:t>
      </w:r>
    </w:p>
    <w:tbl>
      <w:tblPr>
        <w:tblStyle w:val="24"/>
        <w:tblW w:w="5278" w:type="pct"/>
        <w:jc w:val="center"/>
        <w:tblLayout w:type="autofit"/>
        <w:tblCellMar>
          <w:top w:w="0" w:type="dxa"/>
          <w:left w:w="108" w:type="dxa"/>
          <w:bottom w:w="0" w:type="dxa"/>
          <w:right w:w="108" w:type="dxa"/>
        </w:tblCellMar>
      </w:tblPr>
      <w:tblGrid>
        <w:gridCol w:w="629"/>
        <w:gridCol w:w="1148"/>
        <w:gridCol w:w="5733"/>
        <w:gridCol w:w="792"/>
        <w:gridCol w:w="693"/>
      </w:tblGrid>
      <w:tr>
        <w:tblPrEx>
          <w:tblCellMar>
            <w:top w:w="0" w:type="dxa"/>
            <w:left w:w="108" w:type="dxa"/>
            <w:bottom w:w="0" w:type="dxa"/>
            <w:right w:w="108" w:type="dxa"/>
          </w:tblCellMar>
        </w:tblPrEx>
        <w:trPr>
          <w:trHeight w:val="90" w:hRule="atLeast"/>
          <w:jc w:val="center"/>
        </w:trPr>
        <w:tc>
          <w:tcPr>
            <w:tcW w:w="350"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638"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产品名称</w:t>
            </w:r>
          </w:p>
        </w:tc>
        <w:tc>
          <w:tcPr>
            <w:tcW w:w="3187"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规格描述</w:t>
            </w:r>
          </w:p>
        </w:tc>
        <w:tc>
          <w:tcPr>
            <w:tcW w:w="440"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数量</w:t>
            </w:r>
          </w:p>
        </w:tc>
        <w:tc>
          <w:tcPr>
            <w:tcW w:w="382"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单位</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上联核心网络区服务</w:t>
            </w:r>
          </w:p>
        </w:tc>
      </w:tr>
      <w:tr>
        <w:tblPrEx>
          <w:tblCellMar>
            <w:top w:w="0" w:type="dxa"/>
            <w:left w:w="108" w:type="dxa"/>
            <w:bottom w:w="0" w:type="dxa"/>
            <w:right w:w="108" w:type="dxa"/>
          </w:tblCellMar>
        </w:tblPrEx>
        <w:trPr>
          <w:trHeight w:val="8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核心接入路由服务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支持NAT，子接口管理；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支持路由策略，静态路由，RIP，OSPF，IS-IS，BGP等路由协议；</w:t>
            </w:r>
          </w:p>
          <w:p>
            <w:pPr>
              <w:pageBreakBefore w:val="0"/>
              <w:widowControl/>
              <w:kinsoku/>
              <w:wordWrap/>
              <w:overflowPunct/>
              <w:topLinePunct w:val="0"/>
              <w:autoSpaceDE/>
              <w:autoSpaceDN/>
              <w:bidi w:val="0"/>
              <w:spacing w:line="240" w:lineRule="auto"/>
              <w:jc w:val="left"/>
              <w:textAlignment w:val="auto"/>
              <w:rPr>
                <w:rFonts w:hint="default" w:ascii="宋体" w:hAnsi="宋体" w:eastAsia="宋体" w:cs="宋体"/>
                <w:color w:val="auto"/>
                <w:kern w:val="0"/>
                <w:sz w:val="20"/>
                <w:szCs w:val="20"/>
                <w:lang w:eastAsia="zh-Hans"/>
              </w:rPr>
            </w:pP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台路由器</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设备服务性能指标满足电子政务外网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9" w:hRule="atLeast"/>
          <w:jc w:val="center"/>
        </w:trPr>
        <w:tc>
          <w:tcPr>
            <w:tcW w:w="5000" w:type="pct"/>
            <w:gridSpan w:val="5"/>
            <w:tcBorders>
              <w:top w:val="nil"/>
              <w:left w:val="single" w:color="auto" w:sz="4" w:space="0"/>
              <w:bottom w:val="single" w:color="auto" w:sz="4" w:space="0"/>
              <w:right w:val="single" w:color="auto"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lang w:val="en-US" w:eastAsia="zh-Hans"/>
              </w:rPr>
            </w:pPr>
            <w:r>
              <w:rPr>
                <w:rFonts w:hint="eastAsia" w:ascii="宋体" w:hAnsi="宋体" w:eastAsia="宋体" w:cs="宋体"/>
                <w:b/>
                <w:bCs/>
                <w:color w:val="auto"/>
                <w:kern w:val="0"/>
                <w:sz w:val="20"/>
                <w:szCs w:val="20"/>
                <w:lang w:val="en-US" w:eastAsia="zh-Hans"/>
              </w:rPr>
              <w:t>VPN认证区服务</w:t>
            </w:r>
          </w:p>
        </w:tc>
      </w:tr>
      <w:tr>
        <w:tblPrEx>
          <w:tblCellMar>
            <w:top w:w="0" w:type="dxa"/>
            <w:left w:w="108" w:type="dxa"/>
            <w:bottom w:w="0" w:type="dxa"/>
            <w:right w:w="108" w:type="dxa"/>
          </w:tblCellMar>
        </w:tblPrEx>
        <w:trPr>
          <w:trHeight w:val="52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352"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负载均衡服务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支持TCP、HTTP、ICMP、DNS、SNMP、UDP、SMTP、POP3、SSL、Oracle、FTP、RADIUS、自定义等健康监测方式；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支持源IP、目的IP、http cookie、http header、URL、Radius、DHCP、SSL ID、自定义等多种会话保持方式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台负载均衡</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341"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VPN服务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支持sslvpn和ipsecvpn，满足1000人的接入授权</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台VPN</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1259"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上网行为管理服务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支持透明桥接、虚拟网线、路由模式、旁路部署和混合模式等多种部署方式，可灵活地接入用户网络。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通过对用户流量进行全面的分析，能够深入识别应用的内置动作。系统内置上千种应用特征，可以基于应用完成细粒度的应用控制，可对用户上网的关键信息进行审计。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可制定带宽管理策略，验证策略有效性。保障核心用户、核心业务所需带宽，限制无关业务对资源的占用，也可以在带宽空闲时实现动态分配，以实现资源的充分利用，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台上网行为管理</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D9D9D9"/>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核心交换区服务</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核心交换服务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支持静态路由RIP、OSPF、BGP、ISIS等路由协议；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支持MPLS VPN、MPLS QoS等功能；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单</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配置：双主控、双电源、配置万兆光口≥16个；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支持集群或堆叠，配置相应的集群或堆叠线缆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台核心交换机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安全认证区服务</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零信任平</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提供网络隐身、应用访问代理、应用访问控制、单点登录、单点登出、通道安全等能力，支持高可用集群部署，实配2</w:t>
            </w:r>
            <w:r>
              <w:rPr>
                <w:rFonts w:hint="default" w:ascii="宋体" w:hAnsi="宋体" w:eastAsia="宋体" w:cs="宋体"/>
                <w:color w:val="auto"/>
                <w:kern w:val="0"/>
                <w:sz w:val="20"/>
                <w:szCs w:val="20"/>
              </w:rPr>
              <w:t>套平台</w:t>
            </w:r>
            <w:r>
              <w:rPr>
                <w:rFonts w:hint="eastAsia" w:ascii="宋体" w:hAnsi="宋体" w:eastAsia="宋体" w:cs="宋体"/>
                <w:color w:val="auto"/>
                <w:kern w:val="0"/>
                <w:sz w:val="20"/>
                <w:szCs w:val="20"/>
              </w:rPr>
              <w:t>服务器，实配2500客户端并发，含硬件服务器。</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台零信任平台</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终端准入服务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default" w:ascii="宋体" w:hAnsi="宋体" w:eastAsia="宋体" w:cs="宋体"/>
                <w:color w:val="auto"/>
                <w:kern w:val="0"/>
                <w:sz w:val="20"/>
                <w:szCs w:val="20"/>
              </w:rPr>
              <w:t>平台</w:t>
            </w:r>
            <w:r>
              <w:rPr>
                <w:rFonts w:hint="eastAsia" w:ascii="宋体" w:hAnsi="宋体" w:eastAsia="宋体" w:cs="宋体"/>
                <w:color w:val="auto"/>
                <w:kern w:val="0"/>
                <w:sz w:val="20"/>
                <w:szCs w:val="20"/>
              </w:rPr>
              <w:t>授权扩容数量到2500个。维保期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台终端准入</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24</w:t>
            </w:r>
            <w:r>
              <w:rPr>
                <w:rFonts w:hint="eastAsia" w:ascii="宋体" w:hAnsi="宋体" w:eastAsia="宋体" w:cs="宋体"/>
                <w:color w:val="auto"/>
                <w:kern w:val="0"/>
                <w:sz w:val="20"/>
                <w:szCs w:val="20"/>
                <w:lang w:val="en-US" w:eastAsia="zh-Hans"/>
              </w:rPr>
              <w:t>口千兆电口交换机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安全管理区服务</w:t>
            </w:r>
          </w:p>
        </w:tc>
      </w:tr>
      <w:tr>
        <w:tblPrEx>
          <w:tblCellMar>
            <w:top w:w="0" w:type="dxa"/>
            <w:left w:w="108" w:type="dxa"/>
            <w:bottom w:w="0" w:type="dxa"/>
            <w:right w:w="108" w:type="dxa"/>
          </w:tblCellMar>
        </w:tblPrEx>
        <w:trPr>
          <w:trHeight w:val="92"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22"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24</w:t>
            </w:r>
            <w:r>
              <w:rPr>
                <w:rFonts w:hint="eastAsia" w:ascii="宋体" w:hAnsi="宋体" w:eastAsia="宋体" w:cs="宋体"/>
                <w:color w:val="auto"/>
                <w:kern w:val="0"/>
                <w:sz w:val="20"/>
                <w:szCs w:val="20"/>
                <w:lang w:val="en-US" w:eastAsia="zh-Hans"/>
              </w:rPr>
              <w:t>口千兆电口交换机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294"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网络管理系统服务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能够对交换机、路由器、防火墙、WLAN设备等的告警性能数据进行统一监控和管理等，提高运维效率；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支持多种南向接口类型，包括SNMP、Telnet/STelnet、FTP/SFTP/FTPS，方便管理多种设备类型；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支持单设备添加、按IP段添加、等多种资源发现方式，可自动发现设备；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实配网管服务器，实配500个设备管理license，含硬件服务器。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台网络管理系统</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1336"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防火墙管理</w:t>
            </w:r>
            <w:r>
              <w:rPr>
                <w:rFonts w:hint="default" w:ascii="宋体" w:hAnsi="宋体" w:eastAsia="宋体" w:cs="宋体"/>
                <w:color w:val="auto"/>
                <w:kern w:val="0"/>
                <w:sz w:val="20"/>
                <w:szCs w:val="20"/>
              </w:rPr>
              <w:t>平台</w:t>
            </w:r>
            <w:r>
              <w:rPr>
                <w:rFonts w:hint="eastAsia" w:ascii="宋体" w:hAnsi="宋体" w:eastAsia="宋体" w:cs="宋体"/>
                <w:color w:val="auto"/>
                <w:kern w:val="0"/>
                <w:sz w:val="20"/>
                <w:szCs w:val="20"/>
              </w:rPr>
              <w:t>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产品类型：集中管理软件。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产品功能：通过使用安全网关集中管理软件，管理员能够轻松的管理多个设备，最大程度地降低了配置、管理、审计、监控及设备维护的投入成本。</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default" w:ascii="宋体" w:hAnsi="宋体" w:eastAsia="宋体" w:cs="宋体"/>
                <w:color w:val="auto"/>
                <w:kern w:val="0"/>
                <w:sz w:val="20"/>
                <w:szCs w:val="20"/>
              </w:rPr>
              <w:t>200</w:t>
            </w:r>
            <w:r>
              <w:rPr>
                <w:rFonts w:hint="eastAsia" w:ascii="宋体" w:hAnsi="宋体" w:eastAsia="宋体" w:cs="宋体"/>
                <w:color w:val="auto"/>
                <w:kern w:val="0"/>
                <w:sz w:val="20"/>
                <w:szCs w:val="20"/>
                <w:lang w:val="en-US" w:eastAsia="zh-Hans"/>
              </w:rPr>
              <w:t>点授权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台防火墙管理平台</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网络威胁检测系统服务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支持风险数据包保存功能，可存留会话的请求和相应数据包，帮助用户还原攻击过程，进行取证和关联分析。</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支持解析HTTP、FTP、SMTP、POP3、SMB、IMAP、DNS、HTTPS、RADIUS等协议报文。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支持doc, xls, ppt, swf, pdf, rar, zip, rar, exe, vbs等多种文件解析，动态执行可疑文件，分析代码的注册表、进程、网络、文件等行为，分析其安全风险。</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采用多并发沙箱检测技术，集成多种检测环境，通过反病毒引擎和静态分析技术对恶意特征文件、文件漏洞、未知威胁等深度关联分析。</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网络威胁检测系统</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131"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终端安全及防病毒系统防护服务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包含管理中心软件1套（支持在Windows系统和Linux系统部署），客户端2500套；</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支持从资产视角和病毒视角展示病毒查杀概况，并对病毒进行处理。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终端安全及防病毒系统防护</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运维审计与风险控制系统防护服务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授权资产：100个；并发字符连接最大100个；并发图形连接最大20个；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支持常用的运维协议：SSH、TELNET、RDP、VNC、FTP、SFTP、rlogin；可通过应用发布的方式进行协议扩展，如数据库Oracle、MSSQL、MySQL、VMware vSphere Client、浏览器等客户端工具。</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运维审计与风险控制系统防护</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276"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日志审计服务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授权日志源扩容数量到200个。维保期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2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态势感知服务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可实现异构海量数据的收集和分析、支持对原始日志数据、安全告警数据进行分类检索。</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内置多种安全分析模型，支持通过任务看板查看自动响应任务的数量、状态、任务趋势。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支持智能检索语句分析，检索语句可直接发布成统计指标、规则模型、关联模型、情报模型，对实时数据进行分析与告警。</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支持和不同品牌安全产品的联动，下发阻断策略。</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依据长春市电子政务外网网络技术指南要求，</w:t>
            </w:r>
            <w:r>
              <w:rPr>
                <w:rFonts w:hint="default" w:ascii="宋体" w:hAnsi="宋体" w:eastAsia="宋体" w:cs="宋体"/>
                <w:color w:val="auto"/>
                <w:kern w:val="0"/>
                <w:sz w:val="20"/>
                <w:szCs w:val="20"/>
              </w:rPr>
              <w:t>平台</w:t>
            </w:r>
            <w:r>
              <w:rPr>
                <w:rFonts w:hint="eastAsia" w:ascii="宋体" w:hAnsi="宋体" w:eastAsia="宋体" w:cs="宋体"/>
                <w:color w:val="auto"/>
                <w:kern w:val="0"/>
                <w:sz w:val="20"/>
                <w:szCs w:val="20"/>
              </w:rPr>
              <w:t>建设后需支持与市级系统级联。</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态势感知</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89"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态势感知探针服务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支持流量威胁深度检测，支持异常会话检测、WEB攻击检测、挖矿行为检测、僵木蠕检测、Webshell文件检测、异常文件检测、漏洞利用检测、DoS攻击检测等。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流量协议内容深度还原，包括HTTP请求内容、邮件内容（SMTP、POP3、IMAP）、SMB请求文件、DNS域名记录、FTP命令、Telnet命令、SSH版本、TLS终端环境等。</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态势感知探针</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141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漏洞扫描服务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授权可扫描总数量为无限制的IP地址。</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支持对各种网络主机、操作系统、网络设备（如交换机、路由器、防火墙等）、常用软件以及应用系统的识别和漏洞扫描。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具备弱口令扫描功能，支持弱口令扫描协议包括FTP、SMB、RDP、SSH、TELNET、SMTP、IMAP、POP3、Oracle、MySQL、MSSQL、DB2、REDIS、MongoDB、Sybase、Rlogin、RTSP等协议进行弱口令扫描，允许用户自定义用户、密码字典。</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w:t>
            </w:r>
            <w:r>
              <w:rPr>
                <w:rFonts w:hint="eastAsia" w:ascii="宋体" w:hAnsi="宋体" w:eastAsia="宋体" w:cs="宋体"/>
                <w:color w:val="auto"/>
                <w:kern w:val="0"/>
                <w:sz w:val="20"/>
                <w:szCs w:val="20"/>
                <w:lang w:val="en-US" w:eastAsia="zh-Hans"/>
              </w:rPr>
              <w:t>台</w:t>
            </w:r>
            <w:r>
              <w:rPr>
                <w:rFonts w:hint="eastAsia" w:ascii="宋体" w:hAnsi="宋体" w:eastAsia="宋体" w:cs="宋体"/>
                <w:color w:val="auto"/>
                <w:kern w:val="0"/>
                <w:sz w:val="20"/>
                <w:szCs w:val="20"/>
              </w:rPr>
              <w:t>漏洞扫描</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终端接入区服务</w:t>
            </w:r>
          </w:p>
        </w:tc>
      </w:tr>
      <w:tr>
        <w:tblPrEx>
          <w:tblCellMar>
            <w:top w:w="0" w:type="dxa"/>
            <w:left w:w="108" w:type="dxa"/>
            <w:bottom w:w="0" w:type="dxa"/>
            <w:right w:w="108" w:type="dxa"/>
          </w:tblCellMar>
        </w:tblPrEx>
        <w:trPr>
          <w:trHeight w:val="1293"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11"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汇聚交换服务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v1/v2、OSPF、BGP、ISIS等路由协议；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支持VXLAN二层网关、三层网关；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支持集群或堆叠，配置相应的集群或堆叠线缆。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48</w:t>
            </w:r>
            <w:r>
              <w:rPr>
                <w:rFonts w:hint="eastAsia" w:ascii="宋体" w:hAnsi="宋体" w:eastAsia="宋体" w:cs="宋体"/>
                <w:color w:val="auto"/>
                <w:kern w:val="0"/>
                <w:sz w:val="20"/>
                <w:szCs w:val="20"/>
                <w:lang w:val="en-US" w:eastAsia="zh-Hans"/>
              </w:rPr>
              <w:t>口千兆光口交换机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69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接入交换服务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v1/v2、OSPF、BGP、ISIS等路由协议；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支持VXLAN二层网关、三层网关；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支持集群或堆叠，配置相应的集群或堆叠线缆。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40</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48</w:t>
            </w:r>
            <w:r>
              <w:rPr>
                <w:rFonts w:hint="eastAsia" w:ascii="宋体" w:hAnsi="宋体" w:eastAsia="宋体" w:cs="宋体"/>
                <w:color w:val="auto"/>
                <w:kern w:val="0"/>
                <w:sz w:val="20"/>
                <w:szCs w:val="20"/>
                <w:lang w:val="en-US" w:eastAsia="zh-Hans"/>
              </w:rPr>
              <w:t>口千兆电口交换机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城域汇聚接入区服务</w:t>
            </w:r>
          </w:p>
        </w:tc>
      </w:tr>
      <w:tr>
        <w:tblPrEx>
          <w:tblCellMar>
            <w:top w:w="0" w:type="dxa"/>
            <w:left w:w="108" w:type="dxa"/>
            <w:bottom w:w="0" w:type="dxa"/>
            <w:right w:w="108" w:type="dxa"/>
          </w:tblCellMar>
        </w:tblPrEx>
        <w:trPr>
          <w:trHeight w:val="789"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城乡汇聚网络安全防护服务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城乡汇聚交换服务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v1/v2、OSPF、BGP、ISIS等路由协议；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支持VXLAN二层网关、三层网关；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支持集群或堆叠，配置相应的集群或堆叠线缆。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2</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48</w:t>
            </w:r>
            <w:r>
              <w:rPr>
                <w:rFonts w:hint="eastAsia" w:ascii="宋体" w:hAnsi="宋体" w:eastAsia="宋体" w:cs="宋体"/>
                <w:color w:val="auto"/>
                <w:kern w:val="0"/>
                <w:sz w:val="20"/>
                <w:szCs w:val="20"/>
                <w:lang w:val="en-US" w:eastAsia="zh-Hans"/>
              </w:rPr>
              <w:t>口千兆光口交换机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17"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二级节点网络安全防护服务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12</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109"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增加二级节点交换服务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支持支持静态路由、RIP v1/v2、OSPF、BGP、ISIS等路由协议；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支持VXLAN二层网关、三层网关；</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支持集群或堆叠，配置相应的集群或堆叠线缆。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40</w:t>
            </w:r>
            <w:r>
              <w:rPr>
                <w:rFonts w:hint="eastAsia" w:ascii="宋体" w:hAnsi="宋体" w:eastAsia="宋体" w:cs="宋体"/>
                <w:color w:val="auto"/>
                <w:kern w:val="0"/>
                <w:sz w:val="20"/>
                <w:szCs w:val="20"/>
                <w:lang w:val="en-US" w:eastAsia="zh-Hans"/>
              </w:rPr>
              <w:t>台</w:t>
            </w:r>
            <w:r>
              <w:rPr>
                <w:rFonts w:hint="default" w:ascii="宋体" w:hAnsi="宋体" w:eastAsia="宋体" w:cs="宋体"/>
                <w:color w:val="auto"/>
                <w:kern w:val="0"/>
                <w:sz w:val="20"/>
                <w:szCs w:val="20"/>
                <w:lang w:eastAsia="zh-Hans"/>
              </w:rPr>
              <w:t>48</w:t>
            </w:r>
            <w:r>
              <w:rPr>
                <w:rFonts w:hint="eastAsia" w:ascii="宋体" w:hAnsi="宋体" w:eastAsia="宋体" w:cs="宋体"/>
                <w:color w:val="auto"/>
                <w:kern w:val="0"/>
                <w:sz w:val="20"/>
                <w:szCs w:val="20"/>
                <w:lang w:val="en-US" w:eastAsia="zh-Hans"/>
              </w:rPr>
              <w:t>口千兆电口交换机</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三级节点网络安全防护服务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支持网关模式、网桥模式、旁路模式、虚拟网线工作模式、混合模式；部署模式切换无需重启设备。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支持双机热备；支持主备模式和主主模式；支持同步配置、运行状态、特征库等；支持配置抢占模式和抢占延时。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具备入侵攻击防御功能，可对IP/端口扫描的行为进行阻断。</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至少提供</w:t>
            </w:r>
            <w:r>
              <w:rPr>
                <w:rFonts w:hint="default" w:ascii="宋体" w:hAnsi="宋体" w:eastAsia="宋体" w:cs="宋体"/>
                <w:color w:val="auto"/>
                <w:kern w:val="0"/>
                <w:sz w:val="20"/>
                <w:szCs w:val="20"/>
                <w:lang w:eastAsia="zh-Hans"/>
              </w:rPr>
              <w:t>119</w:t>
            </w:r>
            <w:r>
              <w:rPr>
                <w:rFonts w:hint="eastAsia" w:ascii="宋体" w:hAnsi="宋体" w:eastAsia="宋体" w:cs="宋体"/>
                <w:color w:val="auto"/>
                <w:kern w:val="0"/>
                <w:sz w:val="20"/>
                <w:szCs w:val="20"/>
                <w:lang w:val="en-US" w:eastAsia="zh-Hans"/>
              </w:rPr>
              <w:t>台防火墙</w:t>
            </w:r>
            <w:r>
              <w:rPr>
                <w:rFonts w:hint="default" w:ascii="宋体" w:hAnsi="宋体" w:eastAsia="宋体" w:cs="宋体"/>
                <w:color w:val="auto"/>
                <w:kern w:val="0"/>
                <w:sz w:val="20"/>
                <w:szCs w:val="20"/>
                <w:lang w:eastAsia="zh-Hans"/>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机房环境改造服务</w:t>
            </w:r>
          </w:p>
        </w:tc>
      </w:tr>
      <w:tr>
        <w:tblPrEx>
          <w:tblCellMar>
            <w:top w:w="0" w:type="dxa"/>
            <w:left w:w="108" w:type="dxa"/>
            <w:bottom w:w="0" w:type="dxa"/>
            <w:right w:w="108" w:type="dxa"/>
          </w:tblCellMar>
        </w:tblPrEx>
        <w:trPr>
          <w:trHeight w:val="4657"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装饰改造服务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1、服务名称：装饰改造服务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根据机房使用功能，重新规划机房功能区域布局，拆除原有机房装饰，砌筑墙体保证机房空间封闭性，机房墙面、棚面、地面按《数据中心设计规范》GB50174要求重新装饰，墙面采用乳胶漆防尘，采用轻钢龙骨作为基层（包含国标75轻钢龙骨、穿心骨）并填充隔音岩棉，石膏板饰面，装饰面采用单面金属机房专用彩钢板，象牙白色，棚面采用乳胶漆防尘，吊装基层采用轻钢龙骨，装饰面采用微孔铝板天花，地面刷防尘漆并铺装全钢无边防静电地板，地面与墙面交接处采用白钢踢脚线装饰。设置防静电系统包括室内直流工作地网采用3*30扁铜带和室内防静电地网采用100*0.1mm铜铂，并有接地引上母线与机房静电接地连接。机房照明系统采用平板LED照明灯16个分为2组，分别采用市电及U电供电。机房墙面设置维修插座2路，并设置安全出口及机房疏散指示灯2套。在地板下精密空调摆放位置下方设置防水围堰，防止精密空调上下水泄漏溢出。</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151"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电气改造服务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1、服务名称：电气改造服务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根据机房用电负载，重新配置主配电柜及主电缆。增设不间断供电设备，规格为三进三出50KVA，配备64块12V100AH蓄电池及电池柜2套，保证市电断电后，后备用电时间≥2小时。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配备UPS主机1</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，单进单出。建议使用工频UPS，使用寿命长。</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机房楼板荷载测算服务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1、服务名称：机房楼板荷载测算服务</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2、服务内容：</w:t>
            </w:r>
          </w:p>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测算机房楼板荷载，并加固承载UPS电池重量的需求。</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机房接地服务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1、服务名称：机房接地服务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机房防雷接地，水平连接体，电解离子接地极，离子缓释填料，接地阻值小于1欧姆。</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10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空调系统服务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1、服务名称：精密空调；</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2、设备情况：精密空调 数量1</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；制冷量：30KW；下送风；</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3、服务内容： 原址旧设备断电，线路校对，粘贴标签，供电线路拆除，控制线路拆除，空调管路拆除，室内机、室外机拆除后进行保护，封堵原有洞口，搬运至新址，室内机、室外机安装就位，制冷管路安装，供电线路连接，控制线路连接，系统调试，标签标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4、含室外机支架，供电及控制电缆，空调气管、液管等相关安装材料。5、新风机1</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送风量为400m3/h。</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377"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机柜整理和改造服务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1、服务名称：机柜整理服务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 机柜按图纸安装就位，整理机柜内线缆，新增4套42U标准机柜，含PDU。</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3、含各类光纤跳线、网络跳线及其他施工所需辅材。</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39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消防系统服务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1、服务名称：消防系统服务；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2、迁移设备情况：七氟丙烷气瓶 数量1</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3、服务内容： 原址旧设备断电，更换并增加灭火剂，线路校对，粘贴标签，供电线路拆除，控制线路拆除，设备迁移就位，供电线路连接，控制线路连接，系统调试，标签标识；三年内如需要更换气体，免费更换。</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75" w:hRule="atLeast"/>
          <w:jc w:val="center"/>
        </w:trPr>
        <w:tc>
          <w:tcPr>
            <w:tcW w:w="350" w:type="pct"/>
            <w:vMerge w:val="restart"/>
            <w:tcBorders>
              <w:top w:val="nil"/>
              <w:left w:val="single" w:color="auto" w:sz="4" w:space="0"/>
              <w:bottom w:val="single" w:color="000000"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4649"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动力环境监控系统改造服务</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智慧机房主机</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适应各种机房动力环境监控应用的高性能一体化监控主机。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监控对象： 市电、配电、UPS、精密空调、普通空调、温湿度、漏水、新风机、消防、视频、门禁、红外人体探测、路由器</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报警主机</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1、全网通，支持移动、联通、电信卡的短信、电话、语音报警功能                                                                                                                                                                                                      2、通过固定电话网或者移动电话卡拨打电话号码，直接播放文字转换的语音；（报警主机包含GSM短信报警模块）；需配SIM 卡</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声光报警器</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独立超高音喇叭设计，超大报警音量</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三相电量仪</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采集三相电参量，包括电压、电流、功率、电能等电参量，信息全</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精密电流互感器</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xml:space="preserve">1、开合式电流互感器，输入电流量程200A；                                                    </w:t>
            </w:r>
            <w:r>
              <w:rPr>
                <w:rFonts w:hint="eastAsia" w:ascii="宋体" w:hAnsi="宋体" w:eastAsia="宋体" w:cs="宋体"/>
                <w:color w:val="auto"/>
                <w:kern w:val="0"/>
                <w:sz w:val="20"/>
                <w:szCs w:val="20"/>
                <w:highlight w:val="none"/>
              </w:rPr>
              <w:br w:type="textWrapping"/>
            </w:r>
            <w:r>
              <w:rPr>
                <w:rFonts w:hint="eastAsia" w:ascii="宋体" w:hAnsi="宋体" w:eastAsia="宋体" w:cs="宋体"/>
                <w:color w:val="auto"/>
                <w:kern w:val="0"/>
                <w:sz w:val="20"/>
                <w:szCs w:val="20"/>
                <w:highlight w:val="none"/>
              </w:rPr>
              <w:t>2、外形尺寸：内径 ⌀23</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±5</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；外径 ⌀61</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lang w:val="en-US" w:eastAsia="zh-CN"/>
              </w:rPr>
              <w:t>±5</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auto"/>
                <w:kern w:val="0"/>
                <w:sz w:val="20"/>
                <w:szCs w:val="20"/>
                <w:highlight w:val="none"/>
              </w:rPr>
              <w:t xml:space="preserve">   </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389"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UPS检测模块</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通过使用智能设备监控主机，采集UPS的输入电压，输入电流，输出电压，输出电流，旁路相电压，旁路相电流，功率因素，电池电压，电池电流，系统频率，系统负载，电池后备时间等UPS通信协议所能提供的各项数据。</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1241"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空调远程控制器（单机）</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监测单</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普通空调运行状态，出风口及回风口温度等，可定时开关机、达到温度下限自动关机和温度自动调节功能，如客户调低空调的温度，空调控制器可自动恢复设定的温度；来电启动：空调来电1分钟内启动空调。</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区域漏水检测器</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采用电极检测式原理，通过连接专业漏水传感线缆即组成一个单通道的检测报警系统。当液体碰触到传感线输出报警继电器信号。</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条</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区域漏水检测电缆-5M</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专业漏水检测绳，长度5米</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204"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精密空调检测模块</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实现对精密空调系统的监控。实时监测精密空调压缩机、风机、水泵、加热器、加湿器、滤网、回风温度和湿度等的运行状态与参数</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87"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温湿度传感器</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采用全球领先的瑞士Sensirion集成芯片设计方案，配置大液晶显示，适用于室内环境温度、湿度测量,自带蜂鸣器现场报警。</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门禁检测模块</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门禁检测模块</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视频检测模块</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视频检测模块</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红外探测器</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检测人体运动、非法入侵</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8路NVR</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支持200万像素，带POE接口</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红外半球摄像机</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200万1/2.7”CMOS半球型网络摄像机，红外30米，支持H.265/smart265编码  2.8/4/6/8mm</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监控专用硬盘</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硬盘4T</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人脸识别门禁一体机</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人脸识别门禁一体机</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出门按钮</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用于在机房内部开门，不锈钢，标准86底盒，86*86mm 豪华型</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个</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单门磁力锁</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断电常开式，锁带门状态信号输出自带锁延时功能：约0、3、6、9秒</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kern w:val="0"/>
                <w:sz w:val="20"/>
                <w:szCs w:val="20"/>
              </w:rPr>
            </w:pPr>
          </w:p>
        </w:tc>
        <w:tc>
          <w:tcPr>
            <w:tcW w:w="638"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动环线缆</w:t>
            </w:r>
          </w:p>
        </w:tc>
        <w:tc>
          <w:tcPr>
            <w:tcW w:w="3187"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1、名称：动环线缆；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2、规格：包含各类</w:t>
            </w:r>
          </w:p>
        </w:tc>
        <w:tc>
          <w:tcPr>
            <w:tcW w:w="440"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9</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交换机替换服务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利旧原有互联网核心交换机，设备续保三年服务</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475"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10</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内网核心交换机替换</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利旧原互联网核心交换，设备续保三年服务</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default"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无线控制器</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10个千兆以太口,2个万兆SFP+,含AC/DC 电源适配器，无线接入控制器AP资源授权(128 AP)，光模块1个，维保期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default" w:ascii="宋体" w:hAnsi="宋体" w:eastAsia="宋体" w:cs="宋体"/>
                <w:color w:val="auto"/>
                <w:kern w:val="0"/>
                <w:sz w:val="20"/>
                <w:szCs w:val="20"/>
              </w:rPr>
              <w:t>2</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无线接入点</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11ax室内型,2+2双频,智能天线,基础服务36个月</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120</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default" w:ascii="宋体" w:hAnsi="宋体" w:eastAsia="宋体" w:cs="宋体"/>
                <w:color w:val="auto"/>
                <w:kern w:val="0"/>
                <w:sz w:val="20"/>
                <w:szCs w:val="20"/>
              </w:rPr>
              <w:t>3</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POE交换机</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8个10/100/1000BASE-T以太网端口,4个千兆SFP,PoE+,交流供电，维保期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default" w:ascii="宋体" w:hAnsi="宋体" w:eastAsia="宋体" w:cs="宋体"/>
                <w:color w:val="auto"/>
                <w:kern w:val="0"/>
                <w:sz w:val="20"/>
                <w:szCs w:val="20"/>
              </w:rPr>
              <w:t>4</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POE交换机</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24个10/100/1000BASE-T以太网端口,4个千兆SFP,PoE+,交流供电，维保期</w:t>
            </w:r>
            <w:r>
              <w:rPr>
                <w:rFonts w:hint="default" w:ascii="宋体" w:hAnsi="宋体" w:eastAsia="宋体" w:cs="宋体"/>
                <w:color w:val="auto"/>
                <w:kern w:val="0"/>
                <w:sz w:val="20"/>
                <w:szCs w:val="20"/>
              </w:rPr>
              <w:t>3</w:t>
            </w:r>
            <w:r>
              <w:rPr>
                <w:rFonts w:hint="eastAsia" w:ascii="宋体" w:hAnsi="宋体" w:eastAsia="宋体" w:cs="宋体"/>
                <w:color w:val="auto"/>
                <w:kern w:val="0"/>
                <w:sz w:val="20"/>
                <w:szCs w:val="20"/>
              </w:rPr>
              <w:t>年</w:t>
            </w:r>
            <w:r>
              <w:rPr>
                <w:rFonts w:hint="default" w:ascii="宋体" w:hAnsi="宋体" w:eastAsia="宋体" w:cs="宋体"/>
                <w:color w:val="auto"/>
                <w:kern w:val="0"/>
                <w:sz w:val="20"/>
                <w:szCs w:val="20"/>
              </w:rPr>
              <w:t>。</w:t>
            </w:r>
            <w:r>
              <w:rPr>
                <w:rFonts w:hint="eastAsia" w:ascii="宋体" w:hAnsi="宋体" w:eastAsia="宋体" w:cs="宋体"/>
                <w:color w:val="auto"/>
                <w:kern w:val="0"/>
                <w:sz w:val="20"/>
                <w:szCs w:val="20"/>
                <w:lang w:val="en-US" w:eastAsia="zh-Hans"/>
              </w:rPr>
              <w:t>服务性能指标满足电子政务外网</w:t>
            </w:r>
            <w:r>
              <w:rPr>
                <w:rFonts w:hint="default" w:ascii="宋体" w:hAnsi="宋体" w:eastAsia="宋体" w:cs="宋体"/>
                <w:color w:val="auto"/>
                <w:kern w:val="0"/>
                <w:sz w:val="20"/>
                <w:szCs w:val="20"/>
                <w:lang w:eastAsia="zh-Hans"/>
              </w:rPr>
              <w:t>3</w:t>
            </w:r>
            <w:r>
              <w:rPr>
                <w:rFonts w:hint="eastAsia" w:ascii="宋体" w:hAnsi="宋体" w:eastAsia="宋体" w:cs="宋体"/>
                <w:color w:val="auto"/>
                <w:kern w:val="0"/>
                <w:sz w:val="20"/>
                <w:szCs w:val="20"/>
                <w:lang w:val="en-US" w:eastAsia="zh-Hans"/>
              </w:rPr>
              <w:t>年至</w:t>
            </w:r>
            <w:r>
              <w:rPr>
                <w:rFonts w:hint="default" w:ascii="宋体" w:hAnsi="宋体" w:eastAsia="宋体" w:cs="宋体"/>
                <w:color w:val="auto"/>
                <w:kern w:val="0"/>
                <w:sz w:val="20"/>
                <w:szCs w:val="20"/>
                <w:lang w:eastAsia="zh-Hans"/>
              </w:rPr>
              <w:t>5</w:t>
            </w:r>
            <w:r>
              <w:rPr>
                <w:rFonts w:hint="eastAsia" w:ascii="宋体" w:hAnsi="宋体" w:eastAsia="宋体" w:cs="宋体"/>
                <w:color w:val="auto"/>
                <w:kern w:val="0"/>
                <w:sz w:val="20"/>
                <w:szCs w:val="20"/>
                <w:lang w:val="en-US" w:eastAsia="zh-Hans"/>
              </w:rPr>
              <w:t>年的实际使用需求</w:t>
            </w:r>
            <w:r>
              <w:rPr>
                <w:rFonts w:hint="default" w:ascii="宋体" w:hAnsi="宋体" w:eastAsia="宋体" w:cs="宋体"/>
                <w:color w:val="auto"/>
                <w:kern w:val="0"/>
                <w:sz w:val="20"/>
                <w:szCs w:val="20"/>
                <w:lang w:eastAsia="zh-Hans"/>
              </w:rPr>
              <w:t>。</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default" w:ascii="宋体" w:hAnsi="宋体" w:eastAsia="宋体" w:cs="宋体"/>
                <w:color w:val="auto"/>
                <w:kern w:val="0"/>
                <w:sz w:val="20"/>
                <w:szCs w:val="20"/>
              </w:rPr>
              <w:t>5</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数据存储和扩容服务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1、服务名称：数据存储和扩容服务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2、服务内容：对原有日志审计的数据存储设备进行更换，存储设备1</w:t>
            </w:r>
            <w:r>
              <w:rPr>
                <w:rFonts w:hint="default" w:ascii="宋体" w:hAnsi="宋体" w:eastAsia="宋体" w:cs="宋体"/>
                <w:color w:val="auto"/>
                <w:kern w:val="0"/>
                <w:sz w:val="20"/>
                <w:szCs w:val="20"/>
              </w:rPr>
              <w:t>套</w:t>
            </w:r>
            <w:r>
              <w:rPr>
                <w:rFonts w:hint="eastAsia" w:ascii="宋体" w:hAnsi="宋体" w:eastAsia="宋体" w:cs="宋体"/>
                <w:color w:val="auto"/>
                <w:kern w:val="0"/>
                <w:sz w:val="20"/>
                <w:szCs w:val="20"/>
              </w:rPr>
              <w:t>（可用空间≥10TB）</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16</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服务器保障服务1</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1、服务名称：服务器保障服务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2、服务内容：16核CPU-32G内存-4T硬盘</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17</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服务器保障服务2</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1、服务名称：服务器保障服务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2、服务内容：4核，32G内存，500G硬盘</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18</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大屏显示系统</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1、服务名称：大屏显示服务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2、服务内容：大屏显示4K分辨率，86”显示屏，支架</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lang w:val="en-US" w:eastAsia="zh-Hans"/>
              </w:rPr>
            </w:pPr>
            <w:r>
              <w:rPr>
                <w:rFonts w:hint="eastAsia" w:ascii="宋体" w:hAnsi="宋体" w:eastAsia="宋体" w:cs="宋体"/>
                <w:color w:val="auto"/>
                <w:kern w:val="0"/>
                <w:sz w:val="20"/>
                <w:szCs w:val="20"/>
                <w:lang w:val="en-US" w:eastAsia="zh-Hans"/>
              </w:rPr>
              <w:t>项</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default" w:ascii="宋体" w:hAnsi="宋体" w:eastAsia="宋体" w:cs="宋体"/>
                <w:color w:val="auto"/>
                <w:kern w:val="0"/>
                <w:sz w:val="20"/>
                <w:szCs w:val="20"/>
              </w:rPr>
            </w:pPr>
            <w:r>
              <w:rPr>
                <w:rFonts w:hint="default" w:ascii="宋体" w:hAnsi="宋体" w:eastAsia="宋体" w:cs="宋体"/>
                <w:color w:val="auto"/>
                <w:kern w:val="0"/>
                <w:sz w:val="20"/>
                <w:szCs w:val="20"/>
              </w:rPr>
              <w:t>19</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办公设备保障服务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1、服务名称：办公设备保障服务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2、服务内容：保障办公楼内电脑、打印机的正常运行，包括区办事大厅和街道办事大厅老旧电脑升级（主要是固态硬盘和内存等配件）、增加主机和移动办公终端、全楼打印外包等服务。</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等保测评服务</w:t>
            </w:r>
          </w:p>
        </w:tc>
      </w:tr>
      <w:tr>
        <w:tblPrEx>
          <w:tblCellMar>
            <w:top w:w="0" w:type="dxa"/>
            <w:left w:w="108" w:type="dxa"/>
            <w:bottom w:w="0" w:type="dxa"/>
            <w:right w:w="108" w:type="dxa"/>
          </w:tblCellMar>
        </w:tblPrEx>
        <w:trPr>
          <w:trHeight w:val="599"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等保测评服务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专家评审，等保测评，每年一次。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本项目等级保护测评范围是对绿园区电子政务外网的网络架构进行等级保护测评，包含中心节点、二级节点、三级节点的网络、安全设备。</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要求等级保护测评服务提供商应依照《吉林省网络安全等级保护测评机构管理办法（试行）》第二十九条规定，服务提供商项目完成后，服务提供商应请被测评单位对测评服务情况进行评价，评价情况表由被测单位密封后反馈服务提供商，留存备查。</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r>
        <w:tblPrEx>
          <w:tblCellMar>
            <w:top w:w="0" w:type="dxa"/>
            <w:left w:w="108" w:type="dxa"/>
            <w:bottom w:w="0" w:type="dxa"/>
            <w:right w:w="108" w:type="dxa"/>
          </w:tblCellMar>
        </w:tblPrEx>
        <w:trPr>
          <w:trHeight w:val="475" w:hRule="atLeast"/>
          <w:jc w:val="center"/>
        </w:trPr>
        <w:tc>
          <w:tcPr>
            <w:tcW w:w="5000" w:type="pct"/>
            <w:gridSpan w:val="5"/>
            <w:tcBorders>
              <w:top w:val="single" w:color="auto" w:sz="4" w:space="0"/>
              <w:left w:val="single" w:color="auto" w:sz="4" w:space="0"/>
              <w:bottom w:val="single" w:color="auto" w:sz="4" w:space="0"/>
              <w:right w:val="single" w:color="000000" w:sz="4" w:space="0"/>
            </w:tcBorders>
            <w:shd w:val="clear" w:color="000000" w:fill="BFBFBF"/>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专线服务</w:t>
            </w:r>
          </w:p>
        </w:tc>
      </w:tr>
      <w:tr>
        <w:tblPrEx>
          <w:tblCellMar>
            <w:top w:w="0" w:type="dxa"/>
            <w:left w:w="108" w:type="dxa"/>
            <w:bottom w:w="0" w:type="dxa"/>
            <w:right w:w="108" w:type="dxa"/>
          </w:tblCellMar>
        </w:tblPrEx>
        <w:trPr>
          <w:trHeight w:val="90" w:hRule="atLeast"/>
          <w:jc w:val="center"/>
        </w:trPr>
        <w:tc>
          <w:tcPr>
            <w:tcW w:w="350"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38"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专线服务</w:t>
            </w:r>
          </w:p>
        </w:tc>
        <w:tc>
          <w:tcPr>
            <w:tcW w:w="3187"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1条10G互联网，1条1G到信息港，12个二级节点每个500M，16个二级节点每个200M，103个三级节点每个100M</w:t>
            </w:r>
          </w:p>
        </w:tc>
        <w:tc>
          <w:tcPr>
            <w:tcW w:w="44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382"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r>
    </w:tbl>
    <w:p>
      <w:pPr>
        <w:pageBreakBefore w:val="0"/>
        <w:widowControl w:val="0"/>
        <w:kinsoku/>
        <w:wordWrap/>
        <w:overflowPunct/>
        <w:topLinePunct w:val="0"/>
        <w:autoSpaceDE/>
        <w:autoSpaceDN/>
        <w:bidi w:val="0"/>
        <w:spacing w:line="360" w:lineRule="auto"/>
        <w:textAlignment w:val="auto"/>
        <w:rPr>
          <w:rFonts w:hint="default" w:ascii="宋体" w:hAnsi="宋体" w:eastAsia="宋体" w:cs="宋体"/>
          <w:color w:val="auto"/>
          <w:sz w:val="24"/>
          <w:szCs w:val="24"/>
          <w:lang w:val="en-US" w:eastAsia="zh-Hans"/>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Times New Roman"/>
          <w:b/>
          <w:bCs/>
          <w:caps w:val="0"/>
          <w:color w:val="auto"/>
          <w:kern w:val="2"/>
          <w:sz w:val="22"/>
          <w:szCs w:val="22"/>
          <w:highlight w:val="none"/>
          <w:vertAlign w:val="baseline"/>
          <w:lang w:val="en-US" w:eastAsia="zh-CN" w:bidi="ar"/>
        </w:rPr>
      </w:pPr>
      <w:r>
        <w:rPr>
          <w:rFonts w:hint="eastAsia" w:ascii="宋体" w:hAnsi="宋体" w:eastAsia="宋体" w:cs="Times New Roman"/>
          <w:b/>
          <w:bCs/>
          <w:caps w:val="0"/>
          <w:color w:val="auto"/>
          <w:kern w:val="2"/>
          <w:sz w:val="22"/>
          <w:szCs w:val="22"/>
          <w:highlight w:val="none"/>
          <w:vertAlign w:val="baseline"/>
          <w:lang w:val="en-US" w:eastAsia="zh-CN" w:bidi="ar"/>
        </w:rPr>
        <w:t>注：采购需求中所有指标均为实质性条款，如有负偏离，其投标将被否决。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pStyle w:val="3"/>
        <w:rPr>
          <w:rFonts w:hint="eastAsia"/>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rPr>
          <w:rFonts w:hint="eastAsia"/>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Times New Roman"/>
          <w:b/>
          <w:bCs/>
          <w:caps w:val="0"/>
          <w:color w:val="auto"/>
          <w:kern w:val="2"/>
          <w:sz w:val="44"/>
          <w:szCs w:val="44"/>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第五部分</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合同条款及格式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t xml:space="preserve">                                </w:t>
      </w:r>
    </w:p>
    <w:p>
      <w:pPr>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(仅供参考，具体以实际所签合同为准)</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 .定义</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1.1本合同中下列术语应解释为：</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（1）“合同”系指买卖双方签署的、合同格式中载明的买卖双方所达成的协议，包括所有的附件、附录和构成合同的其它文件。</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（2）“合同价款” 系指根据合同规定，卖方在完全履行合同义务后买方应支付给卖方的价款。</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（3）“货物”系指卖方根据合同规定须向买方提供的一切设备、机械、仪表、备件、手册和其它技术资料及其它材料。</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（4）“服务” 系指根据合同规定卖方承担与供货有关的辅助服务，如运输、保险、安装调试、技术培训及其它类似的服务。</w:t>
      </w:r>
    </w:p>
    <w:p>
      <w:pPr>
        <w:spacing w:line="360" w:lineRule="auto"/>
        <w:ind w:left="418" w:hanging="417" w:hangingChars="174"/>
        <w:rPr>
          <w:rFonts w:hint="eastAsia" w:ascii="宋体" w:hAnsi="宋体" w:eastAsia="宋体" w:cs="宋体"/>
          <w:sz w:val="24"/>
          <w:highlight w:val="none"/>
          <w:u w:val="single"/>
        </w:rPr>
      </w:pPr>
      <w:r>
        <w:rPr>
          <w:rFonts w:hint="eastAsia" w:ascii="宋体" w:hAnsi="宋体" w:eastAsia="宋体" w:cs="宋体"/>
          <w:sz w:val="24"/>
          <w:highlight w:val="none"/>
        </w:rPr>
        <w:t>（5）“买方”（采购人）：本合同买方系指：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（6）“卖方”（中标人）：本合同卖方系指：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（7）“现场” 系指合同项下货物要进行安装和运行的地点。</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（8）“验收” 系指根据合同双方依据规定的程序和条件确认合同项下货物符合技术规格和有关服务要求。</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2. 适用范围</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2.1.本合同条款适用于本次招标采购活动。</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3. 技术规范</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3.1.提交货物的技术规范应与招标文件货物需求中规定的技术规范相一致。</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3.2.若技术规范中无相应说明，则以国家有关部门最新颁的相应标准及规范为准。</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4.计量单位</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4.1.除技术规范中另有规定外，均使用国家法定计量单位。</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5.专利权</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5.1.卖方应保证买方在使用该货物或其任何一部分时不受第三方提出侵犯专利权、商标权或工业设计权的指控。如果任何第三方提出侵权指控，卖方须与第三方交涉并承担可能发生的一切法律责任和费用。</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6. 包装和运输</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6.1.除本合同另有规定，卖方提供的全部货物采用相应标准的保护措施进行包装。这种包装应适于长途内陆运输，并有良好的防潮、防震、防锈和防野蛮装卸等保护措施，以确保货物安全运抵现场。卖方应承担由于包装不妥而引起货物锈蚀、损破和丢失的责任。包装应按国家有关的规范标准加写标记。</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6.2.卖方负责安排运输（除买方提出自行安排运输外），运费、保险费及途中所发生的一切费用均由卖方负责。</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7. 技术资料</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7.1.卖方应在交货后向买方提供至少一套合同项下有关货物完整的中文技术资料，如目录索引、图纸、技术说明书、操作手册、使用指南、维修指南和/或服务手册和示图等（除特殊条款规定外）。如果买方确认卖方提供的技术资料不完整，卖方应在收到买方通知后3天内将这些资料免费提供给买方。</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8. 质量保证</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8.1.卖方应保证货物是全新、未使用过的，是用一流的工艺和最佳的材料制造而成的，并完全符合合同规定的质量、规格和性能的要求。卖方应保证所提供的货物经正确安装、正常运转和保养在其使用寿命期内具有满意的性能。在货物保证期内，卖方应对由于设计、工艺或材料的缺陷而发生的任何不足或故障负责。</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9.检验</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9.1.在交货前，制造商应对货物的质量、规格、性能、数量和重量等进行全面而细致的检验，并出具一份证明货物符合合同规定的证书。该证书中应对制造商的检验结果和细节加以说明。但此检验不视为最终检验。</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9.2.买方有权提出在货物制造过程中派人到制造厂进行监造，卖方有义务为买方监造提供方便。</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9.3制造厂对所提供货物进行机械性能运转试验和性能试验时，必须提前通知买方。</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10.索赔</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10.1.货物运抵现场后，买方将对货物进行验收并出具检验证书。如发现货物的质量、规格、数量、重量与合同不符，买方有权根据自己按检验标准进行的检验结果或当地质检部门出具的检验证书向卖方提出索赔。</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10.2.如果在质量保证期内证实货物是有缺陷的，包括潜在缺陷或使用不符合要求的材料，买方有权向卖方提出索赔。</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10.3.如果卖方对买方提出的索赔负有责任，卖方应按照买方同意的下列一种或几种方式解决索赔事宜：</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（1）卖方同意退货和退还买方货款，并承担由此发生的一切费用。</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（2）降低货物价格。双方根据货物低劣、损坏程度以及买方所遭受损失数额协商决定。</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（3）更换或/和修补缺陷部分。卖方承担一切费用和风险，并负担买方所发生的一切直接费用。同时，相应延长更换/修补件的质量保证期。</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10.4.如果买方在发出索赔通知后30天内，卖方未作答复，应视为已被卖方接受。如果在通知后30天内或买方同意延长的时间内，卖方未采取上述任何一种方式解决索赔事宜，买方将从预付款或从卖方的履约保证金（或保函）中扣回索赔金额。如果不足，买方有权要求卖方对不足部分进行补偿。</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11.不可抗拒力</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11.1.如果双方任何一方由于战争、严重火灾、水灾、台风和地震以及其它经双方同意属于不可抗拒力的事故，致使履行合同受阻时，履行合同的期限应予延长，延长的期限应相当于事故所影响的时间。</w:t>
      </w:r>
    </w:p>
    <w:p>
      <w:pPr>
        <w:spacing w:line="360" w:lineRule="auto"/>
        <w:ind w:left="418" w:right="-288" w:rightChars="-137" w:hanging="417" w:hangingChars="174"/>
        <w:rPr>
          <w:rFonts w:hint="eastAsia" w:ascii="宋体" w:hAnsi="宋体" w:eastAsia="宋体" w:cs="宋体"/>
          <w:sz w:val="24"/>
          <w:highlight w:val="none"/>
        </w:rPr>
      </w:pPr>
      <w:r>
        <w:rPr>
          <w:rFonts w:hint="eastAsia" w:ascii="宋体" w:hAnsi="宋体" w:eastAsia="宋体" w:cs="宋体"/>
          <w:sz w:val="24"/>
          <w:highlight w:val="none"/>
        </w:rPr>
        <w:t>11.2.受事故影响的一方应在不可抗拒力的事故发生后尽快以电报或电传通知另一方，在事故发生后14天内，将有关部门出具的证明文件用挂号信航寄给或送给另一方。如果不可抗拒力影响时间延续120天以上的，双方应通过友好协商在合理的时间内达成进一步履行合同的协议。</w:t>
      </w:r>
    </w:p>
    <w:p>
      <w:pPr>
        <w:spacing w:line="360" w:lineRule="auto"/>
        <w:ind w:left="419" w:right="-288" w:rightChars="-137" w:hanging="419" w:hangingChars="174"/>
        <w:rPr>
          <w:rFonts w:hint="eastAsia" w:ascii="宋体" w:hAnsi="宋体" w:eastAsia="宋体" w:cs="宋体"/>
          <w:b/>
          <w:sz w:val="24"/>
          <w:highlight w:val="none"/>
        </w:rPr>
      </w:pPr>
      <w:r>
        <w:rPr>
          <w:rFonts w:hint="eastAsia" w:ascii="宋体" w:hAnsi="宋体" w:eastAsia="宋体" w:cs="宋体"/>
          <w:b/>
          <w:sz w:val="24"/>
          <w:highlight w:val="none"/>
        </w:rPr>
        <w:t>12.延期交货</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12.1.在履行合同过程中，如果卖方遇到不能按时交货和提供服务的情况，应及时以书面形式将不能按时交货的理由、延误时间通知买方。买方在收到卖方通知后，应进行分析，如果同意，可通过修改合同，酌情延长交货时间。</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13.违约赔偿</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13.1.如果卖方毫无理由地不按合同规定的时间和地点交货和提供服务，买方将没收履约保证金，并从货款中扣除违约赔偿费。赔偿费为迟交货物或服务合同价款的10—30%，并赔偿买方由此产生的直接经济损失。必要时，买方可考虑终止合同。</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14.合同终止</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14.1.卖方在违约的情况下，即（1）未能按合同规定或买方同意延长的期限内提供货物（2）在收到买方发出的违约通知后30天内或买方同意延长的期限内未能纠正其过失。买方可向卖方发出书面通知，终止部分或全部合同。在此情况下，并不影响买方向卖方提出的索赔。</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14.2.买方根据上述规定，终止部分或全部合同，可购买与未交货物类似的货物，卖方应对超出合同规定的费用负责，对未终止的合同应继续执行。</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14.3.如果卖方破产或无清偿能力时，买方可在任何时候以书面通知卖方终止合同。该终止合同将不损害或影响买方已经采取或将要采取的补救措施的权利。</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15.税费</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15.1.根据国家现行税法对买方征收的与本合同有关的一切税费均由买方负担。</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15.2.根据国家现行税法对卖方征收的与本合同有关的一切税费均由卖方负担。</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15.3.在中国境外发生的与本合同执行有关的一切税费均由卖方负担。</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16.仲裁</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16.1.买卖双方应通过友好协商，解决在执行合同中所发生的或与本合同有关的一切争端，如果协商仍得不到解决，任何一方均可按“中华人民共和国经济合同法”规定提交调解和仲裁。</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16.2.仲裁裁决应为终局裁决，对双方均具有约束力。</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16.3.裁决费除仲裁机构另有规定外应由败诉方负担。</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16.4.在仲裁期间，除正在进行仲裁的部分外，本合同其它部分应继续执行。</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17.转让和分包</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17.1.未经买方事先书面同意，卖方不得部分或全部转让其应履行的合同义务。</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18.通知</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18.1.本合同任何一方给另一方通知，都应以书面或电传/传真/电报的形式发送，而另一方应以书面形式确认并发送到对方明确地址。</w:t>
      </w:r>
    </w:p>
    <w:p>
      <w:pPr>
        <w:spacing w:line="360" w:lineRule="auto"/>
        <w:ind w:left="419" w:hanging="419" w:hangingChars="174"/>
        <w:rPr>
          <w:rFonts w:hint="eastAsia" w:ascii="宋体" w:hAnsi="宋体" w:eastAsia="宋体" w:cs="宋体"/>
          <w:sz w:val="24"/>
          <w:highlight w:val="none"/>
        </w:rPr>
      </w:pPr>
      <w:r>
        <w:rPr>
          <w:rFonts w:hint="eastAsia" w:ascii="宋体" w:hAnsi="宋体" w:eastAsia="宋体" w:cs="宋体"/>
          <w:b/>
          <w:sz w:val="24"/>
          <w:highlight w:val="none"/>
        </w:rPr>
        <w:t>19.适用法律</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19.1.本合同应按中华人民共和国有关的法律进行解释。</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20.合同生效及其它</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20.1.合同应在双方签字盖章并在买方收到卖方提供的履约保证金（或保函）后开始生效。</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20.2.本合同一式四份，以中文书写，双方各执一份，采购监督管理部门二份。</w:t>
      </w:r>
    </w:p>
    <w:p>
      <w:pPr>
        <w:spacing w:line="360" w:lineRule="auto"/>
        <w:ind w:left="419" w:hanging="419" w:hangingChars="174"/>
        <w:rPr>
          <w:rFonts w:hint="eastAsia" w:ascii="宋体" w:hAnsi="宋体" w:eastAsia="宋体" w:cs="宋体"/>
          <w:b/>
          <w:sz w:val="24"/>
          <w:highlight w:val="none"/>
        </w:rPr>
      </w:pPr>
      <w:r>
        <w:rPr>
          <w:rFonts w:hint="eastAsia" w:ascii="宋体" w:hAnsi="宋体" w:eastAsia="宋体" w:cs="宋体"/>
          <w:b/>
          <w:sz w:val="24"/>
          <w:highlight w:val="none"/>
        </w:rPr>
        <w:t>21.合同的修改与补充</w:t>
      </w:r>
    </w:p>
    <w:p>
      <w:pPr>
        <w:spacing w:line="360" w:lineRule="auto"/>
        <w:ind w:left="418" w:hanging="417" w:hangingChars="174"/>
        <w:rPr>
          <w:rFonts w:hint="eastAsia" w:ascii="宋体" w:hAnsi="宋体" w:eastAsia="宋体" w:cs="宋体"/>
          <w:sz w:val="24"/>
          <w:highlight w:val="none"/>
        </w:rPr>
      </w:pPr>
      <w:r>
        <w:rPr>
          <w:rFonts w:hint="eastAsia" w:ascii="宋体" w:hAnsi="宋体" w:eastAsia="宋体" w:cs="宋体"/>
          <w:sz w:val="24"/>
          <w:highlight w:val="none"/>
        </w:rPr>
        <w:t>21.1.如需修改合同任何条款或补充合同内容，经协商，双方应签署书面修改或补充协议，该协议将作为本合同的一个组成部分。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b/>
          <w:bCs/>
          <w:caps w:val="0"/>
          <w:color w:val="auto"/>
          <w:kern w:val="2"/>
          <w:sz w:val="44"/>
          <w:szCs w:val="44"/>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第六部分</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投标文件格式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default" w:ascii="Calibri" w:hAnsi="Calibri" w:eastAsia="宋体" w:cs="Times New Roman"/>
          <w:b w:val="0"/>
          <w:bCs w:val="0"/>
          <w:caps w:val="0"/>
          <w:color w:val="auto"/>
          <w:kern w:val="2"/>
          <w:sz w:val="44"/>
          <w:szCs w:val="44"/>
          <w:highlight w:val="none"/>
          <w:u w:val="single"/>
          <w:vertAlign w:val="baseline"/>
          <w:lang w:val="en-US" w:eastAsia="zh-CN" w:bidi="ar"/>
        </w:rPr>
        <w:t xml:space="preserve">        </w:t>
      </w:r>
      <w:r>
        <w:rPr>
          <w:rFonts w:hint="eastAsia" w:ascii="Calibri" w:hAnsi="Calibri" w:eastAsia="宋体" w:cs="Times New Roman"/>
          <w:b w:val="0"/>
          <w:bCs w:val="0"/>
          <w:caps w:val="0"/>
          <w:color w:val="auto"/>
          <w:kern w:val="2"/>
          <w:sz w:val="44"/>
          <w:szCs w:val="44"/>
          <w:highlight w:val="none"/>
          <w:u w:val="single"/>
          <w:vertAlign w:val="baseline"/>
          <w:lang w:val="en-US" w:eastAsia="zh-CN" w:bidi="ar"/>
        </w:rPr>
        <w:t xml:space="preserve">         </w:t>
      </w:r>
      <w:r>
        <w:rPr>
          <w:rFonts w:hint="default" w:ascii="Calibri" w:hAnsi="Calibri" w:eastAsia="宋体" w:cs="Times New Roman"/>
          <w:b w:val="0"/>
          <w:bCs w:val="0"/>
          <w:caps w:val="0"/>
          <w:color w:val="auto"/>
          <w:kern w:val="2"/>
          <w:sz w:val="44"/>
          <w:szCs w:val="44"/>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（项目名称）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44"/>
          <w:szCs w:val="44"/>
          <w:highlight w:val="none"/>
          <w:vertAlign w:val="baseline"/>
          <w:lang w:bidi="ar"/>
        </w:rPr>
      </w:pPr>
      <w:r>
        <w:rPr>
          <w:rFonts w:hint="eastAsia" w:ascii="宋体" w:hAnsi="宋体" w:eastAsia="宋体" w:cs="Times New Roman"/>
          <w:b w:val="0"/>
          <w:bCs w:val="0"/>
          <w:caps w:val="0"/>
          <w:color w:val="auto"/>
          <w:kern w:val="2"/>
          <w:sz w:val="44"/>
          <w:szCs w:val="44"/>
          <w:highlight w:val="none"/>
          <w:vertAlign w:val="baseline"/>
          <w:lang w:val="en-US" w:eastAsia="zh-CN" w:bidi="ar"/>
        </w:rPr>
        <w:t>投</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文</w:t>
      </w:r>
      <w:r>
        <w:rPr>
          <w:rFonts w:hint="default" w:ascii="Calibri" w:hAnsi="Calibri" w:eastAsia="宋体" w:cs="Times New Roman"/>
          <w:b w:val="0"/>
          <w:bCs w:val="0"/>
          <w:caps w:val="0"/>
          <w:color w:val="auto"/>
          <w:kern w:val="2"/>
          <w:sz w:val="44"/>
          <w:szCs w:val="44"/>
          <w:highlight w:val="none"/>
          <w:vertAlign w:val="baseline"/>
          <w:lang w:val="en-US" w:eastAsia="zh-CN" w:bidi="ar"/>
        </w:rPr>
        <w:t xml:space="preserve">  </w:t>
      </w:r>
      <w:r>
        <w:rPr>
          <w:rFonts w:hint="eastAsia" w:ascii="宋体" w:hAnsi="宋体" w:eastAsia="宋体" w:cs="Times New Roman"/>
          <w:b w:val="0"/>
          <w:bCs w:val="0"/>
          <w:caps w:val="0"/>
          <w:color w:val="auto"/>
          <w:kern w:val="2"/>
          <w:sz w:val="44"/>
          <w:szCs w:val="44"/>
          <w:highlight w:val="none"/>
          <w:vertAlign w:val="baseline"/>
          <w:lang w:val="en-US" w:eastAsia="zh-CN" w:bidi="ar"/>
        </w:rPr>
        <w:t>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44"/>
          <w:szCs w:val="44"/>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供应商：</w:t>
      </w:r>
      <w:r>
        <w:rPr>
          <w:rFonts w:hint="default" w:ascii="Calibri" w:hAnsi="Calibri" w:eastAsia="宋体" w:cs="Times New Roman"/>
          <w:b w:val="0"/>
          <w:bCs w:val="0"/>
          <w:caps w:val="0"/>
          <w:color w:val="auto"/>
          <w:kern w:val="2"/>
          <w:sz w:val="32"/>
          <w:szCs w:val="32"/>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（盖单位章）</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32"/>
          <w:szCs w:val="32"/>
          <w:highlight w:val="none"/>
          <w:vertAlign w:val="baseline"/>
          <w:lang w:bidi="ar"/>
        </w:rPr>
      </w:pPr>
      <w:r>
        <w:rPr>
          <w:rFonts w:hint="eastAsia" w:ascii="宋体" w:hAnsi="宋体" w:eastAsia="宋体" w:cs="Times New Roman"/>
          <w:b w:val="0"/>
          <w:bCs w:val="0"/>
          <w:caps w:val="0"/>
          <w:color w:val="auto"/>
          <w:kern w:val="2"/>
          <w:sz w:val="32"/>
          <w:szCs w:val="32"/>
          <w:highlight w:val="none"/>
          <w:vertAlign w:val="baseline"/>
          <w:lang w:val="en-US" w:eastAsia="zh-CN" w:bidi="ar"/>
        </w:rPr>
        <w:t>法定代表人或其委托代理人：</w:t>
      </w:r>
      <w:r>
        <w:rPr>
          <w:rFonts w:hint="default" w:ascii="Calibri" w:hAnsi="Calibri" w:eastAsia="宋体" w:cs="Times New Roman"/>
          <w:b w:val="0"/>
          <w:bCs w:val="0"/>
          <w:caps w:val="0"/>
          <w:color w:val="auto"/>
          <w:kern w:val="2"/>
          <w:sz w:val="32"/>
          <w:szCs w:val="32"/>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（签字）</w:t>
      </w:r>
    </w:p>
    <w:p>
      <w:pPr>
        <w:pStyle w:val="16"/>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1" w:after="0" w:afterAutospacing="0" w:line="480" w:lineRule="auto"/>
        <w:ind w:left="420" w:leftChars="20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2240" w:firstLineChars="700"/>
        <w:jc w:val="both"/>
        <w:outlineLvl w:val="9"/>
        <w:rPr>
          <w:rFonts w:hint="default" w:ascii="Calibri" w:hAnsi="Calibri" w:eastAsia="宋体" w:cs="Times New Roman"/>
          <w:caps w:val="0"/>
          <w:color w:val="auto"/>
          <w:kern w:val="2"/>
          <w:sz w:val="32"/>
          <w:szCs w:val="32"/>
          <w:highlight w:val="none"/>
          <w:vertAlign w:val="baseline"/>
          <w:lang w:bidi="ar"/>
        </w:rPr>
      </w:pPr>
      <w:r>
        <w:rPr>
          <w:rFonts w:hint="default" w:ascii="Calibri" w:hAnsi="Calibri" w:eastAsia="宋体" w:cs="Times New Roman"/>
          <w:b w:val="0"/>
          <w:bCs w:val="0"/>
          <w:caps w:val="0"/>
          <w:color w:val="auto"/>
          <w:kern w:val="2"/>
          <w:sz w:val="32"/>
          <w:szCs w:val="32"/>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年</w:t>
      </w:r>
      <w:r>
        <w:rPr>
          <w:rFonts w:hint="default" w:ascii="Calibri" w:hAnsi="Calibri" w:eastAsia="宋体" w:cs="Times New Roman"/>
          <w:b w:val="0"/>
          <w:bCs w:val="0"/>
          <w:caps w:val="0"/>
          <w:color w:val="auto"/>
          <w:kern w:val="2"/>
          <w:sz w:val="32"/>
          <w:szCs w:val="32"/>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月</w:t>
      </w:r>
      <w:r>
        <w:rPr>
          <w:rFonts w:hint="default" w:ascii="Calibri" w:hAnsi="Calibri" w:eastAsia="宋体" w:cs="Times New Roman"/>
          <w:b w:val="0"/>
          <w:bCs w:val="0"/>
          <w:caps w:val="0"/>
          <w:color w:val="auto"/>
          <w:kern w:val="2"/>
          <w:sz w:val="32"/>
          <w:szCs w:val="32"/>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32"/>
          <w:szCs w:val="32"/>
          <w:highlight w:val="none"/>
          <w:vertAlign w:val="baseline"/>
          <w:lang w:val="en-US" w:eastAsia="zh-CN" w:bidi="ar"/>
        </w:rPr>
        <w:t>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r>
        <w:rPr>
          <w:rFonts w:hint="eastAsia" w:ascii="宋体" w:hAnsi="宋体" w:eastAsia="宋体" w:cs="Times New Roman"/>
          <w:b/>
          <w:bCs/>
          <w:caps w:val="0"/>
          <w:color w:val="auto"/>
          <w:kern w:val="2"/>
          <w:sz w:val="44"/>
          <w:szCs w:val="44"/>
          <w:highlight w:val="none"/>
          <w:vertAlign w:val="baseline"/>
          <w:lang w:val="en-US" w:eastAsia="zh-CN" w:bidi="ar"/>
        </w:rPr>
        <w:t>一、法定代表人身份证明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供应商名称：</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单位性质：</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地址：</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成立时间：</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年</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月</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经营期限：</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姓名：</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性别：</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年龄：</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职务：</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系</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（供应商名称）的法定代表人。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特此证明。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供应商：</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年</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月</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日</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注：本法定代表人身份证明后须附法定代表人的身份证复印件。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default" w:ascii="Calibri" w:hAnsi="Calibri" w:eastAsia="宋体" w:cs="Times New Roman"/>
          <w:b/>
          <w:bCs/>
          <w:caps w:val="0"/>
          <w:color w:val="auto"/>
          <w:kern w:val="2"/>
          <w:sz w:val="44"/>
          <w:szCs w:val="44"/>
          <w:highlight w:val="none"/>
          <w:vertAlign w:val="baseline"/>
          <w:lang w:bidi="ar"/>
        </w:rPr>
      </w:pPr>
      <w:r>
        <w:rPr>
          <w:rFonts w:hint="eastAsia" w:ascii="宋体" w:hAnsi="宋体" w:eastAsia="宋体" w:cs="Times New Roman"/>
          <w:b/>
          <w:bCs/>
          <w:caps w:val="0"/>
          <w:color w:val="auto"/>
          <w:kern w:val="2"/>
          <w:sz w:val="44"/>
          <w:szCs w:val="44"/>
          <w:highlight w:val="none"/>
          <w:vertAlign w:val="baseline"/>
          <w:lang w:val="en-US" w:eastAsia="zh-CN" w:bidi="ar"/>
        </w:rPr>
        <w:t>授权委托书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本人</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（姓名）系</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（供应商名称）的法定代表人，现委托</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（姓名）为我方代理人。代理人根据授权，以我方名义签署、澄清、说明、补正、递交、撤回、修改</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（项目名称）投标文件、签订合同和处理有关事宜，其法律后果由我方承担。</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委托期限：</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代理人无转委托权。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附：授权代理人身份证明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供应商：</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（盖单位章）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法定代表人：</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（签字）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身份证号码：</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委托代理人：</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（签字）</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身份证号码：</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年</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月</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注：本授权委托书后必须附上授权代理人的身份证复印件。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r>
        <w:rPr>
          <w:rFonts w:hint="eastAsia" w:ascii="宋体" w:hAnsi="宋体" w:eastAsia="宋体" w:cs="Times New Roman"/>
          <w:b/>
          <w:bCs/>
          <w:caps w:val="0"/>
          <w:color w:val="auto"/>
          <w:kern w:val="2"/>
          <w:sz w:val="44"/>
          <w:szCs w:val="44"/>
          <w:highlight w:val="none"/>
          <w:vertAlign w:val="baseline"/>
          <w:lang w:val="en-US" w:eastAsia="zh-CN" w:bidi="ar"/>
        </w:rPr>
        <w:t>二、投</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标</w:t>
      </w:r>
      <w:r>
        <w:rPr>
          <w:rFonts w:hint="default" w:ascii="Calibri" w:hAnsi="Calibri" w:eastAsia="宋体" w:cs="Times New Roman"/>
          <w:b/>
          <w:bCs/>
          <w:caps w:val="0"/>
          <w:color w:val="auto"/>
          <w:kern w:val="2"/>
          <w:sz w:val="44"/>
          <w:szCs w:val="44"/>
          <w:highlight w:val="none"/>
          <w:vertAlign w:val="baseline"/>
          <w:lang w:val="en-US" w:eastAsia="zh-CN" w:bidi="ar"/>
        </w:rPr>
        <w:t xml:space="preserve">  </w:t>
      </w:r>
      <w:r>
        <w:rPr>
          <w:rFonts w:hint="eastAsia" w:ascii="宋体" w:hAnsi="宋体" w:eastAsia="宋体" w:cs="Times New Roman"/>
          <w:b/>
          <w:bCs/>
          <w:caps w:val="0"/>
          <w:color w:val="auto"/>
          <w:kern w:val="2"/>
          <w:sz w:val="44"/>
          <w:szCs w:val="44"/>
          <w:highlight w:val="none"/>
          <w:vertAlign w:val="baseline"/>
          <w:lang w:val="en-US" w:eastAsia="zh-CN" w:bidi="ar"/>
        </w:rPr>
        <w:t>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致</w:t>
      </w:r>
      <w:r>
        <w:rPr>
          <w:rFonts w:hint="eastAsia" w:ascii="宋体" w:hAnsi="宋体" w:eastAsia="宋体" w:cs="Times New Roman"/>
          <w:b w:val="0"/>
          <w:bCs w:val="0"/>
          <w:caps w:val="0"/>
          <w:color w:val="auto"/>
          <w:kern w:val="2"/>
          <w:sz w:val="28"/>
          <w:szCs w:val="28"/>
          <w:highlight w:val="none"/>
          <w:u w:val="single"/>
          <w:vertAlign w:val="baseline"/>
          <w:lang w:val="en-US" w:eastAsia="zh-CN" w:bidi="ar"/>
        </w:rPr>
        <w:t xml:space="preserve">          （采购人）</w:t>
      </w:r>
      <w:r>
        <w:rPr>
          <w:rFonts w:hint="eastAsia" w:ascii="宋体" w:hAnsi="宋体" w:eastAsia="宋体" w:cs="Times New Roman"/>
          <w:b w:val="0"/>
          <w:bCs w:val="0"/>
          <w:caps w:val="0"/>
          <w:color w:val="auto"/>
          <w:kern w:val="2"/>
          <w:sz w:val="28"/>
          <w:szCs w:val="28"/>
          <w:highlight w:val="none"/>
          <w:vertAlign w:val="baseline"/>
          <w:lang w:val="en-US" w:eastAsia="zh-CN" w:bidi="ar"/>
        </w:rPr>
        <w:t>：</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left"/>
        <w:outlineLvl w:val="9"/>
        <w:rPr>
          <w:rFonts w:hint="default" w:ascii="Calibri" w:hAnsi="Calibri" w:eastAsia="宋体" w:cs="Times New Roman"/>
          <w:caps w:val="0"/>
          <w:color w:val="auto"/>
          <w:kern w:val="2"/>
          <w:sz w:val="24"/>
          <w:szCs w:val="24"/>
          <w:highlight w:val="none"/>
          <w:vertAlign w:val="baseline"/>
          <w:lang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1</w:t>
      </w:r>
      <w:r>
        <w:rPr>
          <w:rFonts w:hint="eastAsia" w:ascii="宋体" w:hAnsi="宋体" w:eastAsia="宋体" w:cs="Times New Roman"/>
          <w:b w:val="0"/>
          <w:bCs w:val="0"/>
          <w:caps w:val="0"/>
          <w:color w:val="auto"/>
          <w:kern w:val="2"/>
          <w:sz w:val="24"/>
          <w:szCs w:val="24"/>
          <w:highlight w:val="none"/>
          <w:vertAlign w:val="baseline"/>
          <w:lang w:val="en-US" w:eastAsia="zh-CN" w:bidi="ar"/>
        </w:rPr>
        <w:t>．根据你方招标的</w:t>
      </w:r>
      <w:r>
        <w:rPr>
          <w:rFonts w:hint="eastAsia" w:ascii="宋体" w:hAnsi="宋体" w:eastAsia="宋体" w:cs="Times New Roman"/>
          <w:b w:val="0"/>
          <w:bCs w:val="0"/>
          <w:caps w:val="0"/>
          <w:color w:val="auto"/>
          <w:kern w:val="2"/>
          <w:sz w:val="24"/>
          <w:szCs w:val="24"/>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24"/>
          <w:szCs w:val="24"/>
          <w:highlight w:val="none"/>
          <w:vertAlign w:val="baseline"/>
          <w:lang w:val="en-US" w:eastAsia="zh-CN" w:bidi="ar"/>
        </w:rPr>
        <w:t>的招标文件，遵照《中华人民共和国政府采购法》等有关规定，经研究上述招标文件的投标须知、合同条款、采购需求标准及其他有关文件后，我方愿以</w:t>
      </w:r>
      <w:r>
        <w:rPr>
          <w:rFonts w:hint="eastAsia" w:ascii="宋体" w:hAnsi="宋体" w:eastAsia="宋体" w:cs="Times New Roman"/>
          <w:b w:val="0"/>
          <w:bCs w:val="0"/>
          <w:caps w:val="0"/>
          <w:color w:val="auto"/>
          <w:kern w:val="2"/>
          <w:sz w:val="24"/>
          <w:szCs w:val="24"/>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24"/>
          <w:szCs w:val="24"/>
          <w:highlight w:val="none"/>
          <w:vertAlign w:val="baseline"/>
          <w:lang w:val="en-US" w:eastAsia="zh-CN" w:bidi="ar"/>
        </w:rPr>
        <w:t>的投标报价，并按上述招标文件条款、合同条款和技术/服务标准的条件等要求承包上述项目的全部内容，并承担任何质量缺陷保修责任。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4"/>
          <w:szCs w:val="24"/>
          <w:highlight w:val="none"/>
          <w:vertAlign w:val="baseline"/>
          <w:lang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2</w:t>
      </w:r>
      <w:r>
        <w:rPr>
          <w:rFonts w:hint="eastAsia" w:ascii="宋体" w:hAnsi="宋体" w:eastAsia="宋体" w:cs="Times New Roman"/>
          <w:b w:val="0"/>
          <w:bCs w:val="0"/>
          <w:caps w:val="0"/>
          <w:color w:val="auto"/>
          <w:kern w:val="2"/>
          <w:sz w:val="24"/>
          <w:szCs w:val="24"/>
          <w:highlight w:val="none"/>
          <w:vertAlign w:val="baseline"/>
          <w:lang w:val="en-US" w:eastAsia="zh-CN" w:bidi="ar"/>
        </w:rPr>
        <w:t>．我方已详细审核全部招标文件，包括修改文件（如有时）及有关附件。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4"/>
          <w:szCs w:val="24"/>
          <w:highlight w:val="none"/>
          <w:vertAlign w:val="baseline"/>
          <w:lang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3</w:t>
      </w:r>
      <w:r>
        <w:rPr>
          <w:rFonts w:hint="eastAsia" w:ascii="宋体" w:hAnsi="宋体" w:eastAsia="宋体" w:cs="Times New Roman"/>
          <w:b w:val="0"/>
          <w:bCs w:val="0"/>
          <w:caps w:val="0"/>
          <w:color w:val="auto"/>
          <w:kern w:val="2"/>
          <w:sz w:val="24"/>
          <w:szCs w:val="24"/>
          <w:highlight w:val="none"/>
          <w:vertAlign w:val="baseline"/>
          <w:lang w:val="en-US" w:eastAsia="zh-CN" w:bidi="ar"/>
        </w:rPr>
        <w:t>．一旦我方中标，我方保证按合同协议书中规定的合同履行期限</w:t>
      </w:r>
      <w:r>
        <w:rPr>
          <w:rFonts w:hint="eastAsia" w:ascii="宋体" w:hAnsi="宋体" w:eastAsia="宋体" w:cs="Times New Roman"/>
          <w:b w:val="0"/>
          <w:bCs w:val="0"/>
          <w:caps w:val="0"/>
          <w:color w:val="auto"/>
          <w:kern w:val="2"/>
          <w:sz w:val="24"/>
          <w:szCs w:val="24"/>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24"/>
          <w:szCs w:val="24"/>
          <w:highlight w:val="none"/>
          <w:vertAlign w:val="baseline"/>
          <w:lang w:val="en-US" w:eastAsia="zh-CN" w:bidi="ar"/>
        </w:rPr>
        <w:t>内完成服务。质量按现行的相标准，达到“合格”。</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4"/>
          <w:szCs w:val="24"/>
          <w:highlight w:val="none"/>
          <w:vertAlign w:val="baseline"/>
          <w:lang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4</w:t>
      </w:r>
      <w:r>
        <w:rPr>
          <w:rFonts w:hint="eastAsia" w:ascii="宋体" w:hAnsi="宋体" w:eastAsia="宋体" w:cs="Times New Roman"/>
          <w:b w:val="0"/>
          <w:bCs w:val="0"/>
          <w:caps w:val="0"/>
          <w:color w:val="auto"/>
          <w:kern w:val="2"/>
          <w:sz w:val="24"/>
          <w:szCs w:val="24"/>
          <w:highlight w:val="none"/>
          <w:vertAlign w:val="baseline"/>
          <w:lang w:val="en-US" w:eastAsia="zh-CN" w:bidi="ar"/>
        </w:rPr>
        <w:t>．我方同意所提交的投标文件在招标文件的投标须知中规定的投标有效期内有效，在此期间内如果中标，我方将受此约束。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4"/>
          <w:szCs w:val="24"/>
          <w:highlight w:val="none"/>
          <w:vertAlign w:val="baseline"/>
          <w:lang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 xml:space="preserve">5. </w:t>
      </w:r>
      <w:r>
        <w:rPr>
          <w:rFonts w:hint="eastAsia" w:ascii="宋体" w:hAnsi="宋体" w:eastAsia="宋体" w:cs="Times New Roman"/>
          <w:b w:val="0"/>
          <w:bCs w:val="0"/>
          <w:caps w:val="0"/>
          <w:color w:val="auto"/>
          <w:kern w:val="2"/>
          <w:sz w:val="24"/>
          <w:szCs w:val="24"/>
          <w:highlight w:val="none"/>
          <w:vertAlign w:val="baseline"/>
          <w:lang w:val="en-US" w:eastAsia="zh-CN" w:bidi="ar"/>
        </w:rPr>
        <w:t>除非另外达成协议并生效，你方的中标通知书和本投标文件将成为约束双方的合同文件的组成部分。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Times New Roman"/>
          <w:b w:val="0"/>
          <w:bCs w:val="0"/>
          <w:caps w:val="0"/>
          <w:color w:val="auto"/>
          <w:kern w:val="2"/>
          <w:sz w:val="24"/>
          <w:szCs w:val="24"/>
          <w:highlight w:val="none"/>
          <w:vertAlign w:val="baseline"/>
          <w:lang w:val="en-US" w:eastAsia="zh-CN" w:bidi="ar"/>
        </w:rPr>
      </w:pPr>
      <w:r>
        <w:rPr>
          <w:rFonts w:hint="default" w:ascii="Calibri" w:hAnsi="Calibri" w:eastAsia="宋体" w:cs="Times New Roman"/>
          <w:b w:val="0"/>
          <w:bCs w:val="0"/>
          <w:caps w:val="0"/>
          <w:color w:val="auto"/>
          <w:kern w:val="2"/>
          <w:sz w:val="24"/>
          <w:szCs w:val="24"/>
          <w:highlight w:val="none"/>
          <w:vertAlign w:val="baseline"/>
          <w:lang w:val="en-US" w:eastAsia="zh-CN" w:bidi="ar"/>
        </w:rPr>
        <w:t>6</w:t>
      </w:r>
      <w:r>
        <w:rPr>
          <w:rFonts w:hint="eastAsia" w:ascii="宋体" w:hAnsi="宋体" w:eastAsia="宋体" w:cs="Times New Roman"/>
          <w:b w:val="0"/>
          <w:bCs w:val="0"/>
          <w:caps w:val="0"/>
          <w:color w:val="auto"/>
          <w:kern w:val="2"/>
          <w:sz w:val="24"/>
          <w:szCs w:val="24"/>
          <w:highlight w:val="none"/>
          <w:vertAlign w:val="baseline"/>
          <w:lang w:val="en-US" w:eastAsia="zh-CN" w:bidi="ar"/>
        </w:rPr>
        <w:t>．我们如果在规定的投标有效期内撤回投标，则我们的投标保证金可被贵方没收。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4"/>
          <w:szCs w:val="24"/>
          <w:highlight w:val="none"/>
          <w:vertAlign w:val="baseline"/>
          <w:lang w:bidi="ar"/>
        </w:rPr>
      </w:pPr>
      <w:r>
        <w:rPr>
          <w:rFonts w:hint="eastAsia" w:ascii="宋体" w:hAnsi="宋体" w:eastAsia="宋体" w:cs="Times New Roman"/>
          <w:b w:val="0"/>
          <w:bCs w:val="0"/>
          <w:caps w:val="0"/>
          <w:color w:val="auto"/>
          <w:kern w:val="2"/>
          <w:sz w:val="24"/>
          <w:szCs w:val="24"/>
          <w:highlight w:val="none"/>
          <w:vertAlign w:val="baseline"/>
          <w:lang w:val="en-US" w:eastAsia="zh-CN" w:bidi="ar"/>
        </w:rPr>
        <w:t>7. 本投标自开标之日起90天内有效。</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供应商：</w:t>
      </w:r>
      <w:r>
        <w:rPr>
          <w:rFonts w:hint="default" w:ascii="Calibri" w:hAnsi="Calibri" w:eastAsia="宋体" w:cs="Times New Roman"/>
          <w:b w:val="0"/>
          <w:bCs w:val="0"/>
          <w:caps w:val="0"/>
          <w:color w:val="auto"/>
          <w:kern w:val="2"/>
          <w:sz w:val="28"/>
          <w:szCs w:val="28"/>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（盖章）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单位地址：</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法定代表人或其委托代理人：</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default" w:ascii="Calibri" w:hAnsi="Calibri" w:eastAsia="宋体" w:cs="Times New Roman"/>
          <w:b w:val="0"/>
          <w:bCs w:val="0"/>
          <w:caps w:val="0"/>
          <w:color w:val="auto"/>
          <w:kern w:val="2"/>
          <w:sz w:val="28"/>
          <w:szCs w:val="28"/>
          <w:highlight w:val="none"/>
          <w:u w:val="singl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（签字）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邮政编码：</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电话：</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传真：</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eastAsia" w:ascii="宋体" w:hAnsi="宋体" w:eastAsia="宋体" w:cs="Times New Roman"/>
          <w:b w:val="0"/>
          <w:bCs w:val="0"/>
          <w:caps w:val="0"/>
          <w:color w:val="auto"/>
          <w:kern w:val="2"/>
          <w:sz w:val="28"/>
          <w:szCs w:val="28"/>
          <w:highlight w:val="none"/>
          <w:vertAlign w:val="baseline"/>
          <w:lang w:val="en-US" w:eastAsia="zh-CN" w:bidi="ar"/>
        </w:rPr>
        <w:t>日期：</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年</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月</w:t>
      </w:r>
      <w:r>
        <w:rPr>
          <w:rFonts w:hint="default" w:ascii="Calibri" w:hAnsi="Calibri" w:eastAsia="宋体" w:cs="Times New Roman"/>
          <w:b w:val="0"/>
          <w:bCs w:val="0"/>
          <w:caps w:val="0"/>
          <w:color w:val="auto"/>
          <w:kern w:val="2"/>
          <w:sz w:val="28"/>
          <w:szCs w:val="28"/>
          <w:highlight w:val="none"/>
          <w:vertAlign w:val="baseline"/>
          <w:lang w:val="en-US" w:eastAsia="zh-CN" w:bidi="ar"/>
        </w:rPr>
        <w:t xml:space="preserve">         </w:t>
      </w:r>
      <w:r>
        <w:rPr>
          <w:rFonts w:hint="eastAsia" w:ascii="宋体" w:hAnsi="宋体" w:eastAsia="宋体" w:cs="Times New Roman"/>
          <w:b w:val="0"/>
          <w:bCs w:val="0"/>
          <w:caps w:val="0"/>
          <w:color w:val="auto"/>
          <w:kern w:val="2"/>
          <w:sz w:val="28"/>
          <w:szCs w:val="28"/>
          <w:highlight w:val="none"/>
          <w:vertAlign w:val="baseline"/>
          <w:lang w:val="en-US" w:eastAsia="zh-CN" w:bidi="ar"/>
        </w:rPr>
        <w:t>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default" w:ascii="Calibri" w:hAnsi="Calibri" w:eastAsia="宋体" w:cs="Times New Roman"/>
          <w:caps w:val="0"/>
          <w:color w:val="auto"/>
          <w:kern w:val="2"/>
          <w:sz w:val="28"/>
          <w:szCs w:val="28"/>
          <w:highlight w:val="none"/>
          <w:vertAlign w:val="baseline"/>
          <w:lang w:bidi="ar"/>
        </w:rPr>
      </w:pPr>
      <w:r>
        <w:rPr>
          <w:rFonts w:hint="default" w:ascii="Calibri" w:hAnsi="Calibri" w:eastAsia="宋体" w:cs="Times New Roman"/>
          <w:b w:val="0"/>
          <w:bCs w:val="0"/>
          <w:caps w:val="0"/>
          <w:color w:val="auto"/>
          <w:kern w:val="2"/>
          <w:sz w:val="28"/>
          <w:szCs w:val="28"/>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Calibri" w:hAnsi="宋体" w:eastAsia="宋体" w:cs="Times New Roman"/>
          <w:b/>
          <w:bCs/>
          <w:caps w:val="0"/>
          <w:color w:val="auto"/>
          <w:kern w:val="2"/>
          <w:sz w:val="44"/>
          <w:szCs w:val="44"/>
          <w:highlight w:val="none"/>
          <w:vertAlign w:val="baseline"/>
          <w:lang w:bidi="ar"/>
        </w:rPr>
      </w:pPr>
      <w:r>
        <w:rPr>
          <w:rFonts w:hint="eastAsia" w:ascii="Calibri" w:hAnsi="宋体" w:eastAsia="宋体" w:cs="Times New Roman"/>
          <w:b/>
          <w:bCs/>
          <w:caps w:val="0"/>
          <w:color w:val="auto"/>
          <w:kern w:val="2"/>
          <w:sz w:val="44"/>
          <w:szCs w:val="44"/>
          <w:highlight w:val="none"/>
          <w:vertAlign w:val="baseline"/>
          <w:lang w:val="en-US" w:eastAsia="zh-CN" w:bidi="ar"/>
        </w:rPr>
        <w:t>三、投标一览表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3688"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3"/>
          <w:kern w:val="0"/>
          <w:sz w:val="24"/>
          <w:szCs w:val="24"/>
          <w:highlight w:val="none"/>
          <w:vertAlign w:val="baseline"/>
          <w:lang w:val="en-US" w:eastAsia="zh-CN" w:bidi="ar"/>
        </w:rPr>
        <w:t>开</w:t>
      </w:r>
      <w:r>
        <w:rPr>
          <w:rFonts w:hint="eastAsia" w:ascii="宋体" w:hAnsi="宋体" w:eastAsia="宋体" w:cs="宋体"/>
          <w:b w:val="0"/>
          <w:bCs w:val="0"/>
          <w:caps w:val="0"/>
          <w:color w:val="auto"/>
          <w:spacing w:val="7"/>
          <w:kern w:val="0"/>
          <w:sz w:val="24"/>
          <w:szCs w:val="24"/>
          <w:highlight w:val="none"/>
          <w:vertAlign w:val="baseline"/>
          <w:lang w:val="en-US" w:eastAsia="zh-CN" w:bidi="ar"/>
        </w:rPr>
        <w:t>标一览表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468" w:lineRule="exact"/>
        <w:ind w:left="605"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position w:val="17"/>
          <w:sz w:val="24"/>
          <w:szCs w:val="24"/>
          <w:highlight w:val="none"/>
          <w:vertAlign w:val="baseline"/>
          <w:lang w:val="en-US" w:eastAsia="zh-CN" w:bidi="ar"/>
        </w:rPr>
        <w:t>项</w:t>
      </w:r>
      <w:r>
        <w:rPr>
          <w:rFonts w:hint="eastAsia" w:ascii="宋体" w:hAnsi="宋体" w:eastAsia="宋体" w:cs="宋体"/>
          <w:b w:val="0"/>
          <w:bCs w:val="0"/>
          <w:caps w:val="0"/>
          <w:color w:val="auto"/>
          <w:spacing w:val="5"/>
          <w:kern w:val="0"/>
          <w:position w:val="17"/>
          <w:sz w:val="24"/>
          <w:szCs w:val="24"/>
          <w:highlight w:val="none"/>
          <w:vertAlign w:val="baseline"/>
          <w:lang w:val="en-US" w:eastAsia="zh-CN" w:bidi="ar"/>
        </w:rPr>
        <w:t>目名称：</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5"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项</w:t>
      </w:r>
      <w:r>
        <w:rPr>
          <w:rFonts w:hint="eastAsia" w:ascii="宋体" w:hAnsi="宋体" w:eastAsia="宋体" w:cs="宋体"/>
          <w:b w:val="0"/>
          <w:bCs w:val="0"/>
          <w:caps w:val="0"/>
          <w:color w:val="auto"/>
          <w:spacing w:val="5"/>
          <w:kern w:val="0"/>
          <w:sz w:val="24"/>
          <w:szCs w:val="24"/>
          <w:highlight w:val="none"/>
          <w:vertAlign w:val="baseline"/>
          <w:lang w:val="en-US" w:eastAsia="zh-CN" w:bidi="ar"/>
        </w:rPr>
        <w:t>目编号：</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40" w:lineRule="auto"/>
        <w:ind w:left="604"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8"/>
          <w:kern w:val="0"/>
          <w:sz w:val="24"/>
          <w:szCs w:val="24"/>
          <w:highlight w:val="none"/>
          <w:vertAlign w:val="baseline"/>
          <w:lang w:val="en-US" w:eastAsia="zh-CN" w:bidi="ar"/>
        </w:rPr>
        <w:t>投</w:t>
      </w:r>
      <w:r>
        <w:rPr>
          <w:rFonts w:hint="eastAsia" w:ascii="宋体" w:hAnsi="宋体" w:eastAsia="宋体" w:cs="宋体"/>
          <w:b w:val="0"/>
          <w:bCs w:val="0"/>
          <w:caps w:val="0"/>
          <w:color w:val="auto"/>
          <w:spacing w:val="7"/>
          <w:kern w:val="0"/>
          <w:sz w:val="24"/>
          <w:szCs w:val="24"/>
          <w:highlight w:val="none"/>
          <w:vertAlign w:val="baseline"/>
          <w:lang w:val="en-US" w:eastAsia="zh-CN" w:bidi="ar"/>
        </w:rPr>
        <w:t>标人名称 (加盖公章)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240" w:lineRule="auto"/>
        <w:ind w:left="603"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sz w:val="24"/>
          <w:szCs w:val="24"/>
          <w:highlight w:val="none"/>
          <w:vertAlign w:val="baseline"/>
          <w:lang w:val="en-US" w:eastAsia="zh-CN" w:bidi="ar"/>
        </w:rPr>
        <w:t>法定代表</w:t>
      </w:r>
      <w:r>
        <w:rPr>
          <w:rFonts w:hint="eastAsia" w:ascii="宋体" w:hAnsi="宋体" w:eastAsia="宋体" w:cs="宋体"/>
          <w:b w:val="0"/>
          <w:bCs w:val="0"/>
          <w:caps w:val="0"/>
          <w:color w:val="auto"/>
          <w:spacing w:val="7"/>
          <w:kern w:val="0"/>
          <w:sz w:val="24"/>
          <w:szCs w:val="24"/>
          <w:highlight w:val="none"/>
          <w:vertAlign w:val="baseline"/>
          <w:lang w:val="en-US" w:eastAsia="zh-CN" w:bidi="ar"/>
        </w:rPr>
        <w:t>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8" w:beforeAutospacing="0" w:after="0" w:afterAutospacing="0" w:line="240" w:lineRule="auto"/>
        <w:ind w:left="612" w:right="0" w:firstLine="0"/>
        <w:jc w:val="left"/>
        <w:textAlignment w:val="baseline"/>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spacing w:val="1"/>
          <w:kern w:val="0"/>
          <w:sz w:val="24"/>
          <w:szCs w:val="24"/>
          <w:highlight w:val="none"/>
          <w:vertAlign w:val="baseline"/>
          <w:lang w:val="en-US" w:eastAsia="zh-CN" w:bidi="ar"/>
        </w:rPr>
        <w:t xml:space="preserve">时间：    年    月   日           </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8" w:beforeAutospacing="0" w:after="0" w:afterAutospacing="0" w:line="240" w:lineRule="auto"/>
        <w:ind w:left="612" w:right="0" w:firstLine="0"/>
        <w:jc w:val="left"/>
        <w:textAlignment w:val="baseline"/>
        <w:outlineLvl w:val="9"/>
        <w:rPr>
          <w:rFonts w:hint="eastAsia" w:ascii="宋体" w:hAnsi="宋体" w:eastAsia="宋体" w:cs="宋体"/>
          <w:caps w:val="0"/>
          <w:color w:val="auto"/>
          <w:kern w:val="0"/>
          <w:sz w:val="24"/>
          <w:szCs w:val="24"/>
          <w:highlight w:val="none"/>
          <w:u w:val="singl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标段：</w:t>
      </w:r>
      <w:r>
        <w:rPr>
          <w:rFonts w:hint="eastAsia" w:ascii="宋体" w:hAnsi="宋体" w:eastAsia="宋体" w:cs="宋体"/>
          <w:b w:val="0"/>
          <w:bCs w:val="0"/>
          <w:caps w:val="0"/>
          <w:color w:val="auto"/>
          <w:kern w:val="0"/>
          <w:sz w:val="24"/>
          <w:szCs w:val="24"/>
          <w:highlight w:val="none"/>
          <w:u w:val="single"/>
          <w:vertAlign w:val="baseline"/>
          <w:lang w:val="en-US" w:eastAsia="zh-CN" w:bidi="ar"/>
        </w:rPr>
        <w:t xml:space="preserve"> /</w:t>
      </w:r>
      <w:r>
        <w:rPr>
          <w:rFonts w:hint="eastAsia" w:ascii="宋体" w:hAnsi="宋体" w:eastAsia="宋体" w:cs="宋体"/>
          <w:b w:val="0"/>
          <w:bCs w:val="0"/>
          <w:caps w:val="0"/>
          <w:color w:val="auto"/>
          <w:kern w:val="0"/>
          <w:sz w:val="24"/>
          <w:szCs w:val="24"/>
          <w:highlight w:val="none"/>
          <w:vertAlign w:val="baseline"/>
          <w:lang w:val="en-US" w:eastAsia="zh-CN" w:bidi="ar"/>
        </w:rPr>
        <w:t xml:space="preserve">                                    货币单位:</w:t>
      </w:r>
      <w:r>
        <w:rPr>
          <w:rFonts w:hint="eastAsia" w:ascii="宋体" w:hAnsi="宋体" w:eastAsia="宋体" w:cs="宋体"/>
          <w:b w:val="0"/>
          <w:bCs w:val="0"/>
          <w:caps w:val="0"/>
          <w:color w:val="auto"/>
          <w:kern w:val="0"/>
          <w:sz w:val="24"/>
          <w:szCs w:val="24"/>
          <w:highlight w:val="none"/>
          <w:u w:val="single"/>
          <w:vertAlign w:val="baseline"/>
          <w:lang w:val="en-US" w:eastAsia="zh-CN" w:bidi="ar"/>
        </w:rPr>
        <w:t>万元</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3" w:lineRule="exact"/>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bl>
      <w:tblPr>
        <w:tblStyle w:val="24"/>
        <w:tblW w:w="0" w:type="auto"/>
        <w:tblInd w:w="13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936"/>
        <w:gridCol w:w="1988"/>
        <w:gridCol w:w="2141"/>
        <w:gridCol w:w="2294"/>
        <w:gridCol w:w="89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081"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Cs/>
                <w:caps w:val="0"/>
                <w:color w:val="auto"/>
                <w:kern w:val="2"/>
                <w:sz w:val="21"/>
                <w:szCs w:val="21"/>
                <w:highlight w:val="none"/>
                <w:vertAlign w:val="baseline"/>
              </w:rPr>
            </w:pPr>
            <w:r>
              <w:rPr>
                <w:rFonts w:hint="eastAsia" w:ascii="宋体" w:hAnsi="宋体" w:eastAsia="宋体" w:cs="宋体"/>
                <w:b w:val="0"/>
                <w:bCs/>
                <w:caps w:val="0"/>
                <w:color w:val="auto"/>
                <w:kern w:val="2"/>
                <w:sz w:val="21"/>
                <w:szCs w:val="21"/>
                <w:highlight w:val="none"/>
                <w:vertAlign w:val="baseline"/>
                <w:lang w:val="en-US" w:eastAsia="zh-CN" w:bidi="ar"/>
              </w:rPr>
              <w:t>序号</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Cs/>
                <w:caps w:val="0"/>
                <w:color w:val="auto"/>
                <w:kern w:val="2"/>
                <w:sz w:val="21"/>
                <w:szCs w:val="21"/>
                <w:highlight w:val="none"/>
                <w:vertAlign w:val="baseline"/>
              </w:rPr>
            </w:pPr>
            <w:r>
              <w:rPr>
                <w:rFonts w:hint="eastAsia" w:ascii="宋体" w:hAnsi="宋体" w:eastAsia="宋体" w:cs="宋体"/>
                <w:b w:val="0"/>
                <w:bCs/>
                <w:caps w:val="0"/>
                <w:color w:val="auto"/>
                <w:kern w:val="2"/>
                <w:sz w:val="21"/>
                <w:szCs w:val="21"/>
                <w:highlight w:val="none"/>
                <w:vertAlign w:val="baseline"/>
                <w:lang w:val="en-US" w:eastAsia="zh-CN" w:bidi="ar"/>
              </w:rPr>
              <w:t>投标单位</w:t>
            </w:r>
          </w:p>
        </w:tc>
        <w:tc>
          <w:tcPr>
            <w:tcW w:w="2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rPr>
            </w:pPr>
            <w:r>
              <w:rPr>
                <w:rFonts w:hint="eastAsia" w:ascii="宋体" w:hAnsi="宋体" w:eastAsia="宋体" w:cs="宋体"/>
                <w:b w:val="0"/>
                <w:bCs/>
                <w:caps w:val="0"/>
                <w:color w:val="auto"/>
                <w:kern w:val="2"/>
                <w:sz w:val="21"/>
                <w:szCs w:val="21"/>
                <w:highlight w:val="none"/>
                <w:vertAlign w:val="baseline"/>
                <w:lang w:val="en-US" w:eastAsia="zh-CN" w:bidi="ar"/>
              </w:rPr>
              <w:t>投标报价</w:t>
            </w:r>
          </w:p>
        </w:tc>
        <w:tc>
          <w:tcPr>
            <w:tcW w:w="2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Cs/>
                <w:caps w:val="0"/>
                <w:color w:val="auto"/>
                <w:kern w:val="2"/>
                <w:sz w:val="21"/>
                <w:szCs w:val="21"/>
                <w:highlight w:val="none"/>
                <w:vertAlign w:val="baseline"/>
              </w:rPr>
            </w:pPr>
            <w:r>
              <w:rPr>
                <w:rFonts w:hint="eastAsia" w:ascii="宋体" w:hAnsi="宋体" w:eastAsia="宋体" w:cs="Times New Roman"/>
                <w:b w:val="0"/>
                <w:bCs w:val="0"/>
                <w:caps w:val="0"/>
                <w:color w:val="auto"/>
                <w:kern w:val="2"/>
                <w:sz w:val="21"/>
                <w:szCs w:val="21"/>
                <w:highlight w:val="none"/>
                <w:vertAlign w:val="baseline"/>
                <w:lang w:val="en-US" w:eastAsia="zh-CN" w:bidi="ar"/>
              </w:rPr>
              <w:t>合同履行期限</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center"/>
              <w:outlineLvl w:val="9"/>
              <w:rPr>
                <w:rFonts w:hint="eastAsia" w:ascii="宋体" w:hAnsi="宋体" w:eastAsia="宋体" w:cs="宋体"/>
                <w:bCs/>
                <w:caps w:val="0"/>
                <w:color w:val="auto"/>
                <w:kern w:val="2"/>
                <w:sz w:val="21"/>
                <w:szCs w:val="21"/>
                <w:highlight w:val="none"/>
                <w:vertAlign w:val="baseline"/>
              </w:rPr>
            </w:pPr>
            <w:r>
              <w:rPr>
                <w:rFonts w:hint="eastAsia" w:ascii="宋体" w:hAnsi="宋体" w:eastAsia="宋体" w:cs="宋体"/>
                <w:b w:val="0"/>
                <w:bCs/>
                <w:caps w:val="0"/>
                <w:color w:val="auto"/>
                <w:kern w:val="2"/>
                <w:sz w:val="21"/>
                <w:szCs w:val="21"/>
                <w:highlight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88"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auto"/>
                <w:kern w:val="2"/>
                <w:sz w:val="21"/>
                <w:szCs w:val="21"/>
                <w:highlight w:val="none"/>
                <w:vertAlign w:val="baseline"/>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auto"/>
                <w:kern w:val="2"/>
                <w:sz w:val="21"/>
                <w:szCs w:val="21"/>
                <w:highlight w:val="none"/>
                <w:vertAlign w:val="baseline"/>
              </w:rPr>
            </w:pPr>
          </w:p>
        </w:tc>
        <w:tc>
          <w:tcPr>
            <w:tcW w:w="2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auto"/>
                <w:kern w:val="2"/>
                <w:sz w:val="21"/>
                <w:szCs w:val="21"/>
                <w:highlight w:val="none"/>
                <w:vertAlign w:val="baseline"/>
              </w:rPr>
            </w:pPr>
          </w:p>
        </w:tc>
        <w:tc>
          <w:tcPr>
            <w:tcW w:w="22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auto"/>
                <w:kern w:val="2"/>
                <w:sz w:val="21"/>
                <w:szCs w:val="21"/>
                <w:highlight w:val="none"/>
                <w:vertAlign w:val="baseline"/>
              </w:rPr>
            </w:pPr>
          </w:p>
        </w:tc>
        <w:tc>
          <w:tcPr>
            <w:tcW w:w="8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0"/>
              <w:jc w:val="both"/>
              <w:outlineLvl w:val="9"/>
              <w:rPr>
                <w:rFonts w:hint="eastAsia" w:ascii="宋体" w:hAnsi="宋体" w:eastAsia="宋体" w:cs="宋体"/>
                <w:bCs/>
                <w:caps w:val="0"/>
                <w:color w:val="auto"/>
                <w:kern w:val="2"/>
                <w:sz w:val="21"/>
                <w:szCs w:val="21"/>
                <w:highlight w:val="none"/>
                <w:vertAlign w:val="baseline"/>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auto"/>
          <w:spacing w:val="3"/>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auto"/>
          <w:spacing w:val="3"/>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124" w:right="0" w:firstLine="0"/>
        <w:jc w:val="left"/>
        <w:textAlignment w:val="baseline"/>
        <w:outlineLvl w:val="9"/>
        <w:rPr>
          <w:rFonts w:hint="eastAsia" w:ascii="宋体" w:hAnsi="宋体" w:eastAsia="宋体" w:cs="宋体"/>
          <w:caps w:val="0"/>
          <w:color w:val="auto"/>
          <w:spacing w:val="2"/>
          <w:kern w:val="0"/>
          <w:sz w:val="24"/>
          <w:szCs w:val="24"/>
          <w:highlight w:val="none"/>
          <w:vertAlign w:val="baseline"/>
        </w:rPr>
      </w:pPr>
      <w:r>
        <w:rPr>
          <w:rFonts w:hint="eastAsia" w:ascii="宋体" w:hAnsi="宋体" w:eastAsia="宋体" w:cs="宋体"/>
          <w:b w:val="0"/>
          <w:bCs w:val="0"/>
          <w:caps w:val="0"/>
          <w:color w:val="auto"/>
          <w:spacing w:val="3"/>
          <w:kern w:val="0"/>
          <w:sz w:val="24"/>
          <w:szCs w:val="24"/>
          <w:highlight w:val="none"/>
          <w:vertAlign w:val="baseline"/>
          <w:lang w:val="en-US" w:eastAsia="zh-CN" w:bidi="ar"/>
        </w:rPr>
        <w:t>说</w:t>
      </w:r>
      <w:r>
        <w:rPr>
          <w:rFonts w:hint="eastAsia" w:ascii="宋体" w:hAnsi="宋体" w:eastAsia="宋体" w:cs="宋体"/>
          <w:b w:val="0"/>
          <w:bCs w:val="0"/>
          <w:caps w:val="0"/>
          <w:color w:val="auto"/>
          <w:spacing w:val="2"/>
          <w:kern w:val="0"/>
          <w:sz w:val="24"/>
          <w:szCs w:val="24"/>
          <w:highlight w:val="none"/>
          <w:vertAlign w:val="baseline"/>
          <w:lang w:val="en-US" w:eastAsia="zh-CN" w:bidi="ar"/>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600"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1.此</w:t>
      </w:r>
      <w:r>
        <w:rPr>
          <w:rFonts w:hint="eastAsia" w:ascii="宋体" w:hAnsi="宋体" w:eastAsia="宋体" w:cs="宋体"/>
          <w:b w:val="0"/>
          <w:bCs w:val="0"/>
          <w:caps w:val="0"/>
          <w:color w:val="auto"/>
          <w:spacing w:val="4"/>
          <w:kern w:val="0"/>
          <w:sz w:val="24"/>
          <w:szCs w:val="24"/>
          <w:highlight w:val="none"/>
          <w:vertAlign w:val="baseline"/>
          <w:lang w:val="en-US" w:eastAsia="zh-CN" w:bidi="ar"/>
        </w:rPr>
        <w:t xml:space="preserve">表可根据需要自行拉长加宽。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position w:val="1"/>
          <w:sz w:val="24"/>
          <w:szCs w:val="24"/>
          <w:highlight w:val="none"/>
          <w:vertAlign w:val="baseline"/>
          <w:lang w:val="en-US" w:eastAsia="zh-CN" w:bidi="ar"/>
        </w:rPr>
        <w:t>2.投</w:t>
      </w:r>
      <w:r>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t>标</w:t>
      </w:r>
      <w:r>
        <w:rPr>
          <w:rFonts w:hint="eastAsia" w:ascii="宋体" w:hAnsi="宋体" w:eastAsia="宋体" w:cs="宋体"/>
          <w:b w:val="0"/>
          <w:bCs w:val="0"/>
          <w:caps w:val="0"/>
          <w:color w:val="auto"/>
          <w:spacing w:val="7"/>
          <w:kern w:val="0"/>
          <w:position w:val="1"/>
          <w:sz w:val="24"/>
          <w:szCs w:val="24"/>
          <w:highlight w:val="none"/>
          <w:vertAlign w:val="baseline"/>
          <w:lang w:val="en-US" w:eastAsia="zh-CN" w:bidi="ar"/>
        </w:rPr>
        <w:t>人报价应为优惠折算后的最终价格。评标过程中不再接受价优惠条件的价</w:t>
      </w:r>
      <w:r>
        <w:rPr>
          <w:rFonts w:hint="eastAsia" w:ascii="宋体" w:hAnsi="宋体" w:eastAsia="宋体" w:cs="宋体"/>
          <w:b w:val="0"/>
          <w:bCs w:val="0"/>
          <w:caps w:val="0"/>
          <w:color w:val="auto"/>
          <w:spacing w:val="5"/>
          <w:kern w:val="0"/>
          <w:sz w:val="24"/>
          <w:szCs w:val="24"/>
          <w:highlight w:val="none"/>
          <w:vertAlign w:val="baseline"/>
          <w:lang w:val="en-US" w:eastAsia="zh-CN" w:bidi="ar"/>
        </w:rPr>
        <w:t>格折算。</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310" w:lineRule="exact"/>
        <w:ind w:left="603" w:right="0" w:firstLine="0"/>
        <w:jc w:val="left"/>
        <w:textAlignment w:val="baseline"/>
        <w:outlineLvl w:val="9"/>
        <w:rPr>
          <w:rFonts w:hint="default" w:ascii="Times New Roman" w:hAnsi="Times New Roman" w:eastAsia="宋体" w:cs="Times New Roman"/>
          <w:caps w:val="0"/>
          <w:color w:val="auto"/>
          <w:sz w:val="21"/>
          <w:szCs w:val="21"/>
          <w:highlight w:val="none"/>
          <w:vertAlign w:val="baseline"/>
        </w:rPr>
      </w:pPr>
      <w:r>
        <w:rPr>
          <w:rFonts w:hint="eastAsia" w:ascii="宋体" w:hAnsi="宋体" w:eastAsia="宋体" w:cs="宋体"/>
          <w:b w:val="0"/>
          <w:bCs w:val="0"/>
          <w:caps w:val="0"/>
          <w:color w:val="auto"/>
          <w:spacing w:val="22"/>
          <w:kern w:val="0"/>
          <w:position w:val="1"/>
          <w:sz w:val="24"/>
          <w:szCs w:val="24"/>
          <w:highlight w:val="none"/>
          <w:vertAlign w:val="baseline"/>
          <w:lang w:val="en-US" w:eastAsia="zh-CN" w:bidi="ar"/>
        </w:rPr>
        <w:t>3</w:t>
      </w:r>
      <w:r>
        <w:rPr>
          <w:rFonts w:hint="eastAsia" w:ascii="宋体" w:hAnsi="宋体" w:eastAsia="宋体" w:cs="宋体"/>
          <w:b w:val="0"/>
          <w:bCs w:val="0"/>
          <w:caps w:val="0"/>
          <w:color w:val="auto"/>
          <w:spacing w:val="14"/>
          <w:kern w:val="0"/>
          <w:position w:val="1"/>
          <w:sz w:val="24"/>
          <w:szCs w:val="24"/>
          <w:highlight w:val="none"/>
          <w:vertAlign w:val="baseline"/>
          <w:lang w:val="en-US" w:eastAsia="zh-CN" w:bidi="ar"/>
        </w:rPr>
        <w:t>.只允许有一个报价，任何有选择性的报价或者有附加条件的报价采购人将不予接</w:t>
      </w:r>
      <w:r>
        <w:rPr>
          <w:rFonts w:hint="eastAsia" w:ascii="宋体" w:hAnsi="宋体" w:eastAsia="宋体" w:cs="宋体"/>
          <w:b w:val="0"/>
          <w:bCs w:val="0"/>
          <w:caps w:val="0"/>
          <w:color w:val="auto"/>
          <w:spacing w:val="-3"/>
          <w:kern w:val="0"/>
          <w:sz w:val="24"/>
          <w:szCs w:val="24"/>
          <w:highlight w:val="none"/>
          <w:vertAlign w:val="baseline"/>
          <w:lang w:val="en-US" w:eastAsia="zh-CN" w:bidi="ar"/>
        </w:rPr>
        <w:t>受</w:t>
      </w:r>
      <w:r>
        <w:rPr>
          <w:rFonts w:hint="eastAsia" w:ascii="宋体" w:hAnsi="宋体" w:eastAsia="宋体" w:cs="宋体"/>
          <w:b w:val="0"/>
          <w:bCs w:val="0"/>
          <w:caps w:val="0"/>
          <w:color w:val="auto"/>
          <w:spacing w:val="-2"/>
          <w:kern w:val="0"/>
          <w:sz w:val="24"/>
          <w:szCs w:val="24"/>
          <w:highlight w:val="none"/>
          <w:vertAlign w:val="baseline"/>
          <w:lang w:val="en-US" w:eastAsia="zh-CN" w:bidi="ar"/>
        </w:rPr>
        <w:t>。</w:t>
      </w:r>
    </w:p>
    <w:p>
      <w:pPr>
        <w:rPr>
          <w:highlight w:val="no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eastAsia" w:ascii="宋体" w:hAnsi="宋体" w:eastAsia="宋体" w:cs="Times New Roman"/>
          <w:b w:val="0"/>
          <w:bCs w:val="0"/>
          <w:caps w:val="0"/>
          <w:color w:val="auto"/>
          <w:kern w:val="2"/>
          <w:sz w:val="21"/>
          <w:szCs w:val="21"/>
          <w:highlight w:val="none"/>
          <w:vertAlign w:val="baseline"/>
          <w:lang w:val="en-US" w:eastAsia="zh-CN" w:bidi="ar"/>
        </w:rPr>
        <w:t>投标分项报价表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4" w:beforeAutospacing="0" w:after="0" w:afterAutospacing="0" w:line="240" w:lineRule="auto"/>
        <w:ind w:right="0"/>
        <w:jc w:val="center"/>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投</w:t>
      </w:r>
      <w:r>
        <w:rPr>
          <w:rFonts w:hint="eastAsia" w:ascii="宋体" w:hAnsi="宋体" w:eastAsia="宋体" w:cs="宋体"/>
          <w:b w:val="0"/>
          <w:bCs w:val="0"/>
          <w:caps w:val="0"/>
          <w:color w:val="auto"/>
          <w:spacing w:val="8"/>
          <w:kern w:val="0"/>
          <w:sz w:val="24"/>
          <w:szCs w:val="24"/>
          <w:highlight w:val="none"/>
          <w:vertAlign w:val="baseline"/>
          <w:lang w:val="en-US" w:eastAsia="zh-CN" w:bidi="ar"/>
        </w:rPr>
        <w:t>标报价明细表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8"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8"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1" w:beforeAutospacing="0" w:after="0" w:afterAutospacing="0" w:line="240" w:lineRule="auto"/>
        <w:ind w:left="707" w:right="0" w:firstLine="0"/>
        <w:jc w:val="left"/>
        <w:textAlignment w:val="baseline"/>
        <w:outlineLvl w:val="9"/>
        <w:rPr>
          <w:rFonts w:hint="default" w:ascii="宋体" w:hAnsi="宋体" w:eastAsia="宋体" w:cs="宋体"/>
          <w:caps w:val="0"/>
          <w:color w:val="auto"/>
          <w:kern w:val="0"/>
          <w:sz w:val="24"/>
          <w:szCs w:val="24"/>
          <w:highlight w:val="none"/>
          <w:vertAlign w:val="baseline"/>
          <w:lang w:val="en-US"/>
        </w:rPr>
      </w:pPr>
      <w:r>
        <w:rPr>
          <w:rFonts w:hint="eastAsia" w:ascii="宋体" w:hAnsi="宋体" w:eastAsia="宋体" w:cs="宋体"/>
          <w:b w:val="0"/>
          <w:bCs w:val="0"/>
          <w:caps w:val="0"/>
          <w:color w:val="auto"/>
          <w:spacing w:val="1"/>
          <w:kern w:val="0"/>
          <w:sz w:val="24"/>
          <w:szCs w:val="24"/>
          <w:highlight w:val="none"/>
          <w:vertAlign w:val="baseline"/>
          <w:lang w:val="en-US" w:eastAsia="zh-CN" w:bidi="ar"/>
        </w:rPr>
        <w:t xml:space="preserve">项目名称：                     项目编号：                                        </w:t>
      </w:r>
      <w:r>
        <w:rPr>
          <w:rFonts w:hint="eastAsia" w:ascii="宋体" w:hAnsi="宋体" w:eastAsia="宋体" w:cs="宋体"/>
          <w:b w:val="0"/>
          <w:bCs w:val="0"/>
          <w:caps w:val="0"/>
          <w:color w:val="auto"/>
          <w:kern w:val="0"/>
          <w:sz w:val="24"/>
          <w:szCs w:val="24"/>
          <w:highlight w:val="none"/>
          <w:vertAlign w:val="baseline"/>
          <w:lang w:val="en-US" w:eastAsia="zh-CN" w:bidi="ar"/>
        </w:rPr>
        <w:t xml:space="preserve">          货币单位:</w:t>
      </w:r>
      <w:r>
        <w:rPr>
          <w:rFonts w:hint="eastAsia" w:ascii="宋体" w:hAnsi="宋体" w:eastAsia="宋体" w:cs="宋体"/>
          <w:b w:val="0"/>
          <w:bCs w:val="0"/>
          <w:i w:val="0"/>
          <w:iCs w:val="0"/>
          <w:caps w:val="0"/>
          <w:color w:val="auto"/>
          <w:kern w:val="0"/>
          <w:sz w:val="24"/>
          <w:szCs w:val="24"/>
          <w:highlight w:val="none"/>
          <w:u w:val="single"/>
          <w:vertAlign w:val="baseline"/>
          <w:lang w:val="en-US" w:eastAsia="zh-CN" w:bidi="ar"/>
        </w:rPr>
        <w:t>万元</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4" w:lineRule="exact"/>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bl>
      <w:tblPr>
        <w:tblStyle w:val="24"/>
        <w:tblW w:w="8518" w:type="dxa"/>
        <w:tblInd w:w="11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6"/>
        <w:gridCol w:w="1757"/>
        <w:gridCol w:w="1694"/>
        <w:gridCol w:w="1534"/>
        <w:gridCol w:w="2695"/>
        <w:gridCol w:w="2"/>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930"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序号</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服务名称</w:t>
            </w:r>
          </w:p>
        </w:tc>
        <w:tc>
          <w:tcPr>
            <w:tcW w:w="169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单位</w:t>
            </w: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数量</w:t>
            </w: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报价</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47"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1</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服务</w:t>
            </w:r>
          </w:p>
        </w:tc>
        <w:tc>
          <w:tcPr>
            <w:tcW w:w="169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47"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2</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安装</w:t>
            </w:r>
          </w:p>
        </w:tc>
        <w:tc>
          <w:tcPr>
            <w:tcW w:w="169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3</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培训</w:t>
            </w:r>
          </w:p>
        </w:tc>
        <w:tc>
          <w:tcPr>
            <w:tcW w:w="169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4</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发票税金</w:t>
            </w:r>
          </w:p>
        </w:tc>
        <w:tc>
          <w:tcPr>
            <w:tcW w:w="169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94"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5</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其他伴随费用</w:t>
            </w:r>
          </w:p>
        </w:tc>
        <w:tc>
          <w:tcPr>
            <w:tcW w:w="1694"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94" w:hRule="atLeast"/>
        </w:trPr>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default"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6</w:t>
            </w:r>
          </w:p>
        </w:tc>
        <w:tc>
          <w:tcPr>
            <w:tcW w:w="1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kern w:val="0"/>
                <w:sz w:val="24"/>
                <w:szCs w:val="24"/>
                <w:highlight w:val="none"/>
                <w:vertAlign w:val="baseline"/>
                <w:lang w:val="en-US" w:eastAsia="zh-CN" w:bidi="ar"/>
              </w:rPr>
              <w:t>……</w:t>
            </w:r>
          </w:p>
        </w:tc>
        <w:tc>
          <w:tcPr>
            <w:tcW w:w="1694"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153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c>
          <w:tcPr>
            <w:tcW w:w="26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center"/>
              <w:outlineLvl w:val="9"/>
              <w:rPr>
                <w:rFonts w:hint="eastAsia" w:ascii="宋体" w:hAnsi="宋体" w:eastAsia="宋体" w:cs="宋体"/>
                <w:b w:val="0"/>
                <w:bCs w:val="0"/>
                <w:caps w:val="0"/>
                <w:color w:val="auto"/>
                <w:kern w:val="0"/>
                <w:sz w:val="24"/>
                <w:szCs w:val="24"/>
                <w:highlight w:val="none"/>
                <w:vertAlign w:val="baseline"/>
                <w:lang w:val="en-US" w:eastAsia="zh-CN" w:bidi="ar"/>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2" w:type="dxa"/>
          <w:trHeight w:val="568" w:hRule="atLeast"/>
        </w:trPr>
        <w:tc>
          <w:tcPr>
            <w:tcW w:w="2593" w:type="dxa"/>
            <w:gridSpan w:val="2"/>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both"/>
              <w:textAlignment w:val="center"/>
              <w:outlineLvl w:val="9"/>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t>投标总价</w:t>
            </w:r>
          </w:p>
        </w:tc>
        <w:tc>
          <w:tcPr>
            <w:tcW w:w="5923" w:type="dxa"/>
            <w:gridSpan w:val="3"/>
            <w:tcBorders>
              <w:top w:val="single" w:color="auto" w:sz="2" w:space="0"/>
              <w:left w:val="single" w:color="auto" w:sz="4"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both"/>
              <w:textAlignment w:val="center"/>
              <w:outlineLvl w:val="9"/>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t>小写：</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both"/>
              <w:textAlignment w:val="center"/>
              <w:outlineLvl w:val="9"/>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8"/>
                <w:kern w:val="0"/>
                <w:position w:val="1"/>
                <w:sz w:val="24"/>
                <w:szCs w:val="24"/>
                <w:highlight w:val="none"/>
                <w:vertAlign w:val="baseline"/>
                <w:lang w:val="en-US" w:eastAsia="zh-CN" w:bidi="ar"/>
              </w:rPr>
              <w:t>大写：</w:t>
            </w: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706"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2"/>
          <w:kern w:val="0"/>
          <w:sz w:val="24"/>
          <w:szCs w:val="24"/>
          <w:highlight w:val="none"/>
          <w:vertAlign w:val="baseline"/>
          <w:lang w:val="en-US" w:eastAsia="zh-CN" w:bidi="ar"/>
        </w:rPr>
        <w:t>投</w:t>
      </w:r>
      <w:r>
        <w:rPr>
          <w:rFonts w:hint="eastAsia" w:ascii="宋体" w:hAnsi="宋体" w:eastAsia="宋体" w:cs="宋体"/>
          <w:b w:val="0"/>
          <w:bCs w:val="0"/>
          <w:caps w:val="0"/>
          <w:color w:val="auto"/>
          <w:spacing w:val="7"/>
          <w:kern w:val="0"/>
          <w:sz w:val="24"/>
          <w:szCs w:val="24"/>
          <w:highlight w:val="none"/>
          <w:vertAlign w:val="baseline"/>
          <w:lang w:val="en-US" w:eastAsia="zh-CN" w:bidi="ar"/>
        </w:rPr>
        <w:t>标</w:t>
      </w:r>
      <w:r>
        <w:rPr>
          <w:rFonts w:hint="eastAsia" w:ascii="宋体" w:hAnsi="宋体" w:eastAsia="宋体" w:cs="宋体"/>
          <w:b w:val="0"/>
          <w:bCs w:val="0"/>
          <w:caps w:val="0"/>
          <w:color w:val="auto"/>
          <w:spacing w:val="6"/>
          <w:kern w:val="0"/>
          <w:sz w:val="24"/>
          <w:szCs w:val="24"/>
          <w:highlight w:val="none"/>
          <w:vertAlign w:val="baseline"/>
          <w:lang w:val="en-US" w:eastAsia="zh-CN" w:bidi="ar"/>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left="705"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sz w:val="24"/>
          <w:szCs w:val="24"/>
          <w:highlight w:val="none"/>
          <w:vertAlign w:val="baseline"/>
          <w:lang w:val="en-US" w:eastAsia="zh-CN" w:bidi="ar"/>
        </w:rPr>
        <w:t>单</w:t>
      </w:r>
      <w:r>
        <w:rPr>
          <w:rFonts w:hint="eastAsia" w:ascii="宋体" w:hAnsi="宋体" w:eastAsia="宋体" w:cs="宋体"/>
          <w:b w:val="0"/>
          <w:bCs w:val="0"/>
          <w:caps w:val="0"/>
          <w:color w:val="auto"/>
          <w:spacing w:val="13"/>
          <w:kern w:val="0"/>
          <w:sz w:val="24"/>
          <w:szCs w:val="24"/>
          <w:highlight w:val="none"/>
          <w:vertAlign w:val="baseline"/>
          <w:lang w:val="en-US" w:eastAsia="zh-CN" w:bidi="ar"/>
        </w:rPr>
        <w:t>位</w:t>
      </w:r>
      <w:r>
        <w:rPr>
          <w:rFonts w:hint="eastAsia" w:ascii="宋体" w:hAnsi="宋体" w:eastAsia="宋体" w:cs="宋体"/>
          <w:b w:val="0"/>
          <w:bCs w:val="0"/>
          <w:caps w:val="0"/>
          <w:color w:val="auto"/>
          <w:spacing w:val="7"/>
          <w:kern w:val="0"/>
          <w:sz w:val="24"/>
          <w:szCs w:val="24"/>
          <w:highlight w:val="none"/>
          <w:vertAlign w:val="baseline"/>
          <w:lang w:val="en-US" w:eastAsia="zh-CN" w:bidi="ar"/>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7" w:beforeAutospacing="0" w:after="0" w:afterAutospacing="0" w:line="466" w:lineRule="exact"/>
        <w:ind w:left="714"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position w:val="17"/>
          <w:sz w:val="24"/>
          <w:szCs w:val="24"/>
          <w:highlight w:val="none"/>
          <w:vertAlign w:val="baseline"/>
          <w:lang w:val="en-US" w:eastAsia="zh-CN" w:bidi="ar"/>
        </w:rPr>
        <w:t>时</w:t>
      </w:r>
      <w:r>
        <w:rPr>
          <w:rFonts w:hint="eastAsia" w:ascii="宋体" w:hAnsi="宋体" w:eastAsia="宋体" w:cs="宋体"/>
          <w:b w:val="0"/>
          <w:bCs w:val="0"/>
          <w:caps w:val="0"/>
          <w:color w:val="auto"/>
          <w:spacing w:val="6"/>
          <w:kern w:val="0"/>
          <w:position w:val="17"/>
          <w:sz w:val="24"/>
          <w:szCs w:val="24"/>
          <w:highlight w:val="none"/>
          <w:vertAlign w:val="baseline"/>
          <w:lang w:val="en-US" w:eastAsia="zh-CN" w:bidi="ar"/>
        </w:rPr>
        <w:t>间：年月日</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226"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3"/>
          <w:kern w:val="0"/>
          <w:sz w:val="24"/>
          <w:szCs w:val="24"/>
          <w:highlight w:val="none"/>
          <w:vertAlign w:val="baseline"/>
          <w:lang w:val="en-US" w:eastAsia="zh-CN" w:bidi="ar"/>
        </w:rPr>
        <w:t>说</w:t>
      </w:r>
      <w:r>
        <w:rPr>
          <w:rFonts w:hint="eastAsia" w:ascii="宋体" w:hAnsi="宋体" w:eastAsia="宋体" w:cs="宋体"/>
          <w:b w:val="0"/>
          <w:bCs w:val="0"/>
          <w:caps w:val="0"/>
          <w:color w:val="auto"/>
          <w:spacing w:val="2"/>
          <w:kern w:val="0"/>
          <w:sz w:val="24"/>
          <w:szCs w:val="24"/>
          <w:highlight w:val="none"/>
          <w:vertAlign w:val="baseline"/>
          <w:lang w:val="en-US" w:eastAsia="zh-CN" w:bidi="ar"/>
        </w:rPr>
        <w:t>明：</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t>1.与本项目有关的各种费用均应包含在总报价中。此表可根据需要自行拉长加宽。</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t>2.如果投标人提供价格折扣优惠，应在表中明确填列。</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9" w:beforeAutospacing="0" w:after="0" w:afterAutospacing="0" w:line="309" w:lineRule="exact"/>
        <w:ind w:left="606" w:right="0" w:firstLine="0"/>
        <w:jc w:val="left"/>
        <w:textAlignment w:val="baseline"/>
        <w:outlineLvl w:val="9"/>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pPr>
      <w:r>
        <w:rPr>
          <w:rFonts w:hint="eastAsia" w:ascii="宋体" w:hAnsi="宋体" w:eastAsia="宋体" w:cs="宋体"/>
          <w:b w:val="0"/>
          <w:bCs w:val="0"/>
          <w:caps w:val="0"/>
          <w:color w:val="auto"/>
          <w:spacing w:val="13"/>
          <w:kern w:val="0"/>
          <w:position w:val="1"/>
          <w:sz w:val="24"/>
          <w:szCs w:val="24"/>
          <w:highlight w:val="none"/>
          <w:vertAlign w:val="baseline"/>
          <w:lang w:val="en-US" w:eastAsia="zh-CN" w:bidi="ar"/>
        </w:rPr>
        <w:t>3.要说明的问题可另附页说明并签字和加盖公章。</w:t>
      </w:r>
    </w:p>
    <w:p>
      <w:pPr>
        <w:pStyle w:val="7"/>
        <w:rPr>
          <w:rFonts w:hint="default"/>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Calibri" w:hAnsi="Calibri" w:eastAsia="宋体" w:cs="Times New Roman"/>
          <w:caps w:val="0"/>
          <w:color w:val="auto"/>
          <w:kern w:val="2"/>
          <w:sz w:val="21"/>
          <w:szCs w:val="21"/>
          <w:highlight w:val="none"/>
          <w:vertAlign w:val="baseline"/>
          <w:lang w:bidi="ar"/>
        </w:rPr>
      </w:pPr>
      <w:r>
        <w:rPr>
          <w:rFonts w:hint="default" w:ascii="Calibri" w:hAnsi="Calibri" w:eastAsia="宋体" w:cs="Times New Roman"/>
          <w:b w:val="0"/>
          <w:bCs w:val="0"/>
          <w:caps w:val="0"/>
          <w:color w:val="auto"/>
          <w:kern w:val="2"/>
          <w:sz w:val="21"/>
          <w:szCs w:val="21"/>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val="0"/>
          <w:bCs w:val="0"/>
          <w:caps w:val="0"/>
          <w:color w:val="auto"/>
          <w:kern w:val="2"/>
          <w:sz w:val="44"/>
          <w:szCs w:val="44"/>
          <w:highlight w:val="none"/>
          <w:vertAlign w:val="baseline"/>
          <w:lang w:val="en-US" w:eastAsia="zh-CN" w:bidi="ar"/>
        </w:rPr>
      </w:pPr>
      <w:r>
        <w:rPr>
          <w:rFonts w:hint="eastAsia" w:ascii="宋体" w:hAnsi="宋体" w:eastAsia="宋体" w:cs="宋体"/>
          <w:b w:val="0"/>
          <w:bCs w:val="0"/>
          <w:caps w:val="0"/>
          <w:color w:val="auto"/>
          <w:kern w:val="2"/>
          <w:sz w:val="44"/>
          <w:szCs w:val="44"/>
          <w:highlight w:val="none"/>
          <w:vertAlign w:val="baseline"/>
          <w:lang w:val="en-US" w:eastAsia="zh-CN" w:bidi="ar"/>
        </w:rPr>
        <w:t>四、采购需求偏离表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rPr>
          <w:highlight w:val="no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8" w:beforeAutospacing="0" w:after="0" w:afterAutospacing="0" w:line="240" w:lineRule="auto"/>
        <w:ind w:left="0"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项</w:t>
      </w:r>
      <w:r>
        <w:rPr>
          <w:rFonts w:hint="eastAsia" w:ascii="宋体" w:hAnsi="宋体" w:eastAsia="宋体" w:cs="宋体"/>
          <w:b w:val="0"/>
          <w:bCs w:val="0"/>
          <w:caps w:val="0"/>
          <w:color w:val="auto"/>
          <w:spacing w:val="8"/>
          <w:kern w:val="0"/>
          <w:sz w:val="24"/>
          <w:szCs w:val="24"/>
          <w:highlight w:val="none"/>
          <w:vertAlign w:val="baseline"/>
          <w:lang w:val="en-US" w:eastAsia="zh-CN" w:bidi="ar"/>
        </w:rPr>
        <w:t>目名称：</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7"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项</w:t>
      </w:r>
      <w:r>
        <w:rPr>
          <w:rFonts w:hint="eastAsia" w:ascii="宋体" w:hAnsi="宋体" w:eastAsia="宋体" w:cs="宋体"/>
          <w:b w:val="0"/>
          <w:bCs w:val="0"/>
          <w:caps w:val="0"/>
          <w:color w:val="auto"/>
          <w:spacing w:val="5"/>
          <w:kern w:val="0"/>
          <w:sz w:val="24"/>
          <w:szCs w:val="24"/>
          <w:highlight w:val="none"/>
          <w:vertAlign w:val="baseline"/>
          <w:lang w:val="en-US" w:eastAsia="zh-CN" w:bidi="ar"/>
        </w:rPr>
        <w:t>目编号：</w:t>
      </w:r>
    </w:p>
    <w:p>
      <w:pPr>
        <w:rPr>
          <w:highlight w:val="none"/>
        </w:rPr>
        <w:sectPr>
          <w:type w:val="continuous"/>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91" w:lineRule="exact"/>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bl>
      <w:tblPr>
        <w:tblStyle w:val="24"/>
        <w:tblW w:w="8057" w:type="dxa"/>
        <w:tblInd w:w="110"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9"/>
        <w:gridCol w:w="1071"/>
        <w:gridCol w:w="2346"/>
        <w:gridCol w:w="2347"/>
        <w:gridCol w:w="705"/>
        <w:gridCol w:w="849"/>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tblCellMar>
            <w:top w:w="0" w:type="dxa"/>
            <w:left w:w="0" w:type="dxa"/>
            <w:bottom w:w="0" w:type="dxa"/>
            <w:right w:w="0" w:type="dxa"/>
          </w:tblCellMar>
        </w:tblPrEx>
        <w:trPr>
          <w:trHeight w:val="659" w:hRule="atLeast"/>
        </w:trPr>
        <w:tc>
          <w:tcPr>
            <w:tcW w:w="7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195"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序</w:t>
            </w:r>
            <w:r>
              <w:rPr>
                <w:rFonts w:hint="eastAsia" w:ascii="宋体" w:hAnsi="宋体" w:eastAsia="宋体" w:cs="宋体"/>
                <w:b w:val="0"/>
                <w:bCs w:val="0"/>
                <w:caps w:val="0"/>
                <w:color w:val="auto"/>
                <w:spacing w:val="5"/>
                <w:kern w:val="0"/>
                <w:sz w:val="24"/>
                <w:szCs w:val="24"/>
                <w:highlight w:val="none"/>
                <w:vertAlign w:val="baseline"/>
                <w:lang w:val="en-US" w:eastAsia="zh-CN" w:bidi="ar"/>
              </w:rPr>
              <w:t>号</w:t>
            </w:r>
          </w:p>
        </w:tc>
        <w:tc>
          <w:tcPr>
            <w:tcW w:w="107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66" w:right="0" w:firstLine="0"/>
              <w:jc w:val="center"/>
              <w:textAlignment w:val="baseline"/>
              <w:outlineLvl w:val="0"/>
              <w:rPr>
                <w:rFonts w:hint="eastAsia" w:ascii="宋体" w:hAnsi="宋体" w:eastAsia="宋体" w:cs="宋体"/>
                <w:b w:val="0"/>
                <w:bCs w:val="0"/>
                <w:caps w:val="0"/>
                <w:color w:val="auto"/>
                <w:spacing w:val="9"/>
                <w:kern w:val="0"/>
                <w:sz w:val="24"/>
                <w:szCs w:val="24"/>
                <w:highlight w:val="none"/>
                <w:vertAlign w:val="baseline"/>
                <w:lang w:val="en-US" w:eastAsia="zh-CN" w:bidi="ar"/>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服务</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66"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名称</w:t>
            </w:r>
          </w:p>
        </w:tc>
        <w:tc>
          <w:tcPr>
            <w:tcW w:w="234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66"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招标文件规定的采购</w:t>
            </w:r>
            <w:r>
              <w:rPr>
                <w:rFonts w:hint="eastAsia" w:ascii="宋体" w:hAnsi="宋体" w:eastAsia="宋体" w:cs="宋体"/>
                <w:b w:val="0"/>
                <w:bCs w:val="0"/>
                <w:caps w:val="0"/>
                <w:color w:val="auto"/>
                <w:spacing w:val="8"/>
                <w:kern w:val="0"/>
                <w:sz w:val="24"/>
                <w:szCs w:val="24"/>
                <w:highlight w:val="none"/>
                <w:vertAlign w:val="baseline"/>
                <w:lang w:val="en-US" w:eastAsia="zh-CN" w:bidi="ar"/>
              </w:rPr>
              <w:t>需求</w:t>
            </w:r>
          </w:p>
        </w:tc>
        <w:tc>
          <w:tcPr>
            <w:tcW w:w="234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70"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5"/>
                <w:kern w:val="0"/>
                <w:sz w:val="24"/>
                <w:szCs w:val="24"/>
                <w:highlight w:val="none"/>
                <w:vertAlign w:val="baseline"/>
                <w:lang w:val="en-US" w:eastAsia="zh-CN" w:bidi="ar"/>
              </w:rPr>
              <w:t>投</w:t>
            </w:r>
            <w:r>
              <w:rPr>
                <w:rFonts w:hint="eastAsia" w:ascii="宋体" w:hAnsi="宋体" w:eastAsia="宋体" w:cs="宋体"/>
                <w:b w:val="0"/>
                <w:bCs w:val="0"/>
                <w:caps w:val="0"/>
                <w:color w:val="auto"/>
                <w:spacing w:val="8"/>
                <w:kern w:val="0"/>
                <w:sz w:val="24"/>
                <w:szCs w:val="24"/>
                <w:highlight w:val="none"/>
                <w:vertAlign w:val="baseline"/>
                <w:lang w:val="en-US" w:eastAsia="zh-CN" w:bidi="ar"/>
              </w:rPr>
              <w:t>标文件对应的服务需求</w:t>
            </w:r>
          </w:p>
        </w:tc>
        <w:tc>
          <w:tcPr>
            <w:tcW w:w="705"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88" w:beforeAutospacing="0" w:after="0" w:afterAutospacing="0" w:line="240" w:lineRule="auto"/>
              <w:ind w:left="180"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3"/>
                <w:kern w:val="0"/>
                <w:sz w:val="24"/>
                <w:szCs w:val="24"/>
                <w:highlight w:val="none"/>
                <w:vertAlign w:val="baseline"/>
                <w:lang w:val="en-US" w:eastAsia="zh-CN" w:bidi="ar"/>
              </w:rPr>
              <w:t>是否</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176" w:right="0" w:firstLine="0"/>
              <w:jc w:val="center"/>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5"/>
                <w:kern w:val="0"/>
                <w:sz w:val="24"/>
                <w:szCs w:val="24"/>
                <w:highlight w:val="none"/>
                <w:vertAlign w:val="baseline"/>
                <w:lang w:val="en-US" w:eastAsia="zh-CN" w:bidi="ar"/>
              </w:rPr>
              <w:t>偏离</w:t>
            </w:r>
          </w:p>
        </w:tc>
        <w:tc>
          <w:tcPr>
            <w:tcW w:w="84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67" w:beforeAutospacing="0" w:after="0" w:afterAutospacing="0" w:line="240" w:lineRule="auto"/>
              <w:ind w:left="262" w:right="0" w:firstLine="0"/>
              <w:jc w:val="center"/>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4"/>
                <w:kern w:val="0"/>
                <w:sz w:val="24"/>
                <w:szCs w:val="24"/>
                <w:highlight w:val="none"/>
                <w:vertAlign w:val="baseline"/>
                <w:lang w:val="en-US" w:eastAsia="zh-CN" w:bidi="ar"/>
              </w:rPr>
              <w:t>备</w:t>
            </w:r>
            <w:r>
              <w:rPr>
                <w:rFonts w:hint="eastAsia" w:ascii="宋体" w:hAnsi="宋体" w:eastAsia="宋体" w:cs="宋体"/>
                <w:b w:val="0"/>
                <w:bCs w:val="0"/>
                <w:caps w:val="0"/>
                <w:color w:val="auto"/>
                <w:spacing w:val="3"/>
                <w:kern w:val="0"/>
                <w:sz w:val="24"/>
                <w:szCs w:val="24"/>
                <w:highlight w:val="none"/>
                <w:vertAlign w:val="baseline"/>
                <w:lang w:val="en-US" w:eastAsia="zh-CN" w:bidi="ar"/>
              </w:rPr>
              <w:t>注</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9" w:hRule="atLeast"/>
        </w:trPr>
        <w:tc>
          <w:tcPr>
            <w:tcW w:w="7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107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705"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84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9" w:hRule="atLeast"/>
        </w:trPr>
        <w:tc>
          <w:tcPr>
            <w:tcW w:w="7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107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705"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84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46" w:hRule="atLeast"/>
        </w:trPr>
        <w:tc>
          <w:tcPr>
            <w:tcW w:w="7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1071"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6"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234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705"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84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6" w:beforeAutospacing="0" w:after="0" w:afterAutospacing="0" w:line="240" w:lineRule="auto"/>
        <w:ind w:left="31"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3"/>
          <w:kern w:val="0"/>
          <w:sz w:val="24"/>
          <w:szCs w:val="24"/>
          <w:highlight w:val="none"/>
          <w:vertAlign w:val="baseline"/>
          <w:lang w:val="en-US" w:eastAsia="zh-CN" w:bidi="ar"/>
        </w:rPr>
        <w:t>说</w:t>
      </w:r>
      <w:r>
        <w:rPr>
          <w:rFonts w:hint="eastAsia" w:ascii="宋体" w:hAnsi="宋体" w:eastAsia="宋体" w:cs="宋体"/>
          <w:b w:val="0"/>
          <w:bCs w:val="0"/>
          <w:caps w:val="0"/>
          <w:color w:val="auto"/>
          <w:spacing w:val="2"/>
          <w:kern w:val="0"/>
          <w:sz w:val="24"/>
          <w:szCs w:val="24"/>
          <w:highlight w:val="none"/>
          <w:vertAlign w:val="baseline"/>
          <w:lang w:val="en-US" w:eastAsia="zh-CN" w:bidi="ar"/>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供应商应对照招标文件第四部分全部采购要求进行响应，逐条说明所提供服务技术标准已对招标文件的技术要求做出了实质性的响应，并申明与技术要求条文的偏差和例外。若供应商完全响应招标文件技术要求，填写“完全响应”即可，无需填写招标文件要求中的条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600" w:firstLineChars="25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 xml:space="preserve">2、表内如果填列不全，可另外附页说明并按规定签字和加盖公章。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00" w:firstLineChars="250"/>
        <w:jc w:val="both"/>
        <w:outlineLvl w:val="9"/>
        <w:rPr>
          <w:rFonts w:hint="default" w:ascii="Times New Roman" w:hAnsi="Times New Roman" w:eastAsia="宋体" w:cs="Times New Roman"/>
          <w:caps w:val="0"/>
          <w:color w:val="auto"/>
          <w:sz w:val="21"/>
          <w:szCs w:val="21"/>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3、此表可根据需要自行拉长加宽（或格式自拟）。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5"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88"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11"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2"/>
          <w:kern w:val="0"/>
          <w:sz w:val="24"/>
          <w:szCs w:val="24"/>
          <w:highlight w:val="none"/>
          <w:vertAlign w:val="baseline"/>
          <w:lang w:val="en-US" w:eastAsia="zh-CN" w:bidi="ar"/>
        </w:rPr>
        <w:t>投</w:t>
      </w:r>
      <w:r>
        <w:rPr>
          <w:rFonts w:hint="eastAsia" w:ascii="宋体" w:hAnsi="宋体" w:eastAsia="宋体" w:cs="宋体"/>
          <w:b w:val="0"/>
          <w:bCs w:val="0"/>
          <w:caps w:val="0"/>
          <w:color w:val="auto"/>
          <w:spacing w:val="7"/>
          <w:kern w:val="0"/>
          <w:sz w:val="24"/>
          <w:szCs w:val="24"/>
          <w:highlight w:val="none"/>
          <w:vertAlign w:val="baseline"/>
          <w:lang w:val="en-US" w:eastAsia="zh-CN" w:bidi="ar"/>
        </w:rPr>
        <w:t>标</w:t>
      </w:r>
      <w:r>
        <w:rPr>
          <w:rFonts w:hint="eastAsia" w:ascii="宋体" w:hAnsi="宋体" w:eastAsia="宋体" w:cs="宋体"/>
          <w:b w:val="0"/>
          <w:bCs w:val="0"/>
          <w:caps w:val="0"/>
          <w:color w:val="auto"/>
          <w:spacing w:val="6"/>
          <w:kern w:val="0"/>
          <w:sz w:val="24"/>
          <w:szCs w:val="24"/>
          <w:highlight w:val="none"/>
          <w:vertAlign w:val="baseline"/>
          <w:lang w:val="en-US" w:eastAsia="zh-CN" w:bidi="ar"/>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468" w:lineRule="exact"/>
        <w:ind w:left="51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position w:val="17"/>
          <w:sz w:val="24"/>
          <w:szCs w:val="24"/>
          <w:highlight w:val="none"/>
          <w:vertAlign w:val="baseline"/>
          <w:lang w:val="en-US" w:eastAsia="zh-CN" w:bidi="ar"/>
        </w:rPr>
        <w:t>单</w:t>
      </w:r>
      <w:r>
        <w:rPr>
          <w:rFonts w:hint="eastAsia" w:ascii="宋体" w:hAnsi="宋体" w:eastAsia="宋体" w:cs="宋体"/>
          <w:b w:val="0"/>
          <w:bCs w:val="0"/>
          <w:caps w:val="0"/>
          <w:color w:val="auto"/>
          <w:spacing w:val="13"/>
          <w:kern w:val="0"/>
          <w:position w:val="17"/>
          <w:sz w:val="24"/>
          <w:szCs w:val="24"/>
          <w:highlight w:val="none"/>
          <w:vertAlign w:val="baseline"/>
          <w:lang w:val="en-US" w:eastAsia="zh-CN" w:bidi="ar"/>
        </w:rPr>
        <w:t>位</w:t>
      </w:r>
      <w:r>
        <w:rPr>
          <w:rFonts w:hint="eastAsia" w:ascii="宋体" w:hAnsi="宋体" w:eastAsia="宋体" w:cs="宋体"/>
          <w:b w:val="0"/>
          <w:bCs w:val="0"/>
          <w:caps w:val="0"/>
          <w:color w:val="auto"/>
          <w:spacing w:val="7"/>
          <w:kern w:val="0"/>
          <w:position w:val="17"/>
          <w:sz w:val="24"/>
          <w:szCs w:val="24"/>
          <w:highlight w:val="none"/>
          <w:vertAlign w:val="baseline"/>
          <w:lang w:val="en-US" w:eastAsia="zh-CN" w:bidi="ar"/>
        </w:rPr>
        <w:t>负责人或授权代理人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519"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时</w:t>
      </w:r>
      <w:r>
        <w:rPr>
          <w:rFonts w:hint="eastAsia" w:ascii="宋体" w:hAnsi="宋体" w:eastAsia="宋体" w:cs="宋体"/>
          <w:b w:val="0"/>
          <w:bCs w:val="0"/>
          <w:caps w:val="0"/>
          <w:color w:val="auto"/>
          <w:spacing w:val="6"/>
          <w:kern w:val="0"/>
          <w:sz w:val="24"/>
          <w:szCs w:val="24"/>
          <w:highlight w:val="none"/>
          <w:vertAlign w:val="baseline"/>
          <w:lang w:val="en-US" w:eastAsia="zh-CN" w:bidi="ar"/>
        </w:rPr>
        <w:t>间：年月日</w:t>
      </w:r>
    </w:p>
    <w:p>
      <w:pPr>
        <w:rPr>
          <w:highlight w:val="none"/>
        </w:rPr>
        <w:sectPr>
          <w:type w:val="continuous"/>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val="0"/>
          <w:bCs w:val="0"/>
          <w:caps w:val="0"/>
          <w:color w:val="auto"/>
          <w:kern w:val="2"/>
          <w:sz w:val="44"/>
          <w:szCs w:val="44"/>
          <w:highlight w:val="none"/>
          <w:vertAlign w:val="baseline"/>
          <w:lang w:val="en-US" w:eastAsia="zh-CN" w:bidi="ar"/>
        </w:rPr>
      </w:pPr>
      <w:r>
        <w:rPr>
          <w:rFonts w:hint="eastAsia" w:ascii="宋体" w:hAnsi="宋体" w:eastAsia="宋体" w:cs="宋体"/>
          <w:b w:val="0"/>
          <w:bCs w:val="0"/>
          <w:caps w:val="0"/>
          <w:color w:val="auto"/>
          <w:kern w:val="2"/>
          <w:sz w:val="44"/>
          <w:szCs w:val="44"/>
          <w:highlight w:val="none"/>
          <w:vertAlign w:val="baseline"/>
          <w:lang w:val="en-US" w:eastAsia="zh-CN" w:bidi="ar"/>
        </w:rPr>
        <w:t>商务条款偏离表 (格式)</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9"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481"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2"/>
          <w:kern w:val="0"/>
          <w:sz w:val="24"/>
          <w:szCs w:val="24"/>
          <w:highlight w:val="none"/>
          <w:vertAlign w:val="baseline"/>
          <w:lang w:val="en-US" w:eastAsia="zh-CN" w:bidi="ar"/>
        </w:rPr>
        <w:t>项目名称</w:t>
      </w:r>
      <w:r>
        <w:rPr>
          <w:rFonts w:hint="eastAsia" w:ascii="宋体" w:hAnsi="宋体" w:eastAsia="宋体" w:cs="宋体"/>
          <w:b w:val="0"/>
          <w:bCs w:val="0"/>
          <w:caps w:val="0"/>
          <w:color w:val="auto"/>
          <w:spacing w:val="-1"/>
          <w:kern w:val="0"/>
          <w:sz w:val="24"/>
          <w:szCs w:val="24"/>
          <w:highlight w:val="none"/>
          <w:vertAlign w:val="baseline"/>
          <w:lang w:val="en-US" w:eastAsia="zh-CN" w:bidi="ar"/>
        </w:rPr>
        <w:t>：                              项目编号：</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147" w:lineRule="exact"/>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bl>
      <w:tblPr>
        <w:tblStyle w:val="24"/>
        <w:tblW w:w="7338" w:type="dxa"/>
        <w:tblInd w:w="214" w:type="dxa"/>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8"/>
        <w:gridCol w:w="2417"/>
        <w:gridCol w:w="2407"/>
        <w:gridCol w:w="1039"/>
        <w:gridCol w:w="617"/>
      </w:tblGrid>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866" w:hRule="atLeast"/>
        </w:trPr>
        <w:tc>
          <w:tcPr>
            <w:tcW w:w="85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right="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序</w:t>
            </w:r>
            <w:r>
              <w:rPr>
                <w:rFonts w:hint="eastAsia" w:ascii="宋体" w:hAnsi="宋体" w:eastAsia="宋体" w:cs="宋体"/>
                <w:b w:val="0"/>
                <w:bCs w:val="0"/>
                <w:caps w:val="0"/>
                <w:color w:val="auto"/>
                <w:spacing w:val="5"/>
                <w:kern w:val="0"/>
                <w:sz w:val="24"/>
                <w:szCs w:val="24"/>
                <w:highlight w:val="none"/>
                <w:vertAlign w:val="baseline"/>
                <w:lang w:val="en-US" w:eastAsia="zh-CN" w:bidi="ar"/>
              </w:rPr>
              <w:t>号</w:t>
            </w:r>
          </w:p>
        </w:tc>
        <w:tc>
          <w:tcPr>
            <w:tcW w:w="24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9"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招标文件规定的商务条款</w:t>
            </w:r>
          </w:p>
        </w:tc>
        <w:tc>
          <w:tcPr>
            <w:tcW w:w="240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投标文件对应的商务条</w:t>
            </w:r>
            <w:r>
              <w:rPr>
                <w:rFonts w:hint="eastAsia" w:ascii="宋体" w:hAnsi="宋体" w:eastAsia="宋体" w:cs="宋体"/>
                <w:b w:val="0"/>
                <w:bCs w:val="0"/>
                <w:caps w:val="0"/>
                <w:color w:val="auto"/>
                <w:spacing w:val="7"/>
                <w:kern w:val="0"/>
                <w:sz w:val="24"/>
                <w:szCs w:val="24"/>
                <w:highlight w:val="none"/>
                <w:vertAlign w:val="baseline"/>
                <w:lang w:val="en-US" w:eastAsia="zh-CN" w:bidi="ar"/>
              </w:rPr>
              <w:t>款</w:t>
            </w:r>
          </w:p>
        </w:tc>
        <w:tc>
          <w:tcPr>
            <w:tcW w:w="10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76"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8"/>
                <w:kern w:val="0"/>
                <w:sz w:val="24"/>
                <w:szCs w:val="24"/>
                <w:highlight w:val="none"/>
                <w:vertAlign w:val="baseline"/>
                <w:lang w:val="en-US" w:eastAsia="zh-CN" w:bidi="ar"/>
              </w:rPr>
              <w:t>是</w:t>
            </w:r>
            <w:r>
              <w:rPr>
                <w:rFonts w:hint="eastAsia" w:ascii="宋体" w:hAnsi="宋体" w:eastAsia="宋体" w:cs="宋体"/>
                <w:b w:val="0"/>
                <w:bCs w:val="0"/>
                <w:caps w:val="0"/>
                <w:color w:val="auto"/>
                <w:spacing w:val="6"/>
                <w:kern w:val="0"/>
                <w:sz w:val="24"/>
                <w:szCs w:val="24"/>
                <w:highlight w:val="none"/>
                <w:vertAlign w:val="baseline"/>
                <w:lang w:val="en-US" w:eastAsia="zh-CN" w:bidi="ar"/>
              </w:rPr>
              <w:t>否偏离</w:t>
            </w:r>
          </w:p>
        </w:tc>
        <w:tc>
          <w:tcPr>
            <w:tcW w:w="6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273" w:beforeAutospacing="0" w:after="0" w:afterAutospacing="0" w:line="240" w:lineRule="auto"/>
              <w:ind w:left="151"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4"/>
                <w:kern w:val="0"/>
                <w:sz w:val="24"/>
                <w:szCs w:val="24"/>
                <w:highlight w:val="none"/>
                <w:vertAlign w:val="baseline"/>
                <w:lang w:val="en-US" w:eastAsia="zh-CN" w:bidi="ar"/>
              </w:rPr>
              <w:t>备</w:t>
            </w:r>
            <w:r>
              <w:rPr>
                <w:rFonts w:hint="eastAsia" w:ascii="宋体" w:hAnsi="宋体" w:eastAsia="宋体" w:cs="宋体"/>
                <w:b w:val="0"/>
                <w:bCs w:val="0"/>
                <w:caps w:val="0"/>
                <w:color w:val="auto"/>
                <w:spacing w:val="3"/>
                <w:kern w:val="0"/>
                <w:sz w:val="24"/>
                <w:szCs w:val="24"/>
                <w:highlight w:val="none"/>
                <w:vertAlign w:val="baseline"/>
                <w:lang w:val="en-US" w:eastAsia="zh-CN" w:bidi="ar"/>
              </w:rPr>
              <w:t>注</w:t>
            </w: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trPr>
        <w:tc>
          <w:tcPr>
            <w:tcW w:w="85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lang w:val="en-US" w:eastAsia="zh-CN"/>
              </w:rPr>
            </w:pPr>
            <w:r>
              <w:rPr>
                <w:rFonts w:hint="eastAsia" w:ascii="宋体" w:hAnsi="宋体" w:eastAsia="宋体" w:cs="宋体"/>
                <w:caps w:val="0"/>
                <w:color w:val="auto"/>
                <w:kern w:val="0"/>
                <w:sz w:val="24"/>
                <w:szCs w:val="24"/>
                <w:highlight w:val="none"/>
                <w:vertAlign w:val="baseline"/>
                <w:lang w:val="en-US" w:eastAsia="zh-CN"/>
              </w:rPr>
              <w:t>1</w:t>
            </w:r>
          </w:p>
        </w:tc>
        <w:tc>
          <w:tcPr>
            <w:tcW w:w="241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auto"/>
                <w:kern w:val="0"/>
                <w:sz w:val="24"/>
                <w:szCs w:val="24"/>
                <w:highlight w:val="none"/>
                <w:vertAlign w:val="baseline"/>
                <w:lang w:eastAsia="zh-CN"/>
              </w:rPr>
            </w:pPr>
            <w:r>
              <w:rPr>
                <w:rFonts w:hint="eastAsia" w:ascii="宋体" w:hAnsi="宋体" w:eastAsia="宋体" w:cs="宋体"/>
                <w:bCs/>
                <w:caps w:val="0"/>
                <w:color w:val="auto"/>
                <w:kern w:val="0"/>
                <w:sz w:val="24"/>
                <w:szCs w:val="24"/>
                <w:highlight w:val="none"/>
                <w:vertAlign w:val="baseline"/>
                <w:lang w:eastAsia="zh-CN"/>
              </w:rPr>
              <w:t>……</w:t>
            </w:r>
          </w:p>
        </w:tc>
        <w:tc>
          <w:tcPr>
            <w:tcW w:w="240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baseline"/>
              <w:outlineLvl w:val="9"/>
              <w:rPr>
                <w:rFonts w:hint="eastAsia" w:ascii="宋体" w:hAnsi="宋体" w:eastAsia="宋体" w:cs="宋体"/>
                <w:caps w:val="0"/>
                <w:color w:val="auto"/>
                <w:kern w:val="0"/>
                <w:sz w:val="24"/>
                <w:szCs w:val="24"/>
                <w:highlight w:val="none"/>
                <w:vertAlign w:val="baseline"/>
                <w:lang w:eastAsia="zh-CN"/>
              </w:rPr>
            </w:pPr>
            <w:r>
              <w:rPr>
                <w:rFonts w:hint="eastAsia" w:ascii="宋体" w:hAnsi="宋体" w:eastAsia="宋体" w:cs="宋体"/>
                <w:caps w:val="0"/>
                <w:color w:val="auto"/>
                <w:kern w:val="0"/>
                <w:sz w:val="24"/>
                <w:szCs w:val="24"/>
                <w:highlight w:val="none"/>
                <w:vertAlign w:val="baseline"/>
                <w:lang w:eastAsia="zh-CN"/>
              </w:rPr>
              <w:t>……</w:t>
            </w:r>
          </w:p>
        </w:tc>
        <w:tc>
          <w:tcPr>
            <w:tcW w:w="10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6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trPr>
        <w:tc>
          <w:tcPr>
            <w:tcW w:w="85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lang w:val="en-US" w:eastAsia="zh-CN"/>
              </w:rPr>
            </w:pPr>
            <w:r>
              <w:rPr>
                <w:rFonts w:hint="eastAsia" w:ascii="宋体" w:hAnsi="宋体" w:eastAsia="宋体" w:cs="宋体"/>
                <w:caps w:val="0"/>
                <w:color w:val="auto"/>
                <w:kern w:val="0"/>
                <w:sz w:val="24"/>
                <w:szCs w:val="24"/>
                <w:highlight w:val="none"/>
                <w:vertAlign w:val="baseline"/>
                <w:lang w:val="en-US" w:eastAsia="zh-CN"/>
              </w:rPr>
              <w:t>2</w:t>
            </w:r>
          </w:p>
        </w:tc>
        <w:tc>
          <w:tcPr>
            <w:tcW w:w="241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center"/>
              <w:textAlignment w:val="baseline"/>
              <w:outlineLvl w:val="9"/>
              <w:rPr>
                <w:rFonts w:hint="eastAsia" w:ascii="宋体" w:hAnsi="宋体" w:eastAsia="宋体" w:cs="宋体"/>
                <w:bCs/>
                <w:caps w:val="0"/>
                <w:color w:val="auto"/>
                <w:kern w:val="0"/>
                <w:sz w:val="24"/>
                <w:szCs w:val="24"/>
                <w:highlight w:val="none"/>
                <w:vertAlign w:val="baseline"/>
                <w:lang w:eastAsia="zh-CN"/>
              </w:rPr>
            </w:pPr>
            <w:r>
              <w:rPr>
                <w:rFonts w:hint="eastAsia" w:ascii="宋体" w:hAnsi="宋体" w:eastAsia="宋体" w:cs="宋体"/>
                <w:bCs/>
                <w:caps w:val="0"/>
                <w:color w:val="auto"/>
                <w:kern w:val="0"/>
                <w:sz w:val="24"/>
                <w:szCs w:val="24"/>
                <w:highlight w:val="none"/>
                <w:vertAlign w:val="baseline"/>
                <w:lang w:eastAsia="zh-CN"/>
              </w:rPr>
              <w:t>……</w:t>
            </w:r>
          </w:p>
        </w:tc>
        <w:tc>
          <w:tcPr>
            <w:tcW w:w="240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baseline"/>
              <w:outlineLvl w:val="9"/>
              <w:rPr>
                <w:rFonts w:hint="eastAsia" w:ascii="宋体" w:hAnsi="宋体" w:eastAsia="宋体" w:cs="宋体"/>
                <w:caps w:val="0"/>
                <w:color w:val="auto"/>
                <w:kern w:val="0"/>
                <w:sz w:val="24"/>
                <w:szCs w:val="24"/>
                <w:highlight w:val="none"/>
                <w:vertAlign w:val="baseline"/>
                <w:lang w:eastAsia="zh-CN"/>
              </w:rPr>
            </w:pPr>
            <w:r>
              <w:rPr>
                <w:rFonts w:hint="eastAsia" w:ascii="宋体" w:hAnsi="宋体" w:eastAsia="宋体" w:cs="宋体"/>
                <w:caps w:val="0"/>
                <w:color w:val="auto"/>
                <w:kern w:val="0"/>
                <w:sz w:val="24"/>
                <w:szCs w:val="24"/>
                <w:highlight w:val="none"/>
                <w:vertAlign w:val="baseline"/>
                <w:lang w:eastAsia="zh-CN"/>
              </w:rPr>
              <w:t>……</w:t>
            </w:r>
          </w:p>
        </w:tc>
        <w:tc>
          <w:tcPr>
            <w:tcW w:w="10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6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r>
        <w:tblPrEx>
          <w:tblBorders>
            <w:top w:val="single" w:color="auto" w:sz="2" w:space="0"/>
            <w:left w:val="single" w:color="auto" w:sz="2" w:space="0"/>
            <w:bottom w:val="single" w:color="auto" w:sz="2" w:space="0"/>
            <w:right w:val="single" w:color="auto"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458" w:hRule="atLeast"/>
        </w:trPr>
        <w:tc>
          <w:tcPr>
            <w:tcW w:w="858"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lang w:val="en-US" w:eastAsia="zh-CN"/>
              </w:rPr>
            </w:pPr>
            <w:r>
              <w:rPr>
                <w:rFonts w:hint="eastAsia" w:ascii="宋体" w:hAnsi="宋体" w:eastAsia="宋体" w:cs="宋体"/>
                <w:caps w:val="0"/>
                <w:color w:val="auto"/>
                <w:kern w:val="0"/>
                <w:sz w:val="24"/>
                <w:szCs w:val="24"/>
                <w:highlight w:val="none"/>
                <w:vertAlign w:val="baseline"/>
                <w:lang w:val="en-US" w:eastAsia="zh-CN"/>
              </w:rPr>
              <w:t>3</w:t>
            </w:r>
          </w:p>
        </w:tc>
        <w:tc>
          <w:tcPr>
            <w:tcW w:w="241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360" w:lineRule="auto"/>
              <w:ind w:left="0" w:right="0" w:firstLine="0"/>
              <w:jc w:val="both"/>
              <w:textAlignment w:val="baseline"/>
              <w:outlineLvl w:val="9"/>
              <w:rPr>
                <w:rFonts w:hint="default" w:ascii="宋体" w:hAnsi="宋体" w:eastAsia="宋体" w:cs="宋体"/>
                <w:bCs/>
                <w:caps w:val="0"/>
                <w:color w:val="auto"/>
                <w:kern w:val="0"/>
                <w:sz w:val="24"/>
                <w:szCs w:val="24"/>
                <w:highlight w:val="none"/>
                <w:vertAlign w:val="baseline"/>
                <w:lang w:val="en-US" w:eastAsia="zh-CN"/>
              </w:rPr>
            </w:pPr>
            <w:r>
              <w:rPr>
                <w:rFonts w:hint="eastAsia" w:ascii="宋体" w:hAnsi="宋体" w:eastAsia="宋体" w:cs="宋体"/>
                <w:bCs/>
                <w:caps w:val="0"/>
                <w:color w:val="auto"/>
                <w:kern w:val="0"/>
                <w:sz w:val="24"/>
                <w:szCs w:val="24"/>
                <w:highlight w:val="none"/>
                <w:vertAlign w:val="baseline"/>
                <w:lang w:val="en-US" w:eastAsia="zh-CN"/>
              </w:rPr>
              <w:t>招标文件规定的全部商务条款</w:t>
            </w:r>
          </w:p>
        </w:tc>
        <w:tc>
          <w:tcPr>
            <w:tcW w:w="240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center"/>
              <w:textAlignment w:val="baseline"/>
              <w:outlineLvl w:val="9"/>
              <w:rPr>
                <w:rFonts w:hint="eastAsia" w:ascii="宋体" w:hAnsi="宋体" w:eastAsia="宋体" w:cs="宋体"/>
                <w:caps w:val="0"/>
                <w:color w:val="auto"/>
                <w:kern w:val="0"/>
                <w:sz w:val="24"/>
                <w:szCs w:val="24"/>
                <w:highlight w:val="none"/>
                <w:vertAlign w:val="baseline"/>
              </w:rPr>
            </w:pPr>
          </w:p>
        </w:tc>
        <w:tc>
          <w:tcPr>
            <w:tcW w:w="1039"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c>
          <w:tcPr>
            <w:tcW w:w="617"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tc>
      </w:tr>
    </w:tbl>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34"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3"/>
          <w:kern w:val="0"/>
          <w:sz w:val="24"/>
          <w:szCs w:val="24"/>
          <w:highlight w:val="none"/>
          <w:vertAlign w:val="baseline"/>
          <w:lang w:val="en-US" w:eastAsia="zh-CN" w:bidi="ar"/>
        </w:rPr>
        <w:t>说</w:t>
      </w:r>
      <w:r>
        <w:rPr>
          <w:rFonts w:hint="eastAsia" w:ascii="宋体" w:hAnsi="宋体" w:eastAsia="宋体" w:cs="宋体"/>
          <w:b w:val="0"/>
          <w:bCs w:val="0"/>
          <w:caps w:val="0"/>
          <w:color w:val="auto"/>
          <w:spacing w:val="2"/>
          <w:kern w:val="0"/>
          <w:sz w:val="24"/>
          <w:szCs w:val="24"/>
          <w:highlight w:val="none"/>
          <w:vertAlign w:val="baseline"/>
          <w:lang w:val="en-US" w:eastAsia="zh-CN" w:bidi="ar"/>
        </w:rPr>
        <w:t>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1、 供应商应对照招标文件商务要求，逐条说明已对招标文件的商务内容做出了实质性的响应，并申明与招标文件的偏差和例外。若供应商完全响应招标文件商务要求，填写“完全响应”即可，无需填写竞争性磋商文件商务要求中的条文。</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2、商务条款主要填列</w:t>
      </w:r>
      <w:r>
        <w:rPr>
          <w:rFonts w:hint="eastAsia" w:ascii="宋体" w:hAnsi="宋体" w:eastAsia="宋体" w:cs="宋体"/>
          <w:b/>
          <w:bCs/>
          <w:caps w:val="0"/>
          <w:color w:val="auto"/>
          <w:kern w:val="2"/>
          <w:sz w:val="24"/>
          <w:szCs w:val="24"/>
          <w:highlight w:val="none"/>
          <w:vertAlign w:val="baseline"/>
          <w:lang w:val="en-US" w:eastAsia="zh-CN" w:bidi="ar"/>
        </w:rPr>
        <w:t>付款方式、合同履行期限、交货地点</w:t>
      </w:r>
      <w:r>
        <w:rPr>
          <w:rFonts w:hint="eastAsia" w:ascii="宋体" w:hAnsi="宋体" w:eastAsia="宋体" w:cs="宋体"/>
          <w:b w:val="0"/>
          <w:bCs w:val="0"/>
          <w:caps w:val="0"/>
          <w:color w:val="auto"/>
          <w:kern w:val="2"/>
          <w:sz w:val="24"/>
          <w:szCs w:val="24"/>
          <w:highlight w:val="none"/>
          <w:vertAlign w:val="baseline"/>
          <w:lang w:val="en-US" w:eastAsia="zh-CN" w:bidi="ar"/>
        </w:rPr>
        <w:t>等重要条款方面的偏离情况。</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3、“商务条款偏离表”是评审的重要依据，无论所提供的货物及服务与招标文件的要求是否有偏离，供应商均须详细填报“商务条款偏离表”。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aps w:val="0"/>
          <w:color w:val="auto"/>
          <w:kern w:val="2"/>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 xml:space="preserve">4、表内如果填列不全，可另外附页说明并按规定签字和加盖公章。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7" w:beforeAutospacing="0" w:after="0" w:afterAutospacing="0" w:line="311" w:lineRule="exact"/>
        <w:ind w:left="477" w:right="0" w:firstLine="0"/>
        <w:jc w:val="left"/>
        <w:textAlignment w:val="baseline"/>
        <w:outlineLvl w:val="0"/>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2"/>
          <w:sz w:val="24"/>
          <w:szCs w:val="24"/>
          <w:highlight w:val="none"/>
          <w:vertAlign w:val="baseline"/>
          <w:lang w:val="en-US" w:eastAsia="zh-CN" w:bidi="ar"/>
        </w:rPr>
        <w:t>5、此表可根据需要自行拉长加宽。</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57" w:beforeAutospacing="0" w:after="0" w:afterAutospacing="0" w:line="311" w:lineRule="exact"/>
        <w:ind w:left="477" w:right="0" w:firstLine="0"/>
        <w:jc w:val="left"/>
        <w:textAlignment w:val="baseline"/>
        <w:outlineLvl w:val="0"/>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1"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71"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48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2"/>
          <w:kern w:val="0"/>
          <w:sz w:val="24"/>
          <w:szCs w:val="24"/>
          <w:highlight w:val="none"/>
          <w:vertAlign w:val="baseline"/>
          <w:lang w:val="en-US" w:eastAsia="zh-CN" w:bidi="ar"/>
        </w:rPr>
        <w:t>投</w:t>
      </w:r>
      <w:r>
        <w:rPr>
          <w:rFonts w:hint="eastAsia" w:ascii="宋体" w:hAnsi="宋体" w:eastAsia="宋体" w:cs="宋体"/>
          <w:b w:val="0"/>
          <w:bCs w:val="0"/>
          <w:caps w:val="0"/>
          <w:color w:val="auto"/>
          <w:spacing w:val="7"/>
          <w:kern w:val="0"/>
          <w:sz w:val="24"/>
          <w:szCs w:val="24"/>
          <w:highlight w:val="none"/>
          <w:vertAlign w:val="baseline"/>
          <w:lang w:val="en-US" w:eastAsia="zh-CN" w:bidi="ar"/>
        </w:rPr>
        <w:t>标</w:t>
      </w:r>
      <w:r>
        <w:rPr>
          <w:rFonts w:hint="eastAsia" w:ascii="宋体" w:hAnsi="宋体" w:eastAsia="宋体" w:cs="宋体"/>
          <w:b w:val="0"/>
          <w:bCs w:val="0"/>
          <w:caps w:val="0"/>
          <w:color w:val="auto"/>
          <w:spacing w:val="6"/>
          <w:kern w:val="0"/>
          <w:sz w:val="24"/>
          <w:szCs w:val="24"/>
          <w:highlight w:val="none"/>
          <w:vertAlign w:val="baseline"/>
          <w:lang w:val="en-US" w:eastAsia="zh-CN" w:bidi="ar"/>
        </w:rPr>
        <w:t>人全称 (公章)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5" w:beforeAutospacing="0" w:after="0" w:afterAutospacing="0" w:line="466" w:lineRule="exact"/>
        <w:ind w:left="48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position w:val="17"/>
          <w:sz w:val="24"/>
          <w:szCs w:val="24"/>
          <w:highlight w:val="none"/>
          <w:vertAlign w:val="baseline"/>
          <w:lang w:val="en-US" w:eastAsia="zh-CN" w:bidi="ar"/>
        </w:rPr>
        <w:t>单</w:t>
      </w:r>
      <w:r>
        <w:rPr>
          <w:rFonts w:hint="eastAsia" w:ascii="宋体" w:hAnsi="宋体" w:eastAsia="宋体" w:cs="宋体"/>
          <w:b w:val="0"/>
          <w:bCs w:val="0"/>
          <w:caps w:val="0"/>
          <w:color w:val="auto"/>
          <w:spacing w:val="13"/>
          <w:kern w:val="0"/>
          <w:position w:val="17"/>
          <w:sz w:val="24"/>
          <w:szCs w:val="24"/>
          <w:highlight w:val="none"/>
          <w:vertAlign w:val="baseline"/>
          <w:lang w:val="en-US" w:eastAsia="zh-CN" w:bidi="ar"/>
        </w:rPr>
        <w:t>位</w:t>
      </w:r>
      <w:r>
        <w:rPr>
          <w:rFonts w:hint="eastAsia" w:ascii="宋体" w:hAnsi="宋体" w:eastAsia="宋体" w:cs="宋体"/>
          <w:b w:val="0"/>
          <w:bCs w:val="0"/>
          <w:caps w:val="0"/>
          <w:color w:val="auto"/>
          <w:spacing w:val="7"/>
          <w:kern w:val="0"/>
          <w:position w:val="17"/>
          <w:sz w:val="24"/>
          <w:szCs w:val="24"/>
          <w:highlight w:val="none"/>
          <w:vertAlign w:val="baseline"/>
          <w:lang w:val="en-US" w:eastAsia="zh-CN" w:bidi="ar"/>
        </w:rPr>
        <w:t>负责人或授权代理人 (签字或盖章)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489"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时</w:t>
      </w:r>
      <w:r>
        <w:rPr>
          <w:rFonts w:hint="eastAsia" w:ascii="宋体" w:hAnsi="宋体" w:eastAsia="宋体" w:cs="宋体"/>
          <w:b w:val="0"/>
          <w:bCs w:val="0"/>
          <w:caps w:val="0"/>
          <w:color w:val="auto"/>
          <w:spacing w:val="6"/>
          <w:kern w:val="0"/>
          <w:sz w:val="24"/>
          <w:szCs w:val="24"/>
          <w:highlight w:val="none"/>
          <w:vertAlign w:val="baseline"/>
          <w:lang w:val="en-US" w:eastAsia="zh-CN" w:bidi="ar"/>
        </w:rPr>
        <w:t>间：年月日</w:t>
      </w:r>
    </w:p>
    <w:p>
      <w:pPr>
        <w:rPr>
          <w:highlight w:val="no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b w:val="0"/>
          <w:bCs w:val="0"/>
          <w:caps w:val="0"/>
          <w:color w:val="auto"/>
          <w:kern w:val="2"/>
          <w:sz w:val="44"/>
          <w:szCs w:val="44"/>
          <w:highlight w:val="none"/>
          <w:vertAlign w:val="baseline"/>
          <w:lang w:val="en-US" w:eastAsia="zh-CN" w:bidi="ar"/>
        </w:rPr>
      </w:pPr>
      <w:r>
        <w:rPr>
          <w:rFonts w:hint="eastAsia" w:ascii="宋体" w:hAnsi="宋体" w:eastAsia="宋体" w:cs="宋体"/>
          <w:b w:val="0"/>
          <w:bCs w:val="0"/>
          <w:caps w:val="0"/>
          <w:color w:val="auto"/>
          <w:kern w:val="2"/>
          <w:sz w:val="44"/>
          <w:szCs w:val="44"/>
          <w:highlight w:val="none"/>
          <w:vertAlign w:val="baseline"/>
          <w:lang w:val="en-US" w:eastAsia="zh-CN" w:bidi="ar"/>
        </w:rPr>
        <w:t xml:space="preserve">  五、资格审查资料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（一）供应商情况表</w:t>
      </w:r>
    </w:p>
    <w:tbl>
      <w:tblPr>
        <w:tblStyle w:val="24"/>
        <w:tblW w:w="847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781"/>
        <w:gridCol w:w="1075"/>
        <w:gridCol w:w="1998"/>
        <w:gridCol w:w="262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法定代表人</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成立日期</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企业地址</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注册资本</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经营范围</w:t>
            </w:r>
          </w:p>
        </w:tc>
        <w:tc>
          <w:tcPr>
            <w:tcW w:w="56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76"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职工人数</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其中：中高级</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以上职称的人数</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资产总计</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万元</w:t>
            </w: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净资产</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股东权益</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万元</w:t>
            </w: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收入</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right="0" w:firstLine="1680" w:firstLineChars="60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376"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实现利润（近三年）</w:t>
            </w:r>
          </w:p>
        </w:tc>
        <w:tc>
          <w:tcPr>
            <w:tcW w:w="56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2020年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2021年     万元     </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2022年     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45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营业面积</w:t>
            </w:r>
          </w:p>
        </w:tc>
        <w:tc>
          <w:tcPr>
            <w:tcW w:w="10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平方米</w:t>
            </w:r>
          </w:p>
        </w:tc>
        <w:tc>
          <w:tcPr>
            <w:tcW w:w="19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其中：</w:t>
            </w:r>
          </w:p>
        </w:tc>
        <w:tc>
          <w:tcPr>
            <w:tcW w:w="26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自有面积   平方米</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承租面积   平方米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1376"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单位简历及内设机构及生产设备情况</w:t>
            </w:r>
          </w:p>
        </w:tc>
        <w:tc>
          <w:tcPr>
            <w:tcW w:w="56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（代理经销商不需填写生产设备情况）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53" w:hRule="atLeast"/>
          <w:jc w:val="center"/>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其他需要说明的情况</w:t>
            </w:r>
          </w:p>
        </w:tc>
        <w:tc>
          <w:tcPr>
            <w:tcW w:w="5696"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default" w:ascii="宋体" w:hAnsi="宋体" w:eastAsia="宋体" w:cs="宋体"/>
          <w:caps w:val="0"/>
          <w:color w:val="auto"/>
          <w:kern w:val="2"/>
          <w:sz w:val="28"/>
          <w:szCs w:val="28"/>
          <w:highlight w:val="none"/>
          <w:vertAlign w:val="baseline"/>
          <w:lang w:val="en-US"/>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 后附营业执照、开户许可证或基本存款账户信息等相关企业资料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br w:type="page"/>
      </w:r>
    </w:p>
    <w:p>
      <w:pPr>
        <w:spacing w:line="360" w:lineRule="auto"/>
        <w:jc w:val="both"/>
        <w:outlineLvl w:val="2"/>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（二）</w:t>
      </w:r>
      <w:r>
        <w:rPr>
          <w:rFonts w:hint="eastAsia" w:ascii="宋体" w:hAnsi="宋体" w:eastAsia="宋体" w:cs="宋体"/>
          <w:b w:val="0"/>
          <w:bCs w:val="0"/>
          <w:caps w:val="0"/>
          <w:color w:val="auto"/>
          <w:kern w:val="2"/>
          <w:sz w:val="28"/>
          <w:szCs w:val="28"/>
          <w:highlight w:val="none"/>
          <w:vertAlign w:val="baseline"/>
          <w:lang w:val="zh-CN" w:eastAsia="zh-CN" w:bidi="ar"/>
        </w:rPr>
        <w:t>资格条件承诺函</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致：</w:t>
      </w:r>
      <w:r>
        <w:rPr>
          <w:rFonts w:hint="eastAsia" w:ascii="宋体" w:hAnsi="宋体" w:eastAsia="宋体" w:cs="宋体"/>
          <w:color w:val="000000"/>
          <w:kern w:val="0"/>
          <w:sz w:val="28"/>
          <w:szCs w:val="28"/>
          <w:u w:val="single"/>
          <w:lang w:val="en-US" w:eastAsia="zh-CN" w:bidi="ar"/>
        </w:rPr>
        <w:t xml:space="preserve">     (采购人、采购代理机构)  </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line="360" w:lineRule="auto"/>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我单位(公司)参与</w:t>
      </w:r>
      <w:r>
        <w:rPr>
          <w:rFonts w:hint="eastAsia" w:ascii="宋体" w:hAnsi="宋体" w:eastAsia="宋体" w:cs="宋体"/>
          <w:color w:val="000000"/>
          <w:kern w:val="0"/>
          <w:sz w:val="28"/>
          <w:szCs w:val="28"/>
          <w:u w:val="single"/>
          <w:lang w:val="en-US" w:eastAsia="zh-CN" w:bidi="ar"/>
        </w:rPr>
        <w:t xml:space="preserve">       (采购项目名称  项目编号)</w:t>
      </w:r>
      <w:r>
        <w:rPr>
          <w:rFonts w:hint="eastAsia" w:ascii="宋体" w:hAnsi="宋体" w:eastAsia="宋体" w:cs="宋体"/>
          <w:color w:val="000000"/>
          <w:kern w:val="0"/>
          <w:sz w:val="28"/>
          <w:szCs w:val="28"/>
          <w:lang w:val="en-US" w:eastAsia="zh-CN" w:bidi="ar"/>
        </w:rPr>
        <w:t>采购项目的政府采购活动，现承诺如下：</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1.具有良好的商业信誉和健全的财务会计制度；</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 xml:space="preserve">2.具有依法缴纳税收的良好记录； </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 xml:space="preserve">3.具有依法缴纳社会保障金的良好记录。 </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我方在采购项目评审(评标)环节结束后，随时接受采购人、采购代理机构的检查验证，配合提供相关证明材料，证明符合《中华人民共和国政府采购法》规定的供应商基本资格条件。</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我单位(公司)对上述承诺的真实性负责。如有虚假，将依法承担相应责任。</w:t>
      </w:r>
    </w:p>
    <w:p>
      <w:pPr>
        <w:keepNext w:val="0"/>
        <w:keepLines w:val="0"/>
        <w:widowControl/>
        <w:suppressLineNumbers w:val="0"/>
        <w:spacing w:line="360" w:lineRule="auto"/>
        <w:ind w:firstLine="560" w:firstLineChars="200"/>
        <w:jc w:val="left"/>
        <w:rPr>
          <w:sz w:val="28"/>
          <w:szCs w:val="28"/>
        </w:rPr>
      </w:pPr>
      <w:r>
        <w:rPr>
          <w:rFonts w:hint="eastAsia" w:ascii="宋体" w:hAnsi="宋体" w:eastAsia="宋体" w:cs="宋体"/>
          <w:color w:val="000000"/>
          <w:kern w:val="0"/>
          <w:sz w:val="28"/>
          <w:szCs w:val="28"/>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line="360" w:lineRule="auto"/>
        <w:ind w:firstLine="4760" w:firstLineChars="17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投标单位：                                     </w:t>
      </w:r>
    </w:p>
    <w:p>
      <w:pPr>
        <w:keepNext w:val="0"/>
        <w:keepLines w:val="0"/>
        <w:widowControl/>
        <w:suppressLineNumbers w:val="0"/>
        <w:spacing w:line="360" w:lineRule="auto"/>
        <w:ind w:firstLine="2800" w:firstLineChars="1000"/>
        <w:jc w:val="left"/>
        <w:rPr>
          <w:sz w:val="28"/>
          <w:szCs w:val="28"/>
        </w:rPr>
      </w:pPr>
      <w:r>
        <w:rPr>
          <w:rFonts w:hint="eastAsia" w:ascii="宋体" w:hAnsi="宋体" w:eastAsia="宋体" w:cs="宋体"/>
          <w:color w:val="000000"/>
          <w:kern w:val="0"/>
          <w:sz w:val="28"/>
          <w:szCs w:val="28"/>
          <w:lang w:val="en-US" w:eastAsia="zh-CN" w:bidi="ar"/>
        </w:rPr>
        <w:t xml:space="preserve">法人代表（签字或盖章）： </w:t>
      </w:r>
    </w:p>
    <w:p>
      <w:pPr>
        <w:keepNext w:val="0"/>
        <w:keepLines w:val="0"/>
        <w:widowControl/>
        <w:suppressLineNumbers w:val="0"/>
        <w:spacing w:line="360" w:lineRule="auto"/>
        <w:ind w:firstLine="4760" w:firstLineChars="1700"/>
        <w:jc w:val="left"/>
        <w:rPr>
          <w:rFonts w:hint="eastAsia" w:ascii="宋体" w:hAnsi="宋体" w:eastAsia="宋体" w:cs="宋体"/>
          <w:color w:val="000000"/>
          <w:kern w:val="0"/>
          <w:sz w:val="40"/>
          <w:szCs w:val="40"/>
          <w:lang w:val="en-US" w:eastAsia="zh-CN" w:bidi="ar"/>
        </w:rPr>
      </w:pPr>
      <w:r>
        <w:rPr>
          <w:rFonts w:hint="eastAsia" w:ascii="宋体" w:hAnsi="宋体" w:eastAsia="宋体" w:cs="宋体"/>
          <w:color w:val="000000"/>
          <w:kern w:val="0"/>
          <w:sz w:val="28"/>
          <w:szCs w:val="28"/>
          <w:lang w:val="en-US" w:eastAsia="zh-CN" w:bidi="ar"/>
        </w:rPr>
        <w:t>日期：</w:t>
      </w:r>
    </w:p>
    <w:p>
      <w:pPr>
        <w:keepNext w:val="0"/>
        <w:keepLines w:val="0"/>
        <w:widowControl/>
        <w:suppressLineNumbers w:val="0"/>
        <w:spacing w:line="360" w:lineRule="auto"/>
        <w:jc w:val="left"/>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（三）供应商有关资格条件声明函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1960" w:firstLineChars="70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我方参加贵方组织的        （项目名称、项目编号）的征集活动，现就有关资格条件声明如下：</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我方具备《中华人民共和国政府采购法》第二十二条所规定的条件，并已清楚征集文件的要求及有关文件规定。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（一）具有履行合同所必需的设备和专业技术能力；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（二）符合“为采购项目提供整体设计、规范编制或者项目管理、监理、检测等服务的供应商，不得再参加该采购项目的其他采购活动”的规定；</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三）符合法律、行政法规规定的其他条件，包括但不限于：征集文件未要求提供但生产、销售这些产品，提供这些服务必须取得有关主管部门的行政许可，任何情况下，我方将无条件按照贵方和征集人的要求提供上述证明材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我方对上述声明的真实性负责。如有虚假，将依法承担相应责任。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供 应 商 名 称（签章）：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color w:val="000000"/>
          <w:kern w:val="0"/>
          <w:sz w:val="28"/>
          <w:szCs w:val="28"/>
          <w:lang w:val="en-US" w:eastAsia="zh-CN" w:bidi="ar"/>
        </w:rPr>
        <w:t>法人代表（签字或盖章）</w:t>
      </w:r>
      <w:r>
        <w:rPr>
          <w:rFonts w:hint="eastAsia" w:ascii="宋体" w:hAnsi="宋体" w:eastAsia="宋体" w:cs="宋体"/>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t>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（四）信誉承诺书（格式）</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1、无不良信用记录承诺函</w:t>
      </w:r>
    </w:p>
    <w:p>
      <w:pPr>
        <w:pStyle w:val="15"/>
        <w:spacing w:line="360" w:lineRule="auto"/>
        <w:rPr>
          <w:rFonts w:hint="eastAsia" w:ascii="Times New Roman" w:hAnsi="Times New Roman" w:cs="Times New Roman"/>
          <w:sz w:val="24"/>
          <w:szCs w:val="24"/>
        </w:rPr>
      </w:pPr>
    </w:p>
    <w:p>
      <w:pPr>
        <w:pStyle w:val="15"/>
        <w:spacing w:line="360" w:lineRule="auto"/>
        <w:rPr>
          <w:rFonts w:ascii="Times New Roman" w:hAnsi="Times New Roman" w:eastAsia="MingLiU_HKSCS" w:cs="Times New Roman"/>
          <w:sz w:val="24"/>
          <w:szCs w:val="24"/>
        </w:rPr>
      </w:pPr>
      <w:r>
        <w:rPr>
          <w:rFonts w:hint="eastAsia" w:ascii="Times New Roman" w:hAnsi="Times New Roman" w:cs="Times New Roman"/>
          <w:sz w:val="24"/>
          <w:szCs w:val="24"/>
        </w:rPr>
        <w:t>致</w:t>
      </w:r>
      <w:r>
        <w:rPr>
          <w:rFonts w:ascii="Times New Roman" w:hAnsi="Times New Roman" w:cs="Times New Roman"/>
          <w:sz w:val="24"/>
          <w:szCs w:val="24"/>
        </w:rPr>
        <w:t>____________(</w:t>
      </w:r>
      <w:r>
        <w:rPr>
          <w:rFonts w:hint="eastAsia" w:ascii="Times New Roman" w:hAnsi="Times New Roman" w:cs="Times New Roman"/>
          <w:sz w:val="24"/>
          <w:szCs w:val="24"/>
        </w:rPr>
        <w:t>采购人或采购代理机构</w:t>
      </w:r>
      <w:r>
        <w:rPr>
          <w:rFonts w:ascii="Times New Roman" w:hAnsi="Times New Roman" w:cs="Times New Roman"/>
          <w:sz w:val="24"/>
          <w:szCs w:val="24"/>
        </w:rPr>
        <w:t>)</w:t>
      </w:r>
      <w:r>
        <w:rPr>
          <w:rFonts w:hint="eastAsia" w:ascii="Times New Roman" w:hAnsi="Times New Roman" w:cs="Times New Roman"/>
          <w:sz w:val="24"/>
          <w:szCs w:val="24"/>
        </w:rPr>
        <w:t>：</w:t>
      </w:r>
    </w:p>
    <w:p>
      <w:pPr>
        <w:pStyle w:val="15"/>
        <w:spacing w:line="360" w:lineRule="auto"/>
        <w:ind w:firstLine="480" w:firstLineChars="200"/>
        <w:rPr>
          <w:rFonts w:ascii="Times New Roman" w:hAnsi="Times New Roman" w:eastAsia="MingLiU_HKSCS" w:cs="Times New Roman"/>
          <w:sz w:val="24"/>
          <w:szCs w:val="24"/>
        </w:rPr>
      </w:pPr>
      <w:r>
        <w:rPr>
          <w:rFonts w:hint="eastAsia" w:ascii="Times New Roman" w:hAnsi="Times New Roman" w:cs="Times New Roman"/>
          <w:sz w:val="24"/>
          <w:szCs w:val="24"/>
        </w:rPr>
        <w:t>本单位郑重承诺</w:t>
      </w:r>
      <w:r>
        <w:rPr>
          <w:rFonts w:hint="eastAsia" w:ascii="Times New Roman" w:hAnsi="Times New Roman" w:eastAsia="MingLiU_HKSCS" w:cs="Times New Roman"/>
          <w:sz w:val="24"/>
          <w:szCs w:val="24"/>
        </w:rPr>
        <w:t>，</w:t>
      </w:r>
      <w:r>
        <w:rPr>
          <w:rFonts w:hint="eastAsia" w:ascii="Times New Roman" w:hAnsi="Times New Roman" w:cs="Times New Roman"/>
          <w:sz w:val="24"/>
          <w:szCs w:val="24"/>
        </w:rPr>
        <w:t>我单位无以下不良信用记录情形：</w:t>
      </w:r>
    </w:p>
    <w:p>
      <w:pPr>
        <w:pStyle w:val="15"/>
        <w:spacing w:line="360" w:lineRule="auto"/>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被人民法院列入失信被执行人；</w:t>
      </w:r>
    </w:p>
    <w:p>
      <w:pPr>
        <w:pStyle w:val="15"/>
        <w:spacing w:line="360" w:lineRule="auto"/>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被税务部门列入重大税收违法案件当事人名单；</w:t>
      </w:r>
    </w:p>
    <w:p>
      <w:pPr>
        <w:pStyle w:val="15"/>
        <w:spacing w:line="360" w:lineRule="auto"/>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被政府采购监管部门列入政府采购严重违法失信行为记录名单；</w:t>
      </w:r>
    </w:p>
    <w:p>
      <w:pPr>
        <w:pStyle w:val="15"/>
        <w:spacing w:line="360" w:lineRule="auto"/>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不符合《政府采购法》第二十二条规定的条件。</w:t>
      </w:r>
    </w:p>
    <w:p>
      <w:pPr>
        <w:pStyle w:val="15"/>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我单位已就上述不良信用行为按照招标文件中投标人须知前附表规定进行了查询。我单位承诺：合同签订前</w:t>
      </w:r>
      <w:r>
        <w:rPr>
          <w:rFonts w:hint="eastAsia" w:ascii="Times New Roman" w:hAnsi="Times New Roman" w:eastAsia="MingLiU_HKSCS" w:cs="Times New Roman"/>
          <w:sz w:val="24"/>
          <w:szCs w:val="24"/>
        </w:rPr>
        <w:t>，</w:t>
      </w:r>
      <w:r>
        <w:rPr>
          <w:rFonts w:hint="eastAsia" w:ascii="Times New Roman" w:hAnsi="Times New Roman" w:cs="Times New Roman"/>
          <w:sz w:val="24"/>
          <w:szCs w:val="24"/>
        </w:rPr>
        <w:t>若我单位具有不良信用记录情形</w:t>
      </w:r>
      <w:r>
        <w:rPr>
          <w:rFonts w:hint="eastAsia" w:ascii="Times New Roman" w:hAnsi="Times New Roman" w:eastAsia="MingLiU_HKSCS" w:cs="Times New Roman"/>
          <w:sz w:val="24"/>
          <w:szCs w:val="24"/>
        </w:rPr>
        <w:t>，</w:t>
      </w:r>
      <w:r>
        <w:rPr>
          <w:rFonts w:hint="eastAsia" w:ascii="Times New Roman" w:hAnsi="Times New Roman" w:cs="Times New Roman"/>
          <w:sz w:val="24"/>
          <w:szCs w:val="24"/>
        </w:rPr>
        <w:t>贵方可取消我单位中标资格或者不授予合同，所有责任由我单位自行承担。同时，我单位愿意无条件接受监管部门的调查处理。</w:t>
      </w:r>
    </w:p>
    <w:p>
      <w:pPr>
        <w:pStyle w:val="15"/>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lang w:val="en-US" w:eastAsia="zh-CN"/>
        </w:rPr>
        <w:t>为表我司对本项目的诚意，我司承诺如我单位中标，我单位将配合采购人要求提供投标文件中提及的所有资料（如：业绩等）及资格审查文件中要求的资料（如营业执照等）等原件供采购人核实审查，我公司无企业不良行为记录，不是政府取消投标资格记录期间的企业。能够自觉遵守国家法律法规、执业准则和职业道德，近三年内没有因违法违规受过行政主管部门和行业协会的行政处罚。不是被列入失信被执行人，重大税收违法案件当事人名单、政府采购严重违法失信行为记录名单的供应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2、有关响应采购/服务需求承诺书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我司承诺我单位编制的投标文件严格响应采购/服务需求中的参数、功能等要求，如经采购人或评标专家发现投标文件没有完全响应招标文件及采购需求要求的，评委可对我单位的投标文件作废标处理。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投标单位：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法人代表或授权委托人（签字或盖章）：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                         日期：    年    月    日</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br w:type="page"/>
      </w:r>
      <w:r>
        <w:rPr>
          <w:rFonts w:hint="eastAsia" w:ascii="宋体" w:hAnsi="宋体" w:eastAsia="宋体" w:cs="宋体"/>
          <w:b w:val="0"/>
          <w:bCs w:val="0"/>
          <w:caps w:val="0"/>
          <w:color w:val="auto"/>
          <w:kern w:val="2"/>
          <w:sz w:val="28"/>
          <w:szCs w:val="28"/>
          <w:highlight w:val="none"/>
          <w:vertAlign w:val="baseline"/>
          <w:lang w:val="en-US" w:eastAsia="zh-CN" w:bidi="ar"/>
        </w:rPr>
        <w:t>3、参加政府采购活动前三年内在经营活动中没有重大违法记录的书面声明</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pStyle w:val="15"/>
        <w:rPr>
          <w:rFonts w:ascii="Times New Roman" w:hAnsi="Times New Roman" w:eastAsia="MingLiU_HKSCS" w:cs="Times New Roman"/>
          <w:sz w:val="28"/>
          <w:szCs w:val="28"/>
        </w:rPr>
      </w:pPr>
      <w:r>
        <w:rPr>
          <w:rFonts w:hint="eastAsia" w:ascii="Times New Roman" w:hAnsi="Times New Roman" w:cs="Times New Roman"/>
          <w:sz w:val="28"/>
          <w:szCs w:val="28"/>
        </w:rPr>
        <w:t>本单位郑重声明：</w:t>
      </w: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我单位在参加采购活动前三年内在经营活动中没有《政府采购法》第二十二条第一款第</w:t>
      </w:r>
      <w:r>
        <w:rPr>
          <w:rFonts w:ascii="Times New Roman" w:hAnsi="Times New Roman" w:cs="Times New Roman"/>
          <w:sz w:val="28"/>
          <w:szCs w:val="28"/>
        </w:rPr>
        <w:t>(</w:t>
      </w:r>
      <w:r>
        <w:rPr>
          <w:rFonts w:hint="eastAsia" w:ascii="Times New Roman" w:hAnsi="Times New Roman" w:cs="Times New Roman"/>
          <w:sz w:val="28"/>
          <w:szCs w:val="28"/>
        </w:rPr>
        <w:t>五</w:t>
      </w:r>
      <w:r>
        <w:rPr>
          <w:rFonts w:ascii="Times New Roman" w:hAnsi="Times New Roman" w:cs="Times New Roman"/>
          <w:sz w:val="28"/>
          <w:szCs w:val="28"/>
        </w:rPr>
        <w:t>)</w:t>
      </w:r>
      <w:r>
        <w:rPr>
          <w:rFonts w:hint="eastAsia" w:ascii="Times New Roman" w:hAnsi="Times New Roman" w:cs="Times New Roman"/>
          <w:sz w:val="28"/>
          <w:szCs w:val="28"/>
        </w:rPr>
        <w:t>项所称重大违法记录</w:t>
      </w:r>
      <w:r>
        <w:rPr>
          <w:rFonts w:hint="eastAsia" w:ascii="Times New Roman" w:hAnsi="Times New Roman" w:eastAsia="MingLiU_HKSCS" w:cs="Times New Roman"/>
          <w:sz w:val="28"/>
          <w:szCs w:val="28"/>
        </w:rPr>
        <w:t>，</w:t>
      </w:r>
      <w:r>
        <w:rPr>
          <w:rFonts w:hint="eastAsia" w:ascii="Times New Roman" w:hAnsi="Times New Roman" w:cs="Times New Roman"/>
          <w:sz w:val="28"/>
          <w:szCs w:val="28"/>
        </w:rPr>
        <w:t>包括：</w:t>
      </w: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我单位或者其法定代表人、董事、监事、高级管理人员未因经营活动中的违法行为受到刑事处罚或者责令停产停业、吊销许可证或者执照、较大数额罚款等行政处罚。</w:t>
      </w: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特此声明！</w:t>
      </w:r>
    </w:p>
    <w:p>
      <w:pPr>
        <w:pStyle w:val="15"/>
        <w:ind w:firstLine="560" w:firstLineChars="200"/>
        <w:rPr>
          <w:rFonts w:ascii="Times New Roman" w:hAnsi="Times New Roman" w:eastAsia="MingLiU_HKSCS" w:cs="Times New Roman"/>
          <w:sz w:val="28"/>
          <w:szCs w:val="28"/>
        </w:rPr>
      </w:pP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投标人名称</w:t>
      </w:r>
      <w:r>
        <w:rPr>
          <w:rFonts w:ascii="Times New Roman" w:hAnsi="Times New Roman" w:cs="Times New Roman"/>
          <w:sz w:val="28"/>
          <w:szCs w:val="28"/>
        </w:rPr>
        <w:t>(</w:t>
      </w:r>
      <w:r>
        <w:rPr>
          <w:rFonts w:hint="eastAsia" w:ascii="Times New Roman" w:hAnsi="Times New Roman" w:cs="Times New Roman"/>
          <w:sz w:val="28"/>
          <w:szCs w:val="28"/>
        </w:rPr>
        <w:t>公章</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____________</w:t>
      </w: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法定代表人或其授权代表</w:t>
      </w:r>
      <w:r>
        <w:rPr>
          <w:rFonts w:ascii="Times New Roman" w:hAnsi="Times New Roman" w:cs="Times New Roman"/>
          <w:sz w:val="28"/>
          <w:szCs w:val="28"/>
        </w:rPr>
        <w:t>(</w:t>
      </w:r>
      <w:r>
        <w:rPr>
          <w:rFonts w:hint="eastAsia" w:ascii="Times New Roman" w:hAnsi="Times New Roman" w:cs="Times New Roman"/>
          <w:sz w:val="28"/>
          <w:szCs w:val="28"/>
        </w:rPr>
        <w:t>签字或盖章</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____________</w:t>
      </w:r>
    </w:p>
    <w:p>
      <w:pPr>
        <w:pStyle w:val="15"/>
        <w:ind w:firstLine="560" w:firstLineChars="200"/>
        <w:rPr>
          <w:rFonts w:ascii="Times New Roman" w:hAnsi="Times New Roman" w:eastAsia="MingLiU_HKSCS" w:cs="Times New Roman"/>
          <w:sz w:val="28"/>
          <w:szCs w:val="28"/>
        </w:rPr>
      </w:pPr>
      <w:r>
        <w:rPr>
          <w:rFonts w:hint="eastAsia" w:ascii="Times New Roman" w:hAnsi="Times New Roman" w:cs="Times New Roman"/>
          <w:sz w:val="28"/>
          <w:szCs w:val="28"/>
        </w:rPr>
        <w:t>日期：</w:t>
      </w:r>
      <w:r>
        <w:rPr>
          <w:rFonts w:ascii="Times New Roman" w:hAnsi="Times New Roman" w:cs="Times New Roman"/>
          <w:sz w:val="28"/>
          <w:szCs w:val="28"/>
        </w:rPr>
        <w:t>______</w:t>
      </w:r>
      <w:r>
        <w:rPr>
          <w:rFonts w:hint="eastAsia" w:ascii="Times New Roman" w:hAnsi="Times New Roman" w:cs="Times New Roman"/>
          <w:sz w:val="28"/>
          <w:szCs w:val="28"/>
        </w:rPr>
        <w:t>年</w:t>
      </w:r>
      <w:r>
        <w:rPr>
          <w:rFonts w:ascii="Times New Roman" w:hAnsi="Times New Roman" w:cs="Times New Roman"/>
          <w:sz w:val="28"/>
          <w:szCs w:val="28"/>
        </w:rPr>
        <w:t>____</w:t>
      </w:r>
      <w:r>
        <w:rPr>
          <w:rFonts w:hint="eastAsia" w:ascii="Times New Roman" w:hAnsi="Times New Roman" w:cs="Times New Roman"/>
          <w:sz w:val="28"/>
          <w:szCs w:val="28"/>
        </w:rPr>
        <w:t>月</w:t>
      </w:r>
      <w:r>
        <w:rPr>
          <w:rFonts w:ascii="Times New Roman" w:hAnsi="Times New Roman" w:cs="Times New Roman"/>
          <w:sz w:val="28"/>
          <w:szCs w:val="28"/>
        </w:rPr>
        <w:t>____</w:t>
      </w:r>
      <w:r>
        <w:rPr>
          <w:rFonts w:hint="eastAsia" w:ascii="Times New Roman" w:hAnsi="Times New Roman" w:cs="Times New Roman"/>
          <w:sz w:val="28"/>
          <w:szCs w:val="28"/>
        </w:rPr>
        <w:t>日</w:t>
      </w:r>
    </w:p>
    <w:p>
      <w:pPr>
        <w:pStyle w:val="15"/>
        <w:rPr>
          <w:rFonts w:hint="eastAsia" w:ascii="Times New Roman" w:hAnsi="Times New Roman" w:cs="Times New Roman"/>
          <w:sz w:val="28"/>
          <w:szCs w:val="28"/>
        </w:rPr>
      </w:pPr>
    </w:p>
    <w:p>
      <w:pPr>
        <w:pStyle w:val="15"/>
        <w:rPr>
          <w:rFonts w:hint="eastAsia" w:ascii="Times New Roman" w:hAnsi="Times New Roman" w:cs="Times New Roman"/>
          <w:sz w:val="28"/>
          <w:szCs w:val="28"/>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（五）类似项目经验（如有）</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 xml:space="preserve">供应商名称：                           </w:t>
      </w:r>
    </w:p>
    <w:tbl>
      <w:tblPr>
        <w:tblStyle w:val="24"/>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92"/>
        <w:gridCol w:w="700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59"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序号</w:t>
            </w: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项目名称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59"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59"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PrEx>
        <w:trPr>
          <w:trHeight w:val="659"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59"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PrEx>
        <w:trPr>
          <w:trHeight w:val="668"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c>
          <w:tcPr>
            <w:tcW w:w="70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注：后附相关的业绩证明资料。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b w:val="0"/>
          <w:bCs w:val="0"/>
          <w:caps w:val="0"/>
          <w:color w:val="auto"/>
          <w:kern w:val="2"/>
          <w:sz w:val="28"/>
          <w:szCs w:val="28"/>
          <w:highlight w:val="none"/>
          <w:vertAlign w:val="baseline"/>
          <w:lang w:val="en-US" w:eastAsia="zh-CN" w:bidi="ar"/>
        </w:rPr>
      </w:pPr>
      <w:r>
        <w:rPr>
          <w:rFonts w:hint="eastAsia" w:ascii="宋体" w:hAnsi="宋体" w:eastAsia="宋体" w:cs="宋体"/>
          <w:b w:val="0"/>
          <w:bCs w:val="0"/>
          <w:caps w:val="0"/>
          <w:color w:val="auto"/>
          <w:kern w:val="2"/>
          <w:sz w:val="28"/>
          <w:szCs w:val="28"/>
          <w:highlight w:val="none"/>
          <w:vertAlign w:val="baseline"/>
          <w:lang w:val="en-US" w:eastAsia="zh-CN" w:bidi="ar"/>
        </w:rPr>
        <w:br w:type="page"/>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（六）供应商资格证明文件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供应商应提供以下资格证明文件：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营业执照副本；（加盖单位公章）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t>招标文件要求的其它材料。</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宋体" w:hAnsi="宋体" w:eastAsia="宋体" w:cs="宋体"/>
          <w:caps w:val="0"/>
          <w:color w:val="auto"/>
          <w:kern w:val="2"/>
          <w:sz w:val="28"/>
          <w:szCs w:val="28"/>
          <w:highlight w:val="none"/>
          <w:vertAlign w:val="baseline"/>
        </w:rPr>
      </w:pPr>
      <w:r>
        <w:rPr>
          <w:rFonts w:hint="eastAsia" w:ascii="宋体" w:hAnsi="宋体" w:eastAsia="宋体" w:cs="宋体"/>
          <w:b w:val="0"/>
          <w:bCs w:val="0"/>
          <w:caps w:val="0"/>
          <w:color w:val="auto"/>
          <w:kern w:val="2"/>
          <w:sz w:val="28"/>
          <w:szCs w:val="28"/>
          <w:highlight w:val="none"/>
          <w:vertAlign w:val="baseline"/>
          <w:lang w:val="en-US" w:eastAsia="zh-CN" w:bidi="ar"/>
        </w:rPr>
        <w:br w:type="page"/>
      </w:r>
    </w:p>
    <w:p>
      <w:pPr>
        <w:pStyle w:val="52"/>
        <w:jc w:val="both"/>
        <w:rPr>
          <w:rFonts w:hint="eastAsia" w:ascii="宋体" w:hAnsi="宋体" w:eastAsia="宋体" w:cs="宋体"/>
          <w:b/>
          <w:sz w:val="24"/>
          <w:szCs w:val="28"/>
        </w:rPr>
      </w:pPr>
      <w:r>
        <w:rPr>
          <w:rFonts w:hint="eastAsia" w:ascii="宋体" w:hAnsi="宋体" w:eastAsia="宋体" w:cs="宋体"/>
          <w:b w:val="0"/>
          <w:bCs w:val="0"/>
          <w:caps w:val="0"/>
          <w:color w:val="auto"/>
          <w:kern w:val="2"/>
          <w:sz w:val="28"/>
          <w:szCs w:val="28"/>
          <w:highlight w:val="none"/>
          <w:vertAlign w:val="baseline"/>
          <w:lang w:val="en-US" w:eastAsia="zh-CN" w:bidi="ar"/>
        </w:rPr>
        <w:t>（</w:t>
      </w:r>
      <w:r>
        <w:rPr>
          <w:rFonts w:hint="eastAsia" w:ascii="宋体" w:hAnsi="宋体" w:cs="宋体"/>
          <w:b w:val="0"/>
          <w:bCs w:val="0"/>
          <w:caps w:val="0"/>
          <w:color w:val="auto"/>
          <w:kern w:val="2"/>
          <w:sz w:val="28"/>
          <w:szCs w:val="28"/>
          <w:highlight w:val="none"/>
          <w:vertAlign w:val="baseline"/>
          <w:lang w:val="en-US" w:eastAsia="zh-CN" w:bidi="ar"/>
        </w:rPr>
        <w:t>七</w:t>
      </w:r>
      <w:r>
        <w:rPr>
          <w:rFonts w:hint="eastAsia" w:ascii="宋体" w:hAnsi="宋体" w:eastAsia="宋体" w:cs="宋体"/>
          <w:b w:val="0"/>
          <w:bCs w:val="0"/>
          <w:caps w:val="0"/>
          <w:color w:val="auto"/>
          <w:kern w:val="2"/>
          <w:sz w:val="28"/>
          <w:szCs w:val="28"/>
          <w:highlight w:val="none"/>
          <w:vertAlign w:val="baseline"/>
          <w:lang w:val="en-US" w:eastAsia="zh-CN" w:bidi="ar"/>
        </w:rPr>
        <w:t>）中小企业声明函（服务）</w:t>
      </w:r>
    </w:p>
    <w:p>
      <w:pPr>
        <w:pStyle w:val="52"/>
        <w:rPr>
          <w:rFonts w:hint="eastAsia" w:ascii="宋体" w:hAnsi="宋体" w:eastAsia="宋体" w:cs="宋体"/>
          <w:b/>
          <w:sz w:val="24"/>
          <w:szCs w:val="28"/>
        </w:rPr>
      </w:pP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 xml:space="preserve">1.（标的名称） ，属于（采购文件中明确的所属行业）行业；承建(承接)企业为（企业名称） ，从业人员   人，营业收入为    万元，资产总额为        万元，属于      （中型企业、小型企业、微型企业）；   </w:t>
      </w: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 xml:space="preserve">2.（标的名称） ，属于（采购文件中明确的所属行业）行业；承建(承接)企业为（企业名称） ，从业人员   人，营业收入为    万元，资产总额为        万元，属于      （中型企业、小型企业、微型企业）；； </w:t>
      </w: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 xml:space="preserve">本企业对上述声明内容的真实性负责。如有虚假，将依法承担相应责任。 </w:t>
      </w:r>
    </w:p>
    <w:p>
      <w:pPr>
        <w:spacing w:line="360" w:lineRule="auto"/>
        <w:ind w:firstLine="480" w:firstLineChars="200"/>
        <w:outlineLvl w:val="0"/>
        <w:rPr>
          <w:rFonts w:hint="eastAsia" w:ascii="宋体" w:hAnsi="宋体" w:eastAsia="宋体" w:cs="宋体"/>
          <w:sz w:val="24"/>
        </w:rPr>
      </w:pPr>
    </w:p>
    <w:p>
      <w:pPr>
        <w:spacing w:line="360" w:lineRule="auto"/>
        <w:ind w:firstLine="480" w:firstLineChars="200"/>
        <w:outlineLvl w:val="0"/>
        <w:rPr>
          <w:rFonts w:hint="eastAsia" w:ascii="宋体" w:hAnsi="宋体" w:eastAsia="宋体" w:cs="宋体"/>
          <w:sz w:val="24"/>
        </w:rPr>
      </w:pPr>
    </w:p>
    <w:p>
      <w:pPr>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企业名称（盖章）：</w:t>
      </w:r>
    </w:p>
    <w:p>
      <w:pPr>
        <w:spacing w:line="360" w:lineRule="auto"/>
        <w:ind w:firstLine="5760" w:firstLineChars="2400"/>
        <w:outlineLvl w:val="0"/>
        <w:rPr>
          <w:rFonts w:hint="eastAsia" w:ascii="宋体" w:hAnsi="宋体" w:eastAsia="宋体" w:cs="宋体"/>
          <w:sz w:val="24"/>
        </w:rPr>
      </w:pPr>
      <w:r>
        <w:rPr>
          <w:rFonts w:hint="eastAsia" w:ascii="宋体" w:hAnsi="宋体" w:eastAsia="宋体" w:cs="宋体"/>
          <w:sz w:val="24"/>
        </w:rPr>
        <w:t>日 期：</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kern w:val="0"/>
          <w:sz w:val="24"/>
          <w:szCs w:val="24"/>
          <w:highlight w:val="none"/>
          <w:vertAlign w:val="baseline"/>
          <w:lang w:val="en-US" w:eastAsia="zh-CN" w:bidi="ar"/>
        </w:rPr>
        <w:t>注：</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297" w:lineRule="auto"/>
        <w:ind w:left="4" w:right="167" w:firstLine="13"/>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sz w:val="24"/>
          <w:szCs w:val="24"/>
          <w:highlight w:val="none"/>
          <w:vertAlign w:val="baseline"/>
          <w:lang w:val="en-US" w:eastAsia="zh-CN" w:bidi="ar"/>
        </w:rPr>
        <w:t>1. 从</w:t>
      </w:r>
      <w:r>
        <w:rPr>
          <w:rFonts w:hint="eastAsia" w:ascii="宋体" w:hAnsi="宋体" w:eastAsia="宋体" w:cs="宋体"/>
          <w:b w:val="0"/>
          <w:bCs w:val="0"/>
          <w:caps w:val="0"/>
          <w:color w:val="auto"/>
          <w:spacing w:val="8"/>
          <w:kern w:val="0"/>
          <w:sz w:val="24"/>
          <w:szCs w:val="24"/>
          <w:highlight w:val="none"/>
          <w:vertAlign w:val="baseline"/>
          <w:lang w:val="en-US" w:eastAsia="zh-CN" w:bidi="ar"/>
        </w:rPr>
        <w:t>业</w:t>
      </w:r>
      <w:r>
        <w:rPr>
          <w:rFonts w:hint="eastAsia" w:ascii="宋体" w:hAnsi="宋体" w:eastAsia="宋体" w:cs="宋体"/>
          <w:b w:val="0"/>
          <w:bCs w:val="0"/>
          <w:caps w:val="0"/>
          <w:color w:val="auto"/>
          <w:spacing w:val="7"/>
          <w:kern w:val="0"/>
          <w:sz w:val="24"/>
          <w:szCs w:val="24"/>
          <w:highlight w:val="none"/>
          <w:vertAlign w:val="baseline"/>
          <w:lang w:val="en-US" w:eastAsia="zh-CN" w:bidi="ar"/>
        </w:rPr>
        <w:t>人员、营业收入、资产总额填报上一年度数据，无上一年度数据的新成立企业可</w:t>
      </w:r>
      <w:r>
        <w:rPr>
          <w:rFonts w:hint="eastAsia" w:ascii="宋体" w:hAnsi="宋体" w:eastAsia="宋体" w:cs="宋体"/>
          <w:b w:val="0"/>
          <w:bCs w:val="0"/>
          <w:caps w:val="0"/>
          <w:color w:val="auto"/>
          <w:spacing w:val="4"/>
          <w:kern w:val="0"/>
          <w:sz w:val="24"/>
          <w:szCs w:val="24"/>
          <w:highlight w:val="none"/>
          <w:vertAlign w:val="baseline"/>
          <w:lang w:val="en-US" w:eastAsia="zh-CN" w:bidi="ar"/>
        </w:rPr>
        <w:t>不填报。本项目所属行业：</w:t>
      </w:r>
      <w:r>
        <w:rPr>
          <w:rFonts w:hint="eastAsia" w:ascii="宋体" w:hAnsi="宋体" w:eastAsia="宋体" w:cs="宋体"/>
          <w:b w:val="0"/>
          <w:bCs w:val="0"/>
          <w:caps w:val="0"/>
          <w:color w:val="auto"/>
          <w:spacing w:val="4"/>
          <w:kern w:val="0"/>
          <w:sz w:val="24"/>
          <w:szCs w:val="24"/>
          <w:highlight w:val="none"/>
          <w:u w:val="single"/>
          <w:vertAlign w:val="baseline"/>
          <w:lang w:val="en-US" w:eastAsia="zh-CN" w:bidi="ar"/>
        </w:rPr>
        <w:t>软件和信息技术服物业</w:t>
      </w:r>
      <w:r>
        <w:rPr>
          <w:rFonts w:hint="eastAsia" w:ascii="宋体" w:hAnsi="宋体" w:eastAsia="宋体" w:cs="宋体"/>
          <w:b w:val="0"/>
          <w:bCs w:val="0"/>
          <w:caps w:val="0"/>
          <w:color w:val="auto"/>
          <w:spacing w:val="4"/>
          <w:kern w:val="0"/>
          <w:sz w:val="24"/>
          <w:szCs w:val="24"/>
          <w:highlight w:val="none"/>
          <w:vertAlign w:val="baseline"/>
          <w:lang w:val="en-US" w:eastAsia="zh-CN" w:bidi="ar"/>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8" w:beforeAutospacing="0" w:after="0" w:afterAutospacing="0" w:line="324" w:lineRule="auto"/>
        <w:ind w:left="0" w:right="0" w:firstLine="2"/>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6"/>
          <w:kern w:val="0"/>
          <w:sz w:val="24"/>
          <w:szCs w:val="24"/>
          <w:highlight w:val="none"/>
          <w:vertAlign w:val="baseline"/>
          <w:lang w:val="en-US" w:eastAsia="zh-CN" w:bidi="ar"/>
        </w:rPr>
        <w:t>2</w:t>
      </w:r>
      <w:r>
        <w:rPr>
          <w:rFonts w:hint="eastAsia" w:ascii="宋体" w:hAnsi="宋体" w:eastAsia="宋体" w:cs="宋体"/>
          <w:b w:val="0"/>
          <w:bCs w:val="0"/>
          <w:caps w:val="0"/>
          <w:color w:val="auto"/>
          <w:spacing w:val="4"/>
          <w:kern w:val="0"/>
          <w:sz w:val="24"/>
          <w:szCs w:val="24"/>
          <w:highlight w:val="none"/>
          <w:vertAlign w:val="baseline"/>
          <w:lang w:val="en-US" w:eastAsia="zh-CN" w:bidi="ar"/>
        </w:rPr>
        <w:t>.</w:t>
      </w:r>
      <w:r>
        <w:rPr>
          <w:rFonts w:hint="eastAsia" w:ascii="宋体" w:hAnsi="宋体" w:eastAsia="宋体" w:cs="宋体"/>
          <w:b w:val="0"/>
          <w:bCs w:val="0"/>
          <w:caps w:val="0"/>
          <w:color w:val="auto"/>
          <w:spacing w:val="3"/>
          <w:kern w:val="0"/>
          <w:sz w:val="24"/>
          <w:szCs w:val="24"/>
          <w:highlight w:val="none"/>
          <w:vertAlign w:val="baseline"/>
          <w:lang w:val="en-US" w:eastAsia="zh-CN" w:bidi="ar"/>
        </w:rPr>
        <w:t xml:space="preserve"> 填写前请认真阅读《关于印发中小企业划型标准规定的通知》(工信部联企业[2011]300</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12"/>
          <w:kern w:val="0"/>
          <w:sz w:val="24"/>
          <w:szCs w:val="24"/>
          <w:highlight w:val="none"/>
          <w:vertAlign w:val="baseline"/>
          <w:lang w:val="en-US" w:eastAsia="zh-CN" w:bidi="ar"/>
        </w:rPr>
        <w:t>号</w:t>
      </w:r>
      <w:r>
        <w:rPr>
          <w:rFonts w:hint="eastAsia" w:ascii="宋体" w:hAnsi="宋体" w:eastAsia="宋体" w:cs="宋体"/>
          <w:b w:val="0"/>
          <w:bCs w:val="0"/>
          <w:caps w:val="0"/>
          <w:color w:val="auto"/>
          <w:spacing w:val="-10"/>
          <w:kern w:val="0"/>
          <w:sz w:val="24"/>
          <w:szCs w:val="24"/>
          <w:highlight w:val="none"/>
          <w:vertAlign w:val="baseline"/>
          <w:lang w:val="en-US" w:eastAsia="zh-CN" w:bidi="ar"/>
        </w:rPr>
        <w:t>)</w:t>
      </w:r>
      <w:r>
        <w:rPr>
          <w:rFonts w:hint="eastAsia" w:ascii="宋体" w:hAnsi="宋体" w:eastAsia="宋体" w:cs="宋体"/>
          <w:b w:val="0"/>
          <w:bCs w:val="0"/>
          <w:caps w:val="0"/>
          <w:color w:val="auto"/>
          <w:spacing w:val="-6"/>
          <w:kern w:val="0"/>
          <w:sz w:val="24"/>
          <w:szCs w:val="24"/>
          <w:highlight w:val="none"/>
          <w:vertAlign w:val="baseline"/>
          <w:lang w:val="en-US" w:eastAsia="zh-CN" w:bidi="ar"/>
        </w:rPr>
        <w:t>和《关于 印发＜政府采购促进中小企业发展管理办法＞的通知》 (财库 ﹝ 2020 ﹞ 46 号)</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6"/>
          <w:kern w:val="0"/>
          <w:sz w:val="24"/>
          <w:szCs w:val="24"/>
          <w:highlight w:val="none"/>
          <w:vertAlign w:val="baseline"/>
          <w:lang w:val="en-US" w:eastAsia="zh-CN" w:bidi="ar"/>
        </w:rPr>
        <w:t>相关规定。</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381" w:lineRule="auto"/>
        <w:ind w:left="3" w:right="62" w:firstLine="1"/>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8"/>
          <w:kern w:val="0"/>
          <w:sz w:val="24"/>
          <w:szCs w:val="24"/>
          <w:highlight w:val="none"/>
          <w:vertAlign w:val="baseline"/>
          <w:lang w:val="en-US" w:eastAsia="zh-CN" w:bidi="ar"/>
        </w:rPr>
        <w:t>3.中标人享受中小企业扶持政策的，将随中标结果一并公示，如声明函内容不实的，将</w:t>
      </w:r>
      <w:r>
        <w:rPr>
          <w:rFonts w:hint="eastAsia" w:ascii="宋体" w:hAnsi="宋体" w:eastAsia="宋体" w:cs="宋体"/>
          <w:b w:val="0"/>
          <w:bCs w:val="0"/>
          <w:caps w:val="0"/>
          <w:color w:val="auto"/>
          <w:spacing w:val="1"/>
          <w:kern w:val="0"/>
          <w:sz w:val="24"/>
          <w:szCs w:val="24"/>
          <w:highlight w:val="none"/>
          <w:vertAlign w:val="baseline"/>
          <w:lang w:val="en-US" w:eastAsia="zh-CN" w:bidi="ar"/>
        </w:rPr>
        <w:t>视</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9"/>
          <w:kern w:val="0"/>
          <w:sz w:val="24"/>
          <w:szCs w:val="24"/>
          <w:highlight w:val="none"/>
          <w:vertAlign w:val="baseline"/>
          <w:lang w:val="en-US" w:eastAsia="zh-CN" w:bidi="ar"/>
        </w:rPr>
        <w:t>为提供虚假材料谋取中标，将追究其法律责任</w:t>
      </w:r>
      <w:r>
        <w:rPr>
          <w:rFonts w:hint="eastAsia" w:ascii="宋体" w:hAnsi="宋体" w:eastAsia="宋体" w:cs="宋体"/>
          <w:b w:val="0"/>
          <w:bCs w:val="0"/>
          <w:caps w:val="0"/>
          <w:color w:val="auto"/>
          <w:spacing w:val="7"/>
          <w:kern w:val="0"/>
          <w:sz w:val="24"/>
          <w:szCs w:val="24"/>
          <w:highlight w:val="none"/>
          <w:vertAlign w:val="baseline"/>
          <w:lang w:val="en-US" w:eastAsia="zh-CN" w:bidi="ar"/>
        </w:rPr>
        <w:t>。</w:t>
      </w:r>
    </w:p>
    <w:p>
      <w:pPr>
        <w:rPr>
          <w:highlight w:val="none"/>
        </w:rPr>
        <w:sectPr>
          <w:pgSz w:w="11906" w:h="16839"/>
          <w:pgMar w:top="1440" w:right="1800" w:bottom="1440" w:left="1800" w:header="1" w:footer="660" w:gutter="1"/>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48" w:beforeAutospacing="0" w:after="0" w:afterAutospacing="0" w:line="240" w:lineRule="auto"/>
        <w:ind w:right="0"/>
        <w:jc w:val="center"/>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0"/>
          <w:kern w:val="0"/>
          <w:sz w:val="24"/>
          <w:szCs w:val="24"/>
          <w:highlight w:val="none"/>
          <w:vertAlign w:val="baseline"/>
          <w:lang w:val="en-US" w:eastAsia="zh-CN" w:bidi="ar"/>
        </w:rPr>
        <w:t>残疾人福利性单位声明函</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3" w:beforeAutospacing="0" w:after="0" w:afterAutospacing="0" w:line="240" w:lineRule="auto"/>
        <w:ind w:right="0"/>
        <w:jc w:val="center"/>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24"/>
          <w:kern w:val="0"/>
          <w:sz w:val="24"/>
          <w:szCs w:val="24"/>
          <w:highlight w:val="none"/>
          <w:vertAlign w:val="baseline"/>
          <w:lang w:val="en-US" w:eastAsia="zh-CN" w:bidi="ar"/>
        </w:rPr>
        <w:t>(</w:t>
      </w:r>
      <w:r>
        <w:rPr>
          <w:rFonts w:hint="eastAsia" w:ascii="宋体" w:hAnsi="宋体" w:eastAsia="宋体" w:cs="宋体"/>
          <w:b w:val="0"/>
          <w:bCs w:val="0"/>
          <w:caps w:val="0"/>
          <w:color w:val="auto"/>
          <w:spacing w:val="20"/>
          <w:kern w:val="0"/>
          <w:sz w:val="24"/>
          <w:szCs w:val="24"/>
          <w:highlight w:val="none"/>
          <w:vertAlign w:val="baseline"/>
          <w:lang w:val="en-US" w:eastAsia="zh-CN" w:bidi="ar"/>
        </w:rPr>
        <w:t>如果是，提供)</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79" w:beforeAutospacing="0" w:after="0" w:afterAutospacing="0" w:line="372" w:lineRule="auto"/>
        <w:ind w:left="0" w:right="0" w:firstLine="482"/>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9"/>
          <w:kern w:val="0"/>
          <w:sz w:val="24"/>
          <w:szCs w:val="24"/>
          <w:highlight w:val="none"/>
          <w:vertAlign w:val="baseline"/>
          <w:lang w:val="en-US" w:eastAsia="zh-CN" w:bidi="ar"/>
        </w:rPr>
        <w:t>本</w:t>
      </w:r>
      <w:r>
        <w:rPr>
          <w:rFonts w:hint="eastAsia" w:ascii="宋体" w:hAnsi="宋体" w:eastAsia="宋体" w:cs="宋体"/>
          <w:b w:val="0"/>
          <w:bCs w:val="0"/>
          <w:caps w:val="0"/>
          <w:color w:val="auto"/>
          <w:spacing w:val="8"/>
          <w:kern w:val="0"/>
          <w:sz w:val="24"/>
          <w:szCs w:val="24"/>
          <w:highlight w:val="none"/>
          <w:vertAlign w:val="baseline"/>
          <w:lang w:val="en-US" w:eastAsia="zh-CN" w:bidi="ar"/>
        </w:rPr>
        <w:t>单位郑重声明，根据《财政部民政部中国残疾人联合会关于促进残疾人就业政府采</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6"/>
          <w:kern w:val="0"/>
          <w:sz w:val="24"/>
          <w:szCs w:val="24"/>
          <w:highlight w:val="none"/>
          <w:vertAlign w:val="baseline"/>
          <w:lang w:val="en-US" w:eastAsia="zh-CN" w:bidi="ar"/>
        </w:rPr>
        <w:t>购政策的通</w:t>
      </w:r>
      <w:r>
        <w:rPr>
          <w:rFonts w:hint="eastAsia" w:ascii="宋体" w:hAnsi="宋体" w:eastAsia="宋体" w:cs="宋体"/>
          <w:b w:val="0"/>
          <w:bCs w:val="0"/>
          <w:caps w:val="0"/>
          <w:color w:val="auto"/>
          <w:spacing w:val="3"/>
          <w:kern w:val="0"/>
          <w:sz w:val="24"/>
          <w:szCs w:val="24"/>
          <w:highlight w:val="none"/>
          <w:vertAlign w:val="baseline"/>
          <w:lang w:val="en-US" w:eastAsia="zh-CN" w:bidi="ar"/>
        </w:rPr>
        <w:t>知》  (财库〔2017〕141号) 的规定，本单位为符合条件的残疾人福利性单位，</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18"/>
          <w:kern w:val="0"/>
          <w:sz w:val="24"/>
          <w:szCs w:val="24"/>
          <w:highlight w:val="none"/>
          <w:vertAlign w:val="baseline"/>
          <w:lang w:val="en-US" w:eastAsia="zh-CN" w:bidi="ar"/>
        </w:rPr>
        <w:t>且本单</w:t>
      </w:r>
      <w:r>
        <w:rPr>
          <w:rFonts w:hint="eastAsia" w:ascii="宋体" w:hAnsi="宋体" w:eastAsia="宋体" w:cs="宋体"/>
          <w:b w:val="0"/>
          <w:bCs w:val="0"/>
          <w:caps w:val="0"/>
          <w:color w:val="auto"/>
          <w:spacing w:val="12"/>
          <w:kern w:val="0"/>
          <w:sz w:val="24"/>
          <w:szCs w:val="24"/>
          <w:highlight w:val="none"/>
          <w:vertAlign w:val="baseline"/>
          <w:lang w:val="en-US" w:eastAsia="zh-CN" w:bidi="ar"/>
        </w:rPr>
        <w:t>位</w:t>
      </w:r>
      <w:r>
        <w:rPr>
          <w:rFonts w:hint="eastAsia" w:ascii="宋体" w:hAnsi="宋体" w:eastAsia="宋体" w:cs="宋体"/>
          <w:b w:val="0"/>
          <w:bCs w:val="0"/>
          <w:caps w:val="0"/>
          <w:color w:val="auto"/>
          <w:spacing w:val="9"/>
          <w:kern w:val="0"/>
          <w:sz w:val="24"/>
          <w:szCs w:val="24"/>
          <w:highlight w:val="none"/>
          <w:vertAlign w:val="baseline"/>
          <w:lang w:val="en-US" w:eastAsia="zh-CN" w:bidi="ar"/>
        </w:rPr>
        <w:t>参加______单位的______项目采购活动提供本单位制造的货物(由本单位承担工</w:t>
      </w:r>
      <w:r>
        <w:rPr>
          <w:rFonts w:hint="eastAsia" w:ascii="宋体" w:hAnsi="宋体" w:eastAsia="宋体" w:cs="宋体"/>
          <w:b w:val="0"/>
          <w:bCs w:val="0"/>
          <w:caps w:val="0"/>
          <w:color w:val="auto"/>
          <w:kern w:val="0"/>
          <w:sz w:val="24"/>
          <w:szCs w:val="24"/>
          <w:highlight w:val="none"/>
          <w:vertAlign w:val="baseline"/>
          <w:lang w:val="en-US" w:eastAsia="zh-CN" w:bidi="ar"/>
        </w:rPr>
        <w:t xml:space="preserve"> </w:t>
      </w:r>
      <w:r>
        <w:rPr>
          <w:rFonts w:hint="eastAsia" w:ascii="宋体" w:hAnsi="宋体" w:eastAsia="宋体" w:cs="宋体"/>
          <w:b w:val="0"/>
          <w:bCs w:val="0"/>
          <w:caps w:val="0"/>
          <w:color w:val="auto"/>
          <w:spacing w:val="20"/>
          <w:kern w:val="0"/>
          <w:sz w:val="24"/>
          <w:szCs w:val="24"/>
          <w:highlight w:val="none"/>
          <w:vertAlign w:val="baseline"/>
          <w:lang w:val="en-US" w:eastAsia="zh-CN" w:bidi="ar"/>
        </w:rPr>
        <w:t>程/</w:t>
      </w:r>
      <w:r>
        <w:rPr>
          <w:rFonts w:hint="eastAsia" w:ascii="宋体" w:hAnsi="宋体" w:eastAsia="宋体" w:cs="宋体"/>
          <w:b w:val="0"/>
          <w:bCs w:val="0"/>
          <w:caps w:val="0"/>
          <w:color w:val="auto"/>
          <w:spacing w:val="17"/>
          <w:kern w:val="0"/>
          <w:sz w:val="24"/>
          <w:szCs w:val="24"/>
          <w:highlight w:val="none"/>
          <w:vertAlign w:val="baseline"/>
          <w:lang w:val="en-US" w:eastAsia="zh-CN" w:bidi="ar"/>
        </w:rPr>
        <w:t>提</w:t>
      </w:r>
      <w:r>
        <w:rPr>
          <w:rFonts w:hint="eastAsia" w:ascii="宋体" w:hAnsi="宋体" w:eastAsia="宋体" w:cs="宋体"/>
          <w:b w:val="0"/>
          <w:bCs w:val="0"/>
          <w:caps w:val="0"/>
          <w:color w:val="auto"/>
          <w:spacing w:val="10"/>
          <w:kern w:val="0"/>
          <w:sz w:val="24"/>
          <w:szCs w:val="24"/>
          <w:highlight w:val="none"/>
          <w:vertAlign w:val="baseline"/>
          <w:lang w:val="en-US" w:eastAsia="zh-CN" w:bidi="ar"/>
        </w:rPr>
        <w:t>供货物) ，或者提供其他残疾人福利性单位制造的货物 (不包括使用非残疾人福利</w:t>
      </w:r>
      <w:r>
        <w:rPr>
          <w:rFonts w:hint="eastAsia" w:ascii="宋体" w:hAnsi="宋体" w:eastAsia="宋体" w:cs="宋体"/>
          <w:b w:val="0"/>
          <w:bCs w:val="0"/>
          <w:caps w:val="0"/>
          <w:color w:val="auto"/>
          <w:spacing w:val="8"/>
          <w:kern w:val="0"/>
          <w:sz w:val="24"/>
          <w:szCs w:val="24"/>
          <w:highlight w:val="none"/>
          <w:vertAlign w:val="baseline"/>
          <w:lang w:val="en-US" w:eastAsia="zh-CN" w:bidi="ar"/>
        </w:rPr>
        <w:t xml:space="preserve">性单位注册商标的货物) </w:t>
      </w:r>
      <w:r>
        <w:rPr>
          <w:rFonts w:hint="eastAsia" w:ascii="宋体" w:hAnsi="宋体" w:eastAsia="宋体" w:cs="宋体"/>
          <w:b w:val="0"/>
          <w:bCs w:val="0"/>
          <w:caps w:val="0"/>
          <w:color w:val="auto"/>
          <w:spacing w:val="7"/>
          <w:kern w:val="0"/>
          <w:sz w:val="24"/>
          <w:szCs w:val="24"/>
          <w:highlight w:val="none"/>
          <w:vertAlign w:val="baseline"/>
          <w:lang w:val="en-US" w:eastAsia="zh-CN" w:bidi="ar"/>
        </w:rPr>
        <w:t>。</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0" w:lineRule="auto"/>
        <w:ind w:left="482"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8"/>
          <w:kern w:val="0"/>
          <w:sz w:val="24"/>
          <w:szCs w:val="24"/>
          <w:highlight w:val="none"/>
          <w:vertAlign w:val="baseline"/>
          <w:lang w:val="en-US" w:eastAsia="zh-CN" w:bidi="ar"/>
        </w:rPr>
        <w:t>本</w:t>
      </w:r>
      <w:r>
        <w:rPr>
          <w:rFonts w:hint="eastAsia" w:ascii="宋体" w:hAnsi="宋体" w:eastAsia="宋体" w:cs="宋体"/>
          <w:b w:val="0"/>
          <w:bCs w:val="0"/>
          <w:caps w:val="0"/>
          <w:color w:val="auto"/>
          <w:spacing w:val="9"/>
          <w:kern w:val="0"/>
          <w:sz w:val="24"/>
          <w:szCs w:val="24"/>
          <w:highlight w:val="none"/>
          <w:vertAlign w:val="baseline"/>
          <w:lang w:val="en-US" w:eastAsia="zh-CN" w:bidi="ar"/>
        </w:rPr>
        <w:t>单位对上述声明的真实性负责。如有虚假，将依法承担相应责任。</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44"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484"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2"/>
          <w:kern w:val="0"/>
          <w:sz w:val="24"/>
          <w:szCs w:val="24"/>
          <w:highlight w:val="none"/>
          <w:vertAlign w:val="baseline"/>
          <w:lang w:val="en-US" w:eastAsia="zh-CN" w:bidi="ar"/>
        </w:rPr>
        <w:t>投</w:t>
      </w:r>
      <w:r>
        <w:rPr>
          <w:rFonts w:hint="eastAsia" w:ascii="宋体" w:hAnsi="宋体" w:eastAsia="宋体" w:cs="宋体"/>
          <w:b w:val="0"/>
          <w:bCs w:val="0"/>
          <w:caps w:val="0"/>
          <w:color w:val="auto"/>
          <w:spacing w:val="7"/>
          <w:kern w:val="0"/>
          <w:sz w:val="24"/>
          <w:szCs w:val="24"/>
          <w:highlight w:val="none"/>
          <w:vertAlign w:val="baseline"/>
          <w:lang w:val="en-US" w:eastAsia="zh-CN" w:bidi="ar"/>
        </w:rPr>
        <w:t>标</w:t>
      </w:r>
      <w:r>
        <w:rPr>
          <w:rFonts w:hint="eastAsia" w:ascii="宋体" w:hAnsi="宋体" w:eastAsia="宋体" w:cs="宋体"/>
          <w:b w:val="0"/>
          <w:bCs w:val="0"/>
          <w:caps w:val="0"/>
          <w:color w:val="auto"/>
          <w:spacing w:val="6"/>
          <w:kern w:val="0"/>
          <w:sz w:val="24"/>
          <w:szCs w:val="24"/>
          <w:highlight w:val="none"/>
          <w:vertAlign w:val="baseline"/>
          <w:lang w:val="en-US" w:eastAsia="zh-CN" w:bidi="ar"/>
        </w:rPr>
        <w:t>人名称 (盖章)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82" w:beforeAutospacing="0" w:after="0" w:afterAutospacing="0" w:line="468" w:lineRule="exact"/>
        <w:ind w:left="482"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4"/>
          <w:kern w:val="0"/>
          <w:position w:val="17"/>
          <w:sz w:val="24"/>
          <w:szCs w:val="24"/>
          <w:highlight w:val="none"/>
          <w:vertAlign w:val="baseline"/>
          <w:lang w:val="en-US" w:eastAsia="zh-CN" w:bidi="ar"/>
        </w:rPr>
        <w:t>法</w:t>
      </w:r>
      <w:r>
        <w:rPr>
          <w:rFonts w:hint="eastAsia" w:ascii="宋体" w:hAnsi="宋体" w:eastAsia="宋体" w:cs="宋体"/>
          <w:b w:val="0"/>
          <w:bCs w:val="0"/>
          <w:caps w:val="0"/>
          <w:color w:val="auto"/>
          <w:spacing w:val="8"/>
          <w:kern w:val="0"/>
          <w:position w:val="17"/>
          <w:sz w:val="24"/>
          <w:szCs w:val="24"/>
          <w:highlight w:val="none"/>
          <w:vertAlign w:val="baseline"/>
          <w:lang w:val="en-US" w:eastAsia="zh-CN" w:bidi="ar"/>
        </w:rPr>
        <w:t>定</w:t>
      </w:r>
      <w:r>
        <w:rPr>
          <w:rFonts w:hint="eastAsia" w:ascii="宋体" w:hAnsi="宋体" w:eastAsia="宋体" w:cs="宋体"/>
          <w:b w:val="0"/>
          <w:bCs w:val="0"/>
          <w:caps w:val="0"/>
          <w:color w:val="auto"/>
          <w:spacing w:val="7"/>
          <w:kern w:val="0"/>
          <w:position w:val="17"/>
          <w:sz w:val="24"/>
          <w:szCs w:val="24"/>
          <w:highlight w:val="none"/>
          <w:vertAlign w:val="baseline"/>
          <w:lang w:val="en-US" w:eastAsia="zh-CN" w:bidi="ar"/>
        </w:rPr>
        <w:t>代表人 (单位负责人)</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1" w:beforeAutospacing="0" w:after="0" w:afterAutospacing="0" w:line="240" w:lineRule="auto"/>
        <w:ind w:left="484" w:right="0" w:firstLine="0"/>
        <w:jc w:val="left"/>
        <w:textAlignment w:val="baseline"/>
        <w:outlineLvl w:val="9"/>
        <w:rPr>
          <w:rFonts w:hint="eastAsia" w:ascii="宋体" w:hAnsi="宋体" w:eastAsia="宋体" w:cs="宋体"/>
          <w:caps w:val="0"/>
          <w:color w:val="auto"/>
          <w:kern w:val="0"/>
          <w:sz w:val="24"/>
          <w:szCs w:val="24"/>
          <w:highlight w:val="none"/>
          <w:vertAlign w:val="baseline"/>
        </w:rPr>
      </w:pPr>
      <w:r>
        <w:rPr>
          <w:rFonts w:hint="eastAsia" w:ascii="宋体" w:hAnsi="宋体" w:eastAsia="宋体" w:cs="宋体"/>
          <w:b w:val="0"/>
          <w:bCs w:val="0"/>
          <w:caps w:val="0"/>
          <w:color w:val="auto"/>
          <w:spacing w:val="12"/>
          <w:kern w:val="0"/>
          <w:sz w:val="24"/>
          <w:szCs w:val="24"/>
          <w:highlight w:val="none"/>
          <w:vertAlign w:val="baseline"/>
          <w:lang w:val="en-US" w:eastAsia="zh-CN" w:bidi="ar"/>
        </w:rPr>
        <w:t>或</w:t>
      </w:r>
      <w:r>
        <w:rPr>
          <w:rFonts w:hint="eastAsia" w:ascii="宋体" w:hAnsi="宋体" w:eastAsia="宋体" w:cs="宋体"/>
          <w:b w:val="0"/>
          <w:bCs w:val="0"/>
          <w:caps w:val="0"/>
          <w:color w:val="auto"/>
          <w:spacing w:val="7"/>
          <w:kern w:val="0"/>
          <w:sz w:val="24"/>
          <w:szCs w:val="24"/>
          <w:highlight w:val="none"/>
          <w:vertAlign w:val="baseline"/>
          <w:lang w:val="en-US" w:eastAsia="zh-CN" w:bidi="ar"/>
        </w:rPr>
        <w:t>授</w:t>
      </w:r>
      <w:r>
        <w:rPr>
          <w:rFonts w:hint="eastAsia" w:ascii="宋体" w:hAnsi="宋体" w:eastAsia="宋体" w:cs="宋体"/>
          <w:b w:val="0"/>
          <w:bCs w:val="0"/>
          <w:caps w:val="0"/>
          <w:color w:val="auto"/>
          <w:spacing w:val="6"/>
          <w:kern w:val="0"/>
          <w:sz w:val="24"/>
          <w:szCs w:val="24"/>
          <w:highlight w:val="none"/>
          <w:vertAlign w:val="baseline"/>
          <w:lang w:val="en-US" w:eastAsia="zh-CN" w:bidi="ar"/>
        </w:rPr>
        <w:t>权代表 (签字) ：</w:t>
      </w: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0" w:beforeAutospacing="0" w:after="0" w:afterAutospacing="0" w:line="256" w:lineRule="auto"/>
        <w:ind w:left="0" w:right="0" w:firstLine="0"/>
        <w:jc w:val="left"/>
        <w:textAlignment w:val="baseline"/>
        <w:outlineLvl w:val="9"/>
        <w:rPr>
          <w:rFonts w:hint="eastAsia" w:ascii="宋体" w:hAnsi="宋体" w:eastAsia="宋体" w:cs="宋体"/>
          <w:caps w:val="0"/>
          <w:color w:val="auto"/>
          <w:kern w:val="0"/>
          <w:sz w:val="24"/>
          <w:szCs w:val="24"/>
          <w:highlight w:val="none"/>
          <w:vertAlign w:val="baseline"/>
        </w:rPr>
      </w:pPr>
    </w:p>
    <w:p>
      <w:pPr>
        <w:keepNext w:val="0"/>
        <w:keepLines w:val="0"/>
        <w:pageBreakBefore w:val="0"/>
        <w:widowControl/>
        <w:suppressLineNumbers w:val="0"/>
        <w:suppressAutoHyphens w:val="0"/>
        <w:kinsoku w:val="0"/>
        <w:wordWrap/>
        <w:overflowPunct/>
        <w:topLinePunct w:val="0"/>
        <w:autoSpaceDE w:val="0"/>
        <w:autoSpaceDN w:val="0"/>
        <w:bidi w:val="0"/>
        <w:adjustRightInd w:val="0"/>
        <w:snapToGrid w:val="0"/>
        <w:spacing w:before="75" w:beforeAutospacing="0" w:after="0" w:afterAutospacing="0" w:line="240" w:lineRule="auto"/>
        <w:ind w:left="523" w:right="0" w:firstLine="0"/>
        <w:jc w:val="left"/>
        <w:textAlignment w:val="baseline"/>
        <w:outlineLvl w:val="9"/>
        <w:rPr>
          <w:rFonts w:hint="eastAsia" w:ascii="宋体" w:hAnsi="宋体" w:eastAsia="宋体" w:cs="宋体"/>
          <w:b w:val="0"/>
          <w:bCs w:val="0"/>
          <w:caps w:val="0"/>
          <w:color w:val="auto"/>
          <w:kern w:val="0"/>
          <w:sz w:val="24"/>
          <w:szCs w:val="24"/>
          <w:highlight w:val="none"/>
          <w:vertAlign w:val="baseline"/>
          <w:lang w:val="en-US" w:eastAsia="zh-CN" w:bidi="ar"/>
        </w:rPr>
      </w:pPr>
      <w:r>
        <w:rPr>
          <w:rFonts w:hint="eastAsia" w:ascii="宋体" w:hAnsi="宋体" w:eastAsia="宋体" w:cs="宋体"/>
          <w:b w:val="0"/>
          <w:bCs w:val="0"/>
          <w:caps w:val="0"/>
          <w:color w:val="auto"/>
          <w:spacing w:val="1"/>
          <w:kern w:val="0"/>
          <w:sz w:val="24"/>
          <w:szCs w:val="24"/>
          <w:highlight w:val="none"/>
          <w:vertAlign w:val="baseline"/>
          <w:lang w:val="en-US" w:eastAsia="zh-CN" w:bidi="ar"/>
        </w:rPr>
        <w:t>日期:年</w:t>
      </w:r>
      <w:r>
        <w:rPr>
          <w:rFonts w:hint="eastAsia" w:ascii="宋体" w:hAnsi="宋体" w:eastAsia="宋体" w:cs="宋体"/>
          <w:b w:val="0"/>
          <w:bCs w:val="0"/>
          <w:caps w:val="0"/>
          <w:color w:val="auto"/>
          <w:kern w:val="0"/>
          <w:sz w:val="24"/>
          <w:szCs w:val="24"/>
          <w:highlight w:val="none"/>
          <w:vertAlign w:val="baseline"/>
          <w:lang w:val="en-US" w:eastAsia="zh-CN" w:bidi="ar"/>
        </w:rPr>
        <w:t>月日</w:t>
      </w:r>
      <w:bookmarkEnd w:id="0"/>
      <w:bookmarkEnd w:id="1"/>
      <w:bookmarkEnd w:id="2"/>
      <w:bookmarkEnd w:id="8"/>
    </w:p>
    <w:p>
      <w:pPr>
        <w:pStyle w:val="7"/>
      </w:pPr>
    </w:p>
    <w:p>
      <w:pPr>
        <w:rPr>
          <w:rFonts w:hint="eastAsia" w:ascii="宋体" w:hAnsi="宋体" w:eastAsia="宋体" w:cs="宋体"/>
          <w:b w:val="0"/>
          <w:bCs w:val="0"/>
          <w:caps w:val="0"/>
          <w:color w:val="auto"/>
          <w:kern w:val="0"/>
          <w:sz w:val="24"/>
          <w:szCs w:val="24"/>
          <w:highlight w:val="none"/>
          <w:vertAlign w:val="baseline"/>
          <w:lang w:val="en-US" w:eastAsia="zh-CN" w:bidi="ar"/>
        </w:rPr>
      </w:pPr>
    </w:p>
    <w:p>
      <w:pPr>
        <w:pStyle w:val="7"/>
      </w:pPr>
    </w:p>
    <w:p>
      <w:pPr>
        <w:rPr>
          <w:rFonts w:hint="eastAsia" w:ascii="宋体" w:hAnsi="宋体" w:eastAsia="宋体" w:cs="宋体"/>
          <w:b w:val="0"/>
          <w:bCs w:val="0"/>
          <w:caps w:val="0"/>
          <w:color w:val="auto"/>
          <w:kern w:val="0"/>
          <w:sz w:val="24"/>
          <w:szCs w:val="24"/>
          <w:highlight w:val="none"/>
          <w:vertAlign w:val="baseline"/>
          <w:lang w:val="en-US" w:eastAsia="zh-CN" w:bidi="ar"/>
        </w:rPr>
      </w:pPr>
    </w:p>
    <w:p>
      <w:pPr>
        <w:pStyle w:val="11"/>
        <w:jc w:val="center"/>
        <w:rPr>
          <w:rFonts w:hint="eastAsia"/>
          <w:b/>
          <w:bCs/>
          <w:color w:val="auto"/>
          <w:sz w:val="28"/>
          <w:szCs w:val="32"/>
          <w:highlight w:val="none"/>
          <w:lang w:val="zh-CN"/>
        </w:rPr>
      </w:pPr>
    </w:p>
    <w:p>
      <w:pPr>
        <w:pStyle w:val="11"/>
        <w:jc w:val="center"/>
        <w:rPr>
          <w:rFonts w:hint="eastAsia"/>
          <w:b w:val="0"/>
          <w:bCs w:val="0"/>
          <w:color w:val="auto"/>
          <w:sz w:val="28"/>
          <w:szCs w:val="32"/>
          <w:highlight w:val="none"/>
          <w:lang w:val="zh-CN"/>
        </w:rPr>
      </w:pPr>
      <w:r>
        <w:rPr>
          <w:rFonts w:hint="eastAsia"/>
          <w:b w:val="0"/>
          <w:bCs w:val="0"/>
          <w:color w:val="auto"/>
          <w:sz w:val="28"/>
          <w:szCs w:val="32"/>
          <w:highlight w:val="none"/>
          <w:lang w:val="zh-CN"/>
        </w:rPr>
        <w:t>省级以上监狱管理局、戒毒管理局（含新疆生产建设兵团）出具的属于监狱企业的证明文件</w:t>
      </w:r>
    </w:p>
    <w:p>
      <w:pPr>
        <w:pStyle w:val="11"/>
        <w:jc w:val="center"/>
        <w:rPr>
          <w:rFonts w:hint="eastAsia"/>
          <w:color w:val="auto"/>
          <w:sz w:val="22"/>
          <w:szCs w:val="24"/>
          <w:highlight w:val="none"/>
          <w:lang w:val="zh-CN"/>
        </w:rPr>
      </w:pPr>
      <w:r>
        <w:rPr>
          <w:rFonts w:hint="eastAsia"/>
          <w:color w:val="auto"/>
          <w:sz w:val="22"/>
          <w:szCs w:val="24"/>
          <w:highlight w:val="none"/>
          <w:lang w:val="zh-CN"/>
        </w:rPr>
        <w:t>（如果是，提供）</w:t>
      </w:r>
    </w:p>
    <w:p>
      <w:pPr>
        <w:pStyle w:val="11"/>
        <w:jc w:val="center"/>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color w:val="auto"/>
          <w:highlight w:val="none"/>
          <w:lang w:val="zh-CN"/>
        </w:rPr>
      </w:pPr>
    </w:p>
    <w:p>
      <w:pPr>
        <w:snapToGrid w:val="0"/>
        <w:spacing w:line="360" w:lineRule="auto"/>
        <w:textAlignment w:val="bottom"/>
        <w:rPr>
          <w:rFonts w:hint="eastAsia" w:ascii="宋体" w:hAnsi="宋体" w:eastAsia="宋体" w:cs="宋体"/>
          <w:b/>
          <w:sz w:val="24"/>
          <w:szCs w:val="28"/>
        </w:rPr>
      </w:pPr>
      <w:r>
        <w:rPr>
          <w:rFonts w:hint="eastAsia" w:ascii="宋体" w:hAnsi="宋体" w:eastAsia="宋体" w:cs="宋体"/>
          <w:b/>
          <w:sz w:val="24"/>
          <w:szCs w:val="28"/>
        </w:rPr>
        <w:t>附：中小企业划型标准规定　</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一、根据《中华人民共和国中小企业促进法》和《国务院关于进一步促进中小企业发展的若干意见》(国发〔2009〕36号)，制定本规定。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二、中小企业划分为中型、小型、微型三种类型，具体标准根据企业从业人员、营业收入、资产总额等指标，结合行业特点制定。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四、各行业划型标准为：</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（一）农、林、牧、渔业。营业收入20000万元以下的为中小微型企业。其中，营业收入500万元及以上的为中型企业，营业收入50万元及以上的为小型企业，营业收入50万元以下的为微型企业。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（十六）其他未列明行业。从业人员300人以下的为中小微型企业。其中，从业人员100人及以上的为中型企业；从业人员10人及以上的为小型企业；从业人员10人以下的为微型企业。</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五、企业类型的划分以统计部门的统计数据为依据。</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六、本规定适用于在中华人民共和国境内依法设立的各类所有制和各种组织形式的企业。个体工商户和本规定以外的行业，参照本规定进行划型。</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八、本规定由工业和信息化部、国家统计局会同有关部门根据《国民经济行业分类》修订情况和企业发展变化情况适时修订。</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九、本规定由工业和信息化部、国家统计局会同有关部门负责解释。</w:t>
      </w:r>
    </w:p>
    <w:p>
      <w:pPr>
        <w:snapToGrid w:val="0"/>
        <w:spacing w:line="360" w:lineRule="auto"/>
        <w:textAlignment w:val="bottom"/>
        <w:rPr>
          <w:rFonts w:hint="eastAsia" w:ascii="宋体" w:hAnsi="宋体" w:eastAsia="宋体" w:cs="宋体"/>
          <w:b w:val="0"/>
          <w:bCs/>
          <w:sz w:val="24"/>
          <w:szCs w:val="28"/>
        </w:rPr>
      </w:pPr>
      <w:r>
        <w:rPr>
          <w:rFonts w:hint="eastAsia" w:ascii="宋体" w:hAnsi="宋体" w:eastAsia="宋体" w:cs="宋体"/>
          <w:b w:val="0"/>
          <w:bCs/>
          <w:sz w:val="24"/>
          <w:szCs w:val="28"/>
        </w:rPr>
        <w:t>十、本规定自发布之日起执行，原国家经贸委、原国家计委、财政部和国家统计局2003年颁布的《中小企业标准暂行规定》同时废止。</w:t>
      </w:r>
    </w:p>
    <w:p>
      <w:pPr>
        <w:snapToGrid w:val="0"/>
        <w:spacing w:line="360" w:lineRule="auto"/>
        <w:textAlignment w:val="bottom"/>
        <w:rPr>
          <w:rFonts w:hint="eastAsia" w:ascii="宋体" w:hAnsi="宋体" w:eastAsia="宋体" w:cs="宋体"/>
          <w:b/>
          <w:sz w:val="24"/>
          <w:szCs w:val="28"/>
        </w:rPr>
      </w:pPr>
    </w:p>
    <w:p>
      <w:pPr>
        <w:rPr>
          <w:rFonts w:hint="eastAsia"/>
          <w:lang w:val="zh-CN"/>
        </w:rPr>
      </w:pPr>
    </w:p>
    <w:p/>
    <w:p>
      <w:pPr>
        <w:pStyle w:val="2"/>
      </w:pPr>
    </w:p>
    <w:p>
      <w:pPr>
        <w:numPr>
          <w:ilvl w:val="0"/>
          <w:numId w:val="2"/>
        </w:numPr>
        <w:jc w:val="center"/>
        <w:rPr>
          <w:rFonts w:hint="eastAsia" w:ascii="宋体" w:hAnsi="宋体" w:eastAsia="宋体" w:cs="宋体"/>
          <w:b w:val="0"/>
          <w:bCs w:val="0"/>
          <w:caps w:val="0"/>
          <w:color w:val="auto"/>
          <w:kern w:val="2"/>
          <w:sz w:val="44"/>
          <w:szCs w:val="44"/>
          <w:highlight w:val="none"/>
          <w:vertAlign w:val="baseline"/>
          <w:lang w:val="en-US" w:eastAsia="zh-CN" w:bidi="ar"/>
        </w:rPr>
      </w:pPr>
      <w:r>
        <w:rPr>
          <w:rFonts w:hint="eastAsia" w:ascii="宋体" w:hAnsi="宋体" w:eastAsia="宋体" w:cs="宋体"/>
          <w:b w:val="0"/>
          <w:bCs w:val="0"/>
          <w:caps w:val="0"/>
          <w:color w:val="auto"/>
          <w:kern w:val="2"/>
          <w:sz w:val="44"/>
          <w:szCs w:val="44"/>
          <w:highlight w:val="none"/>
          <w:vertAlign w:val="baseline"/>
          <w:lang w:val="en-US" w:eastAsia="zh-CN" w:bidi="ar"/>
        </w:rPr>
        <w:t>投标人认为其投标有利的其他资料</w:t>
      </w:r>
    </w:p>
    <w:p>
      <w:pPr>
        <w:pStyle w:val="2"/>
        <w:numPr>
          <w:ilvl w:val="0"/>
          <w:numId w:val="0"/>
        </w:numPr>
        <w:ind w:left="420" w:leftChars="0"/>
      </w:pPr>
    </w:p>
    <w:p>
      <w:pPr>
        <w:jc w:val="center"/>
        <w:rPr>
          <w:rFonts w:hint="eastAsia" w:eastAsiaTheme="minorEastAsia"/>
          <w:lang w:eastAsia="zh-CN"/>
        </w:rPr>
      </w:pPr>
      <w:r>
        <w:rPr>
          <w:rFonts w:hint="eastAsia"/>
          <w:lang w:eastAsia="zh-CN"/>
        </w:rPr>
        <w:t>（</w:t>
      </w:r>
      <w:r>
        <w:rPr>
          <w:rFonts w:hint="eastAsia"/>
          <w:lang w:val="en-US" w:eastAsia="zh-CN"/>
        </w:rPr>
        <w:t>格式自拟</w:t>
      </w:r>
      <w:r>
        <w:rPr>
          <w:rFonts w:hint="eastAsia"/>
          <w:lang w:eastAsia="zh-CN"/>
        </w:rPr>
        <w:t>）</w:t>
      </w:r>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MingLiU_HKSCS">
    <w:altName w:val="PMingLiU-ExtB"/>
    <w:panose1 w:val="02020500000000000000"/>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8CE97"/>
    <w:multiLevelType w:val="singleLevel"/>
    <w:tmpl w:val="1E68CE97"/>
    <w:lvl w:ilvl="0" w:tentative="0">
      <w:start w:val="6"/>
      <w:numFmt w:val="chineseCounting"/>
      <w:suff w:val="nothing"/>
      <w:lvlText w:val="%1、"/>
      <w:lvlJc w:val="left"/>
      <w:rPr>
        <w:rFonts w:hint="eastAsia"/>
      </w:rPr>
    </w:lvl>
  </w:abstractNum>
  <w:abstractNum w:abstractNumId="1">
    <w:nsid w:val="595ED6D8"/>
    <w:multiLevelType w:val="multilevel"/>
    <w:tmpl w:val="595ED6D8"/>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NzA1MTE3YWYxNzk1ZmVlN2I0YzcwMDJiN2IyMTcifQ=="/>
  </w:docVars>
  <w:rsids>
    <w:rsidRoot w:val="00000000"/>
    <w:rsid w:val="00950484"/>
    <w:rsid w:val="01886782"/>
    <w:rsid w:val="034A3211"/>
    <w:rsid w:val="047A049C"/>
    <w:rsid w:val="05143E2A"/>
    <w:rsid w:val="06185872"/>
    <w:rsid w:val="076505CD"/>
    <w:rsid w:val="08964C02"/>
    <w:rsid w:val="08ED6E6B"/>
    <w:rsid w:val="09A84E52"/>
    <w:rsid w:val="09CD78D8"/>
    <w:rsid w:val="0B486BBF"/>
    <w:rsid w:val="0BA32FDA"/>
    <w:rsid w:val="0BDA3709"/>
    <w:rsid w:val="0C37664F"/>
    <w:rsid w:val="0C8B1DD4"/>
    <w:rsid w:val="0E38608B"/>
    <w:rsid w:val="0EC00B7E"/>
    <w:rsid w:val="0EE409F2"/>
    <w:rsid w:val="0EEC7DE1"/>
    <w:rsid w:val="0F622D1E"/>
    <w:rsid w:val="0FAC7F8F"/>
    <w:rsid w:val="11E84934"/>
    <w:rsid w:val="126711FD"/>
    <w:rsid w:val="12B93245"/>
    <w:rsid w:val="134254FC"/>
    <w:rsid w:val="14C03686"/>
    <w:rsid w:val="14D57376"/>
    <w:rsid w:val="157F401B"/>
    <w:rsid w:val="161B635A"/>
    <w:rsid w:val="166E0106"/>
    <w:rsid w:val="17241986"/>
    <w:rsid w:val="17361246"/>
    <w:rsid w:val="174F3C82"/>
    <w:rsid w:val="176B0541"/>
    <w:rsid w:val="182A1DC2"/>
    <w:rsid w:val="19240B83"/>
    <w:rsid w:val="1A0674FC"/>
    <w:rsid w:val="1EEB7549"/>
    <w:rsid w:val="1FC27DA6"/>
    <w:rsid w:val="206E043A"/>
    <w:rsid w:val="22422D80"/>
    <w:rsid w:val="2264402C"/>
    <w:rsid w:val="22E70030"/>
    <w:rsid w:val="236B6F29"/>
    <w:rsid w:val="2418246B"/>
    <w:rsid w:val="276854B7"/>
    <w:rsid w:val="281D2608"/>
    <w:rsid w:val="290F59B6"/>
    <w:rsid w:val="293727C9"/>
    <w:rsid w:val="29921FD8"/>
    <w:rsid w:val="2AEE793F"/>
    <w:rsid w:val="2B972F33"/>
    <w:rsid w:val="2C4958B7"/>
    <w:rsid w:val="2C9779CC"/>
    <w:rsid w:val="2CC775CD"/>
    <w:rsid w:val="2D031FB1"/>
    <w:rsid w:val="2D2A6557"/>
    <w:rsid w:val="2D480C2E"/>
    <w:rsid w:val="2DFF7816"/>
    <w:rsid w:val="2E4342F3"/>
    <w:rsid w:val="2F132EBB"/>
    <w:rsid w:val="2F9B7DE2"/>
    <w:rsid w:val="3080643E"/>
    <w:rsid w:val="30E05FF7"/>
    <w:rsid w:val="31153C01"/>
    <w:rsid w:val="31244F24"/>
    <w:rsid w:val="32B26C6A"/>
    <w:rsid w:val="343E7C43"/>
    <w:rsid w:val="35242636"/>
    <w:rsid w:val="35742FC7"/>
    <w:rsid w:val="35F662F4"/>
    <w:rsid w:val="35FC3AC2"/>
    <w:rsid w:val="36977049"/>
    <w:rsid w:val="36CC3A3D"/>
    <w:rsid w:val="38854805"/>
    <w:rsid w:val="39A7238B"/>
    <w:rsid w:val="3CF6476A"/>
    <w:rsid w:val="40974264"/>
    <w:rsid w:val="40B53F2B"/>
    <w:rsid w:val="40DC1E9D"/>
    <w:rsid w:val="425007FB"/>
    <w:rsid w:val="425206D8"/>
    <w:rsid w:val="42894727"/>
    <w:rsid w:val="43A619B1"/>
    <w:rsid w:val="440920A4"/>
    <w:rsid w:val="442772A6"/>
    <w:rsid w:val="45596D73"/>
    <w:rsid w:val="4563775C"/>
    <w:rsid w:val="46C417C8"/>
    <w:rsid w:val="483544AC"/>
    <w:rsid w:val="48DD0E8D"/>
    <w:rsid w:val="48DE4596"/>
    <w:rsid w:val="4A473CBC"/>
    <w:rsid w:val="4AC35777"/>
    <w:rsid w:val="4B3E1837"/>
    <w:rsid w:val="4BF45A95"/>
    <w:rsid w:val="4C301041"/>
    <w:rsid w:val="4CD93039"/>
    <w:rsid w:val="4CDD350C"/>
    <w:rsid w:val="4D5076E6"/>
    <w:rsid w:val="4DE92742"/>
    <w:rsid w:val="4EFE184E"/>
    <w:rsid w:val="4F8E6D22"/>
    <w:rsid w:val="4FED26BF"/>
    <w:rsid w:val="50EA0B67"/>
    <w:rsid w:val="5135569D"/>
    <w:rsid w:val="51791EEB"/>
    <w:rsid w:val="518E0DA5"/>
    <w:rsid w:val="519D6907"/>
    <w:rsid w:val="52C70A43"/>
    <w:rsid w:val="55C60F8A"/>
    <w:rsid w:val="56714870"/>
    <w:rsid w:val="575C3B3B"/>
    <w:rsid w:val="57FE6468"/>
    <w:rsid w:val="59CB2BED"/>
    <w:rsid w:val="5A5654C0"/>
    <w:rsid w:val="5D1B0F08"/>
    <w:rsid w:val="5EE4309A"/>
    <w:rsid w:val="5F9E50C0"/>
    <w:rsid w:val="5FEA6FBF"/>
    <w:rsid w:val="603E2039"/>
    <w:rsid w:val="60EF3EAF"/>
    <w:rsid w:val="610C1F3F"/>
    <w:rsid w:val="619670F9"/>
    <w:rsid w:val="619B1112"/>
    <w:rsid w:val="634B193A"/>
    <w:rsid w:val="647B3903"/>
    <w:rsid w:val="64D15E6F"/>
    <w:rsid w:val="657314AF"/>
    <w:rsid w:val="68183C19"/>
    <w:rsid w:val="68CF6B69"/>
    <w:rsid w:val="693E7114"/>
    <w:rsid w:val="699130B4"/>
    <w:rsid w:val="69960C8E"/>
    <w:rsid w:val="6A3E422A"/>
    <w:rsid w:val="6A437B6F"/>
    <w:rsid w:val="6AA81420"/>
    <w:rsid w:val="6AF303B8"/>
    <w:rsid w:val="6CEA5410"/>
    <w:rsid w:val="6D0524D7"/>
    <w:rsid w:val="6D7C3506"/>
    <w:rsid w:val="6E0A0DF7"/>
    <w:rsid w:val="6E3631E6"/>
    <w:rsid w:val="6E5721D7"/>
    <w:rsid w:val="6E917A12"/>
    <w:rsid w:val="6F990A56"/>
    <w:rsid w:val="725B146D"/>
    <w:rsid w:val="72680562"/>
    <w:rsid w:val="729D48EA"/>
    <w:rsid w:val="73117B6F"/>
    <w:rsid w:val="736A3453"/>
    <w:rsid w:val="74624A13"/>
    <w:rsid w:val="75045274"/>
    <w:rsid w:val="7677180E"/>
    <w:rsid w:val="76794E18"/>
    <w:rsid w:val="76F96D3C"/>
    <w:rsid w:val="770E389B"/>
    <w:rsid w:val="77935666"/>
    <w:rsid w:val="77AA075E"/>
    <w:rsid w:val="78517307"/>
    <w:rsid w:val="78CB0664"/>
    <w:rsid w:val="79CD4DDB"/>
    <w:rsid w:val="7AF54996"/>
    <w:rsid w:val="7B260780"/>
    <w:rsid w:val="7CF63139"/>
    <w:rsid w:val="7D781EE5"/>
    <w:rsid w:val="7DAE0FEB"/>
    <w:rsid w:val="7EAB0181"/>
    <w:rsid w:val="7EB27183"/>
    <w:rsid w:val="7F05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widowControl w:val="0"/>
      <w:suppressLineNumbers w:val="0"/>
      <w:spacing w:before="340" w:beforeAutospacing="0" w:after="330" w:afterAutospacing="0" w:line="576" w:lineRule="auto"/>
      <w:ind w:left="0" w:firstLine="0"/>
      <w:jc w:val="both"/>
      <w:outlineLvl w:val="0"/>
    </w:pPr>
    <w:rPr>
      <w:rFonts w:hint="default" w:ascii="Times New Roman" w:hAnsi="Times New Roman" w:eastAsia="宋体" w:cs="Times New Roman"/>
      <w:b/>
      <w:bCs/>
      <w:kern w:val="44"/>
      <w:sz w:val="44"/>
      <w:szCs w:val="44"/>
      <w:lang w:val="en-US" w:eastAsia="zh-CN" w:bidi="ar"/>
    </w:rPr>
  </w:style>
  <w:style w:type="paragraph" w:styleId="6">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7">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8">
    <w:name w:val="heading 4"/>
    <w:basedOn w:val="1"/>
    <w:next w:val="1"/>
    <w:qFormat/>
    <w:uiPriority w:val="0"/>
    <w:pPr>
      <w:keepNext/>
      <w:keepLines/>
      <w:spacing w:line="240" w:lineRule="exact"/>
      <w:outlineLvl w:val="3"/>
    </w:pPr>
    <w:rPr>
      <w:rFonts w:ascii="Arial" w:hAnsi="Arial" w:eastAsia="仿宋_GB2312"/>
      <w:b/>
      <w:sz w:val="18"/>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keepNext w:val="0"/>
      <w:keepLines w:val="0"/>
      <w:widowControl w:val="0"/>
      <w:suppressLineNumbers w:val="0"/>
      <w:spacing w:before="0" w:beforeAutospacing="0" w:after="120" w:afterAutospacing="0" w:line="312" w:lineRule="auto"/>
      <w:ind w:left="0" w:firstLine="420"/>
      <w:jc w:val="both"/>
    </w:pPr>
    <w:rPr>
      <w:rFonts w:hint="default" w:ascii="Times New Roman" w:hAnsi="Times New Roman" w:eastAsia="宋体" w:cs="Times New Roman"/>
      <w:kern w:val="2"/>
      <w:sz w:val="21"/>
      <w:szCs w:val="24"/>
      <w:lang w:val="en-US" w:eastAsia="zh-CN" w:bidi="ar"/>
    </w:rPr>
  </w:style>
  <w:style w:type="paragraph" w:styleId="3">
    <w:name w:val="Body Text"/>
    <w:basedOn w:val="1"/>
    <w:next w:val="4"/>
    <w:qFormat/>
    <w:uiPriority w:val="0"/>
    <w:pPr>
      <w:keepNext w:val="0"/>
      <w:keepLines w:val="0"/>
      <w:widowControl w:val="0"/>
      <w:suppressLineNumbers w:val="0"/>
      <w:spacing w:before="0" w:beforeAutospacing="0" w:after="120" w:afterAutospacing="0" w:line="240" w:lineRule="auto"/>
      <w:ind w:left="0" w:firstLine="0"/>
      <w:jc w:val="both"/>
    </w:pPr>
    <w:rPr>
      <w:rFonts w:hint="default" w:ascii="Times New Roman" w:hAnsi="Times New Roman" w:eastAsia="宋体" w:cs="Times New Roman"/>
      <w:kern w:val="2"/>
      <w:sz w:val="21"/>
      <w:szCs w:val="24"/>
      <w:lang w:val="en-US" w:eastAsia="zh-CN" w:bidi="ar"/>
    </w:rPr>
  </w:style>
  <w:style w:type="paragraph" w:styleId="4">
    <w:name w:val="Date"/>
    <w:basedOn w:val="1"/>
    <w:next w:val="1"/>
    <w:qFormat/>
    <w:uiPriority w:val="0"/>
    <w:pPr>
      <w:widowControl w:val="0"/>
      <w:jc w:val="both"/>
    </w:pPr>
    <w:rPr>
      <w:kern w:val="2"/>
      <w:sz w:val="24"/>
      <w:lang w:eastAsia="zh-CN"/>
    </w:rPr>
  </w:style>
  <w:style w:type="paragraph" w:styleId="9">
    <w:name w:val="index 8"/>
    <w:basedOn w:val="1"/>
    <w:next w:val="1"/>
    <w:qFormat/>
    <w:uiPriority w:val="0"/>
    <w:pPr>
      <w:ind w:left="1400" w:leftChars="1400"/>
    </w:pPr>
  </w:style>
  <w:style w:type="paragraph" w:styleId="10">
    <w:name w:val="index 5"/>
    <w:basedOn w:val="1"/>
    <w:next w:val="1"/>
    <w:qFormat/>
    <w:uiPriority w:val="0"/>
    <w:pPr>
      <w:ind w:left="800" w:leftChars="800"/>
    </w:pPr>
  </w:style>
  <w:style w:type="paragraph" w:styleId="11">
    <w:name w:val="toa heading"/>
    <w:basedOn w:val="1"/>
    <w:next w:val="1"/>
    <w:qFormat/>
    <w:uiPriority w:val="0"/>
    <w:pPr>
      <w:spacing w:before="120"/>
    </w:pPr>
    <w:rPr>
      <w:rFonts w:ascii="Arial" w:hAnsi="Arial" w:cs="Arial"/>
    </w:rPr>
  </w:style>
  <w:style w:type="paragraph" w:styleId="12">
    <w:name w:val="annotation text"/>
    <w:basedOn w:val="1"/>
    <w:qFormat/>
    <w:uiPriority w:val="99"/>
    <w:pPr>
      <w:jc w:val="left"/>
    </w:pPr>
  </w:style>
  <w:style w:type="paragraph" w:styleId="13">
    <w:name w:val="index 6"/>
    <w:basedOn w:val="1"/>
    <w:next w:val="1"/>
    <w:qFormat/>
    <w:uiPriority w:val="0"/>
    <w:pPr>
      <w:ind w:left="1000" w:leftChars="1000"/>
    </w:pPr>
  </w:style>
  <w:style w:type="paragraph" w:styleId="14">
    <w:name w:val="Body Text Indent"/>
    <w:basedOn w:val="1"/>
    <w:next w:val="1"/>
    <w:qFormat/>
    <w:uiPriority w:val="0"/>
    <w:pPr>
      <w:keepNext w:val="0"/>
      <w:keepLines w:val="0"/>
      <w:widowControl w:val="0"/>
      <w:suppressLineNumbers w:val="0"/>
      <w:spacing w:before="0" w:beforeAutospacing="1" w:after="120" w:afterAutospacing="0" w:line="240" w:lineRule="auto"/>
      <w:ind w:left="420" w:leftChars="200" w:firstLine="0"/>
      <w:jc w:val="both"/>
    </w:pPr>
    <w:rPr>
      <w:rFonts w:ascii="Calibri" w:hAnsi="Calibri" w:eastAsia="宋体" w:cs="Times New Roman"/>
      <w:kern w:val="2"/>
      <w:sz w:val="21"/>
      <w:szCs w:val="21"/>
      <w:lang w:val="en-US" w:eastAsia="zh-CN" w:bidi="ar"/>
    </w:rPr>
  </w:style>
  <w:style w:type="paragraph" w:styleId="15">
    <w:name w:val="Plain Text"/>
    <w:basedOn w:val="1"/>
    <w:qFormat/>
    <w:uiPriority w:val="0"/>
    <w:rPr>
      <w:rFonts w:ascii="宋体" w:hAnsi="Courier New" w:eastAsia="宋体" w:cs="Courier New"/>
      <w:szCs w:val="21"/>
    </w:rPr>
  </w:style>
  <w:style w:type="paragraph" w:styleId="16">
    <w:name w:val="Body Text Indent 2"/>
    <w:basedOn w:val="1"/>
    <w:next w:val="9"/>
    <w:qFormat/>
    <w:uiPriority w:val="0"/>
    <w:pPr>
      <w:keepNext w:val="0"/>
      <w:keepLines w:val="0"/>
      <w:widowControl w:val="0"/>
      <w:suppressLineNumbers w:val="0"/>
      <w:spacing w:before="0" w:beforeAutospacing="1" w:after="0" w:afterAutospacing="0" w:line="480" w:lineRule="auto"/>
      <w:ind w:left="420" w:leftChars="200" w:firstLine="0"/>
      <w:jc w:val="both"/>
    </w:pPr>
    <w:rPr>
      <w:rFonts w:hint="default" w:ascii="Calibri" w:hAnsi="Calibri" w:eastAsia="宋体" w:cs="Times New Roman"/>
      <w:kern w:val="2"/>
      <w:sz w:val="21"/>
      <w:szCs w:val="21"/>
      <w:lang w:val="en-US" w:eastAsia="zh-CN" w:bidi="ar"/>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0"/>
    <w:pPr>
      <w:keepNext w:val="0"/>
      <w:keepLines w:val="0"/>
      <w:widowControl w:val="0"/>
      <w:suppressLineNumbers w:val="0"/>
      <w:spacing w:before="120" w:beforeAutospacing="0" w:after="120" w:afterAutospacing="0" w:line="240" w:lineRule="auto"/>
      <w:ind w:left="0" w:firstLine="0"/>
      <w:jc w:val="left"/>
    </w:pPr>
    <w:rPr>
      <w:rFonts w:hint="default" w:ascii="Times New Roman" w:hAnsi="Times New Roman" w:eastAsia="宋体" w:cs="Times New Roman"/>
      <w:b/>
      <w:bCs/>
      <w:caps/>
      <w:kern w:val="2"/>
      <w:sz w:val="20"/>
      <w:szCs w:val="20"/>
      <w:lang w:val="en-US" w:eastAsia="zh-CN" w:bidi="ar"/>
    </w:rPr>
  </w:style>
  <w:style w:type="paragraph" w:styleId="20">
    <w:name w:val="index 9"/>
    <w:basedOn w:val="1"/>
    <w:next w:val="1"/>
    <w:qFormat/>
    <w:uiPriority w:val="0"/>
    <w:pPr>
      <w:ind w:left="1600" w:leftChars="1600"/>
    </w:pPr>
  </w:style>
  <w:style w:type="paragraph" w:styleId="21">
    <w:name w:val="Normal (Web)"/>
    <w:basedOn w:val="1"/>
    <w:next w:val="1"/>
    <w:qFormat/>
    <w:uiPriority w:val="0"/>
    <w:pPr>
      <w:keepNext w:val="0"/>
      <w:keepLines w:val="0"/>
      <w:widowControl/>
      <w:suppressLineNumbers w:val="0"/>
      <w:spacing w:before="0" w:beforeAutospacing="1" w:after="0" w:afterAutospacing="1" w:line="240" w:lineRule="auto"/>
      <w:ind w:left="0" w:right="0" w:firstLine="0"/>
      <w:jc w:val="left"/>
    </w:pPr>
    <w:rPr>
      <w:rFonts w:ascii="??" w:hAnsi="??" w:eastAsia="宋体" w:cs="宋体"/>
      <w:kern w:val="0"/>
      <w:sz w:val="24"/>
      <w:szCs w:val="24"/>
      <w:lang w:val="en-US" w:eastAsia="zh-CN" w:bidi="ar"/>
    </w:rPr>
  </w:style>
  <w:style w:type="paragraph" w:styleId="22">
    <w:name w:val="Title"/>
    <w:basedOn w:val="1"/>
    <w:next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23">
    <w:name w:val="Body Text First Indent 2"/>
    <w:basedOn w:val="14"/>
    <w:next w:val="1"/>
    <w:unhideWhenUsed/>
    <w:qFormat/>
    <w:uiPriority w:val="0"/>
    <w:pPr>
      <w:ind w:firstLine="420" w:firstLineChars="200"/>
    </w:pPr>
    <w:rPr>
      <w:rFonts w:hAnsi="Calibri"/>
      <w:sz w:val="3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style>
  <w:style w:type="character" w:styleId="28">
    <w:name w:val="FollowedHyperlink"/>
    <w:basedOn w:val="26"/>
    <w:qFormat/>
    <w:uiPriority w:val="0"/>
    <w:rPr>
      <w:color w:val="800080"/>
      <w:u w:val="none"/>
    </w:rPr>
  </w:style>
  <w:style w:type="character" w:styleId="29">
    <w:name w:val="Emphasis"/>
    <w:basedOn w:val="26"/>
    <w:qFormat/>
    <w:uiPriority w:val="0"/>
  </w:style>
  <w:style w:type="character" w:styleId="30">
    <w:name w:val="HTML Definition"/>
    <w:basedOn w:val="26"/>
    <w:qFormat/>
    <w:uiPriority w:val="0"/>
  </w:style>
  <w:style w:type="character" w:styleId="31">
    <w:name w:val="HTML Typewriter"/>
    <w:basedOn w:val="26"/>
    <w:qFormat/>
    <w:uiPriority w:val="0"/>
    <w:rPr>
      <w:rFonts w:hint="default" w:ascii="monospace" w:hAnsi="monospace" w:eastAsia="monospace" w:cs="monospace"/>
      <w:sz w:val="20"/>
    </w:rPr>
  </w:style>
  <w:style w:type="character" w:styleId="32">
    <w:name w:val="HTML Acronym"/>
    <w:basedOn w:val="26"/>
    <w:qFormat/>
    <w:uiPriority w:val="0"/>
  </w:style>
  <w:style w:type="character" w:styleId="33">
    <w:name w:val="HTML Variable"/>
    <w:basedOn w:val="26"/>
    <w:qFormat/>
    <w:uiPriority w:val="0"/>
  </w:style>
  <w:style w:type="character" w:styleId="34">
    <w:name w:val="Hyperlink"/>
    <w:basedOn w:val="26"/>
    <w:qFormat/>
    <w:uiPriority w:val="0"/>
    <w:rPr>
      <w:color w:val="0000FF"/>
      <w:u w:val="single"/>
    </w:rPr>
  </w:style>
  <w:style w:type="character" w:styleId="35">
    <w:name w:val="HTML Code"/>
    <w:basedOn w:val="26"/>
    <w:qFormat/>
    <w:uiPriority w:val="0"/>
    <w:rPr>
      <w:rFonts w:hint="default" w:ascii="monospace" w:hAnsi="monospace" w:eastAsia="monospace" w:cs="monospace"/>
      <w:sz w:val="20"/>
    </w:rPr>
  </w:style>
  <w:style w:type="character" w:styleId="36">
    <w:name w:val="HTML Cite"/>
    <w:basedOn w:val="26"/>
    <w:qFormat/>
    <w:uiPriority w:val="0"/>
  </w:style>
  <w:style w:type="character" w:styleId="37">
    <w:name w:val="HTML Keyboard"/>
    <w:basedOn w:val="26"/>
    <w:qFormat/>
    <w:uiPriority w:val="0"/>
    <w:rPr>
      <w:rFonts w:hint="default" w:ascii="monospace" w:hAnsi="monospace" w:eastAsia="monospace" w:cs="monospace"/>
      <w:sz w:val="20"/>
    </w:rPr>
  </w:style>
  <w:style w:type="character" w:styleId="38">
    <w:name w:val="HTML Sample"/>
    <w:basedOn w:val="26"/>
    <w:qFormat/>
    <w:uiPriority w:val="0"/>
    <w:rPr>
      <w:rFonts w:ascii="monospace" w:hAnsi="monospace" w:eastAsia="monospace" w:cs="monospace"/>
    </w:rPr>
  </w:style>
  <w:style w:type="paragraph" w:customStyle="1" w:styleId="39">
    <w:name w:val="Normal_718"/>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Times New Roman" w:hAnsi="Times New Roman" w:eastAsia="宋体" w:cs="Times New Roman"/>
      <w:kern w:val="2"/>
      <w:sz w:val="21"/>
      <w:szCs w:val="21"/>
      <w:lang w:val="en-US" w:eastAsia="zh-CN" w:bidi="ar"/>
    </w:rPr>
  </w:style>
  <w:style w:type="paragraph" w:customStyle="1" w:styleId="40">
    <w:name w:val="Table Paragraph"/>
    <w:basedOn w:val="1"/>
    <w:qFormat/>
    <w:uiPriority w:val="0"/>
    <w:pPr>
      <w:keepNext w:val="0"/>
      <w:keepLines w:val="0"/>
      <w:widowControl w:val="0"/>
      <w:suppressLineNumbers w:val="0"/>
      <w:spacing w:before="0" w:beforeAutospacing="0" w:after="0" w:afterAutospacing="0" w:line="240" w:lineRule="auto"/>
      <w:ind w:left="0" w:firstLine="0"/>
      <w:jc w:val="both"/>
    </w:pPr>
    <w:rPr>
      <w:rFonts w:hint="default" w:ascii="Calibri" w:hAnsi="Calibri" w:eastAsia="宋体" w:cs="Times New Roman"/>
      <w:kern w:val="2"/>
      <w:sz w:val="21"/>
      <w:szCs w:val="21"/>
      <w:lang w:val="en-US" w:eastAsia="zh-CN" w:bidi="ar"/>
    </w:rPr>
  </w:style>
  <w:style w:type="character" w:customStyle="1" w:styleId="41">
    <w:name w:val="font81"/>
    <w:basedOn w:val="26"/>
    <w:qFormat/>
    <w:uiPriority w:val="0"/>
    <w:rPr>
      <w:rFonts w:hint="eastAsia" w:ascii="宋体" w:hAnsi="宋体" w:eastAsia="宋体" w:cs="宋体"/>
      <w:b/>
      <w:bCs/>
      <w:color w:val="000000"/>
      <w:sz w:val="18"/>
      <w:szCs w:val="18"/>
      <w:u w:val="none"/>
    </w:rPr>
  </w:style>
  <w:style w:type="character" w:customStyle="1" w:styleId="42">
    <w:name w:val="font71"/>
    <w:basedOn w:val="26"/>
    <w:qFormat/>
    <w:uiPriority w:val="0"/>
    <w:rPr>
      <w:rFonts w:hint="eastAsia" w:ascii="宋体" w:hAnsi="宋体" w:eastAsia="宋体" w:cs="宋体"/>
      <w:color w:val="000000"/>
      <w:sz w:val="18"/>
      <w:szCs w:val="18"/>
      <w:u w:val="none"/>
    </w:rPr>
  </w:style>
  <w:style w:type="character" w:customStyle="1" w:styleId="43">
    <w:name w:val="font41"/>
    <w:basedOn w:val="26"/>
    <w:qFormat/>
    <w:uiPriority w:val="0"/>
    <w:rPr>
      <w:rFonts w:hint="eastAsia" w:ascii="宋体" w:hAnsi="宋体" w:eastAsia="宋体" w:cs="宋体"/>
      <w:color w:val="000000"/>
      <w:sz w:val="18"/>
      <w:szCs w:val="18"/>
      <w:u w:val="none"/>
    </w:rPr>
  </w:style>
  <w:style w:type="character" w:customStyle="1" w:styleId="44">
    <w:name w:val="font51"/>
    <w:basedOn w:val="26"/>
    <w:qFormat/>
    <w:uiPriority w:val="0"/>
    <w:rPr>
      <w:rFonts w:hint="eastAsia" w:ascii="宋体" w:hAnsi="宋体" w:eastAsia="宋体" w:cs="宋体"/>
      <w:b/>
      <w:bCs/>
      <w:color w:val="000000"/>
      <w:sz w:val="18"/>
      <w:szCs w:val="18"/>
      <w:u w:val="none"/>
    </w:rPr>
  </w:style>
  <w:style w:type="character" w:customStyle="1" w:styleId="45">
    <w:name w:val="font21"/>
    <w:basedOn w:val="26"/>
    <w:qFormat/>
    <w:uiPriority w:val="0"/>
    <w:rPr>
      <w:rFonts w:hint="eastAsia" w:ascii="宋体" w:hAnsi="宋体" w:eastAsia="宋体" w:cs="宋体"/>
      <w:color w:val="000000"/>
      <w:sz w:val="18"/>
      <w:szCs w:val="18"/>
      <w:u w:val="none"/>
    </w:rPr>
  </w:style>
  <w:style w:type="character" w:customStyle="1" w:styleId="46">
    <w:name w:val="font61"/>
    <w:basedOn w:val="26"/>
    <w:qFormat/>
    <w:uiPriority w:val="0"/>
    <w:rPr>
      <w:rFonts w:hint="eastAsia" w:ascii="宋体" w:hAnsi="宋体" w:eastAsia="宋体" w:cs="宋体"/>
      <w:color w:val="000000"/>
      <w:sz w:val="18"/>
      <w:szCs w:val="18"/>
      <w:u w:val="none"/>
    </w:rPr>
  </w:style>
  <w:style w:type="character" w:customStyle="1" w:styleId="47">
    <w:name w:val="font31"/>
    <w:basedOn w:val="26"/>
    <w:qFormat/>
    <w:uiPriority w:val="0"/>
    <w:rPr>
      <w:rFonts w:hint="eastAsia" w:ascii="宋体" w:hAnsi="宋体" w:eastAsia="宋体" w:cs="宋体"/>
      <w:b/>
      <w:bCs/>
      <w:color w:val="000000"/>
      <w:sz w:val="18"/>
      <w:szCs w:val="18"/>
      <w:u w:val="none"/>
    </w:rPr>
  </w:style>
  <w:style w:type="character" w:customStyle="1" w:styleId="48">
    <w:name w:val="font101"/>
    <w:basedOn w:val="26"/>
    <w:qFormat/>
    <w:uiPriority w:val="0"/>
    <w:rPr>
      <w:rFonts w:hint="eastAsia" w:ascii="宋体" w:hAnsi="宋体" w:eastAsia="宋体" w:cs="宋体"/>
      <w:color w:val="000000"/>
      <w:sz w:val="18"/>
      <w:szCs w:val="18"/>
      <w:u w:val="none"/>
    </w:rPr>
  </w:style>
  <w:style w:type="character" w:customStyle="1" w:styleId="49">
    <w:name w:val="font01"/>
    <w:basedOn w:val="26"/>
    <w:qFormat/>
    <w:uiPriority w:val="0"/>
    <w:rPr>
      <w:rFonts w:hint="eastAsia" w:ascii="宋体" w:hAnsi="宋体" w:eastAsia="宋体" w:cs="宋体"/>
      <w:color w:val="000000"/>
      <w:sz w:val="18"/>
      <w:szCs w:val="18"/>
      <w:u w:val="none"/>
    </w:rPr>
  </w:style>
  <w:style w:type="character" w:customStyle="1" w:styleId="50">
    <w:name w:val="layui-layer-tabnow"/>
    <w:basedOn w:val="26"/>
    <w:qFormat/>
    <w:uiPriority w:val="0"/>
    <w:rPr>
      <w:bdr w:val="single" w:color="CCCCCC" w:sz="4" w:space="0"/>
      <w:shd w:val="clear" w:fill="FFFFFF"/>
    </w:rPr>
  </w:style>
  <w:style w:type="character" w:customStyle="1" w:styleId="51">
    <w:name w:val="first-child"/>
    <w:basedOn w:val="26"/>
    <w:qFormat/>
    <w:uiPriority w:val="0"/>
  </w:style>
  <w:style w:type="paragraph" w:customStyle="1" w:styleId="52">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31893</Words>
  <Characters>35551</Characters>
  <Lines>0</Lines>
  <Paragraphs>0</Paragraphs>
  <TotalTime>57</TotalTime>
  <ScaleCrop>false</ScaleCrop>
  <LinksUpToDate>false</LinksUpToDate>
  <CharactersWithSpaces>38324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2022-11-04T01:10:00Z</dcterms:created>
  <dc:creator>Administrator</dc:creator>
  <cp:lastModifiedBy>濯阳</cp:lastModifiedBy>
  <dcterms:modified xsi:type="dcterms:W3CDTF">2023-09-05T07:10:27Z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5DC7D996BC3A4B2B84437D8F6519CC56</vt:lpwstr>
  </property>
</Properties>
</file>