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0" w:firstLineChars="100"/>
        <w:jc w:val="center"/>
        <w:rPr>
          <w:rFonts w:ascii="宋体" w:hAnsi="宋体" w:cs="宋体"/>
          <w:color w:val="000000"/>
          <w:sz w:val="44"/>
          <w:szCs w:val="44"/>
        </w:rPr>
      </w:pPr>
      <w:bookmarkStart w:id="0" w:name="_Toc296602400"/>
      <w:bookmarkStart w:id="1" w:name="_Toc247085669"/>
      <w:bookmarkStart w:id="2" w:name="_Toc246996898"/>
      <w:bookmarkStart w:id="3" w:name="_Toc4161"/>
      <w:bookmarkStart w:id="4" w:name="_Toc179632546"/>
      <w:bookmarkStart w:id="5" w:name="_Toc453756895"/>
      <w:bookmarkStart w:id="6" w:name="_Toc5253"/>
      <w:bookmarkStart w:id="7" w:name="_Toc11557"/>
      <w:bookmarkStart w:id="8" w:name="_Toc246996175"/>
      <w:bookmarkStart w:id="9" w:name="_Toc152042305"/>
      <w:bookmarkStart w:id="10" w:name="_Toc247085689"/>
      <w:bookmarkStart w:id="11" w:name="_Toc17310"/>
      <w:bookmarkStart w:id="12" w:name="_Toc144974497"/>
      <w:bookmarkStart w:id="13" w:name="_Toc31947"/>
      <w:bookmarkStart w:id="14" w:name="_Toc152045529"/>
      <w:bookmarkStart w:id="15" w:name="_Toc246996918"/>
      <w:bookmarkStart w:id="16" w:name="_Toc1986"/>
    </w:p>
    <w:bookmarkEnd w:id="0"/>
    <w:bookmarkEnd w:id="1"/>
    <w:bookmarkEnd w:id="2"/>
    <w:p>
      <w:pPr>
        <w:spacing w:line="500" w:lineRule="atLeast"/>
        <w:jc w:val="center"/>
        <w:rPr>
          <w:rFonts w:ascii="宋体" w:hAnsi="宋体" w:cs="宋体"/>
          <w:sz w:val="44"/>
          <w:szCs w:val="44"/>
        </w:rPr>
      </w:pPr>
      <w:bookmarkStart w:id="17" w:name="_Toc246996156"/>
      <w:bookmarkStart w:id="18" w:name="_Toc246996899"/>
      <w:bookmarkStart w:id="19" w:name="_Toc247085670"/>
      <w:r>
        <w:rPr>
          <w:rFonts w:hint="eastAsia" w:ascii="宋体" w:hAnsi="宋体" w:cs="宋体"/>
          <w:sz w:val="44"/>
          <w:szCs w:val="44"/>
        </w:rPr>
        <w:t>长春市就业链与产业链协同发展示范项目档案数字化及运维服务（就业部分）</w:t>
      </w:r>
    </w:p>
    <w:p>
      <w:pPr>
        <w:spacing w:line="500" w:lineRule="atLeast"/>
        <w:jc w:val="center"/>
        <w:rPr>
          <w:rFonts w:ascii="宋体" w:hAnsi="宋体" w:cs="宋体"/>
          <w:sz w:val="44"/>
          <w:szCs w:val="44"/>
        </w:rPr>
      </w:pPr>
    </w:p>
    <w:p>
      <w:pPr>
        <w:pStyle w:val="42"/>
        <w:ind w:firstLine="880"/>
        <w:rPr>
          <w:rFonts w:ascii="宋体" w:hAnsi="宋体" w:cs="宋体"/>
          <w:sz w:val="44"/>
          <w:szCs w:val="44"/>
        </w:rPr>
      </w:pPr>
    </w:p>
    <w:p>
      <w:pPr>
        <w:pStyle w:val="26"/>
      </w:pPr>
      <w:bookmarkStart w:id="1018" w:name="_GoBack"/>
      <w:bookmarkEnd w:id="1018"/>
    </w:p>
    <w:p>
      <w:pPr>
        <w:spacing w:line="500" w:lineRule="atLeast"/>
        <w:jc w:val="center"/>
        <w:rPr>
          <w:rFonts w:ascii="宋体" w:hAnsi="宋体" w:cs="宋体"/>
          <w:bCs/>
          <w:sz w:val="72"/>
          <w:szCs w:val="72"/>
        </w:rPr>
      </w:pPr>
      <w:r>
        <w:rPr>
          <w:rFonts w:hint="eastAsia" w:ascii="宋体" w:hAnsi="宋体" w:cs="宋体"/>
          <w:bCs/>
          <w:sz w:val="72"/>
          <w:szCs w:val="72"/>
        </w:rPr>
        <w:t>招 标 文 件</w:t>
      </w:r>
    </w:p>
    <w:p>
      <w:pPr>
        <w:jc w:val="center"/>
        <w:rPr>
          <w:rFonts w:ascii="宋体" w:hAnsi="宋体" w:cs="宋体"/>
          <w:sz w:val="32"/>
          <w:szCs w:val="32"/>
        </w:rPr>
      </w:pPr>
      <w:r>
        <w:rPr>
          <w:rFonts w:hint="eastAsia" w:ascii="宋体" w:hAnsi="宋体" w:cs="宋体"/>
          <w:sz w:val="32"/>
          <w:szCs w:val="32"/>
        </w:rPr>
        <w:t>招标项目编号：JM-2023-11-01181-2</w:t>
      </w:r>
    </w:p>
    <w:p>
      <w:pPr>
        <w:jc w:val="center"/>
        <w:rPr>
          <w:rFonts w:ascii="宋体" w:hAnsi="宋体" w:cs="宋体"/>
          <w:sz w:val="44"/>
          <w:szCs w:val="44"/>
        </w:rPr>
      </w:pPr>
    </w:p>
    <w:p>
      <w:pPr>
        <w:pStyle w:val="25"/>
        <w:rPr>
          <w:rFonts w:ascii="宋体" w:hAnsi="宋体" w:cs="宋体"/>
          <w:sz w:val="44"/>
          <w:szCs w:val="44"/>
        </w:rPr>
      </w:pPr>
    </w:p>
    <w:p>
      <w:pPr>
        <w:rPr>
          <w:rFonts w:ascii="宋体" w:hAnsi="宋体" w:cs="宋体"/>
          <w:sz w:val="44"/>
          <w:szCs w:val="44"/>
        </w:rPr>
      </w:pPr>
    </w:p>
    <w:p>
      <w:pPr>
        <w:pStyle w:val="57"/>
      </w:pPr>
    </w:p>
    <w:p>
      <w:pPr>
        <w:rPr>
          <w:rFonts w:ascii="宋体" w:hAnsi="宋体" w:cs="宋体"/>
          <w:sz w:val="44"/>
          <w:szCs w:val="44"/>
        </w:rPr>
      </w:pPr>
    </w:p>
    <w:p>
      <w:pPr>
        <w:pStyle w:val="57"/>
      </w:pPr>
    </w:p>
    <w:p>
      <w:pPr>
        <w:jc w:val="center"/>
        <w:rPr>
          <w:rFonts w:ascii="宋体" w:hAnsi="宋体" w:cs="宋体"/>
          <w:sz w:val="44"/>
          <w:szCs w:val="44"/>
        </w:rPr>
      </w:pPr>
    </w:p>
    <w:p>
      <w:pPr>
        <w:snapToGrid w:val="0"/>
        <w:spacing w:line="480" w:lineRule="auto"/>
        <w:jc w:val="center"/>
        <w:rPr>
          <w:rFonts w:ascii="宋体" w:hAnsi="宋体" w:cs="宋体"/>
          <w:sz w:val="32"/>
          <w:szCs w:val="32"/>
        </w:rPr>
      </w:pPr>
    </w:p>
    <w:p>
      <w:pPr>
        <w:snapToGrid w:val="0"/>
        <w:spacing w:line="480" w:lineRule="auto"/>
        <w:ind w:firstLine="320" w:firstLineChars="100"/>
        <w:rPr>
          <w:rFonts w:ascii="宋体" w:hAnsi="宋体" w:cs="宋体"/>
          <w:bCs/>
          <w:sz w:val="32"/>
          <w:szCs w:val="32"/>
          <w:u w:val="single"/>
        </w:rPr>
      </w:pPr>
      <w:r>
        <w:rPr>
          <w:rFonts w:hint="eastAsia" w:ascii="宋体" w:hAnsi="宋体" w:cs="宋体"/>
          <w:bCs/>
          <w:sz w:val="32"/>
          <w:szCs w:val="32"/>
        </w:rPr>
        <w:t>招   标   人：</w:t>
      </w:r>
      <w:r>
        <w:rPr>
          <w:rFonts w:hint="eastAsia" w:ascii="宋体" w:hAnsi="宋体" w:cs="宋体"/>
          <w:bCs/>
          <w:sz w:val="32"/>
          <w:szCs w:val="32"/>
          <w:u w:val="single"/>
        </w:rPr>
        <w:t xml:space="preserve">  长春市就业服务局                 </w:t>
      </w:r>
    </w:p>
    <w:p>
      <w:pPr>
        <w:snapToGrid w:val="0"/>
        <w:spacing w:line="480" w:lineRule="auto"/>
        <w:ind w:firstLine="320" w:firstLineChars="100"/>
        <w:rPr>
          <w:rFonts w:ascii="宋体" w:hAnsi="宋体" w:cs="宋体"/>
          <w:sz w:val="32"/>
          <w:szCs w:val="32"/>
          <w:u w:val="single"/>
        </w:rPr>
      </w:pPr>
      <w:r>
        <w:rPr>
          <w:rFonts w:hint="eastAsia" w:ascii="宋体" w:hAnsi="宋体" w:cs="宋体"/>
          <w:sz w:val="32"/>
          <w:szCs w:val="32"/>
        </w:rPr>
        <w:t>招标代理机构：</w:t>
      </w:r>
      <w:r>
        <w:rPr>
          <w:rFonts w:hint="eastAsia" w:ascii="宋体" w:hAnsi="宋体" w:cs="宋体"/>
          <w:sz w:val="32"/>
          <w:szCs w:val="32"/>
          <w:u w:val="single"/>
        </w:rPr>
        <w:t xml:space="preserve">  </w:t>
      </w:r>
      <w:r>
        <w:rPr>
          <w:rFonts w:hint="eastAsia" w:ascii="宋体" w:hAnsi="宋体" w:cs="宋体"/>
          <w:bCs/>
          <w:sz w:val="32"/>
          <w:szCs w:val="32"/>
          <w:u w:val="single"/>
        </w:rPr>
        <w:t xml:space="preserve">吉林省龙泰工程咨询有限责任公司   </w:t>
      </w:r>
    </w:p>
    <w:p>
      <w:pPr>
        <w:snapToGrid w:val="0"/>
        <w:spacing w:line="480" w:lineRule="auto"/>
        <w:jc w:val="center"/>
        <w:rPr>
          <w:rFonts w:ascii="宋体" w:hAnsi="宋体" w:cs="宋体"/>
          <w:sz w:val="32"/>
          <w:szCs w:val="32"/>
        </w:rPr>
      </w:pPr>
      <w:r>
        <w:rPr>
          <w:rFonts w:hint="eastAsia" w:ascii="宋体" w:hAnsi="宋体" w:cs="宋体"/>
          <w:sz w:val="32"/>
          <w:szCs w:val="32"/>
        </w:rPr>
        <w:t>2023年12月</w:t>
      </w:r>
    </w:p>
    <w:p>
      <w:pPr>
        <w:spacing w:line="440" w:lineRule="exact"/>
        <w:jc w:val="center"/>
        <w:rPr>
          <w:rFonts w:ascii="宋体" w:hAnsi="宋体" w:cs="宋体"/>
          <w:b/>
          <w:color w:val="000000"/>
          <w:sz w:val="44"/>
          <w:szCs w:val="44"/>
        </w:rPr>
      </w:pPr>
    </w:p>
    <w:p>
      <w:pPr>
        <w:pStyle w:val="25"/>
        <w:rPr>
          <w:rFonts w:ascii="宋体" w:hAnsi="宋体" w:cs="宋体"/>
          <w:b/>
          <w:color w:val="000000"/>
          <w:sz w:val="44"/>
          <w:szCs w:val="44"/>
        </w:rPr>
      </w:pPr>
    </w:p>
    <w:p>
      <w:pPr>
        <w:sectPr>
          <w:headerReference r:id="rId3" w:type="default"/>
          <w:footerReference r:id="rId4" w:type="default"/>
          <w:pgSz w:w="11906" w:h="16838"/>
          <w:pgMar w:top="1440" w:right="1800" w:bottom="1440" w:left="1800" w:header="851" w:footer="992" w:gutter="0"/>
          <w:pgNumType w:start="1"/>
          <w:cols w:space="720" w:num="1"/>
          <w:rtlGutter w:val="1"/>
          <w:docGrid w:type="lines" w:linePitch="312" w:charSpace="0"/>
        </w:sectPr>
      </w:pPr>
    </w:p>
    <w:p>
      <w:pPr>
        <w:pStyle w:val="42"/>
      </w:pPr>
    </w:p>
    <w:p>
      <w:pPr>
        <w:spacing w:line="440" w:lineRule="exact"/>
        <w:jc w:val="center"/>
        <w:rPr>
          <w:rFonts w:ascii="宋体" w:hAnsi="宋体" w:cs="宋体"/>
          <w:b/>
          <w:color w:val="000000"/>
          <w:sz w:val="44"/>
          <w:szCs w:val="44"/>
        </w:rPr>
      </w:pPr>
    </w:p>
    <w:p>
      <w:pPr>
        <w:spacing w:line="440" w:lineRule="exact"/>
        <w:jc w:val="center"/>
        <w:rPr>
          <w:rFonts w:ascii="宋体" w:hAnsi="宋体" w:cs="宋体"/>
          <w:b/>
          <w:color w:val="000000"/>
          <w:sz w:val="44"/>
          <w:szCs w:val="44"/>
        </w:rPr>
      </w:pPr>
      <w:r>
        <w:rPr>
          <w:rFonts w:hint="eastAsia" w:ascii="宋体" w:hAnsi="宋体" w:cs="宋体"/>
          <w:b/>
          <w:color w:val="000000"/>
          <w:sz w:val="44"/>
          <w:szCs w:val="44"/>
        </w:rPr>
        <w:t>目  录</w:t>
      </w:r>
    </w:p>
    <w:p>
      <w:pPr>
        <w:pStyle w:val="57"/>
      </w:pPr>
    </w:p>
    <w:p>
      <w:pPr>
        <w:pStyle w:val="117"/>
        <w:tabs>
          <w:tab w:val="right" w:leader="dot" w:pos="8306"/>
        </w:tabs>
        <w:rPr>
          <w:rFonts w:ascii="宋体" w:hAnsi="宋体" w:cs="宋体"/>
          <w:color w:val="000000"/>
          <w:sz w:val="28"/>
          <w:szCs w:val="28"/>
        </w:rPr>
      </w:pPr>
      <w:r>
        <w:rPr>
          <w:rFonts w:hint="eastAsia" w:ascii="宋体" w:hAnsi="宋体" w:cs="宋体"/>
          <w:color w:val="000000"/>
        </w:rPr>
        <w:fldChar w:fldCharType="begin"/>
      </w:r>
      <w:r>
        <w:rPr>
          <w:rFonts w:hint="eastAsia" w:ascii="宋体" w:hAnsi="宋体" w:cs="宋体"/>
          <w:color w:val="000000"/>
        </w:rPr>
        <w:instrText xml:space="preserve">TOC \o "1-1" \h \u </w:instrText>
      </w:r>
      <w:r>
        <w:rPr>
          <w:rFonts w:hint="eastAsia" w:ascii="宋体" w:hAnsi="宋体" w:cs="宋体"/>
          <w:color w:val="000000"/>
        </w:rPr>
        <w:fldChar w:fldCharType="separate"/>
      </w:r>
      <w:r>
        <w:fldChar w:fldCharType="begin"/>
      </w:r>
      <w:r>
        <w:instrText xml:space="preserve"> HYPERLINK \l "_Toc2466" </w:instrText>
      </w:r>
      <w:r>
        <w:fldChar w:fldCharType="separate"/>
      </w:r>
      <w:r>
        <w:rPr>
          <w:rFonts w:hint="eastAsia" w:ascii="宋体" w:hAnsi="宋体" w:cs="宋体"/>
          <w:color w:val="000000"/>
          <w:sz w:val="28"/>
          <w:szCs w:val="28"/>
        </w:rPr>
        <w:t>第一章 招标公告</w:t>
      </w:r>
      <w:r>
        <w:rPr>
          <w:rFonts w:hint="eastAsia" w:ascii="宋体" w:hAnsi="宋体" w:cs="宋体"/>
          <w:color w:val="000000"/>
          <w:sz w:val="28"/>
          <w:szCs w:val="28"/>
        </w:rPr>
        <w:tab/>
      </w:r>
      <w:r>
        <w:rPr>
          <w:rFonts w:hint="eastAsia" w:ascii="宋体" w:hAnsi="宋体" w:cs="宋体"/>
          <w:color w:val="000000"/>
          <w:sz w:val="28"/>
          <w:szCs w:val="28"/>
        </w:rPr>
        <w:fldChar w:fldCharType="begin"/>
      </w:r>
      <w:r>
        <w:rPr>
          <w:rFonts w:hint="eastAsia" w:ascii="宋体" w:hAnsi="宋体" w:cs="宋体"/>
          <w:color w:val="000000"/>
          <w:sz w:val="28"/>
          <w:szCs w:val="28"/>
        </w:rPr>
        <w:instrText xml:space="preserve"> PAGEREF _Toc2466 </w:instrText>
      </w:r>
      <w:r>
        <w:rPr>
          <w:rFonts w:hint="eastAsia" w:ascii="宋体" w:hAnsi="宋体" w:cs="宋体"/>
          <w:color w:val="000000"/>
          <w:sz w:val="28"/>
          <w:szCs w:val="28"/>
        </w:rPr>
        <w:fldChar w:fldCharType="separate"/>
      </w:r>
      <w:r>
        <w:rPr>
          <w:rFonts w:hint="eastAsia" w:ascii="宋体" w:hAnsi="宋体" w:cs="宋体"/>
          <w:color w:val="000000"/>
          <w:sz w:val="28"/>
          <w:szCs w:val="28"/>
        </w:rPr>
        <w:t>1</w:t>
      </w:r>
      <w:r>
        <w:rPr>
          <w:rFonts w:hint="eastAsia" w:ascii="宋体" w:hAnsi="宋体" w:cs="宋体"/>
          <w:color w:val="000000"/>
          <w:sz w:val="28"/>
          <w:szCs w:val="28"/>
        </w:rPr>
        <w:fldChar w:fldCharType="end"/>
      </w:r>
      <w:r>
        <w:rPr>
          <w:rFonts w:hint="eastAsia" w:ascii="宋体" w:hAnsi="宋体" w:cs="宋体"/>
          <w:color w:val="000000"/>
          <w:sz w:val="28"/>
          <w:szCs w:val="28"/>
        </w:rPr>
        <w:fldChar w:fldCharType="end"/>
      </w:r>
    </w:p>
    <w:p>
      <w:pPr>
        <w:pStyle w:val="117"/>
        <w:tabs>
          <w:tab w:val="right" w:leader="dot" w:pos="8306"/>
        </w:tabs>
        <w:rPr>
          <w:rFonts w:ascii="宋体" w:hAnsi="宋体" w:cs="宋体"/>
          <w:color w:val="000000"/>
          <w:sz w:val="28"/>
          <w:szCs w:val="28"/>
        </w:rPr>
      </w:pPr>
      <w:r>
        <w:fldChar w:fldCharType="begin"/>
      </w:r>
      <w:r>
        <w:instrText xml:space="preserve"> HYPERLINK \l "_Toc19108" </w:instrText>
      </w:r>
      <w:r>
        <w:fldChar w:fldCharType="separate"/>
      </w:r>
      <w:r>
        <w:rPr>
          <w:rFonts w:hint="eastAsia" w:ascii="宋体" w:hAnsi="宋体" w:cs="宋体"/>
          <w:color w:val="000000"/>
          <w:sz w:val="28"/>
          <w:szCs w:val="28"/>
        </w:rPr>
        <w:t>第二章 投标人须知</w:t>
      </w:r>
      <w:r>
        <w:rPr>
          <w:rFonts w:hint="eastAsia" w:ascii="宋体" w:hAnsi="宋体" w:cs="宋体"/>
          <w:color w:val="000000"/>
          <w:sz w:val="28"/>
          <w:szCs w:val="28"/>
        </w:rPr>
        <w:tab/>
      </w:r>
      <w:r>
        <w:rPr>
          <w:rFonts w:hint="eastAsia" w:ascii="宋体" w:hAnsi="宋体" w:cs="宋体"/>
          <w:color w:val="000000"/>
          <w:sz w:val="28"/>
          <w:szCs w:val="28"/>
        </w:rPr>
        <w:t>4</w:t>
      </w:r>
      <w:r>
        <w:rPr>
          <w:rFonts w:hint="eastAsia" w:ascii="宋体" w:hAnsi="宋体" w:cs="宋体"/>
          <w:color w:val="000000"/>
          <w:sz w:val="28"/>
          <w:szCs w:val="28"/>
        </w:rPr>
        <w:fldChar w:fldCharType="end"/>
      </w:r>
    </w:p>
    <w:p>
      <w:pPr>
        <w:pStyle w:val="117"/>
        <w:tabs>
          <w:tab w:val="right" w:leader="dot" w:pos="8306"/>
        </w:tabs>
        <w:rPr>
          <w:rFonts w:ascii="宋体" w:hAnsi="宋体" w:cs="宋体"/>
          <w:color w:val="000000"/>
          <w:sz w:val="28"/>
          <w:szCs w:val="28"/>
        </w:rPr>
      </w:pPr>
      <w:r>
        <w:fldChar w:fldCharType="begin"/>
      </w:r>
      <w:r>
        <w:instrText xml:space="preserve"> HYPERLINK \l "_Toc21572" </w:instrText>
      </w:r>
      <w:r>
        <w:fldChar w:fldCharType="separate"/>
      </w:r>
      <w:r>
        <w:rPr>
          <w:rFonts w:hint="eastAsia" w:ascii="宋体" w:hAnsi="宋体" w:cs="宋体"/>
          <w:color w:val="000000"/>
          <w:sz w:val="28"/>
          <w:szCs w:val="28"/>
        </w:rPr>
        <w:t>第三章 评标办法</w:t>
      </w:r>
      <w:r>
        <w:rPr>
          <w:rFonts w:hint="eastAsia" w:ascii="宋体" w:hAnsi="宋体" w:cs="宋体"/>
          <w:color w:val="000000"/>
          <w:sz w:val="28"/>
          <w:szCs w:val="28"/>
        </w:rPr>
        <w:tab/>
      </w:r>
      <w:r>
        <w:rPr>
          <w:rFonts w:hint="eastAsia" w:ascii="宋体" w:hAnsi="宋体" w:cs="宋体"/>
          <w:color w:val="000000"/>
          <w:sz w:val="28"/>
          <w:szCs w:val="28"/>
        </w:rPr>
        <w:t>2</w:t>
      </w:r>
      <w:r>
        <w:rPr>
          <w:rFonts w:hint="eastAsia" w:ascii="宋体" w:hAnsi="宋体" w:cs="宋体"/>
          <w:color w:val="000000"/>
          <w:sz w:val="28"/>
          <w:szCs w:val="28"/>
        </w:rPr>
        <w:fldChar w:fldCharType="end"/>
      </w:r>
      <w:r>
        <w:rPr>
          <w:rFonts w:hint="eastAsia" w:ascii="宋体" w:hAnsi="宋体" w:cs="宋体"/>
          <w:color w:val="000000"/>
          <w:sz w:val="28"/>
          <w:szCs w:val="28"/>
        </w:rPr>
        <w:t>2</w:t>
      </w:r>
    </w:p>
    <w:p>
      <w:pPr>
        <w:pStyle w:val="117"/>
        <w:tabs>
          <w:tab w:val="right" w:leader="dot" w:pos="8306"/>
        </w:tabs>
        <w:rPr>
          <w:rFonts w:ascii="宋体" w:hAnsi="宋体" w:cs="宋体"/>
          <w:color w:val="000000"/>
          <w:sz w:val="28"/>
          <w:szCs w:val="28"/>
        </w:rPr>
      </w:pPr>
      <w:r>
        <w:fldChar w:fldCharType="begin"/>
      </w:r>
      <w:r>
        <w:instrText xml:space="preserve"> HYPERLINK \l "_Toc3593" </w:instrText>
      </w:r>
      <w:r>
        <w:fldChar w:fldCharType="separate"/>
      </w:r>
      <w:r>
        <w:rPr>
          <w:rFonts w:hint="eastAsia" w:ascii="宋体" w:hAnsi="宋体" w:cs="宋体"/>
          <w:color w:val="000000"/>
          <w:sz w:val="28"/>
          <w:szCs w:val="28"/>
        </w:rPr>
        <w:t>第四章 合同条款及格式</w:t>
      </w:r>
      <w:r>
        <w:rPr>
          <w:rFonts w:hint="eastAsia" w:ascii="宋体" w:hAnsi="宋体" w:cs="宋体"/>
          <w:color w:val="000000"/>
          <w:sz w:val="28"/>
          <w:szCs w:val="28"/>
        </w:rPr>
        <w:tab/>
      </w:r>
      <w:r>
        <w:rPr>
          <w:rFonts w:hint="eastAsia" w:ascii="宋体" w:hAnsi="宋体" w:cs="宋体"/>
          <w:color w:val="000000"/>
          <w:sz w:val="28"/>
          <w:szCs w:val="28"/>
        </w:rPr>
        <w:t>3</w:t>
      </w:r>
      <w:r>
        <w:rPr>
          <w:rFonts w:hint="eastAsia" w:ascii="宋体" w:hAnsi="宋体" w:cs="宋体"/>
          <w:color w:val="000000"/>
          <w:sz w:val="28"/>
          <w:szCs w:val="28"/>
        </w:rPr>
        <w:fldChar w:fldCharType="end"/>
      </w:r>
      <w:r>
        <w:rPr>
          <w:rFonts w:hint="eastAsia" w:ascii="宋体" w:hAnsi="宋体" w:cs="宋体"/>
          <w:color w:val="000000"/>
          <w:sz w:val="28"/>
          <w:szCs w:val="28"/>
        </w:rPr>
        <w:t>8</w:t>
      </w:r>
    </w:p>
    <w:p>
      <w:pPr>
        <w:pStyle w:val="117"/>
        <w:tabs>
          <w:tab w:val="right" w:leader="dot" w:pos="8306"/>
        </w:tabs>
        <w:rPr>
          <w:rFonts w:ascii="宋体" w:hAnsi="宋体" w:cs="宋体"/>
          <w:color w:val="000000"/>
          <w:sz w:val="28"/>
          <w:szCs w:val="28"/>
        </w:rPr>
      </w:pPr>
      <w:r>
        <w:fldChar w:fldCharType="begin"/>
      </w:r>
      <w:r>
        <w:instrText xml:space="preserve"> HYPERLINK \l "_Toc13094" </w:instrText>
      </w:r>
      <w:r>
        <w:fldChar w:fldCharType="separate"/>
      </w:r>
      <w:r>
        <w:rPr>
          <w:rFonts w:hint="eastAsia" w:ascii="宋体" w:hAnsi="宋体" w:cs="宋体"/>
          <w:color w:val="000000"/>
          <w:sz w:val="28"/>
          <w:szCs w:val="28"/>
        </w:rPr>
        <w:t>第五章 采购需求</w:t>
      </w:r>
      <w:r>
        <w:rPr>
          <w:rFonts w:hint="eastAsia" w:ascii="宋体" w:hAnsi="宋体" w:cs="宋体"/>
          <w:color w:val="000000"/>
          <w:sz w:val="28"/>
          <w:szCs w:val="28"/>
        </w:rPr>
        <w:tab/>
      </w:r>
      <w:r>
        <w:rPr>
          <w:rFonts w:hint="eastAsia" w:ascii="宋体" w:hAnsi="宋体" w:cs="宋体"/>
          <w:color w:val="000000"/>
          <w:sz w:val="28"/>
          <w:szCs w:val="28"/>
        </w:rPr>
        <w:t>3</w:t>
      </w:r>
      <w:r>
        <w:rPr>
          <w:rFonts w:hint="eastAsia" w:ascii="宋体" w:hAnsi="宋体" w:cs="宋体"/>
          <w:color w:val="000000"/>
          <w:sz w:val="28"/>
          <w:szCs w:val="28"/>
        </w:rPr>
        <w:fldChar w:fldCharType="end"/>
      </w:r>
      <w:r>
        <w:rPr>
          <w:rFonts w:hint="eastAsia" w:ascii="宋体" w:hAnsi="宋体" w:cs="宋体"/>
          <w:color w:val="000000"/>
          <w:sz w:val="28"/>
          <w:szCs w:val="28"/>
        </w:rPr>
        <w:t>9</w:t>
      </w:r>
    </w:p>
    <w:p>
      <w:pPr>
        <w:pStyle w:val="117"/>
        <w:tabs>
          <w:tab w:val="right" w:leader="dot" w:pos="8306"/>
        </w:tabs>
        <w:rPr>
          <w:rFonts w:ascii="宋体" w:hAnsi="宋体" w:cs="宋体"/>
          <w:color w:val="000000"/>
          <w:sz w:val="28"/>
          <w:szCs w:val="28"/>
        </w:rPr>
      </w:pPr>
      <w:r>
        <w:fldChar w:fldCharType="begin"/>
      </w:r>
      <w:r>
        <w:instrText xml:space="preserve"> HYPERLINK \l "_Toc22867" </w:instrText>
      </w:r>
      <w:r>
        <w:fldChar w:fldCharType="separate"/>
      </w:r>
      <w:r>
        <w:rPr>
          <w:rFonts w:hint="eastAsia" w:ascii="宋体" w:hAnsi="宋体" w:cs="宋体"/>
          <w:color w:val="000000"/>
          <w:sz w:val="28"/>
          <w:szCs w:val="28"/>
        </w:rPr>
        <w:t>第六章 投标文件格式</w:t>
      </w:r>
      <w:r>
        <w:rPr>
          <w:rFonts w:hint="eastAsia" w:ascii="宋体" w:hAnsi="宋体" w:cs="宋体"/>
          <w:color w:val="000000"/>
          <w:sz w:val="28"/>
          <w:szCs w:val="28"/>
        </w:rPr>
        <w:tab/>
      </w:r>
      <w:r>
        <w:rPr>
          <w:rFonts w:hint="eastAsia" w:ascii="宋体" w:hAnsi="宋体" w:cs="宋体"/>
          <w:color w:val="000000"/>
          <w:sz w:val="28"/>
          <w:szCs w:val="28"/>
        </w:rPr>
        <w:fldChar w:fldCharType="end"/>
      </w:r>
      <w:r>
        <w:rPr>
          <w:rFonts w:hint="eastAsia" w:ascii="宋体" w:hAnsi="宋体" w:cs="宋体"/>
          <w:color w:val="000000"/>
          <w:sz w:val="28"/>
          <w:szCs w:val="28"/>
        </w:rPr>
        <w:t>83</w:t>
      </w:r>
    </w:p>
    <w:p>
      <w:pPr>
        <w:pStyle w:val="117"/>
        <w:tabs>
          <w:tab w:val="right" w:leader="dot" w:pos="8306"/>
        </w:tabs>
        <w:rPr>
          <w:rFonts w:ascii="宋体" w:hAnsi="宋体" w:cs="宋体"/>
          <w:color w:val="000000"/>
          <w:sz w:val="28"/>
          <w:szCs w:val="28"/>
        </w:rPr>
      </w:pPr>
    </w:p>
    <w:p>
      <w:pPr>
        <w:pStyle w:val="117"/>
        <w:tabs>
          <w:tab w:val="right" w:leader="dot" w:pos="8306"/>
        </w:tabs>
        <w:rPr>
          <w:rFonts w:ascii="宋体" w:hAnsi="宋体" w:cs="宋体"/>
          <w:b/>
          <w:bCs/>
          <w:color w:val="000000"/>
        </w:rPr>
      </w:pPr>
    </w:p>
    <w:p>
      <w:pPr>
        <w:rPr>
          <w:rFonts w:ascii="宋体" w:hAnsi="宋体" w:cs="宋体"/>
          <w:color w:val="000000"/>
        </w:rPr>
      </w:pPr>
      <w:r>
        <w:rPr>
          <w:rFonts w:hint="eastAsia" w:ascii="宋体" w:hAnsi="宋体" w:cs="宋体"/>
          <w:color w:val="000000"/>
        </w:rPr>
        <w:fldChar w:fldCharType="end"/>
      </w:r>
    </w:p>
    <w:bookmarkEnd w:id="17"/>
    <w:bookmarkEnd w:id="18"/>
    <w:bookmarkEnd w:id="19"/>
    <w:p>
      <w:pPr>
        <w:pStyle w:val="2"/>
        <w:keepNext w:val="0"/>
        <w:keepLines w:val="0"/>
        <w:spacing w:line="500" w:lineRule="exact"/>
        <w:rPr>
          <w:rFonts w:ascii="宋体" w:hAnsi="宋体" w:cs="宋体"/>
          <w:b w:val="0"/>
          <w:bCs w:val="0"/>
          <w:iCs/>
          <w:caps/>
          <w:color w:val="000000"/>
          <w:kern w:val="2"/>
          <w:sz w:val="20"/>
          <w:szCs w:val="20"/>
        </w:rPr>
        <w:sectPr>
          <w:footerReference r:id="rId5" w:type="default"/>
          <w:pgSz w:w="11906" w:h="16838"/>
          <w:pgMar w:top="1440" w:right="1800" w:bottom="1440" w:left="1800" w:header="851" w:footer="992" w:gutter="0"/>
          <w:pgNumType w:start="1"/>
          <w:cols w:space="720" w:num="1"/>
          <w:rtlGutter w:val="1"/>
          <w:docGrid w:type="lines" w:linePitch="312" w:charSpace="0"/>
        </w:sectPr>
      </w:pPr>
      <w:bookmarkStart w:id="20" w:name="_Toc179632527"/>
      <w:bookmarkStart w:id="21" w:name="_Toc144974479"/>
      <w:bookmarkStart w:id="22" w:name="_Toc152042287"/>
      <w:bookmarkStart w:id="23" w:name="_Toc152045511"/>
    </w:p>
    <w:p>
      <w:pPr>
        <w:spacing w:line="500" w:lineRule="exact"/>
        <w:ind w:firstLine="883" w:firstLineChars="200"/>
        <w:jc w:val="center"/>
        <w:rPr>
          <w:rFonts w:ascii="宋体" w:hAnsi="宋体" w:cs="宋体"/>
          <w:b/>
          <w:bCs/>
          <w:color w:val="000000"/>
          <w:sz w:val="44"/>
          <w:szCs w:val="44"/>
        </w:rPr>
      </w:pPr>
      <w:bookmarkStart w:id="24" w:name="_Toc8682"/>
      <w:bookmarkStart w:id="25" w:name="_Toc246996157"/>
      <w:bookmarkStart w:id="26" w:name="_Toc246996900"/>
      <w:bookmarkStart w:id="27" w:name="_Toc247096243"/>
      <w:bookmarkStart w:id="28" w:name="_Toc2466"/>
      <w:bookmarkStart w:id="29" w:name="_Toc247085671"/>
      <w:r>
        <w:rPr>
          <w:rFonts w:hint="eastAsia" w:ascii="黑体" w:hAnsi="黑体" w:eastAsia="黑体" w:cs="黑体"/>
          <w:b/>
          <w:bCs/>
          <w:color w:val="000000"/>
          <w:sz w:val="44"/>
          <w:szCs w:val="44"/>
        </w:rPr>
        <w:t>第一章</w:t>
      </w:r>
      <w:bookmarkEnd w:id="20"/>
      <w:bookmarkEnd w:id="21"/>
      <w:bookmarkEnd w:id="22"/>
      <w:bookmarkEnd w:id="23"/>
      <w:bookmarkEnd w:id="24"/>
      <w:bookmarkEnd w:id="25"/>
      <w:bookmarkEnd w:id="26"/>
      <w:bookmarkEnd w:id="27"/>
      <w:bookmarkEnd w:id="28"/>
      <w:bookmarkEnd w:id="29"/>
      <w:bookmarkStart w:id="30" w:name="_Toc18868"/>
      <w:bookmarkStart w:id="31" w:name="_Toc19108"/>
      <w:bookmarkStart w:id="32" w:name="_Toc144974495"/>
      <w:bookmarkStart w:id="33" w:name="_Toc152045527"/>
      <w:bookmarkStart w:id="34" w:name="_Toc246996916"/>
      <w:bookmarkStart w:id="35" w:name="_Toc18845"/>
      <w:bookmarkStart w:id="36" w:name="_Toc152042303"/>
      <w:bookmarkStart w:id="37" w:name="_Toc247085687"/>
      <w:bookmarkStart w:id="38" w:name="_Toc246996173"/>
      <w:bookmarkStart w:id="39" w:name="_Toc179632544"/>
      <w:r>
        <w:rPr>
          <w:rFonts w:hint="eastAsia" w:ascii="黑体" w:hAnsi="黑体" w:eastAsia="黑体" w:cs="黑体"/>
          <w:b/>
          <w:bCs/>
          <w:color w:val="000000"/>
          <w:sz w:val="44"/>
          <w:szCs w:val="44"/>
        </w:rPr>
        <w:t xml:space="preserve">  招标公告</w:t>
      </w:r>
    </w:p>
    <w:p>
      <w:pPr>
        <w:spacing w:line="500" w:lineRule="exact"/>
        <w:jc w:val="left"/>
        <w:rPr>
          <w:rFonts w:ascii="宋体" w:hAnsi="宋体" w:cs="宋体"/>
          <w:b/>
          <w:bCs/>
          <w:color w:val="000000"/>
          <w:szCs w:val="21"/>
        </w:rPr>
      </w:pPr>
      <w:r>
        <w:rPr>
          <w:rFonts w:hint="eastAsia" w:ascii="宋体" w:hAnsi="宋体" w:cs="宋体"/>
          <w:b/>
          <w:bCs/>
          <w:color w:val="000000"/>
          <w:szCs w:val="21"/>
        </w:rPr>
        <w:t>项目概况</w:t>
      </w:r>
    </w:p>
    <w:p>
      <w:pPr>
        <w:widowControl/>
        <w:pBdr>
          <w:top w:val="single" w:color="auto" w:sz="4" w:space="1"/>
          <w:left w:val="single" w:color="auto" w:sz="4" w:space="4"/>
          <w:bottom w:val="single" w:color="auto" w:sz="4" w:space="1"/>
          <w:right w:val="single" w:color="auto" w:sz="4" w:space="4"/>
        </w:pBdr>
        <w:spacing w:line="440" w:lineRule="exact"/>
        <w:ind w:firstLine="420" w:firstLineChars="200"/>
        <w:rPr>
          <w:rFonts w:ascii="宋体" w:hAnsi="宋体" w:cs="宋体"/>
          <w:kern w:val="0"/>
          <w:szCs w:val="21"/>
        </w:rPr>
      </w:pPr>
      <w:r>
        <w:rPr>
          <w:rFonts w:hint="eastAsia" w:ascii="宋体" w:hAnsi="宋体" w:cs="宋体"/>
          <w:kern w:val="0"/>
          <w:szCs w:val="21"/>
        </w:rPr>
        <w:t>长春市就业链与产业链协同发展示范项目档案数字化及运维服务（就业部分）的潜在投标人应在</w:t>
      </w:r>
      <w:r>
        <w:rPr>
          <w:rFonts w:hint="eastAsia" w:ascii="宋体" w:hAnsi="宋体" w:cs="宋体"/>
          <w:bCs/>
          <w:szCs w:val="21"/>
        </w:rPr>
        <w:t>政府采购云平台</w:t>
      </w:r>
      <w:r>
        <w:rPr>
          <w:rFonts w:hint="eastAsia" w:ascii="宋体" w:hAnsi="宋体" w:cs="宋体"/>
          <w:kern w:val="0"/>
          <w:szCs w:val="21"/>
        </w:rPr>
        <w:t>获取招标文件，并于2024年01月16日09时00分（北京时间）前递交投标文件。</w:t>
      </w:r>
      <w:bookmarkStart w:id="40" w:name="_Toc28359079"/>
      <w:bookmarkStart w:id="41" w:name="_Toc28359002"/>
      <w:bookmarkStart w:id="42" w:name="_Toc35393790"/>
      <w:bookmarkStart w:id="43" w:name="_Toc35393621"/>
      <w:bookmarkStart w:id="44" w:name="_Hlk24379207"/>
    </w:p>
    <w:p>
      <w:pPr>
        <w:spacing w:line="500" w:lineRule="exact"/>
        <w:jc w:val="left"/>
        <w:rPr>
          <w:rFonts w:ascii="宋体" w:hAnsi="宋体" w:cs="宋体"/>
          <w:b/>
          <w:bCs/>
          <w:color w:val="000000"/>
          <w:szCs w:val="21"/>
        </w:rPr>
      </w:pPr>
      <w:r>
        <w:rPr>
          <w:rFonts w:hint="eastAsia" w:ascii="宋体" w:hAnsi="宋体" w:cs="宋体"/>
          <w:b/>
          <w:bCs/>
          <w:color w:val="000000"/>
          <w:szCs w:val="21"/>
        </w:rPr>
        <w:t>一、项目基本情况</w:t>
      </w:r>
      <w:bookmarkEnd w:id="40"/>
      <w:bookmarkEnd w:id="41"/>
      <w:bookmarkEnd w:id="42"/>
      <w:bookmarkEnd w:id="43"/>
    </w:p>
    <w:p>
      <w:pPr>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1.1项目编号：JM-2023-11-01181-2</w:t>
      </w:r>
      <w:r>
        <w:rPr>
          <w:rFonts w:hint="eastAsia" w:ascii="宋体" w:hAnsi="宋体" w:cs="宋体"/>
        </w:rPr>
        <w:t>；</w:t>
      </w:r>
    </w:p>
    <w:p>
      <w:pPr>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1.2项目名称：长春市就业链与产业链协同发展示范项目档案数字化及运维服务（就业部分）</w:t>
      </w:r>
      <w:r>
        <w:rPr>
          <w:rFonts w:hint="eastAsia" w:ascii="宋体" w:hAnsi="宋体" w:cs="宋体"/>
        </w:rPr>
        <w:t>；</w:t>
      </w:r>
    </w:p>
    <w:p>
      <w:pPr>
        <w:spacing w:line="500" w:lineRule="exact"/>
        <w:ind w:firstLine="420" w:firstLineChars="200"/>
        <w:jc w:val="left"/>
        <w:rPr>
          <w:rFonts w:ascii="宋体" w:hAnsi="宋体" w:cs="宋体"/>
          <w:szCs w:val="21"/>
        </w:rPr>
      </w:pPr>
      <w:r>
        <w:rPr>
          <w:rFonts w:hint="eastAsia" w:ascii="宋体" w:hAnsi="宋体" w:cs="宋体"/>
          <w:szCs w:val="21"/>
        </w:rPr>
        <w:t>1.3预算金额：1189.0094万元</w:t>
      </w:r>
      <w:r>
        <w:rPr>
          <w:rFonts w:hint="eastAsia" w:ascii="宋体" w:hAnsi="宋体" w:cs="宋体"/>
        </w:rPr>
        <w:t>；</w:t>
      </w:r>
    </w:p>
    <w:bookmarkEnd w:id="44"/>
    <w:p>
      <w:pPr>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1.4服务标准：优质服务</w:t>
      </w:r>
      <w:r>
        <w:rPr>
          <w:rFonts w:hint="eastAsia" w:ascii="宋体" w:hAnsi="宋体" w:cs="宋体"/>
        </w:rPr>
        <w:t>；</w:t>
      </w:r>
    </w:p>
    <w:p>
      <w:pPr>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1.5合同履行期限：档案支撑服务周期为合同签订之日起3年，档案加工周期为合同签订之日起180日</w:t>
      </w:r>
      <w:r>
        <w:rPr>
          <w:rFonts w:hint="eastAsia" w:ascii="宋体" w:hAnsi="宋体" w:cs="宋体"/>
        </w:rPr>
        <w:t>；</w:t>
      </w:r>
    </w:p>
    <w:p>
      <w:pPr>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1.6本项目不接受联合体投标</w:t>
      </w:r>
      <w:r>
        <w:rPr>
          <w:rFonts w:hint="eastAsia" w:ascii="宋体" w:hAnsi="宋体" w:cs="宋体"/>
        </w:rPr>
        <w:t>；</w:t>
      </w:r>
    </w:p>
    <w:p>
      <w:pPr>
        <w:spacing w:line="500" w:lineRule="exact"/>
        <w:jc w:val="left"/>
        <w:rPr>
          <w:rFonts w:ascii="宋体" w:hAnsi="宋体" w:cs="宋体"/>
          <w:b/>
          <w:bCs/>
          <w:color w:val="000000"/>
          <w:szCs w:val="21"/>
        </w:rPr>
      </w:pPr>
      <w:bookmarkStart w:id="45" w:name="_Toc35393791"/>
      <w:bookmarkStart w:id="46" w:name="_Toc28359080"/>
      <w:bookmarkStart w:id="47" w:name="_Toc28359003"/>
      <w:bookmarkStart w:id="48" w:name="_Toc35393622"/>
      <w:r>
        <w:rPr>
          <w:rFonts w:hint="eastAsia" w:ascii="宋体" w:hAnsi="宋体" w:cs="宋体"/>
          <w:b/>
          <w:bCs/>
          <w:color w:val="000000"/>
          <w:szCs w:val="21"/>
        </w:rPr>
        <w:t>二、申请人的资格要求：</w:t>
      </w:r>
      <w:bookmarkEnd w:id="45"/>
      <w:bookmarkEnd w:id="46"/>
      <w:bookmarkEnd w:id="47"/>
      <w:bookmarkEnd w:id="48"/>
    </w:p>
    <w:p>
      <w:pPr>
        <w:spacing w:line="500" w:lineRule="exact"/>
        <w:ind w:firstLine="420" w:firstLineChars="200"/>
        <w:jc w:val="left"/>
        <w:rPr>
          <w:rFonts w:ascii="宋体" w:hAnsi="宋体" w:cs="宋体"/>
          <w:color w:val="000000"/>
          <w:szCs w:val="21"/>
        </w:rPr>
      </w:pPr>
      <w:bookmarkStart w:id="49" w:name="_Toc35393792"/>
      <w:bookmarkStart w:id="50" w:name="_Toc28359004"/>
      <w:bookmarkStart w:id="51" w:name="_Toc28359081"/>
      <w:bookmarkStart w:id="52" w:name="_Toc35393623"/>
      <w:r>
        <w:rPr>
          <w:rFonts w:hint="eastAsia" w:ascii="宋体" w:hAnsi="宋体" w:cs="宋体"/>
          <w:color w:val="000000"/>
          <w:szCs w:val="21"/>
        </w:rPr>
        <w:t>1.供应商满足《中华人民共和国政府采购法》第二十二条规定；</w:t>
      </w:r>
    </w:p>
    <w:p>
      <w:pPr>
        <w:spacing w:line="500" w:lineRule="exact"/>
        <w:ind w:firstLine="420" w:firstLineChars="200"/>
        <w:jc w:val="left"/>
        <w:rPr>
          <w:rFonts w:ascii="宋体" w:hAnsi="宋体" w:cs="宋体"/>
          <w:color w:val="000000"/>
          <w:szCs w:val="21"/>
        </w:rPr>
      </w:pPr>
      <w:r>
        <w:rPr>
          <w:rFonts w:hint="eastAsia" w:ascii="宋体" w:hAnsi="宋体" w:cs="宋体"/>
          <w:color w:val="000000"/>
          <w:szCs w:val="21"/>
        </w:rPr>
        <w:t>2.供应商须是在中华人民共和国境内注册的法人或其他组织，能够独立承担民事责任，具有有效的营业执照，同时具有省级及以上政府保密部门颁发的国家秘密载体印制资质（涉密档案数字化加工）乙级及以上资质，并在人员、设备方面具有相应的能力；</w:t>
      </w:r>
    </w:p>
    <w:p>
      <w:pPr>
        <w:spacing w:line="500" w:lineRule="exact"/>
        <w:ind w:firstLine="420" w:firstLineChars="200"/>
        <w:jc w:val="left"/>
        <w:rPr>
          <w:rFonts w:ascii="宋体" w:hAnsi="宋体" w:cs="宋体"/>
          <w:color w:val="000000"/>
          <w:szCs w:val="21"/>
        </w:rPr>
      </w:pPr>
      <w:r>
        <w:rPr>
          <w:rFonts w:hint="eastAsia" w:ascii="宋体" w:hAnsi="宋体" w:cs="宋体"/>
          <w:color w:val="000000"/>
          <w:szCs w:val="21"/>
        </w:rPr>
        <w:t>3.具有良好的商业信誉和健全的财务会计制度，依法缴纳税收和社会保障资金的良好记录，提供上年度由具备审计资格的第三方出具的财务审计报告，根据《长财采购[2022]2066号文件关于加强政府采购信用体系建设简化供应商资格条件有关事项的通知》提供资格条件承诺函；</w:t>
      </w:r>
    </w:p>
    <w:p>
      <w:pPr>
        <w:spacing w:line="500" w:lineRule="exact"/>
        <w:ind w:firstLine="420" w:firstLineChars="200"/>
        <w:jc w:val="left"/>
        <w:rPr>
          <w:rFonts w:ascii="宋体" w:hAnsi="宋体" w:cs="宋体"/>
          <w:color w:val="000000"/>
          <w:szCs w:val="21"/>
        </w:rPr>
      </w:pPr>
      <w:r>
        <w:rPr>
          <w:rFonts w:hint="eastAsia" w:ascii="宋体" w:hAnsi="宋体" w:cs="宋体"/>
          <w:color w:val="000000"/>
          <w:szCs w:val="21"/>
        </w:rPr>
        <w:t>4.参加政府采购活动前三年内，在经营活动中没有重大违法记录；</w:t>
      </w:r>
    </w:p>
    <w:p>
      <w:pPr>
        <w:spacing w:line="500" w:lineRule="exact"/>
        <w:ind w:firstLine="420" w:firstLineChars="200"/>
        <w:jc w:val="left"/>
        <w:rPr>
          <w:rFonts w:ascii="宋体" w:hAnsi="宋体" w:cs="宋体"/>
          <w:color w:val="000000"/>
          <w:szCs w:val="21"/>
        </w:rPr>
      </w:pPr>
      <w:r>
        <w:rPr>
          <w:rFonts w:hint="eastAsia" w:ascii="宋体" w:hAnsi="宋体" w:cs="宋体"/>
          <w:color w:val="000000"/>
          <w:szCs w:val="21"/>
        </w:rPr>
        <w:t>5.在中国裁判文书网上，近三年无行贿受贿犯罪记录；</w:t>
      </w:r>
    </w:p>
    <w:p>
      <w:pPr>
        <w:spacing w:line="500" w:lineRule="exact"/>
        <w:ind w:firstLine="420" w:firstLineChars="200"/>
        <w:jc w:val="left"/>
        <w:rPr>
          <w:rFonts w:ascii="宋体" w:hAnsi="宋体" w:cs="宋体"/>
          <w:color w:val="000000"/>
          <w:szCs w:val="21"/>
        </w:rPr>
      </w:pPr>
      <w:r>
        <w:rPr>
          <w:rFonts w:hint="eastAsia" w:ascii="宋体" w:hAnsi="宋体" w:cs="宋体"/>
          <w:color w:val="000000"/>
          <w:szCs w:val="21"/>
        </w:rPr>
        <w:t>6.近三年内</w:t>
      </w:r>
      <w:r>
        <w:rPr>
          <w:rFonts w:hint="eastAsia" w:ascii="宋体" w:hAnsi="宋体" w:cs="宋体"/>
          <w:szCs w:val="21"/>
        </w:rPr>
        <w:t>不得为“信用中国”网站（www.creditchina.gov.cn）中列入失信被执行人和重大税收违法案</w:t>
      </w:r>
      <w:r>
        <w:rPr>
          <w:rFonts w:hint="eastAsia" w:ascii="宋体" w:hAnsi="宋体" w:cs="宋体"/>
          <w:color w:val="000000"/>
          <w:szCs w:val="21"/>
        </w:rPr>
        <w:t>件当事人名单供应商，不得为中国政府采购网（www.ccgp.gov.cn）政府采购严重违法失信行为记录名单中被财政部门禁止参加政府采购活动的供应商（在处罚决定规定的时间和地域范围内）；</w:t>
      </w:r>
    </w:p>
    <w:p>
      <w:pPr>
        <w:spacing w:line="500" w:lineRule="exact"/>
        <w:ind w:firstLine="420" w:firstLineChars="200"/>
        <w:jc w:val="left"/>
        <w:rPr>
          <w:rFonts w:ascii="宋体" w:hAnsi="宋体" w:cs="宋体"/>
          <w:color w:val="000000"/>
          <w:szCs w:val="21"/>
        </w:rPr>
      </w:pPr>
      <w:r>
        <w:rPr>
          <w:rFonts w:hint="eastAsia" w:ascii="宋体" w:hAnsi="宋体" w:cs="宋体"/>
          <w:color w:val="000000"/>
          <w:szCs w:val="21"/>
        </w:rPr>
        <w:t>7.本项目不接受被列入失信被执行人、重大税收违法案件当事人名单、政府采购严重违法失信行为记录名单的供应商参与投标（详见财库【2017】125号文件）；</w:t>
      </w:r>
    </w:p>
    <w:p>
      <w:pPr>
        <w:spacing w:line="500" w:lineRule="exact"/>
        <w:ind w:firstLine="420" w:firstLineChars="200"/>
        <w:jc w:val="left"/>
        <w:rPr>
          <w:rFonts w:ascii="宋体" w:hAnsi="宋体" w:cs="宋体"/>
          <w:color w:val="000000"/>
          <w:szCs w:val="21"/>
        </w:rPr>
      </w:pPr>
      <w:r>
        <w:rPr>
          <w:rFonts w:hint="eastAsia" w:ascii="宋体" w:hAnsi="宋体" w:cs="宋体"/>
          <w:color w:val="000000"/>
          <w:szCs w:val="21"/>
        </w:rPr>
        <w:t>8.单位负责人为同一人或者存在控股、管理关系的不同单位，不得参加同一标段投标或者未划分标段的同一招标项目投标。违反这两款规定的，相关投标均无效；</w:t>
      </w:r>
    </w:p>
    <w:p>
      <w:pPr>
        <w:spacing w:line="500" w:lineRule="exact"/>
        <w:ind w:firstLine="420" w:firstLineChars="200"/>
        <w:jc w:val="left"/>
        <w:rPr>
          <w:rFonts w:ascii="宋体" w:hAnsi="宋体" w:cs="宋体"/>
          <w:color w:val="000000"/>
          <w:szCs w:val="21"/>
        </w:rPr>
      </w:pPr>
      <w:r>
        <w:rPr>
          <w:rFonts w:hint="eastAsia" w:ascii="宋体" w:hAnsi="宋体" w:cs="宋体"/>
          <w:color w:val="000000"/>
          <w:szCs w:val="21"/>
        </w:rPr>
        <w:t>9.拒绝列入政府取消投标资格记录期间的企业或个人投标；</w:t>
      </w:r>
    </w:p>
    <w:p>
      <w:pPr>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10.落实政府采购政策需满足的资格要求：本项目不是专门面向中小企业项目。</w:t>
      </w:r>
    </w:p>
    <w:p>
      <w:pPr>
        <w:spacing w:line="500" w:lineRule="exact"/>
        <w:jc w:val="left"/>
        <w:rPr>
          <w:rFonts w:ascii="宋体" w:hAnsi="宋体" w:cs="宋体"/>
          <w:b/>
          <w:bCs/>
          <w:color w:val="000000"/>
          <w:szCs w:val="21"/>
        </w:rPr>
      </w:pPr>
      <w:r>
        <w:rPr>
          <w:rFonts w:hint="eastAsia" w:ascii="宋体" w:hAnsi="宋体" w:cs="宋体"/>
          <w:b/>
          <w:bCs/>
          <w:color w:val="000000"/>
          <w:szCs w:val="21"/>
        </w:rPr>
        <w:t>三、获取招标文件</w:t>
      </w:r>
      <w:bookmarkEnd w:id="49"/>
      <w:bookmarkEnd w:id="50"/>
      <w:bookmarkEnd w:id="51"/>
      <w:bookmarkEnd w:id="52"/>
    </w:p>
    <w:p>
      <w:pPr>
        <w:spacing w:line="400" w:lineRule="exact"/>
        <w:ind w:firstLine="420" w:firstLineChars="200"/>
        <w:rPr>
          <w:rFonts w:ascii="宋体" w:hAnsi="宋体" w:cs="宋体"/>
          <w:color w:val="000000"/>
          <w:szCs w:val="21"/>
        </w:rPr>
      </w:pPr>
      <w:bookmarkStart w:id="53" w:name="_Toc28359005"/>
      <w:bookmarkStart w:id="54" w:name="_Toc28359082"/>
      <w:bookmarkStart w:id="55" w:name="_Toc35393793"/>
      <w:bookmarkStart w:id="56" w:name="_Toc35393624"/>
      <w:r>
        <w:rPr>
          <w:rFonts w:hint="eastAsia" w:ascii="宋体" w:hAnsi="宋体" w:cs="宋体"/>
          <w:color w:val="000000"/>
          <w:szCs w:val="21"/>
        </w:rPr>
        <w:t>1.时间：2023年12月26日至2024年01月02日（北京时间，法定公休日、节假日除外）；</w:t>
      </w:r>
    </w:p>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2.地点：本项目不发放纸质版采购文件。供应商可自行在“政采云”平台（http：//www.zcygov.cn）下载采购文件（操作路径：登录“政采云”平台－项目采购－获取采购文件－找到本项目－点击“申请获取采购文件”），电子投标文件制作需要基于“政采云”平台获取的采购文件编制；</w:t>
      </w:r>
    </w:p>
    <w:p>
      <w:pPr>
        <w:spacing w:line="360" w:lineRule="auto"/>
        <w:ind w:firstLine="540"/>
        <w:jc w:val="left"/>
        <w:rPr>
          <w:rFonts w:ascii="宋体" w:hAnsi="宋体" w:cs="宋体"/>
          <w:color w:val="000000"/>
          <w:szCs w:val="21"/>
        </w:rPr>
      </w:pPr>
      <w:r>
        <w:rPr>
          <w:rFonts w:hint="eastAsia" w:ascii="宋体" w:hAnsi="宋体" w:cs="宋体"/>
          <w:color w:val="000000"/>
          <w:szCs w:val="21"/>
        </w:rPr>
        <w:t>3.未进行网上注册的供应商将无法参与本次采购活动；</w:t>
      </w:r>
    </w:p>
    <w:p>
      <w:pPr>
        <w:spacing w:line="360" w:lineRule="auto"/>
        <w:ind w:firstLine="540"/>
        <w:jc w:val="left"/>
        <w:rPr>
          <w:rFonts w:ascii="宋体" w:hAnsi="宋体" w:cs="宋体"/>
          <w:color w:val="000000"/>
          <w:szCs w:val="21"/>
        </w:rPr>
      </w:pPr>
      <w:r>
        <w:rPr>
          <w:rFonts w:hint="eastAsia" w:ascii="宋体" w:hAnsi="宋体" w:cs="宋体"/>
          <w:color w:val="000000"/>
          <w:szCs w:val="21"/>
        </w:rPr>
        <w:t>4.有效供应商不足三家时，采购人另行组织采购。</w:t>
      </w:r>
    </w:p>
    <w:p>
      <w:pPr>
        <w:spacing w:line="500" w:lineRule="exact"/>
        <w:jc w:val="left"/>
        <w:rPr>
          <w:rFonts w:ascii="宋体" w:hAnsi="宋体" w:cs="宋体"/>
          <w:b/>
          <w:bCs/>
          <w:color w:val="000000"/>
          <w:szCs w:val="21"/>
        </w:rPr>
      </w:pPr>
      <w:r>
        <w:rPr>
          <w:rFonts w:hint="eastAsia" w:ascii="宋体" w:hAnsi="宋体" w:cs="宋体"/>
          <w:b/>
          <w:bCs/>
          <w:color w:val="000000"/>
          <w:szCs w:val="21"/>
        </w:rPr>
        <w:t>四、提交投标文件</w:t>
      </w:r>
      <w:bookmarkEnd w:id="53"/>
      <w:bookmarkEnd w:id="54"/>
      <w:r>
        <w:rPr>
          <w:rFonts w:hint="eastAsia" w:ascii="宋体" w:hAnsi="宋体" w:cs="宋体"/>
          <w:b/>
          <w:bCs/>
          <w:color w:val="000000"/>
          <w:szCs w:val="21"/>
        </w:rPr>
        <w:t>截止时间、开标时间和地点</w:t>
      </w:r>
      <w:bookmarkEnd w:id="55"/>
      <w:bookmarkEnd w:id="56"/>
    </w:p>
    <w:p>
      <w:pPr>
        <w:spacing w:line="360" w:lineRule="auto"/>
        <w:ind w:firstLine="540"/>
        <w:jc w:val="left"/>
        <w:rPr>
          <w:rFonts w:ascii="宋体" w:hAnsi="宋体" w:cs="宋体"/>
          <w:color w:val="000000"/>
          <w:szCs w:val="21"/>
        </w:rPr>
      </w:pPr>
      <w:bookmarkStart w:id="57" w:name="_Toc35393625"/>
      <w:bookmarkStart w:id="58" w:name="_Toc35393794"/>
      <w:bookmarkStart w:id="59" w:name="_Toc28359084"/>
      <w:bookmarkStart w:id="60" w:name="_Toc28359007"/>
      <w:r>
        <w:rPr>
          <w:rFonts w:hint="eastAsia" w:ascii="宋体" w:hAnsi="宋体" w:cs="宋体"/>
          <w:color w:val="000000"/>
          <w:szCs w:val="21"/>
        </w:rPr>
        <w:t>1.投标文件提交截止时间：2024年01月16日09点00分（北京时间）；</w:t>
      </w:r>
    </w:p>
    <w:p>
      <w:pPr>
        <w:spacing w:line="360" w:lineRule="auto"/>
        <w:ind w:firstLine="540"/>
        <w:jc w:val="left"/>
        <w:rPr>
          <w:rFonts w:ascii="宋体" w:hAnsi="宋体" w:cs="宋体"/>
          <w:color w:val="000000"/>
          <w:szCs w:val="21"/>
        </w:rPr>
      </w:pPr>
      <w:r>
        <w:rPr>
          <w:rFonts w:hint="eastAsia" w:ascii="宋体" w:hAnsi="宋体" w:cs="宋体"/>
          <w:color w:val="000000"/>
          <w:szCs w:val="21"/>
        </w:rPr>
        <w:t>2投标文件提交方式：在提交截止时间前通过政府采购云平台在线提交，开标现场需提交纸质投标文件（纸质投标文件仅用于因政府采购云平台系统问题导致投标文件解密失败时，供评审使用）；</w:t>
      </w:r>
    </w:p>
    <w:p>
      <w:pPr>
        <w:spacing w:line="360" w:lineRule="auto"/>
        <w:ind w:firstLine="540"/>
        <w:jc w:val="left"/>
        <w:rPr>
          <w:rFonts w:ascii="宋体" w:hAnsi="宋体" w:cs="宋体"/>
          <w:color w:val="000000"/>
          <w:szCs w:val="21"/>
        </w:rPr>
      </w:pPr>
      <w:r>
        <w:rPr>
          <w:rFonts w:hint="eastAsia" w:ascii="宋体" w:hAnsi="宋体" w:cs="宋体"/>
          <w:color w:val="000000"/>
          <w:szCs w:val="21"/>
        </w:rPr>
        <w:t>3.本项目开标采用腾讯会议直播形式进行开标；</w:t>
      </w:r>
    </w:p>
    <w:p>
      <w:pPr>
        <w:spacing w:line="360" w:lineRule="auto"/>
        <w:ind w:firstLine="540"/>
        <w:jc w:val="left"/>
        <w:rPr>
          <w:rFonts w:ascii="宋体" w:hAnsi="宋体" w:cs="宋体"/>
          <w:szCs w:val="21"/>
        </w:rPr>
      </w:pPr>
      <w:r>
        <w:rPr>
          <w:rFonts w:hint="eastAsia" w:ascii="宋体" w:hAnsi="宋体" w:cs="宋体"/>
          <w:color w:val="000000"/>
          <w:szCs w:val="21"/>
        </w:rPr>
        <w:t>4.投标文件开启地点：</w:t>
      </w:r>
      <w:r>
        <w:rPr>
          <w:rFonts w:hint="eastAsia" w:ascii="宋体" w:hAnsi="宋体" w:cs="宋体"/>
          <w:szCs w:val="21"/>
        </w:rPr>
        <w:t>东北亚国际金融中心（人民大街与谊民路交汇东行100米）3号楼第四开标室</w:t>
      </w:r>
      <w:r>
        <w:rPr>
          <w:rFonts w:hint="eastAsia" w:ascii="宋体" w:hAnsi="宋体" w:cs="宋体"/>
          <w:color w:val="000000"/>
          <w:szCs w:val="21"/>
        </w:rPr>
        <w:t>；</w:t>
      </w:r>
    </w:p>
    <w:p>
      <w:pPr>
        <w:spacing w:line="360" w:lineRule="auto"/>
        <w:ind w:firstLine="540"/>
        <w:jc w:val="left"/>
        <w:rPr>
          <w:rFonts w:ascii="宋体" w:hAnsi="宋体" w:cs="宋体"/>
          <w:color w:val="000000"/>
          <w:szCs w:val="21"/>
        </w:rPr>
      </w:pPr>
      <w:r>
        <w:rPr>
          <w:rFonts w:hint="eastAsia" w:ascii="宋体" w:hAnsi="宋体" w:cs="宋体"/>
          <w:color w:val="000000"/>
          <w:szCs w:val="21"/>
        </w:rPr>
        <w:t>5.操作流程：供应商在政府采购云平台注册入库成为正式供应商后，在平台按《政府采购项目电子交易管理操作指南－供应商》进行操作。由于供应商自身原因在递交投标文件截止时间前无法完成办理的，后果自负；</w:t>
      </w:r>
    </w:p>
    <w:p>
      <w:pPr>
        <w:spacing w:line="360" w:lineRule="auto"/>
        <w:ind w:firstLine="540"/>
        <w:jc w:val="left"/>
        <w:rPr>
          <w:rFonts w:ascii="宋体" w:hAnsi="宋体" w:cs="宋体"/>
          <w:color w:val="000000"/>
          <w:szCs w:val="21"/>
        </w:rPr>
      </w:pPr>
      <w:r>
        <w:rPr>
          <w:rFonts w:hint="eastAsia" w:ascii="宋体" w:hAnsi="宋体" w:cs="宋体"/>
          <w:color w:val="000000"/>
          <w:szCs w:val="21"/>
        </w:rPr>
        <w:t>6.逾期送达的或者未送达指定地点的投标文件，采购人不予受理。</w:t>
      </w:r>
    </w:p>
    <w:p>
      <w:pPr>
        <w:spacing w:line="500" w:lineRule="exact"/>
        <w:jc w:val="left"/>
        <w:rPr>
          <w:rFonts w:ascii="宋体" w:hAnsi="宋体" w:cs="宋体"/>
          <w:b/>
          <w:bCs/>
          <w:color w:val="000000"/>
          <w:szCs w:val="21"/>
        </w:rPr>
      </w:pPr>
      <w:r>
        <w:rPr>
          <w:rFonts w:hint="eastAsia" w:ascii="宋体" w:hAnsi="宋体" w:cs="宋体"/>
          <w:b/>
          <w:bCs/>
          <w:color w:val="000000"/>
          <w:szCs w:val="21"/>
        </w:rPr>
        <w:t>五、公告期限</w:t>
      </w:r>
      <w:bookmarkEnd w:id="57"/>
      <w:bookmarkEnd w:id="58"/>
      <w:bookmarkEnd w:id="59"/>
      <w:bookmarkEnd w:id="60"/>
    </w:p>
    <w:p>
      <w:pPr>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1.自本公告发布之日起5个工作日。</w:t>
      </w:r>
    </w:p>
    <w:p>
      <w:pPr>
        <w:spacing w:line="500" w:lineRule="exact"/>
        <w:jc w:val="left"/>
        <w:rPr>
          <w:rFonts w:ascii="宋体" w:hAnsi="宋体" w:cs="宋体"/>
          <w:b/>
          <w:bCs/>
          <w:color w:val="000000"/>
          <w:szCs w:val="21"/>
        </w:rPr>
      </w:pPr>
      <w:bookmarkStart w:id="61" w:name="_Toc35393626"/>
      <w:bookmarkStart w:id="62" w:name="_Toc35393795"/>
      <w:r>
        <w:rPr>
          <w:rFonts w:hint="eastAsia" w:ascii="宋体" w:hAnsi="宋体" w:cs="宋体"/>
          <w:b/>
          <w:bCs/>
          <w:color w:val="000000"/>
          <w:szCs w:val="21"/>
        </w:rPr>
        <w:t>六、其他补充事宜</w:t>
      </w:r>
      <w:bookmarkEnd w:id="61"/>
      <w:bookmarkEnd w:id="62"/>
    </w:p>
    <w:p>
      <w:pPr>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1.本项目招标公告在“政采云 ”平台（http:// </w:t>
      </w:r>
      <w:r>
        <w:fldChar w:fldCharType="begin"/>
      </w:r>
      <w:r>
        <w:instrText xml:space="preserve"> HYPERLINK "http://www.zcygov.xn--cn)-6y3bv51n8fam9sfb62s53dyj463a9xxymbly7a85a053cq9dba./" </w:instrText>
      </w:r>
      <w:r>
        <w:fldChar w:fldCharType="separate"/>
      </w:r>
      <w:r>
        <w:rPr>
          <w:rFonts w:hint="eastAsia" w:ascii="宋体" w:hAnsi="宋体" w:cs="宋体"/>
          <w:color w:val="000000"/>
          <w:szCs w:val="21"/>
        </w:rPr>
        <w:t>www.zcygov.cn），</w:t>
      </w:r>
      <w:r>
        <w:rPr>
          <w:rFonts w:hint="eastAsia" w:ascii="宋体" w:hAnsi="宋体" w:cs="宋体"/>
          <w:color w:val="000000"/>
          <w:szCs w:val="21"/>
        </w:rPr>
        <w:fldChar w:fldCharType="end"/>
      </w:r>
      <w:r>
        <w:rPr>
          <w:rFonts w:hint="eastAsia" w:ascii="宋体" w:hAnsi="宋体" w:cs="宋体"/>
          <w:color w:val="000000"/>
          <w:szCs w:val="21"/>
        </w:rPr>
        <w:t>并同时在《中国政府采购网》、《长春市公共资源交易网》上发布。</w:t>
      </w:r>
    </w:p>
    <w:p>
      <w:pPr>
        <w:spacing w:line="500" w:lineRule="exact"/>
        <w:ind w:firstLine="420" w:firstLineChars="200"/>
        <w:jc w:val="left"/>
        <w:rPr>
          <w:rFonts w:ascii="宋体" w:hAnsi="宋体" w:cs="宋体"/>
          <w:color w:val="000000"/>
          <w:szCs w:val="21"/>
        </w:rPr>
      </w:pPr>
      <w:bookmarkStart w:id="63" w:name="_Toc28359008"/>
      <w:bookmarkStart w:id="64" w:name="_Toc35393796"/>
      <w:bookmarkStart w:id="65" w:name="_Toc35393627"/>
      <w:bookmarkStart w:id="66" w:name="_Toc28359085"/>
      <w:r>
        <w:rPr>
          <w:rFonts w:hint="eastAsia" w:ascii="宋体" w:hAnsi="宋体" w:cs="宋体"/>
          <w:color w:val="000000"/>
          <w:szCs w:val="21"/>
        </w:rPr>
        <w:t>2.若对项目采购电子交易系统操作有疑问，可登录“政采云”平台（https://www.zcygov.cn/）点击右侧咨询小采，获取采小蜜智能服务管家帮助，或拨打政采云服务热线 400-881-7190或95763获取热线服务帮助。</w:t>
      </w:r>
    </w:p>
    <w:p>
      <w:pPr>
        <w:spacing w:line="500" w:lineRule="exact"/>
        <w:jc w:val="left"/>
        <w:rPr>
          <w:rFonts w:ascii="宋体" w:hAnsi="宋体" w:cs="宋体"/>
          <w:color w:val="000000"/>
          <w:szCs w:val="21"/>
        </w:rPr>
      </w:pPr>
      <w:r>
        <w:rPr>
          <w:rFonts w:hint="eastAsia" w:ascii="宋体" w:hAnsi="宋体" w:cs="宋体"/>
          <w:b/>
          <w:bCs/>
          <w:color w:val="000000"/>
          <w:szCs w:val="21"/>
        </w:rPr>
        <w:t>七、凡对本次采购提出询问，请按以下方式联系。</w:t>
      </w:r>
    </w:p>
    <w:p>
      <w:pPr>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1.采购人信息</w:t>
      </w:r>
    </w:p>
    <w:p>
      <w:pPr>
        <w:spacing w:line="500" w:lineRule="exact"/>
        <w:ind w:firstLine="420" w:firstLineChars="200"/>
        <w:jc w:val="left"/>
        <w:rPr>
          <w:rFonts w:ascii="宋体" w:hAnsi="宋体" w:cs="宋体"/>
          <w:color w:val="000000"/>
          <w:szCs w:val="21"/>
        </w:rPr>
      </w:pPr>
      <w:bookmarkStart w:id="67" w:name="_Toc28359086"/>
      <w:bookmarkStart w:id="68" w:name="_Toc28359009"/>
      <w:r>
        <w:rPr>
          <w:rFonts w:hint="eastAsia" w:ascii="宋体" w:hAnsi="宋体" w:cs="宋体"/>
          <w:color w:val="000000"/>
          <w:szCs w:val="21"/>
        </w:rPr>
        <w:t>采 购 人： 长春市就业服务局</w:t>
      </w:r>
    </w:p>
    <w:p>
      <w:pPr>
        <w:spacing w:line="500" w:lineRule="exact"/>
        <w:ind w:firstLine="420" w:firstLineChars="200"/>
        <w:jc w:val="left"/>
        <w:rPr>
          <w:rFonts w:ascii="宋体" w:hAnsi="宋体" w:cs="宋体"/>
          <w:color w:val="000000"/>
          <w:szCs w:val="21"/>
        </w:rPr>
      </w:pPr>
      <w:r>
        <w:rPr>
          <w:rFonts w:hint="eastAsia" w:ascii="宋体" w:hAnsi="宋体" w:cs="宋体"/>
          <w:color w:val="000000"/>
          <w:szCs w:val="21"/>
        </w:rPr>
        <w:t>联 系 人： 胡工</w:t>
      </w:r>
    </w:p>
    <w:p>
      <w:pPr>
        <w:spacing w:line="500" w:lineRule="exact"/>
        <w:ind w:firstLine="420" w:firstLineChars="200"/>
        <w:jc w:val="left"/>
        <w:rPr>
          <w:rFonts w:ascii="宋体" w:hAnsi="宋体" w:cs="宋体"/>
          <w:color w:val="000000"/>
          <w:szCs w:val="21"/>
        </w:rPr>
      </w:pPr>
      <w:r>
        <w:rPr>
          <w:rFonts w:hint="eastAsia" w:ascii="宋体" w:hAnsi="宋体" w:cs="宋体"/>
          <w:color w:val="000000"/>
          <w:szCs w:val="21"/>
        </w:rPr>
        <w:t>地    址： 吉林省长春市天富路1567号</w:t>
      </w:r>
    </w:p>
    <w:p>
      <w:pPr>
        <w:spacing w:line="500" w:lineRule="exact"/>
        <w:ind w:firstLine="420" w:firstLineChars="200"/>
        <w:jc w:val="left"/>
        <w:rPr>
          <w:rFonts w:ascii="宋体" w:hAnsi="宋体" w:cs="宋体"/>
          <w:color w:val="000000"/>
          <w:szCs w:val="21"/>
        </w:rPr>
      </w:pPr>
      <w:r>
        <w:rPr>
          <w:rFonts w:hint="eastAsia" w:ascii="宋体" w:hAnsi="宋体" w:cs="宋体"/>
          <w:color w:val="000000"/>
          <w:szCs w:val="21"/>
        </w:rPr>
        <w:t>联系方式：</w:t>
      </w:r>
      <w:bookmarkEnd w:id="67"/>
      <w:bookmarkEnd w:id="68"/>
      <w:r>
        <w:rPr>
          <w:rFonts w:hint="eastAsia" w:ascii="宋体" w:hAnsi="宋体" w:cs="宋体"/>
          <w:color w:val="000000"/>
          <w:szCs w:val="21"/>
        </w:rPr>
        <w:t xml:space="preserve"> 0431-81118019</w:t>
      </w:r>
    </w:p>
    <w:p>
      <w:pPr>
        <w:spacing w:line="500" w:lineRule="exact"/>
        <w:ind w:firstLine="420" w:firstLineChars="200"/>
        <w:jc w:val="left"/>
        <w:rPr>
          <w:rFonts w:ascii="宋体" w:hAnsi="宋体" w:cs="宋体"/>
          <w:color w:val="000000"/>
          <w:szCs w:val="21"/>
        </w:rPr>
      </w:pPr>
      <w:r>
        <w:rPr>
          <w:rFonts w:hint="eastAsia" w:ascii="宋体" w:hAnsi="宋体" w:cs="宋体"/>
          <w:color w:val="000000"/>
          <w:szCs w:val="21"/>
        </w:rPr>
        <w:t>采购代理机构： 吉林省龙泰工程咨询有限责任公司　　　　　　　　　　　　</w:t>
      </w:r>
    </w:p>
    <w:p>
      <w:pPr>
        <w:spacing w:line="500" w:lineRule="exact"/>
        <w:ind w:firstLine="420" w:firstLineChars="200"/>
        <w:jc w:val="left"/>
        <w:rPr>
          <w:rFonts w:ascii="宋体" w:hAnsi="宋体" w:cs="宋体"/>
          <w:color w:val="000000"/>
          <w:szCs w:val="21"/>
        </w:rPr>
      </w:pPr>
      <w:r>
        <w:rPr>
          <w:rFonts w:hint="eastAsia" w:ascii="宋体" w:hAnsi="宋体" w:cs="宋体"/>
          <w:color w:val="000000"/>
          <w:szCs w:val="21"/>
        </w:rPr>
        <w:t>联 系 人： 于工</w:t>
      </w:r>
    </w:p>
    <w:p>
      <w:pPr>
        <w:spacing w:line="500" w:lineRule="exact"/>
        <w:ind w:firstLine="420" w:firstLineChars="200"/>
        <w:jc w:val="left"/>
        <w:rPr>
          <w:rFonts w:ascii="宋体" w:hAnsi="宋体" w:cs="宋体"/>
          <w:color w:val="000000"/>
          <w:szCs w:val="21"/>
        </w:rPr>
      </w:pPr>
      <w:r>
        <w:rPr>
          <w:rFonts w:hint="eastAsia" w:ascii="宋体" w:hAnsi="宋体" w:cs="宋体"/>
          <w:color w:val="000000"/>
          <w:szCs w:val="21"/>
        </w:rPr>
        <w:t>地　　址： 长春市南关区蔚山路与幸福街交汇陶然公馆19楼1908室　　　　　　　　　　　　</w:t>
      </w:r>
    </w:p>
    <w:p>
      <w:pPr>
        <w:spacing w:line="500" w:lineRule="exact"/>
        <w:ind w:firstLine="420" w:firstLineChars="200"/>
        <w:jc w:val="left"/>
        <w:rPr>
          <w:rFonts w:ascii="宋体" w:hAnsi="宋体" w:cs="宋体"/>
          <w:color w:val="000000"/>
          <w:szCs w:val="21"/>
        </w:rPr>
      </w:pPr>
      <w:r>
        <w:rPr>
          <w:rFonts w:hint="eastAsia" w:ascii="宋体" w:hAnsi="宋体" w:cs="宋体"/>
          <w:color w:val="000000"/>
          <w:szCs w:val="21"/>
        </w:rPr>
        <w:t>联系方式： 0431-85332368 　</w:t>
      </w:r>
    </w:p>
    <w:p>
      <w:pPr>
        <w:spacing w:line="500" w:lineRule="exact"/>
        <w:ind w:firstLine="420" w:firstLineChars="200"/>
        <w:jc w:val="left"/>
        <w:rPr>
          <w:rFonts w:ascii="宋体" w:hAnsi="宋体" w:cs="宋体"/>
          <w:szCs w:val="21"/>
        </w:rPr>
      </w:pPr>
      <w:r>
        <w:rPr>
          <w:rFonts w:hint="eastAsia" w:ascii="宋体" w:hAnsi="宋体" w:cs="宋体"/>
          <w:szCs w:val="21"/>
        </w:rPr>
        <w:t>监督部门：长春市财政局</w:t>
      </w:r>
    </w:p>
    <w:p>
      <w:pPr>
        <w:pStyle w:val="39"/>
        <w:rPr>
          <w:rFonts w:ascii="宋体" w:hAnsi="宋体" w:cs="宋体"/>
          <w:color w:val="000000"/>
          <w:sz w:val="24"/>
          <w:szCs w:val="24"/>
        </w:rPr>
      </w:pPr>
    </w:p>
    <w:p>
      <w:pPr>
        <w:sectPr>
          <w:footerReference r:id="rId6" w:type="default"/>
          <w:pgSz w:w="11906" w:h="16838"/>
          <w:pgMar w:top="1440" w:right="1803" w:bottom="1417" w:left="1417" w:header="851" w:footer="992" w:gutter="0"/>
          <w:pgNumType w:start="1"/>
          <w:cols w:space="720" w:num="1"/>
          <w:rtlGutter w:val="1"/>
          <w:docGrid w:type="lines" w:linePitch="312" w:charSpace="0"/>
        </w:sectPr>
      </w:pPr>
    </w:p>
    <w:bookmarkEnd w:id="63"/>
    <w:bookmarkEnd w:id="64"/>
    <w:bookmarkEnd w:id="65"/>
    <w:bookmarkEnd w:id="66"/>
    <w:p>
      <w:pPr>
        <w:spacing w:line="500" w:lineRule="exact"/>
        <w:jc w:val="center"/>
        <w:rPr>
          <w:rFonts w:ascii="黑体" w:hAnsi="黑体" w:eastAsia="黑体" w:cs="黑体"/>
          <w:b/>
          <w:bCs/>
          <w:color w:val="000000"/>
          <w:sz w:val="44"/>
          <w:szCs w:val="44"/>
        </w:rPr>
      </w:pPr>
      <w:r>
        <w:rPr>
          <w:rFonts w:hint="eastAsia" w:ascii="黑体" w:hAnsi="黑体" w:eastAsia="黑体" w:cs="黑体"/>
          <w:b/>
          <w:bCs/>
          <w:color w:val="000000"/>
          <w:sz w:val="44"/>
          <w:szCs w:val="44"/>
        </w:rPr>
        <w:t>第二章 投标人须知</w:t>
      </w:r>
      <w:bookmarkEnd w:id="30"/>
      <w:bookmarkEnd w:id="31"/>
      <w:bookmarkEnd w:id="32"/>
      <w:bookmarkEnd w:id="33"/>
      <w:bookmarkEnd w:id="34"/>
      <w:bookmarkEnd w:id="35"/>
      <w:bookmarkEnd w:id="36"/>
      <w:bookmarkEnd w:id="37"/>
      <w:bookmarkEnd w:id="38"/>
      <w:bookmarkEnd w:id="39"/>
    </w:p>
    <w:p>
      <w:pPr>
        <w:pStyle w:val="3"/>
        <w:keepNext w:val="0"/>
        <w:keepLines w:val="0"/>
        <w:spacing w:line="360" w:lineRule="exact"/>
        <w:jc w:val="center"/>
        <w:rPr>
          <w:rFonts w:ascii="宋体" w:hAnsi="宋体" w:eastAsia="宋体" w:cs="宋体"/>
          <w:color w:val="000000"/>
          <w:sz w:val="28"/>
          <w:szCs w:val="28"/>
        </w:rPr>
      </w:pPr>
      <w:bookmarkStart w:id="69" w:name="_Toc247085688"/>
      <w:bookmarkStart w:id="70" w:name="_Toc19173"/>
      <w:bookmarkStart w:id="71" w:name="_Toc453756894"/>
      <w:bookmarkStart w:id="72" w:name="_Toc11173"/>
      <w:bookmarkStart w:id="73" w:name="_Toc29337"/>
      <w:bookmarkStart w:id="74" w:name="_Toc152042304"/>
      <w:bookmarkStart w:id="75" w:name="_Toc23622"/>
      <w:bookmarkStart w:id="76" w:name="_Toc246996174"/>
      <w:bookmarkStart w:id="77" w:name="_Toc30390"/>
      <w:bookmarkStart w:id="78" w:name="_Toc22688"/>
      <w:bookmarkStart w:id="79" w:name="_Toc152045528"/>
      <w:bookmarkStart w:id="80" w:name="_Toc179632545"/>
      <w:bookmarkStart w:id="81" w:name="_Toc144974496"/>
      <w:bookmarkStart w:id="82" w:name="_Toc246996917"/>
      <w:r>
        <w:rPr>
          <w:rFonts w:hint="eastAsia" w:ascii="宋体" w:hAnsi="宋体" w:eastAsia="宋体" w:cs="宋体"/>
          <w:color w:val="000000"/>
          <w:sz w:val="28"/>
          <w:szCs w:val="28"/>
        </w:rPr>
        <w:t xml:space="preserve">     投标人须知前附表</w:t>
      </w:r>
      <w:bookmarkEnd w:id="69"/>
      <w:bookmarkEnd w:id="70"/>
      <w:bookmarkEnd w:id="71"/>
      <w:bookmarkEnd w:id="72"/>
      <w:bookmarkEnd w:id="73"/>
      <w:bookmarkEnd w:id="74"/>
      <w:bookmarkEnd w:id="75"/>
      <w:bookmarkEnd w:id="76"/>
      <w:bookmarkEnd w:id="77"/>
      <w:bookmarkEnd w:id="78"/>
      <w:bookmarkEnd w:id="79"/>
      <w:bookmarkEnd w:id="80"/>
      <w:bookmarkEnd w:id="81"/>
      <w:bookmarkEnd w:id="82"/>
      <w:r>
        <w:rPr>
          <w:rFonts w:hint="eastAsia" w:ascii="宋体" w:hAnsi="宋体" w:eastAsia="宋体" w:cs="宋体"/>
          <w:color w:val="000000"/>
          <w:sz w:val="28"/>
          <w:szCs w:val="28"/>
        </w:rPr>
        <w:t xml:space="preserve"> </w:t>
      </w:r>
    </w:p>
    <w:tbl>
      <w:tblPr>
        <w:tblStyle w:val="43"/>
        <w:tblW w:w="10279" w:type="dxa"/>
        <w:jc w:val="center"/>
        <w:tblLayout w:type="fixed"/>
        <w:tblCellMar>
          <w:top w:w="0" w:type="dxa"/>
          <w:left w:w="108" w:type="dxa"/>
          <w:bottom w:w="0" w:type="dxa"/>
          <w:right w:w="108" w:type="dxa"/>
        </w:tblCellMar>
      </w:tblPr>
      <w:tblGrid>
        <w:gridCol w:w="1060"/>
        <w:gridCol w:w="1968"/>
        <w:gridCol w:w="7251"/>
      </w:tblGrid>
      <w:tr>
        <w:tblPrEx>
          <w:tblCellMar>
            <w:top w:w="0" w:type="dxa"/>
            <w:left w:w="108" w:type="dxa"/>
            <w:bottom w:w="0" w:type="dxa"/>
            <w:right w:w="108" w:type="dxa"/>
          </w:tblCellMar>
        </w:tblPrEx>
        <w:trPr>
          <w:trHeight w:val="361"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szCs w:val="21"/>
              </w:rPr>
            </w:pPr>
            <w:r>
              <w:rPr>
                <w:rFonts w:hint="eastAsia" w:ascii="宋体" w:hAnsi="宋体" w:cs="宋体"/>
                <w:b/>
                <w:color w:val="000000"/>
                <w:szCs w:val="21"/>
              </w:rPr>
              <w:t>条款号</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szCs w:val="21"/>
              </w:rPr>
            </w:pPr>
            <w:r>
              <w:rPr>
                <w:rFonts w:hint="eastAsia" w:ascii="宋体" w:hAnsi="宋体" w:cs="宋体"/>
                <w:b/>
                <w:color w:val="000000"/>
                <w:szCs w:val="21"/>
              </w:rPr>
              <w:t>条  款  名  称</w:t>
            </w:r>
          </w:p>
        </w:tc>
        <w:tc>
          <w:tcPr>
            <w:tcW w:w="72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szCs w:val="21"/>
              </w:rPr>
            </w:pPr>
            <w:r>
              <w:rPr>
                <w:rFonts w:hint="eastAsia" w:ascii="宋体" w:hAnsi="宋体" w:cs="宋体"/>
                <w:b/>
                <w:color w:val="000000"/>
                <w:szCs w:val="21"/>
              </w:rPr>
              <w:t>编  列  内  容</w:t>
            </w:r>
          </w:p>
        </w:tc>
      </w:tr>
      <w:tr>
        <w:tblPrEx>
          <w:tblCellMar>
            <w:top w:w="0" w:type="dxa"/>
            <w:left w:w="108" w:type="dxa"/>
            <w:bottom w:w="0" w:type="dxa"/>
            <w:right w:w="108" w:type="dxa"/>
          </w:tblCellMar>
        </w:tblPrEx>
        <w:trPr>
          <w:trHeight w:val="120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1.1.2</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采购人</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Cs w:val="21"/>
              </w:rPr>
            </w:pPr>
            <w:r>
              <w:rPr>
                <w:rFonts w:hint="eastAsia" w:ascii="宋体" w:hAnsi="宋体" w:cs="宋体"/>
                <w:color w:val="000000"/>
                <w:szCs w:val="21"/>
              </w:rPr>
              <w:t>名    称： 长春市就业服务局</w:t>
            </w:r>
          </w:p>
          <w:p>
            <w:pPr>
              <w:spacing w:line="360" w:lineRule="auto"/>
              <w:jc w:val="left"/>
              <w:rPr>
                <w:rFonts w:ascii="宋体" w:hAnsi="宋体" w:cs="宋体"/>
                <w:color w:val="000000"/>
                <w:szCs w:val="21"/>
              </w:rPr>
            </w:pPr>
            <w:r>
              <w:rPr>
                <w:rFonts w:hint="eastAsia" w:ascii="宋体" w:hAnsi="宋体" w:cs="宋体"/>
                <w:color w:val="000000"/>
                <w:szCs w:val="21"/>
              </w:rPr>
              <w:t>联 系 人： 胡工</w:t>
            </w:r>
          </w:p>
          <w:p>
            <w:pPr>
              <w:spacing w:line="360" w:lineRule="auto"/>
              <w:jc w:val="left"/>
              <w:rPr>
                <w:rFonts w:ascii="宋体" w:hAnsi="宋体" w:cs="宋体"/>
                <w:color w:val="000000"/>
                <w:szCs w:val="21"/>
              </w:rPr>
            </w:pPr>
            <w:r>
              <w:rPr>
                <w:rFonts w:hint="eastAsia" w:ascii="宋体" w:hAnsi="宋体" w:cs="宋体"/>
                <w:color w:val="000000"/>
                <w:szCs w:val="21"/>
              </w:rPr>
              <w:t>地    址： 吉林省长春市天富路1567号</w:t>
            </w:r>
          </w:p>
          <w:p>
            <w:pPr>
              <w:spacing w:line="360" w:lineRule="auto"/>
              <w:jc w:val="left"/>
              <w:rPr>
                <w:rFonts w:ascii="宋体" w:hAnsi="宋体" w:cs="宋体"/>
                <w:color w:val="000000"/>
                <w:szCs w:val="21"/>
              </w:rPr>
            </w:pPr>
            <w:r>
              <w:rPr>
                <w:rFonts w:hint="eastAsia" w:ascii="宋体" w:hAnsi="宋体" w:cs="宋体"/>
                <w:color w:val="000000"/>
                <w:szCs w:val="21"/>
              </w:rPr>
              <w:t>联系方式： 0431-81118019</w:t>
            </w:r>
          </w:p>
        </w:tc>
      </w:tr>
      <w:tr>
        <w:tblPrEx>
          <w:tblCellMar>
            <w:top w:w="0" w:type="dxa"/>
            <w:left w:w="108" w:type="dxa"/>
            <w:bottom w:w="0" w:type="dxa"/>
            <w:right w:w="108" w:type="dxa"/>
          </w:tblCellMar>
        </w:tblPrEx>
        <w:trPr>
          <w:trHeight w:val="120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1.1.3</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采购代理机构</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auto"/>
              <w:jc w:val="left"/>
            </w:pPr>
            <w:r>
              <w:t xml:space="preserve">名    称： </w:t>
            </w:r>
            <w:r>
              <w:rPr>
                <w:rFonts w:hint="eastAsia"/>
              </w:rPr>
              <w:t>吉林省龙泰工程咨询有限责任公司</w:t>
            </w:r>
            <w:r>
              <w:t>　　　　　　　　　　　　</w:t>
            </w:r>
          </w:p>
          <w:p>
            <w:pPr>
              <w:spacing w:line="360" w:lineRule="auto"/>
              <w:jc w:val="left"/>
            </w:pPr>
            <w:r>
              <w:t xml:space="preserve">联 系 人： </w:t>
            </w:r>
            <w:r>
              <w:rPr>
                <w:rFonts w:hint="eastAsia" w:ascii="宋体" w:hAnsi="宋体" w:cs="宋体"/>
                <w:color w:val="000000"/>
                <w:szCs w:val="21"/>
              </w:rPr>
              <w:t>于工</w:t>
            </w:r>
          </w:p>
          <w:p>
            <w:pPr>
              <w:spacing w:line="360" w:lineRule="auto"/>
              <w:jc w:val="left"/>
            </w:pPr>
            <w:r>
              <w:t>地　　址： 长春市南关区蔚山路与幸福街交汇陶然公馆19楼1908室　　　　　　　　　　　　</w:t>
            </w:r>
          </w:p>
          <w:p>
            <w:pPr>
              <w:spacing w:line="360" w:lineRule="auto"/>
              <w:jc w:val="left"/>
            </w:pPr>
            <w:r>
              <w:t>联系方式： 0431-85332368</w:t>
            </w:r>
          </w:p>
        </w:tc>
      </w:tr>
      <w:tr>
        <w:tblPrEx>
          <w:tblCellMar>
            <w:top w:w="0" w:type="dxa"/>
            <w:left w:w="108" w:type="dxa"/>
            <w:bottom w:w="0" w:type="dxa"/>
            <w:right w:w="108" w:type="dxa"/>
          </w:tblCellMar>
        </w:tblPrEx>
        <w:trPr>
          <w:trHeight w:val="407" w:hRule="atLeast"/>
          <w:jc w:val="center"/>
        </w:trPr>
        <w:tc>
          <w:tcPr>
            <w:tcW w:w="1060" w:type="dxa"/>
            <w:vMerge w:val="restart"/>
            <w:tcBorders>
              <w:top w:val="single" w:color="auto" w:sz="4" w:space="0"/>
              <w:left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1.1.4</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招标编号</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Cs w:val="21"/>
              </w:rPr>
            </w:pPr>
            <w:r>
              <w:rPr>
                <w:rFonts w:hint="eastAsia" w:ascii="宋体" w:hAnsi="宋体" w:cs="宋体"/>
                <w:color w:val="000000"/>
                <w:szCs w:val="21"/>
              </w:rPr>
              <w:t>JM-2023-11-01181-2</w:t>
            </w:r>
          </w:p>
        </w:tc>
      </w:tr>
      <w:tr>
        <w:tblPrEx>
          <w:tblCellMar>
            <w:top w:w="0" w:type="dxa"/>
            <w:left w:w="108" w:type="dxa"/>
            <w:bottom w:w="0" w:type="dxa"/>
            <w:right w:w="108" w:type="dxa"/>
          </w:tblCellMar>
        </w:tblPrEx>
        <w:trPr>
          <w:trHeight w:val="407" w:hRule="atLeast"/>
          <w:jc w:val="center"/>
        </w:trPr>
        <w:tc>
          <w:tcPr>
            <w:tcW w:w="1060" w:type="dxa"/>
            <w:vMerge w:val="continue"/>
            <w:tcBorders>
              <w:left w:val="single" w:color="auto" w:sz="4" w:space="0"/>
              <w:right w:val="single" w:color="auto" w:sz="4" w:space="0"/>
            </w:tcBorders>
            <w:vAlign w:val="center"/>
          </w:tcPr>
          <w:p>
            <w:pPr>
              <w:jc w:val="center"/>
              <w:rPr>
                <w:rFonts w:ascii="宋体" w:hAnsi="宋体" w:cs="宋体"/>
                <w:color w:val="000000"/>
                <w:szCs w:val="21"/>
              </w:rPr>
            </w:pPr>
          </w:p>
        </w:tc>
        <w:tc>
          <w:tcPr>
            <w:tcW w:w="1968"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项目名称</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Cs w:val="21"/>
              </w:rPr>
            </w:pPr>
            <w:r>
              <w:rPr>
                <w:rFonts w:hint="eastAsia" w:ascii="宋体" w:hAnsi="宋体" w:cs="宋体"/>
                <w:color w:val="000000"/>
                <w:szCs w:val="21"/>
              </w:rPr>
              <w:t>长春市就业链与产业链协同发展示范项目档案数字化及运维服务（就业部分）</w:t>
            </w:r>
          </w:p>
        </w:tc>
      </w:tr>
      <w:tr>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1.1.5</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服务地点</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Cs w:val="21"/>
              </w:rPr>
            </w:pPr>
            <w:r>
              <w:rPr>
                <w:rFonts w:hint="eastAsia" w:ascii="宋体" w:hAnsi="宋体" w:cs="宋体"/>
                <w:color w:val="000000"/>
                <w:szCs w:val="21"/>
              </w:rPr>
              <w:t>长春市就业服务局指定地点</w:t>
            </w:r>
          </w:p>
        </w:tc>
      </w:tr>
      <w:tr>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1.2.1</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资金来源</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Cs w:val="21"/>
              </w:rPr>
            </w:pPr>
            <w:r>
              <w:rPr>
                <w:rFonts w:hint="eastAsia" w:ascii="宋体" w:hAnsi="宋体" w:cs="宋体"/>
                <w:color w:val="000000"/>
                <w:szCs w:val="21"/>
              </w:rPr>
              <w:t>财政资金</w:t>
            </w:r>
          </w:p>
        </w:tc>
      </w:tr>
      <w:tr>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1.2.2</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资金落实情况</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Cs w:val="21"/>
              </w:rPr>
            </w:pPr>
            <w:r>
              <w:rPr>
                <w:rFonts w:hint="eastAsia" w:ascii="宋体" w:hAnsi="宋体" w:cs="宋体"/>
                <w:color w:val="000000"/>
                <w:szCs w:val="21"/>
              </w:rPr>
              <w:t>已落实</w:t>
            </w:r>
          </w:p>
        </w:tc>
      </w:tr>
      <w:tr>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1.3.1</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招标范围</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Cs w:val="21"/>
              </w:rPr>
            </w:pPr>
            <w:r>
              <w:rPr>
                <w:rFonts w:hint="eastAsia" w:ascii="宋体" w:hAnsi="宋体" w:cs="宋体"/>
                <w:color w:val="000000"/>
                <w:szCs w:val="21"/>
              </w:rPr>
              <w:t>长春市就业链与产业链协同发展示范项目档案数字化及运维服务（就业部分）</w:t>
            </w:r>
          </w:p>
        </w:tc>
      </w:tr>
      <w:tr>
        <w:tblPrEx>
          <w:tblCellMar>
            <w:top w:w="0" w:type="dxa"/>
            <w:left w:w="108" w:type="dxa"/>
            <w:bottom w:w="0" w:type="dxa"/>
            <w:right w:w="108" w:type="dxa"/>
          </w:tblCellMar>
        </w:tblPrEx>
        <w:trPr>
          <w:trHeight w:val="54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1.3.2</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合同履行期限</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szCs w:val="21"/>
              </w:rPr>
            </w:pPr>
            <w:r>
              <w:rPr>
                <w:rFonts w:hint="eastAsia" w:ascii="宋体" w:hAnsi="宋体" w:cs="宋体"/>
                <w:color w:val="000000"/>
                <w:szCs w:val="21"/>
              </w:rPr>
              <w:t>档案支撑服务周期为合同签订之日起3年，档案加工周期为合同签订之日起180日</w:t>
            </w:r>
          </w:p>
        </w:tc>
      </w:tr>
      <w:tr>
        <w:tblPrEx>
          <w:tblCellMar>
            <w:top w:w="0" w:type="dxa"/>
            <w:left w:w="108" w:type="dxa"/>
            <w:bottom w:w="0" w:type="dxa"/>
            <w:right w:w="108" w:type="dxa"/>
          </w:tblCellMar>
        </w:tblPrEx>
        <w:trPr>
          <w:trHeight w:val="505"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1.3.3</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服务标准</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bCs/>
                <w:color w:val="000000"/>
                <w:szCs w:val="21"/>
              </w:rPr>
            </w:pPr>
            <w:r>
              <w:rPr>
                <w:rFonts w:hint="eastAsia" w:ascii="宋体" w:hAnsi="宋体" w:cs="宋体"/>
                <w:bCs/>
                <w:color w:val="000000"/>
                <w:szCs w:val="21"/>
              </w:rPr>
              <w:t>优质服务</w:t>
            </w:r>
          </w:p>
        </w:tc>
      </w:tr>
      <w:tr>
        <w:tblPrEx>
          <w:tblCellMar>
            <w:top w:w="0" w:type="dxa"/>
            <w:left w:w="108" w:type="dxa"/>
            <w:bottom w:w="0" w:type="dxa"/>
            <w:right w:w="108" w:type="dxa"/>
          </w:tblCellMar>
        </w:tblPrEx>
        <w:trPr>
          <w:trHeight w:val="306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1.4.1</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投标人资质条件、能力</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pPr>
            <w:r>
              <w:t>1.供应商满足《中华人民共和国政府采购法》第二十二条规定；</w:t>
            </w:r>
          </w:p>
          <w:p>
            <w:pPr>
              <w:spacing w:line="360" w:lineRule="exact"/>
              <w:jc w:val="left"/>
            </w:pPr>
            <w:r>
              <w:t>2.供应商须是在中华人民共和国境内注册的法人或其他组织，能够独立承担民事责任，具有有效的营业执照，</w:t>
            </w:r>
            <w:r>
              <w:rPr>
                <w:rFonts w:hint="eastAsia"/>
              </w:rPr>
              <w:t>同时具有省级及以上政府保密部门颁发的国家秘密载体印制资质（涉密档案数字化加工）乙级及以上资质，</w:t>
            </w:r>
            <w:r>
              <w:t>并在人员、设备方面具有相应的能力；</w:t>
            </w:r>
          </w:p>
          <w:p>
            <w:pPr>
              <w:spacing w:line="360" w:lineRule="exact"/>
              <w:jc w:val="left"/>
            </w:pPr>
            <w:r>
              <w:t>3.具有良好的商业信誉和健全的财务会计制度，依法缴纳税收和社会保障资金的良好记录，提供上年度由具备审计资格的第三方出具的财务审计报告，根据《长财采购[2022]2066号文件关于加强政府采购信用体系建设简化供应商资格条件有关事项的通知》提供资格条件承诺函；</w:t>
            </w:r>
          </w:p>
          <w:p>
            <w:pPr>
              <w:spacing w:line="360" w:lineRule="exact"/>
              <w:jc w:val="left"/>
            </w:pPr>
            <w:r>
              <w:t>4.参加政府采购活动前三年内，在经营活动中没有重大违法记录；</w:t>
            </w:r>
          </w:p>
          <w:p>
            <w:pPr>
              <w:spacing w:line="360" w:lineRule="exact"/>
              <w:jc w:val="left"/>
            </w:pPr>
            <w:r>
              <w:t>5.在中国裁判文书网上，近三年无行贿受贿犯罪记录；</w:t>
            </w:r>
          </w:p>
          <w:p>
            <w:pPr>
              <w:spacing w:line="360" w:lineRule="exact"/>
              <w:jc w:val="left"/>
            </w:pPr>
            <w:r>
              <w:t>6.近三年内不得为“信用中国”网站（www.creditchina.gov.cn）中列入失信被执行人和重大税收违法案件当事人名单供应商，不得为中国政府采购网（www.ccgp.gov.cn）政府采购严重违法失信行为记录名单中被财政部门禁止参加政府采购活动的供应商（在处罚决定规定的时间和地域范围内）；</w:t>
            </w:r>
          </w:p>
          <w:p>
            <w:pPr>
              <w:spacing w:line="360" w:lineRule="exact"/>
              <w:jc w:val="left"/>
            </w:pPr>
            <w:r>
              <w:t>7.本项目不接受被列入失信被执行人、重大税收违法案件当事人名单、政府采购严重违法失信行为记录名单的供应商参与投标（详见财库【2017】125号文件）；</w:t>
            </w:r>
          </w:p>
          <w:p>
            <w:pPr>
              <w:spacing w:line="360" w:lineRule="exact"/>
              <w:jc w:val="left"/>
            </w:pPr>
            <w:r>
              <w:t>8.单位负责人为同一人或者存在控股、管理关系的不同单位，不得参加同一标段投标或者未划分标段的同一招标项目投标。违反这两款规定的，相关投标均无效；</w:t>
            </w:r>
          </w:p>
          <w:p>
            <w:pPr>
              <w:spacing w:line="360" w:lineRule="exact"/>
              <w:jc w:val="left"/>
            </w:pPr>
            <w:r>
              <w:t>9.拒绝列入政府取消投标资格记录期间的企业或个人投标</w:t>
            </w:r>
            <w:r>
              <w:rPr>
                <w:rFonts w:hint="eastAsia"/>
              </w:rPr>
              <w:t>；</w:t>
            </w:r>
          </w:p>
          <w:p>
            <w:pPr>
              <w:spacing w:line="360" w:lineRule="exact"/>
              <w:jc w:val="left"/>
            </w:pPr>
            <w:r>
              <w:t>10.落实政府采购政策需满足的资格要求：本项目不是专门面向中小企业项目</w:t>
            </w:r>
            <w:r>
              <w:rPr>
                <w:rFonts w:hint="eastAsia"/>
              </w:rPr>
              <w:t>。</w:t>
            </w:r>
          </w:p>
        </w:tc>
      </w:tr>
      <w:tr>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1.9.1</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lang w:val="zh-CN"/>
              </w:rPr>
              <w:t>踏勘现场</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Cs w:val="21"/>
              </w:rPr>
            </w:pPr>
            <w:r>
              <w:rPr>
                <w:rFonts w:hint="eastAsia" w:ascii="宋体" w:hAnsi="宋体" w:cs="宋体"/>
                <w:color w:val="000000"/>
                <w:szCs w:val="21"/>
                <w:lang w:val="zh-CN"/>
              </w:rPr>
              <w:t>不组织</w:t>
            </w:r>
          </w:p>
        </w:tc>
      </w:tr>
      <w:tr>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1.10.1</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lang w:val="zh-CN"/>
              </w:rPr>
              <w:t>投标预备会</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Cs w:val="21"/>
              </w:rPr>
            </w:pPr>
            <w:r>
              <w:rPr>
                <w:rFonts w:hint="eastAsia" w:ascii="宋体" w:hAnsi="宋体" w:cs="宋体"/>
                <w:color w:val="000000"/>
                <w:szCs w:val="21"/>
                <w:lang w:val="zh-CN"/>
              </w:rPr>
              <w:t>不召开</w:t>
            </w:r>
          </w:p>
        </w:tc>
      </w:tr>
      <w:tr>
        <w:tblPrEx>
          <w:tblCellMar>
            <w:top w:w="0" w:type="dxa"/>
            <w:left w:w="108" w:type="dxa"/>
            <w:bottom w:w="0" w:type="dxa"/>
            <w:right w:w="108" w:type="dxa"/>
          </w:tblCellMar>
        </w:tblPrEx>
        <w:trPr>
          <w:trHeight w:val="926"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1.10.2</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投标人提出问题的截止时间</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Cs w:val="21"/>
              </w:rPr>
            </w:pPr>
            <w:r>
              <w:rPr>
                <w:rFonts w:hint="eastAsia" w:hAnsi="宋体"/>
                <w:szCs w:val="21"/>
              </w:rPr>
              <w:t>投标截止时间10日前，逾期有权不再解答，若供应商未提出疑问，则视为其无疑</w:t>
            </w:r>
            <w:r>
              <w:rPr>
                <w:rFonts w:hint="eastAsia" w:ascii="宋体" w:hAnsi="宋体" w:cs="宋体"/>
                <w:szCs w:val="21"/>
              </w:rPr>
              <w:t>问。</w:t>
            </w:r>
          </w:p>
        </w:tc>
      </w:tr>
      <w:tr>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1.10.3</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采购人书面澄清的时间</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Cs w:val="21"/>
              </w:rPr>
            </w:pPr>
            <w:r>
              <w:rPr>
                <w:rFonts w:hint="eastAsia" w:ascii="宋体" w:hAnsi="宋体" w:cs="宋体"/>
                <w:color w:val="000000"/>
                <w:szCs w:val="21"/>
              </w:rPr>
              <w:t>投标截止日期前15日</w:t>
            </w:r>
          </w:p>
        </w:tc>
      </w:tr>
      <w:tr>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1.11</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偏离</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Cs w:val="21"/>
              </w:rPr>
            </w:pPr>
            <w:r>
              <w:rPr>
                <w:rFonts w:hint="eastAsia" w:ascii="宋体" w:hAnsi="宋体" w:cs="宋体"/>
                <w:color w:val="000000"/>
                <w:szCs w:val="21"/>
              </w:rPr>
              <w:t>不允许</w:t>
            </w:r>
          </w:p>
        </w:tc>
      </w:tr>
      <w:tr>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2.1</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构成招标文件的其他材料</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Cs w:val="21"/>
              </w:rPr>
            </w:pPr>
            <w:r>
              <w:rPr>
                <w:rFonts w:hint="eastAsia" w:ascii="宋体" w:hAnsi="宋体" w:cs="宋体"/>
                <w:color w:val="000000"/>
                <w:szCs w:val="21"/>
              </w:rPr>
              <w:t>澄清文件（如有）</w:t>
            </w:r>
          </w:p>
        </w:tc>
      </w:tr>
      <w:tr>
        <w:tblPrEx>
          <w:tblCellMar>
            <w:top w:w="0" w:type="dxa"/>
            <w:left w:w="108" w:type="dxa"/>
            <w:bottom w:w="0" w:type="dxa"/>
            <w:right w:w="108" w:type="dxa"/>
          </w:tblCellMar>
        </w:tblPrEx>
        <w:trPr>
          <w:trHeight w:val="416"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2.2.2</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投标截止时间</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Cs w:val="21"/>
              </w:rPr>
            </w:pPr>
            <w:r>
              <w:rPr>
                <w:rFonts w:hint="eastAsia" w:ascii="宋体" w:hAnsi="宋体" w:cs="宋体"/>
                <w:color w:val="000000"/>
                <w:szCs w:val="21"/>
                <w:lang w:val="zh-CN"/>
              </w:rPr>
              <w:t>202</w:t>
            </w:r>
            <w:r>
              <w:rPr>
                <w:rFonts w:hint="eastAsia" w:ascii="宋体" w:hAnsi="宋体" w:cs="宋体"/>
                <w:color w:val="000000"/>
                <w:szCs w:val="21"/>
              </w:rPr>
              <w:t>4</w:t>
            </w:r>
            <w:r>
              <w:rPr>
                <w:rFonts w:hint="eastAsia" w:ascii="宋体" w:hAnsi="宋体" w:cs="宋体"/>
                <w:color w:val="000000"/>
                <w:szCs w:val="21"/>
                <w:lang w:val="zh-CN"/>
              </w:rPr>
              <w:t>年</w:t>
            </w:r>
            <w:r>
              <w:rPr>
                <w:rFonts w:hint="eastAsia" w:ascii="宋体" w:hAnsi="宋体" w:cs="宋体"/>
                <w:color w:val="000000"/>
                <w:szCs w:val="21"/>
              </w:rPr>
              <w:t>01</w:t>
            </w:r>
            <w:r>
              <w:rPr>
                <w:rFonts w:hint="eastAsia" w:ascii="宋体" w:hAnsi="宋体" w:cs="宋体"/>
                <w:color w:val="000000"/>
                <w:szCs w:val="21"/>
                <w:lang w:val="zh-CN"/>
              </w:rPr>
              <w:t>月</w:t>
            </w:r>
            <w:r>
              <w:rPr>
                <w:rFonts w:hint="eastAsia" w:ascii="宋体" w:hAnsi="宋体" w:cs="宋体"/>
                <w:color w:val="000000"/>
                <w:szCs w:val="21"/>
              </w:rPr>
              <w:t>16</w:t>
            </w:r>
            <w:r>
              <w:rPr>
                <w:rFonts w:hint="eastAsia" w:ascii="宋体" w:hAnsi="宋体" w:cs="宋体"/>
                <w:color w:val="000000"/>
                <w:szCs w:val="21"/>
                <w:lang w:val="zh-CN"/>
              </w:rPr>
              <w:t>日</w:t>
            </w:r>
            <w:r>
              <w:rPr>
                <w:rFonts w:hint="eastAsia" w:ascii="宋体" w:hAnsi="宋体" w:cs="宋体"/>
                <w:color w:val="000000"/>
                <w:szCs w:val="21"/>
              </w:rPr>
              <w:t>09</w:t>
            </w:r>
            <w:r>
              <w:rPr>
                <w:rFonts w:hint="eastAsia" w:ascii="宋体" w:hAnsi="宋体" w:cs="宋体"/>
                <w:color w:val="000000"/>
                <w:szCs w:val="21"/>
                <w:lang w:val="zh-CN"/>
              </w:rPr>
              <w:t>点</w:t>
            </w:r>
            <w:r>
              <w:rPr>
                <w:rFonts w:hint="eastAsia" w:ascii="宋体" w:hAnsi="宋体" w:cs="宋体"/>
                <w:color w:val="000000"/>
                <w:szCs w:val="21"/>
              </w:rPr>
              <w:t>00</w:t>
            </w:r>
            <w:r>
              <w:rPr>
                <w:rFonts w:hint="eastAsia" w:ascii="宋体" w:hAnsi="宋体" w:cs="宋体"/>
                <w:color w:val="000000"/>
                <w:szCs w:val="21"/>
                <w:lang w:val="zh-CN"/>
              </w:rPr>
              <w:t>分</w:t>
            </w:r>
          </w:p>
        </w:tc>
      </w:tr>
      <w:tr>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2.2.3</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投标人确认收到招标文件澄清的时间</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Cs w:val="21"/>
              </w:rPr>
            </w:pPr>
            <w:r>
              <w:rPr>
                <w:rFonts w:hint="eastAsia" w:ascii="宋体" w:hAnsi="宋体" w:cs="宋体"/>
                <w:color w:val="000000"/>
                <w:szCs w:val="21"/>
              </w:rPr>
              <w:t>在收到相应澄清文件后24小时内</w:t>
            </w:r>
          </w:p>
        </w:tc>
      </w:tr>
      <w:tr>
        <w:tblPrEx>
          <w:tblCellMar>
            <w:top w:w="0" w:type="dxa"/>
            <w:left w:w="108" w:type="dxa"/>
            <w:bottom w:w="0" w:type="dxa"/>
            <w:right w:w="108" w:type="dxa"/>
          </w:tblCellMar>
        </w:tblPrEx>
        <w:trPr>
          <w:trHeight w:val="463" w:hRule="atLeast"/>
          <w:jc w:val="center"/>
        </w:trPr>
        <w:tc>
          <w:tcPr>
            <w:tcW w:w="1060"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2.3.2</w:t>
            </w:r>
          </w:p>
        </w:tc>
        <w:tc>
          <w:tcPr>
            <w:tcW w:w="1968"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投标人确认收到招标文件修改的时间</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Cs w:val="21"/>
              </w:rPr>
            </w:pPr>
            <w:r>
              <w:rPr>
                <w:rFonts w:hint="eastAsia" w:ascii="宋体" w:hAnsi="宋体" w:cs="宋体"/>
                <w:color w:val="000000"/>
                <w:szCs w:val="21"/>
              </w:rPr>
              <w:t>在收到相应修改文件后24小时内</w:t>
            </w:r>
          </w:p>
        </w:tc>
      </w:tr>
      <w:tr>
        <w:tblPrEx>
          <w:tblCellMar>
            <w:top w:w="0" w:type="dxa"/>
            <w:left w:w="108" w:type="dxa"/>
            <w:bottom w:w="0" w:type="dxa"/>
            <w:right w:w="108" w:type="dxa"/>
          </w:tblCellMar>
        </w:tblPrEx>
        <w:trPr>
          <w:trHeight w:val="463" w:hRule="atLeast"/>
          <w:jc w:val="center"/>
        </w:trPr>
        <w:tc>
          <w:tcPr>
            <w:tcW w:w="1060" w:type="dxa"/>
            <w:vMerge w:val="continue"/>
            <w:tcBorders>
              <w:left w:val="single" w:color="auto" w:sz="4" w:space="0"/>
              <w:bottom w:val="single" w:color="auto" w:sz="4" w:space="0"/>
              <w:right w:val="single" w:color="auto" w:sz="4" w:space="0"/>
            </w:tcBorders>
            <w:vAlign w:val="center"/>
          </w:tcPr>
          <w:p>
            <w:pPr>
              <w:spacing w:line="360" w:lineRule="exact"/>
              <w:jc w:val="left"/>
            </w:pPr>
          </w:p>
        </w:tc>
        <w:tc>
          <w:tcPr>
            <w:tcW w:w="1968" w:type="dxa"/>
            <w:vMerge w:val="continue"/>
            <w:tcBorders>
              <w:left w:val="single" w:color="auto" w:sz="4" w:space="0"/>
              <w:bottom w:val="single" w:color="auto" w:sz="4" w:space="0"/>
              <w:right w:val="single" w:color="auto" w:sz="4" w:space="0"/>
            </w:tcBorders>
            <w:vAlign w:val="center"/>
          </w:tcPr>
          <w:p>
            <w:pPr>
              <w:spacing w:line="360" w:lineRule="exact"/>
              <w:jc w:val="left"/>
            </w:pP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Cs w:val="21"/>
              </w:rPr>
            </w:pPr>
            <w:r>
              <w:rPr>
                <w:rFonts w:hint="eastAsia" w:ascii="宋体" w:hAnsi="宋体" w:cs="宋体"/>
                <w:szCs w:val="21"/>
              </w:rPr>
              <w:t>形式：有关本次采购项目的事项若存在变动或修改，敬请及时关注“政采云”网站发布的信息更正公告或澄清文件</w:t>
            </w:r>
          </w:p>
        </w:tc>
      </w:tr>
      <w:tr>
        <w:tblPrEx>
          <w:tblCellMar>
            <w:top w:w="0" w:type="dxa"/>
            <w:left w:w="108" w:type="dxa"/>
            <w:bottom w:w="0" w:type="dxa"/>
            <w:right w:w="108" w:type="dxa"/>
          </w:tblCellMar>
        </w:tblPrEx>
        <w:trPr>
          <w:trHeight w:val="626"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3.1</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lang w:val="zh-CN"/>
              </w:rPr>
              <w:t>构成投标文件的其他材料</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Cs w:val="21"/>
              </w:rPr>
            </w:pPr>
            <w:r>
              <w:rPr>
                <w:rFonts w:hint="eastAsia" w:ascii="宋体" w:hAnsi="宋体" w:cs="宋体"/>
                <w:szCs w:val="21"/>
              </w:rPr>
              <w:t>无</w:t>
            </w:r>
          </w:p>
        </w:tc>
      </w:tr>
      <w:tr>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3.3.1</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投标有效期</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Cs w:val="21"/>
              </w:rPr>
            </w:pPr>
            <w:r>
              <w:rPr>
                <w:rFonts w:hint="eastAsia" w:ascii="宋体" w:hAnsi="宋体" w:cs="宋体"/>
                <w:color w:val="000000"/>
                <w:szCs w:val="21"/>
              </w:rPr>
              <w:t>投标截止之日起90日历天</w:t>
            </w:r>
          </w:p>
        </w:tc>
      </w:tr>
      <w:tr>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3.4.1</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投标保证金</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Cs w:val="21"/>
              </w:rPr>
            </w:pPr>
            <w:r>
              <w:rPr>
                <w:rFonts w:hint="eastAsia" w:ascii="宋体" w:hAnsi="宋体" w:cs="宋体"/>
                <w:color w:val="000000"/>
                <w:szCs w:val="21"/>
              </w:rPr>
              <w:t>诚信记录良好的供应商不收取投标保证金。</w:t>
            </w:r>
          </w:p>
          <w:p>
            <w:pPr>
              <w:spacing w:line="360" w:lineRule="exact"/>
              <w:jc w:val="left"/>
              <w:rPr>
                <w:rFonts w:ascii="宋体" w:hAnsi="宋体" w:cs="宋体"/>
                <w:color w:val="000000"/>
                <w:szCs w:val="21"/>
              </w:rPr>
            </w:pPr>
            <w:r>
              <w:rPr>
                <w:rFonts w:hint="eastAsia" w:ascii="宋体" w:hAnsi="宋体" w:cs="宋体"/>
                <w:color w:val="000000"/>
                <w:szCs w:val="21"/>
              </w:rPr>
              <w:t>根据长春市财政局关于取消政府采购投标保证金及采购文件工本费等事项的通知，满足《中华人民共和国政府采购法》第二十二条有关规定，经“信用中国”网站查询存在行政处罚信息的投标人收取投标保证金，投标保证金金额如下。</w:t>
            </w:r>
          </w:p>
          <w:p>
            <w:pPr>
              <w:spacing w:line="360" w:lineRule="exact"/>
              <w:jc w:val="left"/>
              <w:rPr>
                <w:rFonts w:ascii="宋体" w:hAnsi="宋体" w:cs="宋体"/>
                <w:color w:val="000000"/>
                <w:szCs w:val="21"/>
              </w:rPr>
            </w:pPr>
            <w:r>
              <w:rPr>
                <w:rFonts w:hint="eastAsia" w:ascii="宋体" w:hAnsi="宋体" w:cs="宋体"/>
                <w:color w:val="000000"/>
                <w:szCs w:val="21"/>
              </w:rPr>
              <w:t>根据长春市财政局关于取消政府采购投标保证金及采购文件工本费等有关事项的通知《长财采购(2021)695号》文件要求“自2021年7月1日起，全市政府采购货物和服务招标投标活动及非招标采购方式采购货物、工程和服务不得向诚信记录良好的供应商收取投标保证金，但对于满足《中华人民共和国政府采购法》第二十二条有关规定，经“信用中国”网站查询存在行政处罚信息的供应商，采购人、采购代理机构可以按规定收取投标保证金。”供应商根据自身情况自行判断是否需要提交投标保证金。如符合文件要求的不需要提交投标保证金情况的请在响应文件中提供相关网页截图并提供承诺书（格式自拟）。</w:t>
            </w:r>
          </w:p>
          <w:p>
            <w:pPr>
              <w:spacing w:line="360" w:lineRule="exact"/>
              <w:jc w:val="left"/>
              <w:rPr>
                <w:rFonts w:ascii="宋体" w:hAnsi="宋体" w:cs="宋体"/>
                <w:color w:val="000000"/>
                <w:szCs w:val="21"/>
              </w:rPr>
            </w:pPr>
            <w:r>
              <w:rPr>
                <w:rFonts w:hint="eastAsia" w:ascii="宋体" w:hAnsi="宋体" w:cs="宋体"/>
                <w:color w:val="000000"/>
                <w:szCs w:val="21"/>
              </w:rPr>
              <w:t>投标保证金的形式：现金、银行出具的现金支票、保兑支票、银行汇票，银行、专业担保公司、保险公司出具的保函等形式，以现金或支票形式提交的投标保证金应当从供应商的基本账户转出。</w:t>
            </w:r>
          </w:p>
          <w:p>
            <w:pPr>
              <w:spacing w:line="360" w:lineRule="exact"/>
              <w:jc w:val="left"/>
              <w:rPr>
                <w:rFonts w:ascii="宋体" w:hAnsi="宋体" w:cs="宋体"/>
                <w:color w:val="000000"/>
                <w:szCs w:val="21"/>
              </w:rPr>
            </w:pPr>
            <w:r>
              <w:rPr>
                <w:rFonts w:hint="eastAsia" w:ascii="宋体" w:hAnsi="宋体" w:cs="宋体"/>
                <w:color w:val="000000"/>
                <w:szCs w:val="21"/>
              </w:rPr>
              <w:t>投标保证金的金额：人民币50000元整</w:t>
            </w:r>
          </w:p>
          <w:p>
            <w:pPr>
              <w:spacing w:line="360" w:lineRule="exact"/>
              <w:jc w:val="left"/>
              <w:rPr>
                <w:rFonts w:ascii="宋体" w:hAnsi="宋体" w:cs="宋体"/>
                <w:color w:val="000000"/>
                <w:szCs w:val="21"/>
              </w:rPr>
            </w:pPr>
            <w:r>
              <w:rPr>
                <w:rFonts w:hint="eastAsia" w:ascii="宋体" w:hAnsi="宋体" w:cs="宋体"/>
                <w:color w:val="000000"/>
                <w:szCs w:val="21"/>
              </w:rPr>
              <w:t>投标保证金的递交截止时间为：2024年01月</w:t>
            </w:r>
            <w:r>
              <w:rPr>
                <w:rFonts w:hint="eastAsia" w:ascii="宋体" w:hAnsi="宋体" w:cs="宋体"/>
                <w:color w:val="000000"/>
                <w:szCs w:val="21"/>
                <w:lang w:val="en-US" w:eastAsia="zh-CN"/>
              </w:rPr>
              <w:t>16</w:t>
            </w:r>
            <w:r>
              <w:rPr>
                <w:rFonts w:hint="eastAsia" w:ascii="宋体" w:hAnsi="宋体" w:cs="宋体"/>
                <w:color w:val="000000"/>
                <w:szCs w:val="21"/>
              </w:rPr>
              <w:t>日09时之前递交至指定账号，以到达账户时间为准。以保函形式提交的，须在此时间前将保函原件递交到采购代理机构，标书内附加盖公章的复印件。</w:t>
            </w:r>
          </w:p>
          <w:p>
            <w:pPr>
              <w:spacing w:line="360" w:lineRule="exact"/>
              <w:jc w:val="left"/>
              <w:rPr>
                <w:rFonts w:ascii="宋体" w:hAnsi="宋体" w:cs="宋体"/>
                <w:color w:val="000000"/>
                <w:szCs w:val="21"/>
              </w:rPr>
            </w:pPr>
            <w:r>
              <w:rPr>
                <w:rFonts w:hint="eastAsia" w:ascii="宋体" w:hAnsi="宋体" w:cs="宋体"/>
                <w:color w:val="000000"/>
                <w:szCs w:val="21"/>
              </w:rPr>
              <w:t>账户名称：吉林省龙泰工程咨询有限责任公司</w:t>
            </w:r>
          </w:p>
          <w:p>
            <w:pPr>
              <w:spacing w:line="360" w:lineRule="exact"/>
              <w:jc w:val="left"/>
              <w:rPr>
                <w:rFonts w:ascii="宋体" w:hAnsi="宋体" w:cs="宋体"/>
                <w:color w:val="000000"/>
                <w:szCs w:val="21"/>
              </w:rPr>
            </w:pPr>
            <w:r>
              <w:rPr>
                <w:rFonts w:hint="eastAsia" w:ascii="宋体" w:hAnsi="宋体" w:cs="宋体"/>
                <w:color w:val="000000"/>
                <w:szCs w:val="21"/>
              </w:rPr>
              <w:t>开户银行：中国建设银行股份有限公司长春人民广场支行</w:t>
            </w:r>
          </w:p>
          <w:p>
            <w:pPr>
              <w:spacing w:line="360" w:lineRule="exact"/>
              <w:jc w:val="left"/>
              <w:rPr>
                <w:rFonts w:ascii="宋体" w:hAnsi="宋体" w:cs="宋体"/>
                <w:color w:val="000000"/>
                <w:szCs w:val="21"/>
              </w:rPr>
            </w:pPr>
            <w:r>
              <w:rPr>
                <w:rFonts w:hint="eastAsia" w:ascii="宋体" w:hAnsi="宋体" w:cs="宋体"/>
                <w:color w:val="000000"/>
                <w:szCs w:val="21"/>
              </w:rPr>
              <w:t>账    号：2205 0134 0100 0000 0143</w:t>
            </w:r>
          </w:p>
          <w:p>
            <w:pPr>
              <w:spacing w:line="360" w:lineRule="exact"/>
              <w:jc w:val="left"/>
              <w:rPr>
                <w:rFonts w:ascii="宋体" w:hAnsi="宋体" w:cs="宋体"/>
                <w:color w:val="000000"/>
                <w:szCs w:val="21"/>
              </w:rPr>
            </w:pPr>
            <w:r>
              <w:rPr>
                <w:rFonts w:hint="eastAsia" w:ascii="宋体" w:hAnsi="宋体" w:cs="宋体"/>
                <w:color w:val="000000"/>
                <w:szCs w:val="21"/>
              </w:rPr>
              <w:t>※请在汇款单据上标明项目名称以便核查。</w:t>
            </w:r>
          </w:p>
          <w:p>
            <w:pPr>
              <w:spacing w:line="360" w:lineRule="exact"/>
              <w:jc w:val="left"/>
              <w:rPr>
                <w:rFonts w:ascii="宋体" w:hAnsi="宋体" w:cs="宋体"/>
                <w:color w:val="000000"/>
                <w:szCs w:val="21"/>
              </w:rPr>
            </w:pPr>
            <w:r>
              <w:rPr>
                <w:rFonts w:hint="eastAsia" w:ascii="宋体" w:hAnsi="宋体" w:cs="宋体"/>
                <w:color w:val="000000"/>
                <w:szCs w:val="21"/>
              </w:rPr>
              <w:t>供应商应在银行进账单或电汇凭证上明确用途、采购项目名称、联系人及电话，以便核对查实</w:t>
            </w:r>
          </w:p>
          <w:p>
            <w:pPr>
              <w:spacing w:line="360" w:lineRule="exact"/>
              <w:jc w:val="left"/>
              <w:rPr>
                <w:rFonts w:ascii="宋体" w:hAnsi="宋体" w:cs="宋体"/>
                <w:color w:val="000000"/>
                <w:szCs w:val="21"/>
              </w:rPr>
            </w:pPr>
            <w:r>
              <w:rPr>
                <w:rFonts w:hint="eastAsia" w:ascii="宋体" w:hAnsi="宋体" w:cs="宋体"/>
                <w:color w:val="000000"/>
                <w:szCs w:val="21"/>
              </w:rPr>
              <w:t>（1）供应商以转账或电汇形式提交投标保证金的，在办理退还谈判保证金手续时，需携带经办人身份证原件及复印件、单位介绍信或法人授权委托书原件、汇款银行出具的汇款（存款）凭证原件。</w:t>
            </w:r>
          </w:p>
          <w:p>
            <w:pPr>
              <w:spacing w:line="360" w:lineRule="exact"/>
              <w:jc w:val="left"/>
              <w:rPr>
                <w:rFonts w:ascii="宋体" w:hAnsi="宋体" w:cs="宋体"/>
                <w:color w:val="000000"/>
                <w:szCs w:val="21"/>
              </w:rPr>
            </w:pPr>
            <w:r>
              <w:rPr>
                <w:rFonts w:hint="eastAsia" w:ascii="宋体" w:hAnsi="宋体" w:cs="宋体"/>
                <w:color w:val="000000"/>
                <w:szCs w:val="21"/>
              </w:rPr>
              <w:t>（2）投标保证金以保函担保方式缴纳的，保函担保原件由采购代理机构保管。</w:t>
            </w:r>
          </w:p>
        </w:tc>
      </w:tr>
      <w:tr>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3.5.3</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企业近年完成的类似项目的年份要求</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Cs w:val="21"/>
              </w:rPr>
            </w:pPr>
            <w:r>
              <w:rPr>
                <w:rFonts w:hint="eastAsia" w:ascii="宋体" w:hAnsi="宋体" w:cs="宋体"/>
                <w:color w:val="000000"/>
                <w:szCs w:val="21"/>
              </w:rPr>
              <w:t>指 2020年1月1日－至今。</w:t>
            </w:r>
          </w:p>
        </w:tc>
      </w:tr>
      <w:tr>
        <w:tblPrEx>
          <w:tblCellMar>
            <w:top w:w="0" w:type="dxa"/>
            <w:left w:w="108" w:type="dxa"/>
            <w:bottom w:w="0" w:type="dxa"/>
            <w:right w:w="108" w:type="dxa"/>
          </w:tblCellMar>
        </w:tblPrEx>
        <w:trPr>
          <w:trHeight w:val="43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3.6.3</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纸质投标文件签字或盖章要求</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Cs w:val="21"/>
                <w:lang w:val="zh-CN"/>
              </w:rPr>
            </w:pPr>
            <w:r>
              <w:rPr>
                <w:rFonts w:hint="eastAsia" w:ascii="宋体" w:hAnsi="宋体" w:cs="宋体"/>
                <w:color w:val="000000"/>
                <w:szCs w:val="21"/>
              </w:rPr>
              <w:t>在</w:t>
            </w:r>
            <w:r>
              <w:rPr>
                <w:rFonts w:hint="eastAsia" w:ascii="宋体" w:hAnsi="宋体" w:cs="宋体"/>
                <w:color w:val="000000"/>
                <w:szCs w:val="21"/>
                <w:lang w:val="zh-CN"/>
              </w:rPr>
              <w:t>投标文件应使用打印、复印或不能擦去的墨水书写，文字要清晰，语言要明确，并按招标文件的要求签字或盖章。</w:t>
            </w:r>
          </w:p>
          <w:p>
            <w:pPr>
              <w:spacing w:line="360" w:lineRule="exact"/>
              <w:jc w:val="left"/>
              <w:rPr>
                <w:rFonts w:ascii="宋体" w:hAnsi="宋体" w:cs="宋体"/>
                <w:color w:val="000000"/>
                <w:szCs w:val="21"/>
                <w:lang w:val="zh-CN"/>
              </w:rPr>
            </w:pPr>
            <w:r>
              <w:rPr>
                <w:rFonts w:hint="eastAsia" w:ascii="宋体" w:hAnsi="宋体" w:cs="宋体"/>
                <w:color w:val="000000"/>
                <w:szCs w:val="21"/>
                <w:lang w:val="zh-CN"/>
              </w:rPr>
              <w:t>投标文件应尽量避免涂改和插字，如有修改，除了按采购人书面请示进行修改的以外，均应由法定代表人（或授权委托人）在修改处盖章或签名确认。</w:t>
            </w:r>
          </w:p>
          <w:p>
            <w:pPr>
              <w:spacing w:line="360" w:lineRule="exact"/>
              <w:jc w:val="left"/>
              <w:rPr>
                <w:rFonts w:ascii="宋体" w:hAnsi="宋体" w:cs="宋体"/>
                <w:color w:val="000000"/>
                <w:szCs w:val="21"/>
              </w:rPr>
            </w:pPr>
            <w:r>
              <w:rPr>
                <w:rFonts w:hint="eastAsia" w:ascii="宋体" w:hAnsi="宋体" w:cs="宋体"/>
                <w:color w:val="000000"/>
                <w:szCs w:val="21"/>
                <w:lang w:val="zh-CN"/>
              </w:rPr>
              <w:t>投标文件“正本”中的投标函、法人授权委托书等的盖章和签字（盖章不能代替签字）等都要求是原件或真迹，不得复印。</w:t>
            </w:r>
          </w:p>
        </w:tc>
      </w:tr>
      <w:tr>
        <w:tblPrEx>
          <w:tblCellMar>
            <w:top w:w="0" w:type="dxa"/>
            <w:left w:w="108" w:type="dxa"/>
            <w:bottom w:w="0" w:type="dxa"/>
            <w:right w:w="108" w:type="dxa"/>
          </w:tblCellMar>
        </w:tblPrEx>
        <w:trPr>
          <w:trHeight w:val="621"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3.6.4</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纸质投标文件份数</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Cs w:val="21"/>
              </w:rPr>
            </w:pPr>
            <w:r>
              <w:rPr>
                <w:rFonts w:hint="eastAsia" w:ascii="宋体" w:hAnsi="宋体" w:cs="宋体"/>
                <w:color w:val="000000"/>
                <w:szCs w:val="21"/>
              </w:rPr>
              <w:t>正本一份、副本二份，电子版二份（U盘存储，应包括投标文件全部内容word版和PDF版，单独封装）</w:t>
            </w:r>
          </w:p>
        </w:tc>
      </w:tr>
      <w:tr>
        <w:tblPrEx>
          <w:tblCellMar>
            <w:top w:w="0" w:type="dxa"/>
            <w:left w:w="108" w:type="dxa"/>
            <w:bottom w:w="0" w:type="dxa"/>
            <w:right w:w="108" w:type="dxa"/>
          </w:tblCellMar>
        </w:tblPrEx>
        <w:trPr>
          <w:trHeight w:val="621"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3.6.5</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纸质投标文件</w:t>
            </w:r>
          </w:p>
          <w:p>
            <w:pPr>
              <w:spacing w:line="360" w:lineRule="auto"/>
              <w:jc w:val="center"/>
              <w:rPr>
                <w:rFonts w:ascii="宋体" w:hAnsi="宋体" w:cs="宋体"/>
                <w:color w:val="000000"/>
                <w:szCs w:val="21"/>
              </w:rPr>
            </w:pPr>
            <w:r>
              <w:rPr>
                <w:rFonts w:hint="eastAsia" w:ascii="宋体" w:hAnsi="宋体" w:cs="宋体"/>
                <w:color w:val="000000"/>
                <w:szCs w:val="21"/>
              </w:rPr>
              <w:t>装订要求</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Cs w:val="21"/>
              </w:rPr>
            </w:pPr>
            <w:r>
              <w:rPr>
                <w:rFonts w:hint="eastAsia" w:ascii="宋体" w:hAnsi="宋体" w:cs="宋体"/>
                <w:color w:val="000000"/>
                <w:szCs w:val="21"/>
              </w:rPr>
              <w:t>投标文件的正本和副本的封面上应清楚地标记“正本”或“副本”的字样，分别装订成册；要编制目录及页码，并用A4规格纸打印，不允许活页装订。</w:t>
            </w:r>
          </w:p>
        </w:tc>
      </w:tr>
      <w:tr>
        <w:tblPrEx>
          <w:tblCellMar>
            <w:top w:w="0" w:type="dxa"/>
            <w:left w:w="108" w:type="dxa"/>
            <w:bottom w:w="0" w:type="dxa"/>
            <w:right w:w="108" w:type="dxa"/>
          </w:tblCellMar>
        </w:tblPrEx>
        <w:trPr>
          <w:trHeight w:val="1538"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4.1.2</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封套上应载明的</w:t>
            </w:r>
          </w:p>
          <w:p>
            <w:pPr>
              <w:spacing w:line="360" w:lineRule="auto"/>
              <w:jc w:val="center"/>
              <w:rPr>
                <w:rFonts w:ascii="宋体" w:hAnsi="宋体" w:cs="宋体"/>
                <w:color w:val="000000"/>
                <w:szCs w:val="21"/>
              </w:rPr>
            </w:pPr>
            <w:r>
              <w:rPr>
                <w:rFonts w:hint="eastAsia" w:ascii="宋体" w:hAnsi="宋体" w:cs="宋体"/>
                <w:color w:val="000000"/>
                <w:szCs w:val="21"/>
              </w:rPr>
              <w:t>信息</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Cs w:val="21"/>
                <w:lang w:val="zh-CN"/>
              </w:rPr>
            </w:pPr>
            <w:r>
              <w:rPr>
                <w:rFonts w:hint="eastAsia" w:ascii="宋体" w:hAnsi="宋体" w:cs="宋体"/>
                <w:color w:val="000000"/>
                <w:szCs w:val="21"/>
                <w:lang w:val="zh-CN"/>
              </w:rPr>
              <w:t>采购人地址：</w:t>
            </w:r>
          </w:p>
          <w:p>
            <w:pPr>
              <w:spacing w:line="360" w:lineRule="exact"/>
              <w:jc w:val="left"/>
              <w:rPr>
                <w:rFonts w:ascii="宋体" w:hAnsi="宋体" w:cs="宋体"/>
                <w:color w:val="000000"/>
                <w:szCs w:val="21"/>
                <w:lang w:val="zh-CN"/>
              </w:rPr>
            </w:pPr>
            <w:r>
              <w:rPr>
                <w:rFonts w:hint="eastAsia" w:ascii="宋体" w:hAnsi="宋体" w:cs="宋体"/>
                <w:color w:val="000000"/>
                <w:szCs w:val="21"/>
                <w:lang w:val="zh-CN"/>
              </w:rPr>
              <w:t>采购人名称：</w:t>
            </w:r>
          </w:p>
          <w:p>
            <w:pPr>
              <w:spacing w:line="360" w:lineRule="exact"/>
              <w:jc w:val="left"/>
              <w:rPr>
                <w:rFonts w:ascii="宋体" w:hAnsi="宋体" w:cs="宋体"/>
                <w:color w:val="000000"/>
                <w:szCs w:val="21"/>
                <w:lang w:val="zh-CN"/>
              </w:rPr>
            </w:pPr>
            <w:r>
              <w:rPr>
                <w:rFonts w:hint="eastAsia" w:ascii="宋体" w:hAnsi="宋体" w:cs="宋体"/>
                <w:color w:val="000000"/>
                <w:szCs w:val="21"/>
                <w:lang w:val="zh-CN"/>
              </w:rPr>
              <w:t>投标人名称：</w:t>
            </w:r>
          </w:p>
          <w:p>
            <w:pPr>
              <w:spacing w:line="360" w:lineRule="exact"/>
              <w:jc w:val="left"/>
              <w:rPr>
                <w:rFonts w:ascii="宋体" w:hAnsi="宋体" w:cs="宋体"/>
                <w:color w:val="000000"/>
                <w:szCs w:val="21"/>
                <w:lang w:val="zh-CN"/>
              </w:rPr>
            </w:pPr>
            <w:r>
              <w:rPr>
                <w:rFonts w:hint="eastAsia" w:ascii="宋体" w:hAnsi="宋体" w:cs="宋体"/>
                <w:color w:val="000000"/>
                <w:szCs w:val="21"/>
                <w:lang w:val="zh-CN"/>
              </w:rPr>
              <w:t xml:space="preserve">            （项目名称）投标文件</w:t>
            </w:r>
          </w:p>
          <w:p>
            <w:pPr>
              <w:spacing w:line="360" w:lineRule="exact"/>
              <w:jc w:val="left"/>
              <w:rPr>
                <w:rFonts w:ascii="宋体" w:hAnsi="宋体" w:cs="宋体"/>
                <w:color w:val="000000"/>
                <w:szCs w:val="21"/>
                <w:lang w:val="zh-CN"/>
              </w:rPr>
            </w:pPr>
            <w:r>
              <w:rPr>
                <w:rFonts w:hint="eastAsia" w:ascii="宋体" w:hAnsi="宋体" w:cs="宋体"/>
                <w:color w:val="000000"/>
                <w:szCs w:val="21"/>
                <w:lang w:val="zh-CN"/>
              </w:rPr>
              <w:t>在  年  月  日  时  分前不得开启</w:t>
            </w:r>
          </w:p>
        </w:tc>
      </w:tr>
      <w:tr>
        <w:tblPrEx>
          <w:tblCellMar>
            <w:top w:w="0" w:type="dxa"/>
            <w:left w:w="108" w:type="dxa"/>
            <w:bottom w:w="0" w:type="dxa"/>
            <w:right w:w="108" w:type="dxa"/>
          </w:tblCellMar>
        </w:tblPrEx>
        <w:trPr>
          <w:trHeight w:val="926"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4.2.2</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Cs w:val="21"/>
              </w:rPr>
            </w:pPr>
            <w:r>
              <w:rPr>
                <w:rFonts w:hint="eastAsia" w:ascii="宋体" w:hAnsi="宋体" w:cs="宋体"/>
                <w:color w:val="000000"/>
                <w:szCs w:val="21"/>
              </w:rPr>
              <w:t>递交投标文件地点及截止时间</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Cs w:val="21"/>
                <w:lang w:val="zh-CN"/>
              </w:rPr>
            </w:pPr>
            <w:r>
              <w:rPr>
                <w:rFonts w:hint="eastAsia" w:ascii="宋体" w:hAnsi="宋体" w:cs="宋体"/>
                <w:color w:val="000000"/>
                <w:szCs w:val="21"/>
                <w:lang w:val="zh-CN"/>
              </w:rPr>
              <w:t>截止时间：202</w:t>
            </w:r>
            <w:r>
              <w:rPr>
                <w:rFonts w:hint="eastAsia" w:ascii="宋体" w:hAnsi="宋体" w:cs="宋体"/>
                <w:color w:val="000000"/>
                <w:szCs w:val="21"/>
              </w:rPr>
              <w:t>4</w:t>
            </w:r>
            <w:r>
              <w:rPr>
                <w:rFonts w:hint="eastAsia" w:ascii="宋体" w:hAnsi="宋体" w:cs="宋体"/>
                <w:color w:val="000000"/>
                <w:szCs w:val="21"/>
                <w:lang w:val="zh-CN"/>
              </w:rPr>
              <w:t>年</w:t>
            </w:r>
            <w:r>
              <w:rPr>
                <w:rFonts w:hint="eastAsia" w:ascii="宋体" w:hAnsi="宋体" w:cs="宋体"/>
                <w:color w:val="000000"/>
                <w:szCs w:val="21"/>
              </w:rPr>
              <w:t>01</w:t>
            </w:r>
            <w:r>
              <w:rPr>
                <w:rFonts w:hint="eastAsia" w:ascii="宋体" w:hAnsi="宋体" w:cs="宋体"/>
                <w:color w:val="000000"/>
                <w:szCs w:val="21"/>
                <w:lang w:val="zh-CN"/>
              </w:rPr>
              <w:t>月</w:t>
            </w:r>
            <w:r>
              <w:rPr>
                <w:rFonts w:hint="eastAsia" w:ascii="宋体" w:hAnsi="宋体" w:cs="宋体"/>
                <w:color w:val="000000"/>
                <w:szCs w:val="21"/>
              </w:rPr>
              <w:t>16</w:t>
            </w:r>
            <w:r>
              <w:rPr>
                <w:rFonts w:hint="eastAsia" w:ascii="宋体" w:hAnsi="宋体" w:cs="宋体"/>
                <w:color w:val="000000"/>
                <w:szCs w:val="21"/>
                <w:lang w:val="zh-CN"/>
              </w:rPr>
              <w:t>日</w:t>
            </w:r>
            <w:r>
              <w:rPr>
                <w:rFonts w:hint="eastAsia" w:ascii="宋体" w:hAnsi="宋体" w:cs="宋体"/>
                <w:color w:val="000000"/>
                <w:szCs w:val="21"/>
              </w:rPr>
              <w:t>09</w:t>
            </w:r>
            <w:r>
              <w:rPr>
                <w:rFonts w:hint="eastAsia" w:ascii="宋体" w:hAnsi="宋体" w:cs="宋体"/>
                <w:color w:val="000000"/>
                <w:szCs w:val="21"/>
                <w:lang w:val="zh-CN"/>
              </w:rPr>
              <w:t>点</w:t>
            </w:r>
            <w:r>
              <w:rPr>
                <w:rFonts w:hint="eastAsia" w:ascii="宋体" w:hAnsi="宋体" w:cs="宋体"/>
                <w:color w:val="000000"/>
                <w:szCs w:val="21"/>
              </w:rPr>
              <w:t>00</w:t>
            </w:r>
            <w:r>
              <w:rPr>
                <w:rFonts w:hint="eastAsia" w:ascii="宋体" w:hAnsi="宋体" w:cs="宋体"/>
                <w:color w:val="000000"/>
                <w:szCs w:val="21"/>
                <w:lang w:val="zh-CN"/>
              </w:rPr>
              <w:t>分</w:t>
            </w:r>
          </w:p>
          <w:p>
            <w:pPr>
              <w:spacing w:line="360" w:lineRule="exact"/>
              <w:jc w:val="left"/>
              <w:rPr>
                <w:rFonts w:ascii="宋体" w:hAnsi="宋体" w:cs="宋体"/>
                <w:color w:val="000000"/>
                <w:szCs w:val="21"/>
              </w:rPr>
            </w:pPr>
            <w:r>
              <w:rPr>
                <w:rFonts w:hint="eastAsia" w:ascii="宋体" w:hAnsi="宋体" w:cs="宋体"/>
                <w:color w:val="000000"/>
                <w:szCs w:val="21"/>
                <w:lang w:val="zh-CN"/>
              </w:rPr>
              <w:t>地点：</w:t>
            </w:r>
            <w:r>
              <w:rPr>
                <w:rFonts w:hint="eastAsia" w:ascii="宋体" w:hAnsi="宋体" w:cs="宋体"/>
                <w:szCs w:val="21"/>
              </w:rPr>
              <w:t>东北亚国际金融中心（人民大街与谊民路交汇东行100米）3号楼第</w:t>
            </w:r>
            <w:r>
              <w:rPr>
                <w:rFonts w:hint="eastAsia" w:ascii="宋体" w:hAnsi="宋体" w:cs="宋体"/>
                <w:szCs w:val="21"/>
                <w:lang w:val="en-US" w:eastAsia="zh-CN"/>
              </w:rPr>
              <w:t>四</w:t>
            </w:r>
            <w:r>
              <w:rPr>
                <w:rFonts w:hint="eastAsia" w:ascii="宋体" w:hAnsi="宋体" w:cs="宋体"/>
                <w:szCs w:val="21"/>
              </w:rPr>
              <w:t>开标室</w:t>
            </w:r>
          </w:p>
          <w:p>
            <w:pPr>
              <w:spacing w:line="360" w:lineRule="exact"/>
              <w:jc w:val="left"/>
              <w:rPr>
                <w:rFonts w:ascii="宋体" w:hAnsi="宋体" w:cs="宋体"/>
                <w:color w:val="000000"/>
                <w:szCs w:val="21"/>
                <w:lang w:val="zh-CN"/>
              </w:rPr>
            </w:pPr>
            <w:r>
              <w:rPr>
                <w:rFonts w:hint="eastAsia" w:ascii="宋体" w:hAnsi="宋体" w:cs="宋体"/>
                <w:color w:val="000000"/>
                <w:szCs w:val="21"/>
              </w:rPr>
              <w:t>纸质投标文件仅作为系统无法正常解密投标文件时使用及存档使用，投标人递交后即可离开。</w:t>
            </w:r>
          </w:p>
        </w:tc>
      </w:tr>
      <w:tr>
        <w:tblPrEx>
          <w:tblCellMar>
            <w:top w:w="0" w:type="dxa"/>
            <w:left w:w="108" w:type="dxa"/>
            <w:bottom w:w="0" w:type="dxa"/>
            <w:right w:w="108" w:type="dxa"/>
          </w:tblCellMar>
        </w:tblPrEx>
        <w:trPr>
          <w:trHeight w:val="436"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4.2.3</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是否退还投标文件</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Cs w:val="21"/>
                <w:lang w:val="zh-CN"/>
              </w:rPr>
            </w:pPr>
            <w:r>
              <w:rPr>
                <w:rFonts w:hint="eastAsia" w:ascii="宋体" w:hAnsi="宋体" w:cs="宋体"/>
                <w:color w:val="000000"/>
                <w:szCs w:val="21"/>
                <w:lang w:val="zh-CN"/>
              </w:rPr>
              <w:t>否</w:t>
            </w:r>
          </w:p>
        </w:tc>
      </w:tr>
      <w:tr>
        <w:tblPrEx>
          <w:tblCellMar>
            <w:top w:w="0" w:type="dxa"/>
            <w:left w:w="108" w:type="dxa"/>
            <w:bottom w:w="0" w:type="dxa"/>
            <w:right w:w="108" w:type="dxa"/>
          </w:tblCellMar>
        </w:tblPrEx>
        <w:trPr>
          <w:trHeight w:val="926"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5.1</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开标时间和地点</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lang w:val="zh-CN"/>
              </w:rPr>
            </w:pPr>
            <w:r>
              <w:rPr>
                <w:rFonts w:hint="eastAsia"/>
                <w:lang w:val="zh-CN"/>
              </w:rPr>
              <w:t>开标</w:t>
            </w:r>
            <w:r>
              <w:rPr>
                <w:rFonts w:hint="eastAsia" w:ascii="宋体" w:hAnsi="宋体" w:cs="宋体"/>
                <w:color w:val="000000"/>
                <w:szCs w:val="21"/>
                <w:lang w:val="zh-CN"/>
              </w:rPr>
              <w:t>时间：202</w:t>
            </w:r>
            <w:r>
              <w:rPr>
                <w:rFonts w:hint="eastAsia" w:ascii="宋体" w:hAnsi="宋体" w:cs="宋体"/>
                <w:color w:val="000000"/>
                <w:szCs w:val="21"/>
              </w:rPr>
              <w:t>4</w:t>
            </w:r>
            <w:r>
              <w:rPr>
                <w:rFonts w:hint="eastAsia" w:ascii="宋体" w:hAnsi="宋体" w:cs="宋体"/>
                <w:color w:val="000000"/>
                <w:szCs w:val="21"/>
                <w:lang w:val="zh-CN"/>
              </w:rPr>
              <w:t>年</w:t>
            </w:r>
            <w:r>
              <w:rPr>
                <w:rFonts w:hint="eastAsia" w:ascii="宋体" w:hAnsi="宋体" w:cs="宋体"/>
                <w:color w:val="000000"/>
                <w:szCs w:val="21"/>
              </w:rPr>
              <w:t>01</w:t>
            </w:r>
            <w:r>
              <w:rPr>
                <w:rFonts w:hint="eastAsia" w:ascii="宋体" w:hAnsi="宋体" w:cs="宋体"/>
                <w:color w:val="000000"/>
                <w:szCs w:val="21"/>
                <w:lang w:val="zh-CN"/>
              </w:rPr>
              <w:t>月</w:t>
            </w:r>
            <w:r>
              <w:rPr>
                <w:rFonts w:hint="eastAsia" w:ascii="宋体" w:hAnsi="宋体" w:cs="宋体"/>
                <w:color w:val="000000"/>
                <w:szCs w:val="21"/>
              </w:rPr>
              <w:t>16</w:t>
            </w:r>
            <w:r>
              <w:rPr>
                <w:rFonts w:hint="eastAsia" w:ascii="宋体" w:hAnsi="宋体" w:cs="宋体"/>
                <w:color w:val="000000"/>
                <w:szCs w:val="21"/>
                <w:lang w:val="zh-CN"/>
              </w:rPr>
              <w:t>日</w:t>
            </w:r>
            <w:r>
              <w:rPr>
                <w:rFonts w:hint="eastAsia" w:ascii="宋体" w:hAnsi="宋体" w:cs="宋体"/>
                <w:color w:val="000000"/>
                <w:szCs w:val="21"/>
              </w:rPr>
              <w:t>09</w:t>
            </w:r>
            <w:r>
              <w:rPr>
                <w:rFonts w:hint="eastAsia" w:ascii="宋体" w:hAnsi="宋体" w:cs="宋体"/>
                <w:color w:val="000000"/>
                <w:szCs w:val="21"/>
                <w:lang w:val="zh-CN"/>
              </w:rPr>
              <w:t>点</w:t>
            </w:r>
            <w:r>
              <w:rPr>
                <w:rFonts w:hint="eastAsia" w:ascii="宋体" w:hAnsi="宋体" w:cs="宋体"/>
                <w:color w:val="000000"/>
                <w:szCs w:val="21"/>
              </w:rPr>
              <w:t>00</w:t>
            </w:r>
            <w:r>
              <w:rPr>
                <w:rFonts w:hint="eastAsia" w:ascii="宋体" w:hAnsi="宋体" w:cs="宋体"/>
                <w:color w:val="000000"/>
                <w:szCs w:val="21"/>
                <w:lang w:val="zh-CN"/>
              </w:rPr>
              <w:t>分</w:t>
            </w:r>
          </w:p>
          <w:p>
            <w:pPr>
              <w:spacing w:line="360" w:lineRule="exact"/>
              <w:jc w:val="left"/>
            </w:pPr>
            <w:r>
              <w:rPr>
                <w:rFonts w:hint="eastAsia"/>
                <w:lang w:val="zh-CN"/>
              </w:rPr>
              <w:t>开标地点：</w:t>
            </w:r>
            <w:r>
              <w:rPr>
                <w:rFonts w:hint="eastAsia" w:ascii="宋体" w:hAnsi="宋体" w:cs="宋体"/>
                <w:szCs w:val="21"/>
              </w:rPr>
              <w:t>东北亚国际金融中心（人民大街与谊民路交汇东行100米）3号楼第</w:t>
            </w:r>
            <w:r>
              <w:rPr>
                <w:rFonts w:hint="eastAsia" w:ascii="宋体" w:hAnsi="宋体" w:cs="宋体"/>
                <w:szCs w:val="21"/>
                <w:lang w:val="en-US" w:eastAsia="zh-CN"/>
              </w:rPr>
              <w:t>四</w:t>
            </w:r>
            <w:r>
              <w:rPr>
                <w:rFonts w:hint="eastAsia" w:ascii="宋体" w:hAnsi="宋体" w:cs="宋体"/>
                <w:szCs w:val="21"/>
              </w:rPr>
              <w:t>开标室</w:t>
            </w:r>
          </w:p>
          <w:p>
            <w:pPr>
              <w:pStyle w:val="57"/>
              <w:rPr>
                <w:kern w:val="2"/>
                <w:lang w:val="zh-CN"/>
              </w:rPr>
            </w:pPr>
            <w:r>
              <w:rPr>
                <w:rFonts w:hint="eastAsia" w:ascii="Times New Roman" w:cs="Times New Roman"/>
                <w:b/>
                <w:bCs/>
                <w:color w:val="auto"/>
                <w:kern w:val="2"/>
                <w:sz w:val="21"/>
              </w:rPr>
              <w:t>开标方式：本项目开标采用腾讯会议直播形式进行远程解密开标，在递交投标文件截止时间前加入腾讯会议（会议号：565-431-010），进入视频会议人员应改名为“投标人”。投标人持投标单位企业CA锁登录，进入“远程开标解密”菜单，按照开标会议主持人的指令，选择对应的项目的投标文件进行远程解密（开标前及开评标系统公布投标人名单前，不要提前进行远程解密）。因投标人自身原因未能按时完成解密的，视为逾期未提交投标文件，其投标无效。</w:t>
            </w:r>
          </w:p>
        </w:tc>
      </w:tr>
      <w:tr>
        <w:tblPrEx>
          <w:tblCellMar>
            <w:top w:w="0" w:type="dxa"/>
            <w:left w:w="108" w:type="dxa"/>
            <w:bottom w:w="0" w:type="dxa"/>
            <w:right w:w="108" w:type="dxa"/>
          </w:tblCellMar>
        </w:tblPrEx>
        <w:trPr>
          <w:trHeight w:val="621"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6.1.1</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评标委员会的组建</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Cs w:val="21"/>
                <w:lang w:val="zh-CN"/>
              </w:rPr>
            </w:pPr>
            <w:r>
              <w:rPr>
                <w:rFonts w:hint="eastAsia" w:ascii="宋体" w:hAnsi="宋体" w:cs="宋体"/>
                <w:color w:val="000000"/>
                <w:szCs w:val="21"/>
                <w:lang w:val="zh-CN"/>
              </w:rPr>
              <w:t>评标委员会构成：社会专家</w:t>
            </w:r>
            <w:r>
              <w:rPr>
                <w:rFonts w:hint="eastAsia" w:ascii="宋体" w:hAnsi="宋体" w:cs="宋体"/>
                <w:color w:val="000000"/>
                <w:szCs w:val="21"/>
              </w:rPr>
              <w:t>7</w:t>
            </w:r>
            <w:r>
              <w:rPr>
                <w:rFonts w:hint="eastAsia" w:ascii="宋体" w:hAnsi="宋体" w:cs="宋体"/>
                <w:color w:val="000000"/>
                <w:szCs w:val="21"/>
                <w:lang w:val="zh-CN"/>
              </w:rPr>
              <w:t>人。</w:t>
            </w:r>
          </w:p>
          <w:p>
            <w:pPr>
              <w:spacing w:line="360" w:lineRule="exact"/>
              <w:jc w:val="left"/>
              <w:rPr>
                <w:rFonts w:ascii="宋体" w:hAnsi="宋体" w:cs="宋体"/>
                <w:color w:val="000000"/>
                <w:szCs w:val="21"/>
                <w:lang w:val="zh-CN"/>
              </w:rPr>
            </w:pPr>
            <w:r>
              <w:rPr>
                <w:rFonts w:hint="eastAsia" w:ascii="宋体" w:hAnsi="宋体" w:cs="宋体"/>
                <w:color w:val="000000"/>
                <w:szCs w:val="21"/>
                <w:lang w:val="zh-CN"/>
              </w:rPr>
              <w:t>评标专家确定方式：从依法设立的综合评标专家库中随机抽取。</w:t>
            </w:r>
          </w:p>
        </w:tc>
      </w:tr>
      <w:tr>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7.1</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是否授权评标委员会确定中标人</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Cs w:val="21"/>
                <w:lang w:val="zh-CN"/>
              </w:rPr>
            </w:pPr>
            <w:r>
              <w:rPr>
                <w:rFonts w:hint="eastAsia" w:ascii="宋体" w:hAnsi="宋体" w:cs="宋体"/>
                <w:color w:val="000000"/>
                <w:szCs w:val="21"/>
                <w:lang w:val="zh-CN"/>
              </w:rPr>
              <w:t>否，推荐的中标候选人数：</w:t>
            </w:r>
            <w:r>
              <w:rPr>
                <w:rFonts w:hint="eastAsia" w:ascii="宋体" w:hAnsi="宋体" w:cs="宋体"/>
                <w:color w:val="000000"/>
                <w:szCs w:val="21"/>
              </w:rPr>
              <w:t>1-</w:t>
            </w:r>
            <w:r>
              <w:rPr>
                <w:rFonts w:hint="eastAsia" w:ascii="宋体" w:hAnsi="宋体" w:cs="宋体"/>
                <w:color w:val="000000"/>
                <w:szCs w:val="21"/>
                <w:lang w:val="zh-CN"/>
              </w:rPr>
              <w:t>3名</w:t>
            </w:r>
          </w:p>
        </w:tc>
      </w:tr>
      <w:tr>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7.2</w:t>
            </w:r>
          </w:p>
        </w:tc>
        <w:tc>
          <w:tcPr>
            <w:tcW w:w="1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cs="宋体"/>
                <w:color w:val="000000"/>
                <w:szCs w:val="21"/>
              </w:rPr>
            </w:pPr>
            <w:r>
              <w:rPr>
                <w:rFonts w:hint="eastAsia" w:ascii="宋体" w:hAnsi="宋体" w:cs="宋体"/>
                <w:bCs/>
                <w:szCs w:val="21"/>
                <w:lang w:val="zh-CN"/>
              </w:rPr>
              <w:t>中标结果公示媒介</w:t>
            </w:r>
          </w:p>
        </w:tc>
        <w:tc>
          <w:tcPr>
            <w:tcW w:w="725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szCs w:val="21"/>
              </w:rPr>
            </w:pPr>
            <w:r>
              <w:rPr>
                <w:rFonts w:hint="eastAsia" w:ascii="宋体" w:hAnsi="宋体" w:cs="宋体"/>
                <w:color w:val="000000"/>
                <w:szCs w:val="21"/>
                <w:lang w:val="zh-CN"/>
              </w:rPr>
              <w:t>在</w:t>
            </w:r>
            <w:r>
              <w:rPr>
                <w:rFonts w:hint="eastAsia" w:ascii="宋体" w:hAnsi="宋体" w:cs="宋体"/>
                <w:color w:val="000000"/>
                <w:szCs w:val="21"/>
              </w:rPr>
              <w:t>“</w:t>
            </w:r>
            <w:r>
              <w:rPr>
                <w:rFonts w:hint="eastAsia" w:ascii="宋体" w:hAnsi="宋体" w:cs="宋体"/>
                <w:color w:val="000000"/>
                <w:szCs w:val="21"/>
                <w:lang w:val="zh-CN"/>
              </w:rPr>
              <w:t>政采云</w:t>
            </w:r>
            <w:r>
              <w:rPr>
                <w:rFonts w:hint="eastAsia" w:ascii="宋体" w:hAnsi="宋体" w:cs="宋体"/>
                <w:color w:val="000000"/>
                <w:szCs w:val="21"/>
              </w:rPr>
              <w:t xml:space="preserve"> ”</w:t>
            </w:r>
            <w:r>
              <w:rPr>
                <w:rFonts w:hint="eastAsia" w:ascii="宋体" w:hAnsi="宋体" w:cs="宋体"/>
                <w:color w:val="000000"/>
                <w:szCs w:val="21"/>
                <w:lang w:val="zh-CN"/>
              </w:rPr>
              <w:t>平台</w:t>
            </w:r>
            <w:r>
              <w:rPr>
                <w:rFonts w:hint="eastAsia" w:ascii="宋体" w:hAnsi="宋体" w:cs="宋体"/>
                <w:color w:val="000000"/>
                <w:szCs w:val="21"/>
              </w:rPr>
              <w:t>（http:// </w:t>
            </w:r>
            <w:r>
              <w:fldChar w:fldCharType="begin"/>
            </w:r>
            <w:r>
              <w:instrText xml:space="preserve"> HYPERLINK "http://www.zcygov.xn--cn)-6y3bv51n8fam9sfb62s53dyj463a9xxymbly7a85a053cq9dba./" </w:instrText>
            </w:r>
            <w:r>
              <w:fldChar w:fldCharType="separate"/>
            </w:r>
            <w:r>
              <w:rPr>
                <w:rFonts w:hint="eastAsia" w:ascii="宋体" w:hAnsi="宋体" w:cs="宋体"/>
                <w:color w:val="000000"/>
                <w:szCs w:val="21"/>
              </w:rPr>
              <w:t>www.zcygov.cn），</w:t>
            </w:r>
            <w:r>
              <w:rPr>
                <w:rFonts w:hint="eastAsia" w:ascii="宋体" w:hAnsi="宋体" w:cs="宋体"/>
                <w:color w:val="000000"/>
                <w:szCs w:val="21"/>
              </w:rPr>
              <w:fldChar w:fldCharType="end"/>
            </w:r>
            <w:r>
              <w:rPr>
                <w:rFonts w:hint="eastAsia" w:ascii="宋体" w:hAnsi="宋体" w:cs="宋体"/>
                <w:color w:val="000000"/>
                <w:szCs w:val="21"/>
                <w:lang w:val="zh-CN"/>
              </w:rPr>
              <w:t>并同时在《中国政府采购网》、《长春市公共资源交易网》上发布</w:t>
            </w:r>
          </w:p>
        </w:tc>
      </w:tr>
      <w:tr>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10</w:t>
            </w:r>
          </w:p>
        </w:tc>
        <w:tc>
          <w:tcPr>
            <w:tcW w:w="921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Cs w:val="21"/>
                <w:lang w:val="zh-CN"/>
              </w:rPr>
            </w:pPr>
            <w:r>
              <w:rPr>
                <w:rFonts w:hint="eastAsia" w:ascii="宋体" w:hAnsi="宋体" w:cs="宋体"/>
                <w:color w:val="000000"/>
                <w:szCs w:val="21"/>
                <w:lang w:val="zh-CN"/>
              </w:rPr>
              <w:t>其他要求</w:t>
            </w:r>
          </w:p>
        </w:tc>
      </w:tr>
      <w:tr>
        <w:tblPrEx>
          <w:tblCellMar>
            <w:top w:w="0" w:type="dxa"/>
            <w:left w:w="108" w:type="dxa"/>
            <w:bottom w:w="0" w:type="dxa"/>
            <w:right w:w="108" w:type="dxa"/>
          </w:tblCellMar>
        </w:tblPrEx>
        <w:trPr>
          <w:trHeight w:val="533"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10.1</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付款条件与比例</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Cs w:val="21"/>
              </w:rPr>
            </w:pPr>
            <w:r>
              <w:rPr>
                <w:rFonts w:hint="eastAsia" w:ascii="宋体" w:hAnsi="宋体" w:cs="宋体"/>
                <w:color w:val="000000"/>
                <w:szCs w:val="21"/>
              </w:rPr>
              <w:t>以甲乙双方签订合同为准</w:t>
            </w:r>
          </w:p>
        </w:tc>
      </w:tr>
      <w:tr>
        <w:tblPrEx>
          <w:tblCellMar>
            <w:top w:w="0" w:type="dxa"/>
            <w:left w:w="108" w:type="dxa"/>
            <w:bottom w:w="0" w:type="dxa"/>
            <w:right w:w="108" w:type="dxa"/>
          </w:tblCellMar>
        </w:tblPrEx>
        <w:trPr>
          <w:trHeight w:val="926"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10.2</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招标代理费</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Cs w:val="21"/>
                <w:lang w:val="zh-CN"/>
              </w:rPr>
            </w:pPr>
            <w:r>
              <w:rPr>
                <w:rFonts w:hint="eastAsia" w:ascii="宋体" w:hAnsi="宋体" w:cs="宋体"/>
                <w:color w:val="000000"/>
                <w:szCs w:val="21"/>
                <w:lang w:val="zh-CN"/>
              </w:rPr>
              <w:t>招标代理费执行国家发展改革委《关于进一步放开建设项目专业服务价格的通知》（发改价格〔2015〕299号），实行市场价格的取费标准</w:t>
            </w:r>
            <w:r>
              <w:rPr>
                <w:rFonts w:hint="eastAsia" w:ascii="宋体" w:hAnsi="宋体" w:cs="宋体"/>
                <w:color w:val="000000"/>
                <w:szCs w:val="21"/>
              </w:rPr>
              <w:t>收取，</w:t>
            </w:r>
            <w:r>
              <w:rPr>
                <w:rFonts w:hint="eastAsia" w:ascii="宋体" w:hAnsi="宋体" w:cs="宋体"/>
                <w:color w:val="000000"/>
                <w:szCs w:val="21"/>
                <w:lang w:val="zh-CN"/>
              </w:rPr>
              <w:t>由采购代理机构向中标人收取。</w:t>
            </w:r>
          </w:p>
        </w:tc>
      </w:tr>
      <w:tr>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10.3</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Cs w:val="21"/>
              </w:rPr>
            </w:pPr>
            <w:r>
              <w:rPr>
                <w:rFonts w:hint="eastAsia" w:ascii="宋体" w:hAnsi="宋体" w:cs="宋体"/>
                <w:color w:val="000000"/>
                <w:szCs w:val="21"/>
              </w:rPr>
              <w:t>中小企业划分标准所属行业</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Cs w:val="21"/>
                <w:lang w:val="zh-CN"/>
              </w:rPr>
            </w:pPr>
            <w:r>
              <w:rPr>
                <w:rFonts w:hint="eastAsia" w:ascii="宋体" w:hAnsi="宋体" w:cs="宋体"/>
                <w:color w:val="000000"/>
                <w:szCs w:val="21"/>
                <w:lang w:val="zh-CN"/>
              </w:rPr>
              <w:t>软件和信息技术服务业</w:t>
            </w:r>
          </w:p>
        </w:tc>
      </w:tr>
      <w:tr>
        <w:tblPrEx>
          <w:tblCellMar>
            <w:top w:w="0" w:type="dxa"/>
            <w:left w:w="108" w:type="dxa"/>
            <w:bottom w:w="0" w:type="dxa"/>
            <w:right w:w="108" w:type="dxa"/>
          </w:tblCellMar>
        </w:tblPrEx>
        <w:trPr>
          <w:trHeight w:val="123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10.4</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p>
            <w:pPr>
              <w:spacing w:line="360" w:lineRule="auto"/>
              <w:jc w:val="center"/>
              <w:rPr>
                <w:rFonts w:ascii="宋体" w:hAnsi="宋体" w:cs="宋体"/>
                <w:color w:val="000000"/>
                <w:szCs w:val="21"/>
              </w:rPr>
            </w:pPr>
          </w:p>
          <w:p>
            <w:pPr>
              <w:spacing w:line="360" w:lineRule="auto"/>
              <w:jc w:val="center"/>
              <w:rPr>
                <w:rFonts w:ascii="宋体" w:hAnsi="宋体" w:cs="宋体"/>
                <w:color w:val="000000"/>
                <w:szCs w:val="21"/>
              </w:rPr>
            </w:pPr>
            <w:r>
              <w:rPr>
                <w:rFonts w:hint="eastAsia" w:ascii="宋体" w:hAnsi="宋体" w:cs="宋体"/>
                <w:color w:val="000000"/>
                <w:szCs w:val="21"/>
              </w:rPr>
              <w:t>项目金额（采购预算）</w:t>
            </w:r>
          </w:p>
          <w:p>
            <w:pPr>
              <w:spacing w:line="360" w:lineRule="auto"/>
              <w:rPr>
                <w:rFonts w:ascii="宋体" w:hAnsi="宋体" w:cs="宋体"/>
                <w:color w:val="000000"/>
                <w:szCs w:val="21"/>
              </w:rPr>
            </w:pP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Cs w:val="21"/>
                <w:lang w:val="zh-CN"/>
              </w:rPr>
            </w:pPr>
            <w:r>
              <w:rPr>
                <w:rFonts w:hint="eastAsia" w:ascii="宋体" w:hAnsi="宋体" w:cs="宋体"/>
                <w:color w:val="000000"/>
                <w:szCs w:val="21"/>
              </w:rPr>
              <w:t>1.</w:t>
            </w:r>
            <w:r>
              <w:rPr>
                <w:rFonts w:hint="eastAsia" w:ascii="宋体" w:hAnsi="宋体" w:cs="宋体"/>
                <w:color w:val="000000"/>
                <w:szCs w:val="21"/>
                <w:lang w:val="zh-CN"/>
              </w:rPr>
              <w:t>最高</w:t>
            </w:r>
            <w:r>
              <w:rPr>
                <w:rFonts w:hint="eastAsia" w:ascii="宋体" w:hAnsi="宋体" w:cs="宋体"/>
                <w:color w:val="000000"/>
                <w:szCs w:val="21"/>
              </w:rPr>
              <w:t>投标限价</w:t>
            </w:r>
            <w:r>
              <w:rPr>
                <w:rFonts w:hint="eastAsia" w:ascii="宋体" w:hAnsi="宋体" w:cs="宋体"/>
                <w:color w:val="000000"/>
                <w:szCs w:val="21"/>
                <w:lang w:val="zh-CN"/>
              </w:rPr>
              <w:t>：1189.0094万元。</w:t>
            </w:r>
          </w:p>
          <w:p>
            <w:pPr>
              <w:spacing w:line="360" w:lineRule="exact"/>
              <w:jc w:val="left"/>
              <w:rPr>
                <w:rFonts w:ascii="宋体" w:hAnsi="宋体" w:cs="宋体"/>
                <w:color w:val="000000"/>
                <w:szCs w:val="21"/>
              </w:rPr>
            </w:pPr>
            <w:r>
              <w:rPr>
                <w:rFonts w:hint="eastAsia" w:ascii="宋体" w:hAnsi="宋体" w:cs="宋体"/>
                <w:color w:val="000000"/>
                <w:szCs w:val="21"/>
                <w:lang w:val="zh-CN"/>
              </w:rPr>
              <w:t>在评标过程中，评标委员会发现投标人的报价（修正价）明显低于其他投标报价，使得其投标报价可能低于其个别成本的，应当要求该投标人做出书面说明并提供相关证明材料。投标人不能合理说明或者不能提供相关证明材料的，由评标委员会认定该投标人以低于成本报价竞标，低于成本视为废标处理。</w:t>
            </w:r>
          </w:p>
        </w:tc>
      </w:tr>
      <w:tr>
        <w:tblPrEx>
          <w:tblCellMar>
            <w:top w:w="0" w:type="dxa"/>
            <w:left w:w="108" w:type="dxa"/>
            <w:bottom w:w="0" w:type="dxa"/>
            <w:right w:w="108" w:type="dxa"/>
          </w:tblCellMar>
        </w:tblPrEx>
        <w:trPr>
          <w:trHeight w:val="538"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10.5</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政府采购政策</w:t>
            </w:r>
          </w:p>
        </w:tc>
        <w:tc>
          <w:tcPr>
            <w:tcW w:w="7251" w:type="dxa"/>
            <w:tcBorders>
              <w:top w:val="single" w:color="auto" w:sz="4" w:space="0"/>
              <w:left w:val="single" w:color="auto" w:sz="4" w:space="0"/>
              <w:bottom w:val="single" w:color="auto" w:sz="4" w:space="0"/>
              <w:right w:val="single" w:color="auto" w:sz="4" w:space="0"/>
            </w:tcBorders>
            <w:vAlign w:val="center"/>
          </w:tcPr>
          <w:p>
            <w:pPr>
              <w:pStyle w:val="17"/>
              <w:rPr>
                <w:lang w:val="zh-CN"/>
              </w:rPr>
            </w:pPr>
            <w:r>
              <w:rPr>
                <w:rFonts w:hint="eastAsia"/>
                <w:lang w:val="zh-CN"/>
              </w:rPr>
              <w:t>1.本项目是否专门面向中小企业或小型、微型企业采购：否</w:t>
            </w:r>
          </w:p>
          <w:p>
            <w:pPr>
              <w:pStyle w:val="17"/>
              <w:rPr>
                <w:lang w:val="zh-CN"/>
              </w:rPr>
            </w:pPr>
            <w:r>
              <w:rPr>
                <w:rFonts w:hint="eastAsia"/>
                <w:lang w:val="zh-CN"/>
              </w:rPr>
              <w:t>2.对于非专门面向中小企业的项目，对小型和微型企业产品的价格给予</w:t>
            </w:r>
            <w:r>
              <w:rPr>
                <w:rFonts w:hint="eastAsia"/>
                <w:u w:val="thick"/>
                <w:lang w:val="zh-CN"/>
              </w:rPr>
              <w:t>_</w:t>
            </w:r>
            <w:r>
              <w:rPr>
                <w:rFonts w:hint="eastAsia"/>
                <w:u w:val="thick"/>
              </w:rPr>
              <w:t>10</w:t>
            </w:r>
            <w:r>
              <w:rPr>
                <w:rFonts w:hint="eastAsia"/>
                <w:u w:val="thick"/>
                <w:lang w:val="zh-CN"/>
              </w:rPr>
              <w:t>%__</w:t>
            </w:r>
            <w:r>
              <w:rPr>
                <w:rFonts w:hint="eastAsia"/>
                <w:lang w:val="zh-CN"/>
              </w:rPr>
              <w:t>（</w:t>
            </w:r>
            <w:r>
              <w:rPr>
                <w:rFonts w:hint="eastAsia"/>
              </w:rPr>
              <w:t>10</w:t>
            </w:r>
            <w:r>
              <w:rPr>
                <w:rFonts w:hint="eastAsia"/>
                <w:lang w:val="zh-CN"/>
              </w:rPr>
              <w:t>%-</w:t>
            </w:r>
            <w:r>
              <w:rPr>
                <w:rFonts w:hint="eastAsia"/>
              </w:rPr>
              <w:t>2</w:t>
            </w:r>
            <w:r>
              <w:rPr>
                <w:rFonts w:hint="eastAsia"/>
                <w:lang w:val="zh-CN"/>
              </w:rPr>
              <w:t>0%）的扣除；小型、微型企业的协议合同金额占到联合体协议合同总金额30%以上的，可给予联合体</w:t>
            </w:r>
            <w:r>
              <w:rPr>
                <w:rFonts w:hint="eastAsia"/>
                <w:u w:val="thick"/>
                <w:lang w:val="zh-CN"/>
              </w:rPr>
              <w:t>_</w:t>
            </w:r>
            <w:r>
              <w:rPr>
                <w:rFonts w:hint="eastAsia"/>
                <w:u w:val="thick"/>
              </w:rPr>
              <w:t>4</w:t>
            </w:r>
            <w:r>
              <w:rPr>
                <w:rFonts w:hint="eastAsia"/>
                <w:u w:val="thick"/>
                <w:lang w:val="zh-CN"/>
              </w:rPr>
              <w:t>%__</w:t>
            </w:r>
            <w:r>
              <w:rPr>
                <w:rFonts w:hint="eastAsia"/>
                <w:lang w:val="zh-CN"/>
              </w:rPr>
              <w:t>（</w:t>
            </w:r>
            <w:r>
              <w:rPr>
                <w:rFonts w:hint="eastAsia"/>
              </w:rPr>
              <w:t>4</w:t>
            </w:r>
            <w:r>
              <w:rPr>
                <w:rFonts w:hint="eastAsia"/>
                <w:lang w:val="zh-CN"/>
              </w:rPr>
              <w:t>%-</w:t>
            </w:r>
            <w:r>
              <w:rPr>
                <w:rFonts w:hint="eastAsia"/>
              </w:rPr>
              <w:t>6</w:t>
            </w:r>
            <w:r>
              <w:rPr>
                <w:rFonts w:hint="eastAsia"/>
                <w:lang w:val="zh-CN"/>
              </w:rPr>
              <w:t>%）的价格扣除，用扣除后的价格参与评审。</w:t>
            </w:r>
          </w:p>
        </w:tc>
      </w:tr>
      <w:tr>
        <w:tblPrEx>
          <w:tblCellMar>
            <w:top w:w="0" w:type="dxa"/>
            <w:left w:w="108" w:type="dxa"/>
            <w:bottom w:w="0" w:type="dxa"/>
            <w:right w:w="108" w:type="dxa"/>
          </w:tblCellMar>
        </w:tblPrEx>
        <w:trPr>
          <w:trHeight w:val="583"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10.6</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合同管理</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Cs w:val="21"/>
                <w:lang w:val="zh-CN"/>
              </w:rPr>
            </w:pPr>
            <w:r>
              <w:rPr>
                <w:rFonts w:hint="eastAsia" w:ascii="宋体" w:hAnsi="宋体" w:cs="宋体"/>
                <w:color w:val="000000"/>
                <w:szCs w:val="21"/>
                <w:lang w:val="zh-CN"/>
              </w:rPr>
              <w:t>中标单位应自中标通知书发出之日起30日内与采购人签订合同。</w:t>
            </w:r>
          </w:p>
        </w:tc>
      </w:tr>
      <w:tr>
        <w:tblPrEx>
          <w:tblCellMar>
            <w:top w:w="0" w:type="dxa"/>
            <w:left w:w="108" w:type="dxa"/>
            <w:bottom w:w="0" w:type="dxa"/>
            <w:right w:w="108" w:type="dxa"/>
          </w:tblCellMar>
        </w:tblPrEx>
        <w:trPr>
          <w:trHeight w:val="54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10.7</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lang w:val="zh-CN"/>
              </w:rPr>
            </w:pPr>
            <w:r>
              <w:rPr>
                <w:rFonts w:hint="eastAsia" w:ascii="宋体" w:hAnsi="宋体" w:cs="宋体"/>
                <w:color w:val="000000"/>
                <w:szCs w:val="21"/>
                <w:lang w:val="zh-CN"/>
              </w:rPr>
              <w:t>转包、分包</w:t>
            </w:r>
          </w:p>
        </w:tc>
        <w:tc>
          <w:tcPr>
            <w:tcW w:w="725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Cs w:val="21"/>
                <w:lang w:val="zh-CN"/>
              </w:rPr>
            </w:pPr>
            <w:r>
              <w:rPr>
                <w:rFonts w:hint="eastAsia" w:ascii="宋体" w:hAnsi="宋体" w:cs="宋体"/>
                <w:color w:val="000000"/>
                <w:szCs w:val="21"/>
                <w:lang w:val="zh-CN"/>
              </w:rPr>
              <w:t>本次招标严禁转包、违法分包，严禁各类形式的资质挂靠。</w:t>
            </w:r>
          </w:p>
        </w:tc>
      </w:tr>
      <w:tr>
        <w:tblPrEx>
          <w:tblCellMar>
            <w:top w:w="0" w:type="dxa"/>
            <w:left w:w="108" w:type="dxa"/>
            <w:bottom w:w="0" w:type="dxa"/>
            <w:right w:w="108" w:type="dxa"/>
          </w:tblCellMar>
        </w:tblPrEx>
        <w:trPr>
          <w:trHeight w:val="54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10.8</w:t>
            </w:r>
          </w:p>
        </w:tc>
        <w:tc>
          <w:tcPr>
            <w:tcW w:w="1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000000"/>
                <w:szCs w:val="21"/>
              </w:rPr>
            </w:pPr>
            <w:r>
              <w:rPr>
                <w:rFonts w:hint="eastAsia" w:ascii="宋体" w:hAnsi="宋体" w:cs="宋体"/>
                <w:bCs/>
                <w:szCs w:val="21"/>
              </w:rPr>
              <w:t>政府采购云平台入驻、登录及CA办理</w:t>
            </w:r>
          </w:p>
        </w:tc>
        <w:tc>
          <w:tcPr>
            <w:tcW w:w="7251"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color w:val="000000"/>
                <w:szCs w:val="21"/>
              </w:rPr>
            </w:pPr>
            <w:r>
              <w:rPr>
                <w:rFonts w:hint="eastAsia" w:ascii="宋体" w:hAnsi="宋体" w:cs="宋体"/>
                <w:color w:val="000000"/>
                <w:szCs w:val="21"/>
              </w:rPr>
              <w:t>1.供应商入驻政府采购云平台登录网址：</w:t>
            </w:r>
          </w:p>
          <w:p>
            <w:pPr>
              <w:autoSpaceDE w:val="0"/>
              <w:autoSpaceDN w:val="0"/>
              <w:adjustRightInd w:val="0"/>
              <w:rPr>
                <w:rFonts w:ascii="宋体" w:hAnsi="宋体" w:cs="宋体"/>
                <w:color w:val="000000"/>
                <w:szCs w:val="21"/>
              </w:rPr>
            </w:pPr>
            <w:r>
              <w:rPr>
                <w:rFonts w:hint="eastAsia" w:ascii="宋体" w:hAnsi="宋体" w:cs="宋体"/>
                <w:color w:val="000000"/>
                <w:szCs w:val="21"/>
              </w:rPr>
              <w:t>https://middle.zcygov.cn/v-settle-front/registry</w:t>
            </w:r>
          </w:p>
          <w:p>
            <w:pPr>
              <w:autoSpaceDE w:val="0"/>
              <w:autoSpaceDN w:val="0"/>
              <w:adjustRightInd w:val="0"/>
              <w:rPr>
                <w:rFonts w:ascii="宋体" w:hAnsi="宋体" w:cs="宋体"/>
                <w:color w:val="000000"/>
                <w:szCs w:val="21"/>
              </w:rPr>
            </w:pPr>
            <w:r>
              <w:rPr>
                <w:rFonts w:hint="eastAsia" w:ascii="宋体" w:hAnsi="宋体" w:cs="宋体"/>
                <w:color w:val="000000"/>
                <w:szCs w:val="21"/>
              </w:rPr>
              <w:t>1.1招标文件下载操作路径：登录政府采购云平台－项目采购－获取采购文件－本次采购项目－申请获取采购文件。电子投标文件制作应基于政府采购云平台获取的采购文件编制，其他途径获取的采购文件一律按无效处理。</w:t>
            </w:r>
          </w:p>
          <w:p>
            <w:pPr>
              <w:autoSpaceDE w:val="0"/>
              <w:autoSpaceDN w:val="0"/>
              <w:adjustRightInd w:val="0"/>
              <w:rPr>
                <w:rFonts w:ascii="宋体" w:hAnsi="宋体" w:cs="宋体"/>
                <w:color w:val="000000"/>
                <w:szCs w:val="21"/>
              </w:rPr>
            </w:pPr>
            <w:r>
              <w:rPr>
                <w:rFonts w:hint="eastAsia" w:ascii="宋体" w:hAnsi="宋体" w:cs="宋体"/>
                <w:color w:val="000000"/>
                <w:szCs w:val="21"/>
              </w:rPr>
              <w:t>2.CA办理：首先安装政采云电子交易客户端（政府采购云平台下载）并办理安信CA证书，CA证书为免费办理（已在吉林省级或各市级公共资源交易平台办理过任意一个CA的交易主体，CA未到期限的，无需重新办理，CA过期的可进行免费办理延续证书）。数字证书办理时限为1—3个工作日，供应商应及时办理，软件公司地址：吉林省安信电子认证服务有限公司 (吉林省长春市高新技术产业开发区学苑街与博才路交汇处栖乐荟政务服务中心二楼 A24-A26)，联系电话：0431-85177688。</w:t>
            </w:r>
          </w:p>
          <w:p>
            <w:pPr>
              <w:autoSpaceDE w:val="0"/>
              <w:autoSpaceDN w:val="0"/>
              <w:adjustRightInd w:val="0"/>
              <w:rPr>
                <w:rFonts w:ascii="宋体" w:hAnsi="宋体" w:cs="宋体"/>
                <w:color w:val="000000"/>
                <w:szCs w:val="21"/>
              </w:rPr>
            </w:pPr>
            <w:r>
              <w:rPr>
                <w:rFonts w:hint="eastAsia" w:ascii="宋体" w:hAnsi="宋体" w:cs="宋体"/>
                <w:color w:val="000000"/>
                <w:szCs w:val="21"/>
              </w:rPr>
              <w:t>3.CA申请流程登录网址：</w:t>
            </w:r>
          </w:p>
          <w:p>
            <w:pPr>
              <w:autoSpaceDE w:val="0"/>
              <w:autoSpaceDN w:val="0"/>
              <w:adjustRightInd w:val="0"/>
              <w:rPr>
                <w:rFonts w:ascii="宋体" w:hAnsi="宋体" w:cs="宋体"/>
                <w:color w:val="000000"/>
                <w:szCs w:val="21"/>
              </w:rPr>
            </w:pPr>
            <w:r>
              <w:fldChar w:fldCharType="begin"/>
            </w:r>
            <w:r>
              <w:instrText xml:space="preserve"> HYPERLINK "http://www.anxinca.com/kehu/zcy/kh-zcy-zsshenqing.html" </w:instrText>
            </w:r>
            <w:r>
              <w:fldChar w:fldCharType="separate"/>
            </w:r>
            <w:r>
              <w:rPr>
                <w:rFonts w:hint="eastAsia" w:ascii="宋体" w:hAnsi="宋体" w:cs="宋体"/>
                <w:color w:val="000000"/>
                <w:szCs w:val="21"/>
              </w:rPr>
              <w:t>http://www.anxinca.com/kehu/zcy/kh-zcy-zsshenqing.html</w:t>
            </w:r>
            <w:r>
              <w:rPr>
                <w:rFonts w:hint="eastAsia" w:ascii="宋体" w:hAnsi="宋体" w:cs="宋体"/>
                <w:color w:val="000000"/>
                <w:szCs w:val="21"/>
              </w:rPr>
              <w:fldChar w:fldCharType="end"/>
            </w:r>
          </w:p>
          <w:p>
            <w:pPr>
              <w:autoSpaceDE w:val="0"/>
              <w:autoSpaceDN w:val="0"/>
              <w:adjustRightInd w:val="0"/>
              <w:rPr>
                <w:rFonts w:ascii="宋体" w:hAnsi="宋体" w:cs="宋体"/>
                <w:color w:val="000000"/>
                <w:szCs w:val="21"/>
              </w:rPr>
            </w:pPr>
            <w:r>
              <w:rPr>
                <w:rFonts w:hint="eastAsia" w:ascii="宋体" w:hAnsi="宋体" w:cs="宋体"/>
                <w:color w:val="000000"/>
                <w:szCs w:val="21"/>
              </w:rPr>
              <w:t>4.政采云投标客户端及CA驱动下载地址：</w:t>
            </w:r>
          </w:p>
          <w:p>
            <w:pPr>
              <w:autoSpaceDE w:val="0"/>
              <w:autoSpaceDN w:val="0"/>
              <w:adjustRightInd w:val="0"/>
              <w:rPr>
                <w:rFonts w:ascii="宋体" w:hAnsi="宋体" w:cs="宋体"/>
                <w:color w:val="000000"/>
                <w:szCs w:val="21"/>
              </w:rPr>
            </w:pPr>
            <w:r>
              <w:fldChar w:fldCharType="begin"/>
            </w:r>
            <w:r>
              <w:instrText xml:space="preserve"> HYPERLINK "https://customer.zcygov.cn/CA-driver-download?utm=web-login-front.52cebfa2.0.0.04df4040034511edaac705fda12edb43" </w:instrText>
            </w:r>
            <w:r>
              <w:fldChar w:fldCharType="separate"/>
            </w:r>
            <w:r>
              <w:rPr>
                <w:rFonts w:hint="eastAsia" w:ascii="宋体" w:hAnsi="宋体" w:cs="宋体"/>
                <w:color w:val="000000"/>
                <w:szCs w:val="21"/>
              </w:rPr>
              <w:t>https://customer.zcygov.cn/CA-driver-download?utm=web-login-front.52cebfa2.0.0.04df4040034511edaac705fda12edb43</w:t>
            </w:r>
            <w:r>
              <w:rPr>
                <w:rFonts w:hint="eastAsia" w:ascii="宋体" w:hAnsi="宋体" w:cs="宋体"/>
                <w:color w:val="000000"/>
                <w:szCs w:val="21"/>
              </w:rPr>
              <w:fldChar w:fldCharType="end"/>
            </w:r>
          </w:p>
          <w:p>
            <w:pPr>
              <w:autoSpaceDE w:val="0"/>
              <w:autoSpaceDN w:val="0"/>
              <w:adjustRightInd w:val="0"/>
              <w:rPr>
                <w:rFonts w:ascii="宋体" w:hAnsi="宋体" w:cs="宋体"/>
                <w:color w:val="000000"/>
                <w:szCs w:val="21"/>
                <w:lang w:val="zh-CN"/>
              </w:rPr>
            </w:pPr>
            <w:r>
              <w:rPr>
                <w:rFonts w:hint="eastAsia" w:ascii="宋体" w:hAnsi="宋体" w:cs="宋体"/>
                <w:color w:val="000000"/>
                <w:szCs w:val="21"/>
              </w:rPr>
              <w:t>5.使用CA进入政采云登录界面，点击CA登录-CA驱动下载－下载并安装政采云投标客户端和安信CA驱动，账号绑定后才能进行投标文件编制。具体参照政府采购云平台《政府采购项目电子交易管理操作指南－供应商》，并按照采购文件和政府采购云平台的系统操作要求进行编制。加密后的投标文件需在提交截止时间前上传至政府采购云平台，未进行网上注册并办理CA认证的将无法参与本次采购活动。</w:t>
            </w:r>
          </w:p>
        </w:tc>
      </w:tr>
      <w:tr>
        <w:tblPrEx>
          <w:tblCellMar>
            <w:top w:w="0" w:type="dxa"/>
            <w:left w:w="108" w:type="dxa"/>
            <w:bottom w:w="0" w:type="dxa"/>
            <w:right w:w="108" w:type="dxa"/>
          </w:tblCellMar>
        </w:tblPrEx>
        <w:trPr>
          <w:trHeight w:val="54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10.9</w:t>
            </w:r>
          </w:p>
        </w:tc>
        <w:tc>
          <w:tcPr>
            <w:tcW w:w="1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000000"/>
                <w:szCs w:val="21"/>
              </w:rPr>
            </w:pPr>
            <w:r>
              <w:rPr>
                <w:rFonts w:hint="eastAsia" w:ascii="宋体" w:hAnsi="宋体" w:cs="宋体"/>
                <w:bCs/>
                <w:szCs w:val="21"/>
              </w:rPr>
              <w:t>书面形式的定义</w:t>
            </w:r>
          </w:p>
        </w:tc>
        <w:tc>
          <w:tcPr>
            <w:tcW w:w="725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szCs w:val="21"/>
              </w:rPr>
            </w:pPr>
            <w:r>
              <w:rPr>
                <w:rFonts w:hint="eastAsia"/>
                <w:szCs w:val="21"/>
              </w:rPr>
              <w:t>数据电文形式与纸质形式的采购活动具有同等法律效力。数据电文形式包括文字的打印或复印件、传真、信函、电传、电报、电子邮件等可以有形表现所载内容的电子文档和在国家或其他省级以上财政部门指定的其他媒体发</w:t>
            </w:r>
          </w:p>
          <w:p>
            <w:pPr>
              <w:autoSpaceDE w:val="0"/>
              <w:autoSpaceDN w:val="0"/>
              <w:adjustRightInd w:val="0"/>
              <w:jc w:val="left"/>
              <w:rPr>
                <w:rFonts w:ascii="宋体" w:hAnsi="宋体" w:cs="宋体"/>
                <w:color w:val="000000"/>
                <w:szCs w:val="21"/>
                <w:lang w:val="zh-CN"/>
              </w:rPr>
            </w:pPr>
            <w:r>
              <w:rPr>
                <w:rFonts w:hint="eastAsia"/>
                <w:szCs w:val="21"/>
              </w:rPr>
              <w:t>布的征集公告、采购文件及发出的澄清、答疑、变更等各类公告。</w:t>
            </w:r>
          </w:p>
        </w:tc>
      </w:tr>
      <w:tr>
        <w:tblPrEx>
          <w:tblCellMar>
            <w:top w:w="0" w:type="dxa"/>
            <w:left w:w="108" w:type="dxa"/>
            <w:bottom w:w="0" w:type="dxa"/>
            <w:right w:w="108" w:type="dxa"/>
          </w:tblCellMar>
        </w:tblPrEx>
        <w:trPr>
          <w:trHeight w:val="54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10.10</w:t>
            </w:r>
          </w:p>
        </w:tc>
        <w:tc>
          <w:tcPr>
            <w:tcW w:w="1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Cs/>
                <w:szCs w:val="21"/>
              </w:rPr>
            </w:pPr>
            <w:r>
              <w:rPr>
                <w:rFonts w:hint="eastAsia" w:ascii="宋体" w:hAnsi="宋体" w:cs="宋体"/>
                <w:bCs/>
                <w:szCs w:val="21"/>
              </w:rPr>
              <w:t>支付方式</w:t>
            </w:r>
          </w:p>
        </w:tc>
        <w:tc>
          <w:tcPr>
            <w:tcW w:w="72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szCs w:val="21"/>
              </w:rPr>
            </w:pPr>
            <w:r>
              <w:rPr>
                <w:rFonts w:hint="eastAsia"/>
                <w:szCs w:val="21"/>
              </w:rPr>
              <w:t>以甲乙双方签订合同为准</w:t>
            </w:r>
          </w:p>
        </w:tc>
      </w:tr>
      <w:tr>
        <w:tblPrEx>
          <w:tblCellMar>
            <w:top w:w="0" w:type="dxa"/>
            <w:left w:w="108" w:type="dxa"/>
            <w:bottom w:w="0" w:type="dxa"/>
            <w:right w:w="108" w:type="dxa"/>
          </w:tblCellMar>
        </w:tblPrEx>
        <w:trPr>
          <w:trHeight w:val="54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10.11</w:t>
            </w:r>
          </w:p>
        </w:tc>
        <w:tc>
          <w:tcPr>
            <w:tcW w:w="1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Cs/>
                <w:szCs w:val="21"/>
              </w:rPr>
            </w:pPr>
            <w:r>
              <w:rPr>
                <w:rFonts w:hint="eastAsia" w:ascii="宋体" w:hAnsi="宋体" w:cs="宋体"/>
                <w:bCs/>
                <w:szCs w:val="21"/>
              </w:rPr>
              <w:t>履约保证金数额</w:t>
            </w:r>
          </w:p>
        </w:tc>
        <w:tc>
          <w:tcPr>
            <w:tcW w:w="72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szCs w:val="21"/>
              </w:rPr>
            </w:pPr>
            <w:r>
              <w:rPr>
                <w:rFonts w:hint="eastAsia"/>
                <w:szCs w:val="21"/>
              </w:rPr>
              <w:t>中标（成交）金额的5%</w:t>
            </w:r>
          </w:p>
        </w:tc>
      </w:tr>
      <w:tr>
        <w:tblPrEx>
          <w:tblCellMar>
            <w:top w:w="0" w:type="dxa"/>
            <w:left w:w="108" w:type="dxa"/>
            <w:bottom w:w="0" w:type="dxa"/>
            <w:right w:w="108" w:type="dxa"/>
          </w:tblCellMar>
        </w:tblPrEx>
        <w:trPr>
          <w:trHeight w:val="54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10.12</w:t>
            </w:r>
          </w:p>
        </w:tc>
        <w:tc>
          <w:tcPr>
            <w:tcW w:w="1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Cs/>
                <w:szCs w:val="21"/>
              </w:rPr>
            </w:pPr>
            <w:r>
              <w:rPr>
                <w:rFonts w:hint="eastAsia" w:ascii="宋体" w:hAnsi="宋体" w:cs="宋体"/>
                <w:bCs/>
                <w:szCs w:val="21"/>
              </w:rPr>
              <w:t>履约管理与违约责任</w:t>
            </w:r>
          </w:p>
        </w:tc>
        <w:tc>
          <w:tcPr>
            <w:tcW w:w="72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szCs w:val="21"/>
              </w:rPr>
            </w:pPr>
            <w:r>
              <w:rPr>
                <w:rFonts w:hint="eastAsia"/>
                <w:szCs w:val="21"/>
              </w:rPr>
              <w:t>以甲乙双方签订合同为准</w:t>
            </w:r>
          </w:p>
        </w:tc>
      </w:tr>
      <w:tr>
        <w:tblPrEx>
          <w:tblCellMar>
            <w:top w:w="0" w:type="dxa"/>
            <w:left w:w="108" w:type="dxa"/>
            <w:bottom w:w="0" w:type="dxa"/>
            <w:right w:w="108" w:type="dxa"/>
          </w:tblCellMar>
        </w:tblPrEx>
        <w:trPr>
          <w:trHeight w:val="54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10.13</w:t>
            </w:r>
          </w:p>
        </w:tc>
        <w:tc>
          <w:tcPr>
            <w:tcW w:w="19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Cs/>
                <w:szCs w:val="21"/>
              </w:rPr>
            </w:pPr>
            <w:r>
              <w:rPr>
                <w:rFonts w:hint="eastAsia" w:ascii="宋体" w:hAnsi="宋体" w:cs="宋体"/>
                <w:bCs/>
                <w:szCs w:val="21"/>
              </w:rPr>
              <w:t>其他</w:t>
            </w:r>
          </w:p>
        </w:tc>
        <w:tc>
          <w:tcPr>
            <w:tcW w:w="7251"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szCs w:val="21"/>
              </w:rPr>
            </w:pPr>
            <w:r>
              <w:rPr>
                <w:rFonts w:hint="eastAsia"/>
                <w:szCs w:val="21"/>
              </w:rPr>
              <w:t>因地方性政策变化或政府行为致使双方合同无法继续履行的，任何一方均可提前解除合同。</w:t>
            </w:r>
          </w:p>
        </w:tc>
      </w:tr>
      <w:tr>
        <w:tblPrEx>
          <w:tblCellMar>
            <w:top w:w="0" w:type="dxa"/>
            <w:left w:w="108" w:type="dxa"/>
            <w:bottom w:w="0" w:type="dxa"/>
            <w:right w:w="108" w:type="dxa"/>
          </w:tblCellMar>
        </w:tblPrEx>
        <w:trPr>
          <w:trHeight w:val="519" w:hRule="atLeast"/>
          <w:jc w:val="center"/>
        </w:trPr>
        <w:tc>
          <w:tcPr>
            <w:tcW w:w="102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b/>
                <w:bCs/>
                <w:color w:val="000000"/>
                <w:szCs w:val="21"/>
              </w:rPr>
              <w:t>招标公告与招标文件如有不一致处，以招标文件为准。</w:t>
            </w:r>
          </w:p>
        </w:tc>
      </w:tr>
    </w:tbl>
    <w:p>
      <w:pPr>
        <w:pStyle w:val="3"/>
        <w:keepNext w:val="0"/>
        <w:keepLines w:val="0"/>
        <w:rPr>
          <w:rFonts w:ascii="宋体" w:hAnsi="宋体" w:eastAsia="宋体" w:cs="宋体"/>
          <w:color w:val="000000"/>
        </w:rPr>
        <w:sectPr>
          <w:footerReference r:id="rId7" w:type="default"/>
          <w:pgSz w:w="11906" w:h="16838"/>
          <w:pgMar w:top="1440" w:right="1803" w:bottom="1417" w:left="1417" w:header="851" w:footer="992" w:gutter="0"/>
          <w:cols w:space="720" w:num="1"/>
          <w:rtlGutter w:val="1"/>
          <w:docGrid w:type="lines" w:linePitch="312" w:charSpace="0"/>
        </w:sectPr>
      </w:pPr>
    </w:p>
    <w:p>
      <w:pPr>
        <w:pStyle w:val="3"/>
        <w:keepNext w:val="0"/>
        <w:keepLines w:val="0"/>
        <w:spacing w:line="240" w:lineRule="auto"/>
        <w:rPr>
          <w:rFonts w:ascii="宋体" w:hAnsi="宋体" w:eastAsia="宋体" w:cs="宋体"/>
          <w:color w:val="000000"/>
        </w:rPr>
      </w:pPr>
      <w:r>
        <w:rPr>
          <w:rFonts w:hint="eastAsia" w:ascii="宋体" w:hAnsi="宋体" w:eastAsia="宋体" w:cs="宋体"/>
          <w:color w:val="000000"/>
        </w:rPr>
        <w:t>1. 总则</w:t>
      </w:r>
      <w:bookmarkEnd w:id="3"/>
      <w:bookmarkEnd w:id="4"/>
      <w:bookmarkEnd w:id="5"/>
      <w:bookmarkEnd w:id="6"/>
      <w:bookmarkEnd w:id="7"/>
      <w:bookmarkEnd w:id="8"/>
      <w:bookmarkEnd w:id="9"/>
      <w:bookmarkEnd w:id="10"/>
      <w:bookmarkEnd w:id="11"/>
      <w:bookmarkEnd w:id="12"/>
      <w:bookmarkEnd w:id="13"/>
      <w:bookmarkEnd w:id="14"/>
      <w:bookmarkEnd w:id="15"/>
      <w:bookmarkEnd w:id="16"/>
    </w:p>
    <w:p>
      <w:pPr>
        <w:pStyle w:val="4"/>
        <w:keepNext w:val="0"/>
        <w:keepLines w:val="0"/>
        <w:spacing w:line="240" w:lineRule="auto"/>
        <w:rPr>
          <w:rFonts w:ascii="宋体" w:hAnsi="宋体" w:cs="宋体"/>
          <w:color w:val="000000"/>
        </w:rPr>
      </w:pPr>
      <w:bookmarkStart w:id="83" w:name="_Toc247085690"/>
      <w:bookmarkStart w:id="84" w:name="_Toc30394"/>
      <w:bookmarkStart w:id="85" w:name="_Toc152042306"/>
      <w:bookmarkStart w:id="86" w:name="_Toc22255"/>
      <w:bookmarkStart w:id="87" w:name="_Toc144974498"/>
      <w:bookmarkStart w:id="88" w:name="_Toc8784"/>
      <w:bookmarkStart w:id="89" w:name="_Toc152045530"/>
      <w:bookmarkStart w:id="90" w:name="_Toc453756896"/>
      <w:bookmarkStart w:id="91" w:name="_Toc30709"/>
      <w:bookmarkStart w:id="92" w:name="_Toc2263"/>
      <w:bookmarkStart w:id="93" w:name="_Toc246996176"/>
      <w:bookmarkStart w:id="94" w:name="_Toc6973"/>
      <w:bookmarkStart w:id="95" w:name="_Toc179632547"/>
      <w:bookmarkStart w:id="96" w:name="_Toc246996919"/>
      <w:r>
        <w:rPr>
          <w:rFonts w:hint="eastAsia" w:ascii="宋体" w:hAnsi="宋体" w:cs="宋体"/>
          <w:color w:val="000000"/>
        </w:rPr>
        <w:t>1.1 项目概况</w:t>
      </w:r>
      <w:bookmarkEnd w:id="83"/>
      <w:bookmarkEnd w:id="84"/>
      <w:bookmarkEnd w:id="85"/>
      <w:bookmarkEnd w:id="86"/>
      <w:bookmarkEnd w:id="87"/>
      <w:bookmarkEnd w:id="88"/>
      <w:bookmarkEnd w:id="89"/>
      <w:bookmarkEnd w:id="90"/>
      <w:bookmarkEnd w:id="91"/>
      <w:bookmarkEnd w:id="92"/>
      <w:bookmarkEnd w:id="93"/>
      <w:bookmarkEnd w:id="94"/>
      <w:bookmarkEnd w:id="95"/>
      <w:bookmarkEnd w:id="96"/>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1.1.1根据《中华人民共和国政府采购法》等有关法律、法规和规章的规定，本招标项目已具备招标条件，</w:t>
      </w:r>
      <w:r>
        <w:rPr>
          <w:rFonts w:hint="eastAsia" w:ascii="宋体" w:hAnsi="宋体" w:cs="宋体"/>
          <w:color w:val="000000"/>
        </w:rPr>
        <w:t>现对本项目</w:t>
      </w:r>
      <w:r>
        <w:rPr>
          <w:rFonts w:hint="eastAsia" w:ascii="宋体" w:hAnsi="宋体" w:cs="宋体"/>
          <w:color w:val="000000"/>
          <w:szCs w:val="21"/>
        </w:rPr>
        <w:t>采用资格后审方式</w:t>
      </w:r>
      <w:r>
        <w:rPr>
          <w:rFonts w:hint="eastAsia" w:ascii="宋体" w:hAnsi="宋体" w:cs="宋体"/>
          <w:color w:val="000000"/>
        </w:rPr>
        <w:t>进行招标</w:t>
      </w:r>
      <w:r>
        <w:rPr>
          <w:rFonts w:hint="eastAsia" w:ascii="宋体" w:hAnsi="宋体" w:cs="宋体"/>
          <w:color w:val="000000"/>
          <w:sz w:val="22"/>
          <w:szCs w:val="28"/>
        </w:rPr>
        <w:t>。</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1.1.2 本招标项目采购人：见投标人须知前附表。</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1.1.3 本招标项目采购代理机构：见投标人须知前附表。</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1.1.4 本招标项目名称：见投标人须知前附表。</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1.1.5 本招标项目供货地点：见投标人须知前附表。</w:t>
      </w:r>
    </w:p>
    <w:p>
      <w:pPr>
        <w:pStyle w:val="4"/>
        <w:keepNext w:val="0"/>
        <w:keepLines w:val="0"/>
        <w:spacing w:line="240" w:lineRule="auto"/>
        <w:rPr>
          <w:rFonts w:ascii="宋体" w:hAnsi="宋体" w:cs="宋体"/>
          <w:color w:val="000000"/>
        </w:rPr>
      </w:pPr>
      <w:bookmarkStart w:id="97" w:name="_Toc453756897"/>
      <w:bookmarkStart w:id="98" w:name="_Toc246996177"/>
      <w:bookmarkStart w:id="99" w:name="_Toc247085691"/>
      <w:bookmarkStart w:id="100" w:name="_Toc2635"/>
      <w:bookmarkStart w:id="101" w:name="_Toc246996920"/>
      <w:bookmarkStart w:id="102" w:name="_Toc16923"/>
      <w:bookmarkStart w:id="103" w:name="_Toc8644"/>
      <w:bookmarkStart w:id="104" w:name="_Toc15011"/>
      <w:bookmarkStart w:id="105" w:name="_Toc152042307"/>
      <w:bookmarkStart w:id="106" w:name="_Toc12643"/>
      <w:bookmarkStart w:id="107" w:name="_Toc144974499"/>
      <w:bookmarkStart w:id="108" w:name="_Toc28448"/>
      <w:bookmarkStart w:id="109" w:name="_Toc152045531"/>
      <w:bookmarkStart w:id="110" w:name="_Toc179632548"/>
      <w:r>
        <w:rPr>
          <w:rFonts w:hint="eastAsia" w:ascii="宋体" w:hAnsi="宋体" w:cs="宋体"/>
          <w:color w:val="000000"/>
        </w:rPr>
        <w:t>1.2 资金来源和落实情况</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1.2.1 本招标项目的资金来源及出资比例：见投标人须知前附表。</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1.2.2 本招标项目的资金落实情况：见投标人须知前附表。</w:t>
      </w:r>
    </w:p>
    <w:p>
      <w:pPr>
        <w:pStyle w:val="4"/>
        <w:keepNext w:val="0"/>
        <w:keepLines w:val="0"/>
        <w:spacing w:line="240" w:lineRule="auto"/>
        <w:rPr>
          <w:rFonts w:ascii="宋体" w:hAnsi="宋体" w:cs="宋体"/>
          <w:color w:val="000000"/>
        </w:rPr>
      </w:pPr>
      <w:bookmarkStart w:id="111" w:name="_Toc247085692"/>
      <w:bookmarkStart w:id="112" w:name="_Toc152045532"/>
      <w:bookmarkStart w:id="113" w:name="_Toc144974500"/>
      <w:bookmarkStart w:id="114" w:name="_Toc26754"/>
      <w:bookmarkStart w:id="115" w:name="_Toc15441"/>
      <w:bookmarkStart w:id="116" w:name="_Toc2196"/>
      <w:bookmarkStart w:id="117" w:name="_Toc22723"/>
      <w:bookmarkStart w:id="118" w:name="_Toc179632549"/>
      <w:bookmarkStart w:id="119" w:name="_Toc152042308"/>
      <w:bookmarkStart w:id="120" w:name="_Toc453756898"/>
      <w:bookmarkStart w:id="121" w:name="_Toc13895"/>
      <w:bookmarkStart w:id="122" w:name="_Toc246996178"/>
      <w:bookmarkStart w:id="123" w:name="_Toc20776"/>
      <w:bookmarkStart w:id="124" w:name="_Toc246996921"/>
      <w:r>
        <w:rPr>
          <w:rFonts w:hint="eastAsia" w:ascii="宋体" w:hAnsi="宋体" w:cs="宋体"/>
          <w:color w:val="000000"/>
        </w:rPr>
        <w:t>1.3 招标范围、合同履行期限 、</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Pr>
          <w:rFonts w:hint="eastAsia" w:ascii="宋体" w:hAnsi="宋体" w:cs="宋体"/>
          <w:color w:val="000000"/>
        </w:rPr>
        <w:t>服务标准</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1.3.1 本次招标范围：见投标人须知前附表。</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1.3.2 本招标项目的合同履行期限：见投标人须知前附表。</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1.3.3 本招标项目的服务标准：见投标人须知前附表。</w:t>
      </w:r>
    </w:p>
    <w:p>
      <w:pPr>
        <w:pStyle w:val="4"/>
        <w:keepNext w:val="0"/>
        <w:keepLines w:val="0"/>
        <w:spacing w:line="240" w:lineRule="auto"/>
        <w:rPr>
          <w:rFonts w:ascii="宋体" w:hAnsi="宋体" w:cs="宋体"/>
          <w:color w:val="000000"/>
        </w:rPr>
      </w:pPr>
      <w:bookmarkStart w:id="125" w:name="_Toc453756899"/>
      <w:bookmarkStart w:id="126" w:name="_Toc20723"/>
      <w:bookmarkStart w:id="127" w:name="_Toc179632551"/>
      <w:bookmarkStart w:id="128" w:name="_Toc152045534"/>
      <w:bookmarkStart w:id="129" w:name="_Toc26571"/>
      <w:bookmarkStart w:id="130" w:name="_Toc26366"/>
      <w:bookmarkStart w:id="131" w:name="_Toc246996179"/>
      <w:bookmarkStart w:id="132" w:name="_Toc152042310"/>
      <w:bookmarkStart w:id="133" w:name="_Toc2323"/>
      <w:bookmarkStart w:id="134" w:name="_Toc8033"/>
      <w:bookmarkStart w:id="135" w:name="_Toc247085693"/>
      <w:bookmarkStart w:id="136" w:name="_Toc25551"/>
      <w:bookmarkStart w:id="137" w:name="_Toc246996922"/>
      <w:bookmarkStart w:id="138" w:name="_Toc144974502"/>
      <w:r>
        <w:rPr>
          <w:rFonts w:hint="eastAsia" w:ascii="宋体" w:hAnsi="宋体" w:cs="宋体"/>
          <w:color w:val="000000"/>
        </w:rPr>
        <w:t>1.4 投标人资格要求</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1.4.1 投标人应具备承担本项目的资质条件、能力和信誉。</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（1）资质条件：见投标人须知前附表；</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（2）财务要求：见投标人须知前附表；</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（3）其他要求：见投标人须知前附表。</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1.4.2 投标人不得存在下列情形之一：</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（1）为采购人不具有独立法人资格的附属机构（单位）；</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 xml:space="preserve">（2）为本招标项目前期准备提供设计或咨询服务的； </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 xml:space="preserve">（3）为本招标项目提供招标代理服务的； </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（4）与本招标项目的招标代理机构同为一个法定代表人的；</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（5）与本招标项目的招标代理机构相互控股或参股的；</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（6）与本招标项目的招标代理机构相互任职或工作的；</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 xml:space="preserve">（7）被责令停业的； </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 xml:space="preserve">（8）被暂停或取消投标资格的； </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（9）财产被接管或冻结的；</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（10）在参与采购活动前三年内在经营活动中有重大违法记录。</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1.4.3 单位负责人为同一人或者存在直接控股、管理关系的不同供应商，不得参加同一合同项下的政府采购活动。</w:t>
      </w:r>
    </w:p>
    <w:p>
      <w:pPr>
        <w:pStyle w:val="4"/>
        <w:keepNext w:val="0"/>
        <w:keepLines w:val="0"/>
        <w:spacing w:line="240" w:lineRule="auto"/>
        <w:rPr>
          <w:rFonts w:ascii="宋体" w:hAnsi="宋体" w:cs="宋体"/>
          <w:color w:val="000000"/>
        </w:rPr>
      </w:pPr>
      <w:bookmarkStart w:id="139" w:name="_Toc152045535"/>
      <w:bookmarkStart w:id="140" w:name="_Toc247085694"/>
      <w:bookmarkStart w:id="141" w:name="_Toc5888"/>
      <w:bookmarkStart w:id="142" w:name="_Toc26251"/>
      <w:bookmarkStart w:id="143" w:name="_Toc8589"/>
      <w:bookmarkStart w:id="144" w:name="_Toc453756900"/>
      <w:bookmarkStart w:id="145" w:name="_Toc179632552"/>
      <w:bookmarkStart w:id="146" w:name="_Toc246996180"/>
      <w:bookmarkStart w:id="147" w:name="_Toc16208"/>
      <w:bookmarkStart w:id="148" w:name="_Toc21895"/>
      <w:bookmarkStart w:id="149" w:name="_Toc246996923"/>
      <w:bookmarkStart w:id="150" w:name="_Toc152042311"/>
      <w:bookmarkStart w:id="151" w:name="_Toc144974503"/>
      <w:bookmarkStart w:id="152" w:name="_Toc15234"/>
      <w:r>
        <w:rPr>
          <w:rFonts w:hint="eastAsia" w:ascii="宋体" w:hAnsi="宋体" w:cs="宋体"/>
          <w:color w:val="000000"/>
        </w:rPr>
        <w:t>1.5 费用承担</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投标人准备和参加投标活动发生的费用自理。</w:t>
      </w:r>
    </w:p>
    <w:p>
      <w:pPr>
        <w:pStyle w:val="4"/>
        <w:keepNext w:val="0"/>
        <w:keepLines w:val="0"/>
        <w:spacing w:line="240" w:lineRule="auto"/>
        <w:rPr>
          <w:rFonts w:ascii="宋体" w:hAnsi="宋体" w:cs="宋体"/>
          <w:color w:val="000000"/>
        </w:rPr>
      </w:pPr>
      <w:bookmarkStart w:id="153" w:name="_Toc3663"/>
      <w:bookmarkStart w:id="154" w:name="_Toc6909"/>
      <w:bookmarkStart w:id="155" w:name="_Toc152042312"/>
      <w:bookmarkStart w:id="156" w:name="_Toc247085695"/>
      <w:bookmarkStart w:id="157" w:name="_Toc144974504"/>
      <w:bookmarkStart w:id="158" w:name="_Toc7421"/>
      <w:bookmarkStart w:id="159" w:name="_Toc179632553"/>
      <w:bookmarkStart w:id="160" w:name="_Toc19752"/>
      <w:bookmarkStart w:id="161" w:name="_Toc4656"/>
      <w:bookmarkStart w:id="162" w:name="_Toc246996181"/>
      <w:bookmarkStart w:id="163" w:name="_Toc606"/>
      <w:bookmarkStart w:id="164" w:name="_Toc453756901"/>
      <w:bookmarkStart w:id="165" w:name="_Toc246996924"/>
      <w:bookmarkStart w:id="166" w:name="_Toc152045536"/>
      <w:r>
        <w:rPr>
          <w:rFonts w:hint="eastAsia" w:ascii="宋体" w:hAnsi="宋体" w:cs="宋体"/>
          <w:color w:val="000000"/>
        </w:rPr>
        <w:t>1.6 保密</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 xml:space="preserve">参与招标投标活动的各方应对招标文件和投标文件中的商业和技术等秘密保密，违者应对由此造成的后果承担法律责任。 </w:t>
      </w:r>
    </w:p>
    <w:p>
      <w:pPr>
        <w:pStyle w:val="4"/>
        <w:keepNext w:val="0"/>
        <w:keepLines w:val="0"/>
        <w:spacing w:line="240" w:lineRule="auto"/>
        <w:rPr>
          <w:rFonts w:ascii="宋体" w:hAnsi="宋体" w:cs="宋体"/>
          <w:color w:val="000000"/>
        </w:rPr>
      </w:pPr>
      <w:bookmarkStart w:id="167" w:name="_Toc144974505"/>
      <w:bookmarkStart w:id="168" w:name="_Toc179632554"/>
      <w:bookmarkStart w:id="169" w:name="_Toc152042313"/>
      <w:bookmarkStart w:id="170" w:name="_Toc246996925"/>
      <w:bookmarkStart w:id="171" w:name="_Toc152045537"/>
      <w:bookmarkStart w:id="172" w:name="_Toc12070"/>
      <w:bookmarkStart w:id="173" w:name="_Toc247085696"/>
      <w:bookmarkStart w:id="174" w:name="_Toc5320"/>
      <w:bookmarkStart w:id="175" w:name="_Toc20732"/>
      <w:bookmarkStart w:id="176" w:name="_Toc2536"/>
      <w:bookmarkStart w:id="177" w:name="_Toc453756902"/>
      <w:bookmarkStart w:id="178" w:name="_Toc14016"/>
      <w:bookmarkStart w:id="179" w:name="_Toc892"/>
      <w:bookmarkStart w:id="180" w:name="_Toc246996182"/>
      <w:r>
        <w:rPr>
          <w:rFonts w:hint="eastAsia" w:ascii="宋体" w:hAnsi="宋体" w:cs="宋体"/>
          <w:color w:val="000000"/>
        </w:rPr>
        <w:t>1.7 语言</w:t>
      </w:r>
      <w:bookmarkEnd w:id="167"/>
      <w:r>
        <w:rPr>
          <w:rFonts w:hint="eastAsia" w:ascii="宋体" w:hAnsi="宋体" w:cs="宋体"/>
          <w:color w:val="000000"/>
        </w:rPr>
        <w:t>文字</w:t>
      </w:r>
      <w:bookmarkEnd w:id="168"/>
      <w:bookmarkEnd w:id="169"/>
      <w:bookmarkEnd w:id="170"/>
      <w:bookmarkEnd w:id="171"/>
      <w:bookmarkEnd w:id="172"/>
      <w:bookmarkEnd w:id="173"/>
      <w:bookmarkEnd w:id="174"/>
      <w:bookmarkEnd w:id="175"/>
      <w:bookmarkEnd w:id="176"/>
      <w:bookmarkEnd w:id="177"/>
      <w:bookmarkEnd w:id="178"/>
      <w:bookmarkEnd w:id="179"/>
      <w:bookmarkEnd w:id="180"/>
    </w:p>
    <w:p>
      <w:pPr>
        <w:spacing w:line="500" w:lineRule="exact"/>
        <w:ind w:firstLine="440" w:firstLineChars="200"/>
        <w:rPr>
          <w:rFonts w:ascii="宋体" w:hAnsi="宋体" w:cs="宋体"/>
          <w:color w:val="000000"/>
          <w:sz w:val="22"/>
          <w:szCs w:val="28"/>
        </w:rPr>
      </w:pPr>
      <w:bookmarkStart w:id="181" w:name="_Toc247085697"/>
      <w:bookmarkStart w:id="182" w:name="_Toc152042314"/>
      <w:bookmarkStart w:id="183" w:name="_Toc179632555"/>
      <w:bookmarkStart w:id="184" w:name="_Toc152045538"/>
      <w:bookmarkStart w:id="185" w:name="_Toc246996183"/>
      <w:bookmarkStart w:id="186" w:name="_Toc246996926"/>
      <w:bookmarkStart w:id="187" w:name="_Toc144974506"/>
      <w:r>
        <w:rPr>
          <w:rFonts w:hint="eastAsia" w:ascii="宋体" w:hAnsi="宋体" w:cs="宋体"/>
          <w:color w:val="000000"/>
          <w:sz w:val="22"/>
          <w:szCs w:val="28"/>
        </w:rPr>
        <w:t>招标投标文件使用的语言文字为中文。专用术语使用外文的，应附有中文注释。</w:t>
      </w:r>
    </w:p>
    <w:p>
      <w:pPr>
        <w:pStyle w:val="4"/>
        <w:keepNext w:val="0"/>
        <w:keepLines w:val="0"/>
        <w:spacing w:line="240" w:lineRule="auto"/>
        <w:rPr>
          <w:rFonts w:ascii="宋体" w:hAnsi="宋体" w:cs="宋体"/>
          <w:color w:val="000000"/>
        </w:rPr>
      </w:pPr>
      <w:bookmarkStart w:id="188" w:name="_Toc32596"/>
      <w:bookmarkStart w:id="189" w:name="_Toc3977"/>
      <w:bookmarkStart w:id="190" w:name="_Toc12433"/>
      <w:bookmarkStart w:id="191" w:name="_Toc18268"/>
      <w:bookmarkStart w:id="192" w:name="_Toc15979"/>
      <w:bookmarkStart w:id="193" w:name="_Toc28117"/>
      <w:bookmarkStart w:id="194" w:name="_Toc453756903"/>
      <w:r>
        <w:rPr>
          <w:rFonts w:hint="eastAsia" w:ascii="宋体" w:hAnsi="宋体" w:cs="宋体"/>
          <w:color w:val="000000"/>
        </w:rPr>
        <w:t>1.8 计量单位</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所有计量均采用中华人民共和国法定计量单位。</w:t>
      </w:r>
    </w:p>
    <w:p>
      <w:pPr>
        <w:pStyle w:val="4"/>
        <w:keepNext w:val="0"/>
        <w:keepLines w:val="0"/>
        <w:spacing w:line="240" w:lineRule="auto"/>
        <w:rPr>
          <w:rFonts w:ascii="宋体" w:hAnsi="宋体" w:cs="宋体"/>
          <w:color w:val="000000"/>
        </w:rPr>
      </w:pPr>
      <w:bookmarkStart w:id="195" w:name="_Toc3039"/>
      <w:bookmarkStart w:id="196" w:name="_Toc247513962"/>
      <w:bookmarkStart w:id="197" w:name="_Toc144974507"/>
      <w:bookmarkStart w:id="198" w:name="_Toc28592"/>
      <w:bookmarkStart w:id="199" w:name="_Toc17293"/>
      <w:bookmarkStart w:id="200" w:name="_Toc453756904"/>
      <w:bookmarkStart w:id="201" w:name="_Toc152045539"/>
      <w:bookmarkStart w:id="202" w:name="_Toc823"/>
      <w:bookmarkStart w:id="203" w:name="_Toc247592876"/>
      <w:bookmarkStart w:id="204" w:name="_Toc211"/>
      <w:bookmarkStart w:id="205" w:name="_Toc152042315"/>
      <w:bookmarkStart w:id="206" w:name="_Toc12527"/>
      <w:bookmarkStart w:id="207" w:name="_Toc247527563"/>
      <w:r>
        <w:rPr>
          <w:rFonts w:hint="eastAsia" w:ascii="宋体" w:hAnsi="宋体" w:cs="宋体"/>
          <w:color w:val="000000"/>
        </w:rPr>
        <w:t>1.9 踏勘现场</w:t>
      </w:r>
      <w:bookmarkEnd w:id="195"/>
      <w:bookmarkEnd w:id="196"/>
      <w:bookmarkEnd w:id="197"/>
      <w:bookmarkEnd w:id="198"/>
      <w:bookmarkEnd w:id="199"/>
      <w:bookmarkEnd w:id="200"/>
      <w:bookmarkEnd w:id="201"/>
      <w:bookmarkEnd w:id="202"/>
      <w:bookmarkEnd w:id="203"/>
      <w:bookmarkEnd w:id="204"/>
      <w:bookmarkEnd w:id="205"/>
      <w:bookmarkEnd w:id="206"/>
      <w:bookmarkEnd w:id="207"/>
      <w:r>
        <w:rPr>
          <w:rFonts w:hint="eastAsia" w:ascii="宋体" w:hAnsi="宋体" w:cs="宋体"/>
          <w:color w:val="000000"/>
        </w:rPr>
        <w:t>（无）</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1.9.1 投标人须知前附表规定组织踏勘现场的，采购人按投标人须知前附表规定的时间、地点组织投标人踏勘项目现场。</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1.9.2 投标人踏勘现场发生的费用自理。</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1.9.3 除采购人的原因外，投标人自行负责在踏勘现场中所发生的人员伤亡和财产损失。</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1.9.4 采购人在踏勘现场中介绍的工程场地和相关的周边环境情况，供投标人在编制投标文件时参考，采购人不对投标人据此作出的判断和决策负责。</w:t>
      </w:r>
    </w:p>
    <w:p>
      <w:pPr>
        <w:pStyle w:val="4"/>
        <w:keepNext w:val="0"/>
        <w:keepLines w:val="0"/>
        <w:spacing w:line="240" w:lineRule="auto"/>
        <w:rPr>
          <w:rFonts w:ascii="宋体" w:hAnsi="宋体" w:cs="宋体"/>
          <w:color w:val="000000"/>
        </w:rPr>
      </w:pPr>
      <w:bookmarkStart w:id="208" w:name="_Toc247527564"/>
      <w:bookmarkStart w:id="209" w:name="_Toc453756905"/>
      <w:bookmarkStart w:id="210" w:name="_Toc13590"/>
      <w:bookmarkStart w:id="211" w:name="_Toc12682"/>
      <w:bookmarkStart w:id="212" w:name="_Toc247513963"/>
      <w:bookmarkStart w:id="213" w:name="_Toc152042316"/>
      <w:bookmarkStart w:id="214" w:name="_Toc17455"/>
      <w:bookmarkStart w:id="215" w:name="_Toc247592877"/>
      <w:bookmarkStart w:id="216" w:name="_Toc3480"/>
      <w:bookmarkStart w:id="217" w:name="_Toc152045540"/>
      <w:bookmarkStart w:id="218" w:name="_Toc144974508"/>
      <w:bookmarkStart w:id="219" w:name="_Toc6188"/>
      <w:bookmarkStart w:id="220" w:name="_Toc28533"/>
      <w:r>
        <w:rPr>
          <w:rFonts w:hint="eastAsia" w:ascii="宋体" w:hAnsi="宋体" w:cs="宋体"/>
          <w:color w:val="000000"/>
        </w:rPr>
        <w:t>1.10 投标预备会</w:t>
      </w:r>
      <w:bookmarkEnd w:id="208"/>
      <w:bookmarkEnd w:id="209"/>
      <w:bookmarkEnd w:id="210"/>
      <w:bookmarkEnd w:id="211"/>
      <w:bookmarkEnd w:id="212"/>
      <w:bookmarkEnd w:id="213"/>
      <w:bookmarkEnd w:id="214"/>
      <w:bookmarkEnd w:id="215"/>
      <w:bookmarkEnd w:id="216"/>
      <w:bookmarkEnd w:id="217"/>
      <w:bookmarkEnd w:id="218"/>
      <w:bookmarkEnd w:id="219"/>
      <w:bookmarkEnd w:id="220"/>
      <w:r>
        <w:rPr>
          <w:rFonts w:hint="eastAsia" w:ascii="宋体" w:hAnsi="宋体" w:cs="宋体"/>
          <w:color w:val="000000"/>
        </w:rPr>
        <w:t>（不召开）</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1.10.1 投标人须知前附表规定召开投标预备会的，采购人按投标人须知前附表规定的时间和地点召开投标预备会，澄清投标人提出的问题。</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1.10.2 投标人应在投标人须知前附表规定的时间前，以书面形式将提出的问题送达采购人，以便采购人在会议期间澄清。</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1.10.3 投标预备会后，采购人在投标人须知前附表规定的时间内，将对投标人所提问题的澄清，以书面形式通知所有获取招标文件的投标人。该澄清内容为招标文件的组成部分。</w:t>
      </w:r>
    </w:p>
    <w:p>
      <w:pPr>
        <w:pStyle w:val="4"/>
        <w:keepNext w:val="0"/>
        <w:keepLines w:val="0"/>
        <w:spacing w:line="240" w:lineRule="auto"/>
        <w:rPr>
          <w:rFonts w:ascii="宋体" w:hAnsi="宋体" w:cs="宋体"/>
          <w:color w:val="000000"/>
        </w:rPr>
      </w:pPr>
      <w:bookmarkStart w:id="221" w:name="_Toc18907"/>
      <w:bookmarkStart w:id="222" w:name="_Toc29701"/>
      <w:bookmarkStart w:id="223" w:name="_Toc453756906"/>
      <w:bookmarkStart w:id="224" w:name="_Toc21109"/>
      <w:bookmarkStart w:id="225" w:name="_Toc20216"/>
      <w:bookmarkStart w:id="226" w:name="_Toc12226"/>
      <w:bookmarkStart w:id="227" w:name="_Toc19653"/>
      <w:r>
        <w:rPr>
          <w:rFonts w:hint="eastAsia" w:ascii="宋体" w:hAnsi="宋体" w:cs="宋体"/>
          <w:color w:val="000000"/>
        </w:rPr>
        <w:t>1.11 偏离</w:t>
      </w:r>
      <w:bookmarkEnd w:id="221"/>
      <w:bookmarkEnd w:id="222"/>
      <w:bookmarkEnd w:id="223"/>
      <w:bookmarkEnd w:id="224"/>
      <w:bookmarkEnd w:id="225"/>
      <w:bookmarkEnd w:id="226"/>
      <w:bookmarkEnd w:id="227"/>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不允许。</w:t>
      </w:r>
    </w:p>
    <w:p>
      <w:pPr>
        <w:pStyle w:val="3"/>
        <w:keepNext w:val="0"/>
        <w:keepLines w:val="0"/>
        <w:spacing w:line="240" w:lineRule="auto"/>
        <w:rPr>
          <w:rFonts w:ascii="宋体" w:hAnsi="宋体" w:eastAsia="宋体" w:cs="宋体"/>
          <w:color w:val="000000"/>
        </w:rPr>
      </w:pPr>
      <w:bookmarkStart w:id="228" w:name="_Toc5470"/>
      <w:bookmarkStart w:id="229" w:name="_Toc4115"/>
      <w:bookmarkStart w:id="230" w:name="_Toc247085701"/>
      <w:bookmarkStart w:id="231" w:name="_Toc152045542"/>
      <w:bookmarkStart w:id="232" w:name="_Toc179632560"/>
      <w:bookmarkStart w:id="233" w:name="_Toc453756907"/>
      <w:bookmarkStart w:id="234" w:name="_Toc29075"/>
      <w:bookmarkStart w:id="235" w:name="_Toc9301"/>
      <w:bookmarkStart w:id="236" w:name="_Toc144974510"/>
      <w:bookmarkStart w:id="237" w:name="_Toc246996187"/>
      <w:bookmarkStart w:id="238" w:name="_Toc246996930"/>
      <w:bookmarkStart w:id="239" w:name="_Toc346"/>
      <w:bookmarkStart w:id="240" w:name="_Toc23100"/>
      <w:bookmarkStart w:id="241" w:name="_Toc152042318"/>
      <w:r>
        <w:rPr>
          <w:rFonts w:hint="eastAsia" w:ascii="宋体" w:hAnsi="宋体" w:eastAsia="宋体" w:cs="宋体"/>
          <w:color w:val="000000"/>
        </w:rPr>
        <w:t>2. 招标文件</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pPr>
        <w:pStyle w:val="4"/>
        <w:keepNext w:val="0"/>
        <w:keepLines w:val="0"/>
        <w:spacing w:line="240" w:lineRule="auto"/>
        <w:rPr>
          <w:rFonts w:ascii="宋体" w:hAnsi="宋体" w:cs="宋体"/>
          <w:color w:val="000000"/>
        </w:rPr>
      </w:pPr>
      <w:bookmarkStart w:id="242" w:name="_Toc18933"/>
      <w:bookmarkStart w:id="243" w:name="_Toc30454"/>
      <w:bookmarkStart w:id="244" w:name="_Toc247085702"/>
      <w:bookmarkStart w:id="245" w:name="_Toc453756908"/>
      <w:bookmarkStart w:id="246" w:name="_Toc30544"/>
      <w:bookmarkStart w:id="247" w:name="_Toc2379"/>
      <w:bookmarkStart w:id="248" w:name="_Toc3613"/>
      <w:bookmarkStart w:id="249" w:name="_Toc25187"/>
      <w:bookmarkStart w:id="250" w:name="_Toc246996931"/>
      <w:bookmarkStart w:id="251" w:name="_Toc152045543"/>
      <w:bookmarkStart w:id="252" w:name="_Toc246996188"/>
      <w:bookmarkStart w:id="253" w:name="_Toc152042319"/>
      <w:bookmarkStart w:id="254" w:name="_Toc179632561"/>
      <w:bookmarkStart w:id="255" w:name="_Toc144974511"/>
      <w:r>
        <w:rPr>
          <w:rFonts w:hint="eastAsia" w:ascii="宋体" w:hAnsi="宋体" w:cs="宋体"/>
          <w:color w:val="000000"/>
        </w:rPr>
        <w:t>2.1 招标文件的组成</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pPr>
        <w:spacing w:line="500" w:lineRule="exact"/>
        <w:ind w:firstLine="660" w:firstLineChars="300"/>
        <w:rPr>
          <w:rFonts w:ascii="宋体" w:hAnsi="宋体" w:cs="宋体"/>
          <w:color w:val="000000"/>
          <w:sz w:val="22"/>
          <w:szCs w:val="28"/>
        </w:rPr>
      </w:pPr>
      <w:r>
        <w:rPr>
          <w:rFonts w:hint="eastAsia" w:ascii="宋体" w:hAnsi="宋体" w:cs="宋体"/>
          <w:color w:val="000000"/>
          <w:sz w:val="22"/>
          <w:szCs w:val="28"/>
        </w:rPr>
        <w:t>2.1.1 本招标文件包括：</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（1）招标公告（或投标邀请书）；</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（2）投标人须知；</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（3）评标办法；</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（4）合同条款及格式；</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（5）采购需求；</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 xml:space="preserve">（6）投标文件格式。 </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2.1.2 根据本章第1.10款、第2.2款和第2.3款对招标文件所作的澄清、修改，构成招标文件的组成部分。</w:t>
      </w:r>
    </w:p>
    <w:p>
      <w:pPr>
        <w:pStyle w:val="4"/>
        <w:keepNext w:val="0"/>
        <w:keepLines w:val="0"/>
        <w:spacing w:line="240" w:lineRule="auto"/>
        <w:rPr>
          <w:rFonts w:ascii="宋体" w:hAnsi="宋体" w:cs="宋体"/>
          <w:color w:val="000000"/>
        </w:rPr>
      </w:pPr>
      <w:bookmarkStart w:id="256" w:name="_Toc5138"/>
      <w:bookmarkStart w:id="257" w:name="_Toc152042320"/>
      <w:bookmarkStart w:id="258" w:name="_Toc453756909"/>
      <w:bookmarkStart w:id="259" w:name="_Toc152045544"/>
      <w:bookmarkStart w:id="260" w:name="_Toc247085703"/>
      <w:bookmarkStart w:id="261" w:name="_Toc246996932"/>
      <w:bookmarkStart w:id="262" w:name="_Toc179632562"/>
      <w:bookmarkStart w:id="263" w:name="_Toc7976"/>
      <w:bookmarkStart w:id="264" w:name="_Toc26078"/>
      <w:bookmarkStart w:id="265" w:name="_Toc10685"/>
      <w:bookmarkStart w:id="266" w:name="_Toc26703"/>
      <w:bookmarkStart w:id="267" w:name="_Toc144974512"/>
      <w:bookmarkStart w:id="268" w:name="_Toc29768"/>
      <w:bookmarkStart w:id="269" w:name="_Toc246996189"/>
      <w:r>
        <w:rPr>
          <w:rFonts w:hint="eastAsia" w:ascii="宋体" w:hAnsi="宋体" w:cs="宋体"/>
          <w:color w:val="000000"/>
        </w:rPr>
        <w:t>2.2 招标文件的澄清</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rPr>
          <w:rFonts w:hint="eastAsia" w:ascii="宋体" w:hAnsi="宋体" w:cs="宋体"/>
          <w:color w:val="000000"/>
        </w:rPr>
        <w:t xml:space="preserve"> </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2.2.1 投标人应仔细阅读和检查招标文件的全部内容。如发现缺页或附件不全，应及时向采购人提出，以便补齐。如有疑问，应在投标人须知前附表规定的时间前在政府采购云平台要求采购人对招标文件予以澄清，同时拨打代理机构电话进行确认。</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 xml:space="preserve">2.2.2 招标文件的澄清将在政府采购云平台发给所有获取招标文件的投标人，但不指明澄清问题的来源。如果澄清发出的时间距投标人须知前附表规定的投标截止时间不足15天，并且澄清内容影响投标文件编制的，将相应延长投标截止时间。 </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2.2.3 投标人在收到澄清后，应在投标人须知前附表规定的时间内在政府采购云平台通知采购人，确认已收到该澄清。</w:t>
      </w:r>
    </w:p>
    <w:p>
      <w:pPr>
        <w:pStyle w:val="4"/>
        <w:keepNext w:val="0"/>
        <w:keepLines w:val="0"/>
        <w:spacing w:line="240" w:lineRule="auto"/>
        <w:rPr>
          <w:rFonts w:ascii="宋体" w:hAnsi="宋体" w:cs="宋体"/>
          <w:color w:val="000000"/>
        </w:rPr>
      </w:pPr>
      <w:bookmarkStart w:id="270" w:name="_Toc144974513"/>
      <w:bookmarkStart w:id="271" w:name="_Toc14891"/>
      <w:bookmarkStart w:id="272" w:name="_Toc32735"/>
      <w:bookmarkStart w:id="273" w:name="_Toc179632563"/>
      <w:bookmarkStart w:id="274" w:name="_Toc246996933"/>
      <w:bookmarkStart w:id="275" w:name="_Toc246996190"/>
      <w:bookmarkStart w:id="276" w:name="_Toc31926"/>
      <w:bookmarkStart w:id="277" w:name="_Toc152045545"/>
      <w:bookmarkStart w:id="278" w:name="_Toc247085704"/>
      <w:bookmarkStart w:id="279" w:name="_Toc28733"/>
      <w:bookmarkStart w:id="280" w:name="_Toc13500"/>
      <w:bookmarkStart w:id="281" w:name="_Toc15781"/>
      <w:bookmarkStart w:id="282" w:name="_Toc453756910"/>
      <w:bookmarkStart w:id="283" w:name="_Toc152042321"/>
      <w:r>
        <w:rPr>
          <w:rFonts w:hint="eastAsia" w:ascii="宋体" w:hAnsi="宋体" w:cs="宋体"/>
          <w:color w:val="000000"/>
        </w:rPr>
        <w:t>2.3 招标文件的修改</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2.3.1采购人可以在政府采购云平台修改招标文件，并通知所有已获取招标文件的投标人。但如果修改招标文件的时间距投标截止时间不足15天，并且修改内容影响投标文件编制的，将相应延长投标截止时间。</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2.3.2 投标人收到修改内容后，应在投标人须知前附表规定的时间内在政府采购云平台通知采购人，确认已收到该修改。</w:t>
      </w:r>
    </w:p>
    <w:p>
      <w:pPr>
        <w:pStyle w:val="3"/>
        <w:keepNext w:val="0"/>
        <w:keepLines w:val="0"/>
        <w:spacing w:line="240" w:lineRule="auto"/>
        <w:rPr>
          <w:rFonts w:ascii="宋体" w:hAnsi="宋体" w:eastAsia="宋体" w:cs="宋体"/>
          <w:color w:val="000000"/>
        </w:rPr>
      </w:pPr>
      <w:bookmarkStart w:id="284" w:name="_Toc453756911"/>
      <w:bookmarkStart w:id="285" w:name="_Toc152045546"/>
      <w:bookmarkStart w:id="286" w:name="_Toc14031"/>
      <w:bookmarkStart w:id="287" w:name="_Toc246996191"/>
      <w:bookmarkStart w:id="288" w:name="_Toc247085705"/>
      <w:bookmarkStart w:id="289" w:name="_Toc20316"/>
      <w:bookmarkStart w:id="290" w:name="_Toc21853"/>
      <w:bookmarkStart w:id="291" w:name="_Toc144974514"/>
      <w:bookmarkStart w:id="292" w:name="_Toc26852"/>
      <w:bookmarkStart w:id="293" w:name="_Toc246996934"/>
      <w:bookmarkStart w:id="294" w:name="_Toc32746"/>
      <w:bookmarkStart w:id="295" w:name="_Toc152042322"/>
      <w:bookmarkStart w:id="296" w:name="_Toc9826"/>
      <w:bookmarkStart w:id="297" w:name="_Toc179632564"/>
      <w:r>
        <w:rPr>
          <w:rFonts w:hint="eastAsia" w:ascii="宋体" w:hAnsi="宋体" w:eastAsia="宋体" w:cs="宋体"/>
          <w:color w:val="000000"/>
        </w:rPr>
        <w:t>3. 投标文件</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pPr>
        <w:pStyle w:val="4"/>
        <w:keepNext w:val="0"/>
        <w:keepLines w:val="0"/>
        <w:spacing w:line="240" w:lineRule="auto"/>
        <w:rPr>
          <w:rFonts w:ascii="宋体" w:hAnsi="宋体" w:cs="宋体"/>
          <w:color w:val="000000"/>
        </w:rPr>
      </w:pPr>
      <w:bookmarkStart w:id="298" w:name="_Toc246996935"/>
      <w:bookmarkStart w:id="299" w:name="_Toc247085706"/>
      <w:bookmarkStart w:id="300" w:name="_Toc30255"/>
      <w:bookmarkStart w:id="301" w:name="_Toc152042323"/>
      <w:bookmarkStart w:id="302" w:name="_Toc152045547"/>
      <w:bookmarkStart w:id="303" w:name="_Toc4405"/>
      <w:bookmarkStart w:id="304" w:name="_Toc179632565"/>
      <w:bookmarkStart w:id="305" w:name="_Toc17211"/>
      <w:bookmarkStart w:id="306" w:name="_Toc144974515"/>
      <w:bookmarkStart w:id="307" w:name="_Toc9554"/>
      <w:bookmarkStart w:id="308" w:name="_Toc4486"/>
      <w:bookmarkStart w:id="309" w:name="_Toc9917"/>
      <w:bookmarkStart w:id="310" w:name="_Toc453756912"/>
      <w:bookmarkStart w:id="311" w:name="_Toc246996192"/>
      <w:r>
        <w:rPr>
          <w:rFonts w:hint="eastAsia" w:ascii="宋体" w:hAnsi="宋体" w:cs="宋体"/>
          <w:color w:val="000000"/>
        </w:rPr>
        <w:t>3.1 投标文件的组成</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投标文件应包括下列内容：</w:t>
      </w:r>
    </w:p>
    <w:p>
      <w:pPr>
        <w:spacing w:line="500" w:lineRule="exact"/>
        <w:ind w:firstLine="440" w:firstLineChars="200"/>
        <w:rPr>
          <w:rFonts w:ascii="宋体" w:hAnsi="宋体" w:cs="宋体"/>
          <w:color w:val="000000"/>
          <w:sz w:val="22"/>
          <w:szCs w:val="28"/>
        </w:rPr>
      </w:pPr>
      <w:bookmarkStart w:id="312" w:name="_Toc22921"/>
      <w:bookmarkStart w:id="313" w:name="_Toc10624"/>
      <w:bookmarkStart w:id="314" w:name="_Toc246996193"/>
      <w:bookmarkStart w:id="315" w:name="_Toc26594"/>
      <w:bookmarkStart w:id="316" w:name="_Toc179632566"/>
      <w:bookmarkStart w:id="317" w:name="_Toc29229"/>
      <w:bookmarkStart w:id="318" w:name="_Toc246996936"/>
      <w:bookmarkStart w:id="319" w:name="_Toc247085707"/>
      <w:bookmarkStart w:id="320" w:name="_Toc15471"/>
      <w:bookmarkStart w:id="321" w:name="_Toc152042324"/>
      <w:bookmarkStart w:id="322" w:name="_Toc144974516"/>
      <w:bookmarkStart w:id="323" w:name="_Toc152045548"/>
      <w:bookmarkStart w:id="324" w:name="_Toc453756913"/>
      <w:bookmarkStart w:id="325" w:name="_Toc29747"/>
      <w:r>
        <w:rPr>
          <w:rFonts w:hint="eastAsia" w:ascii="宋体" w:hAnsi="宋体" w:cs="宋体"/>
          <w:color w:val="000000"/>
          <w:sz w:val="22"/>
          <w:szCs w:val="28"/>
        </w:rPr>
        <w:t>（1）投标函</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（2）法定代表人身份证明</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（3）授权委托书</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（4）投标保证金</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（5）开标一览表</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w:t>
      </w:r>
      <w:r>
        <w:rPr>
          <w:rFonts w:hint="eastAsia" w:ascii="宋体" w:hAnsi="宋体" w:cs="宋体"/>
          <w:color w:val="000000"/>
          <w:sz w:val="22"/>
          <w:szCs w:val="28"/>
          <w:lang w:val="en-US" w:eastAsia="zh-CN"/>
        </w:rPr>
        <w:t>6</w:t>
      </w:r>
      <w:r>
        <w:rPr>
          <w:rFonts w:hint="eastAsia" w:ascii="宋体" w:hAnsi="宋体" w:cs="宋体"/>
          <w:color w:val="000000"/>
          <w:sz w:val="22"/>
          <w:szCs w:val="28"/>
        </w:rPr>
        <w:t>）服务方案</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w:t>
      </w:r>
      <w:r>
        <w:rPr>
          <w:rFonts w:hint="eastAsia" w:ascii="宋体" w:hAnsi="宋体" w:cs="宋体"/>
          <w:color w:val="000000"/>
          <w:sz w:val="22"/>
          <w:szCs w:val="28"/>
          <w:lang w:val="en-US" w:eastAsia="zh-CN"/>
        </w:rPr>
        <w:t>7</w:t>
      </w:r>
      <w:r>
        <w:rPr>
          <w:rFonts w:hint="eastAsia" w:ascii="宋体" w:hAnsi="宋体" w:cs="宋体"/>
          <w:color w:val="000000"/>
          <w:sz w:val="22"/>
          <w:szCs w:val="28"/>
        </w:rPr>
        <w:t>）项目管理机构</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w:t>
      </w:r>
      <w:r>
        <w:rPr>
          <w:rFonts w:hint="eastAsia" w:ascii="宋体" w:hAnsi="宋体" w:cs="宋体"/>
          <w:color w:val="000000"/>
          <w:sz w:val="22"/>
          <w:szCs w:val="28"/>
          <w:lang w:val="en-US" w:eastAsia="zh-CN"/>
        </w:rPr>
        <w:t>8</w:t>
      </w:r>
      <w:r>
        <w:rPr>
          <w:rFonts w:hint="eastAsia" w:ascii="宋体" w:hAnsi="宋体" w:cs="宋体"/>
          <w:color w:val="000000"/>
          <w:sz w:val="22"/>
          <w:szCs w:val="28"/>
        </w:rPr>
        <w:t>）资格审查资料</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w:t>
      </w:r>
      <w:r>
        <w:rPr>
          <w:rFonts w:hint="eastAsia" w:ascii="宋体" w:hAnsi="宋体" w:cs="宋体"/>
          <w:color w:val="000000"/>
          <w:sz w:val="22"/>
          <w:szCs w:val="28"/>
          <w:lang w:val="en-US" w:eastAsia="zh-CN"/>
        </w:rPr>
        <w:t>9</w:t>
      </w:r>
      <w:r>
        <w:rPr>
          <w:rFonts w:hint="eastAsia" w:ascii="宋体" w:hAnsi="宋体" w:cs="宋体"/>
          <w:color w:val="000000"/>
          <w:sz w:val="22"/>
          <w:szCs w:val="28"/>
        </w:rPr>
        <w:t>）其他材料</w:t>
      </w:r>
    </w:p>
    <w:p>
      <w:pPr>
        <w:pStyle w:val="4"/>
        <w:keepNext w:val="0"/>
        <w:keepLines w:val="0"/>
        <w:spacing w:line="240" w:lineRule="auto"/>
        <w:rPr>
          <w:rFonts w:ascii="宋体" w:hAnsi="宋体" w:cs="宋体"/>
          <w:color w:val="000000"/>
          <w:sz w:val="21"/>
          <w:szCs w:val="21"/>
        </w:rPr>
      </w:pPr>
      <w:r>
        <w:rPr>
          <w:rFonts w:hint="eastAsia" w:ascii="宋体" w:hAnsi="宋体" w:cs="宋体"/>
          <w:color w:val="000000"/>
        </w:rPr>
        <w:t>3.2 投标报价</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3.2.1 投标人应按第六章“投标文件格式”的要求填写相应表格。投标报价为项目涉及全部内容价格（包含服务、税务发票等所有费用）。</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 xml:space="preserve">3.2.2 </w:t>
      </w:r>
      <w:bookmarkStart w:id="326" w:name="_Toc179632567"/>
      <w:bookmarkStart w:id="327" w:name="_Toc152045549"/>
      <w:bookmarkStart w:id="328" w:name="_Toc144974517"/>
      <w:bookmarkStart w:id="329" w:name="_Toc152042325"/>
      <w:r>
        <w:rPr>
          <w:rFonts w:hint="eastAsia" w:ascii="宋体" w:hAnsi="宋体" w:cs="宋体"/>
          <w:color w:val="000000"/>
          <w:sz w:val="22"/>
          <w:szCs w:val="28"/>
        </w:rPr>
        <w:t>投标人在投标截止时间前修改投标函中的投标报价总额，应同时修改“投标报价表”中的相应报价，投标报价总额为各分项金额之和。此修改须符合本章第4.3款的有关要求。</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3.2.3 采购人设有采购预算的，投标人的投标报价不得超过采购预算，采购预算或其计算方法在投标人须知前附表中载明。</w:t>
      </w:r>
    </w:p>
    <w:p>
      <w:pPr>
        <w:pStyle w:val="4"/>
        <w:keepNext w:val="0"/>
        <w:keepLines w:val="0"/>
        <w:spacing w:line="240" w:lineRule="auto"/>
        <w:rPr>
          <w:rFonts w:ascii="宋体" w:hAnsi="宋体" w:cs="宋体"/>
          <w:color w:val="000000"/>
        </w:rPr>
      </w:pPr>
      <w:bookmarkStart w:id="330" w:name="_Toc453756914"/>
      <w:bookmarkStart w:id="331" w:name="_Toc246996937"/>
      <w:bookmarkStart w:id="332" w:name="_Toc246996194"/>
      <w:bookmarkStart w:id="333" w:name="_Toc23489"/>
      <w:bookmarkStart w:id="334" w:name="_Toc16148"/>
      <w:bookmarkStart w:id="335" w:name="_Toc247085708"/>
      <w:bookmarkStart w:id="336" w:name="_Toc23858"/>
      <w:bookmarkStart w:id="337" w:name="_Toc8904"/>
      <w:bookmarkStart w:id="338" w:name="_Toc24444"/>
      <w:bookmarkStart w:id="339" w:name="_Toc28941"/>
      <w:r>
        <w:rPr>
          <w:rFonts w:hint="eastAsia" w:ascii="宋体" w:hAnsi="宋体" w:cs="宋体"/>
          <w:color w:val="000000"/>
        </w:rPr>
        <w:t>3.3 投标有效期</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3.3.1投标有效期为投标截止之日起90日历天。</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3.3.2在投标有效期内，投标人撤销或修改其投标文件的，应承担招标文件和法律规定的责任。</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3.3.3出现特殊情况需要延长投标有效期的，采购人以书面形式通知所有投标人延长投标有效期。投标人同意延长的，应相应延长其投标保证金的有效期，但不得要求或被允许修改或撤销其投标文件；投标人拒绝延长的，其投标失效。</w:t>
      </w:r>
    </w:p>
    <w:p>
      <w:pPr>
        <w:pStyle w:val="4"/>
        <w:keepNext w:val="0"/>
        <w:keepLines w:val="0"/>
        <w:spacing w:line="240" w:lineRule="auto"/>
        <w:rPr>
          <w:rFonts w:ascii="宋体" w:hAnsi="宋体" w:cs="宋体"/>
          <w:color w:val="000000"/>
        </w:rPr>
      </w:pPr>
      <w:bookmarkStart w:id="340" w:name="_Toc247085709"/>
      <w:bookmarkStart w:id="341" w:name="_Toc152042326"/>
      <w:bookmarkStart w:id="342" w:name="_Toc179632568"/>
      <w:bookmarkStart w:id="343" w:name="_Toc144974518"/>
      <w:bookmarkStart w:id="344" w:name="_Toc453756915"/>
      <w:bookmarkStart w:id="345" w:name="_Toc152045550"/>
      <w:bookmarkStart w:id="346" w:name="_Toc16479"/>
      <w:bookmarkStart w:id="347" w:name="_Toc7314"/>
      <w:bookmarkStart w:id="348" w:name="_Toc18540"/>
      <w:bookmarkStart w:id="349" w:name="_Toc246996938"/>
      <w:bookmarkStart w:id="350" w:name="_Toc30288"/>
      <w:bookmarkStart w:id="351" w:name="_Toc26908"/>
      <w:bookmarkStart w:id="352" w:name="_Toc246996195"/>
      <w:bookmarkStart w:id="353" w:name="_Toc27337"/>
      <w:r>
        <w:rPr>
          <w:rFonts w:hint="eastAsia" w:ascii="宋体" w:hAnsi="宋体" w:cs="宋体"/>
          <w:color w:val="000000"/>
        </w:rPr>
        <w:t>3.4 投标保证金</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3.4.1 投标人须知前附表规定递交投标保证金的，投标人在递交投标文件的同时，应按投标人须知前附表规定的金额、担保形式和第六章“投标文件格式”规定的或者事先经过采购人认可的投标保证金格式递交投标保证金，并作为其投标文件的组成部分。</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3.4.2 投标人不按本章第3.4.1项要求提交投标保证金的，评标委员会将否决其投标。</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3.4.3 采购人在中标公示期结束后十日内返还未中标投标单位的投标保证金，在签订合同后五日内返还中标人的投标保证金。未中标单位的投标保函原件在中标公示期结束后十日内返还，中标人的投标保函原件在签订合同后五日内返还。</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 xml:space="preserve">3.4.4 有下列情形之一的，投标保证金将不予退还： </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（1）投标人在投标有效期内撤销投标文件的；</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（2）中标通知书发出后，中标人无故放弃中标项目或无正当理由在规定时间内不与采购人签订合同的；</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（3）其他违反法律法规的情况。</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3.4.5 投标人采取保函方式交纳投标保证金的，如违反3.4.4条规定，采购人将不予退还投标保函，由出具保函的机构依法有关规定，将投标保证金转入采购人基本帐户。</w:t>
      </w:r>
    </w:p>
    <w:p>
      <w:pPr>
        <w:pStyle w:val="4"/>
        <w:keepNext w:val="0"/>
        <w:keepLines w:val="0"/>
        <w:spacing w:line="240" w:lineRule="auto"/>
        <w:rPr>
          <w:rFonts w:ascii="宋体" w:hAnsi="宋体" w:cs="宋体"/>
          <w:color w:val="000000"/>
        </w:rPr>
      </w:pPr>
      <w:bookmarkStart w:id="354" w:name="_Toc12974"/>
      <w:bookmarkStart w:id="355" w:name="_Toc15528"/>
      <w:bookmarkStart w:id="356" w:name="_Toc27924"/>
      <w:bookmarkStart w:id="357" w:name="_Toc246996939"/>
      <w:bookmarkStart w:id="358" w:name="_Toc179632570"/>
      <w:bookmarkStart w:id="359" w:name="_Toc247085710"/>
      <w:bookmarkStart w:id="360" w:name="_Toc152045552"/>
      <w:bookmarkStart w:id="361" w:name="_Toc24430"/>
      <w:bookmarkStart w:id="362" w:name="_Toc31070"/>
      <w:bookmarkStart w:id="363" w:name="_Toc144974520"/>
      <w:bookmarkStart w:id="364" w:name="_Toc453756916"/>
      <w:bookmarkStart w:id="365" w:name="_Toc246996196"/>
      <w:bookmarkStart w:id="366" w:name="_Toc32650"/>
      <w:bookmarkStart w:id="367" w:name="_Toc152042328"/>
      <w:r>
        <w:rPr>
          <w:rFonts w:hint="eastAsia" w:ascii="宋体" w:hAnsi="宋体" w:cs="宋体"/>
          <w:color w:val="000000"/>
        </w:rPr>
        <w:t>3.5 资格审查资料</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3.5.1 “投标人基本情况表”应附投标人营业执照及其年检合格的证明材料等材料的复印件。</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3.5.2 “近年财务状况”，投标单位应按照《长春市财政局关于加强政府采购信用体系建设简化供应商资格条件有关事项的通知》（长财采购〔2022〕2066号）文件要求，在投标文件中提交反映其财务状况、依法缴纳税收和社保保障资金情况的资格条件承诺函，并对资格条件承诺函有关内容的真实性、有效性、合法性负责。</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3.5.3 “近年完成的类似项目情况表”应附中标通知书或合同协议书或复印件，具体年份要求见投标人须知前附表。每张表格只填写一个项目，并标明序号。</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3.5.4 “正在实施和新承接的项目情况表”应附中标通知书或合同协议书复印件。每张表格只填写一个项目，并标明序号。</w:t>
      </w:r>
    </w:p>
    <w:p>
      <w:pPr>
        <w:pStyle w:val="4"/>
        <w:keepNext w:val="0"/>
        <w:keepLines w:val="0"/>
        <w:spacing w:line="240" w:lineRule="auto"/>
        <w:rPr>
          <w:rFonts w:ascii="宋体" w:hAnsi="宋体" w:cs="宋体"/>
          <w:color w:val="000000"/>
        </w:rPr>
      </w:pPr>
      <w:bookmarkStart w:id="368" w:name="_Toc16435"/>
      <w:bookmarkStart w:id="369" w:name="_Toc6629"/>
      <w:bookmarkStart w:id="370" w:name="_Toc12108"/>
      <w:bookmarkStart w:id="371" w:name="_Toc453756917"/>
      <w:bookmarkStart w:id="372" w:name="_Toc24576"/>
      <w:bookmarkStart w:id="373" w:name="_Toc21065"/>
      <w:bookmarkStart w:id="374" w:name="_Toc14495"/>
      <w:bookmarkStart w:id="375" w:name="_Toc144974521"/>
      <w:bookmarkStart w:id="376" w:name="_Toc246996940"/>
      <w:bookmarkStart w:id="377" w:name="_Toc247085711"/>
      <w:bookmarkStart w:id="378" w:name="_Toc152042329"/>
      <w:bookmarkStart w:id="379" w:name="_Toc152045553"/>
      <w:bookmarkStart w:id="380" w:name="_Toc246996197"/>
      <w:bookmarkStart w:id="381" w:name="_Toc179632571"/>
      <w:r>
        <w:rPr>
          <w:rFonts w:hint="eastAsia" w:ascii="宋体" w:hAnsi="宋体" w:cs="宋体"/>
          <w:color w:val="000000"/>
        </w:rPr>
        <w:t>3.6投标文件的编制</w:t>
      </w:r>
      <w:bookmarkEnd w:id="368"/>
      <w:bookmarkEnd w:id="369"/>
      <w:bookmarkEnd w:id="370"/>
      <w:bookmarkEnd w:id="371"/>
      <w:bookmarkEnd w:id="372"/>
      <w:bookmarkEnd w:id="373"/>
      <w:bookmarkEnd w:id="374"/>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3.6.1投标文件应按第六章“投标文件格式”进行编写，如有必要，可以增加附页，作为投标文件的组成部分。其中，投标函附录在满足招标文件实质性要求的基础上，可以提出比招标文件要求更有利于采购人的承诺。</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3.6.2 投标文件应当对招标文件有关服务内容、投标有效期、质量标准、采购需求、招标范围等实质性内容作出响应。</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3.6.3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3.6.4 投标文件正本一份， 副本份数见投标人须知前附表。正本和副本的封面上应清楚地标记“正本”或“副本”的字样。当副本和正本不一致时，以正本为准。</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3.6.5 投标文件的正本与副本应分别装订成册，具体装订要求见投标人须知前附表规定。</w:t>
      </w:r>
      <w:bookmarkEnd w:id="375"/>
      <w:bookmarkEnd w:id="376"/>
      <w:bookmarkEnd w:id="377"/>
      <w:bookmarkEnd w:id="378"/>
      <w:bookmarkEnd w:id="379"/>
      <w:bookmarkEnd w:id="380"/>
      <w:bookmarkEnd w:id="381"/>
      <w:bookmarkStart w:id="382" w:name="_Toc247085713"/>
      <w:bookmarkStart w:id="383" w:name="_Toc144974523"/>
      <w:bookmarkStart w:id="384" w:name="_Toc179632573"/>
      <w:bookmarkStart w:id="385" w:name="_Toc246996199"/>
      <w:bookmarkStart w:id="386" w:name="_Toc152042331"/>
      <w:bookmarkStart w:id="387" w:name="_Toc152045555"/>
      <w:bookmarkStart w:id="388" w:name="_Toc246996942"/>
    </w:p>
    <w:p>
      <w:pPr>
        <w:pStyle w:val="3"/>
        <w:keepNext w:val="0"/>
        <w:keepLines w:val="0"/>
        <w:spacing w:line="240" w:lineRule="auto"/>
        <w:rPr>
          <w:rFonts w:ascii="宋体" w:hAnsi="宋体" w:eastAsia="宋体" w:cs="宋体"/>
          <w:color w:val="000000"/>
        </w:rPr>
      </w:pPr>
      <w:bookmarkStart w:id="389" w:name="_Toc6927"/>
      <w:bookmarkStart w:id="390" w:name="_Toc8703"/>
      <w:bookmarkStart w:id="391" w:name="_Toc453756918"/>
      <w:bookmarkStart w:id="392" w:name="_Toc5597"/>
      <w:bookmarkStart w:id="393" w:name="_Toc21535"/>
      <w:bookmarkStart w:id="394" w:name="_Toc4466"/>
      <w:bookmarkStart w:id="395" w:name="_Toc16901"/>
      <w:r>
        <w:rPr>
          <w:rFonts w:hint="eastAsia" w:ascii="宋体" w:hAnsi="宋体" w:eastAsia="宋体" w:cs="宋体"/>
          <w:color w:val="000000"/>
        </w:rPr>
        <w:t>4. 投标</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pPr>
        <w:pStyle w:val="4"/>
        <w:keepNext w:val="0"/>
        <w:keepLines w:val="0"/>
        <w:spacing w:line="240" w:lineRule="auto"/>
        <w:rPr>
          <w:rFonts w:ascii="宋体" w:hAnsi="宋体" w:cs="宋体"/>
          <w:color w:val="000000"/>
        </w:rPr>
      </w:pPr>
      <w:bookmarkStart w:id="396" w:name="_Toc31201"/>
      <w:bookmarkStart w:id="397" w:name="_Toc247085714"/>
      <w:bookmarkStart w:id="398" w:name="_Toc246996200"/>
      <w:bookmarkStart w:id="399" w:name="_Toc179632574"/>
      <w:bookmarkStart w:id="400" w:name="_Toc3749"/>
      <w:bookmarkStart w:id="401" w:name="_Toc152045556"/>
      <w:bookmarkStart w:id="402" w:name="_Toc144974524"/>
      <w:bookmarkStart w:id="403" w:name="_Toc20561"/>
      <w:bookmarkStart w:id="404" w:name="_Toc4191"/>
      <w:bookmarkStart w:id="405" w:name="_Toc152042332"/>
      <w:bookmarkStart w:id="406" w:name="_Toc9902"/>
      <w:bookmarkStart w:id="407" w:name="_Toc453756919"/>
      <w:bookmarkStart w:id="408" w:name="_Toc13060"/>
      <w:bookmarkStart w:id="409" w:name="_Toc246996943"/>
      <w:r>
        <w:rPr>
          <w:rFonts w:hint="eastAsia" w:ascii="宋体" w:hAnsi="宋体" w:cs="宋体"/>
          <w:color w:val="000000"/>
        </w:rPr>
        <w:t>4.1 纸质投标文件的密封和标记</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pPr>
        <w:spacing w:line="500" w:lineRule="exact"/>
        <w:ind w:firstLine="440" w:firstLineChars="200"/>
        <w:rPr>
          <w:rFonts w:ascii="宋体" w:hAnsi="宋体" w:cs="宋体"/>
          <w:color w:val="000000"/>
          <w:sz w:val="22"/>
          <w:szCs w:val="28"/>
        </w:rPr>
      </w:pPr>
      <w:bookmarkStart w:id="410" w:name="_Toc246996201"/>
      <w:bookmarkStart w:id="411" w:name="_Toc152042333"/>
      <w:bookmarkStart w:id="412" w:name="_Toc247085715"/>
      <w:bookmarkStart w:id="413" w:name="_Toc152045557"/>
      <w:bookmarkStart w:id="414" w:name="_Toc179632575"/>
      <w:bookmarkStart w:id="415" w:name="_Toc144974525"/>
      <w:bookmarkStart w:id="416" w:name="_Toc246996944"/>
      <w:r>
        <w:rPr>
          <w:rFonts w:hint="eastAsia" w:ascii="宋体" w:hAnsi="宋体" w:cs="宋体"/>
          <w:color w:val="000000"/>
          <w:sz w:val="22"/>
          <w:szCs w:val="28"/>
        </w:rPr>
        <w:t>4.1.1 投标文件正本、副本应密封包装在一起并加贴封条，在封套的封口处加盖投标人单位章。</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4.1.2 投标文件封套上应写明的内容见投标人须知前附表。</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4.1.3 未按本章第4.1.1项或第4.1.2项要求密封和加写标记的投标文件，采购人应予拒收。</w:t>
      </w:r>
    </w:p>
    <w:p>
      <w:pPr>
        <w:pStyle w:val="4"/>
        <w:keepNext w:val="0"/>
        <w:keepLines w:val="0"/>
        <w:spacing w:line="240" w:lineRule="auto"/>
        <w:rPr>
          <w:rFonts w:ascii="宋体" w:hAnsi="宋体" w:cs="宋体"/>
          <w:color w:val="000000"/>
        </w:rPr>
      </w:pPr>
      <w:bookmarkStart w:id="417" w:name="_Toc32107"/>
      <w:bookmarkStart w:id="418" w:name="_Toc23987"/>
      <w:bookmarkStart w:id="419" w:name="_Toc1164"/>
      <w:bookmarkStart w:id="420" w:name="_Toc453756920"/>
      <w:bookmarkStart w:id="421" w:name="_Toc14605"/>
      <w:bookmarkStart w:id="422" w:name="_Toc14136"/>
      <w:bookmarkStart w:id="423" w:name="_Toc3027"/>
      <w:r>
        <w:rPr>
          <w:rFonts w:hint="eastAsia" w:ascii="宋体" w:hAnsi="宋体" w:cs="宋体"/>
          <w:color w:val="000000"/>
        </w:rPr>
        <w:t>4.2 投标文件的递交</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4.2.1 投标人应在本章第2.2.2项规定的投标截止时间前递交投标文件。</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4.2.2 投标人递交投标文件的地点：见投标人须知前附表。</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4.2.3 除投标人须知前附表另有规定外，投标人所递交的投标文件不予退还。</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4.2.4 采购人收到投标文件后，向投标人出具签收凭证。</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4.2.5 逾期送达的或者未送达指定地点的投标文件，采购人不予受理。</w:t>
      </w:r>
    </w:p>
    <w:p>
      <w:pPr>
        <w:pStyle w:val="4"/>
        <w:keepNext w:val="0"/>
        <w:keepLines w:val="0"/>
        <w:spacing w:line="240" w:lineRule="auto"/>
        <w:rPr>
          <w:rFonts w:ascii="宋体" w:hAnsi="宋体" w:cs="宋体"/>
          <w:color w:val="000000"/>
        </w:rPr>
      </w:pPr>
      <w:bookmarkStart w:id="424" w:name="_Toc246996202"/>
      <w:bookmarkStart w:id="425" w:name="_Toc3343"/>
      <w:bookmarkStart w:id="426" w:name="_Toc144974526"/>
      <w:bookmarkStart w:id="427" w:name="_Toc2112"/>
      <w:bookmarkStart w:id="428" w:name="_Toc246996945"/>
      <w:bookmarkStart w:id="429" w:name="_Toc453756921"/>
      <w:bookmarkStart w:id="430" w:name="_Toc247085716"/>
      <w:bookmarkStart w:id="431" w:name="_Toc179632576"/>
      <w:bookmarkStart w:id="432" w:name="_Toc152042334"/>
      <w:bookmarkStart w:id="433" w:name="_Toc152045558"/>
      <w:bookmarkStart w:id="434" w:name="_Toc30854"/>
      <w:bookmarkStart w:id="435" w:name="_Toc9562"/>
      <w:bookmarkStart w:id="436" w:name="_Toc19206"/>
      <w:bookmarkStart w:id="437" w:name="_Toc13178"/>
      <w:r>
        <w:rPr>
          <w:rFonts w:hint="eastAsia" w:ascii="宋体" w:hAnsi="宋体" w:cs="宋体"/>
          <w:color w:val="000000"/>
        </w:rPr>
        <w:t>4.3 投标文件的修改与撤回</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4.3.1 在本章第2.2.2项规定的投标截止时间前，投标人可以修改或撤回已递交的投标文件，但应以书面形式通知采购人。</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4.3.2 投标人修改或撤回已递交投标文件的书面通知应按照本章第3.6.3项的要求签字或盖章。采购人收到书面通知后，向投标人出具签收凭证。</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4.3.3 投标人撤回投标文件的，采购人自收到投标人书面撤回通知之日起5日内退还已收取的投标保证金。</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4.3.4 修改的内容为投标文件的组成部分。修改的投标文件应按照本章第3条、第4条规定进行编制、密封、标记和递交，并标明“修改”字样。</w:t>
      </w:r>
    </w:p>
    <w:p>
      <w:pPr>
        <w:pStyle w:val="4"/>
        <w:keepNext w:val="0"/>
        <w:keepLines w:val="0"/>
        <w:spacing w:line="240" w:lineRule="auto"/>
        <w:rPr>
          <w:rFonts w:ascii="宋体" w:hAnsi="宋体" w:cs="宋体"/>
          <w:color w:val="000000"/>
        </w:rPr>
      </w:pPr>
      <w:r>
        <w:rPr>
          <w:rFonts w:hint="eastAsia" w:ascii="宋体" w:hAnsi="宋体" w:cs="宋体"/>
          <w:color w:val="000000"/>
        </w:rPr>
        <w:t>4.4电子投标</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4.4.1本项目采用电子投标方式，供应商除按采购文件要求提交纸质投标文件外，还需将投标文件按采购文件要求上传至政府采购云平台，否则为无效投标。</w:t>
      </w:r>
    </w:p>
    <w:p>
      <w:pPr>
        <w:pStyle w:val="17"/>
      </w:pPr>
    </w:p>
    <w:p>
      <w:pPr>
        <w:pStyle w:val="3"/>
        <w:keepNext w:val="0"/>
        <w:keepLines w:val="0"/>
        <w:spacing w:line="240" w:lineRule="auto"/>
        <w:rPr>
          <w:rFonts w:ascii="宋体" w:hAnsi="宋体" w:eastAsia="宋体" w:cs="宋体"/>
          <w:color w:val="000000"/>
        </w:rPr>
      </w:pPr>
      <w:bookmarkStart w:id="438" w:name="_Toc179632577"/>
      <w:bookmarkStart w:id="439" w:name="_Toc1814"/>
      <w:bookmarkStart w:id="440" w:name="_Toc13274"/>
      <w:bookmarkStart w:id="441" w:name="_Toc152045559"/>
      <w:bookmarkStart w:id="442" w:name="_Toc246996946"/>
      <w:bookmarkStart w:id="443" w:name="_Toc152042335"/>
      <w:bookmarkStart w:id="444" w:name="_Toc144974527"/>
      <w:bookmarkStart w:id="445" w:name="_Toc453756922"/>
      <w:bookmarkStart w:id="446" w:name="_Toc15431"/>
      <w:bookmarkStart w:id="447" w:name="_Toc246996203"/>
      <w:bookmarkStart w:id="448" w:name="_Toc14834"/>
      <w:bookmarkStart w:id="449" w:name="_Toc247085717"/>
      <w:bookmarkStart w:id="450" w:name="_Toc7113"/>
      <w:bookmarkStart w:id="451" w:name="_Toc7599"/>
      <w:r>
        <w:rPr>
          <w:rFonts w:hint="eastAsia" w:ascii="宋体" w:hAnsi="宋体" w:eastAsia="宋体" w:cs="宋体"/>
          <w:color w:val="000000"/>
        </w:rPr>
        <w:t>5. 开标</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pPr>
        <w:pStyle w:val="4"/>
        <w:keepNext w:val="0"/>
        <w:keepLines w:val="0"/>
        <w:spacing w:line="240" w:lineRule="auto"/>
        <w:rPr>
          <w:rFonts w:ascii="宋体" w:hAnsi="宋体" w:cs="宋体"/>
          <w:color w:val="000000"/>
        </w:rPr>
      </w:pPr>
      <w:bookmarkStart w:id="452" w:name="_Toc246996947"/>
      <w:bookmarkStart w:id="453" w:name="_Toc246996204"/>
      <w:bookmarkStart w:id="454" w:name="_Toc19849"/>
      <w:bookmarkStart w:id="455" w:name="_Toc453756923"/>
      <w:bookmarkStart w:id="456" w:name="_Toc12207"/>
      <w:bookmarkStart w:id="457" w:name="_Toc11954"/>
      <w:bookmarkStart w:id="458" w:name="_Toc144974528"/>
      <w:bookmarkStart w:id="459" w:name="_Toc179632578"/>
      <w:bookmarkStart w:id="460" w:name="_Toc12688"/>
      <w:bookmarkStart w:id="461" w:name="_Toc26268"/>
      <w:bookmarkStart w:id="462" w:name="_Toc28164"/>
      <w:bookmarkStart w:id="463" w:name="_Toc152045560"/>
      <w:bookmarkStart w:id="464" w:name="_Toc247085718"/>
      <w:bookmarkStart w:id="465" w:name="_Toc152042336"/>
      <w:r>
        <w:rPr>
          <w:rFonts w:hint="eastAsia" w:ascii="宋体" w:hAnsi="宋体" w:cs="宋体"/>
          <w:color w:val="000000"/>
        </w:rPr>
        <w:t>5.1 开标时间和地点</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采购人在本章第2.2.2项规定的投标截止时间（开标时间）和投标人须知前附表规定的地点公开开标，并邀请所有投标人的法定代表人或其委托代理人准时参加网络开标会议。</w:t>
      </w:r>
    </w:p>
    <w:p>
      <w:pPr>
        <w:pStyle w:val="4"/>
        <w:keepNext w:val="0"/>
        <w:keepLines w:val="0"/>
        <w:spacing w:line="240" w:lineRule="auto"/>
        <w:rPr>
          <w:rFonts w:ascii="宋体" w:hAnsi="宋体" w:cs="宋体"/>
          <w:color w:val="000000"/>
        </w:rPr>
      </w:pPr>
      <w:bookmarkStart w:id="466" w:name="_Toc453756924"/>
      <w:bookmarkStart w:id="467" w:name="_Toc152042337"/>
      <w:bookmarkStart w:id="468" w:name="_Toc179632579"/>
      <w:bookmarkStart w:id="469" w:name="_Toc144974529"/>
      <w:bookmarkStart w:id="470" w:name="_Toc6968"/>
      <w:bookmarkStart w:id="471" w:name="_Toc8542"/>
      <w:bookmarkStart w:id="472" w:name="_Toc246996205"/>
      <w:bookmarkStart w:id="473" w:name="_Toc30941"/>
      <w:bookmarkStart w:id="474" w:name="_Toc25866"/>
      <w:bookmarkStart w:id="475" w:name="_Toc3712"/>
      <w:bookmarkStart w:id="476" w:name="_Toc152045561"/>
      <w:bookmarkStart w:id="477" w:name="_Toc246996948"/>
      <w:bookmarkStart w:id="478" w:name="_Toc247085719"/>
      <w:bookmarkStart w:id="479" w:name="_Toc10606"/>
      <w:r>
        <w:rPr>
          <w:rFonts w:hint="eastAsia" w:ascii="宋体" w:hAnsi="宋体" w:cs="宋体"/>
          <w:color w:val="000000"/>
        </w:rPr>
        <w:t>5.2 开标程序</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主持人按下列程序进行开标：</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（1）宣布开标纪律；</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（2）公布在投标截止时间前递交投标文件的投标人名称；</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（3）宣布开标人、唱标人、记录人、监标人等有关人员姓名；</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（4）按照投标人须知前附表规定，投标单位远程解密投标文件；</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（5）按照宣布的开标顺序当众开标，公布投标人名称、投标保证金的递交情况（若有）、投标报价、质量标准、合同履行期限及其他内容，并记录在案；</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（6）规定采购预算的，公布采购预算；</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（7）投标人代表、采购人代表、监标人、记录人等有关人员在开标记录上签字确认；</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（8）投标人若有异议应当当场提出；</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（9）开标结束。</w:t>
      </w:r>
    </w:p>
    <w:p>
      <w:pPr>
        <w:pStyle w:val="4"/>
        <w:keepNext w:val="0"/>
        <w:keepLines w:val="0"/>
        <w:spacing w:line="240" w:lineRule="auto"/>
        <w:rPr>
          <w:rFonts w:ascii="宋体" w:hAnsi="宋体" w:cs="宋体"/>
          <w:color w:val="000000"/>
        </w:rPr>
      </w:pPr>
      <w:bookmarkStart w:id="480" w:name="_Toc17499"/>
      <w:bookmarkStart w:id="481" w:name="_Toc26952"/>
      <w:bookmarkStart w:id="482" w:name="_Toc23209"/>
      <w:bookmarkStart w:id="483" w:name="_Toc10936"/>
      <w:bookmarkStart w:id="484" w:name="_Toc15426"/>
      <w:bookmarkStart w:id="485" w:name="_Toc14108"/>
      <w:bookmarkStart w:id="486" w:name="_Toc453756925"/>
      <w:r>
        <w:rPr>
          <w:rFonts w:hint="eastAsia" w:ascii="宋体" w:hAnsi="宋体" w:cs="宋体"/>
          <w:color w:val="000000"/>
        </w:rPr>
        <w:t>5.3 开标异议</w:t>
      </w:r>
      <w:bookmarkEnd w:id="480"/>
      <w:bookmarkEnd w:id="481"/>
      <w:bookmarkEnd w:id="482"/>
      <w:bookmarkEnd w:id="483"/>
      <w:bookmarkEnd w:id="484"/>
      <w:bookmarkEnd w:id="485"/>
      <w:bookmarkEnd w:id="486"/>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投标人对开标有异议的，应当在开标现场提出，采购人当场作出答复，并制作记录。</w:t>
      </w:r>
    </w:p>
    <w:p>
      <w:pPr>
        <w:pStyle w:val="3"/>
        <w:keepNext w:val="0"/>
        <w:keepLines w:val="0"/>
        <w:spacing w:line="240" w:lineRule="auto"/>
        <w:rPr>
          <w:rFonts w:ascii="宋体" w:hAnsi="宋体" w:eastAsia="宋体" w:cs="宋体"/>
          <w:color w:val="000000"/>
        </w:rPr>
      </w:pPr>
      <w:bookmarkStart w:id="487" w:name="_Toc12986"/>
      <w:bookmarkStart w:id="488" w:name="_Toc3109"/>
      <w:bookmarkStart w:id="489" w:name="_Toc246996949"/>
      <w:bookmarkStart w:id="490" w:name="_Toc246996206"/>
      <w:bookmarkStart w:id="491" w:name="_Toc453756926"/>
      <w:bookmarkStart w:id="492" w:name="_Toc152042338"/>
      <w:bookmarkStart w:id="493" w:name="_Toc144974530"/>
      <w:bookmarkStart w:id="494" w:name="_Toc179632580"/>
      <w:bookmarkStart w:id="495" w:name="_Toc7502"/>
      <w:bookmarkStart w:id="496" w:name="_Toc3463"/>
      <w:bookmarkStart w:id="497" w:name="_Toc32578"/>
      <w:bookmarkStart w:id="498" w:name="_Toc16754"/>
      <w:bookmarkStart w:id="499" w:name="_Toc247085720"/>
      <w:bookmarkStart w:id="500" w:name="_Toc152045562"/>
      <w:r>
        <w:rPr>
          <w:rFonts w:hint="eastAsia" w:ascii="宋体" w:hAnsi="宋体" w:eastAsia="宋体" w:cs="宋体"/>
          <w:color w:val="000000"/>
        </w:rPr>
        <w:t>6. 评标</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pPr>
        <w:pStyle w:val="4"/>
        <w:keepNext w:val="0"/>
        <w:keepLines w:val="0"/>
        <w:spacing w:line="240" w:lineRule="auto"/>
        <w:rPr>
          <w:rFonts w:ascii="宋体" w:hAnsi="宋体" w:cs="宋体"/>
          <w:color w:val="000000"/>
        </w:rPr>
      </w:pPr>
      <w:bookmarkStart w:id="501" w:name="_Toc246996207"/>
      <w:bookmarkStart w:id="502" w:name="_Toc482"/>
      <w:bookmarkStart w:id="503" w:name="_Toc27039"/>
      <w:bookmarkStart w:id="504" w:name="_Toc246996950"/>
      <w:bookmarkStart w:id="505" w:name="_Toc144974531"/>
      <w:bookmarkStart w:id="506" w:name="_Toc453756927"/>
      <w:bookmarkStart w:id="507" w:name="_Toc30801"/>
      <w:bookmarkStart w:id="508" w:name="_Toc12262"/>
      <w:bookmarkStart w:id="509" w:name="_Toc179632581"/>
      <w:bookmarkStart w:id="510" w:name="_Toc25423"/>
      <w:bookmarkStart w:id="511" w:name="_Toc152042339"/>
      <w:bookmarkStart w:id="512" w:name="_Toc15731"/>
      <w:bookmarkStart w:id="513" w:name="_Toc247085721"/>
      <w:bookmarkStart w:id="514" w:name="_Toc152045563"/>
      <w:r>
        <w:rPr>
          <w:rFonts w:hint="eastAsia" w:ascii="宋体" w:hAnsi="宋体" w:cs="宋体"/>
          <w:color w:val="000000"/>
        </w:rPr>
        <w:t>6.1 评标委员会</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6.1.1 评标由采购人依法组建的评标委员会负责。评标委员会由采购人或其委托的采购代理机构熟悉相关业务的代表，以及有关技术、经济等方面的专家组成。评标委员会成员人数以及技术、经济等方面专家的确定方式见投标人须知前附表。</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6.1.2 评标委员会成员有下列情形之一的，应当回避：</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（1）投标人或投标人主要负责人的近亲属；</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（2）项目主管部门或者行政监督部门的人员；</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（3）与投标人有经济利益关系；</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（4）曾因在招标、评标以及其他与招标投标有关活动中从事违法行为而受过行政处罚或刑事处罚的；</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（5）与投标人有其他利害关系。</w:t>
      </w:r>
    </w:p>
    <w:p>
      <w:pPr>
        <w:pStyle w:val="4"/>
        <w:keepNext w:val="0"/>
        <w:keepLines w:val="0"/>
        <w:spacing w:line="240" w:lineRule="auto"/>
        <w:rPr>
          <w:rFonts w:ascii="宋体" w:hAnsi="宋体" w:cs="宋体"/>
          <w:color w:val="000000"/>
        </w:rPr>
      </w:pPr>
      <w:bookmarkStart w:id="515" w:name="_Toc144974532"/>
      <w:bookmarkStart w:id="516" w:name="_Toc14002"/>
      <w:bookmarkStart w:id="517" w:name="_Toc152042340"/>
      <w:bookmarkStart w:id="518" w:name="_Toc152045564"/>
      <w:bookmarkStart w:id="519" w:name="_Toc453756928"/>
      <w:bookmarkStart w:id="520" w:name="_Toc246996951"/>
      <w:bookmarkStart w:id="521" w:name="_Toc4155"/>
      <w:bookmarkStart w:id="522" w:name="_Toc7789"/>
      <w:bookmarkStart w:id="523" w:name="_Toc25120"/>
      <w:bookmarkStart w:id="524" w:name="_Toc6505"/>
      <w:bookmarkStart w:id="525" w:name="_Toc10126"/>
      <w:bookmarkStart w:id="526" w:name="_Toc247085722"/>
      <w:bookmarkStart w:id="527" w:name="_Toc246996208"/>
      <w:bookmarkStart w:id="528" w:name="_Toc179632582"/>
      <w:r>
        <w:rPr>
          <w:rFonts w:hint="eastAsia" w:ascii="宋体" w:hAnsi="宋体" w:cs="宋体"/>
          <w:color w:val="000000"/>
        </w:rPr>
        <w:t>6.2 评标原则</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评标活动遵循公平、公正、科学和择优的原则。</w:t>
      </w:r>
    </w:p>
    <w:p>
      <w:pPr>
        <w:pStyle w:val="4"/>
        <w:keepNext w:val="0"/>
        <w:keepLines w:val="0"/>
        <w:spacing w:line="240" w:lineRule="auto"/>
        <w:rPr>
          <w:rFonts w:ascii="宋体" w:hAnsi="宋体" w:cs="宋体"/>
          <w:color w:val="000000"/>
        </w:rPr>
      </w:pPr>
      <w:bookmarkStart w:id="529" w:name="_Toc21232"/>
      <w:bookmarkStart w:id="530" w:name="_Toc246996952"/>
      <w:bookmarkStart w:id="531" w:name="_Toc179632583"/>
      <w:bookmarkStart w:id="532" w:name="_Toc28627"/>
      <w:bookmarkStart w:id="533" w:name="_Toc246996209"/>
      <w:bookmarkStart w:id="534" w:name="_Toc31398"/>
      <w:bookmarkStart w:id="535" w:name="_Toc152042341"/>
      <w:bookmarkStart w:id="536" w:name="_Toc247085723"/>
      <w:bookmarkStart w:id="537" w:name="_Toc144974533"/>
      <w:bookmarkStart w:id="538" w:name="_Toc11964"/>
      <w:bookmarkStart w:id="539" w:name="_Toc29000"/>
      <w:bookmarkStart w:id="540" w:name="_Toc453756929"/>
      <w:bookmarkStart w:id="541" w:name="_Toc152045565"/>
      <w:bookmarkStart w:id="542" w:name="_Toc15017"/>
      <w:r>
        <w:rPr>
          <w:rFonts w:hint="eastAsia" w:ascii="宋体" w:hAnsi="宋体" w:cs="宋体"/>
          <w:color w:val="000000"/>
        </w:rPr>
        <w:t>6.3 评标</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评标委员会按照第三章“评标办法”规定的方法、评审因素、标准和程序对投标文件进行评审。第三章“评标办法”没有规定的方法、评审因素和标准，不作为评标依据。</w:t>
      </w:r>
    </w:p>
    <w:p>
      <w:pPr>
        <w:pStyle w:val="3"/>
        <w:keepNext w:val="0"/>
        <w:keepLines w:val="0"/>
        <w:spacing w:line="240" w:lineRule="auto"/>
        <w:rPr>
          <w:rFonts w:ascii="宋体" w:hAnsi="宋体" w:eastAsia="宋体" w:cs="宋体"/>
          <w:color w:val="000000"/>
        </w:rPr>
      </w:pPr>
      <w:bookmarkStart w:id="543" w:name="_Toc247085724"/>
      <w:bookmarkStart w:id="544" w:name="_Toc246996953"/>
      <w:bookmarkStart w:id="545" w:name="_Toc144974534"/>
      <w:bookmarkStart w:id="546" w:name="_Toc15352"/>
      <w:bookmarkStart w:id="547" w:name="_Toc13429"/>
      <w:bookmarkStart w:id="548" w:name="_Toc246996210"/>
      <w:bookmarkStart w:id="549" w:name="_Toc453756930"/>
      <w:bookmarkStart w:id="550" w:name="_Toc19551"/>
      <w:bookmarkStart w:id="551" w:name="_Toc11800"/>
      <w:bookmarkStart w:id="552" w:name="_Toc23118"/>
      <w:bookmarkStart w:id="553" w:name="_Toc179632584"/>
      <w:bookmarkStart w:id="554" w:name="_Toc152042342"/>
      <w:bookmarkStart w:id="555" w:name="_Toc152045566"/>
      <w:bookmarkStart w:id="556" w:name="_Toc23289"/>
      <w:r>
        <w:rPr>
          <w:rFonts w:hint="eastAsia" w:ascii="宋体" w:hAnsi="宋体" w:eastAsia="宋体" w:cs="宋体"/>
          <w:color w:val="000000"/>
        </w:rPr>
        <w:t>7. 合同授予</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pPr>
        <w:pStyle w:val="4"/>
        <w:keepNext w:val="0"/>
        <w:keepLines w:val="0"/>
        <w:spacing w:line="240" w:lineRule="auto"/>
        <w:rPr>
          <w:rFonts w:ascii="宋体" w:hAnsi="宋体" w:cs="宋体"/>
          <w:color w:val="000000"/>
        </w:rPr>
      </w:pPr>
      <w:bookmarkStart w:id="557" w:name="_Toc152045567"/>
      <w:bookmarkStart w:id="558" w:name="_Toc19650"/>
      <w:bookmarkStart w:id="559" w:name="_Toc247085725"/>
      <w:bookmarkStart w:id="560" w:name="_Toc453756931"/>
      <w:bookmarkStart w:id="561" w:name="_Toc246996211"/>
      <w:bookmarkStart w:id="562" w:name="_Toc5368"/>
      <w:bookmarkStart w:id="563" w:name="_Toc25180"/>
      <w:bookmarkStart w:id="564" w:name="_Toc1670"/>
      <w:bookmarkStart w:id="565" w:name="_Toc28095"/>
      <w:bookmarkStart w:id="566" w:name="_Toc144974535"/>
      <w:bookmarkStart w:id="567" w:name="_Toc7592"/>
      <w:bookmarkStart w:id="568" w:name="_Toc152042343"/>
      <w:bookmarkStart w:id="569" w:name="_Toc179632585"/>
      <w:bookmarkStart w:id="570" w:name="_Toc246996954"/>
      <w:r>
        <w:rPr>
          <w:rFonts w:hint="eastAsia" w:ascii="宋体" w:hAnsi="宋体" w:cs="宋体"/>
          <w:color w:val="000000"/>
        </w:rPr>
        <w:t>7.1 定标方式</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除投标人须知前附表规定评标委员会直接确定中标人外，采购人依据评标委员会推荐的中标候选人确定中标人，评标委员会推荐中标候选人的人数见投标人须知前附表。</w:t>
      </w:r>
    </w:p>
    <w:p>
      <w:pPr>
        <w:pStyle w:val="4"/>
        <w:keepNext w:val="0"/>
        <w:keepLines w:val="0"/>
        <w:spacing w:line="240" w:lineRule="auto"/>
        <w:rPr>
          <w:rFonts w:ascii="宋体" w:hAnsi="宋体" w:cs="宋体"/>
          <w:color w:val="000000"/>
        </w:rPr>
      </w:pPr>
      <w:bookmarkStart w:id="571" w:name="_Toc24245"/>
      <w:bookmarkStart w:id="572" w:name="_Toc19657"/>
      <w:bookmarkStart w:id="573" w:name="_Toc24559"/>
      <w:bookmarkStart w:id="574" w:name="_Toc10073"/>
      <w:bookmarkStart w:id="575" w:name="_Toc453756932"/>
      <w:bookmarkStart w:id="576" w:name="_Toc9462"/>
      <w:bookmarkStart w:id="577" w:name="_Toc6423"/>
      <w:r>
        <w:rPr>
          <w:rFonts w:hint="eastAsia" w:ascii="宋体" w:hAnsi="宋体" w:cs="宋体"/>
          <w:color w:val="000000"/>
        </w:rPr>
        <w:t>7.2 中标候选人公示</w:t>
      </w:r>
      <w:bookmarkEnd w:id="571"/>
      <w:bookmarkEnd w:id="572"/>
      <w:bookmarkEnd w:id="573"/>
      <w:bookmarkEnd w:id="574"/>
      <w:bookmarkEnd w:id="575"/>
      <w:bookmarkEnd w:id="576"/>
      <w:bookmarkEnd w:id="577"/>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采购人在投标人须知前附表规定的媒介公示中标候选人。</w:t>
      </w:r>
    </w:p>
    <w:p>
      <w:pPr>
        <w:pStyle w:val="4"/>
        <w:keepNext w:val="0"/>
        <w:keepLines w:val="0"/>
        <w:spacing w:line="240" w:lineRule="auto"/>
        <w:rPr>
          <w:rFonts w:ascii="宋体" w:hAnsi="宋体" w:cs="宋体"/>
          <w:color w:val="000000"/>
        </w:rPr>
      </w:pPr>
      <w:bookmarkStart w:id="578" w:name="_Toc246996955"/>
      <w:bookmarkStart w:id="579" w:name="_Toc453756933"/>
      <w:bookmarkStart w:id="580" w:name="_Toc246996212"/>
      <w:bookmarkStart w:id="581" w:name="_Toc21019"/>
      <w:bookmarkStart w:id="582" w:name="_Toc9756"/>
      <w:bookmarkStart w:id="583" w:name="_Toc179632586"/>
      <w:bookmarkStart w:id="584" w:name="_Toc152042344"/>
      <w:bookmarkStart w:id="585" w:name="_Toc17285"/>
      <w:bookmarkStart w:id="586" w:name="_Toc152045568"/>
      <w:bookmarkStart w:id="587" w:name="_Toc23867"/>
      <w:bookmarkStart w:id="588" w:name="_Toc247085726"/>
      <w:bookmarkStart w:id="589" w:name="_Toc16677"/>
      <w:bookmarkStart w:id="590" w:name="_Toc7528"/>
      <w:bookmarkStart w:id="591" w:name="_Toc144974536"/>
      <w:r>
        <w:rPr>
          <w:rFonts w:hint="eastAsia" w:ascii="宋体" w:hAnsi="宋体" w:cs="宋体"/>
          <w:color w:val="000000"/>
        </w:rPr>
        <w:t>7.3 中标通知</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在本章第3.3款规定的投标有效期内，采购人以书面形式向中标人发出中标通知书，中标结果将不再通知未中标的投标人，投标人可在招标公告发布的媒介查看中标候选人公示。</w:t>
      </w:r>
    </w:p>
    <w:p>
      <w:pPr>
        <w:pStyle w:val="4"/>
        <w:keepNext w:val="0"/>
        <w:keepLines w:val="0"/>
        <w:spacing w:line="240" w:lineRule="auto"/>
        <w:rPr>
          <w:rFonts w:ascii="宋体" w:hAnsi="宋体" w:cs="宋体"/>
          <w:color w:val="000000"/>
        </w:rPr>
      </w:pPr>
      <w:bookmarkStart w:id="592" w:name="_Toc20075"/>
      <w:bookmarkStart w:id="593" w:name="_Toc246996957"/>
      <w:bookmarkStart w:id="594" w:name="_Toc25897"/>
      <w:bookmarkStart w:id="595" w:name="_Toc246996214"/>
      <w:bookmarkStart w:id="596" w:name="_Toc10294"/>
      <w:bookmarkStart w:id="597" w:name="_Toc179632588"/>
      <w:bookmarkStart w:id="598" w:name="_Toc152045570"/>
      <w:bookmarkStart w:id="599" w:name="_Toc453756935"/>
      <w:bookmarkStart w:id="600" w:name="_Toc152042346"/>
      <w:bookmarkStart w:id="601" w:name="_Toc144974538"/>
      <w:bookmarkStart w:id="602" w:name="_Toc4471"/>
      <w:bookmarkStart w:id="603" w:name="_Toc1260"/>
      <w:bookmarkStart w:id="604" w:name="_Toc21802"/>
      <w:bookmarkStart w:id="605" w:name="_Toc247085728"/>
      <w:r>
        <w:rPr>
          <w:rFonts w:hint="eastAsia" w:ascii="宋体" w:hAnsi="宋体" w:cs="宋体"/>
          <w:color w:val="000000"/>
        </w:rPr>
        <w:t>7.4签订合同</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7.5.1采购人和中标人应当自中标通知书发出之日起30天内，根据招标文件和中标人的投标文件订立书面合同。中标人无正当理由拒签合同的，采购人取消其中标资格；给采购人造成的损失，中标人还应当予以赔偿。</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7.5.2 发出中标通知书后，采购人无正当理由拒签合同的，取消其中标资格；给中标人造成损失的，还应当赔偿损失。</w:t>
      </w:r>
    </w:p>
    <w:p>
      <w:pPr>
        <w:pStyle w:val="3"/>
        <w:keepNext w:val="0"/>
        <w:keepLines w:val="0"/>
        <w:spacing w:line="240" w:lineRule="auto"/>
        <w:rPr>
          <w:rFonts w:ascii="宋体" w:hAnsi="宋体" w:eastAsia="宋体" w:cs="宋体"/>
          <w:color w:val="000000"/>
        </w:rPr>
      </w:pPr>
      <w:bookmarkStart w:id="606" w:name="_Toc30935"/>
      <w:bookmarkStart w:id="607" w:name="_Toc19643"/>
      <w:bookmarkStart w:id="608" w:name="_Toc717"/>
      <w:bookmarkStart w:id="609" w:name="_Toc10311"/>
      <w:bookmarkStart w:id="610" w:name="_Toc421017857"/>
      <w:bookmarkStart w:id="611" w:name="_Toc428007684"/>
      <w:bookmarkStart w:id="612" w:name="_Toc195921835"/>
      <w:bookmarkStart w:id="613" w:name="_Toc12340"/>
      <w:bookmarkStart w:id="614" w:name="_Toc4557"/>
    </w:p>
    <w:p>
      <w:pPr>
        <w:pStyle w:val="3"/>
        <w:keepNext w:val="0"/>
        <w:keepLines w:val="0"/>
        <w:spacing w:line="240" w:lineRule="auto"/>
        <w:rPr>
          <w:rFonts w:ascii="宋体" w:hAnsi="宋体" w:eastAsia="宋体" w:cs="宋体"/>
          <w:color w:val="000000"/>
        </w:rPr>
      </w:pPr>
      <w:r>
        <w:rPr>
          <w:rFonts w:hint="eastAsia" w:ascii="宋体" w:hAnsi="宋体" w:eastAsia="宋体" w:cs="宋体"/>
          <w:color w:val="000000"/>
        </w:rPr>
        <w:t>8. 重新招标和不再招标</w:t>
      </w:r>
      <w:bookmarkEnd w:id="606"/>
      <w:bookmarkEnd w:id="607"/>
      <w:bookmarkEnd w:id="608"/>
      <w:bookmarkEnd w:id="609"/>
      <w:bookmarkEnd w:id="610"/>
      <w:bookmarkEnd w:id="611"/>
      <w:bookmarkEnd w:id="612"/>
      <w:bookmarkEnd w:id="613"/>
      <w:bookmarkEnd w:id="614"/>
    </w:p>
    <w:p>
      <w:pPr>
        <w:pStyle w:val="4"/>
        <w:keepNext w:val="0"/>
        <w:keepLines w:val="0"/>
        <w:spacing w:line="240" w:lineRule="auto"/>
        <w:rPr>
          <w:rFonts w:ascii="宋体" w:hAnsi="宋体" w:cs="宋体"/>
          <w:color w:val="000000"/>
        </w:rPr>
      </w:pPr>
      <w:bookmarkStart w:id="615" w:name="_Toc16410"/>
      <w:bookmarkStart w:id="616" w:name="_Toc195921836"/>
      <w:bookmarkStart w:id="617" w:name="_Toc3701"/>
      <w:bookmarkStart w:id="618" w:name="_Toc23934"/>
      <w:bookmarkStart w:id="619" w:name="_Toc18827"/>
      <w:bookmarkStart w:id="620" w:name="_Toc6301"/>
      <w:bookmarkStart w:id="621" w:name="_Toc24905"/>
      <w:r>
        <w:rPr>
          <w:rFonts w:hint="eastAsia" w:ascii="宋体" w:hAnsi="宋体" w:cs="宋体"/>
          <w:color w:val="000000"/>
        </w:rPr>
        <w:t>8.1重新招标</w:t>
      </w:r>
      <w:bookmarkEnd w:id="615"/>
      <w:bookmarkEnd w:id="616"/>
      <w:bookmarkEnd w:id="617"/>
      <w:bookmarkEnd w:id="618"/>
      <w:bookmarkEnd w:id="619"/>
      <w:bookmarkEnd w:id="620"/>
      <w:bookmarkEnd w:id="621"/>
    </w:p>
    <w:p>
      <w:pPr>
        <w:pStyle w:val="4"/>
        <w:keepNext w:val="0"/>
        <w:keepLines w:val="0"/>
        <w:spacing w:line="240" w:lineRule="auto"/>
        <w:rPr>
          <w:rFonts w:ascii="宋体" w:hAnsi="宋体" w:cs="宋体"/>
          <w:b w:val="0"/>
          <w:bCs w:val="0"/>
          <w:color w:val="000000"/>
          <w:sz w:val="21"/>
          <w:szCs w:val="24"/>
        </w:rPr>
      </w:pPr>
      <w:bookmarkStart w:id="622" w:name="_Toc5255"/>
      <w:bookmarkStart w:id="623" w:name="_Toc4274"/>
      <w:bookmarkStart w:id="624" w:name="_Toc16591"/>
      <w:bookmarkStart w:id="625" w:name="_Toc12725"/>
      <w:bookmarkStart w:id="626" w:name="_Toc18307"/>
      <w:bookmarkStart w:id="627" w:name="_Toc32065"/>
      <w:r>
        <w:rPr>
          <w:rFonts w:hint="eastAsia" w:ascii="宋体" w:hAnsi="宋体" w:cs="宋体"/>
          <w:b w:val="0"/>
          <w:bCs w:val="0"/>
          <w:color w:val="000000"/>
          <w:sz w:val="21"/>
          <w:szCs w:val="24"/>
        </w:rPr>
        <w:t>有下列情形之一的，采购人将重新招标：</w:t>
      </w:r>
      <w:bookmarkEnd w:id="622"/>
      <w:bookmarkEnd w:id="623"/>
      <w:bookmarkEnd w:id="624"/>
      <w:bookmarkEnd w:id="625"/>
      <w:bookmarkEnd w:id="626"/>
      <w:bookmarkEnd w:id="627"/>
    </w:p>
    <w:p>
      <w:pPr>
        <w:pStyle w:val="4"/>
        <w:keepNext w:val="0"/>
        <w:keepLines w:val="0"/>
        <w:spacing w:line="240" w:lineRule="auto"/>
        <w:rPr>
          <w:rFonts w:ascii="宋体" w:hAnsi="宋体" w:cs="宋体"/>
          <w:b w:val="0"/>
          <w:bCs w:val="0"/>
          <w:color w:val="000000"/>
          <w:sz w:val="21"/>
          <w:szCs w:val="24"/>
        </w:rPr>
      </w:pPr>
      <w:bookmarkStart w:id="628" w:name="_Toc3755"/>
      <w:bookmarkStart w:id="629" w:name="_Toc26585"/>
      <w:bookmarkStart w:id="630" w:name="_Toc20176"/>
      <w:bookmarkStart w:id="631" w:name="_Toc24365"/>
      <w:bookmarkStart w:id="632" w:name="_Toc11226"/>
      <w:bookmarkStart w:id="633" w:name="_Toc8733"/>
      <w:r>
        <w:rPr>
          <w:rFonts w:hint="eastAsia" w:ascii="宋体" w:hAnsi="宋体" w:cs="宋体"/>
          <w:b w:val="0"/>
          <w:bCs w:val="0"/>
          <w:color w:val="000000"/>
          <w:sz w:val="21"/>
          <w:szCs w:val="24"/>
        </w:rPr>
        <w:t>（1）投标截止时间止，投标人少于3个的；</w:t>
      </w:r>
      <w:bookmarkEnd w:id="628"/>
      <w:bookmarkEnd w:id="629"/>
      <w:bookmarkEnd w:id="630"/>
      <w:bookmarkEnd w:id="631"/>
      <w:bookmarkEnd w:id="632"/>
      <w:bookmarkEnd w:id="633"/>
    </w:p>
    <w:p>
      <w:pPr>
        <w:pStyle w:val="4"/>
        <w:keepNext w:val="0"/>
        <w:keepLines w:val="0"/>
        <w:spacing w:line="240" w:lineRule="auto"/>
        <w:rPr>
          <w:rFonts w:ascii="宋体" w:hAnsi="宋体" w:cs="宋体"/>
          <w:b w:val="0"/>
          <w:bCs w:val="0"/>
          <w:color w:val="000000"/>
          <w:sz w:val="21"/>
          <w:szCs w:val="24"/>
        </w:rPr>
      </w:pPr>
      <w:bookmarkStart w:id="634" w:name="_Toc2633"/>
      <w:bookmarkStart w:id="635" w:name="_Toc287"/>
      <w:bookmarkStart w:id="636" w:name="_Toc5384"/>
      <w:bookmarkStart w:id="637" w:name="_Toc23765"/>
      <w:bookmarkStart w:id="638" w:name="_Toc18450"/>
      <w:bookmarkStart w:id="639" w:name="_Toc8359"/>
      <w:r>
        <w:rPr>
          <w:rFonts w:hint="eastAsia" w:ascii="宋体" w:hAnsi="宋体" w:cs="宋体"/>
          <w:b w:val="0"/>
          <w:bCs w:val="0"/>
          <w:color w:val="000000"/>
          <w:sz w:val="21"/>
          <w:szCs w:val="24"/>
        </w:rPr>
        <w:t>（2）经评标委员会评审后否决所有投标的。</w:t>
      </w:r>
      <w:bookmarkEnd w:id="634"/>
      <w:bookmarkEnd w:id="635"/>
      <w:bookmarkEnd w:id="636"/>
      <w:bookmarkEnd w:id="637"/>
      <w:bookmarkEnd w:id="638"/>
      <w:bookmarkEnd w:id="639"/>
    </w:p>
    <w:p>
      <w:pPr>
        <w:pStyle w:val="4"/>
        <w:keepNext w:val="0"/>
        <w:keepLines w:val="0"/>
        <w:spacing w:line="240" w:lineRule="auto"/>
        <w:rPr>
          <w:rFonts w:ascii="宋体" w:hAnsi="宋体" w:cs="宋体"/>
          <w:color w:val="000000"/>
        </w:rPr>
      </w:pPr>
      <w:bookmarkStart w:id="640" w:name="_Toc19560"/>
      <w:bookmarkStart w:id="641" w:name="_Toc29655"/>
      <w:bookmarkStart w:id="642" w:name="_Toc5125"/>
      <w:bookmarkStart w:id="643" w:name="_Toc3385"/>
      <w:bookmarkStart w:id="644" w:name="_Toc11590"/>
      <w:bookmarkStart w:id="645" w:name="_Toc195921837"/>
      <w:bookmarkStart w:id="646" w:name="_Toc31665"/>
      <w:r>
        <w:rPr>
          <w:rFonts w:hint="eastAsia" w:ascii="宋体" w:hAnsi="宋体" w:cs="宋体"/>
          <w:color w:val="000000"/>
        </w:rPr>
        <w:t>8.2不再招标</w:t>
      </w:r>
      <w:bookmarkEnd w:id="640"/>
      <w:bookmarkEnd w:id="641"/>
      <w:bookmarkEnd w:id="642"/>
      <w:bookmarkEnd w:id="643"/>
      <w:bookmarkEnd w:id="644"/>
      <w:bookmarkEnd w:id="645"/>
      <w:bookmarkEnd w:id="646"/>
    </w:p>
    <w:p>
      <w:pPr>
        <w:spacing w:line="500" w:lineRule="exact"/>
        <w:ind w:firstLine="440" w:firstLineChars="200"/>
        <w:rPr>
          <w:rFonts w:ascii="宋体" w:hAnsi="宋体" w:cs="宋体"/>
          <w:color w:val="000000"/>
          <w:sz w:val="22"/>
          <w:szCs w:val="28"/>
        </w:rPr>
      </w:pPr>
      <w:bookmarkStart w:id="647" w:name="_Toc17899"/>
      <w:bookmarkStart w:id="648" w:name="_Toc23448"/>
      <w:bookmarkStart w:id="649" w:name="_Toc4173"/>
      <w:bookmarkStart w:id="650" w:name="_Toc6011"/>
      <w:bookmarkStart w:id="651" w:name="_Toc26476"/>
      <w:bookmarkStart w:id="652" w:name="_Toc22374"/>
      <w:r>
        <w:rPr>
          <w:rFonts w:hint="eastAsia" w:ascii="宋体" w:hAnsi="宋体" w:cs="宋体"/>
          <w:color w:val="000000"/>
          <w:sz w:val="22"/>
          <w:szCs w:val="28"/>
        </w:rPr>
        <w:t>重新招标后投标人仍少于3个或者所有投标被否决的，属于必须审批或核准的项目，经原审批或核准部门批准后不再进行招标。</w:t>
      </w:r>
      <w:bookmarkEnd w:id="647"/>
      <w:bookmarkEnd w:id="648"/>
      <w:bookmarkEnd w:id="649"/>
      <w:bookmarkEnd w:id="650"/>
      <w:bookmarkEnd w:id="651"/>
      <w:bookmarkEnd w:id="652"/>
    </w:p>
    <w:p>
      <w:pPr>
        <w:pStyle w:val="3"/>
        <w:keepNext w:val="0"/>
        <w:keepLines w:val="0"/>
        <w:spacing w:line="240" w:lineRule="auto"/>
        <w:rPr>
          <w:rFonts w:ascii="宋体" w:hAnsi="宋体" w:eastAsia="宋体" w:cs="宋体"/>
          <w:color w:val="000000"/>
        </w:rPr>
      </w:pPr>
      <w:bookmarkStart w:id="653" w:name="_Toc1173"/>
      <w:bookmarkStart w:id="654" w:name="_Toc14034"/>
      <w:bookmarkStart w:id="655" w:name="_Toc8720"/>
      <w:bookmarkStart w:id="656" w:name="_Toc453756936"/>
      <w:bookmarkStart w:id="657" w:name="_Toc1766"/>
      <w:bookmarkStart w:id="658" w:name="_Toc17702"/>
      <w:bookmarkStart w:id="659" w:name="_Toc24438"/>
      <w:r>
        <w:rPr>
          <w:rFonts w:hint="eastAsia" w:ascii="宋体" w:hAnsi="宋体" w:eastAsia="宋体" w:cs="宋体"/>
          <w:color w:val="000000"/>
        </w:rPr>
        <w:t>9. 纪律和监督</w:t>
      </w:r>
      <w:bookmarkEnd w:id="653"/>
      <w:bookmarkEnd w:id="654"/>
      <w:bookmarkEnd w:id="655"/>
      <w:bookmarkEnd w:id="656"/>
      <w:bookmarkEnd w:id="657"/>
      <w:bookmarkEnd w:id="658"/>
      <w:bookmarkEnd w:id="659"/>
    </w:p>
    <w:p>
      <w:pPr>
        <w:pStyle w:val="4"/>
        <w:keepNext w:val="0"/>
        <w:keepLines w:val="0"/>
        <w:spacing w:line="240" w:lineRule="auto"/>
        <w:rPr>
          <w:rFonts w:ascii="宋体" w:hAnsi="宋体" w:cs="宋体"/>
          <w:color w:val="000000"/>
        </w:rPr>
      </w:pPr>
      <w:bookmarkStart w:id="660" w:name="_Toc152045575"/>
      <w:bookmarkStart w:id="661" w:name="_Toc246996962"/>
      <w:bookmarkStart w:id="662" w:name="_Toc152042351"/>
      <w:bookmarkStart w:id="663" w:name="_Toc179632593"/>
      <w:bookmarkStart w:id="664" w:name="_Toc296590983"/>
      <w:bookmarkStart w:id="665" w:name="_Toc7057"/>
      <w:bookmarkStart w:id="666" w:name="_Toc7212"/>
      <w:bookmarkStart w:id="667" w:name="_Toc453756937"/>
      <w:bookmarkStart w:id="668" w:name="_Toc1270"/>
      <w:bookmarkStart w:id="669" w:name="_Toc247085733"/>
      <w:bookmarkStart w:id="670" w:name="_Toc29618"/>
      <w:bookmarkStart w:id="671" w:name="_Toc25245"/>
      <w:bookmarkStart w:id="672" w:name="_Toc32662"/>
      <w:bookmarkStart w:id="673" w:name="_Toc246996219"/>
      <w:bookmarkStart w:id="674" w:name="_Toc144974543"/>
      <w:r>
        <w:rPr>
          <w:rFonts w:hint="eastAsia" w:ascii="宋体" w:hAnsi="宋体" w:cs="宋体"/>
          <w:color w:val="000000"/>
        </w:rPr>
        <w:t>9.1 对采购人的纪律要求</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r>
        <w:rPr>
          <w:rFonts w:hint="eastAsia" w:ascii="宋体" w:hAnsi="宋体" w:cs="宋体"/>
          <w:color w:val="000000"/>
        </w:rPr>
        <w:t xml:space="preserve"> </w:t>
      </w:r>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采购人不得泄露招标投标活动中应当保密的情况和资料，不得与投标人串通损害国家利益、社会公共利益或者他人合法权益。</w:t>
      </w:r>
    </w:p>
    <w:p>
      <w:pPr>
        <w:pStyle w:val="4"/>
        <w:keepNext w:val="0"/>
        <w:keepLines w:val="0"/>
        <w:spacing w:line="240" w:lineRule="auto"/>
        <w:rPr>
          <w:rFonts w:ascii="宋体" w:hAnsi="宋体" w:cs="宋体"/>
          <w:color w:val="000000"/>
        </w:rPr>
      </w:pPr>
      <w:bookmarkStart w:id="675" w:name="_Toc27105"/>
      <w:bookmarkStart w:id="676" w:name="_Toc246996963"/>
      <w:bookmarkStart w:id="677" w:name="_Toc246996220"/>
      <w:bookmarkStart w:id="678" w:name="_Toc453756938"/>
      <w:bookmarkStart w:id="679" w:name="_Toc19333"/>
      <w:bookmarkStart w:id="680" w:name="_Toc247085734"/>
      <w:bookmarkStart w:id="681" w:name="_Toc179632594"/>
      <w:bookmarkStart w:id="682" w:name="_Toc152045576"/>
      <w:bookmarkStart w:id="683" w:name="_Toc186"/>
      <w:bookmarkStart w:id="684" w:name="_Toc9174"/>
      <w:bookmarkStart w:id="685" w:name="_Toc26867"/>
      <w:bookmarkStart w:id="686" w:name="_Toc144974544"/>
      <w:bookmarkStart w:id="687" w:name="_Toc152042352"/>
      <w:bookmarkStart w:id="688" w:name="_Toc1493"/>
      <w:r>
        <w:rPr>
          <w:rFonts w:hint="eastAsia" w:ascii="宋体" w:hAnsi="宋体" w:cs="宋体"/>
          <w:color w:val="000000"/>
        </w:rPr>
        <w:t>9.2 对投标人的纪律要求</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投标人不得相互串通投标或者与采购人串通投标，不得向采购人或者评标委员会成员行贿谋取中标，不得以他人名义投标或者以其他方式弄虚作假骗取中标；投标人不得以任何方式干扰、影响评标工作。</w:t>
      </w:r>
    </w:p>
    <w:p>
      <w:pPr>
        <w:pStyle w:val="4"/>
        <w:keepNext w:val="0"/>
        <w:keepLines w:val="0"/>
        <w:spacing w:line="240" w:lineRule="auto"/>
        <w:rPr>
          <w:rFonts w:ascii="宋体" w:hAnsi="宋体" w:cs="宋体"/>
          <w:color w:val="000000"/>
        </w:rPr>
      </w:pPr>
      <w:bookmarkStart w:id="689" w:name="_Toc24208"/>
      <w:bookmarkStart w:id="690" w:name="_Toc7635"/>
      <w:bookmarkStart w:id="691" w:name="_Toc246996964"/>
      <w:bookmarkStart w:id="692" w:name="_Toc179632595"/>
      <w:bookmarkStart w:id="693" w:name="_Toc152042353"/>
      <w:bookmarkStart w:id="694" w:name="_Toc453756939"/>
      <w:bookmarkStart w:id="695" w:name="_Toc28711"/>
      <w:bookmarkStart w:id="696" w:name="_Toc246996221"/>
      <w:bookmarkStart w:id="697" w:name="_Toc247085735"/>
      <w:bookmarkStart w:id="698" w:name="_Toc24794"/>
      <w:bookmarkStart w:id="699" w:name="_Toc144974545"/>
      <w:bookmarkStart w:id="700" w:name="_Toc13579"/>
      <w:bookmarkStart w:id="701" w:name="_Toc152045577"/>
      <w:bookmarkStart w:id="702" w:name="_Toc27759"/>
      <w:r>
        <w:rPr>
          <w:rFonts w:hint="eastAsia" w:ascii="宋体" w:hAnsi="宋体" w:cs="宋体"/>
          <w:color w:val="000000"/>
        </w:rPr>
        <w:t>9.3 对评标委员会成员的纪律要求</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4"/>
        <w:keepNext w:val="0"/>
        <w:keepLines w:val="0"/>
        <w:spacing w:line="240" w:lineRule="auto"/>
        <w:rPr>
          <w:rFonts w:ascii="宋体" w:hAnsi="宋体" w:cs="宋体"/>
          <w:color w:val="000000"/>
        </w:rPr>
      </w:pPr>
      <w:bookmarkStart w:id="703" w:name="_Toc20882"/>
      <w:bookmarkStart w:id="704" w:name="_Toc6766"/>
      <w:bookmarkStart w:id="705" w:name="_Toc15435"/>
      <w:bookmarkStart w:id="706" w:name="_Toc22498"/>
      <w:bookmarkStart w:id="707" w:name="_Toc152042354"/>
      <w:bookmarkStart w:id="708" w:name="_Toc179632596"/>
      <w:bookmarkStart w:id="709" w:name="_Toc247085736"/>
      <w:bookmarkStart w:id="710" w:name="_Toc24340"/>
      <w:bookmarkStart w:id="711" w:name="_Toc453756940"/>
      <w:bookmarkStart w:id="712" w:name="_Toc32421"/>
      <w:bookmarkStart w:id="713" w:name="_Toc152045578"/>
      <w:bookmarkStart w:id="714" w:name="_Toc246996965"/>
      <w:bookmarkStart w:id="715" w:name="_Toc246996222"/>
      <w:bookmarkStart w:id="716" w:name="_Toc144974546"/>
      <w:r>
        <w:rPr>
          <w:rFonts w:hint="eastAsia" w:ascii="宋体" w:hAnsi="宋体" w:cs="宋体"/>
          <w:color w:val="000000"/>
        </w:rPr>
        <w:t>9.4 对与评标活动有关的工作人员的纪律要求</w:t>
      </w:r>
      <w:bookmarkEnd w:id="703"/>
      <w:bookmarkEnd w:id="704"/>
      <w:bookmarkEnd w:id="705"/>
      <w:bookmarkEnd w:id="706"/>
      <w:bookmarkEnd w:id="707"/>
      <w:bookmarkEnd w:id="708"/>
      <w:bookmarkEnd w:id="709"/>
      <w:bookmarkEnd w:id="710"/>
      <w:bookmarkEnd w:id="711"/>
      <w:bookmarkEnd w:id="712"/>
      <w:bookmarkEnd w:id="713"/>
      <w:bookmarkEnd w:id="714"/>
      <w:bookmarkEnd w:id="715"/>
    </w:p>
    <w:p>
      <w:pPr>
        <w:spacing w:line="500" w:lineRule="exact"/>
        <w:ind w:firstLine="440" w:firstLineChars="200"/>
        <w:rPr>
          <w:rFonts w:ascii="宋体" w:hAnsi="宋体" w:cs="宋体"/>
          <w:color w:val="000000"/>
          <w:sz w:val="22"/>
          <w:szCs w:val="28"/>
        </w:rPr>
      </w:pPr>
      <w:bookmarkStart w:id="717" w:name="_Toc152042355"/>
      <w:r>
        <w:rPr>
          <w:rFonts w:hint="eastAsia" w:ascii="宋体" w:hAnsi="宋体" w:cs="宋体"/>
          <w:color w:val="000000"/>
          <w:sz w:val="22"/>
          <w:szCs w:val="28"/>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bookmarkEnd w:id="717"/>
    </w:p>
    <w:p>
      <w:pPr>
        <w:pStyle w:val="4"/>
        <w:keepNext w:val="0"/>
        <w:keepLines w:val="0"/>
        <w:spacing w:line="240" w:lineRule="auto"/>
        <w:rPr>
          <w:rFonts w:ascii="宋体" w:hAnsi="宋体" w:cs="宋体"/>
          <w:color w:val="000000"/>
        </w:rPr>
      </w:pPr>
      <w:bookmarkStart w:id="718" w:name="_Toc27883"/>
      <w:bookmarkStart w:id="719" w:name="_Toc3745"/>
      <w:bookmarkStart w:id="720" w:name="_Toc22176"/>
      <w:bookmarkStart w:id="721" w:name="_Toc2212"/>
      <w:bookmarkStart w:id="722" w:name="_Toc152045579"/>
      <w:bookmarkStart w:id="723" w:name="_Toc152042356"/>
      <w:bookmarkStart w:id="724" w:name="_Toc246996223"/>
      <w:bookmarkStart w:id="725" w:name="_Toc247085737"/>
      <w:bookmarkStart w:id="726" w:name="_Toc246996966"/>
      <w:bookmarkStart w:id="727" w:name="_Toc179632597"/>
      <w:bookmarkStart w:id="728" w:name="_Toc453756941"/>
      <w:bookmarkStart w:id="729" w:name="_Toc11114"/>
      <w:bookmarkStart w:id="730" w:name="_Toc13578"/>
      <w:r>
        <w:rPr>
          <w:rFonts w:hint="eastAsia" w:ascii="宋体" w:hAnsi="宋体" w:cs="宋体"/>
          <w:color w:val="000000"/>
        </w:rPr>
        <w:t>9.5 投诉</w:t>
      </w:r>
      <w:bookmarkEnd w:id="716"/>
      <w:bookmarkEnd w:id="718"/>
      <w:bookmarkEnd w:id="719"/>
      <w:bookmarkEnd w:id="720"/>
      <w:bookmarkEnd w:id="721"/>
      <w:bookmarkEnd w:id="722"/>
      <w:bookmarkEnd w:id="723"/>
      <w:bookmarkEnd w:id="724"/>
      <w:bookmarkEnd w:id="725"/>
      <w:bookmarkEnd w:id="726"/>
      <w:bookmarkEnd w:id="727"/>
      <w:bookmarkEnd w:id="728"/>
      <w:bookmarkEnd w:id="729"/>
      <w:bookmarkEnd w:id="730"/>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投标人或者其他利害关系人认为招标投标活动中的招标文件和公示结果不符合法律、法规、规章规定的，应当依法在法定期限内向采购人提出异议，采购人应当在收到异议后在规定时间内作出答复。采购人不在规定时间内答复的或者投标人、其他利害关系人对答复有异议的，可就相关事宜向主管部门投诉。</w:t>
      </w:r>
    </w:p>
    <w:p>
      <w:pPr>
        <w:pStyle w:val="3"/>
        <w:keepNext w:val="0"/>
        <w:keepLines w:val="0"/>
        <w:spacing w:line="240" w:lineRule="auto"/>
        <w:rPr>
          <w:rFonts w:ascii="宋体" w:hAnsi="宋体" w:eastAsia="宋体" w:cs="宋体"/>
          <w:color w:val="000000"/>
        </w:rPr>
      </w:pPr>
      <w:bookmarkStart w:id="731" w:name="_Toc152042357"/>
      <w:bookmarkStart w:id="732" w:name="_Toc21511"/>
      <w:bookmarkStart w:id="733" w:name="_Toc152045580"/>
      <w:bookmarkStart w:id="734" w:name="_Toc453756942"/>
      <w:bookmarkStart w:id="735" w:name="_Toc144974547"/>
      <w:bookmarkStart w:id="736" w:name="_Toc246996224"/>
      <w:bookmarkStart w:id="737" w:name="_Toc27700"/>
      <w:bookmarkStart w:id="738" w:name="_Toc25777"/>
      <w:bookmarkStart w:id="739" w:name="_Toc20381"/>
      <w:bookmarkStart w:id="740" w:name="_Toc247085738"/>
      <w:bookmarkStart w:id="741" w:name="_Toc246996967"/>
      <w:bookmarkStart w:id="742" w:name="_Toc7784"/>
      <w:bookmarkStart w:id="743" w:name="_Toc179632598"/>
      <w:bookmarkStart w:id="744" w:name="_Toc9458"/>
      <w:r>
        <w:rPr>
          <w:rFonts w:hint="eastAsia" w:ascii="宋体" w:hAnsi="宋体" w:eastAsia="宋体" w:cs="宋体"/>
          <w:color w:val="000000"/>
        </w:rPr>
        <w:t>10. 需要补充的其他内容</w:t>
      </w:r>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需要补充的其他内容：见投标人须知前附表</w:t>
      </w:r>
    </w:p>
    <w:p>
      <w:pPr>
        <w:spacing w:line="400" w:lineRule="exact"/>
        <w:ind w:firstLine="420" w:firstLineChars="200"/>
        <w:rPr>
          <w:rFonts w:ascii="宋体" w:hAnsi="宋体" w:cs="宋体"/>
          <w:color w:val="000000"/>
        </w:rPr>
      </w:pPr>
    </w:p>
    <w:p>
      <w:pPr>
        <w:pStyle w:val="2"/>
        <w:keepNext w:val="0"/>
        <w:keepLines w:val="0"/>
        <w:spacing w:line="240" w:lineRule="auto"/>
        <w:jc w:val="center"/>
        <w:rPr>
          <w:rFonts w:ascii="宋体" w:hAnsi="宋体" w:cs="宋体"/>
          <w:color w:val="000000"/>
          <w:sz w:val="32"/>
          <w:szCs w:val="32"/>
        </w:rPr>
        <w:sectPr>
          <w:headerReference r:id="rId8" w:type="default"/>
          <w:footerReference r:id="rId9" w:type="default"/>
          <w:pgSz w:w="11906" w:h="16838"/>
          <w:pgMar w:top="1440" w:right="1106" w:bottom="1440" w:left="1800" w:header="851" w:footer="992" w:gutter="0"/>
          <w:cols w:space="720" w:num="1"/>
          <w:rtlGutter w:val="1"/>
          <w:docGrid w:type="lines" w:linePitch="312" w:charSpace="0"/>
        </w:sectPr>
      </w:pPr>
      <w:bookmarkStart w:id="745" w:name="_Toc179632616"/>
      <w:bookmarkStart w:id="746" w:name="_Toc152042375"/>
      <w:bookmarkStart w:id="747" w:name="_Toc152045598"/>
      <w:bookmarkStart w:id="748" w:name="_Toc144974565"/>
      <w:bookmarkStart w:id="749" w:name="_Toc246996241"/>
      <w:bookmarkStart w:id="750" w:name="_Toc247085756"/>
      <w:bookmarkStart w:id="751" w:name="_Toc30749"/>
      <w:bookmarkStart w:id="752" w:name="_Toc246996984"/>
    </w:p>
    <w:p>
      <w:pPr>
        <w:spacing w:line="500" w:lineRule="exact"/>
        <w:jc w:val="center"/>
        <w:rPr>
          <w:rFonts w:ascii="黑体" w:hAnsi="黑体" w:eastAsia="黑体" w:cs="黑体"/>
          <w:b/>
          <w:bCs/>
          <w:color w:val="000000"/>
          <w:sz w:val="44"/>
          <w:szCs w:val="44"/>
        </w:rPr>
      </w:pPr>
      <w:bookmarkStart w:id="753" w:name="_Toc11837"/>
      <w:bookmarkStart w:id="754" w:name="_Toc21572"/>
      <w:r>
        <w:rPr>
          <w:rFonts w:hint="eastAsia" w:ascii="黑体" w:hAnsi="黑体" w:eastAsia="黑体" w:cs="黑体"/>
          <w:b/>
          <w:bCs/>
          <w:color w:val="000000"/>
          <w:sz w:val="44"/>
          <w:szCs w:val="44"/>
        </w:rPr>
        <w:t>第三章 评标办法（综合评分法）</w:t>
      </w:r>
      <w:bookmarkEnd w:id="745"/>
      <w:bookmarkEnd w:id="746"/>
      <w:bookmarkEnd w:id="747"/>
      <w:bookmarkEnd w:id="748"/>
      <w:bookmarkEnd w:id="749"/>
      <w:bookmarkEnd w:id="750"/>
      <w:bookmarkEnd w:id="751"/>
      <w:bookmarkEnd w:id="752"/>
      <w:bookmarkEnd w:id="753"/>
      <w:bookmarkEnd w:id="754"/>
    </w:p>
    <w:p>
      <w:pPr>
        <w:pStyle w:val="87"/>
        <w:spacing w:before="100" w:after="100"/>
        <w:jc w:val="center"/>
        <w:rPr>
          <w:rFonts w:ascii="宋体" w:hAnsi="宋体" w:cs="宋体"/>
          <w:bCs w:val="0"/>
          <w:color w:val="000000"/>
          <w:sz w:val="24"/>
        </w:rPr>
      </w:pPr>
      <w:bookmarkStart w:id="755" w:name="_Toc201487970"/>
      <w:bookmarkStart w:id="756" w:name="_Toc27816"/>
      <w:bookmarkStart w:id="757" w:name="_Toc428007688"/>
      <w:bookmarkStart w:id="758" w:name="_Toc414897788"/>
      <w:bookmarkStart w:id="759" w:name="_Toc453756944"/>
      <w:bookmarkStart w:id="760" w:name="_Toc3624"/>
      <w:bookmarkStart w:id="761" w:name="_Toc201487348"/>
      <w:bookmarkStart w:id="762" w:name="_Toc10379"/>
      <w:bookmarkStart w:id="763" w:name="_Toc202062701"/>
      <w:bookmarkStart w:id="764" w:name="_Toc22976"/>
      <w:bookmarkStart w:id="765" w:name="_Toc12190"/>
      <w:bookmarkStart w:id="766" w:name="_Toc20230"/>
      <w:bookmarkStart w:id="767" w:name="_Toc414891606"/>
      <w:bookmarkStart w:id="768" w:name="_Toc21541"/>
      <w:r>
        <w:rPr>
          <w:rFonts w:hint="eastAsia" w:ascii="宋体" w:hAnsi="宋体" w:cs="宋体"/>
          <w:bCs w:val="0"/>
          <w:color w:val="000000"/>
          <w:sz w:val="24"/>
        </w:rPr>
        <w:t>初步评审表</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tbl>
      <w:tblPr>
        <w:tblStyle w:val="43"/>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7"/>
        <w:gridCol w:w="850"/>
        <w:gridCol w:w="1784"/>
        <w:gridCol w:w="6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1477" w:type="dxa"/>
            <w:gridSpan w:val="2"/>
            <w:vAlign w:val="center"/>
          </w:tcPr>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条款号</w:t>
            </w:r>
          </w:p>
        </w:tc>
        <w:tc>
          <w:tcPr>
            <w:tcW w:w="1784" w:type="dxa"/>
            <w:vAlign w:val="center"/>
          </w:tcPr>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评审因素</w:t>
            </w:r>
          </w:p>
        </w:tc>
        <w:tc>
          <w:tcPr>
            <w:tcW w:w="6066"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53" w:leftChars="25"/>
              <w:textAlignment w:val="auto"/>
              <w:rPr>
                <w:rFonts w:ascii="宋体" w:hAnsi="宋体" w:cs="宋体"/>
                <w:color w:val="000000"/>
                <w:sz w:val="22"/>
                <w:szCs w:val="28"/>
              </w:rPr>
            </w:pPr>
            <w:r>
              <w:rPr>
                <w:rFonts w:hint="eastAsia" w:ascii="宋体" w:hAnsi="宋体" w:cs="宋体"/>
                <w:color w:val="000000"/>
                <w:sz w:val="22"/>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627" w:type="dxa"/>
            <w:vMerge w:val="restart"/>
            <w:vAlign w:val="center"/>
          </w:tcPr>
          <w:p>
            <w:pPr>
              <w:spacing w:line="500" w:lineRule="exact"/>
              <w:rPr>
                <w:rFonts w:ascii="宋体" w:hAnsi="宋体" w:cs="宋体"/>
                <w:color w:val="000000"/>
                <w:sz w:val="22"/>
                <w:szCs w:val="28"/>
              </w:rPr>
            </w:pPr>
            <w:r>
              <w:rPr>
                <w:rFonts w:hint="eastAsia" w:ascii="宋体" w:hAnsi="宋体" w:cs="宋体"/>
                <w:color w:val="000000"/>
                <w:sz w:val="22"/>
                <w:szCs w:val="28"/>
              </w:rPr>
              <w:t>2.1.1</w:t>
            </w:r>
          </w:p>
        </w:tc>
        <w:tc>
          <w:tcPr>
            <w:tcW w:w="850" w:type="dxa"/>
            <w:vMerge w:val="restart"/>
            <w:vAlign w:val="center"/>
          </w:tcPr>
          <w:p>
            <w:pPr>
              <w:spacing w:line="500" w:lineRule="exact"/>
              <w:jc w:val="center"/>
              <w:rPr>
                <w:rFonts w:ascii="宋体" w:hAnsi="宋体" w:cs="宋体"/>
                <w:color w:val="000000"/>
                <w:sz w:val="22"/>
                <w:szCs w:val="28"/>
              </w:rPr>
            </w:pPr>
            <w:r>
              <w:rPr>
                <w:rFonts w:hint="eastAsia" w:ascii="宋体" w:hAnsi="宋体" w:cs="宋体"/>
                <w:color w:val="000000"/>
                <w:sz w:val="22"/>
                <w:szCs w:val="28"/>
              </w:rPr>
              <w:t>形式</w:t>
            </w:r>
          </w:p>
          <w:p>
            <w:pPr>
              <w:spacing w:line="500" w:lineRule="exact"/>
              <w:jc w:val="center"/>
              <w:rPr>
                <w:rFonts w:ascii="宋体" w:hAnsi="宋体" w:cs="宋体"/>
                <w:color w:val="000000"/>
                <w:sz w:val="22"/>
                <w:szCs w:val="28"/>
              </w:rPr>
            </w:pPr>
            <w:r>
              <w:rPr>
                <w:rFonts w:hint="eastAsia" w:ascii="宋体" w:hAnsi="宋体" w:cs="宋体"/>
                <w:color w:val="000000"/>
                <w:sz w:val="22"/>
                <w:szCs w:val="28"/>
              </w:rPr>
              <w:t>评审</w:t>
            </w:r>
          </w:p>
          <w:p>
            <w:pPr>
              <w:spacing w:line="500" w:lineRule="exact"/>
              <w:jc w:val="center"/>
              <w:rPr>
                <w:rFonts w:ascii="宋体" w:hAnsi="宋体" w:cs="宋体"/>
                <w:color w:val="000000"/>
                <w:sz w:val="22"/>
                <w:szCs w:val="28"/>
              </w:rPr>
            </w:pPr>
            <w:r>
              <w:rPr>
                <w:rFonts w:hint="eastAsia" w:ascii="宋体" w:hAnsi="宋体" w:cs="宋体"/>
                <w:color w:val="000000"/>
                <w:sz w:val="22"/>
                <w:szCs w:val="28"/>
              </w:rPr>
              <w:t>标准</w:t>
            </w:r>
          </w:p>
        </w:tc>
        <w:tc>
          <w:tcPr>
            <w:tcW w:w="1784" w:type="dxa"/>
            <w:vAlign w:val="center"/>
          </w:tcPr>
          <w:p>
            <w:pPr>
              <w:spacing w:line="500" w:lineRule="exact"/>
              <w:jc w:val="center"/>
              <w:rPr>
                <w:rFonts w:ascii="宋体" w:hAnsi="宋体" w:cs="宋体"/>
                <w:color w:val="000000"/>
                <w:sz w:val="22"/>
                <w:szCs w:val="28"/>
              </w:rPr>
            </w:pPr>
            <w:r>
              <w:rPr>
                <w:rFonts w:hint="eastAsia" w:ascii="宋体" w:hAnsi="宋体" w:cs="宋体"/>
                <w:color w:val="000000"/>
                <w:sz w:val="22"/>
                <w:szCs w:val="28"/>
              </w:rPr>
              <w:t>投标人名称</w:t>
            </w:r>
          </w:p>
        </w:tc>
        <w:tc>
          <w:tcPr>
            <w:tcW w:w="6066"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53" w:leftChars="25"/>
              <w:textAlignment w:val="auto"/>
              <w:rPr>
                <w:rFonts w:ascii="宋体" w:hAnsi="宋体" w:cs="宋体"/>
                <w:color w:val="000000"/>
                <w:sz w:val="22"/>
                <w:szCs w:val="28"/>
              </w:rPr>
            </w:pPr>
            <w:r>
              <w:rPr>
                <w:rFonts w:hint="eastAsia" w:ascii="宋体" w:hAnsi="宋体" w:cs="宋体"/>
                <w:color w:val="000000"/>
                <w:sz w:val="22"/>
                <w:szCs w:val="28"/>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627" w:type="dxa"/>
            <w:vMerge w:val="continue"/>
            <w:vAlign w:val="center"/>
          </w:tcPr>
          <w:p>
            <w:pPr>
              <w:spacing w:line="500" w:lineRule="exact"/>
              <w:ind w:firstLine="440" w:firstLineChars="200"/>
              <w:rPr>
                <w:rFonts w:ascii="宋体" w:hAnsi="宋体" w:cs="宋体"/>
                <w:color w:val="000000"/>
                <w:sz w:val="22"/>
                <w:szCs w:val="28"/>
              </w:rPr>
            </w:pPr>
          </w:p>
        </w:tc>
        <w:tc>
          <w:tcPr>
            <w:tcW w:w="850" w:type="dxa"/>
            <w:vMerge w:val="continue"/>
            <w:vAlign w:val="center"/>
          </w:tcPr>
          <w:p>
            <w:pPr>
              <w:spacing w:line="500" w:lineRule="exact"/>
              <w:ind w:firstLine="440" w:firstLineChars="200"/>
              <w:jc w:val="center"/>
              <w:rPr>
                <w:rFonts w:ascii="宋体" w:hAnsi="宋体" w:cs="宋体"/>
                <w:color w:val="000000"/>
                <w:sz w:val="22"/>
                <w:szCs w:val="28"/>
              </w:rPr>
            </w:pPr>
          </w:p>
        </w:tc>
        <w:tc>
          <w:tcPr>
            <w:tcW w:w="1784" w:type="dxa"/>
            <w:vAlign w:val="center"/>
          </w:tcPr>
          <w:p>
            <w:pPr>
              <w:spacing w:line="500" w:lineRule="exact"/>
              <w:jc w:val="center"/>
              <w:rPr>
                <w:rFonts w:ascii="宋体" w:hAnsi="宋体" w:cs="宋体"/>
                <w:color w:val="000000"/>
                <w:sz w:val="22"/>
                <w:szCs w:val="28"/>
              </w:rPr>
            </w:pPr>
            <w:r>
              <w:rPr>
                <w:rFonts w:hint="eastAsia" w:ascii="宋体" w:hAnsi="宋体" w:cs="宋体"/>
                <w:color w:val="000000"/>
                <w:sz w:val="22"/>
                <w:szCs w:val="28"/>
              </w:rPr>
              <w:t>投标函签字盖章</w:t>
            </w:r>
          </w:p>
        </w:tc>
        <w:tc>
          <w:tcPr>
            <w:tcW w:w="6066"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53" w:leftChars="25"/>
              <w:textAlignment w:val="auto"/>
              <w:rPr>
                <w:rFonts w:ascii="宋体" w:hAnsi="宋体" w:cs="宋体"/>
                <w:color w:val="000000"/>
                <w:sz w:val="22"/>
                <w:szCs w:val="28"/>
              </w:rPr>
            </w:pPr>
            <w:r>
              <w:rPr>
                <w:rFonts w:hint="eastAsia" w:ascii="宋体" w:hAnsi="宋体" w:cs="宋体"/>
                <w:color w:val="000000"/>
                <w:sz w:val="22"/>
                <w:szCs w:val="28"/>
              </w:rPr>
              <w:t>有法定代表人或其委托代理人签字并加盖单位章。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627" w:type="dxa"/>
            <w:vMerge w:val="continue"/>
            <w:vAlign w:val="center"/>
          </w:tcPr>
          <w:p>
            <w:pPr>
              <w:spacing w:line="500" w:lineRule="exact"/>
              <w:ind w:firstLine="440" w:firstLineChars="200"/>
              <w:rPr>
                <w:rFonts w:ascii="宋体" w:hAnsi="宋体" w:cs="宋体"/>
                <w:color w:val="000000"/>
                <w:sz w:val="22"/>
                <w:szCs w:val="28"/>
              </w:rPr>
            </w:pPr>
          </w:p>
        </w:tc>
        <w:tc>
          <w:tcPr>
            <w:tcW w:w="850" w:type="dxa"/>
            <w:vMerge w:val="continue"/>
            <w:vAlign w:val="center"/>
          </w:tcPr>
          <w:p>
            <w:pPr>
              <w:spacing w:line="500" w:lineRule="exact"/>
              <w:ind w:firstLine="440" w:firstLineChars="200"/>
              <w:jc w:val="center"/>
              <w:rPr>
                <w:rFonts w:ascii="宋体" w:hAnsi="宋体" w:cs="宋体"/>
                <w:color w:val="000000"/>
                <w:sz w:val="22"/>
                <w:szCs w:val="28"/>
              </w:rPr>
            </w:pPr>
          </w:p>
        </w:tc>
        <w:tc>
          <w:tcPr>
            <w:tcW w:w="1784" w:type="dxa"/>
            <w:vAlign w:val="center"/>
          </w:tcPr>
          <w:p>
            <w:pPr>
              <w:spacing w:line="500" w:lineRule="exact"/>
              <w:jc w:val="center"/>
              <w:rPr>
                <w:rFonts w:ascii="宋体" w:hAnsi="宋体" w:cs="宋体"/>
                <w:color w:val="000000"/>
                <w:sz w:val="22"/>
                <w:szCs w:val="28"/>
              </w:rPr>
            </w:pPr>
            <w:r>
              <w:rPr>
                <w:rFonts w:hint="eastAsia" w:ascii="宋体" w:hAnsi="宋体" w:cs="宋体"/>
                <w:color w:val="000000"/>
                <w:sz w:val="22"/>
                <w:szCs w:val="28"/>
              </w:rPr>
              <w:t>投标文件格式</w:t>
            </w:r>
          </w:p>
        </w:tc>
        <w:tc>
          <w:tcPr>
            <w:tcW w:w="6066"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53" w:leftChars="25"/>
              <w:textAlignment w:val="auto"/>
              <w:rPr>
                <w:rFonts w:ascii="宋体" w:hAnsi="宋体" w:cs="宋体"/>
                <w:color w:val="000000"/>
                <w:sz w:val="22"/>
                <w:szCs w:val="28"/>
              </w:rPr>
            </w:pPr>
            <w:r>
              <w:rPr>
                <w:rFonts w:hint="eastAsia" w:ascii="宋体" w:hAnsi="宋体" w:cs="宋体"/>
                <w:color w:val="000000"/>
                <w:sz w:val="22"/>
                <w:szCs w:val="28"/>
              </w:rPr>
              <w:t>符合第六章“投标文件格式”的要求。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627" w:type="dxa"/>
            <w:vMerge w:val="continue"/>
            <w:vAlign w:val="center"/>
          </w:tcPr>
          <w:p>
            <w:pPr>
              <w:spacing w:line="500" w:lineRule="exact"/>
              <w:ind w:firstLine="440" w:firstLineChars="200"/>
              <w:rPr>
                <w:rFonts w:ascii="宋体" w:hAnsi="宋体" w:cs="宋体"/>
                <w:color w:val="000000"/>
                <w:sz w:val="22"/>
                <w:szCs w:val="28"/>
              </w:rPr>
            </w:pPr>
          </w:p>
        </w:tc>
        <w:tc>
          <w:tcPr>
            <w:tcW w:w="850" w:type="dxa"/>
            <w:vMerge w:val="continue"/>
            <w:vAlign w:val="center"/>
          </w:tcPr>
          <w:p>
            <w:pPr>
              <w:spacing w:line="500" w:lineRule="exact"/>
              <w:ind w:firstLine="440" w:firstLineChars="200"/>
              <w:jc w:val="center"/>
              <w:rPr>
                <w:rFonts w:ascii="宋体" w:hAnsi="宋体" w:cs="宋体"/>
                <w:color w:val="000000"/>
                <w:sz w:val="22"/>
                <w:szCs w:val="28"/>
              </w:rPr>
            </w:pPr>
          </w:p>
        </w:tc>
        <w:tc>
          <w:tcPr>
            <w:tcW w:w="1784" w:type="dxa"/>
            <w:vAlign w:val="center"/>
          </w:tcPr>
          <w:p>
            <w:pPr>
              <w:spacing w:line="500" w:lineRule="exact"/>
              <w:jc w:val="center"/>
              <w:rPr>
                <w:rFonts w:ascii="宋体" w:hAnsi="宋体" w:cs="宋体"/>
                <w:color w:val="000000"/>
                <w:sz w:val="22"/>
                <w:szCs w:val="28"/>
              </w:rPr>
            </w:pPr>
            <w:r>
              <w:rPr>
                <w:rFonts w:hint="eastAsia" w:ascii="宋体" w:hAnsi="宋体" w:cs="宋体"/>
                <w:color w:val="000000"/>
                <w:sz w:val="22"/>
                <w:szCs w:val="28"/>
              </w:rPr>
              <w:t>报价唯一</w:t>
            </w:r>
          </w:p>
        </w:tc>
        <w:tc>
          <w:tcPr>
            <w:tcW w:w="6066"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53" w:leftChars="25"/>
              <w:textAlignment w:val="auto"/>
              <w:rPr>
                <w:rFonts w:ascii="宋体" w:hAnsi="宋体" w:cs="宋体"/>
                <w:color w:val="000000"/>
                <w:sz w:val="22"/>
                <w:szCs w:val="28"/>
              </w:rPr>
            </w:pPr>
            <w:r>
              <w:rPr>
                <w:rFonts w:hint="eastAsia" w:ascii="宋体" w:hAnsi="宋体" w:cs="宋体"/>
                <w:color w:val="000000"/>
                <w:sz w:val="22"/>
                <w:szCs w:val="28"/>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627" w:type="dxa"/>
            <w:vMerge w:val="restart"/>
            <w:vAlign w:val="center"/>
          </w:tcPr>
          <w:p>
            <w:pPr>
              <w:spacing w:line="500" w:lineRule="exact"/>
              <w:jc w:val="center"/>
              <w:rPr>
                <w:rFonts w:ascii="宋体" w:hAnsi="宋体" w:cs="宋体"/>
                <w:color w:val="000000"/>
                <w:sz w:val="22"/>
                <w:szCs w:val="28"/>
              </w:rPr>
            </w:pPr>
            <w:r>
              <w:rPr>
                <w:rFonts w:hint="eastAsia" w:ascii="宋体" w:hAnsi="宋体" w:cs="宋体"/>
                <w:color w:val="000000"/>
                <w:sz w:val="22"/>
                <w:szCs w:val="28"/>
              </w:rPr>
              <w:t>2.1.2</w:t>
            </w:r>
          </w:p>
        </w:tc>
        <w:tc>
          <w:tcPr>
            <w:tcW w:w="850" w:type="dxa"/>
            <w:vMerge w:val="restart"/>
            <w:vAlign w:val="center"/>
          </w:tcPr>
          <w:p>
            <w:pPr>
              <w:spacing w:line="500" w:lineRule="exact"/>
              <w:jc w:val="center"/>
              <w:rPr>
                <w:rFonts w:ascii="宋体" w:hAnsi="宋体" w:cs="宋体"/>
                <w:color w:val="000000"/>
                <w:sz w:val="22"/>
                <w:szCs w:val="28"/>
              </w:rPr>
            </w:pPr>
            <w:r>
              <w:rPr>
                <w:rFonts w:hint="eastAsia" w:ascii="宋体" w:hAnsi="宋体" w:cs="宋体"/>
                <w:color w:val="000000"/>
                <w:sz w:val="22"/>
                <w:szCs w:val="28"/>
              </w:rPr>
              <w:t>资格</w:t>
            </w:r>
          </w:p>
          <w:p>
            <w:pPr>
              <w:spacing w:line="500" w:lineRule="exact"/>
              <w:jc w:val="center"/>
              <w:rPr>
                <w:rFonts w:ascii="宋体" w:hAnsi="宋体" w:cs="宋体"/>
                <w:color w:val="000000"/>
                <w:sz w:val="22"/>
                <w:szCs w:val="28"/>
              </w:rPr>
            </w:pPr>
            <w:r>
              <w:rPr>
                <w:rFonts w:hint="eastAsia" w:ascii="宋体" w:hAnsi="宋体" w:cs="宋体"/>
                <w:color w:val="000000"/>
                <w:sz w:val="22"/>
                <w:szCs w:val="28"/>
              </w:rPr>
              <w:t>评审</w:t>
            </w:r>
          </w:p>
          <w:p>
            <w:pPr>
              <w:spacing w:line="500" w:lineRule="exact"/>
              <w:jc w:val="center"/>
              <w:rPr>
                <w:rFonts w:ascii="宋体" w:hAnsi="宋体" w:cs="宋体"/>
                <w:color w:val="000000"/>
                <w:sz w:val="22"/>
                <w:szCs w:val="28"/>
              </w:rPr>
            </w:pPr>
            <w:r>
              <w:rPr>
                <w:rFonts w:hint="eastAsia" w:ascii="宋体" w:hAnsi="宋体" w:cs="宋体"/>
                <w:color w:val="000000"/>
                <w:sz w:val="22"/>
                <w:szCs w:val="28"/>
              </w:rPr>
              <w:t>标准</w:t>
            </w:r>
          </w:p>
        </w:tc>
        <w:tc>
          <w:tcPr>
            <w:tcW w:w="1784" w:type="dxa"/>
            <w:vAlign w:val="center"/>
          </w:tcPr>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lang w:val="zh-CN"/>
              </w:rPr>
              <w:t>营业执照</w:t>
            </w:r>
          </w:p>
        </w:tc>
        <w:tc>
          <w:tcPr>
            <w:tcW w:w="6066"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53" w:leftChars="25"/>
              <w:textAlignment w:val="auto"/>
              <w:rPr>
                <w:rFonts w:ascii="宋体" w:hAnsi="宋体" w:cs="宋体"/>
                <w:color w:val="000000"/>
                <w:sz w:val="22"/>
                <w:szCs w:val="28"/>
              </w:rPr>
            </w:pPr>
            <w:r>
              <w:rPr>
                <w:rFonts w:hint="eastAsia" w:ascii="宋体" w:hAnsi="宋体" w:cs="宋体"/>
                <w:color w:val="000000"/>
                <w:sz w:val="22"/>
                <w:szCs w:val="28"/>
              </w:rPr>
              <w:t>具有</w:t>
            </w:r>
            <w:r>
              <w:rPr>
                <w:rFonts w:hint="eastAsia" w:ascii="宋体" w:hAnsi="宋体" w:cs="宋体"/>
                <w:color w:val="000000"/>
                <w:sz w:val="22"/>
                <w:szCs w:val="28"/>
                <w:lang w:val="en-US" w:eastAsia="zh-CN"/>
              </w:rPr>
              <w:t>有</w:t>
            </w:r>
            <w:r>
              <w:rPr>
                <w:rFonts w:hint="eastAsia" w:ascii="宋体" w:hAnsi="宋体" w:cs="宋体"/>
                <w:color w:val="000000"/>
                <w:sz w:val="22"/>
                <w:szCs w:val="28"/>
              </w:rPr>
              <w:t>效营业执照副本；</w:t>
            </w:r>
            <w:r>
              <w:rPr>
                <w:rFonts w:hint="eastAsia" w:ascii="宋体" w:hAnsi="宋体" w:cs="宋体"/>
                <w:color w:val="000000"/>
                <w:sz w:val="22"/>
                <w:szCs w:val="28"/>
                <w:lang w:val="zh-CN"/>
              </w:rPr>
              <w:t>（</w:t>
            </w:r>
            <w:r>
              <w:rPr>
                <w:rFonts w:hint="eastAsia" w:ascii="宋体" w:hAnsi="宋体" w:cs="宋体"/>
                <w:color w:val="000000"/>
                <w:sz w:val="22"/>
                <w:szCs w:val="28"/>
              </w:rPr>
              <w:t>标书内附复印件加盖公章）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627" w:type="dxa"/>
            <w:vMerge w:val="continue"/>
            <w:vAlign w:val="center"/>
          </w:tcPr>
          <w:p>
            <w:pPr>
              <w:spacing w:line="500" w:lineRule="exact"/>
              <w:jc w:val="center"/>
              <w:rPr>
                <w:rFonts w:ascii="宋体" w:hAnsi="宋体" w:cs="宋体"/>
                <w:color w:val="000000"/>
                <w:sz w:val="22"/>
                <w:szCs w:val="28"/>
              </w:rPr>
            </w:pPr>
          </w:p>
        </w:tc>
        <w:tc>
          <w:tcPr>
            <w:tcW w:w="850" w:type="dxa"/>
            <w:vMerge w:val="continue"/>
            <w:vAlign w:val="center"/>
          </w:tcPr>
          <w:p>
            <w:pPr>
              <w:spacing w:line="500" w:lineRule="exact"/>
              <w:jc w:val="center"/>
              <w:rPr>
                <w:rFonts w:ascii="宋体" w:hAnsi="宋体" w:cs="宋体"/>
                <w:color w:val="000000"/>
                <w:sz w:val="22"/>
                <w:szCs w:val="28"/>
              </w:rPr>
            </w:pPr>
          </w:p>
        </w:tc>
        <w:tc>
          <w:tcPr>
            <w:tcW w:w="1784" w:type="dxa"/>
            <w:vAlign w:val="center"/>
          </w:tcPr>
          <w:p>
            <w:pPr>
              <w:spacing w:line="500" w:lineRule="exact"/>
              <w:jc w:val="center"/>
              <w:rPr>
                <w:rFonts w:ascii="宋体" w:hAnsi="宋体" w:cs="宋体"/>
                <w:color w:val="000000"/>
                <w:sz w:val="22"/>
                <w:szCs w:val="28"/>
                <w:lang w:val="zh-CN"/>
              </w:rPr>
            </w:pPr>
            <w:r>
              <w:rPr>
                <w:rFonts w:hint="eastAsia" w:ascii="宋体" w:hAnsi="宋体" w:cs="宋体"/>
                <w:color w:val="000000"/>
                <w:sz w:val="22"/>
                <w:szCs w:val="28"/>
              </w:rPr>
              <w:t>资质要求</w:t>
            </w:r>
          </w:p>
        </w:tc>
        <w:tc>
          <w:tcPr>
            <w:tcW w:w="6066"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53" w:leftChars="25"/>
              <w:textAlignment w:val="auto"/>
              <w:rPr>
                <w:rFonts w:ascii="宋体" w:hAnsi="宋体" w:cs="宋体"/>
                <w:color w:val="000000"/>
                <w:sz w:val="22"/>
                <w:szCs w:val="28"/>
                <w:lang w:val="zh-CN"/>
              </w:rPr>
            </w:pPr>
            <w:r>
              <w:rPr>
                <w:rFonts w:hint="eastAsia" w:ascii="宋体" w:hAnsi="宋体" w:cs="宋体"/>
                <w:color w:val="000000"/>
                <w:sz w:val="22"/>
                <w:szCs w:val="28"/>
                <w:lang w:val="zh-CN"/>
              </w:rPr>
              <w:t>具有省级及以上政府保密部门颁发的国家秘密载体印制资质（涉密档案数字化加工）乙级及以上资质</w:t>
            </w:r>
            <w:r>
              <w:rPr>
                <w:rFonts w:hint="eastAsia" w:ascii="宋体" w:hAnsi="宋体" w:cs="宋体"/>
                <w:color w:val="000000"/>
                <w:sz w:val="22"/>
                <w:szCs w:val="28"/>
              </w:rPr>
              <w:t>；</w:t>
            </w:r>
            <w:r>
              <w:rPr>
                <w:rFonts w:hint="eastAsia" w:ascii="宋体" w:hAnsi="宋体" w:cs="宋体"/>
                <w:color w:val="000000"/>
                <w:sz w:val="22"/>
                <w:szCs w:val="28"/>
                <w:lang w:val="zh-CN"/>
              </w:rPr>
              <w:t>（</w:t>
            </w:r>
            <w:r>
              <w:rPr>
                <w:rFonts w:hint="eastAsia" w:ascii="宋体" w:hAnsi="宋体" w:cs="宋体"/>
                <w:color w:val="000000"/>
                <w:sz w:val="22"/>
                <w:szCs w:val="28"/>
              </w:rPr>
              <w:t>标书内附复印件加盖公章）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0" w:hRule="atLeast"/>
          <w:jc w:val="center"/>
        </w:trPr>
        <w:tc>
          <w:tcPr>
            <w:tcW w:w="627" w:type="dxa"/>
            <w:vMerge w:val="continue"/>
            <w:vAlign w:val="center"/>
          </w:tcPr>
          <w:p>
            <w:pPr>
              <w:spacing w:line="500" w:lineRule="exact"/>
              <w:ind w:firstLine="440" w:firstLineChars="200"/>
              <w:rPr>
                <w:rFonts w:ascii="宋体" w:hAnsi="宋体" w:cs="宋体"/>
                <w:color w:val="000000"/>
                <w:sz w:val="22"/>
                <w:szCs w:val="28"/>
              </w:rPr>
            </w:pPr>
          </w:p>
        </w:tc>
        <w:tc>
          <w:tcPr>
            <w:tcW w:w="850" w:type="dxa"/>
            <w:vMerge w:val="continue"/>
            <w:vAlign w:val="center"/>
          </w:tcPr>
          <w:p>
            <w:pPr>
              <w:spacing w:line="500" w:lineRule="exact"/>
              <w:ind w:firstLine="440" w:firstLineChars="200"/>
              <w:rPr>
                <w:rFonts w:ascii="宋体" w:hAnsi="宋体" w:cs="宋体"/>
                <w:color w:val="000000"/>
                <w:sz w:val="22"/>
                <w:szCs w:val="28"/>
              </w:rPr>
            </w:pPr>
          </w:p>
        </w:tc>
        <w:tc>
          <w:tcPr>
            <w:tcW w:w="1784" w:type="dxa"/>
            <w:vAlign w:val="center"/>
          </w:tcPr>
          <w:p>
            <w:pPr>
              <w:spacing w:line="500" w:lineRule="exact"/>
              <w:jc w:val="center"/>
              <w:rPr>
                <w:rFonts w:ascii="宋体" w:hAnsi="宋体" w:cs="宋体"/>
                <w:color w:val="000000"/>
                <w:sz w:val="22"/>
                <w:szCs w:val="28"/>
              </w:rPr>
            </w:pPr>
            <w:r>
              <w:rPr>
                <w:rFonts w:hint="eastAsia" w:ascii="宋体" w:hAnsi="宋体" w:cs="宋体"/>
                <w:color w:val="000000"/>
                <w:sz w:val="22"/>
                <w:szCs w:val="28"/>
              </w:rPr>
              <w:t>财务、社保及纳税要求</w:t>
            </w:r>
          </w:p>
        </w:tc>
        <w:tc>
          <w:tcPr>
            <w:tcW w:w="6066"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53" w:leftChars="25"/>
              <w:textAlignment w:val="auto"/>
              <w:rPr>
                <w:rFonts w:ascii="宋体" w:hAnsi="宋体" w:cs="宋体"/>
                <w:color w:val="000000"/>
                <w:sz w:val="22"/>
                <w:szCs w:val="28"/>
              </w:rPr>
            </w:pPr>
            <w:r>
              <w:rPr>
                <w:rFonts w:hint="eastAsia" w:ascii="宋体" w:hAnsi="宋体" w:cs="宋体"/>
                <w:color w:val="000000"/>
                <w:sz w:val="22"/>
                <w:szCs w:val="28"/>
                <w:lang w:val="zh-CN"/>
              </w:rPr>
              <w:t>投标单位应按照《长春市财政局关于加强政府采购信用体系建设简化供应商资格条件有关事项的通知》（长财采购〔2022〕2066号）文件要求，在投标文件中提交反映其财务状况、依法缴纳税收和社保保障资金情况的资格条件承诺函，并对资格条件承诺函有关内容的真实性、有效性、合法性负责</w:t>
            </w:r>
            <w:r>
              <w:rPr>
                <w:rFonts w:hint="eastAsia" w:ascii="宋体" w:hAnsi="宋体" w:cs="宋体"/>
                <w:color w:val="000000"/>
                <w:sz w:val="22"/>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3" w:hRule="atLeast"/>
          <w:jc w:val="center"/>
        </w:trPr>
        <w:tc>
          <w:tcPr>
            <w:tcW w:w="627" w:type="dxa"/>
            <w:vMerge w:val="continue"/>
            <w:vAlign w:val="center"/>
          </w:tcPr>
          <w:p>
            <w:pPr>
              <w:spacing w:line="500" w:lineRule="exact"/>
              <w:ind w:firstLine="440" w:firstLineChars="200"/>
              <w:rPr>
                <w:rFonts w:ascii="宋体" w:hAnsi="宋体" w:cs="宋体"/>
                <w:color w:val="000000"/>
                <w:sz w:val="22"/>
                <w:szCs w:val="28"/>
              </w:rPr>
            </w:pPr>
          </w:p>
        </w:tc>
        <w:tc>
          <w:tcPr>
            <w:tcW w:w="850" w:type="dxa"/>
            <w:vMerge w:val="continue"/>
            <w:vAlign w:val="center"/>
          </w:tcPr>
          <w:p>
            <w:pPr>
              <w:spacing w:line="500" w:lineRule="exact"/>
              <w:ind w:firstLine="440" w:firstLineChars="200"/>
              <w:rPr>
                <w:rFonts w:ascii="宋体" w:hAnsi="宋体" w:cs="宋体"/>
                <w:color w:val="000000"/>
                <w:sz w:val="22"/>
                <w:szCs w:val="28"/>
              </w:rPr>
            </w:pPr>
          </w:p>
        </w:tc>
        <w:tc>
          <w:tcPr>
            <w:tcW w:w="1784" w:type="dxa"/>
            <w:vAlign w:val="center"/>
          </w:tcPr>
          <w:p>
            <w:pPr>
              <w:spacing w:line="500" w:lineRule="exact"/>
              <w:jc w:val="center"/>
              <w:rPr>
                <w:rFonts w:ascii="宋体" w:hAnsi="宋体" w:cs="宋体"/>
                <w:color w:val="000000"/>
                <w:sz w:val="22"/>
                <w:szCs w:val="28"/>
              </w:rPr>
            </w:pPr>
            <w:r>
              <w:rPr>
                <w:rFonts w:hint="eastAsia" w:ascii="宋体" w:hAnsi="宋体" w:cs="宋体"/>
                <w:color w:val="000000"/>
                <w:sz w:val="22"/>
                <w:szCs w:val="28"/>
              </w:rPr>
              <w:t>信誉</w:t>
            </w:r>
          </w:p>
        </w:tc>
        <w:tc>
          <w:tcPr>
            <w:tcW w:w="6066"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53" w:leftChars="25"/>
              <w:textAlignment w:val="auto"/>
              <w:rPr>
                <w:rFonts w:ascii="宋体" w:hAnsi="宋体" w:cs="宋体"/>
                <w:color w:val="000000"/>
                <w:sz w:val="22"/>
                <w:szCs w:val="28"/>
              </w:rPr>
            </w:pPr>
            <w:r>
              <w:rPr>
                <w:rFonts w:hint="eastAsia" w:ascii="宋体" w:hAnsi="宋体" w:cs="宋体"/>
                <w:color w:val="000000"/>
                <w:sz w:val="22"/>
                <w:szCs w:val="28"/>
              </w:rPr>
              <w:t>不接受信用中国网站被列入失信被执行人、重大税收违法案件当事人名单、中国政府采购网被列入政府采购严重违法失信行为记录名单的投标人参与投标（详见财库[2016]125号文件）；投标人、法定代表人在中国裁判文书网（http://wenshu.court.gov.cn）无行贿受贿犯罪记录。提供相关网页截图及由法定代表人或其授权委托人签字并加盖公章的承诺书，承诺书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627" w:type="dxa"/>
            <w:vMerge w:val="continue"/>
            <w:vAlign w:val="center"/>
          </w:tcPr>
          <w:p>
            <w:pPr>
              <w:spacing w:line="500" w:lineRule="exact"/>
              <w:ind w:firstLine="440" w:firstLineChars="200"/>
              <w:rPr>
                <w:rFonts w:ascii="宋体" w:hAnsi="宋体" w:cs="宋体"/>
                <w:color w:val="000000"/>
                <w:sz w:val="22"/>
                <w:szCs w:val="28"/>
              </w:rPr>
            </w:pPr>
          </w:p>
        </w:tc>
        <w:tc>
          <w:tcPr>
            <w:tcW w:w="850" w:type="dxa"/>
            <w:vMerge w:val="continue"/>
            <w:vAlign w:val="center"/>
          </w:tcPr>
          <w:p>
            <w:pPr>
              <w:spacing w:line="500" w:lineRule="exact"/>
              <w:ind w:firstLine="440" w:firstLineChars="200"/>
              <w:rPr>
                <w:rFonts w:ascii="宋体" w:hAnsi="宋体" w:cs="宋体"/>
                <w:color w:val="000000"/>
                <w:sz w:val="22"/>
                <w:szCs w:val="28"/>
              </w:rPr>
            </w:pPr>
          </w:p>
        </w:tc>
        <w:tc>
          <w:tcPr>
            <w:tcW w:w="1784" w:type="dxa"/>
            <w:vAlign w:val="center"/>
          </w:tcPr>
          <w:p>
            <w:pPr>
              <w:spacing w:line="500" w:lineRule="exact"/>
              <w:jc w:val="center"/>
              <w:rPr>
                <w:rFonts w:ascii="宋体" w:hAnsi="宋体" w:cs="宋体"/>
                <w:color w:val="000000"/>
                <w:sz w:val="22"/>
                <w:szCs w:val="28"/>
                <w:lang w:val="zh-CN"/>
              </w:rPr>
            </w:pPr>
            <w:r>
              <w:rPr>
                <w:rFonts w:hint="eastAsia" w:ascii="宋体" w:hAnsi="宋体" w:cs="宋体"/>
                <w:color w:val="000000"/>
                <w:sz w:val="22"/>
                <w:szCs w:val="28"/>
                <w:lang w:val="zh-CN"/>
              </w:rPr>
              <w:t>不存在禁止投标的情形</w:t>
            </w:r>
          </w:p>
        </w:tc>
        <w:tc>
          <w:tcPr>
            <w:tcW w:w="6066"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53" w:leftChars="25"/>
              <w:textAlignment w:val="auto"/>
              <w:rPr>
                <w:rFonts w:ascii="宋体" w:hAnsi="宋体" w:cs="宋体"/>
                <w:color w:val="000000"/>
                <w:sz w:val="22"/>
                <w:szCs w:val="28"/>
                <w:lang w:val="zh-CN"/>
              </w:rPr>
            </w:pPr>
            <w:r>
              <w:rPr>
                <w:rFonts w:hint="eastAsia" w:ascii="宋体" w:hAnsi="宋体" w:cs="宋体"/>
                <w:color w:val="000000"/>
                <w:sz w:val="22"/>
                <w:szCs w:val="28"/>
                <w:lang w:val="zh-CN"/>
              </w:rPr>
              <w:t>1.不存在第二章“投标人须知”第1.4.</w:t>
            </w:r>
            <w:r>
              <w:rPr>
                <w:rFonts w:hint="eastAsia" w:ascii="宋体" w:hAnsi="宋体" w:cs="宋体"/>
                <w:color w:val="000000"/>
                <w:sz w:val="22"/>
                <w:szCs w:val="28"/>
              </w:rPr>
              <w:t>1</w:t>
            </w:r>
            <w:r>
              <w:rPr>
                <w:rFonts w:hint="eastAsia" w:ascii="宋体" w:hAnsi="宋体" w:cs="宋体"/>
                <w:color w:val="000000"/>
                <w:sz w:val="22"/>
                <w:szCs w:val="28"/>
                <w:lang w:val="zh-CN"/>
              </w:rPr>
              <w:t>项规定的不允许情形</w:t>
            </w:r>
          </w:p>
          <w:p>
            <w:pPr>
              <w:keepNext w:val="0"/>
              <w:keepLines w:val="0"/>
              <w:pageBreakBefore w:val="0"/>
              <w:widowControl w:val="0"/>
              <w:kinsoku/>
              <w:wordWrap/>
              <w:overflowPunct/>
              <w:topLinePunct w:val="0"/>
              <w:autoSpaceDE/>
              <w:autoSpaceDN/>
              <w:bidi w:val="0"/>
              <w:adjustRightInd/>
              <w:snapToGrid/>
              <w:spacing w:line="500" w:lineRule="exact"/>
              <w:ind w:left="53" w:leftChars="25"/>
              <w:textAlignment w:val="auto"/>
              <w:rPr>
                <w:rFonts w:ascii="宋体" w:hAnsi="宋体" w:cs="宋体"/>
                <w:color w:val="000000"/>
                <w:sz w:val="22"/>
                <w:szCs w:val="28"/>
              </w:rPr>
            </w:pPr>
            <w:r>
              <w:rPr>
                <w:rFonts w:hint="eastAsia" w:ascii="宋体" w:hAnsi="宋体" w:cs="宋体"/>
                <w:color w:val="000000"/>
                <w:sz w:val="22"/>
                <w:szCs w:val="28"/>
              </w:rPr>
              <w:t>2.拒绝列入政府取消投标资格记录期间的企业或个人参与本次政府采购活动；</w:t>
            </w:r>
          </w:p>
          <w:p>
            <w:pPr>
              <w:keepNext w:val="0"/>
              <w:keepLines w:val="0"/>
              <w:pageBreakBefore w:val="0"/>
              <w:widowControl w:val="0"/>
              <w:kinsoku/>
              <w:wordWrap/>
              <w:overflowPunct/>
              <w:topLinePunct w:val="0"/>
              <w:autoSpaceDE/>
              <w:autoSpaceDN/>
              <w:bidi w:val="0"/>
              <w:adjustRightInd/>
              <w:snapToGrid/>
              <w:spacing w:line="500" w:lineRule="exact"/>
              <w:ind w:left="53" w:leftChars="25"/>
              <w:textAlignment w:val="auto"/>
              <w:rPr>
                <w:rFonts w:ascii="宋体" w:hAnsi="宋体" w:cs="宋体"/>
                <w:color w:val="000000"/>
                <w:sz w:val="22"/>
                <w:szCs w:val="28"/>
              </w:rPr>
            </w:pPr>
            <w:r>
              <w:rPr>
                <w:rFonts w:hint="eastAsia" w:ascii="宋体" w:hAnsi="宋体" w:cs="宋体"/>
                <w:color w:val="000000"/>
                <w:sz w:val="22"/>
                <w:szCs w:val="28"/>
              </w:rPr>
              <w:t>3.参加政府采购活动前三年内在经营活动中没有重大违法记录的书面声明；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500" w:lineRule="exact"/>
              <w:ind w:left="53" w:leftChars="25"/>
              <w:textAlignment w:val="auto"/>
              <w:rPr>
                <w:rFonts w:ascii="宋体" w:hAnsi="宋体" w:cs="宋体"/>
                <w:color w:val="000000"/>
                <w:sz w:val="22"/>
                <w:szCs w:val="28"/>
                <w:lang w:val="zh-CN"/>
              </w:rPr>
            </w:pPr>
            <w:r>
              <w:rPr>
                <w:rFonts w:hint="eastAsia" w:ascii="宋体" w:hAnsi="宋体" w:cs="宋体"/>
                <w:color w:val="000000"/>
                <w:sz w:val="22"/>
                <w:szCs w:val="28"/>
                <w:lang w:val="zh-CN"/>
              </w:rPr>
              <w:t>投标文件内附由法定代表人或其委托代理人签字并加盖投标单位公章的承诺书，格式自拟。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627" w:type="dxa"/>
            <w:vMerge w:val="restart"/>
            <w:vAlign w:val="center"/>
          </w:tcPr>
          <w:p>
            <w:pPr>
              <w:spacing w:line="500" w:lineRule="exact"/>
              <w:rPr>
                <w:rFonts w:ascii="宋体" w:hAnsi="宋体" w:cs="宋体"/>
                <w:color w:val="000000"/>
                <w:sz w:val="22"/>
                <w:szCs w:val="28"/>
              </w:rPr>
            </w:pPr>
            <w:r>
              <w:rPr>
                <w:rFonts w:hint="eastAsia" w:ascii="宋体" w:hAnsi="宋体" w:cs="宋体"/>
                <w:color w:val="000000"/>
                <w:sz w:val="22"/>
                <w:szCs w:val="28"/>
              </w:rPr>
              <w:t>2.1.3</w:t>
            </w:r>
          </w:p>
        </w:tc>
        <w:tc>
          <w:tcPr>
            <w:tcW w:w="850" w:type="dxa"/>
            <w:vMerge w:val="restart"/>
            <w:vAlign w:val="center"/>
          </w:tcPr>
          <w:p>
            <w:pPr>
              <w:spacing w:line="500" w:lineRule="exact"/>
              <w:jc w:val="center"/>
              <w:rPr>
                <w:rFonts w:ascii="宋体" w:hAnsi="宋体" w:cs="宋体"/>
                <w:color w:val="000000"/>
                <w:sz w:val="22"/>
                <w:szCs w:val="28"/>
              </w:rPr>
            </w:pPr>
            <w:r>
              <w:rPr>
                <w:rFonts w:hint="eastAsia" w:ascii="宋体" w:hAnsi="宋体" w:cs="宋体"/>
                <w:color w:val="000000"/>
                <w:sz w:val="22"/>
                <w:szCs w:val="28"/>
              </w:rPr>
              <w:t>响应性</w:t>
            </w:r>
          </w:p>
          <w:p>
            <w:pPr>
              <w:spacing w:line="500" w:lineRule="exact"/>
              <w:jc w:val="center"/>
              <w:rPr>
                <w:rFonts w:ascii="宋体" w:hAnsi="宋体" w:cs="宋体"/>
                <w:color w:val="000000"/>
                <w:sz w:val="22"/>
                <w:szCs w:val="28"/>
              </w:rPr>
            </w:pPr>
            <w:r>
              <w:rPr>
                <w:rFonts w:hint="eastAsia" w:ascii="宋体" w:hAnsi="宋体" w:cs="宋体"/>
                <w:color w:val="000000"/>
                <w:sz w:val="22"/>
                <w:szCs w:val="28"/>
              </w:rPr>
              <w:t>评审</w:t>
            </w:r>
          </w:p>
          <w:p>
            <w:pPr>
              <w:spacing w:line="500" w:lineRule="exact"/>
              <w:jc w:val="center"/>
              <w:rPr>
                <w:rFonts w:ascii="宋体" w:hAnsi="宋体" w:cs="宋体"/>
                <w:color w:val="000000"/>
                <w:sz w:val="22"/>
                <w:szCs w:val="28"/>
              </w:rPr>
            </w:pPr>
            <w:r>
              <w:rPr>
                <w:rFonts w:hint="eastAsia" w:ascii="宋体" w:hAnsi="宋体" w:cs="宋体"/>
                <w:color w:val="000000"/>
                <w:sz w:val="22"/>
                <w:szCs w:val="28"/>
              </w:rPr>
              <w:t>标准</w:t>
            </w:r>
          </w:p>
        </w:tc>
        <w:tc>
          <w:tcPr>
            <w:tcW w:w="1784" w:type="dxa"/>
            <w:vAlign w:val="center"/>
          </w:tcPr>
          <w:p>
            <w:pPr>
              <w:spacing w:line="500" w:lineRule="exact"/>
              <w:jc w:val="center"/>
              <w:rPr>
                <w:rFonts w:ascii="宋体" w:hAnsi="宋体" w:cs="宋体"/>
                <w:color w:val="000000"/>
                <w:sz w:val="22"/>
                <w:szCs w:val="28"/>
              </w:rPr>
            </w:pPr>
            <w:r>
              <w:rPr>
                <w:rFonts w:hint="eastAsia" w:ascii="宋体" w:hAnsi="宋体" w:cs="宋体"/>
                <w:color w:val="000000"/>
                <w:sz w:val="22"/>
                <w:szCs w:val="28"/>
              </w:rPr>
              <w:t>投标报价</w:t>
            </w:r>
          </w:p>
        </w:tc>
        <w:tc>
          <w:tcPr>
            <w:tcW w:w="6066"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53" w:leftChars="25"/>
              <w:textAlignment w:val="auto"/>
              <w:rPr>
                <w:rFonts w:ascii="宋体" w:hAnsi="宋体" w:cs="宋体"/>
                <w:color w:val="000000"/>
                <w:sz w:val="22"/>
                <w:szCs w:val="28"/>
              </w:rPr>
            </w:pPr>
            <w:r>
              <w:rPr>
                <w:rFonts w:hint="eastAsia" w:ascii="宋体" w:hAnsi="宋体" w:cs="宋体"/>
                <w:color w:val="000000"/>
                <w:sz w:val="22"/>
                <w:szCs w:val="28"/>
              </w:rPr>
              <w:t>不允许超过最高投标限价。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627" w:type="dxa"/>
            <w:vMerge w:val="continue"/>
            <w:vAlign w:val="center"/>
          </w:tcPr>
          <w:p>
            <w:pPr>
              <w:spacing w:line="500" w:lineRule="exact"/>
              <w:ind w:firstLine="440" w:firstLineChars="200"/>
              <w:rPr>
                <w:rFonts w:ascii="宋体" w:hAnsi="宋体" w:cs="宋体"/>
                <w:color w:val="000000"/>
                <w:sz w:val="22"/>
                <w:szCs w:val="28"/>
              </w:rPr>
            </w:pPr>
          </w:p>
        </w:tc>
        <w:tc>
          <w:tcPr>
            <w:tcW w:w="850" w:type="dxa"/>
            <w:vMerge w:val="continue"/>
            <w:vAlign w:val="center"/>
          </w:tcPr>
          <w:p>
            <w:pPr>
              <w:spacing w:line="500" w:lineRule="exact"/>
              <w:ind w:firstLine="440" w:firstLineChars="200"/>
              <w:jc w:val="center"/>
              <w:rPr>
                <w:rFonts w:ascii="宋体" w:hAnsi="宋体" w:cs="宋体"/>
                <w:color w:val="000000"/>
                <w:sz w:val="22"/>
                <w:szCs w:val="28"/>
              </w:rPr>
            </w:pPr>
          </w:p>
        </w:tc>
        <w:tc>
          <w:tcPr>
            <w:tcW w:w="1784" w:type="dxa"/>
            <w:vAlign w:val="center"/>
          </w:tcPr>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投标内容</w:t>
            </w:r>
          </w:p>
        </w:tc>
        <w:tc>
          <w:tcPr>
            <w:tcW w:w="6066"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53" w:leftChars="25"/>
              <w:textAlignment w:val="auto"/>
              <w:rPr>
                <w:rFonts w:ascii="宋体" w:hAnsi="宋体" w:cs="宋体"/>
                <w:color w:val="000000"/>
                <w:sz w:val="22"/>
                <w:szCs w:val="28"/>
              </w:rPr>
            </w:pPr>
            <w:r>
              <w:rPr>
                <w:rFonts w:hint="eastAsia" w:ascii="宋体" w:hAnsi="宋体" w:cs="宋体"/>
                <w:color w:val="000000"/>
                <w:sz w:val="22"/>
                <w:szCs w:val="28"/>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627" w:type="dxa"/>
            <w:vMerge w:val="continue"/>
            <w:vAlign w:val="center"/>
          </w:tcPr>
          <w:p>
            <w:pPr>
              <w:spacing w:line="500" w:lineRule="exact"/>
              <w:ind w:firstLine="440" w:firstLineChars="200"/>
              <w:rPr>
                <w:rFonts w:ascii="宋体" w:hAnsi="宋体" w:cs="宋体"/>
                <w:color w:val="000000"/>
                <w:sz w:val="22"/>
                <w:szCs w:val="28"/>
              </w:rPr>
            </w:pPr>
          </w:p>
        </w:tc>
        <w:tc>
          <w:tcPr>
            <w:tcW w:w="850" w:type="dxa"/>
            <w:vMerge w:val="continue"/>
            <w:vAlign w:val="center"/>
          </w:tcPr>
          <w:p>
            <w:pPr>
              <w:spacing w:line="500" w:lineRule="exact"/>
              <w:ind w:firstLine="440" w:firstLineChars="200"/>
              <w:rPr>
                <w:rFonts w:ascii="宋体" w:hAnsi="宋体" w:cs="宋体"/>
                <w:color w:val="000000"/>
                <w:sz w:val="22"/>
                <w:szCs w:val="28"/>
              </w:rPr>
            </w:pPr>
          </w:p>
        </w:tc>
        <w:tc>
          <w:tcPr>
            <w:tcW w:w="1784" w:type="dxa"/>
            <w:vAlign w:val="center"/>
          </w:tcPr>
          <w:p>
            <w:pPr>
              <w:spacing w:line="500" w:lineRule="exact"/>
              <w:jc w:val="center"/>
              <w:rPr>
                <w:rFonts w:ascii="宋体" w:hAnsi="宋体" w:cs="宋体"/>
                <w:color w:val="000000"/>
                <w:sz w:val="22"/>
                <w:szCs w:val="28"/>
              </w:rPr>
            </w:pPr>
            <w:r>
              <w:rPr>
                <w:rFonts w:hint="eastAsia" w:ascii="宋体" w:hAnsi="宋体" w:cs="宋体"/>
                <w:color w:val="000000"/>
                <w:sz w:val="22"/>
                <w:szCs w:val="28"/>
              </w:rPr>
              <w:t>合同履行期限</w:t>
            </w:r>
          </w:p>
        </w:tc>
        <w:tc>
          <w:tcPr>
            <w:tcW w:w="6066"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53" w:leftChars="25"/>
              <w:textAlignment w:val="auto"/>
              <w:rPr>
                <w:rFonts w:ascii="宋体" w:hAnsi="宋体" w:cs="宋体"/>
                <w:color w:val="000000"/>
                <w:sz w:val="22"/>
                <w:szCs w:val="28"/>
              </w:rPr>
            </w:pPr>
            <w:r>
              <w:rPr>
                <w:rFonts w:hint="eastAsia" w:ascii="宋体" w:hAnsi="宋体" w:cs="宋体"/>
                <w:color w:val="000000"/>
                <w:sz w:val="22"/>
                <w:szCs w:val="28"/>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627" w:type="dxa"/>
            <w:vMerge w:val="continue"/>
            <w:vAlign w:val="center"/>
          </w:tcPr>
          <w:p>
            <w:pPr>
              <w:spacing w:line="500" w:lineRule="exact"/>
              <w:ind w:firstLine="440" w:firstLineChars="200"/>
              <w:rPr>
                <w:rFonts w:ascii="宋体" w:hAnsi="宋体" w:cs="宋体"/>
                <w:color w:val="000000"/>
                <w:sz w:val="22"/>
                <w:szCs w:val="28"/>
              </w:rPr>
            </w:pPr>
          </w:p>
        </w:tc>
        <w:tc>
          <w:tcPr>
            <w:tcW w:w="850" w:type="dxa"/>
            <w:vMerge w:val="continue"/>
            <w:vAlign w:val="center"/>
          </w:tcPr>
          <w:p>
            <w:pPr>
              <w:spacing w:line="500" w:lineRule="exact"/>
              <w:ind w:firstLine="440" w:firstLineChars="200"/>
              <w:rPr>
                <w:rFonts w:ascii="宋体" w:hAnsi="宋体" w:cs="宋体"/>
                <w:color w:val="000000"/>
                <w:sz w:val="22"/>
                <w:szCs w:val="28"/>
              </w:rPr>
            </w:pPr>
          </w:p>
        </w:tc>
        <w:tc>
          <w:tcPr>
            <w:tcW w:w="1784" w:type="dxa"/>
            <w:vAlign w:val="center"/>
          </w:tcPr>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服务标准</w:t>
            </w:r>
          </w:p>
        </w:tc>
        <w:tc>
          <w:tcPr>
            <w:tcW w:w="6066"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53" w:leftChars="25"/>
              <w:textAlignment w:val="auto"/>
              <w:rPr>
                <w:rFonts w:ascii="宋体" w:hAnsi="宋体" w:cs="宋体"/>
                <w:color w:val="000000"/>
                <w:sz w:val="22"/>
                <w:szCs w:val="28"/>
              </w:rPr>
            </w:pPr>
            <w:r>
              <w:rPr>
                <w:rFonts w:hint="eastAsia" w:ascii="宋体" w:hAnsi="宋体" w:cs="宋体"/>
                <w:color w:val="000000"/>
                <w:sz w:val="22"/>
                <w:szCs w:val="28"/>
              </w:rPr>
              <w:t>优质服务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627" w:type="dxa"/>
            <w:vMerge w:val="continue"/>
            <w:vAlign w:val="center"/>
          </w:tcPr>
          <w:p>
            <w:pPr>
              <w:spacing w:line="500" w:lineRule="exact"/>
              <w:ind w:firstLine="440" w:firstLineChars="200"/>
              <w:rPr>
                <w:rFonts w:ascii="宋体" w:hAnsi="宋体" w:cs="宋体"/>
                <w:color w:val="000000"/>
                <w:sz w:val="22"/>
                <w:szCs w:val="28"/>
              </w:rPr>
            </w:pPr>
          </w:p>
        </w:tc>
        <w:tc>
          <w:tcPr>
            <w:tcW w:w="850" w:type="dxa"/>
            <w:vMerge w:val="continue"/>
            <w:vAlign w:val="center"/>
          </w:tcPr>
          <w:p>
            <w:pPr>
              <w:spacing w:line="500" w:lineRule="exact"/>
              <w:ind w:firstLine="440" w:firstLineChars="200"/>
              <w:rPr>
                <w:rFonts w:ascii="宋体" w:hAnsi="宋体" w:cs="宋体"/>
                <w:color w:val="000000"/>
                <w:sz w:val="22"/>
                <w:szCs w:val="28"/>
              </w:rPr>
            </w:pPr>
          </w:p>
        </w:tc>
        <w:tc>
          <w:tcPr>
            <w:tcW w:w="1784" w:type="dxa"/>
            <w:vAlign w:val="center"/>
          </w:tcPr>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投标有效期</w:t>
            </w:r>
          </w:p>
        </w:tc>
        <w:tc>
          <w:tcPr>
            <w:tcW w:w="6066"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53" w:leftChars="25"/>
              <w:textAlignment w:val="auto"/>
              <w:rPr>
                <w:rFonts w:ascii="宋体" w:hAnsi="宋体" w:cs="宋体"/>
                <w:color w:val="000000"/>
                <w:sz w:val="22"/>
                <w:szCs w:val="28"/>
              </w:rPr>
            </w:pPr>
            <w:r>
              <w:rPr>
                <w:rFonts w:hint="eastAsia" w:ascii="宋体" w:hAnsi="宋体" w:cs="宋体"/>
                <w:color w:val="000000"/>
                <w:sz w:val="22"/>
                <w:szCs w:val="28"/>
              </w:rPr>
              <w:t>投标截止之日起90日历天。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627" w:type="dxa"/>
            <w:vMerge w:val="continue"/>
            <w:vAlign w:val="center"/>
          </w:tcPr>
          <w:p>
            <w:pPr>
              <w:spacing w:line="500" w:lineRule="exact"/>
              <w:ind w:firstLine="440" w:firstLineChars="200"/>
              <w:rPr>
                <w:rFonts w:ascii="宋体" w:hAnsi="宋体" w:cs="宋体"/>
                <w:color w:val="000000"/>
                <w:sz w:val="22"/>
                <w:szCs w:val="28"/>
              </w:rPr>
            </w:pPr>
          </w:p>
        </w:tc>
        <w:tc>
          <w:tcPr>
            <w:tcW w:w="850" w:type="dxa"/>
            <w:vMerge w:val="continue"/>
            <w:vAlign w:val="center"/>
          </w:tcPr>
          <w:p>
            <w:pPr>
              <w:spacing w:line="500" w:lineRule="exact"/>
              <w:ind w:firstLine="440" w:firstLineChars="200"/>
              <w:rPr>
                <w:rFonts w:ascii="宋体" w:hAnsi="宋体" w:cs="宋体"/>
                <w:color w:val="000000"/>
                <w:sz w:val="22"/>
                <w:szCs w:val="28"/>
              </w:rPr>
            </w:pPr>
          </w:p>
        </w:tc>
        <w:tc>
          <w:tcPr>
            <w:tcW w:w="1784" w:type="dxa"/>
            <w:vAlign w:val="center"/>
          </w:tcPr>
          <w:p>
            <w:pPr>
              <w:spacing w:line="500" w:lineRule="exact"/>
              <w:ind w:firstLine="440" w:firstLineChars="200"/>
              <w:rPr>
                <w:rFonts w:ascii="宋体" w:hAnsi="宋体" w:cs="宋体"/>
                <w:color w:val="000000"/>
                <w:sz w:val="22"/>
                <w:szCs w:val="28"/>
              </w:rPr>
            </w:pPr>
            <w:r>
              <w:rPr>
                <w:rFonts w:hint="eastAsia" w:ascii="宋体" w:hAnsi="宋体" w:cs="宋体"/>
                <w:color w:val="000000"/>
                <w:sz w:val="22"/>
                <w:szCs w:val="28"/>
              </w:rPr>
              <w:t>其他要求</w:t>
            </w:r>
          </w:p>
        </w:tc>
        <w:tc>
          <w:tcPr>
            <w:tcW w:w="6066"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53" w:leftChars="25"/>
              <w:textAlignment w:val="auto"/>
              <w:rPr>
                <w:rFonts w:ascii="宋体" w:hAnsi="宋体" w:cs="宋体"/>
                <w:color w:val="000000"/>
                <w:sz w:val="22"/>
                <w:szCs w:val="28"/>
              </w:rPr>
            </w:pPr>
            <w:r>
              <w:rPr>
                <w:rFonts w:hint="eastAsia" w:ascii="宋体" w:hAnsi="宋体" w:cs="宋体"/>
                <w:color w:val="000000"/>
                <w:sz w:val="22"/>
                <w:szCs w:val="28"/>
              </w:rPr>
              <w:t>满足招标文件的第五章采购需求。</w:t>
            </w:r>
          </w:p>
        </w:tc>
      </w:tr>
    </w:tbl>
    <w:p>
      <w:pPr>
        <w:spacing w:line="500" w:lineRule="exact"/>
        <w:ind w:firstLine="440" w:firstLineChars="200"/>
        <w:rPr>
          <w:rFonts w:ascii="宋体" w:hAnsi="宋体" w:cs="宋体"/>
          <w:color w:val="000000"/>
          <w:sz w:val="22"/>
          <w:szCs w:val="28"/>
          <w:lang w:val="zh-CN"/>
        </w:rPr>
      </w:pPr>
      <w:r>
        <w:rPr>
          <w:rFonts w:hint="eastAsia" w:ascii="宋体" w:hAnsi="宋体" w:cs="宋体"/>
          <w:color w:val="000000"/>
          <w:sz w:val="22"/>
          <w:szCs w:val="28"/>
        </w:rPr>
        <w:t>注</w:t>
      </w:r>
      <w:r>
        <w:rPr>
          <w:rFonts w:hint="eastAsia" w:ascii="宋体" w:hAnsi="宋体" w:cs="宋体"/>
          <w:color w:val="000000"/>
          <w:sz w:val="22"/>
          <w:szCs w:val="28"/>
          <w:lang w:val="zh-CN"/>
        </w:rPr>
        <w:t>：（1）上述内容中有一项不合格，则</w:t>
      </w:r>
      <w:r>
        <w:rPr>
          <w:rFonts w:hint="eastAsia" w:ascii="宋体" w:hAnsi="宋体" w:cs="宋体"/>
          <w:color w:val="000000"/>
          <w:sz w:val="22"/>
          <w:szCs w:val="28"/>
        </w:rPr>
        <w:t>初步</w:t>
      </w:r>
      <w:r>
        <w:rPr>
          <w:rFonts w:hint="eastAsia" w:ascii="宋体" w:hAnsi="宋体" w:cs="宋体"/>
          <w:color w:val="000000"/>
          <w:sz w:val="22"/>
          <w:szCs w:val="28"/>
          <w:lang w:val="zh-CN"/>
        </w:rPr>
        <w:t>评审不合格，投标按废标处理，不进入后期评审。每项审查内容合格打“√”，不合格打“×”。评审结论写“合格”或“不合格”。不合格须注明原因。</w:t>
      </w:r>
    </w:p>
    <w:p>
      <w:pPr>
        <w:spacing w:line="500" w:lineRule="exact"/>
        <w:ind w:firstLine="440" w:firstLineChars="200"/>
        <w:rPr>
          <w:rFonts w:ascii="宋体" w:hAnsi="宋体" w:cs="宋体"/>
          <w:color w:val="000000"/>
          <w:szCs w:val="21"/>
          <w:lang w:val="zh-CN"/>
        </w:rPr>
      </w:pPr>
      <w:r>
        <w:rPr>
          <w:rFonts w:hint="eastAsia" w:ascii="宋体" w:hAnsi="宋体" w:cs="宋体"/>
          <w:color w:val="000000"/>
          <w:sz w:val="22"/>
          <w:szCs w:val="28"/>
          <w:lang w:val="zh-CN"/>
        </w:rPr>
        <w:t>（2）投标人所提供的所有证件均需在有效期内且注册单位名称与投标人的名称一致，如企业名称发生变更，需提供主管部门出具的变更证明材料。</w:t>
      </w:r>
    </w:p>
    <w:p>
      <w:pPr>
        <w:pStyle w:val="87"/>
        <w:jc w:val="both"/>
        <w:rPr>
          <w:rFonts w:ascii="宋体" w:hAnsi="宋体" w:cs="宋体"/>
          <w:b w:val="0"/>
          <w:bCs w:val="0"/>
          <w:color w:val="000000"/>
          <w:sz w:val="24"/>
        </w:rPr>
      </w:pPr>
    </w:p>
    <w:p>
      <w:pPr>
        <w:pStyle w:val="87"/>
        <w:jc w:val="both"/>
        <w:rPr>
          <w:rFonts w:ascii="宋体" w:hAnsi="宋体" w:cs="宋体"/>
          <w:b w:val="0"/>
          <w:bCs w:val="0"/>
          <w:color w:val="000000"/>
          <w:sz w:val="24"/>
        </w:rPr>
      </w:pPr>
    </w:p>
    <w:p>
      <w:pPr>
        <w:pStyle w:val="87"/>
        <w:jc w:val="center"/>
        <w:rPr>
          <w:rFonts w:ascii="宋体" w:hAnsi="宋体" w:cs="宋体"/>
          <w:b w:val="0"/>
          <w:bCs w:val="0"/>
          <w:color w:val="000000"/>
          <w:sz w:val="24"/>
        </w:rPr>
      </w:pPr>
    </w:p>
    <w:p>
      <w:pPr>
        <w:pStyle w:val="87"/>
        <w:jc w:val="center"/>
        <w:rPr>
          <w:rFonts w:ascii="宋体" w:hAnsi="宋体" w:cs="宋体"/>
          <w:b w:val="0"/>
          <w:bCs w:val="0"/>
          <w:color w:val="000000"/>
          <w:sz w:val="24"/>
        </w:rPr>
      </w:pPr>
    </w:p>
    <w:p>
      <w:pPr>
        <w:pStyle w:val="87"/>
        <w:jc w:val="center"/>
        <w:rPr>
          <w:rFonts w:ascii="宋体" w:hAnsi="宋体" w:cs="宋体"/>
          <w:b w:val="0"/>
          <w:bCs w:val="0"/>
          <w:color w:val="000000"/>
          <w:sz w:val="24"/>
        </w:rPr>
      </w:pPr>
    </w:p>
    <w:p>
      <w:pPr>
        <w:pStyle w:val="87"/>
        <w:jc w:val="center"/>
        <w:rPr>
          <w:rFonts w:ascii="宋体" w:hAnsi="宋体" w:cs="宋体"/>
          <w:b w:val="0"/>
          <w:bCs w:val="0"/>
          <w:color w:val="000000"/>
          <w:sz w:val="24"/>
        </w:rPr>
      </w:pPr>
    </w:p>
    <w:p>
      <w:pPr>
        <w:pStyle w:val="87"/>
        <w:jc w:val="center"/>
        <w:rPr>
          <w:rFonts w:ascii="宋体" w:hAnsi="宋体" w:cs="宋体"/>
          <w:b w:val="0"/>
          <w:bCs w:val="0"/>
          <w:color w:val="000000"/>
          <w:sz w:val="24"/>
        </w:rPr>
      </w:pPr>
    </w:p>
    <w:p>
      <w:pPr>
        <w:pStyle w:val="87"/>
        <w:jc w:val="center"/>
        <w:rPr>
          <w:rFonts w:ascii="宋体" w:hAnsi="宋体" w:cs="宋体"/>
          <w:b w:val="0"/>
          <w:bCs w:val="0"/>
          <w:color w:val="000000"/>
          <w:sz w:val="24"/>
        </w:rPr>
      </w:pPr>
    </w:p>
    <w:p>
      <w:pPr>
        <w:pStyle w:val="87"/>
        <w:jc w:val="center"/>
        <w:rPr>
          <w:rFonts w:ascii="宋体" w:hAnsi="宋体" w:cs="宋体"/>
          <w:b w:val="0"/>
          <w:bCs w:val="0"/>
          <w:color w:val="000000"/>
          <w:sz w:val="24"/>
        </w:rPr>
      </w:pPr>
    </w:p>
    <w:p>
      <w:pPr>
        <w:pStyle w:val="87"/>
        <w:jc w:val="center"/>
        <w:rPr>
          <w:rFonts w:ascii="宋体" w:hAnsi="宋体" w:cs="宋体"/>
          <w:b w:val="0"/>
          <w:bCs w:val="0"/>
          <w:color w:val="000000"/>
          <w:sz w:val="24"/>
        </w:rPr>
      </w:pPr>
    </w:p>
    <w:p>
      <w:pPr>
        <w:pStyle w:val="87"/>
        <w:jc w:val="center"/>
        <w:rPr>
          <w:rFonts w:ascii="宋体" w:hAnsi="宋体" w:cs="宋体"/>
          <w:b w:val="0"/>
          <w:bCs w:val="0"/>
          <w:color w:val="000000"/>
          <w:sz w:val="24"/>
        </w:rPr>
      </w:pPr>
    </w:p>
    <w:p>
      <w:pPr>
        <w:spacing w:line="500" w:lineRule="exact"/>
        <w:jc w:val="center"/>
        <w:rPr>
          <w:rFonts w:ascii="宋体" w:hAnsi="宋体" w:cs="宋体"/>
          <w:b/>
          <w:bCs/>
          <w:color w:val="000000"/>
          <w:sz w:val="36"/>
          <w:szCs w:val="36"/>
        </w:rPr>
      </w:pPr>
      <w:bookmarkStart w:id="769" w:name="_Toc4375"/>
      <w:bookmarkStart w:id="770" w:name="_Toc428007689"/>
      <w:bookmarkStart w:id="771" w:name="_Toc14063"/>
      <w:bookmarkStart w:id="772" w:name="_Toc24574"/>
      <w:bookmarkStart w:id="773" w:name="_Toc31949"/>
      <w:bookmarkStart w:id="774" w:name="_Toc5933"/>
      <w:bookmarkStart w:id="775" w:name="_Toc26893"/>
      <w:bookmarkStart w:id="776" w:name="_Toc8432"/>
      <w:bookmarkStart w:id="777" w:name="_Toc453756945"/>
      <w:r>
        <w:rPr>
          <w:rFonts w:hint="eastAsia" w:ascii="宋体" w:hAnsi="宋体" w:cs="宋体"/>
          <w:b/>
          <w:bCs/>
          <w:color w:val="000000"/>
          <w:sz w:val="36"/>
          <w:szCs w:val="36"/>
        </w:rPr>
        <w:t>详细评审表</w:t>
      </w:r>
      <w:bookmarkEnd w:id="769"/>
      <w:bookmarkEnd w:id="770"/>
      <w:bookmarkEnd w:id="771"/>
      <w:bookmarkEnd w:id="772"/>
      <w:bookmarkEnd w:id="773"/>
      <w:bookmarkEnd w:id="774"/>
      <w:bookmarkEnd w:id="775"/>
      <w:bookmarkEnd w:id="776"/>
      <w:bookmarkEnd w:id="777"/>
    </w:p>
    <w:tbl>
      <w:tblPr>
        <w:tblStyle w:val="43"/>
        <w:tblW w:w="4998" w:type="pct"/>
        <w:tblInd w:w="0" w:type="dxa"/>
        <w:tblLayout w:type="autofit"/>
        <w:tblCellMar>
          <w:top w:w="0" w:type="dxa"/>
          <w:left w:w="108" w:type="dxa"/>
          <w:bottom w:w="0" w:type="dxa"/>
          <w:right w:w="108" w:type="dxa"/>
        </w:tblCellMar>
      </w:tblPr>
      <w:tblGrid>
        <w:gridCol w:w="844"/>
        <w:gridCol w:w="1058"/>
        <w:gridCol w:w="6614"/>
      </w:tblGrid>
      <w:tr>
        <w:tblPrEx>
          <w:tblCellMar>
            <w:top w:w="0" w:type="dxa"/>
            <w:left w:w="108" w:type="dxa"/>
            <w:bottom w:w="0" w:type="dxa"/>
            <w:right w:w="108" w:type="dxa"/>
          </w:tblCellMar>
        </w:tblPrEx>
        <w:trPr>
          <w:trHeight w:val="623" w:hRule="atLeast"/>
        </w:trPr>
        <w:tc>
          <w:tcPr>
            <w:tcW w:w="111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条款内容</w:t>
            </w:r>
          </w:p>
        </w:tc>
        <w:tc>
          <w:tcPr>
            <w:tcW w:w="38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编列内容</w:t>
            </w:r>
          </w:p>
        </w:tc>
      </w:tr>
      <w:tr>
        <w:tblPrEx>
          <w:tblCellMar>
            <w:top w:w="0" w:type="dxa"/>
            <w:left w:w="108" w:type="dxa"/>
            <w:bottom w:w="0" w:type="dxa"/>
            <w:right w:w="108" w:type="dxa"/>
          </w:tblCellMar>
        </w:tblPrEx>
        <w:trPr>
          <w:trHeight w:val="602" w:hRule="atLeast"/>
        </w:trPr>
        <w:tc>
          <w:tcPr>
            <w:tcW w:w="111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分值构成</w:t>
            </w:r>
          </w:p>
        </w:tc>
        <w:tc>
          <w:tcPr>
            <w:tcW w:w="38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价格部分：10分  ；商务部分：20分； 技术部分：70分</w:t>
            </w:r>
          </w:p>
        </w:tc>
      </w:tr>
      <w:tr>
        <w:tblPrEx>
          <w:tblCellMar>
            <w:top w:w="0" w:type="dxa"/>
            <w:left w:w="108" w:type="dxa"/>
            <w:bottom w:w="0" w:type="dxa"/>
            <w:right w:w="108" w:type="dxa"/>
          </w:tblCellMar>
        </w:tblPrEx>
        <w:trPr>
          <w:trHeight w:val="578"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 xml:space="preserve">(总分100分）        </w:t>
            </w:r>
          </w:p>
        </w:tc>
      </w:tr>
      <w:tr>
        <w:tblPrEx>
          <w:tblCellMar>
            <w:top w:w="0" w:type="dxa"/>
            <w:left w:w="108" w:type="dxa"/>
            <w:bottom w:w="0" w:type="dxa"/>
            <w:right w:w="108" w:type="dxa"/>
          </w:tblCellMar>
        </w:tblPrEx>
        <w:trPr>
          <w:trHeight w:val="503" w:hRule="atLeast"/>
        </w:trPr>
        <w:tc>
          <w:tcPr>
            <w:tcW w:w="1117"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评标基准价计算方法</w:t>
            </w:r>
          </w:p>
        </w:tc>
        <w:tc>
          <w:tcPr>
            <w:tcW w:w="3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评标基准价的确定及评分规定：</w:t>
            </w:r>
          </w:p>
        </w:tc>
      </w:tr>
      <w:tr>
        <w:tblPrEx>
          <w:tblCellMar>
            <w:top w:w="0" w:type="dxa"/>
            <w:left w:w="108" w:type="dxa"/>
            <w:bottom w:w="0" w:type="dxa"/>
            <w:right w:w="108" w:type="dxa"/>
          </w:tblCellMar>
        </w:tblPrEx>
        <w:trPr>
          <w:trHeight w:val="839" w:hRule="atLeast"/>
        </w:trPr>
        <w:tc>
          <w:tcPr>
            <w:tcW w:w="1117"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c>
          <w:tcPr>
            <w:tcW w:w="3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评标基准价为所有经过评审后的有效投标人的最低投标报价。当投标人的投标报价等于评标基准价时，得满分10分。</w:t>
            </w:r>
          </w:p>
        </w:tc>
      </w:tr>
      <w:tr>
        <w:tblPrEx>
          <w:tblCellMar>
            <w:top w:w="0" w:type="dxa"/>
            <w:left w:w="108" w:type="dxa"/>
            <w:bottom w:w="0" w:type="dxa"/>
            <w:right w:w="108" w:type="dxa"/>
          </w:tblCellMar>
        </w:tblPrEx>
        <w:trPr>
          <w:trHeight w:val="548" w:hRule="atLeast"/>
        </w:trPr>
        <w:tc>
          <w:tcPr>
            <w:tcW w:w="1117"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计算公式</w:t>
            </w:r>
          </w:p>
        </w:tc>
        <w:tc>
          <w:tcPr>
            <w:tcW w:w="3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投标报价得分=（评标基准价/投标报价）*基准分值</w:t>
            </w:r>
          </w:p>
        </w:tc>
      </w:tr>
      <w:tr>
        <w:tblPrEx>
          <w:tblCellMar>
            <w:top w:w="0" w:type="dxa"/>
            <w:left w:w="108" w:type="dxa"/>
            <w:bottom w:w="0" w:type="dxa"/>
            <w:right w:w="108" w:type="dxa"/>
          </w:tblCellMar>
        </w:tblPrEx>
        <w:trPr>
          <w:trHeight w:val="527" w:hRule="atLeast"/>
        </w:trPr>
        <w:tc>
          <w:tcPr>
            <w:tcW w:w="1117"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c>
          <w:tcPr>
            <w:tcW w:w="3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投标报价得分均保留小数点后两位，第三位四舍五入。</w:t>
            </w:r>
          </w:p>
        </w:tc>
      </w:tr>
      <w:tr>
        <w:tblPrEx>
          <w:tblCellMar>
            <w:top w:w="0" w:type="dxa"/>
            <w:left w:w="108" w:type="dxa"/>
            <w:bottom w:w="0" w:type="dxa"/>
            <w:right w:w="108" w:type="dxa"/>
          </w:tblCellMar>
        </w:tblPrEx>
        <w:trPr>
          <w:trHeight w:val="578" w:hRule="atLeast"/>
        </w:trPr>
        <w:tc>
          <w:tcPr>
            <w:tcW w:w="111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评分因素</w:t>
            </w:r>
          </w:p>
        </w:tc>
        <w:tc>
          <w:tcPr>
            <w:tcW w:w="3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lang w:bidi="ar"/>
              </w:rPr>
              <w:t>评分标准</w:t>
            </w:r>
          </w:p>
        </w:tc>
      </w:tr>
      <w:tr>
        <w:tblPrEx>
          <w:tblCellMar>
            <w:top w:w="0" w:type="dxa"/>
            <w:left w:w="108" w:type="dxa"/>
            <w:bottom w:w="0" w:type="dxa"/>
            <w:right w:w="108" w:type="dxa"/>
          </w:tblCellMar>
        </w:tblPrEx>
        <w:trPr>
          <w:trHeight w:val="1221" w:hRule="atLeast"/>
        </w:trPr>
        <w:tc>
          <w:tcPr>
            <w:tcW w:w="496" w:type="pct"/>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投标报价部分（10分）</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投标报价（10分）</w:t>
            </w:r>
          </w:p>
        </w:tc>
        <w:tc>
          <w:tcPr>
            <w:tcW w:w="3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评标基准价的确定及评分规定：评标基准价为所有经过评审后的有效投标人的最低投标报价。当投标人的投标报价等于评标基准价时，得满分10分。</w:t>
            </w:r>
          </w:p>
        </w:tc>
      </w:tr>
      <w:tr>
        <w:tblPrEx>
          <w:tblCellMar>
            <w:top w:w="0" w:type="dxa"/>
            <w:left w:w="108" w:type="dxa"/>
            <w:bottom w:w="0" w:type="dxa"/>
            <w:right w:w="108" w:type="dxa"/>
          </w:tblCellMar>
        </w:tblPrEx>
        <w:trPr>
          <w:trHeight w:val="617" w:hRule="atLeast"/>
        </w:trPr>
        <w:tc>
          <w:tcPr>
            <w:tcW w:w="496" w:type="pct"/>
            <w:vMerge w:val="continue"/>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c>
          <w:tcPr>
            <w:tcW w:w="38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投标报价得分=（评标基准价/投标报价）*10</w:t>
            </w:r>
          </w:p>
        </w:tc>
      </w:tr>
      <w:tr>
        <w:tblPrEx>
          <w:tblCellMar>
            <w:top w:w="0" w:type="dxa"/>
            <w:left w:w="108" w:type="dxa"/>
            <w:bottom w:w="0" w:type="dxa"/>
            <w:right w:w="108" w:type="dxa"/>
          </w:tblCellMar>
        </w:tblPrEx>
        <w:trPr>
          <w:trHeight w:val="2016" w:hRule="atLeast"/>
        </w:trPr>
        <w:tc>
          <w:tcPr>
            <w:tcW w:w="4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商务部分（20分）</w:t>
            </w:r>
          </w:p>
        </w:tc>
        <w:tc>
          <w:tcPr>
            <w:tcW w:w="621" w:type="pc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资质认证（</w:t>
            </w:r>
            <w:r>
              <w:rPr>
                <w:rFonts w:ascii="宋体" w:hAnsi="宋体" w:cs="宋体"/>
                <w:color w:val="000000"/>
                <w:kern w:val="0"/>
                <w:szCs w:val="21"/>
                <w:lang w:bidi="ar"/>
              </w:rPr>
              <w:t>6</w:t>
            </w:r>
            <w:r>
              <w:rPr>
                <w:rFonts w:hint="eastAsia" w:ascii="宋体" w:hAnsi="宋体" w:cs="宋体"/>
                <w:color w:val="000000"/>
                <w:kern w:val="0"/>
                <w:szCs w:val="21"/>
                <w:lang w:bidi="ar"/>
              </w:rPr>
              <w:t>分）</w:t>
            </w:r>
          </w:p>
        </w:tc>
        <w:tc>
          <w:tcPr>
            <w:tcW w:w="3882" w:type="pct"/>
            <w:tcBorders>
              <w:top w:val="single" w:color="000000" w:sz="4" w:space="0"/>
              <w:left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1.投标人具有有效期内的ISO9001质量管理体系认证证书；</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2.投标人具有有效期内的ISO14001环境管理体系认证证书；</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3.投标人具有有效期内ISO45001职业健康安全管理体系认证证书；</w:t>
            </w:r>
          </w:p>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4</w:t>
            </w:r>
            <w:r>
              <w:rPr>
                <w:rFonts w:hint="eastAsia" w:ascii="宋体" w:hAnsi="宋体" w:cs="宋体"/>
                <w:color w:val="000000"/>
                <w:kern w:val="0"/>
                <w:szCs w:val="21"/>
                <w:lang w:bidi="ar"/>
              </w:rPr>
              <w:t>.投标人具有有效期内五星售后服务认证证书。</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上述证书认证范围应包含档案数字化，提供以上证书复印件并加盖投标人公章，每提供1份得1</w:t>
            </w:r>
            <w:r>
              <w:rPr>
                <w:rFonts w:ascii="宋体" w:hAnsi="宋体" w:cs="宋体"/>
                <w:color w:val="000000"/>
                <w:kern w:val="0"/>
                <w:szCs w:val="21"/>
                <w:lang w:bidi="ar"/>
              </w:rPr>
              <w:t>.5</w:t>
            </w:r>
            <w:r>
              <w:rPr>
                <w:rFonts w:hint="eastAsia" w:ascii="宋体" w:hAnsi="宋体" w:cs="宋体"/>
                <w:color w:val="000000"/>
                <w:kern w:val="0"/>
                <w:szCs w:val="21"/>
                <w:lang w:bidi="ar"/>
              </w:rPr>
              <w:t>分，满分</w:t>
            </w:r>
            <w:r>
              <w:rPr>
                <w:rFonts w:ascii="宋体" w:hAnsi="宋体" w:cs="宋体"/>
                <w:color w:val="000000"/>
                <w:kern w:val="0"/>
                <w:szCs w:val="21"/>
                <w:lang w:bidi="ar"/>
              </w:rPr>
              <w:t>6</w:t>
            </w:r>
            <w:r>
              <w:rPr>
                <w:rFonts w:hint="eastAsia" w:ascii="宋体" w:hAnsi="宋体" w:cs="宋体"/>
                <w:color w:val="000000"/>
                <w:kern w:val="0"/>
                <w:szCs w:val="21"/>
                <w:lang w:bidi="ar"/>
              </w:rPr>
              <w:t>分。</w:t>
            </w:r>
          </w:p>
        </w:tc>
      </w:tr>
      <w:tr>
        <w:tblPrEx>
          <w:tblCellMar>
            <w:top w:w="0" w:type="dxa"/>
            <w:left w:w="108" w:type="dxa"/>
            <w:bottom w:w="0" w:type="dxa"/>
            <w:right w:w="108" w:type="dxa"/>
          </w:tblCellMar>
        </w:tblPrEx>
        <w:trPr>
          <w:trHeight w:val="2155" w:hRule="atLeast"/>
        </w:trPr>
        <w:tc>
          <w:tcPr>
            <w:tcW w:w="4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c>
          <w:tcPr>
            <w:tcW w:w="621" w:type="pct"/>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服务人员（</w:t>
            </w:r>
            <w:r>
              <w:rPr>
                <w:rFonts w:ascii="宋体" w:hAnsi="宋体" w:cs="宋体"/>
                <w:color w:val="000000"/>
                <w:kern w:val="0"/>
                <w:szCs w:val="21"/>
                <w:lang w:bidi="ar"/>
              </w:rPr>
              <w:t>4</w:t>
            </w:r>
            <w:r>
              <w:rPr>
                <w:rFonts w:hint="eastAsia" w:ascii="宋体" w:hAnsi="宋体" w:cs="宋体"/>
                <w:color w:val="000000"/>
                <w:kern w:val="0"/>
                <w:szCs w:val="21"/>
                <w:lang w:bidi="ar"/>
              </w:rPr>
              <w:t>分）</w:t>
            </w:r>
          </w:p>
        </w:tc>
        <w:tc>
          <w:tcPr>
            <w:tcW w:w="3883" w:type="pct"/>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投标人派遣驻场服务人员具有档案专业任职资格证书（省级及以上人社部门颁发）或保密教育培训证书（省级及以上保密局颁发），提供以上证书20人及以上得</w:t>
            </w:r>
            <w:r>
              <w:rPr>
                <w:rFonts w:ascii="宋体" w:hAnsi="宋体" w:cs="宋体"/>
                <w:color w:val="000000"/>
                <w:kern w:val="0"/>
                <w:szCs w:val="21"/>
                <w:lang w:bidi="ar"/>
              </w:rPr>
              <w:t>4</w:t>
            </w:r>
            <w:r>
              <w:rPr>
                <w:rFonts w:hint="eastAsia" w:ascii="宋体" w:hAnsi="宋体" w:cs="宋体"/>
                <w:color w:val="000000"/>
                <w:kern w:val="0"/>
                <w:szCs w:val="21"/>
                <w:lang w:bidi="ar"/>
              </w:rPr>
              <w:t>分，10（含10人）—19人（含19人）得</w:t>
            </w:r>
            <w:r>
              <w:rPr>
                <w:rFonts w:ascii="宋体" w:hAnsi="宋体" w:cs="宋体"/>
                <w:color w:val="000000"/>
                <w:kern w:val="0"/>
                <w:szCs w:val="21"/>
                <w:lang w:bidi="ar"/>
              </w:rPr>
              <w:t>2</w:t>
            </w:r>
            <w:r>
              <w:rPr>
                <w:rFonts w:hint="eastAsia" w:ascii="宋体" w:hAnsi="宋体" w:cs="宋体"/>
                <w:color w:val="000000"/>
                <w:kern w:val="0"/>
                <w:szCs w:val="21"/>
                <w:lang w:bidi="ar"/>
              </w:rPr>
              <w:t>分，9人及以下不得分。</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提供服务人员相关证书及2023年任意一个月在本单位缴纳社保的证明材料并加盖投标人公章，未按要求提供不得分。</w:t>
            </w:r>
          </w:p>
        </w:tc>
      </w:tr>
      <w:tr>
        <w:tblPrEx>
          <w:tblCellMar>
            <w:top w:w="0" w:type="dxa"/>
            <w:left w:w="108" w:type="dxa"/>
            <w:bottom w:w="0" w:type="dxa"/>
            <w:right w:w="108" w:type="dxa"/>
          </w:tblCellMar>
        </w:tblPrEx>
        <w:trPr>
          <w:trHeight w:val="1369" w:hRule="atLeast"/>
        </w:trPr>
        <w:tc>
          <w:tcPr>
            <w:tcW w:w="496" w:type="pct"/>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宋体" w:hAnsi="宋体" w:cs="宋体"/>
                <w:color w:val="000000"/>
                <w:szCs w:val="21"/>
              </w:rPr>
            </w:pPr>
          </w:p>
        </w:tc>
        <w:tc>
          <w:tcPr>
            <w:tcW w:w="621" w:type="pct"/>
            <w:tcBorders>
              <w:top w:val="single" w:color="auto" w:sz="4" w:space="0"/>
              <w:left w:val="single" w:color="auto" w:sz="4" w:space="0"/>
              <w:bottom w:val="single" w:color="auto"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类似业绩（10分）</w:t>
            </w:r>
          </w:p>
        </w:tc>
        <w:tc>
          <w:tcPr>
            <w:tcW w:w="3883" w:type="pct"/>
            <w:tcBorders>
              <w:top w:val="single" w:color="auto" w:sz="4" w:space="0"/>
              <w:left w:val="single" w:color="000000"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投标人提供三年内完成的类似项目业绩。每提供一份得1分，满分10分。</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提供合同复印件并加盖投标人公章，未按要求提供不得分。</w:t>
            </w:r>
          </w:p>
        </w:tc>
      </w:tr>
      <w:tr>
        <w:tblPrEx>
          <w:tblCellMar>
            <w:top w:w="0" w:type="dxa"/>
            <w:left w:w="108" w:type="dxa"/>
            <w:bottom w:w="0" w:type="dxa"/>
            <w:right w:w="108" w:type="dxa"/>
          </w:tblCellMar>
        </w:tblPrEx>
        <w:trPr>
          <w:trHeight w:val="1734" w:hRule="atLeast"/>
        </w:trPr>
        <w:tc>
          <w:tcPr>
            <w:tcW w:w="4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技术部分（70分）</w:t>
            </w:r>
          </w:p>
        </w:tc>
        <w:tc>
          <w:tcPr>
            <w:tcW w:w="621" w:type="pct"/>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服务实施方案（10分）</w:t>
            </w:r>
          </w:p>
        </w:tc>
        <w:tc>
          <w:tcPr>
            <w:tcW w:w="3883" w:type="pct"/>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针对本项目的实际情况，拟定合理、可行、全面的服务实施方案，方案逻辑清晰、业务完整可行性高得10分，方案详细且可行得8分，方案合理得6分，方案描述一般得4分，方案描述简单，针对性一般得2分，方案内容较差得1分，未提供不得分。</w:t>
            </w:r>
          </w:p>
        </w:tc>
      </w:tr>
      <w:tr>
        <w:tblPrEx>
          <w:tblCellMar>
            <w:top w:w="0" w:type="dxa"/>
            <w:left w:w="108" w:type="dxa"/>
            <w:bottom w:w="0" w:type="dxa"/>
            <w:right w:w="108" w:type="dxa"/>
          </w:tblCellMar>
        </w:tblPrEx>
        <w:trPr>
          <w:trHeight w:val="1695" w:hRule="atLeast"/>
        </w:trPr>
        <w:tc>
          <w:tcPr>
            <w:tcW w:w="4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c>
          <w:tcPr>
            <w:tcW w:w="6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质量控制方案（10分）</w:t>
            </w:r>
          </w:p>
        </w:tc>
        <w:tc>
          <w:tcPr>
            <w:tcW w:w="38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针对本项目的实际情况，拟定合理、可行、全面的质量控制方案，方案逻辑清晰、业务完整可行性高得10分，方案详细且可行得8分，方案合理得6分，方案描述一般得4分，方案描述简单，针对性一般得2分，方案内容较差得1分，未提供不得分。</w:t>
            </w:r>
          </w:p>
        </w:tc>
      </w:tr>
      <w:tr>
        <w:tblPrEx>
          <w:tblCellMar>
            <w:top w:w="0" w:type="dxa"/>
            <w:left w:w="108" w:type="dxa"/>
            <w:bottom w:w="0" w:type="dxa"/>
            <w:right w:w="108" w:type="dxa"/>
          </w:tblCellMar>
        </w:tblPrEx>
        <w:trPr>
          <w:trHeight w:val="1815" w:hRule="atLeast"/>
        </w:trPr>
        <w:tc>
          <w:tcPr>
            <w:tcW w:w="4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c>
          <w:tcPr>
            <w:tcW w:w="6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安全保密方案（10分）</w:t>
            </w:r>
          </w:p>
        </w:tc>
        <w:tc>
          <w:tcPr>
            <w:tcW w:w="38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lang w:bidi="ar"/>
              </w:rPr>
            </w:pPr>
            <w:r>
              <w:rPr>
                <w:rFonts w:hint="eastAsia"/>
                <w:lang w:bidi="ar"/>
              </w:rPr>
              <w:t>针对本项目的实际情况，拟定合理、可行、全面的安全保密方案，方案逻辑清晰、业务完整可行性高得10分，方案详细且可行得8分，方案合理得6分，方案描述一般得4分，方案描述简单，针对性一般得2分，方案内容较差得1分，未提供不得分。</w:t>
            </w:r>
          </w:p>
        </w:tc>
      </w:tr>
      <w:tr>
        <w:tblPrEx>
          <w:tblCellMar>
            <w:top w:w="0" w:type="dxa"/>
            <w:left w:w="108" w:type="dxa"/>
            <w:bottom w:w="0" w:type="dxa"/>
            <w:right w:w="108" w:type="dxa"/>
          </w:tblCellMar>
        </w:tblPrEx>
        <w:trPr>
          <w:trHeight w:val="3271" w:hRule="atLeast"/>
        </w:trPr>
        <w:tc>
          <w:tcPr>
            <w:tcW w:w="4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c>
          <w:tcPr>
            <w:tcW w:w="6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产品技术服务能力</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（10分）</w:t>
            </w:r>
          </w:p>
        </w:tc>
        <w:tc>
          <w:tcPr>
            <w:tcW w:w="38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根据投标单位升级的综合档案软件管理系统的实用性、先进性、人员培训、服务承诺等内容进行综合评审：</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综合档案软件管理系统的实用性、先进性、人员培训、服务承诺等内容全面、合理的得 10分；</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综合档案软件管理系统的实用性、先进性、人员培训、服务承诺等内容较全面、较合理的得6分；</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综合档案软件管理系统的实用性、先进性、人员培训、服务承诺等内容一般的得2分；</w:t>
            </w:r>
          </w:p>
          <w:p>
            <w:pPr>
              <w:widowControl/>
              <w:jc w:val="left"/>
              <w:textAlignment w:val="center"/>
            </w:pPr>
            <w:r>
              <w:rPr>
                <w:rFonts w:hint="eastAsia" w:ascii="宋体" w:hAnsi="宋体" w:cs="宋体"/>
                <w:color w:val="000000"/>
                <w:kern w:val="0"/>
                <w:szCs w:val="21"/>
                <w:lang w:bidi="ar"/>
              </w:rPr>
              <w:t>无得0分。</w:t>
            </w:r>
          </w:p>
        </w:tc>
      </w:tr>
      <w:tr>
        <w:tblPrEx>
          <w:tblCellMar>
            <w:top w:w="0" w:type="dxa"/>
            <w:left w:w="108" w:type="dxa"/>
            <w:bottom w:w="0" w:type="dxa"/>
            <w:right w:w="108" w:type="dxa"/>
          </w:tblCellMar>
        </w:tblPrEx>
        <w:trPr>
          <w:trHeight w:val="1615" w:hRule="atLeast"/>
        </w:trPr>
        <w:tc>
          <w:tcPr>
            <w:tcW w:w="4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c>
          <w:tcPr>
            <w:tcW w:w="6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rPr>
            </w:pPr>
            <w:r>
              <w:rPr>
                <w:rFonts w:hint="eastAsia" w:ascii="宋体" w:hAnsi="宋体" w:cs="宋体"/>
                <w:color w:val="000000"/>
                <w:kern w:val="0"/>
              </w:rPr>
              <w:t>现场人员管理方案（10分）</w:t>
            </w:r>
          </w:p>
        </w:tc>
        <w:tc>
          <w:tcPr>
            <w:tcW w:w="38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rPr>
            </w:pPr>
            <w:r>
              <w:rPr>
                <w:rFonts w:hint="eastAsia" w:ascii="宋体" w:hAnsi="宋体" w:cs="宋体"/>
              </w:rPr>
              <w:t>针对本项目的实际情况，拟定合理、可行、全面的现场人员管理方案，</w:t>
            </w:r>
            <w:r>
              <w:rPr>
                <w:rFonts w:hint="eastAsia" w:ascii="宋体" w:hAnsi="宋体" w:cs="宋体"/>
                <w:color w:val="000000"/>
                <w:kern w:val="0"/>
                <w:szCs w:val="21"/>
                <w:lang w:bidi="ar"/>
              </w:rPr>
              <w:t>方案逻辑清晰、业务完整可行性高得10分，方案详细且可行得8分，方案合理得6分，方案描述一般得4分，方案描述简单，针对性一般得2分，方案内容较差得1分，未提供不得分。</w:t>
            </w:r>
          </w:p>
        </w:tc>
      </w:tr>
      <w:tr>
        <w:tblPrEx>
          <w:tblCellMar>
            <w:top w:w="0" w:type="dxa"/>
            <w:left w:w="108" w:type="dxa"/>
            <w:bottom w:w="0" w:type="dxa"/>
            <w:right w:w="108" w:type="dxa"/>
          </w:tblCellMar>
        </w:tblPrEx>
        <w:trPr>
          <w:trHeight w:val="1668" w:hRule="atLeast"/>
        </w:trPr>
        <w:tc>
          <w:tcPr>
            <w:tcW w:w="4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c>
          <w:tcPr>
            <w:tcW w:w="6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cs="宋体"/>
                <w:color w:val="000000"/>
                <w:kern w:val="0"/>
              </w:rPr>
            </w:pPr>
            <w:r>
              <w:rPr>
                <w:rFonts w:hint="eastAsia" w:ascii="宋体" w:hAnsi="宋体" w:cs="宋体"/>
                <w:color w:val="000000"/>
                <w:kern w:val="0"/>
              </w:rPr>
              <w:t>应急措施方案</w:t>
            </w:r>
            <w:r>
              <w:rPr>
                <w:rFonts w:hint="eastAsia" w:ascii="宋体" w:hAnsi="宋体" w:cs="宋体"/>
                <w:color w:val="000000"/>
                <w:szCs w:val="21"/>
              </w:rPr>
              <w:t>（5分）</w:t>
            </w:r>
          </w:p>
        </w:tc>
        <w:tc>
          <w:tcPr>
            <w:tcW w:w="38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rPr>
            </w:pPr>
            <w:r>
              <w:rPr>
                <w:rFonts w:hint="eastAsia" w:ascii="宋体" w:hAnsi="宋体" w:cs="宋体"/>
              </w:rPr>
              <w:t>针对本项目的实际情况，拟定合理、可行、全面的应急措施方案，方案内容详细，可实施性强得5分，方案内容一般得3分，方案内容较差得1分，无得0分。</w:t>
            </w:r>
          </w:p>
        </w:tc>
      </w:tr>
      <w:tr>
        <w:tblPrEx>
          <w:tblCellMar>
            <w:top w:w="0" w:type="dxa"/>
            <w:left w:w="108" w:type="dxa"/>
            <w:bottom w:w="0" w:type="dxa"/>
            <w:right w:w="108" w:type="dxa"/>
          </w:tblCellMar>
        </w:tblPrEx>
        <w:trPr>
          <w:trHeight w:val="2832" w:hRule="atLeast"/>
        </w:trPr>
        <w:tc>
          <w:tcPr>
            <w:tcW w:w="4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c>
          <w:tcPr>
            <w:tcW w:w="6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rPr>
            </w:pPr>
            <w:r>
              <w:rPr>
                <w:rFonts w:hint="eastAsia" w:ascii="宋体" w:hAnsi="宋体" w:cs="宋体"/>
              </w:rPr>
              <w:t>项目培训</w:t>
            </w:r>
          </w:p>
          <w:p>
            <w:pPr>
              <w:widowControl/>
              <w:jc w:val="center"/>
              <w:textAlignment w:val="center"/>
              <w:rPr>
                <w:rFonts w:ascii="宋体" w:hAnsi="宋体" w:cs="宋体"/>
                <w:color w:val="000000"/>
                <w:szCs w:val="21"/>
              </w:rPr>
            </w:pPr>
            <w:r>
              <w:rPr>
                <w:rFonts w:hint="eastAsia" w:ascii="宋体" w:hAnsi="宋体" w:cs="宋体"/>
              </w:rPr>
              <w:t>（5分）</w:t>
            </w:r>
          </w:p>
        </w:tc>
        <w:tc>
          <w:tcPr>
            <w:tcW w:w="38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rPr>
            </w:pPr>
            <w:r>
              <w:rPr>
                <w:rFonts w:hint="eastAsia" w:ascii="宋体" w:hAnsi="宋体" w:cs="宋体"/>
              </w:rPr>
              <w:t>提供完整的项目培训计划、培训方案。重点评审内容包括：培训方案合理、培训计划、培训内容等。</w:t>
            </w:r>
          </w:p>
          <w:p>
            <w:pPr>
              <w:jc w:val="left"/>
              <w:rPr>
                <w:rFonts w:ascii="宋体" w:hAnsi="宋体" w:cs="宋体"/>
                <w:lang w:eastAsia="zh-Hans"/>
              </w:rPr>
            </w:pPr>
            <w:r>
              <w:rPr>
                <w:rFonts w:hint="eastAsia" w:ascii="宋体" w:hAnsi="宋体" w:cs="宋体"/>
                <w:lang w:eastAsia="zh-Hans"/>
              </w:rPr>
              <w:t>培训方案合理，培训计划详细，培训内容明确清晰，得</w:t>
            </w:r>
            <w:r>
              <w:rPr>
                <w:rFonts w:hint="eastAsia" w:ascii="宋体" w:hAnsi="宋体" w:cs="宋体"/>
              </w:rPr>
              <w:t>5</w:t>
            </w:r>
            <w:r>
              <w:rPr>
                <w:rFonts w:hint="eastAsia" w:ascii="宋体" w:hAnsi="宋体" w:cs="宋体"/>
                <w:lang w:eastAsia="zh-Hans"/>
              </w:rPr>
              <w:t>分。</w:t>
            </w:r>
          </w:p>
          <w:p>
            <w:pPr>
              <w:jc w:val="left"/>
              <w:rPr>
                <w:rFonts w:ascii="宋体" w:hAnsi="宋体" w:cs="宋体"/>
                <w:lang w:eastAsia="zh-Hans"/>
              </w:rPr>
            </w:pPr>
            <w:r>
              <w:rPr>
                <w:rFonts w:hint="eastAsia" w:ascii="宋体" w:hAnsi="宋体" w:cs="宋体"/>
                <w:lang w:eastAsia="zh-Hans"/>
              </w:rPr>
              <w:t>培训方案基本合理，培训计划较为详细，一定程度上能够体现出培训内容，得</w:t>
            </w:r>
            <w:r>
              <w:rPr>
                <w:rFonts w:hint="eastAsia" w:ascii="宋体" w:hAnsi="宋体" w:cs="宋体"/>
              </w:rPr>
              <w:t>3</w:t>
            </w:r>
            <w:r>
              <w:rPr>
                <w:rFonts w:hint="eastAsia" w:ascii="宋体" w:hAnsi="宋体" w:cs="宋体"/>
                <w:lang w:eastAsia="zh-Hans"/>
              </w:rPr>
              <w:t>分。</w:t>
            </w:r>
          </w:p>
          <w:p>
            <w:pPr>
              <w:jc w:val="left"/>
            </w:pPr>
            <w:r>
              <w:rPr>
                <w:rFonts w:hint="eastAsia" w:ascii="宋体" w:hAnsi="宋体" w:cs="宋体"/>
                <w:lang w:eastAsia="zh-Hans"/>
              </w:rPr>
              <w:t>培训方案不科学、不可理，培训计划规划混乱，无法明确培训内容，得</w:t>
            </w:r>
            <w:r>
              <w:rPr>
                <w:rFonts w:hint="eastAsia" w:ascii="宋体" w:hAnsi="宋体" w:cs="宋体"/>
              </w:rPr>
              <w:t>1</w:t>
            </w:r>
            <w:r>
              <w:rPr>
                <w:rFonts w:hint="eastAsia" w:ascii="宋体" w:hAnsi="宋体" w:cs="宋体"/>
                <w:lang w:eastAsia="zh-Hans"/>
              </w:rPr>
              <w:t>分。</w:t>
            </w:r>
            <w:r>
              <w:rPr>
                <w:rFonts w:hint="eastAsia" w:ascii="宋体" w:hAnsi="宋体" w:cs="宋体"/>
              </w:rPr>
              <w:t>无得0分。</w:t>
            </w:r>
          </w:p>
        </w:tc>
      </w:tr>
      <w:tr>
        <w:tblPrEx>
          <w:tblCellMar>
            <w:top w:w="0" w:type="dxa"/>
            <w:left w:w="108" w:type="dxa"/>
            <w:bottom w:w="0" w:type="dxa"/>
            <w:right w:w="108" w:type="dxa"/>
          </w:tblCellMar>
        </w:tblPrEx>
        <w:trPr>
          <w:trHeight w:val="1528" w:hRule="atLeast"/>
        </w:trPr>
        <w:tc>
          <w:tcPr>
            <w:tcW w:w="4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c>
          <w:tcPr>
            <w:tcW w:w="6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szCs w:val="21"/>
              </w:rPr>
              <w:t>履约情况（5分）</w:t>
            </w:r>
          </w:p>
        </w:tc>
        <w:tc>
          <w:tcPr>
            <w:tcW w:w="38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投标人已完成的档案数字化加工服务项目中，获得近三年用户的履约评价优秀等好评的。提供证明材料复印件并加盖用户公章，提供1份得1分，3份得3分，5份及以上得5分，无得0分。</w:t>
            </w:r>
          </w:p>
        </w:tc>
      </w:tr>
      <w:tr>
        <w:tblPrEx>
          <w:tblCellMar>
            <w:top w:w="0" w:type="dxa"/>
            <w:left w:w="108" w:type="dxa"/>
            <w:bottom w:w="0" w:type="dxa"/>
            <w:right w:w="108" w:type="dxa"/>
          </w:tblCellMar>
        </w:tblPrEx>
        <w:trPr>
          <w:trHeight w:val="1604" w:hRule="atLeast"/>
        </w:trPr>
        <w:tc>
          <w:tcPr>
            <w:tcW w:w="4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c>
          <w:tcPr>
            <w:tcW w:w="6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售后服务承诺（5分）</w:t>
            </w:r>
          </w:p>
        </w:tc>
        <w:tc>
          <w:tcPr>
            <w:tcW w:w="38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投标人承诺在招标文件要求的质保期基础上每增加一年加2.5分，最高加5分。</w:t>
            </w:r>
          </w:p>
        </w:tc>
      </w:tr>
    </w:tbl>
    <w:p>
      <w:pPr>
        <w:spacing w:line="500" w:lineRule="exact"/>
        <w:jc w:val="center"/>
        <w:rPr>
          <w:rFonts w:ascii="宋体" w:hAnsi="宋体" w:cs="宋体"/>
          <w:b/>
          <w:bCs/>
          <w:color w:val="000000"/>
          <w:sz w:val="32"/>
          <w:szCs w:val="40"/>
        </w:rPr>
      </w:pPr>
    </w:p>
    <w:p>
      <w:pPr>
        <w:spacing w:line="500" w:lineRule="exact"/>
        <w:rPr>
          <w:rFonts w:ascii="宋体" w:hAnsi="宋体" w:cs="宋体"/>
          <w:color w:val="000000"/>
          <w:sz w:val="22"/>
          <w:szCs w:val="28"/>
        </w:rPr>
      </w:pPr>
    </w:p>
    <w:p>
      <w:pPr>
        <w:spacing w:line="500" w:lineRule="exact"/>
        <w:rPr>
          <w:rFonts w:ascii="宋体" w:hAnsi="宋体" w:cs="宋体"/>
          <w:color w:val="000000"/>
          <w:sz w:val="22"/>
          <w:szCs w:val="28"/>
        </w:rPr>
      </w:pPr>
    </w:p>
    <w:p>
      <w:pPr>
        <w:spacing w:line="500" w:lineRule="exact"/>
        <w:rPr>
          <w:rFonts w:ascii="宋体" w:hAnsi="宋体" w:cs="宋体"/>
          <w:color w:val="000000"/>
          <w:sz w:val="22"/>
          <w:szCs w:val="28"/>
        </w:rPr>
      </w:pPr>
    </w:p>
    <w:p>
      <w:pPr>
        <w:spacing w:line="500" w:lineRule="exact"/>
        <w:rPr>
          <w:rFonts w:ascii="宋体" w:hAnsi="宋体" w:cs="宋体"/>
          <w:color w:val="000000"/>
          <w:sz w:val="22"/>
          <w:szCs w:val="28"/>
        </w:rPr>
      </w:pPr>
    </w:p>
    <w:p>
      <w:pPr>
        <w:spacing w:line="500" w:lineRule="exact"/>
        <w:rPr>
          <w:rFonts w:ascii="宋体" w:hAnsi="宋体" w:cs="宋体"/>
          <w:color w:val="000000"/>
          <w:sz w:val="22"/>
          <w:szCs w:val="28"/>
        </w:rPr>
      </w:pPr>
    </w:p>
    <w:p>
      <w:pPr>
        <w:spacing w:line="500" w:lineRule="exact"/>
        <w:rPr>
          <w:rFonts w:ascii="宋体" w:hAnsi="宋体" w:cs="宋体"/>
          <w:color w:val="000000"/>
          <w:sz w:val="22"/>
          <w:szCs w:val="28"/>
        </w:rPr>
      </w:pPr>
    </w:p>
    <w:p>
      <w:pPr>
        <w:spacing w:line="500" w:lineRule="exact"/>
        <w:rPr>
          <w:rFonts w:ascii="宋体" w:hAnsi="宋体" w:cs="宋体"/>
          <w:color w:val="000000"/>
          <w:sz w:val="22"/>
          <w:szCs w:val="28"/>
        </w:rPr>
      </w:pPr>
    </w:p>
    <w:p>
      <w:pPr>
        <w:spacing w:line="500" w:lineRule="exact"/>
        <w:rPr>
          <w:rFonts w:ascii="宋体" w:hAnsi="宋体" w:cs="宋体"/>
          <w:color w:val="000000"/>
          <w:sz w:val="22"/>
          <w:szCs w:val="28"/>
        </w:rPr>
      </w:pPr>
    </w:p>
    <w:p>
      <w:pPr>
        <w:spacing w:line="500" w:lineRule="exact"/>
        <w:rPr>
          <w:rFonts w:ascii="宋体" w:hAnsi="宋体" w:cs="宋体"/>
          <w:color w:val="000000"/>
          <w:sz w:val="22"/>
          <w:szCs w:val="28"/>
        </w:rPr>
      </w:pPr>
    </w:p>
    <w:p>
      <w:pPr>
        <w:spacing w:line="500" w:lineRule="exact"/>
        <w:rPr>
          <w:rFonts w:ascii="宋体" w:hAnsi="宋体" w:cs="宋体"/>
          <w:color w:val="000000"/>
          <w:sz w:val="22"/>
          <w:szCs w:val="28"/>
        </w:rPr>
      </w:pPr>
    </w:p>
    <w:p>
      <w:pPr>
        <w:spacing w:line="500" w:lineRule="exact"/>
        <w:rPr>
          <w:rFonts w:ascii="宋体" w:hAnsi="宋体" w:cs="宋体"/>
          <w:color w:val="000000"/>
          <w:sz w:val="22"/>
          <w:szCs w:val="28"/>
        </w:rPr>
      </w:pPr>
    </w:p>
    <w:p>
      <w:pPr>
        <w:spacing w:line="500" w:lineRule="exact"/>
        <w:rPr>
          <w:rFonts w:ascii="宋体" w:hAnsi="宋体" w:cs="宋体"/>
          <w:color w:val="000000"/>
          <w:sz w:val="22"/>
          <w:szCs w:val="28"/>
        </w:rPr>
      </w:pPr>
    </w:p>
    <w:p>
      <w:pPr>
        <w:spacing w:line="500" w:lineRule="exact"/>
        <w:rPr>
          <w:rFonts w:ascii="宋体" w:hAnsi="宋体" w:cs="宋体"/>
          <w:color w:val="000000"/>
          <w:sz w:val="22"/>
          <w:szCs w:val="28"/>
        </w:rPr>
      </w:pPr>
    </w:p>
    <w:p>
      <w:pPr>
        <w:spacing w:line="500" w:lineRule="exact"/>
        <w:rPr>
          <w:rFonts w:ascii="宋体" w:hAnsi="宋体" w:cs="宋体"/>
          <w:color w:val="000000"/>
          <w:sz w:val="22"/>
          <w:szCs w:val="28"/>
        </w:rPr>
      </w:pPr>
    </w:p>
    <w:p>
      <w:pPr>
        <w:spacing w:line="500" w:lineRule="exact"/>
        <w:rPr>
          <w:rFonts w:ascii="宋体" w:hAnsi="宋体" w:cs="宋体"/>
          <w:color w:val="000000"/>
          <w:sz w:val="22"/>
          <w:szCs w:val="28"/>
        </w:rPr>
      </w:pPr>
      <w:r>
        <w:rPr>
          <w:rFonts w:hint="eastAsia" w:ascii="宋体" w:hAnsi="宋体" w:cs="宋体"/>
          <w:color w:val="000000"/>
          <w:sz w:val="22"/>
          <w:szCs w:val="28"/>
        </w:rPr>
        <w:t>1、评标方法</w:t>
      </w:r>
    </w:p>
    <w:p>
      <w:pPr>
        <w:spacing w:line="500" w:lineRule="exact"/>
        <w:rPr>
          <w:rFonts w:ascii="宋体" w:hAnsi="宋体" w:cs="宋体"/>
          <w:color w:val="000000"/>
          <w:sz w:val="22"/>
          <w:szCs w:val="28"/>
        </w:rPr>
      </w:pPr>
      <w:r>
        <w:rPr>
          <w:rFonts w:hint="eastAsia" w:ascii="宋体" w:hAnsi="宋体" w:cs="宋体"/>
          <w:color w:val="000000"/>
          <w:sz w:val="22"/>
          <w:szCs w:val="28"/>
        </w:rPr>
        <w:t>本次评标采用综合评分法。综合评分法，是指投标文件满足招标文件全部实质性要求，且按照评审因素的量化指标评审得分最高的投标人为中标候选人的评标方法。</w:t>
      </w:r>
    </w:p>
    <w:p>
      <w:pPr>
        <w:spacing w:line="500" w:lineRule="exact"/>
        <w:rPr>
          <w:rFonts w:ascii="宋体" w:hAnsi="宋体" w:cs="宋体"/>
          <w:color w:val="000000"/>
          <w:sz w:val="22"/>
          <w:szCs w:val="28"/>
        </w:rPr>
      </w:pPr>
      <w:r>
        <w:rPr>
          <w:rFonts w:hint="eastAsia" w:ascii="宋体" w:hAnsi="宋体" w:cs="宋体"/>
          <w:color w:val="000000"/>
          <w:sz w:val="22"/>
          <w:szCs w:val="28"/>
        </w:rPr>
        <w:t>评标委员会对满足招标文件实质性要求的投标文件，按照本章第2.2款规定的评分标准进行打分，并按得分由高到低顺序推荐中标候选人，但投标报价低于其成本的除外。综合评分相等时，以投标报价低的优先；投标报价也相等的，以技术部分评分高的优先；技术部分评分也相等的，由采购人采用随机抽取的方式确定中标候选人排序。</w:t>
      </w:r>
    </w:p>
    <w:p>
      <w:pPr>
        <w:spacing w:line="500" w:lineRule="exact"/>
        <w:rPr>
          <w:rFonts w:ascii="宋体" w:hAnsi="宋体" w:cs="宋体"/>
          <w:color w:val="000000"/>
          <w:sz w:val="22"/>
          <w:szCs w:val="28"/>
        </w:rPr>
      </w:pPr>
      <w:r>
        <w:rPr>
          <w:rFonts w:hint="eastAsia" w:ascii="宋体" w:hAnsi="宋体" w:cs="宋体"/>
          <w:color w:val="000000"/>
          <w:sz w:val="22"/>
          <w:szCs w:val="28"/>
        </w:rPr>
        <w:t>2、评审标准</w:t>
      </w:r>
    </w:p>
    <w:p>
      <w:pPr>
        <w:spacing w:line="500" w:lineRule="exact"/>
        <w:rPr>
          <w:rFonts w:ascii="宋体" w:hAnsi="宋体" w:cs="宋体"/>
          <w:color w:val="000000"/>
          <w:sz w:val="22"/>
          <w:szCs w:val="28"/>
        </w:rPr>
      </w:pPr>
      <w:r>
        <w:rPr>
          <w:rFonts w:hint="eastAsia" w:ascii="宋体" w:hAnsi="宋体" w:cs="宋体"/>
          <w:color w:val="000000"/>
          <w:sz w:val="22"/>
          <w:szCs w:val="28"/>
        </w:rPr>
        <w:t>2.1初步评审标准</w:t>
      </w:r>
    </w:p>
    <w:p>
      <w:pPr>
        <w:spacing w:line="500" w:lineRule="exact"/>
        <w:rPr>
          <w:rFonts w:ascii="宋体" w:hAnsi="宋体" w:cs="宋体"/>
          <w:color w:val="000000"/>
          <w:sz w:val="22"/>
          <w:szCs w:val="28"/>
        </w:rPr>
      </w:pPr>
      <w:r>
        <w:rPr>
          <w:rFonts w:hint="eastAsia" w:ascii="宋体" w:hAnsi="宋体" w:cs="宋体"/>
          <w:color w:val="000000"/>
          <w:sz w:val="22"/>
          <w:szCs w:val="28"/>
        </w:rPr>
        <w:t>2.1.1形式评审标准：见初步评审表；</w:t>
      </w:r>
    </w:p>
    <w:p>
      <w:pPr>
        <w:spacing w:line="500" w:lineRule="exact"/>
        <w:rPr>
          <w:rFonts w:ascii="宋体" w:hAnsi="宋体" w:cs="宋体"/>
          <w:color w:val="000000"/>
          <w:sz w:val="22"/>
          <w:szCs w:val="28"/>
        </w:rPr>
      </w:pPr>
      <w:r>
        <w:rPr>
          <w:rFonts w:hint="eastAsia" w:ascii="宋体" w:hAnsi="宋体" w:cs="宋体"/>
          <w:color w:val="000000"/>
          <w:sz w:val="22"/>
          <w:szCs w:val="28"/>
        </w:rPr>
        <w:t>2.1.2资格评审标准：见初步评审表；</w:t>
      </w:r>
    </w:p>
    <w:p>
      <w:pPr>
        <w:spacing w:line="500" w:lineRule="exact"/>
        <w:rPr>
          <w:rFonts w:ascii="宋体" w:hAnsi="宋体" w:cs="宋体"/>
          <w:color w:val="000000"/>
          <w:sz w:val="22"/>
          <w:szCs w:val="28"/>
        </w:rPr>
      </w:pPr>
      <w:r>
        <w:rPr>
          <w:rFonts w:hint="eastAsia" w:ascii="宋体" w:hAnsi="宋体" w:cs="宋体"/>
          <w:color w:val="000000"/>
          <w:sz w:val="22"/>
          <w:szCs w:val="28"/>
        </w:rPr>
        <w:t>2.1.3响应性评审标准：见初步评审表。</w:t>
      </w:r>
    </w:p>
    <w:p>
      <w:pPr>
        <w:spacing w:line="500" w:lineRule="exact"/>
        <w:rPr>
          <w:rFonts w:ascii="宋体" w:hAnsi="宋体" w:cs="宋体"/>
          <w:color w:val="000000"/>
          <w:sz w:val="22"/>
          <w:szCs w:val="28"/>
        </w:rPr>
      </w:pPr>
      <w:r>
        <w:rPr>
          <w:rFonts w:hint="eastAsia" w:ascii="宋体" w:hAnsi="宋体" w:cs="宋体"/>
          <w:color w:val="000000"/>
          <w:sz w:val="22"/>
          <w:szCs w:val="28"/>
        </w:rPr>
        <w:t>2.2分值构成与评分标准</w:t>
      </w:r>
    </w:p>
    <w:p>
      <w:pPr>
        <w:spacing w:line="500" w:lineRule="exact"/>
        <w:rPr>
          <w:rFonts w:ascii="宋体" w:hAnsi="宋体" w:cs="宋体"/>
          <w:color w:val="000000"/>
          <w:sz w:val="22"/>
          <w:szCs w:val="28"/>
        </w:rPr>
      </w:pPr>
      <w:r>
        <w:rPr>
          <w:rFonts w:hint="eastAsia" w:ascii="宋体" w:hAnsi="宋体" w:cs="宋体"/>
          <w:color w:val="000000"/>
          <w:sz w:val="22"/>
          <w:szCs w:val="28"/>
        </w:rPr>
        <w:t>2.2.1分值构成</w:t>
      </w:r>
    </w:p>
    <w:p>
      <w:pPr>
        <w:spacing w:line="500" w:lineRule="exact"/>
        <w:rPr>
          <w:rFonts w:ascii="宋体" w:hAnsi="宋体" w:cs="宋体"/>
          <w:color w:val="000000"/>
          <w:sz w:val="22"/>
          <w:szCs w:val="28"/>
        </w:rPr>
      </w:pPr>
      <w:r>
        <w:rPr>
          <w:rFonts w:hint="eastAsia" w:ascii="宋体" w:hAnsi="宋体" w:cs="宋体"/>
          <w:color w:val="000000"/>
          <w:sz w:val="22"/>
          <w:szCs w:val="28"/>
        </w:rPr>
        <w:t>（1）投标报价：见详细评审表；</w:t>
      </w:r>
    </w:p>
    <w:p>
      <w:pPr>
        <w:spacing w:line="500" w:lineRule="exact"/>
        <w:rPr>
          <w:rFonts w:ascii="宋体" w:hAnsi="宋体" w:cs="宋体"/>
          <w:color w:val="000000"/>
          <w:sz w:val="22"/>
          <w:szCs w:val="28"/>
        </w:rPr>
      </w:pPr>
      <w:r>
        <w:rPr>
          <w:rFonts w:hint="eastAsia" w:ascii="宋体" w:hAnsi="宋体" w:cs="宋体"/>
          <w:color w:val="000000"/>
          <w:sz w:val="22"/>
          <w:szCs w:val="28"/>
        </w:rPr>
        <w:t>（2）商务部分：见详细评审表；</w:t>
      </w:r>
    </w:p>
    <w:p>
      <w:pPr>
        <w:spacing w:line="500" w:lineRule="exact"/>
        <w:rPr>
          <w:rFonts w:ascii="宋体" w:hAnsi="宋体" w:cs="宋体"/>
          <w:color w:val="000000"/>
          <w:sz w:val="22"/>
          <w:szCs w:val="28"/>
        </w:rPr>
      </w:pPr>
      <w:r>
        <w:rPr>
          <w:rFonts w:hint="eastAsia" w:ascii="宋体" w:hAnsi="宋体" w:cs="宋体"/>
          <w:color w:val="000000"/>
          <w:sz w:val="22"/>
          <w:szCs w:val="28"/>
        </w:rPr>
        <w:t>（3）技术部分：见详细评审表；</w:t>
      </w:r>
    </w:p>
    <w:p>
      <w:pPr>
        <w:spacing w:line="500" w:lineRule="exact"/>
        <w:rPr>
          <w:rFonts w:ascii="宋体" w:hAnsi="宋体" w:cs="宋体"/>
          <w:color w:val="000000"/>
          <w:sz w:val="22"/>
          <w:szCs w:val="28"/>
        </w:rPr>
      </w:pPr>
      <w:r>
        <w:rPr>
          <w:rFonts w:hint="eastAsia" w:ascii="宋体" w:hAnsi="宋体" w:cs="宋体"/>
          <w:color w:val="000000"/>
          <w:sz w:val="22"/>
          <w:szCs w:val="28"/>
        </w:rPr>
        <w:t>2.2.2评标基准价计算</w:t>
      </w:r>
    </w:p>
    <w:p>
      <w:pPr>
        <w:spacing w:line="500" w:lineRule="exact"/>
        <w:rPr>
          <w:rFonts w:ascii="宋体" w:hAnsi="宋体" w:cs="宋体"/>
          <w:color w:val="000000"/>
          <w:sz w:val="22"/>
          <w:szCs w:val="28"/>
        </w:rPr>
      </w:pPr>
      <w:r>
        <w:rPr>
          <w:rFonts w:hint="eastAsia" w:ascii="宋体" w:hAnsi="宋体" w:cs="宋体"/>
          <w:color w:val="000000"/>
          <w:sz w:val="22"/>
          <w:szCs w:val="28"/>
        </w:rPr>
        <w:t>评标基准价计算方法：见详细评审表。</w:t>
      </w:r>
    </w:p>
    <w:p>
      <w:pPr>
        <w:spacing w:line="500" w:lineRule="exact"/>
        <w:rPr>
          <w:rFonts w:ascii="宋体" w:hAnsi="宋体" w:cs="宋体"/>
          <w:color w:val="000000"/>
          <w:sz w:val="22"/>
          <w:szCs w:val="28"/>
        </w:rPr>
      </w:pPr>
      <w:r>
        <w:rPr>
          <w:rFonts w:hint="eastAsia" w:ascii="宋体" w:hAnsi="宋体" w:cs="宋体"/>
          <w:color w:val="000000"/>
          <w:sz w:val="22"/>
          <w:szCs w:val="28"/>
        </w:rPr>
        <w:t>2.2.3投标报价的偏差率计算</w:t>
      </w:r>
    </w:p>
    <w:p>
      <w:pPr>
        <w:spacing w:line="500" w:lineRule="exact"/>
        <w:rPr>
          <w:rFonts w:ascii="宋体" w:hAnsi="宋体" w:cs="宋体"/>
          <w:color w:val="000000"/>
          <w:sz w:val="22"/>
          <w:szCs w:val="28"/>
        </w:rPr>
      </w:pPr>
      <w:r>
        <w:rPr>
          <w:rFonts w:hint="eastAsia" w:ascii="宋体" w:hAnsi="宋体" w:cs="宋体"/>
          <w:color w:val="000000"/>
          <w:sz w:val="22"/>
          <w:szCs w:val="28"/>
        </w:rPr>
        <w:t>投标报价的偏差率计算公式：见详细评审表。</w:t>
      </w:r>
    </w:p>
    <w:p>
      <w:pPr>
        <w:spacing w:line="500" w:lineRule="exact"/>
        <w:rPr>
          <w:rFonts w:ascii="宋体" w:hAnsi="宋体" w:cs="宋体"/>
          <w:color w:val="000000"/>
          <w:sz w:val="22"/>
          <w:szCs w:val="28"/>
        </w:rPr>
      </w:pPr>
      <w:r>
        <w:rPr>
          <w:rFonts w:hint="eastAsia" w:ascii="宋体" w:hAnsi="宋体" w:cs="宋体"/>
          <w:color w:val="000000"/>
          <w:sz w:val="22"/>
          <w:szCs w:val="28"/>
        </w:rPr>
        <w:t>2.2.4评分标准</w:t>
      </w:r>
    </w:p>
    <w:p>
      <w:pPr>
        <w:spacing w:line="500" w:lineRule="exact"/>
        <w:rPr>
          <w:rFonts w:ascii="宋体" w:hAnsi="宋体" w:cs="宋体"/>
          <w:color w:val="000000"/>
          <w:sz w:val="22"/>
          <w:szCs w:val="28"/>
        </w:rPr>
      </w:pPr>
      <w:r>
        <w:rPr>
          <w:rFonts w:hint="eastAsia" w:ascii="宋体" w:hAnsi="宋体" w:cs="宋体"/>
          <w:color w:val="000000"/>
          <w:sz w:val="22"/>
          <w:szCs w:val="28"/>
        </w:rPr>
        <w:t>（1）投标报价：见详细评审表；</w:t>
      </w:r>
    </w:p>
    <w:p>
      <w:pPr>
        <w:spacing w:line="500" w:lineRule="exact"/>
        <w:rPr>
          <w:rFonts w:ascii="宋体" w:hAnsi="宋体" w:cs="宋体"/>
          <w:color w:val="000000"/>
          <w:sz w:val="22"/>
          <w:szCs w:val="28"/>
        </w:rPr>
      </w:pPr>
      <w:r>
        <w:rPr>
          <w:rFonts w:hint="eastAsia" w:ascii="宋体" w:hAnsi="宋体" w:cs="宋体"/>
          <w:color w:val="000000"/>
          <w:sz w:val="22"/>
          <w:szCs w:val="28"/>
        </w:rPr>
        <w:t>（2）商务部分：见详细评审表；</w:t>
      </w:r>
    </w:p>
    <w:p>
      <w:pPr>
        <w:spacing w:line="500" w:lineRule="exact"/>
        <w:rPr>
          <w:rFonts w:ascii="宋体" w:hAnsi="宋体" w:cs="宋体"/>
          <w:color w:val="000000"/>
          <w:sz w:val="22"/>
          <w:szCs w:val="28"/>
        </w:rPr>
      </w:pPr>
      <w:r>
        <w:rPr>
          <w:rFonts w:hint="eastAsia" w:ascii="宋体" w:hAnsi="宋体" w:cs="宋体"/>
          <w:color w:val="000000"/>
          <w:sz w:val="22"/>
          <w:szCs w:val="28"/>
        </w:rPr>
        <w:t>（3）技术部分：见详细评审表；</w:t>
      </w:r>
    </w:p>
    <w:p>
      <w:pPr>
        <w:spacing w:line="500" w:lineRule="exact"/>
        <w:rPr>
          <w:rFonts w:ascii="宋体" w:hAnsi="宋体" w:cs="宋体"/>
          <w:color w:val="000000"/>
          <w:sz w:val="22"/>
          <w:szCs w:val="28"/>
        </w:rPr>
      </w:pPr>
      <w:r>
        <w:rPr>
          <w:rFonts w:hint="eastAsia" w:ascii="宋体" w:hAnsi="宋体" w:cs="宋体"/>
          <w:color w:val="000000"/>
          <w:sz w:val="22"/>
          <w:szCs w:val="28"/>
        </w:rPr>
        <w:t>3、评标程序</w:t>
      </w:r>
    </w:p>
    <w:p>
      <w:pPr>
        <w:spacing w:line="500" w:lineRule="exact"/>
        <w:rPr>
          <w:rFonts w:ascii="宋体" w:hAnsi="宋体" w:cs="宋体"/>
          <w:color w:val="000000"/>
          <w:sz w:val="22"/>
          <w:szCs w:val="28"/>
        </w:rPr>
      </w:pPr>
      <w:r>
        <w:rPr>
          <w:rFonts w:hint="eastAsia" w:ascii="宋体" w:hAnsi="宋体" w:cs="宋体"/>
          <w:color w:val="000000"/>
          <w:sz w:val="22"/>
          <w:szCs w:val="28"/>
        </w:rPr>
        <w:t>3.1初步评审</w:t>
      </w:r>
    </w:p>
    <w:p>
      <w:pPr>
        <w:spacing w:line="500" w:lineRule="exact"/>
        <w:rPr>
          <w:rFonts w:ascii="宋体" w:hAnsi="宋体" w:cs="宋体"/>
          <w:color w:val="000000"/>
          <w:sz w:val="22"/>
          <w:szCs w:val="28"/>
        </w:rPr>
      </w:pPr>
      <w:r>
        <w:rPr>
          <w:rFonts w:hint="eastAsia" w:ascii="宋体" w:hAnsi="宋体" w:cs="宋体"/>
          <w:color w:val="000000"/>
          <w:sz w:val="22"/>
          <w:szCs w:val="28"/>
        </w:rPr>
        <w:t>3.1.1评标委员会依据本章第2.1款规定的标准对投标文件进行初步评审。有一项不符合评审标准的，作废标处理。</w:t>
      </w:r>
    </w:p>
    <w:p>
      <w:pPr>
        <w:spacing w:line="500" w:lineRule="exact"/>
        <w:rPr>
          <w:rFonts w:ascii="宋体" w:hAnsi="宋体" w:cs="宋体"/>
          <w:color w:val="000000"/>
          <w:sz w:val="22"/>
          <w:szCs w:val="28"/>
        </w:rPr>
      </w:pPr>
      <w:r>
        <w:rPr>
          <w:rFonts w:hint="eastAsia" w:ascii="宋体" w:hAnsi="宋体" w:cs="宋体"/>
          <w:color w:val="000000"/>
          <w:sz w:val="22"/>
          <w:szCs w:val="28"/>
        </w:rPr>
        <w:t>3.1.2投标人有以下情形之一的，其投标将被否决：</w:t>
      </w:r>
    </w:p>
    <w:p>
      <w:pPr>
        <w:spacing w:line="500" w:lineRule="exact"/>
        <w:rPr>
          <w:rFonts w:ascii="宋体" w:hAnsi="宋体" w:cs="宋体"/>
          <w:color w:val="000000"/>
          <w:sz w:val="22"/>
          <w:szCs w:val="28"/>
        </w:rPr>
      </w:pPr>
      <w:r>
        <w:rPr>
          <w:rFonts w:hint="eastAsia" w:ascii="宋体" w:hAnsi="宋体" w:cs="宋体"/>
          <w:color w:val="000000"/>
          <w:sz w:val="22"/>
          <w:szCs w:val="28"/>
        </w:rPr>
        <w:t>（1）投标文件未经投标单位盖章和单位法定代表人或其授权代理人签字；</w:t>
      </w:r>
    </w:p>
    <w:p>
      <w:pPr>
        <w:spacing w:line="500" w:lineRule="exact"/>
        <w:rPr>
          <w:rFonts w:ascii="宋体" w:hAnsi="宋体" w:cs="宋体"/>
          <w:color w:val="000000"/>
          <w:sz w:val="22"/>
          <w:szCs w:val="28"/>
        </w:rPr>
      </w:pPr>
      <w:r>
        <w:rPr>
          <w:rFonts w:hint="eastAsia" w:ascii="宋体" w:hAnsi="宋体" w:cs="宋体"/>
          <w:color w:val="000000"/>
          <w:sz w:val="22"/>
          <w:szCs w:val="28"/>
        </w:rPr>
        <w:t>（2）投标联合体没有提交共同投标协议；</w:t>
      </w:r>
    </w:p>
    <w:p>
      <w:pPr>
        <w:spacing w:line="500" w:lineRule="exact"/>
        <w:rPr>
          <w:rFonts w:ascii="宋体" w:hAnsi="宋体" w:cs="宋体"/>
          <w:color w:val="000000"/>
          <w:sz w:val="22"/>
          <w:szCs w:val="28"/>
        </w:rPr>
      </w:pPr>
      <w:r>
        <w:rPr>
          <w:rFonts w:hint="eastAsia" w:ascii="宋体" w:hAnsi="宋体" w:cs="宋体"/>
          <w:color w:val="000000"/>
          <w:sz w:val="22"/>
          <w:szCs w:val="28"/>
        </w:rPr>
        <w:t>（3）投标人不符合国家或者招标文件规定的资格条件；</w:t>
      </w:r>
    </w:p>
    <w:p>
      <w:pPr>
        <w:spacing w:line="500" w:lineRule="exact"/>
        <w:rPr>
          <w:rFonts w:ascii="宋体" w:hAnsi="宋体" w:cs="宋体"/>
          <w:color w:val="000000"/>
          <w:sz w:val="22"/>
          <w:szCs w:val="28"/>
        </w:rPr>
      </w:pPr>
      <w:r>
        <w:rPr>
          <w:rFonts w:hint="eastAsia" w:ascii="宋体" w:hAnsi="宋体" w:cs="宋体"/>
          <w:color w:val="000000"/>
          <w:sz w:val="22"/>
          <w:szCs w:val="28"/>
        </w:rPr>
        <w:t>（4）同一投标人提交两个以上不同的投标文件或者投标报价，但招标文件要求提交备选投标的除外；</w:t>
      </w:r>
    </w:p>
    <w:p>
      <w:pPr>
        <w:spacing w:line="500" w:lineRule="exact"/>
        <w:rPr>
          <w:rFonts w:ascii="宋体" w:hAnsi="宋体" w:cs="宋体"/>
          <w:color w:val="000000"/>
          <w:sz w:val="22"/>
          <w:szCs w:val="28"/>
        </w:rPr>
      </w:pPr>
      <w:r>
        <w:rPr>
          <w:rFonts w:hint="eastAsia" w:ascii="宋体" w:hAnsi="宋体" w:cs="宋体"/>
          <w:color w:val="000000"/>
          <w:sz w:val="22"/>
          <w:szCs w:val="28"/>
        </w:rPr>
        <w:t>（5）投标报价低于“成本价格”或者高于最高投标限价；</w:t>
      </w:r>
    </w:p>
    <w:p>
      <w:pPr>
        <w:spacing w:line="500" w:lineRule="exact"/>
        <w:rPr>
          <w:rFonts w:ascii="宋体" w:hAnsi="宋体" w:cs="宋体"/>
          <w:color w:val="000000"/>
          <w:sz w:val="22"/>
          <w:szCs w:val="28"/>
        </w:rPr>
      </w:pPr>
      <w:r>
        <w:rPr>
          <w:rFonts w:hint="eastAsia" w:ascii="宋体" w:hAnsi="宋体" w:cs="宋体"/>
          <w:color w:val="000000"/>
          <w:sz w:val="22"/>
          <w:szCs w:val="28"/>
        </w:rPr>
        <w:t>（6）投标文件没有对招标文件的实质性要求和条件作出响应；</w:t>
      </w:r>
    </w:p>
    <w:p>
      <w:pPr>
        <w:spacing w:line="500" w:lineRule="exact"/>
        <w:rPr>
          <w:rFonts w:ascii="宋体" w:hAnsi="宋体" w:cs="宋体"/>
          <w:color w:val="000000"/>
          <w:sz w:val="22"/>
          <w:szCs w:val="28"/>
        </w:rPr>
      </w:pPr>
      <w:r>
        <w:rPr>
          <w:rFonts w:hint="eastAsia" w:ascii="宋体" w:hAnsi="宋体" w:cs="宋体"/>
          <w:color w:val="000000"/>
          <w:sz w:val="22"/>
          <w:szCs w:val="28"/>
        </w:rPr>
        <w:t>（7）投标人被记录有严重失信行为造成严重社会影响的；</w:t>
      </w:r>
    </w:p>
    <w:p>
      <w:pPr>
        <w:spacing w:line="500" w:lineRule="exact"/>
        <w:rPr>
          <w:rFonts w:ascii="宋体" w:hAnsi="宋体" w:cs="宋体"/>
          <w:color w:val="000000"/>
          <w:sz w:val="22"/>
          <w:szCs w:val="28"/>
        </w:rPr>
      </w:pPr>
      <w:r>
        <w:rPr>
          <w:rFonts w:hint="eastAsia" w:ascii="宋体" w:hAnsi="宋体" w:cs="宋体"/>
          <w:color w:val="000000"/>
          <w:sz w:val="22"/>
          <w:szCs w:val="28"/>
        </w:rPr>
        <w:t>（8）投标人有串通投标、弄虚作假、行贿等违法行为。</w:t>
      </w:r>
    </w:p>
    <w:p>
      <w:pPr>
        <w:spacing w:line="500" w:lineRule="exact"/>
        <w:rPr>
          <w:rFonts w:ascii="宋体" w:hAnsi="宋体" w:cs="宋体"/>
          <w:color w:val="000000"/>
          <w:sz w:val="22"/>
          <w:szCs w:val="28"/>
        </w:rPr>
      </w:pPr>
      <w:r>
        <w:rPr>
          <w:rFonts w:hint="eastAsia" w:ascii="宋体" w:hAnsi="宋体" w:cs="宋体"/>
          <w:color w:val="000000"/>
          <w:sz w:val="22"/>
          <w:szCs w:val="28"/>
        </w:rPr>
        <w:t>3.1.3投标报价有算术错误的，评标委员会按以下原则对投标报价进行修正，修正的价格经投标人书面确认后具有约束力。投标人不接受修正价格的，其投标将被否决。</w:t>
      </w:r>
    </w:p>
    <w:p>
      <w:pPr>
        <w:spacing w:line="500" w:lineRule="exact"/>
        <w:rPr>
          <w:rFonts w:ascii="宋体" w:hAnsi="宋体" w:cs="宋体"/>
          <w:color w:val="000000"/>
          <w:sz w:val="22"/>
          <w:szCs w:val="28"/>
        </w:rPr>
      </w:pPr>
      <w:r>
        <w:rPr>
          <w:rFonts w:hint="eastAsia" w:ascii="宋体" w:hAnsi="宋体" w:cs="宋体"/>
          <w:color w:val="000000"/>
          <w:sz w:val="22"/>
          <w:szCs w:val="28"/>
        </w:rPr>
        <w:t>（1）投标文件中的大写金额与小写金额不一致的，以大写金额为准；</w:t>
      </w:r>
    </w:p>
    <w:p>
      <w:pPr>
        <w:spacing w:line="500" w:lineRule="exact"/>
        <w:rPr>
          <w:rFonts w:ascii="宋体" w:hAnsi="宋体" w:cs="宋体"/>
          <w:color w:val="000000"/>
          <w:sz w:val="22"/>
          <w:szCs w:val="28"/>
        </w:rPr>
      </w:pPr>
      <w:r>
        <w:rPr>
          <w:rFonts w:hint="eastAsia" w:ascii="宋体" w:hAnsi="宋体" w:cs="宋体"/>
          <w:color w:val="000000"/>
          <w:sz w:val="22"/>
          <w:szCs w:val="28"/>
        </w:rPr>
        <w:t>（2）总价金额与依据单价计算出的结果不一致的，以单价金额为准修正总价，但单价金额小数点有明显错误的除外。</w:t>
      </w:r>
    </w:p>
    <w:p>
      <w:pPr>
        <w:spacing w:line="500" w:lineRule="exact"/>
        <w:rPr>
          <w:rFonts w:ascii="宋体" w:hAnsi="宋体" w:cs="宋体"/>
          <w:color w:val="000000"/>
          <w:sz w:val="22"/>
          <w:szCs w:val="28"/>
        </w:rPr>
      </w:pPr>
      <w:r>
        <w:rPr>
          <w:rFonts w:hint="eastAsia" w:ascii="宋体" w:hAnsi="宋体" w:cs="宋体"/>
          <w:color w:val="000000"/>
          <w:sz w:val="22"/>
          <w:szCs w:val="28"/>
        </w:rPr>
        <w:t>3.2详细评审</w:t>
      </w:r>
    </w:p>
    <w:p>
      <w:pPr>
        <w:spacing w:line="500" w:lineRule="exact"/>
        <w:rPr>
          <w:rFonts w:ascii="宋体" w:hAnsi="宋体" w:cs="宋体"/>
          <w:color w:val="000000"/>
          <w:sz w:val="22"/>
          <w:szCs w:val="28"/>
        </w:rPr>
      </w:pPr>
      <w:r>
        <w:rPr>
          <w:rFonts w:hint="eastAsia" w:ascii="宋体" w:hAnsi="宋体" w:cs="宋体"/>
          <w:color w:val="000000"/>
          <w:sz w:val="22"/>
          <w:szCs w:val="28"/>
        </w:rPr>
        <w:t>3.2.1评标委员会按本章第2.2款规定的量化因素和分值进行打分，并计算出综合评估得分。</w:t>
      </w:r>
    </w:p>
    <w:p>
      <w:pPr>
        <w:spacing w:line="500" w:lineRule="exact"/>
        <w:rPr>
          <w:rFonts w:ascii="宋体" w:hAnsi="宋体" w:cs="宋体"/>
          <w:color w:val="000000"/>
          <w:sz w:val="22"/>
          <w:szCs w:val="28"/>
        </w:rPr>
      </w:pPr>
      <w:r>
        <w:rPr>
          <w:rFonts w:hint="eastAsia" w:ascii="宋体" w:hAnsi="宋体" w:cs="宋体"/>
          <w:color w:val="000000"/>
          <w:sz w:val="22"/>
          <w:szCs w:val="28"/>
        </w:rPr>
        <w:t>（1）按本章投标报价的评审因素和分值对投标报价计算出得分A；</w:t>
      </w:r>
    </w:p>
    <w:p>
      <w:pPr>
        <w:spacing w:line="500" w:lineRule="exact"/>
        <w:rPr>
          <w:rFonts w:ascii="宋体" w:hAnsi="宋体" w:cs="宋体"/>
          <w:color w:val="000000"/>
          <w:sz w:val="22"/>
          <w:szCs w:val="28"/>
        </w:rPr>
      </w:pPr>
      <w:r>
        <w:rPr>
          <w:rFonts w:hint="eastAsia" w:ascii="宋体" w:hAnsi="宋体" w:cs="宋体"/>
          <w:color w:val="000000"/>
          <w:sz w:val="22"/>
          <w:szCs w:val="28"/>
        </w:rPr>
        <w:t>（2）按本章商务部分的评审因素和分值对商务部分计算出得分B；</w:t>
      </w:r>
    </w:p>
    <w:p>
      <w:pPr>
        <w:spacing w:line="500" w:lineRule="exact"/>
      </w:pPr>
      <w:r>
        <w:rPr>
          <w:rFonts w:hint="eastAsia" w:ascii="宋体" w:hAnsi="宋体" w:cs="宋体"/>
          <w:color w:val="000000"/>
          <w:sz w:val="22"/>
          <w:szCs w:val="28"/>
        </w:rPr>
        <w:t>（3）按本章技术部分的评审因素和分值对技术部分计算出得分C；</w:t>
      </w:r>
    </w:p>
    <w:p>
      <w:pPr>
        <w:spacing w:line="500" w:lineRule="exact"/>
        <w:rPr>
          <w:rFonts w:ascii="宋体" w:hAnsi="宋体" w:cs="宋体"/>
          <w:color w:val="000000"/>
          <w:sz w:val="22"/>
          <w:szCs w:val="28"/>
        </w:rPr>
      </w:pPr>
      <w:r>
        <w:rPr>
          <w:rFonts w:hint="eastAsia" w:ascii="宋体" w:hAnsi="宋体" w:cs="宋体"/>
          <w:color w:val="000000"/>
          <w:sz w:val="22"/>
          <w:szCs w:val="28"/>
        </w:rPr>
        <w:t>3.2.2评分分值计算保留小数点后两位，小数点后第三位“四舍五入”。</w:t>
      </w:r>
    </w:p>
    <w:p>
      <w:pPr>
        <w:spacing w:line="500" w:lineRule="exact"/>
        <w:rPr>
          <w:rFonts w:ascii="宋体" w:hAnsi="宋体" w:cs="宋体"/>
          <w:color w:val="000000"/>
          <w:sz w:val="22"/>
          <w:szCs w:val="28"/>
        </w:rPr>
      </w:pPr>
      <w:r>
        <w:rPr>
          <w:rFonts w:hint="eastAsia" w:ascii="宋体" w:hAnsi="宋体" w:cs="宋体"/>
          <w:color w:val="000000"/>
          <w:sz w:val="22"/>
          <w:szCs w:val="28"/>
        </w:rPr>
        <w:t>3.2.3投标人得分=A+B+C。</w:t>
      </w:r>
    </w:p>
    <w:p>
      <w:pPr>
        <w:spacing w:line="500" w:lineRule="exact"/>
        <w:rPr>
          <w:rFonts w:ascii="宋体" w:hAnsi="宋体" w:cs="宋体"/>
          <w:color w:val="000000"/>
          <w:sz w:val="22"/>
          <w:szCs w:val="28"/>
        </w:rPr>
      </w:pPr>
      <w:r>
        <w:rPr>
          <w:rFonts w:hint="eastAsia" w:ascii="宋体" w:hAnsi="宋体" w:cs="宋体"/>
          <w:color w:val="000000"/>
          <w:sz w:val="22"/>
          <w:szCs w:val="28"/>
        </w:rPr>
        <w:t>3.2.4评标委员会发现投标单位的投标报价明显低于其他通过符合性审查投标人的报价，有可能影响产品质量或者不能诚信履约的，须提供成本构成表及相应证明材料，内容包括但不限于生产成本（如原材成本、设备损耗成本等），管理成本（人员工资、福利、社保等），交通成本（汽油、过路费等），税费等，并列明计算过程。投标人不能合理说明或者不能提供相应证明材料的，由评标委员会认定该投标人以低于成本报价竞标，其投标将被否决。</w:t>
      </w:r>
    </w:p>
    <w:p>
      <w:pPr>
        <w:spacing w:line="500" w:lineRule="exact"/>
        <w:rPr>
          <w:rFonts w:ascii="宋体" w:hAnsi="宋体" w:cs="宋体"/>
          <w:color w:val="000000"/>
          <w:sz w:val="22"/>
          <w:szCs w:val="28"/>
        </w:rPr>
      </w:pPr>
      <w:r>
        <w:rPr>
          <w:rFonts w:hint="eastAsia" w:ascii="宋体" w:hAnsi="宋体" w:cs="宋体"/>
          <w:color w:val="000000"/>
          <w:sz w:val="22"/>
          <w:szCs w:val="28"/>
        </w:rPr>
        <w:t>3.3投标文件的澄清和补正</w:t>
      </w:r>
    </w:p>
    <w:p>
      <w:pPr>
        <w:spacing w:line="500" w:lineRule="exact"/>
        <w:rPr>
          <w:rFonts w:ascii="宋体" w:hAnsi="宋体" w:cs="宋体"/>
          <w:color w:val="000000"/>
          <w:sz w:val="22"/>
          <w:szCs w:val="28"/>
        </w:rPr>
      </w:pPr>
      <w:r>
        <w:rPr>
          <w:rFonts w:hint="eastAsia" w:ascii="宋体" w:hAnsi="宋体" w:cs="宋体"/>
          <w:color w:val="000000"/>
          <w:sz w:val="22"/>
          <w:szCs w:val="28"/>
        </w:rPr>
        <w:t>3.3.1在评标过程中，评标委员会可以书面形式要求投标人对所提交投标文件中不明确的内容进行书面澄清或说明，或者对细微偏差进行补正。评标委员会不接受投标人主动提出的澄清、说明或补正。</w:t>
      </w:r>
    </w:p>
    <w:p>
      <w:pPr>
        <w:spacing w:line="500" w:lineRule="exact"/>
        <w:rPr>
          <w:rFonts w:ascii="宋体" w:hAnsi="宋体" w:cs="宋体"/>
          <w:color w:val="000000"/>
          <w:sz w:val="22"/>
          <w:szCs w:val="28"/>
        </w:rPr>
      </w:pPr>
      <w:r>
        <w:rPr>
          <w:rFonts w:hint="eastAsia" w:ascii="宋体" w:hAnsi="宋体" w:cs="宋体"/>
          <w:color w:val="000000"/>
          <w:sz w:val="22"/>
          <w:szCs w:val="28"/>
        </w:rPr>
        <w:t>3.3.2澄清、说明和补正不得改变投标文件的实质性内容（算术性错误修正的除外）。投标人的书面澄清、说明和补正属于投标文件的组成部分。</w:t>
      </w:r>
    </w:p>
    <w:p>
      <w:pPr>
        <w:spacing w:line="500" w:lineRule="exact"/>
        <w:rPr>
          <w:rFonts w:ascii="宋体" w:hAnsi="宋体" w:cs="宋体"/>
          <w:color w:val="000000"/>
          <w:sz w:val="22"/>
          <w:szCs w:val="28"/>
        </w:rPr>
      </w:pPr>
      <w:r>
        <w:rPr>
          <w:rFonts w:hint="eastAsia" w:ascii="宋体" w:hAnsi="宋体" w:cs="宋体"/>
          <w:color w:val="000000"/>
          <w:sz w:val="22"/>
          <w:szCs w:val="28"/>
        </w:rPr>
        <w:t>3.3.3评标委员会对投标人提交的澄清、说明或补正有疑问的，可以要求投标人进一步澄清、说明或补正，直至满足评标委员会的要求。</w:t>
      </w:r>
    </w:p>
    <w:p>
      <w:pPr>
        <w:spacing w:line="500" w:lineRule="exact"/>
        <w:rPr>
          <w:rFonts w:ascii="宋体" w:hAnsi="宋体" w:cs="宋体"/>
          <w:color w:val="000000"/>
          <w:sz w:val="22"/>
          <w:szCs w:val="28"/>
        </w:rPr>
      </w:pPr>
      <w:r>
        <w:rPr>
          <w:rFonts w:hint="eastAsia" w:ascii="宋体" w:hAnsi="宋体" w:cs="宋体"/>
          <w:color w:val="000000"/>
          <w:sz w:val="22"/>
          <w:szCs w:val="28"/>
        </w:rPr>
        <w:t>3.4评标结果</w:t>
      </w:r>
    </w:p>
    <w:p>
      <w:pPr>
        <w:spacing w:line="500" w:lineRule="exact"/>
        <w:rPr>
          <w:rFonts w:ascii="宋体" w:hAnsi="宋体" w:cs="宋体"/>
          <w:color w:val="000000"/>
          <w:sz w:val="22"/>
          <w:szCs w:val="28"/>
        </w:rPr>
      </w:pPr>
      <w:r>
        <w:rPr>
          <w:rFonts w:hint="eastAsia" w:ascii="宋体" w:hAnsi="宋体" w:cs="宋体"/>
          <w:color w:val="000000"/>
          <w:sz w:val="22"/>
          <w:szCs w:val="28"/>
        </w:rPr>
        <w:t>3.4.1除第二章“投标人须知”前附表授权直接确定中标人外，评标委员会按照综合得分由高到低的顺序推荐3名中标候选人。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也可以重新招标。</w:t>
      </w:r>
    </w:p>
    <w:p>
      <w:pPr>
        <w:spacing w:line="500" w:lineRule="exact"/>
        <w:rPr>
          <w:rFonts w:ascii="宋体" w:hAnsi="宋体" w:cs="宋体"/>
          <w:color w:val="000000"/>
          <w:sz w:val="22"/>
          <w:szCs w:val="28"/>
        </w:rPr>
      </w:pPr>
      <w:r>
        <w:rPr>
          <w:rFonts w:hint="eastAsia" w:ascii="宋体" w:hAnsi="宋体" w:cs="宋体"/>
          <w:color w:val="000000"/>
          <w:sz w:val="22"/>
          <w:szCs w:val="28"/>
        </w:rPr>
        <w:t>3.4.2评标委员会完成评标后，应当向采购人提交书面评标报告。</w:t>
      </w:r>
    </w:p>
    <w:p>
      <w:pPr>
        <w:spacing w:line="500" w:lineRule="exact"/>
        <w:rPr>
          <w:rFonts w:ascii="宋体" w:hAnsi="宋体" w:cs="宋体"/>
          <w:color w:val="000000"/>
          <w:sz w:val="22"/>
          <w:szCs w:val="28"/>
        </w:rPr>
      </w:pPr>
      <w:r>
        <w:rPr>
          <w:rFonts w:hint="eastAsia" w:ascii="宋体" w:hAnsi="宋体" w:cs="宋体"/>
          <w:color w:val="000000"/>
          <w:sz w:val="22"/>
          <w:szCs w:val="28"/>
        </w:rPr>
        <w:t>4、有下列情形之一的，视为投标人相互串通投标：</w:t>
      </w:r>
    </w:p>
    <w:p>
      <w:pPr>
        <w:spacing w:line="500" w:lineRule="exact"/>
        <w:rPr>
          <w:rFonts w:ascii="宋体" w:hAnsi="宋体" w:cs="宋体"/>
          <w:color w:val="000000"/>
          <w:sz w:val="22"/>
          <w:szCs w:val="28"/>
        </w:rPr>
      </w:pPr>
      <w:r>
        <w:rPr>
          <w:rFonts w:hint="eastAsia" w:ascii="宋体" w:hAnsi="宋体" w:cs="宋体"/>
          <w:color w:val="000000"/>
          <w:sz w:val="22"/>
          <w:szCs w:val="28"/>
        </w:rPr>
        <w:t>（1）投标人之间协商投标报价等投标文件的实质性内容的；</w:t>
      </w:r>
    </w:p>
    <w:p>
      <w:pPr>
        <w:spacing w:line="500" w:lineRule="exact"/>
        <w:rPr>
          <w:rFonts w:ascii="宋体" w:hAnsi="宋体" w:cs="宋体"/>
          <w:color w:val="000000"/>
          <w:sz w:val="22"/>
          <w:szCs w:val="28"/>
        </w:rPr>
      </w:pPr>
      <w:r>
        <w:rPr>
          <w:rFonts w:hint="eastAsia" w:ascii="宋体" w:hAnsi="宋体" w:cs="宋体"/>
          <w:color w:val="000000"/>
          <w:sz w:val="22"/>
          <w:szCs w:val="28"/>
        </w:rPr>
        <w:t>（2）投标人之间约定中标人的；</w:t>
      </w:r>
    </w:p>
    <w:p>
      <w:pPr>
        <w:spacing w:line="500" w:lineRule="exact"/>
        <w:rPr>
          <w:rFonts w:ascii="宋体" w:hAnsi="宋体" w:cs="宋体"/>
          <w:color w:val="000000"/>
          <w:sz w:val="22"/>
          <w:szCs w:val="28"/>
        </w:rPr>
      </w:pPr>
      <w:r>
        <w:rPr>
          <w:rFonts w:hint="eastAsia" w:ascii="宋体" w:hAnsi="宋体" w:cs="宋体"/>
          <w:color w:val="000000"/>
          <w:sz w:val="22"/>
          <w:szCs w:val="28"/>
        </w:rPr>
        <w:t>（3）投标人之间约定部分投标人放弃投标或者中标的；</w:t>
      </w:r>
    </w:p>
    <w:p>
      <w:pPr>
        <w:spacing w:line="500" w:lineRule="exact"/>
        <w:rPr>
          <w:rFonts w:ascii="宋体" w:hAnsi="宋体" w:cs="宋体"/>
          <w:color w:val="000000"/>
          <w:sz w:val="22"/>
          <w:szCs w:val="28"/>
        </w:rPr>
      </w:pPr>
      <w:r>
        <w:rPr>
          <w:rFonts w:hint="eastAsia" w:ascii="宋体" w:hAnsi="宋体" w:cs="宋体"/>
          <w:color w:val="000000"/>
          <w:sz w:val="22"/>
          <w:szCs w:val="28"/>
        </w:rPr>
        <w:t>（4）属于同一集团、协会、商会等组织成员的投标人按照该组织要求投标的；</w:t>
      </w:r>
    </w:p>
    <w:p>
      <w:pPr>
        <w:spacing w:line="500" w:lineRule="exact"/>
        <w:rPr>
          <w:rFonts w:ascii="宋体" w:hAnsi="宋体" w:cs="宋体"/>
          <w:color w:val="000000"/>
          <w:sz w:val="22"/>
          <w:szCs w:val="28"/>
        </w:rPr>
      </w:pPr>
      <w:r>
        <w:rPr>
          <w:rFonts w:hint="eastAsia" w:ascii="宋体" w:hAnsi="宋体" w:cs="宋体"/>
          <w:color w:val="000000"/>
          <w:sz w:val="22"/>
          <w:szCs w:val="28"/>
        </w:rPr>
        <w:t>（5）投标人之间为谋取中标或者排斥特定投标人而采取的其他联合行动的；</w:t>
      </w:r>
    </w:p>
    <w:p>
      <w:pPr>
        <w:spacing w:line="500" w:lineRule="exact"/>
        <w:rPr>
          <w:rFonts w:ascii="宋体" w:hAnsi="宋体" w:cs="宋体"/>
          <w:color w:val="000000"/>
          <w:sz w:val="22"/>
          <w:szCs w:val="28"/>
        </w:rPr>
      </w:pPr>
      <w:r>
        <w:rPr>
          <w:rFonts w:hint="eastAsia" w:ascii="宋体" w:hAnsi="宋体" w:cs="宋体"/>
          <w:color w:val="000000"/>
          <w:sz w:val="22"/>
          <w:szCs w:val="28"/>
        </w:rPr>
        <w:t>（6）不同投标人的投标文件由同一单位或者个人编制的；</w:t>
      </w:r>
    </w:p>
    <w:p>
      <w:pPr>
        <w:spacing w:line="500" w:lineRule="exact"/>
        <w:rPr>
          <w:rFonts w:ascii="宋体" w:hAnsi="宋体" w:cs="宋体"/>
          <w:color w:val="000000"/>
          <w:sz w:val="22"/>
          <w:szCs w:val="28"/>
        </w:rPr>
      </w:pPr>
      <w:r>
        <w:rPr>
          <w:rFonts w:hint="eastAsia" w:ascii="宋体" w:hAnsi="宋体" w:cs="宋体"/>
          <w:color w:val="000000"/>
          <w:sz w:val="22"/>
          <w:szCs w:val="28"/>
        </w:rPr>
        <w:t>（7）不同投标人委托同一单位或者个人办理投标事宜的；</w:t>
      </w:r>
    </w:p>
    <w:p>
      <w:pPr>
        <w:spacing w:line="500" w:lineRule="exact"/>
        <w:rPr>
          <w:rFonts w:ascii="宋体" w:hAnsi="宋体" w:cs="宋体"/>
          <w:color w:val="000000"/>
          <w:sz w:val="22"/>
          <w:szCs w:val="28"/>
        </w:rPr>
      </w:pPr>
      <w:r>
        <w:rPr>
          <w:rFonts w:hint="eastAsia" w:ascii="宋体" w:hAnsi="宋体" w:cs="宋体"/>
          <w:color w:val="000000"/>
          <w:sz w:val="22"/>
          <w:szCs w:val="28"/>
        </w:rPr>
        <w:t>（8）不同投标人的投标文件载明的项目管理成员为同一人的；</w:t>
      </w:r>
    </w:p>
    <w:p>
      <w:pPr>
        <w:spacing w:line="500" w:lineRule="exact"/>
        <w:rPr>
          <w:rFonts w:ascii="宋体" w:hAnsi="宋体" w:cs="宋体"/>
          <w:color w:val="000000"/>
          <w:sz w:val="22"/>
          <w:szCs w:val="28"/>
        </w:rPr>
      </w:pPr>
      <w:r>
        <w:rPr>
          <w:rFonts w:hint="eastAsia" w:ascii="宋体" w:hAnsi="宋体" w:cs="宋体"/>
          <w:color w:val="000000"/>
          <w:sz w:val="22"/>
          <w:szCs w:val="28"/>
        </w:rPr>
        <w:t>（9）不同投标人的投标文件异常一致或者投标报价呈规律性差异的；</w:t>
      </w:r>
    </w:p>
    <w:p>
      <w:pPr>
        <w:spacing w:line="500" w:lineRule="exact"/>
        <w:rPr>
          <w:rFonts w:ascii="宋体" w:hAnsi="宋体" w:cs="宋体"/>
          <w:color w:val="000000"/>
          <w:sz w:val="22"/>
          <w:szCs w:val="28"/>
        </w:rPr>
      </w:pPr>
      <w:r>
        <w:rPr>
          <w:rFonts w:hint="eastAsia" w:ascii="宋体" w:hAnsi="宋体" w:cs="宋体"/>
          <w:color w:val="000000"/>
          <w:sz w:val="22"/>
          <w:szCs w:val="28"/>
        </w:rPr>
        <w:t>（10）不同投标人的投标文件相互混装的；</w:t>
      </w:r>
    </w:p>
    <w:p>
      <w:pPr>
        <w:spacing w:line="500" w:lineRule="exact"/>
        <w:rPr>
          <w:rFonts w:ascii="宋体" w:hAnsi="宋体" w:cs="宋体"/>
          <w:color w:val="000000"/>
          <w:sz w:val="22"/>
          <w:szCs w:val="28"/>
        </w:rPr>
      </w:pPr>
      <w:r>
        <w:rPr>
          <w:rFonts w:hint="eastAsia" w:ascii="宋体" w:hAnsi="宋体" w:cs="宋体"/>
          <w:color w:val="000000"/>
          <w:sz w:val="22"/>
          <w:szCs w:val="28"/>
        </w:rPr>
        <w:t>（11）不同投标人的投标保证金从同一单位或者个人的账户转出的；</w:t>
      </w:r>
    </w:p>
    <w:p>
      <w:pPr>
        <w:spacing w:line="500" w:lineRule="exact"/>
        <w:rPr>
          <w:rFonts w:ascii="宋体" w:hAnsi="宋体" w:cs="宋体"/>
          <w:color w:val="000000"/>
          <w:sz w:val="22"/>
          <w:szCs w:val="28"/>
        </w:rPr>
      </w:pPr>
      <w:bookmarkStart w:id="778" w:name="_Toc3593"/>
      <w:bookmarkStart w:id="779" w:name="_Toc246996252"/>
      <w:bookmarkStart w:id="780" w:name="_Toc16258"/>
      <w:bookmarkStart w:id="781" w:name="_Toc1055"/>
      <w:bookmarkStart w:id="782" w:name="_Toc246996995"/>
      <w:bookmarkStart w:id="783" w:name="_Toc152045609"/>
      <w:bookmarkStart w:id="784" w:name="_Toc152042387"/>
      <w:bookmarkStart w:id="785" w:name="_Toc247085767"/>
      <w:bookmarkStart w:id="786" w:name="_Toc1672"/>
      <w:bookmarkStart w:id="787" w:name="_Toc144974577"/>
      <w:bookmarkStart w:id="788" w:name="_Toc179632627"/>
    </w:p>
    <w:p>
      <w:pPr>
        <w:pStyle w:val="19"/>
        <w:rPr>
          <w:rFonts w:hAnsi="宋体" w:cs="宋体"/>
          <w:color w:val="000000"/>
        </w:rPr>
      </w:pPr>
    </w:p>
    <w:p>
      <w:pPr>
        <w:pStyle w:val="19"/>
        <w:rPr>
          <w:rFonts w:hAnsi="宋体" w:cs="宋体"/>
          <w:color w:val="000000"/>
        </w:rPr>
      </w:pPr>
    </w:p>
    <w:p>
      <w:pPr>
        <w:pStyle w:val="19"/>
        <w:rPr>
          <w:rFonts w:hAnsi="宋体" w:cs="宋体"/>
          <w:color w:val="000000"/>
        </w:rPr>
      </w:pPr>
    </w:p>
    <w:p/>
    <w:p>
      <w:pPr>
        <w:pStyle w:val="2"/>
        <w:spacing w:line="240" w:lineRule="auto"/>
        <w:jc w:val="center"/>
        <w:rPr>
          <w:rFonts w:ascii="黑体" w:hAnsi="黑体" w:eastAsia="黑体" w:cs="黑体"/>
          <w:color w:val="000000"/>
          <w:kern w:val="2"/>
        </w:rPr>
      </w:pPr>
    </w:p>
    <w:p>
      <w:pPr>
        <w:rPr>
          <w:rFonts w:ascii="黑体" w:hAnsi="黑体" w:eastAsia="黑体" w:cs="黑体"/>
          <w:b/>
          <w:bCs/>
          <w:color w:val="000000"/>
          <w:sz w:val="44"/>
          <w:szCs w:val="44"/>
        </w:rPr>
      </w:pPr>
    </w:p>
    <w:p>
      <w:pPr>
        <w:pStyle w:val="17"/>
        <w:rPr>
          <w:rFonts w:ascii="黑体" w:hAnsi="黑体" w:eastAsia="黑体" w:cs="黑体"/>
          <w:b/>
          <w:bCs/>
          <w:color w:val="000000"/>
          <w:sz w:val="44"/>
          <w:szCs w:val="44"/>
        </w:rPr>
      </w:pPr>
    </w:p>
    <w:p>
      <w:pPr>
        <w:rPr>
          <w:rFonts w:ascii="黑体" w:hAnsi="黑体" w:eastAsia="黑体" w:cs="黑体"/>
          <w:b/>
          <w:bCs/>
          <w:color w:val="000000"/>
          <w:sz w:val="44"/>
          <w:szCs w:val="44"/>
        </w:rPr>
      </w:pPr>
    </w:p>
    <w:p>
      <w:pPr>
        <w:pStyle w:val="17"/>
        <w:rPr>
          <w:rFonts w:ascii="黑体" w:hAnsi="黑体" w:eastAsia="黑体" w:cs="黑体"/>
          <w:b/>
          <w:bCs/>
          <w:color w:val="000000"/>
          <w:sz w:val="44"/>
          <w:szCs w:val="44"/>
        </w:rPr>
      </w:pPr>
    </w:p>
    <w:p>
      <w:pPr>
        <w:rPr>
          <w:rFonts w:ascii="黑体" w:hAnsi="黑体" w:eastAsia="黑体" w:cs="黑体"/>
          <w:b/>
          <w:bCs/>
          <w:color w:val="000000"/>
          <w:sz w:val="44"/>
          <w:szCs w:val="44"/>
        </w:rPr>
      </w:pPr>
    </w:p>
    <w:p>
      <w:pPr>
        <w:pStyle w:val="17"/>
        <w:rPr>
          <w:rFonts w:ascii="黑体" w:hAnsi="黑体" w:eastAsia="黑体" w:cs="黑体"/>
          <w:b/>
          <w:bCs/>
          <w:color w:val="000000"/>
          <w:sz w:val="44"/>
          <w:szCs w:val="44"/>
        </w:rPr>
      </w:pPr>
    </w:p>
    <w:p>
      <w:pPr>
        <w:rPr>
          <w:rFonts w:ascii="黑体" w:hAnsi="黑体" w:eastAsia="黑体" w:cs="黑体"/>
          <w:b/>
          <w:bCs/>
          <w:color w:val="000000"/>
          <w:sz w:val="44"/>
          <w:szCs w:val="44"/>
        </w:rPr>
      </w:pPr>
    </w:p>
    <w:p>
      <w:pPr>
        <w:pStyle w:val="17"/>
        <w:rPr>
          <w:rFonts w:ascii="黑体" w:hAnsi="黑体" w:eastAsia="黑体" w:cs="黑体"/>
          <w:b/>
          <w:bCs/>
          <w:color w:val="000000"/>
          <w:sz w:val="44"/>
          <w:szCs w:val="44"/>
        </w:rPr>
      </w:pPr>
    </w:p>
    <w:p>
      <w:pPr>
        <w:rPr>
          <w:rFonts w:ascii="黑体" w:hAnsi="黑体" w:eastAsia="黑体" w:cs="黑体"/>
          <w:b/>
          <w:bCs/>
          <w:color w:val="000000"/>
          <w:sz w:val="44"/>
          <w:szCs w:val="44"/>
        </w:rPr>
      </w:pPr>
    </w:p>
    <w:p>
      <w:pPr>
        <w:pStyle w:val="17"/>
        <w:rPr>
          <w:rFonts w:ascii="黑体" w:hAnsi="黑体" w:eastAsia="黑体" w:cs="黑体"/>
          <w:b/>
          <w:bCs/>
          <w:color w:val="000000"/>
          <w:sz w:val="44"/>
          <w:szCs w:val="44"/>
        </w:rPr>
      </w:pPr>
    </w:p>
    <w:p/>
    <w:p>
      <w:pPr>
        <w:pStyle w:val="2"/>
        <w:spacing w:line="240" w:lineRule="auto"/>
        <w:jc w:val="center"/>
        <w:rPr>
          <w:rFonts w:ascii="黑体" w:hAnsi="黑体" w:eastAsia="黑体" w:cs="黑体"/>
          <w:color w:val="000000"/>
          <w:kern w:val="2"/>
        </w:rPr>
      </w:pPr>
      <w:r>
        <w:rPr>
          <w:rFonts w:hint="eastAsia" w:ascii="黑体" w:hAnsi="黑体" w:eastAsia="黑体" w:cs="黑体"/>
          <w:color w:val="000000"/>
          <w:kern w:val="2"/>
        </w:rPr>
        <w:t>第四章  合同条款及格式</w:t>
      </w:r>
      <w:bookmarkEnd w:id="778"/>
      <w:bookmarkEnd w:id="779"/>
      <w:bookmarkEnd w:id="780"/>
      <w:bookmarkEnd w:id="781"/>
      <w:bookmarkEnd w:id="782"/>
      <w:bookmarkEnd w:id="783"/>
      <w:bookmarkEnd w:id="784"/>
      <w:bookmarkEnd w:id="785"/>
      <w:bookmarkEnd w:id="786"/>
      <w:bookmarkEnd w:id="787"/>
      <w:bookmarkEnd w:id="788"/>
    </w:p>
    <w:p>
      <w:pPr>
        <w:spacing w:before="243" w:line="225" w:lineRule="auto"/>
        <w:ind w:left="2897"/>
        <w:outlineLvl w:val="1"/>
        <w:rPr>
          <w:rFonts w:ascii="宋体" w:hAnsi="宋体" w:cs="宋体"/>
          <w:sz w:val="24"/>
        </w:rPr>
      </w:pPr>
      <w:bookmarkStart w:id="789" w:name="_Toc152042575"/>
      <w:bookmarkStart w:id="790" w:name="_Toc13094"/>
      <w:bookmarkStart w:id="791" w:name="_Toc9282"/>
      <w:bookmarkStart w:id="792" w:name="_Toc152045786"/>
      <w:bookmarkStart w:id="793" w:name="_Toc247085872"/>
      <w:bookmarkStart w:id="794" w:name="_Toc144974855"/>
      <w:bookmarkStart w:id="795" w:name="_Toc8759"/>
      <w:bookmarkStart w:id="796" w:name="_Toc246996354"/>
      <w:bookmarkStart w:id="797" w:name="_Toc246997097"/>
      <w:bookmarkStart w:id="798" w:name="_Toc179632806"/>
      <w:r>
        <w:rPr>
          <w:rFonts w:hint="eastAsia" w:ascii="宋体" w:hAnsi="宋体" w:cs="宋体"/>
          <w:spacing w:val="11"/>
          <w:sz w:val="24"/>
        </w:rPr>
        <w:t>参考政</w:t>
      </w:r>
      <w:r>
        <w:rPr>
          <w:rFonts w:hint="eastAsia" w:ascii="宋体" w:hAnsi="宋体" w:cs="宋体"/>
          <w:spacing w:val="10"/>
          <w:sz w:val="24"/>
        </w:rPr>
        <w:t>府采购合同条款及格式</w:t>
      </w:r>
    </w:p>
    <w:p>
      <w:pPr>
        <w:spacing w:line="137" w:lineRule="exact"/>
        <w:rPr>
          <w:rFonts w:ascii="宋体" w:hAnsi="宋体" w:cs="宋体"/>
          <w:sz w:val="24"/>
        </w:rPr>
      </w:pPr>
    </w:p>
    <w:p>
      <w:pPr>
        <w:widowControl/>
        <w:kinsoku w:val="0"/>
        <w:autoSpaceDE w:val="0"/>
        <w:autoSpaceDN w:val="0"/>
        <w:adjustRightInd w:val="0"/>
        <w:snapToGrid w:val="0"/>
        <w:spacing w:line="360" w:lineRule="auto"/>
        <w:jc w:val="left"/>
        <w:textAlignment w:val="baseline"/>
        <w:rPr>
          <w:rFonts w:ascii="Arial" w:hAnsi="Arial" w:cs="Arial"/>
          <w:color w:val="000000"/>
          <w:kern w:val="0"/>
          <w:sz w:val="24"/>
        </w:rPr>
      </w:pPr>
      <w:r>
        <w:rPr>
          <w:rFonts w:ascii="Arial" w:hAnsi="Arial" w:cs="Arial"/>
          <w:color w:val="000000"/>
          <w:kern w:val="0"/>
          <w:sz w:val="24"/>
        </w:rPr>
        <w:t xml:space="preserve"> </w:t>
      </w:r>
    </w:p>
    <w:p>
      <w:pPr>
        <w:widowControl/>
        <w:kinsoku w:val="0"/>
        <w:autoSpaceDE w:val="0"/>
        <w:autoSpaceDN w:val="0"/>
        <w:adjustRightInd w:val="0"/>
        <w:snapToGrid w:val="0"/>
        <w:spacing w:line="360" w:lineRule="auto"/>
        <w:jc w:val="left"/>
        <w:textAlignment w:val="baseline"/>
        <w:rPr>
          <w:rFonts w:ascii="Arial" w:hAnsi="Arial" w:cs="Arial"/>
          <w:color w:val="000000"/>
          <w:kern w:val="0"/>
          <w:sz w:val="24"/>
        </w:rPr>
      </w:pPr>
      <w:r>
        <w:rPr>
          <w:rFonts w:ascii="Arial" w:hAnsi="Arial" w:cs="Arial"/>
          <w:color w:val="000000"/>
          <w:kern w:val="0"/>
          <w:sz w:val="24"/>
        </w:rPr>
        <w:t xml:space="preserve"> </w:t>
      </w:r>
    </w:p>
    <w:p>
      <w:pPr>
        <w:widowControl/>
        <w:kinsoku w:val="0"/>
        <w:autoSpaceDE w:val="0"/>
        <w:autoSpaceDN w:val="0"/>
        <w:adjustRightInd w:val="0"/>
        <w:snapToGrid w:val="0"/>
        <w:spacing w:line="360" w:lineRule="auto"/>
        <w:jc w:val="left"/>
        <w:textAlignment w:val="baseline"/>
        <w:rPr>
          <w:rFonts w:ascii="Arial" w:hAnsi="Arial" w:cs="Arial"/>
          <w:color w:val="000000"/>
          <w:kern w:val="0"/>
          <w:sz w:val="24"/>
        </w:rPr>
      </w:pPr>
      <w:r>
        <w:rPr>
          <w:rFonts w:ascii="Arial" w:hAnsi="Arial" w:cs="Arial"/>
          <w:color w:val="000000"/>
          <w:kern w:val="0"/>
          <w:sz w:val="24"/>
        </w:rPr>
        <w:t xml:space="preserve"> </w:t>
      </w:r>
    </w:p>
    <w:p>
      <w:pPr>
        <w:widowControl/>
        <w:kinsoku w:val="0"/>
        <w:autoSpaceDE w:val="0"/>
        <w:autoSpaceDN w:val="0"/>
        <w:adjustRightInd w:val="0"/>
        <w:snapToGrid w:val="0"/>
        <w:spacing w:line="360" w:lineRule="auto"/>
        <w:jc w:val="left"/>
        <w:textAlignment w:val="baseline"/>
        <w:rPr>
          <w:rFonts w:ascii="Arial" w:hAnsi="Arial" w:cs="Arial"/>
          <w:color w:val="000000"/>
          <w:kern w:val="0"/>
          <w:sz w:val="24"/>
        </w:rPr>
      </w:pPr>
    </w:p>
    <w:p>
      <w:pPr>
        <w:widowControl/>
        <w:kinsoku w:val="0"/>
        <w:autoSpaceDE w:val="0"/>
        <w:autoSpaceDN w:val="0"/>
        <w:adjustRightInd w:val="0"/>
        <w:snapToGrid w:val="0"/>
        <w:spacing w:line="360" w:lineRule="auto"/>
        <w:jc w:val="left"/>
        <w:textAlignment w:val="baseline"/>
        <w:rPr>
          <w:rFonts w:ascii="Arial" w:hAnsi="Arial" w:cs="Arial"/>
          <w:color w:val="000000"/>
          <w:kern w:val="0"/>
          <w:sz w:val="24"/>
        </w:rPr>
      </w:pPr>
    </w:p>
    <w:p>
      <w:pPr>
        <w:widowControl/>
        <w:kinsoku w:val="0"/>
        <w:autoSpaceDE w:val="0"/>
        <w:autoSpaceDN w:val="0"/>
        <w:adjustRightInd w:val="0"/>
        <w:snapToGrid w:val="0"/>
        <w:spacing w:line="360" w:lineRule="auto"/>
        <w:jc w:val="left"/>
        <w:textAlignment w:val="baseline"/>
        <w:rPr>
          <w:rFonts w:ascii="Arial" w:hAnsi="Arial" w:cs="Arial"/>
          <w:color w:val="000000"/>
          <w:kern w:val="0"/>
          <w:sz w:val="24"/>
        </w:rPr>
      </w:pPr>
    </w:p>
    <w:p>
      <w:pPr>
        <w:widowControl/>
        <w:kinsoku w:val="0"/>
        <w:autoSpaceDE w:val="0"/>
        <w:autoSpaceDN w:val="0"/>
        <w:adjustRightInd w:val="0"/>
        <w:snapToGrid w:val="0"/>
        <w:spacing w:line="360" w:lineRule="auto"/>
        <w:jc w:val="left"/>
        <w:textAlignment w:val="baseline"/>
        <w:rPr>
          <w:rFonts w:ascii="Arial" w:hAnsi="Arial" w:cs="Arial"/>
          <w:color w:val="000000"/>
          <w:kern w:val="0"/>
          <w:sz w:val="24"/>
        </w:rPr>
      </w:pPr>
    </w:p>
    <w:p>
      <w:pPr>
        <w:widowControl/>
        <w:kinsoku w:val="0"/>
        <w:autoSpaceDE w:val="0"/>
        <w:autoSpaceDN w:val="0"/>
        <w:adjustRightInd w:val="0"/>
        <w:snapToGrid w:val="0"/>
        <w:spacing w:line="360" w:lineRule="auto"/>
        <w:jc w:val="left"/>
        <w:textAlignment w:val="baseline"/>
        <w:rPr>
          <w:rFonts w:ascii="Arial" w:hAnsi="Arial" w:cs="Arial"/>
          <w:color w:val="000000"/>
          <w:kern w:val="0"/>
          <w:sz w:val="24"/>
        </w:rPr>
      </w:pPr>
    </w:p>
    <w:p>
      <w:pPr>
        <w:widowControl/>
        <w:kinsoku w:val="0"/>
        <w:autoSpaceDE w:val="0"/>
        <w:autoSpaceDN w:val="0"/>
        <w:adjustRightInd w:val="0"/>
        <w:snapToGrid w:val="0"/>
        <w:spacing w:line="360" w:lineRule="auto"/>
        <w:jc w:val="left"/>
        <w:textAlignment w:val="baseline"/>
        <w:rPr>
          <w:rFonts w:ascii="Arial" w:hAnsi="Arial" w:cs="Arial"/>
          <w:color w:val="000000"/>
          <w:kern w:val="0"/>
          <w:sz w:val="24"/>
        </w:rPr>
      </w:pPr>
    </w:p>
    <w:p>
      <w:pPr>
        <w:widowControl/>
        <w:kinsoku w:val="0"/>
        <w:autoSpaceDE w:val="0"/>
        <w:autoSpaceDN w:val="0"/>
        <w:adjustRightInd w:val="0"/>
        <w:snapToGrid w:val="0"/>
        <w:spacing w:line="360" w:lineRule="auto"/>
        <w:jc w:val="left"/>
        <w:textAlignment w:val="baseline"/>
        <w:rPr>
          <w:rFonts w:ascii="Arial" w:hAnsi="Arial" w:cs="Arial"/>
          <w:color w:val="000000"/>
          <w:kern w:val="0"/>
          <w:sz w:val="24"/>
        </w:rPr>
      </w:pPr>
    </w:p>
    <w:p>
      <w:pPr>
        <w:widowControl/>
        <w:kinsoku w:val="0"/>
        <w:autoSpaceDE w:val="0"/>
        <w:autoSpaceDN w:val="0"/>
        <w:adjustRightInd w:val="0"/>
        <w:snapToGrid w:val="0"/>
        <w:spacing w:line="360" w:lineRule="auto"/>
        <w:jc w:val="left"/>
        <w:textAlignment w:val="baseline"/>
        <w:rPr>
          <w:rFonts w:ascii="Arial" w:hAnsi="Arial" w:cs="Arial"/>
          <w:color w:val="000000"/>
          <w:kern w:val="0"/>
          <w:sz w:val="24"/>
        </w:rPr>
      </w:pPr>
    </w:p>
    <w:p>
      <w:pPr>
        <w:widowControl/>
        <w:kinsoku w:val="0"/>
        <w:autoSpaceDE w:val="0"/>
        <w:autoSpaceDN w:val="0"/>
        <w:adjustRightInd w:val="0"/>
        <w:snapToGrid w:val="0"/>
        <w:spacing w:line="360" w:lineRule="auto"/>
        <w:jc w:val="left"/>
        <w:textAlignment w:val="baseline"/>
        <w:rPr>
          <w:rFonts w:ascii="Arial" w:hAnsi="Arial" w:cs="Arial"/>
          <w:color w:val="000000"/>
          <w:kern w:val="0"/>
          <w:sz w:val="24"/>
        </w:rPr>
      </w:pPr>
    </w:p>
    <w:p>
      <w:pPr>
        <w:widowControl/>
        <w:kinsoku w:val="0"/>
        <w:autoSpaceDE w:val="0"/>
        <w:autoSpaceDN w:val="0"/>
        <w:adjustRightInd w:val="0"/>
        <w:snapToGrid w:val="0"/>
        <w:spacing w:line="360" w:lineRule="auto"/>
        <w:jc w:val="left"/>
        <w:textAlignment w:val="baseline"/>
        <w:rPr>
          <w:rFonts w:ascii="Arial" w:hAnsi="Arial" w:cs="Arial"/>
          <w:color w:val="000000"/>
          <w:kern w:val="0"/>
          <w:sz w:val="24"/>
        </w:rPr>
      </w:pPr>
    </w:p>
    <w:p>
      <w:pPr>
        <w:widowControl/>
        <w:kinsoku w:val="0"/>
        <w:autoSpaceDE w:val="0"/>
        <w:autoSpaceDN w:val="0"/>
        <w:adjustRightInd w:val="0"/>
        <w:snapToGrid w:val="0"/>
        <w:spacing w:line="360" w:lineRule="auto"/>
        <w:jc w:val="left"/>
        <w:textAlignment w:val="baseline"/>
        <w:rPr>
          <w:rFonts w:ascii="Arial" w:hAnsi="Arial" w:cs="Arial"/>
          <w:color w:val="000000"/>
          <w:kern w:val="0"/>
          <w:sz w:val="24"/>
        </w:rPr>
      </w:pPr>
    </w:p>
    <w:p>
      <w:pPr>
        <w:widowControl/>
        <w:kinsoku w:val="0"/>
        <w:autoSpaceDE w:val="0"/>
        <w:autoSpaceDN w:val="0"/>
        <w:adjustRightInd w:val="0"/>
        <w:snapToGrid w:val="0"/>
        <w:spacing w:line="360" w:lineRule="auto"/>
        <w:jc w:val="left"/>
        <w:textAlignment w:val="baseline"/>
        <w:rPr>
          <w:rFonts w:ascii="Arial" w:hAnsi="Arial" w:cs="Arial"/>
          <w:color w:val="000000"/>
          <w:kern w:val="0"/>
          <w:sz w:val="24"/>
        </w:rPr>
      </w:pPr>
    </w:p>
    <w:p>
      <w:pPr>
        <w:widowControl/>
        <w:kinsoku w:val="0"/>
        <w:autoSpaceDE w:val="0"/>
        <w:autoSpaceDN w:val="0"/>
        <w:adjustRightInd w:val="0"/>
        <w:snapToGrid w:val="0"/>
        <w:spacing w:line="360" w:lineRule="auto"/>
        <w:jc w:val="left"/>
        <w:textAlignment w:val="baseline"/>
        <w:rPr>
          <w:rFonts w:ascii="Arial" w:hAnsi="Arial" w:cs="Arial"/>
          <w:color w:val="000000"/>
          <w:kern w:val="0"/>
          <w:sz w:val="24"/>
        </w:rPr>
      </w:pPr>
    </w:p>
    <w:p>
      <w:pPr>
        <w:widowControl/>
        <w:kinsoku w:val="0"/>
        <w:autoSpaceDE w:val="0"/>
        <w:autoSpaceDN w:val="0"/>
        <w:adjustRightInd w:val="0"/>
        <w:snapToGrid w:val="0"/>
        <w:spacing w:line="360" w:lineRule="auto"/>
        <w:jc w:val="left"/>
        <w:textAlignment w:val="baseline"/>
        <w:rPr>
          <w:rFonts w:ascii="Arial" w:hAnsi="Arial" w:cs="Arial"/>
          <w:color w:val="000000"/>
          <w:kern w:val="0"/>
          <w:sz w:val="24"/>
        </w:rPr>
      </w:pPr>
    </w:p>
    <w:p>
      <w:pPr>
        <w:widowControl/>
        <w:kinsoku w:val="0"/>
        <w:autoSpaceDE w:val="0"/>
        <w:autoSpaceDN w:val="0"/>
        <w:adjustRightInd w:val="0"/>
        <w:snapToGrid w:val="0"/>
        <w:spacing w:line="360" w:lineRule="auto"/>
        <w:jc w:val="left"/>
        <w:textAlignment w:val="baseline"/>
        <w:rPr>
          <w:rFonts w:ascii="Arial" w:hAnsi="Arial" w:cs="Arial"/>
          <w:color w:val="000000"/>
          <w:kern w:val="0"/>
          <w:sz w:val="24"/>
        </w:rPr>
      </w:pPr>
    </w:p>
    <w:p>
      <w:pPr>
        <w:widowControl/>
        <w:kinsoku w:val="0"/>
        <w:autoSpaceDE w:val="0"/>
        <w:autoSpaceDN w:val="0"/>
        <w:adjustRightInd w:val="0"/>
        <w:snapToGrid w:val="0"/>
        <w:spacing w:line="360" w:lineRule="auto"/>
        <w:jc w:val="left"/>
        <w:textAlignment w:val="baseline"/>
        <w:rPr>
          <w:rFonts w:ascii="Arial" w:hAnsi="Arial" w:cs="Arial"/>
          <w:color w:val="000000"/>
          <w:kern w:val="0"/>
          <w:sz w:val="24"/>
        </w:rPr>
      </w:pPr>
    </w:p>
    <w:p>
      <w:pPr>
        <w:widowControl/>
        <w:kinsoku w:val="0"/>
        <w:autoSpaceDE w:val="0"/>
        <w:autoSpaceDN w:val="0"/>
        <w:adjustRightInd w:val="0"/>
        <w:snapToGrid w:val="0"/>
        <w:spacing w:line="360" w:lineRule="auto"/>
        <w:jc w:val="left"/>
        <w:textAlignment w:val="baseline"/>
        <w:rPr>
          <w:rFonts w:ascii="Arial" w:hAnsi="Arial" w:cs="Arial"/>
          <w:color w:val="000000"/>
          <w:kern w:val="0"/>
          <w:sz w:val="24"/>
        </w:rPr>
      </w:pPr>
    </w:p>
    <w:p>
      <w:pPr>
        <w:widowControl/>
        <w:kinsoku w:val="0"/>
        <w:autoSpaceDE w:val="0"/>
        <w:autoSpaceDN w:val="0"/>
        <w:adjustRightInd w:val="0"/>
        <w:snapToGrid w:val="0"/>
        <w:spacing w:line="360" w:lineRule="auto"/>
        <w:jc w:val="left"/>
        <w:textAlignment w:val="baseline"/>
        <w:rPr>
          <w:rFonts w:ascii="Arial" w:hAnsi="Arial" w:cs="Arial"/>
          <w:color w:val="000000"/>
          <w:kern w:val="0"/>
          <w:sz w:val="24"/>
        </w:rPr>
      </w:pPr>
    </w:p>
    <w:p>
      <w:pPr>
        <w:widowControl/>
        <w:kinsoku w:val="0"/>
        <w:autoSpaceDE w:val="0"/>
        <w:autoSpaceDN w:val="0"/>
        <w:adjustRightInd w:val="0"/>
        <w:snapToGrid w:val="0"/>
        <w:spacing w:line="360" w:lineRule="auto"/>
        <w:jc w:val="left"/>
        <w:textAlignment w:val="baseline"/>
        <w:rPr>
          <w:rFonts w:ascii="Arial" w:hAnsi="Arial" w:cs="Arial"/>
          <w:color w:val="000000"/>
          <w:kern w:val="0"/>
          <w:sz w:val="24"/>
        </w:rPr>
      </w:pPr>
    </w:p>
    <w:p>
      <w:pPr>
        <w:widowControl/>
        <w:kinsoku w:val="0"/>
        <w:autoSpaceDE w:val="0"/>
        <w:autoSpaceDN w:val="0"/>
        <w:adjustRightInd w:val="0"/>
        <w:snapToGrid w:val="0"/>
        <w:spacing w:line="360" w:lineRule="auto"/>
        <w:jc w:val="left"/>
        <w:textAlignment w:val="baseline"/>
        <w:rPr>
          <w:rFonts w:ascii="Arial" w:hAnsi="Arial" w:cs="Arial"/>
          <w:color w:val="000000"/>
          <w:kern w:val="0"/>
          <w:sz w:val="24"/>
        </w:rPr>
      </w:pPr>
    </w:p>
    <w:p>
      <w:pPr>
        <w:widowControl/>
        <w:kinsoku w:val="0"/>
        <w:autoSpaceDE w:val="0"/>
        <w:autoSpaceDN w:val="0"/>
        <w:adjustRightInd w:val="0"/>
        <w:snapToGrid w:val="0"/>
        <w:spacing w:line="360" w:lineRule="auto"/>
        <w:jc w:val="left"/>
        <w:textAlignment w:val="baseline"/>
        <w:rPr>
          <w:rFonts w:ascii="Arial" w:hAnsi="Arial" w:cs="Arial"/>
          <w:color w:val="000000"/>
          <w:kern w:val="0"/>
          <w:sz w:val="24"/>
        </w:rPr>
      </w:pPr>
    </w:p>
    <w:p>
      <w:pPr>
        <w:widowControl/>
        <w:kinsoku w:val="0"/>
        <w:autoSpaceDE w:val="0"/>
        <w:autoSpaceDN w:val="0"/>
        <w:adjustRightInd w:val="0"/>
        <w:snapToGrid w:val="0"/>
        <w:spacing w:line="360" w:lineRule="auto"/>
        <w:jc w:val="left"/>
        <w:textAlignment w:val="baseline"/>
        <w:rPr>
          <w:rFonts w:ascii="Arial" w:hAnsi="Arial" w:cs="Arial"/>
          <w:color w:val="000000"/>
          <w:kern w:val="0"/>
          <w:sz w:val="24"/>
        </w:rPr>
      </w:pPr>
    </w:p>
    <w:p>
      <w:pPr>
        <w:rPr>
          <w:rFonts w:ascii="黑体" w:hAnsi="黑体" w:eastAsia="黑体" w:cs="黑体"/>
          <w:b/>
          <w:bCs/>
          <w:color w:val="000000"/>
          <w:sz w:val="44"/>
          <w:szCs w:val="44"/>
        </w:rPr>
      </w:pPr>
    </w:p>
    <w:p>
      <w:pPr>
        <w:pStyle w:val="2"/>
        <w:spacing w:before="0" w:after="0" w:line="300" w:lineRule="auto"/>
        <w:rPr>
          <w:rFonts w:ascii="黑体" w:hAnsi="黑体" w:eastAsia="黑体" w:cs="黑体"/>
          <w:color w:val="000000"/>
          <w:kern w:val="2"/>
        </w:rPr>
      </w:pPr>
    </w:p>
    <w:p/>
    <w:p>
      <w:pPr>
        <w:pStyle w:val="2"/>
        <w:spacing w:before="0" w:after="0" w:line="300" w:lineRule="auto"/>
        <w:jc w:val="center"/>
        <w:rPr>
          <w:rFonts w:ascii="黑体" w:hAnsi="黑体" w:eastAsia="黑体" w:cs="黑体"/>
          <w:color w:val="000000"/>
          <w:kern w:val="2"/>
        </w:rPr>
      </w:pPr>
      <w:r>
        <w:rPr>
          <w:rFonts w:hint="eastAsia" w:ascii="黑体" w:hAnsi="黑体" w:eastAsia="黑体" w:cs="黑体"/>
          <w:color w:val="000000"/>
          <w:kern w:val="2"/>
        </w:rPr>
        <w:t>第五章 采购需求</w:t>
      </w:r>
    </w:p>
    <w:p>
      <w:pPr>
        <w:ind w:firstLine="420" w:firstLineChars="200"/>
        <w:jc w:val="left"/>
      </w:pPr>
    </w:p>
    <w:p>
      <w:pPr>
        <w:pStyle w:val="17"/>
        <w:numPr>
          <w:ilvl w:val="0"/>
          <w:numId w:val="1"/>
        </w:numPr>
        <w:ind w:firstLine="482"/>
        <w:outlineLvl w:val="0"/>
        <w:rPr>
          <w:rFonts w:ascii="宋体" w:hAnsi="宋体" w:cs="宋体"/>
          <w:b/>
          <w:bCs/>
          <w:color w:val="000000" w:themeColor="text1"/>
          <w:sz w:val="24"/>
          <w:szCs w:val="28"/>
          <w14:textFill>
            <w14:solidFill>
              <w14:schemeClr w14:val="tx1"/>
            </w14:solidFill>
          </w14:textFill>
        </w:rPr>
      </w:pPr>
      <w:bookmarkStart w:id="799" w:name="_Toc20616"/>
      <w:r>
        <w:rPr>
          <w:rFonts w:hint="eastAsia" w:ascii="宋体" w:hAnsi="宋体" w:cs="宋体"/>
          <w:b/>
          <w:bCs/>
          <w:color w:val="000000" w:themeColor="text1"/>
          <w:sz w:val="24"/>
          <w:szCs w:val="28"/>
          <w14:textFill>
            <w14:solidFill>
              <w14:schemeClr w14:val="tx1"/>
            </w14:solidFill>
          </w14:textFill>
        </w:rPr>
        <w:t>项目概况</w:t>
      </w:r>
      <w:bookmarkEnd w:id="799"/>
    </w:p>
    <w:p>
      <w:pPr>
        <w:pStyle w:val="17"/>
        <w:spacing w:after="0" w:line="360" w:lineRule="auto"/>
        <w:ind w:firstLine="480" w:firstLineChars="200"/>
        <w:rPr>
          <w:rFonts w:ascii="宋体" w:hAnsi="宋体" w:cs="宋体"/>
          <w:sz w:val="24"/>
        </w:rPr>
      </w:pPr>
      <w:r>
        <w:rPr>
          <w:rFonts w:hint="eastAsia" w:ascii="宋体" w:hAnsi="宋体" w:cs="宋体"/>
          <w:sz w:val="24"/>
        </w:rPr>
        <w:t>按照人社部发〔2014〕90号文《中共中央组织部、人力资源和社会保障部、国家发展和改革委员会、财政部、国家档案局关于进一步加强流动人员人事档案管理服务工作的通知》和人社厅发〔2016〕75号文《人力资源社会保障部办公厅关于简化优化流动人员人事档案管理服务的通知》精神，为进一步做好流动人员人事档案基本公共服务，加快推进档案数字化，打造“数字政府”，落实“互联网+政务”服务，实现流动人员人事档案的基础信息采集和存储，建立统一规范的数字档案资源库，规范并提高档案资料的有效利用率等，需要采购流动人员人事档案数据采集加工服务。</w:t>
      </w:r>
    </w:p>
    <w:p>
      <w:pPr>
        <w:pStyle w:val="17"/>
        <w:spacing w:after="0" w:line="360" w:lineRule="auto"/>
        <w:ind w:firstLine="480" w:firstLineChars="200"/>
        <w:rPr>
          <w:rFonts w:ascii="宋体" w:hAnsi="宋体" w:cs="宋体"/>
          <w:sz w:val="24"/>
        </w:rPr>
      </w:pPr>
      <w:r>
        <w:rPr>
          <w:rFonts w:hint="eastAsia" w:ascii="宋体" w:hAnsi="宋体" w:cs="宋体"/>
          <w:sz w:val="24"/>
        </w:rPr>
        <w:t>本项目资金预算为1189.0094万元，</w:t>
      </w:r>
      <w:r>
        <w:rPr>
          <w:rFonts w:hint="eastAsia"/>
          <w:color w:val="000000" w:themeColor="text1"/>
          <w:sz w:val="24"/>
          <w14:textFill>
            <w14:solidFill>
              <w14:schemeClr w14:val="tx1"/>
            </w14:solidFill>
          </w14:textFill>
        </w:rPr>
        <w:t>服务周期为档案支撑服务周期为合同签订之日起3年，档案加工周期为合同签订之日起180日</w:t>
      </w:r>
      <w:r>
        <w:rPr>
          <w:rFonts w:hint="eastAsia" w:ascii="宋体" w:hAnsi="宋体"/>
          <w:bCs/>
          <w:color w:val="000000" w:themeColor="text1"/>
          <w:kern w:val="0"/>
          <w:sz w:val="24"/>
          <w14:textFill>
            <w14:solidFill>
              <w14:schemeClr w14:val="tx1"/>
            </w14:solidFill>
          </w14:textFill>
        </w:rPr>
        <w:t>。</w:t>
      </w:r>
    </w:p>
    <w:p>
      <w:pPr>
        <w:pStyle w:val="17"/>
        <w:numPr>
          <w:ilvl w:val="0"/>
          <w:numId w:val="1"/>
        </w:numPr>
        <w:ind w:firstLine="482"/>
        <w:outlineLvl w:val="0"/>
        <w:rPr>
          <w:rFonts w:ascii="宋体" w:hAnsi="宋体" w:cs="宋体"/>
          <w:b/>
          <w:bCs/>
          <w:color w:val="000000" w:themeColor="text1"/>
          <w:sz w:val="24"/>
          <w:szCs w:val="28"/>
          <w14:textFill>
            <w14:solidFill>
              <w14:schemeClr w14:val="tx1"/>
            </w14:solidFill>
          </w14:textFill>
        </w:rPr>
      </w:pPr>
      <w:bookmarkStart w:id="800" w:name="_Toc19037"/>
      <w:r>
        <w:rPr>
          <w:rFonts w:hint="eastAsia" w:ascii="宋体" w:hAnsi="宋体" w:cs="宋体"/>
          <w:b/>
          <w:bCs/>
          <w:color w:val="000000" w:themeColor="text1"/>
          <w:sz w:val="24"/>
          <w:szCs w:val="28"/>
          <w14:textFill>
            <w14:solidFill>
              <w14:schemeClr w14:val="tx1"/>
            </w14:solidFill>
          </w14:textFill>
        </w:rPr>
        <w:t>采购标的需执行的强制标准、规范</w:t>
      </w:r>
      <w:bookmarkEnd w:id="800"/>
    </w:p>
    <w:p>
      <w:pPr>
        <w:pStyle w:val="17"/>
        <w:spacing w:after="0" w:line="360" w:lineRule="auto"/>
        <w:ind w:firstLine="480" w:firstLineChars="200"/>
        <w:rPr>
          <w:rFonts w:ascii="宋体" w:hAnsi="宋体" w:cs="宋体"/>
          <w:sz w:val="24"/>
        </w:rPr>
      </w:pPr>
      <w:r>
        <w:rPr>
          <w:rFonts w:hint="eastAsia" w:ascii="宋体" w:hAnsi="宋体" w:cs="宋体"/>
          <w:sz w:val="24"/>
        </w:rPr>
        <w:t>本项目须严格遵守国家相关法律法规、政策规定、规范标准等文件要求，包括但不限于以下文件：</w:t>
      </w:r>
    </w:p>
    <w:p>
      <w:pPr>
        <w:pStyle w:val="17"/>
        <w:spacing w:after="0" w:line="360" w:lineRule="auto"/>
        <w:ind w:firstLine="480" w:firstLineChars="200"/>
        <w:rPr>
          <w:rFonts w:ascii="宋体" w:hAnsi="宋体" w:cs="宋体"/>
          <w:sz w:val="24"/>
        </w:rPr>
      </w:pPr>
      <w:r>
        <w:rPr>
          <w:rFonts w:hint="eastAsia" w:ascii="宋体" w:hAnsi="宋体" w:cs="宋体"/>
          <w:sz w:val="24"/>
        </w:rPr>
        <w:t>1、《中华人民共和国档案法》</w:t>
      </w:r>
    </w:p>
    <w:p>
      <w:pPr>
        <w:pStyle w:val="17"/>
        <w:spacing w:after="0" w:line="360" w:lineRule="auto"/>
        <w:ind w:firstLine="480" w:firstLineChars="200"/>
        <w:rPr>
          <w:rFonts w:ascii="宋体" w:hAnsi="宋体" w:cs="宋体"/>
          <w:sz w:val="24"/>
        </w:rPr>
      </w:pPr>
      <w:r>
        <w:rPr>
          <w:rFonts w:hint="eastAsia" w:ascii="宋体" w:hAnsi="宋体" w:cs="宋体"/>
          <w:sz w:val="24"/>
        </w:rPr>
        <w:t>2、《中华人民共和国保密法》</w:t>
      </w:r>
    </w:p>
    <w:p>
      <w:pPr>
        <w:pStyle w:val="17"/>
        <w:spacing w:after="0" w:line="360" w:lineRule="auto"/>
        <w:ind w:firstLine="480" w:firstLineChars="200"/>
        <w:rPr>
          <w:rFonts w:ascii="宋体" w:hAnsi="宋体" w:cs="宋体"/>
          <w:sz w:val="24"/>
        </w:rPr>
      </w:pPr>
      <w:r>
        <w:rPr>
          <w:rFonts w:hint="eastAsia" w:ascii="宋体" w:hAnsi="宋体" w:cs="宋体"/>
          <w:sz w:val="24"/>
        </w:rPr>
        <w:t>3、《公共就业和人才服务窗口服务人员行为规范》（LD_T 03-2020）</w:t>
      </w:r>
    </w:p>
    <w:p>
      <w:pPr>
        <w:pStyle w:val="17"/>
        <w:spacing w:after="0" w:line="360" w:lineRule="auto"/>
        <w:ind w:firstLine="480" w:firstLineChars="200"/>
        <w:rPr>
          <w:rFonts w:ascii="宋体" w:hAnsi="宋体" w:cs="宋体"/>
          <w:sz w:val="24"/>
        </w:rPr>
      </w:pPr>
      <w:r>
        <w:rPr>
          <w:rFonts w:hint="eastAsia" w:ascii="宋体" w:hAnsi="宋体" w:cs="宋体"/>
          <w:sz w:val="24"/>
        </w:rPr>
        <w:t>4、《流动人员人事档案管理服务规定》（人社部发〔2021〕112号）</w:t>
      </w:r>
    </w:p>
    <w:p>
      <w:pPr>
        <w:pStyle w:val="17"/>
        <w:spacing w:after="0" w:line="360" w:lineRule="auto"/>
        <w:ind w:firstLine="480" w:firstLineChars="200"/>
        <w:rPr>
          <w:rFonts w:ascii="宋体" w:hAnsi="宋体" w:cs="宋体"/>
          <w:sz w:val="24"/>
        </w:rPr>
      </w:pPr>
      <w:r>
        <w:rPr>
          <w:rFonts w:hint="eastAsia" w:ascii="宋体" w:hAnsi="宋体" w:cs="宋体"/>
          <w:sz w:val="24"/>
        </w:rPr>
        <w:t>5、《档案装裱技术规范》（DA/T 25-2000）</w:t>
      </w:r>
    </w:p>
    <w:p>
      <w:pPr>
        <w:pStyle w:val="17"/>
        <w:spacing w:after="0" w:line="360" w:lineRule="auto"/>
        <w:ind w:firstLine="480" w:firstLineChars="200"/>
        <w:rPr>
          <w:rFonts w:ascii="宋体" w:hAnsi="宋体" w:cs="宋体"/>
          <w:sz w:val="24"/>
        </w:rPr>
      </w:pPr>
      <w:r>
        <w:rPr>
          <w:rFonts w:hint="eastAsia" w:ascii="宋体" w:hAnsi="宋体" w:cs="宋体"/>
          <w:sz w:val="24"/>
        </w:rPr>
        <w:t>6、《关于印发&lt;干部人事档案材料收集归档规定&gt;的通知》（中组发﹝2009﹞12号）</w:t>
      </w:r>
    </w:p>
    <w:p>
      <w:pPr>
        <w:pStyle w:val="17"/>
        <w:spacing w:after="0" w:line="360" w:lineRule="auto"/>
        <w:ind w:firstLine="480" w:firstLineChars="200"/>
        <w:rPr>
          <w:rFonts w:ascii="宋体" w:hAnsi="宋体" w:cs="宋体"/>
          <w:sz w:val="24"/>
        </w:rPr>
      </w:pPr>
      <w:r>
        <w:rPr>
          <w:rFonts w:hint="eastAsia" w:ascii="宋体" w:hAnsi="宋体" w:cs="宋体"/>
          <w:sz w:val="24"/>
        </w:rPr>
        <w:t>7、《关于做好文件改版涉及干部人事档案有关工作的通知》（组通字﹝2012﹞28号）</w:t>
      </w:r>
    </w:p>
    <w:p>
      <w:pPr>
        <w:pStyle w:val="17"/>
        <w:spacing w:after="0" w:line="360" w:lineRule="auto"/>
        <w:ind w:firstLine="480" w:firstLineChars="200"/>
        <w:rPr>
          <w:rFonts w:ascii="宋体" w:hAnsi="宋体" w:cs="宋体"/>
          <w:sz w:val="24"/>
        </w:rPr>
      </w:pPr>
      <w:r>
        <w:rPr>
          <w:rFonts w:hint="eastAsia" w:ascii="宋体" w:hAnsi="宋体" w:cs="宋体"/>
          <w:sz w:val="24"/>
        </w:rPr>
        <w:t>8、《中共中央组织部人力资源社会保障部等五部门关于进一步加强流动人员人事档案管理服务工作的通知》（人社部发﹝2014﹞90号）</w:t>
      </w:r>
    </w:p>
    <w:p>
      <w:pPr>
        <w:pStyle w:val="17"/>
        <w:spacing w:after="0" w:line="360" w:lineRule="auto"/>
        <w:ind w:firstLine="480" w:firstLineChars="200"/>
        <w:rPr>
          <w:rFonts w:ascii="宋体" w:hAnsi="宋体" w:cs="宋体"/>
          <w:sz w:val="24"/>
        </w:rPr>
      </w:pPr>
      <w:r>
        <w:rPr>
          <w:rFonts w:hint="eastAsia" w:ascii="宋体" w:hAnsi="宋体" w:cs="宋体"/>
          <w:sz w:val="24"/>
        </w:rPr>
        <w:t>9、《人力资源和社会保障电话咨询服务规范》（人社厅发〔2015〕40号）</w:t>
      </w:r>
    </w:p>
    <w:p>
      <w:pPr>
        <w:pStyle w:val="17"/>
        <w:spacing w:after="0" w:line="360" w:lineRule="auto"/>
        <w:ind w:firstLine="480" w:firstLineChars="200"/>
        <w:rPr>
          <w:rFonts w:ascii="宋体" w:hAnsi="宋体" w:cs="宋体"/>
          <w:sz w:val="24"/>
        </w:rPr>
      </w:pPr>
      <w:r>
        <w:rPr>
          <w:rFonts w:hint="eastAsia" w:ascii="宋体" w:hAnsi="宋体" w:cs="宋体"/>
          <w:sz w:val="24"/>
        </w:rPr>
        <w:t>10、《流动人员人事档案管理服务规范》(GB/T 32623-2016）</w:t>
      </w:r>
    </w:p>
    <w:p>
      <w:pPr>
        <w:pStyle w:val="17"/>
        <w:spacing w:after="0" w:line="360" w:lineRule="auto"/>
        <w:ind w:firstLine="480" w:firstLineChars="200"/>
        <w:rPr>
          <w:rFonts w:ascii="宋体" w:hAnsi="宋体" w:cs="宋体"/>
          <w:sz w:val="24"/>
        </w:rPr>
      </w:pPr>
      <w:r>
        <w:rPr>
          <w:rFonts w:hint="eastAsia" w:ascii="宋体" w:hAnsi="宋体" w:cs="宋体"/>
          <w:sz w:val="24"/>
        </w:rPr>
        <w:t>11、《人力资源社会保障部办公厅关于简化优化流动人员人事档案管理服务的通知》（人社厅发﹝2016﹞75号）</w:t>
      </w:r>
    </w:p>
    <w:p>
      <w:pPr>
        <w:pStyle w:val="17"/>
        <w:spacing w:after="0" w:line="360" w:lineRule="auto"/>
        <w:ind w:firstLine="480" w:firstLineChars="200"/>
        <w:rPr>
          <w:rFonts w:ascii="宋体" w:hAnsi="宋体" w:cs="宋体"/>
          <w:sz w:val="24"/>
        </w:rPr>
      </w:pPr>
      <w:r>
        <w:rPr>
          <w:rFonts w:hint="eastAsia" w:ascii="宋体" w:hAnsi="宋体" w:cs="宋体"/>
          <w:sz w:val="24"/>
        </w:rPr>
        <w:t>12、《流动人员人事档案安全管理规范》（LD/T 04-2020）</w:t>
      </w:r>
    </w:p>
    <w:p>
      <w:pPr>
        <w:pStyle w:val="17"/>
        <w:spacing w:after="0" w:line="360" w:lineRule="auto"/>
        <w:ind w:firstLine="480" w:firstLineChars="200"/>
        <w:rPr>
          <w:rFonts w:ascii="宋体" w:hAnsi="宋体" w:cs="宋体"/>
          <w:sz w:val="24"/>
        </w:rPr>
      </w:pPr>
      <w:r>
        <w:rPr>
          <w:rFonts w:hint="eastAsia" w:ascii="宋体" w:hAnsi="宋体" w:cs="宋体"/>
          <w:sz w:val="24"/>
        </w:rPr>
        <w:t>13、《档案虫霉防治一般规则》（DA/T 35-2017）</w:t>
      </w:r>
    </w:p>
    <w:p>
      <w:pPr>
        <w:pStyle w:val="17"/>
        <w:spacing w:after="0" w:line="360" w:lineRule="auto"/>
        <w:ind w:firstLine="480" w:firstLineChars="200"/>
        <w:rPr>
          <w:rFonts w:ascii="宋体" w:hAnsi="宋体" w:cs="宋体"/>
          <w:sz w:val="24"/>
        </w:rPr>
      </w:pPr>
      <w:r>
        <w:rPr>
          <w:rFonts w:hint="eastAsia" w:ascii="宋体" w:hAnsi="宋体" w:cs="宋体"/>
          <w:sz w:val="24"/>
        </w:rPr>
        <w:t>14、《档案服务外包工作规范》（DA/T 68-2017）</w:t>
      </w:r>
    </w:p>
    <w:p>
      <w:pPr>
        <w:pStyle w:val="17"/>
        <w:spacing w:after="0" w:line="360" w:lineRule="auto"/>
        <w:ind w:firstLine="480" w:firstLineChars="200"/>
        <w:rPr>
          <w:rFonts w:ascii="宋体" w:hAnsi="宋体" w:cs="宋体"/>
          <w:sz w:val="24"/>
        </w:rPr>
      </w:pPr>
      <w:r>
        <w:rPr>
          <w:rFonts w:hint="eastAsia" w:ascii="宋体" w:hAnsi="宋体" w:cs="宋体"/>
          <w:sz w:val="24"/>
        </w:rPr>
        <w:t>15、《干部人事档案数字化技术规范》GB/T 33870—2017</w:t>
      </w:r>
    </w:p>
    <w:p>
      <w:pPr>
        <w:pStyle w:val="17"/>
        <w:spacing w:after="0" w:line="360" w:lineRule="auto"/>
        <w:ind w:firstLine="480" w:firstLineChars="200"/>
        <w:rPr>
          <w:rFonts w:ascii="宋体" w:hAnsi="宋体" w:cs="宋体"/>
          <w:sz w:val="24"/>
        </w:rPr>
      </w:pPr>
      <w:r>
        <w:rPr>
          <w:rFonts w:hint="eastAsia" w:ascii="宋体" w:hAnsi="宋体" w:cs="宋体"/>
          <w:sz w:val="24"/>
        </w:rPr>
        <w:t>16、《干部人事档案工作条例》（中共中央办公厅2018年发）</w:t>
      </w:r>
    </w:p>
    <w:p>
      <w:pPr>
        <w:pStyle w:val="17"/>
        <w:spacing w:after="0" w:line="360" w:lineRule="auto"/>
        <w:ind w:firstLine="480" w:firstLineChars="200"/>
        <w:rPr>
          <w:rFonts w:ascii="宋体" w:hAnsi="宋体" w:cs="宋体"/>
          <w:sz w:val="24"/>
        </w:rPr>
      </w:pPr>
      <w:r>
        <w:rPr>
          <w:rFonts w:hint="eastAsia" w:ascii="宋体" w:hAnsi="宋体" w:cs="宋体"/>
          <w:sz w:val="24"/>
        </w:rPr>
        <w:t>17、《人力资源社会保障部办公厅关于加快推进流动人员人事档案信息化建设的指导意见》（人社厅发﹝2018﹞102号）</w:t>
      </w:r>
    </w:p>
    <w:p>
      <w:pPr>
        <w:pStyle w:val="17"/>
        <w:numPr>
          <w:ilvl w:val="0"/>
          <w:numId w:val="1"/>
        </w:numPr>
        <w:ind w:firstLine="482"/>
        <w:outlineLvl w:val="0"/>
        <w:rPr>
          <w:rFonts w:ascii="宋体" w:hAnsi="宋体" w:cs="宋体"/>
          <w:b/>
          <w:bCs/>
          <w:color w:val="000000" w:themeColor="text1"/>
          <w:sz w:val="24"/>
          <w:szCs w:val="28"/>
          <w14:textFill>
            <w14:solidFill>
              <w14:schemeClr w14:val="tx1"/>
            </w14:solidFill>
          </w14:textFill>
        </w:rPr>
      </w:pPr>
      <w:bookmarkStart w:id="801" w:name="_Toc511894511"/>
      <w:bookmarkStart w:id="802" w:name="_Toc494561955"/>
      <w:bookmarkStart w:id="803" w:name="_Toc31536"/>
      <w:bookmarkStart w:id="804" w:name="_Toc511889433"/>
      <w:bookmarkStart w:id="805" w:name="_Toc517859652"/>
      <w:r>
        <w:rPr>
          <w:rFonts w:hint="eastAsia" w:ascii="宋体" w:hAnsi="宋体" w:cs="宋体"/>
          <w:b/>
          <w:bCs/>
          <w:color w:val="000000" w:themeColor="text1"/>
          <w:sz w:val="24"/>
          <w:szCs w:val="28"/>
          <w14:textFill>
            <w14:solidFill>
              <w14:schemeClr w14:val="tx1"/>
            </w14:solidFill>
          </w14:textFill>
        </w:rPr>
        <w:t>技术参数及要求</w:t>
      </w:r>
      <w:bookmarkEnd w:id="801"/>
      <w:bookmarkEnd w:id="802"/>
      <w:bookmarkEnd w:id="803"/>
      <w:bookmarkEnd w:id="804"/>
      <w:bookmarkEnd w:id="805"/>
    </w:p>
    <w:p>
      <w:pPr>
        <w:pStyle w:val="17"/>
        <w:spacing w:after="0" w:line="360" w:lineRule="auto"/>
        <w:ind w:firstLine="480" w:firstLineChars="200"/>
        <w:rPr>
          <w:rFonts w:ascii="宋体" w:hAnsi="宋体" w:cs="宋体"/>
          <w:sz w:val="24"/>
        </w:rPr>
      </w:pPr>
      <w:r>
        <w:rPr>
          <w:rFonts w:hint="eastAsia" w:ascii="宋体" w:hAnsi="宋体" w:cs="宋体"/>
          <w:sz w:val="24"/>
        </w:rPr>
        <w:t>说明：</w:t>
      </w:r>
      <w:r>
        <w:rPr>
          <w:rFonts w:hint="eastAsia" w:ascii="宋体" w:hAnsi="宋体" w:cs="宋体"/>
          <w:sz w:val="24"/>
          <w:lang w:val="zh-CN"/>
        </w:rPr>
        <w:t>本部分内容均为实质性要求，供应商的投标（响应）必须完全满足或者正偏离，且</w:t>
      </w:r>
      <w:r>
        <w:rPr>
          <w:rFonts w:hint="eastAsia" w:ascii="宋体" w:hAnsi="宋体" w:cs="宋体"/>
          <w:sz w:val="24"/>
        </w:rPr>
        <w:t>应在投标（响应）文件《技术服务条款偏离表》中对本部分所有条款逐条说明响应或偏离情况，否则按照投标（响应）无效处理。</w:t>
      </w:r>
    </w:p>
    <w:p>
      <w:pPr>
        <w:pStyle w:val="17"/>
        <w:spacing w:after="0" w:line="360" w:lineRule="auto"/>
        <w:ind w:firstLine="480" w:firstLineChars="200"/>
        <w:rPr>
          <w:rFonts w:ascii="宋体" w:hAnsi="宋体" w:cs="宋体"/>
          <w:sz w:val="24"/>
        </w:rPr>
      </w:pPr>
      <w:r>
        <w:rPr>
          <w:rFonts w:hint="eastAsia" w:ascii="宋体" w:hAnsi="宋体" w:cs="宋体"/>
          <w:sz w:val="24"/>
        </w:rPr>
        <w:t>提供档案数字化加工服务以及数字化加工及后续档案应用维护所需支撑服务，其中支撑设施设备须符合/满足国产化要求，总体服务内容包括但不限于：完成长春市就业服务局流动人员人事档案数字化加工服务，数量共计约242325份。主要工作环节内容包括：调档交接、档案前处理、人员建库、目录建库、档案扫描、图像处理、数据存储、数据验收、数据交换、数据备份、质量自检、档案归还等，加工过程中需要确保档案及其档案信息的安全保密。基本要求包括真实性、完整性、可用性、安全性。升级流动人员人事档案服务平台（包括长春市人才和就业档案服务两个平台），平台功能包括但不限于DACS一站式管理终端、AR掌上智慧馆室、政务服务平台评价终端、Mprogram终端、申批结一站式办事终端、AG多渠道管理终端、档案扫描著录系统、档案数据采集加工系统八部分。整体要求如下：</w:t>
      </w:r>
    </w:p>
    <w:tbl>
      <w:tblPr>
        <w:tblStyle w:val="43"/>
        <w:tblW w:w="4998" w:type="pct"/>
        <w:jc w:val="center"/>
        <w:tblLayout w:type="autofit"/>
        <w:tblCellMar>
          <w:top w:w="0" w:type="dxa"/>
          <w:left w:w="108" w:type="dxa"/>
          <w:bottom w:w="0" w:type="dxa"/>
          <w:right w:w="108" w:type="dxa"/>
        </w:tblCellMar>
      </w:tblPr>
      <w:tblGrid>
        <w:gridCol w:w="636"/>
        <w:gridCol w:w="1056"/>
        <w:gridCol w:w="5551"/>
        <w:gridCol w:w="636"/>
        <w:gridCol w:w="637"/>
      </w:tblGrid>
      <w:tr>
        <w:tblPrEx>
          <w:tblCellMar>
            <w:top w:w="0" w:type="dxa"/>
            <w:left w:w="108" w:type="dxa"/>
            <w:bottom w:w="0" w:type="dxa"/>
            <w:right w:w="108" w:type="dxa"/>
          </w:tblCellMar>
        </w:tblPrEx>
        <w:trPr>
          <w:trHeight w:val="580"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序号</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货物名称</w:t>
            </w:r>
          </w:p>
        </w:tc>
        <w:tc>
          <w:tcPr>
            <w:tcW w:w="3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技术参数</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数量</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单位</w:t>
            </w:r>
          </w:p>
        </w:tc>
      </w:tr>
      <w:tr>
        <w:tblPrEx>
          <w:tblCellMar>
            <w:top w:w="0" w:type="dxa"/>
            <w:left w:w="108" w:type="dxa"/>
            <w:bottom w:w="0" w:type="dxa"/>
            <w:right w:w="108" w:type="dxa"/>
          </w:tblCellMar>
        </w:tblPrEx>
        <w:trPr>
          <w:trHeight w:val="720"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档案数字化加工服务</w:t>
            </w:r>
          </w:p>
        </w:tc>
        <w:tc>
          <w:tcPr>
            <w:tcW w:w="34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完成长春市就业服务局流动人员人事档案数字化加工服务，数量共计约242325份。</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主要工作环节内容包括：调档交接、档案前处理、人员建库、目录建库、档案扫描、图像处理、数据存储、数据验收、数据交换、数据备份、质量自检、档案归还等，加工过程中需要确保档案及其档案信息的安全保密。基本要求：真实性、完整性、可用性、安全性。各工作环节要求如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1.全宗制定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按国家机构、社会组织或个人作为归档单位，将其形成的文件材料当作一个“全宗”来进行管理，对其进行流动人才人事档案的收集、整理、保管、鉴定、统计和提供利用等活动。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2.调档交接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指定专人按照与采购单位共同制订的计划分批次对需要进行数据采集加工的档案及资料进行调档，并与采购单位指定的专人一起做好档案及资料的清点交接工作，并做好移交记录。</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3.档案前处理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在扫描之前，必须逐卷、逐份对档案进行检查核实，并查看有无缺页、倒页、漏号、重号、错号等整理不规范现象，进行相应修改，并根据档案的实际情况，按下述步骤及相关规定对档案进行整理分类，并视需要做出标识，确保档案数据采集质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（1）目录录入：根据统一的流动人员人事档案目录格式进行档案目录录入，逐份录入，不多录、少录；录入目录内容与档案内容完全一致，不错录。包括：类号、序号、材料名称、材料形成时间、页数、备注。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（2）拆除装订： 根据《干部档案整理工作细则》进行装订工作，影响扫描工作进行的档案，应拆除装订物。拆除装订物时应注意保护档案不受损害。 装订要做到下边与左边齐整。针对多孔无法装订情况进行裱糊修复。</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（3）页面修整： 破损严重或无法直接进行扫描的档案，应先进行技术修复，折皱不平影响扫描质量的原件应先进行相应处理（压平或熨平等）后再进行扫描。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人员基本信息集：人员基本信息集的编码为：A01，用于描述某人自然属性和社会属性中最基本的信息，编码引自组通字〔2012〕31号文件。该信息集为单记录信息，每一记录对应一个人，至少由6个信息项组成，其他信息项可根据实际情况增加，该信息集内容可单独建立，也可从其他系统中获取。</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整理编码：将现有零散材料补充至干部档案中；审核档案完整性和规范性；严格把关四类、九类的分类和排序标准；严格把关每份材料的类号、页码编注标准。档案材料排序完成后，用铅笔在每份材料首页的右上角编上类号和顺序号，并在其右下角编写页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（6）审核查缺：甄别材料完整性、规范性、真实性，并登记存在的问题，形成干部档案查缺单交由甲方进行材料补充工作。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4.档案扫描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应根据纸质档案的具体情况，采用合理的扫描方式进行扫描，扫描方式包括（不限于）：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大幅面档案宜采用大幅面扫描仪扫描，也可采用小幅面扫描后的图像拼接方式处理；纸张状况较差、容易损坏的档案，应采用平板扫描方式；对于纸张较薄的档案，若扫描时发生背页字迹透印而影响图像阅读的现象，应在背页后垫白色衬底扫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（2）扫描色彩模式：应采用真彩色24位RGB模式扫描。扫描分辨率≥300dpi。</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（3）扫描登记：认真填写加工流水表单，登记扫描的页数，核对每份文件的实际扫描页数与档案前处理时填写的文件页数是否一致，不一致时应注明具体原因和处理方法。并提交采购人审核同意后，进行处理。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5.图像处理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（1）纠偏：对偏斜度大于1度的图像应进行纠偏处理，纠偏后距离显示器25cm—40cm观看图像应没有明细偏斜，对方向不正确的图像应旋转还原。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（2）裁边处理：纠偏后的图像应进行裁边处理，去除扫描过程中产生的白边或黑边。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（3）图像拼接：对大幅面档案材料进行分区扫描形成的多幅图像，要进行拼接处理，合并为一个完整的图像，以保证档案数据采集图像的整体性和真实性。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（4）优化图像处理：应使用计算机软件或人工方式对原始图像数据进行处理，得到优化图像数据；质量要求：观看优化图像使用的显示器应符合SJ/T 11292的要求，并调整到sRGB状态。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6.图像存储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（1）存储格式：要求采用JPEG格式存储保存，数据存储压缩率≥80%，优化图像数据不进行压缩。原始图像数据和优化图像数据应分不同文件夹保存。</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图像文件存储路径：人事档案图像文件在存储介质上的实际存储路径；原始图像文件存储路径：系统指定路径／人员唯一标识／（原始图像数据）；优化图像文件存储路径：系统指定路径／人员唯一标识／（优化图像数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（3）条码分类：在扫描文档时，可根据用户需求，将文件的条码自动提取出来，并自动分类命名，实现大批量文件收集、查找、管理。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7.目录建库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根据《档案著录规则》(DA/T18）和档案查询管理系统要求，建立标准化的机读目录数据库，目录建库应选择通用的数据格式。所选定的数据格式应能直接或间接通过XML文档进行数据交换，实现机读目录数据与电子原件一一对应关系，实现电子档案的快速精确检索，建立正确率必须保证100%完整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8.目录编撰要求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根据中组部对人事档案目录的设置要求对档案目录进行微调，从而保证档案目录设置符合国家要求，同时针对每个人的目录进行相应调整。</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9.目录打印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根据此次加工档案卷数，对数据著录后的档案打印目录，对每卷打印一份卷内目录搁置案卷首页并进行后期装订。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10.后期整理装订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在完成扫描后，拆除过装订物的档案应按档案保管的要求重新装订。恢复装订时，要保持档案的排列顺序不变，不得漏页、错页，不压字，装订牢固、不掉页，做到安全、准确、无遗漏。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11.质量自检</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加工单位必须建立严格的质量检测体系，对加工的数据进行自检，采用人工校对或软件自动校对的方式，对目录数据库的建库质量进行检查。核对著录是否完整、著录内容是否规范、准确，发现不合格的数据应要求进行修改或重录。自检达到数据质量标准的，才能递交招标人验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12.数据挂接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汇总挂接：档案数据采集转换过程中形成的目录数据库与图像数据库，通过质检环节确认为“合格”后，通过网络及时加载到数据服务器端汇总。通过编制程序或借助相应软件，可实现目录数据对相关联的数字图像的自动搜索、加入对应的电子地址信息等，实现批量、快速挂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数据关联：以纸质档案目录数据库为依据，将每一份纸质档案文件扫描所得的一个或多个图像存储为一份图像文件。将图像文件存储到相应文件夹时，要认真核查每一份图像文件的名称与档案目录数据库中该份文件的档号是否相同，图像文件的页数与档案目录数据库中该份文件的页数是否一致，图像文件的总数与目录数据库中文件的总数是否相同等。通过每一份图像文件的文件名与档案目录数据库中该份文件的档号的一致性和唯一性．建立起—一对应的关联关系，为实现档案目录数据库与图像文件的批量挂接提供条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13.档案归还</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应对需要归还的档案实体进行自检，必须对档案实体进行逐卷清点，按数量、状况、与顺序等进行检查，如发现丢失、损坏、圈划或涂改等应申报采购单位进行处理；顺序错误、卷间文件颠倒等情况，要求重新进行处理，合格率要求100%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14.数据验收登记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（1）根据验收标准填写相应的验收登记表，对数字档案作出合格或不合格的结论。数据验收时抽检的比率不低于5％。</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（2）目录数据库与图像文件挂接错误，或目录数据库、图像文件之一出现不完整、不清晰、有错误等质量问题时，抽检标记为“不合格”。</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（3）一个全宗的档案，数据采集转换质量抽检的合格率达到95％以上（含95％）时，予以验收“通过”。合格率＝抽检合格的文件数／抽检文件总数×100%。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15.数据交换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（1）人员基本信息及目录信息的描述性文章，以XML格式文件保存；</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（2）人事档案数据采集形成的图像数据，存放在指定的文件夹内。</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16.数据备份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（1）备份范围:经验收合格的人员基本信息，流动人员人事档案目录信息，原始图像数据，优化图像数据应及时进行备份。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备份方式:应采用在线、离线相结合的方式实现备份，在线备份可采用持续数据保护技术，保障数据备份的持续性，离线备份时，每个人的数字档案应形成一个数据包，数据包应采用硬盘、光盘等不同载体备份，宜异地备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（3）数据检验:备份数据也应进行检验。备份数据检验的内容主要包括备份数据能否打开、数据信息是否完整、文件数量是否准确等。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（4）备份标签:离线备份后应在相应的备份介质上做好标签，以便查找和管理。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（5）备份登记:填写数据采集备份管理登记表单。</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1</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720"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流动人员人事档案服务平台</w:t>
            </w:r>
          </w:p>
        </w:tc>
        <w:tc>
          <w:tcPr>
            <w:tcW w:w="34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kern w:val="0"/>
                <w:szCs w:val="21"/>
                <w:lang w:bidi="ar"/>
              </w:rPr>
            </w:pPr>
            <w:r>
              <w:rPr>
                <w:rFonts w:hint="eastAsia" w:ascii="宋体" w:hAnsi="宋体" w:cs="宋体"/>
                <w:color w:val="000000"/>
                <w:kern w:val="0"/>
                <w:szCs w:val="21"/>
                <w:lang w:bidi="ar"/>
              </w:rPr>
              <w:t>提供流动人员人事档案服务平台，平台功能包含DACS一站式管理终端、AR掌上智慧馆室、政务服务平台评价终端、Mprogram终端、申批结一站式办事终端、AG多渠道管理终端、档案扫描著录系统、档案数据采集加工系统八部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1.DACS一站式管理终端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针对流动人员人事档案利用业务办理需求，DACS一站式管理终端系统集成传感器技术、RFID、ZigBee、NFC、嵌入式、M2M、两化融合等Lot多维应用及数据对接邮政速递便民通实现邮政EMS、机要邮寄等多场景全融合贯穿邮件业务，与吉林省政务服务平台电子化签章对无纸化文件实现无缝对接验证签发服务并且通过DM、CDR、UserPersona和UserProfile、DP等多维分析对DACS一站式管理终端系统集成应用进行深度感知、学习、应用翻转利用，将DACS一站式管理终端划分为个人工作台账、数据批注、数据感知探索、DBQ策略、Authorization令牌证书等五大子系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（1）个人工作台账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1）窗口业务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窗口业务对优化简化流动人员人事档案管理服务，进一步做好流动人员人事档案基本公共服务，打造“数字政府”，落实“互联网+服务”不仅可以“进一扇门可以办多件事”，并且基于DACS一站式管理终端、Mprogram终端、申批结一站式办事终端、AG多渠道管理终端实现数据实时互通、互信、互认，对数据进行审查和校验，目的在于删除重复信息、纠正存在的错误，并提供数据一致性，对数据进行一致性检查根据每个变量的合理取值范围和相互关系，检查数据是否合乎要求，发现超出正常范围、逻辑上不合理或者相互矛盾的数据。用SPSS、SAS、和Excel等计算机软件都能够根据定义的取值范围，自动识别每个超出范围的变量值。具有逻辑上不一致性的答案可能以多种形式出现：发现不一致时，要列出问卷序号、记录序号、变量名称、错误类别等，便于进一步核对和纠正。利用有关数理统计、数据挖掘或预定义的清理规则转换为满足数据采集的数据质量要求数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a.开具调档函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需要调档时，可通过开具调档函录入调档信息。个人信息可通过设备识别或手动录入方式录入，收集档案所在单位信息、办理方式、单位类型、上传调档函所需的证明材料、申请材料，提交签字后打印调档函信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同时可以满足多终端管理，多终端数据处理，提供线上邮寄、机要等多种传递方式。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b.档案接收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档案接收分为档案在其他单位、档案在个人手中、应届毕业生、其他四种类型；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档案在其他单位：开具调档函后，选择办理方式，提交签字后完成档案接收并打印档案胶条。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档案在个人手中：档案在个人手中，可直接办理档案接收。个人信息可通过设备识别或手动录入方式录入，办理档案接收时录入办理方式、留学生信息、上传所需的申请材料等信息，提交签字后完成档案接收并打印档案胶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系统支持物理备份和恢复，支持在线和离线备份，支持对库、表空间、表、归档等多种粒度的备份，支持基于备份集的方式进行备份，支持完全备份、增量备份的备份和还原，支持基于时间点的还原。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应届生：应届生分为单本接收、批量接收两种；单本接收时手动录入后设备识别个人信息，录入学校信息以及办理方式、生源地、签署公司等信息，提交签字后完成档案接收并打印胶条。批量接收时录入学校信息、联系人信息，导入存档人员信息，提交后打印存档回执信息以及档案胶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其他：通过设备识别或手动录入人员信息以及存档原因，提交后存入档案打印档案胶条。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c.散材料接收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需要收录其他档案材料时，选择办理方式、录入材料内容，使档案内容更加完整、丰富。</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系统支持对数据分区管理能力，支持对表进行范围分区、哈希分区、列表分区、垂直分区的分区机制，支持多级分区机制。支持分区并发数据处理，包括文字分段并发读取，数据转换规则并发执行，数据并发快速装载，支持TB级数据处理能力。</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d.档案查阅</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需要查阅/复印档案内容时可通过档案查阅功能发起，库房依据查阅内容回复或复印即可完成对档案内容的查阅。</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e.档案借阅</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需要借阅档案时，可借阅整本档案以及档案材料，借阅整本档案时需要上传借阅函以及申请材料，借阅材料时需上传申请材料，提交后完成档案的借阅，档案借阅后需及时归还。</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f.档案转出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档案转出可转出到其他市人才中、国有企业、行政单位、升学或因个人退休、公司退休、因病退休以及死亡等原因将档案转出。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g.开具证明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需要开具证明时，可通过开具证明发起，提交后打印所需的证明内容。开具证明包含存档证明、党关系证明、现实表现证明、转正定级证明、同意调出函、无户口首页证明、无工作证明等内容。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h.退档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档案转出后因某些特殊原因导致档案被退回，可通过退档将档案重新接收入库。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i.个人转单位</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j.单位转个人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k.党关系转入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党组织关系需要转入至该支部下时，可通过党关系转入功能，录入党员信息内容，包含入党时间、转正时间、入党申请书时间、入党时所在支部、原党委、党费交纳截止时间等信息，提交后党关系转入完成。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l.党关系转出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党组织关系需转出时，记录转出去向、上传所需的申请材料后即可将党关系转出。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m.党员信息借阅</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内部人员需查阅党员信息时，可通过党员信息查阅快速发起查阅党员信息的申请。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n.党员信息查阅</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内部人员需要借阅党员信息时，可通过党员信息借阅功能快速发起借阅申请、及时归还党员档案信息。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o.电子档案</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包含工作流管理、数据引擎、业务模板引擎等功能，为系统的其他功能模块的稳定运行提供技术支撑与数据支撑。对已经入库的档案支持在线打印，并可以通过系统进行打印权限控制。根据多条件组合查询，最后根据固定格式打印档案标签生成二维码或条形码；支持在线档案查借阅申请与在线审批，审批通过后方可进行档案查借阅。系统保存每一次申请、审批记录，方便进行数据审计。通过语音及文字查询均可实现；通过审批的人员可利用该功能进行档案的查阅，所有档案、材料文件均支持在线阅读，并可以在线打印。阅读与打印权限均可以通过系统进行控制与分发。</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系统支持定义了人脸识别的时间计划安排，严格设置了设备执行识别操作的时间点。系统默认提供了三种识别计划模板：全天候模板、工作日模板和周末模板，同时支持自定义设置计划模板。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2）库房业务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a.库房待办</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利用websocket在单个tcp连接上进行全双工通讯的协议，允许服务器向客户端主动发送数据，使得客户端和服务器之间的数据交换变得更加简单。在使用websocket实现多客户端和服务器之间的通讯过程中，会采用心跳机制（keepalive）来检测各个客户端节点是否出现故障，以保证整个系统运行的稳定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本系统提供一种数据更新方法，应用于服务器，所述方法包括：获取多个心跳脚本以及多个心跳脚本与多个终端之间的对应关系，其中，多个心跳脚本是通过可视化界面配置得到的，每个心跳脚本包括第一心跳检测周期；依据对应关系，将多个心跳脚本分别发送给多个终端；接收控制端发送的针对目标终端的心跳检测周期的更新指令，其中，更新指令包括第二心跳检测周期；以及基于更新指令将第二心跳检测周期发送给目标终端，以使目标终端根据第二心跳检测周期来更新心跳脚本中的第一心跳检测周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预设的触发条件包括以下中的至少之一：用户的触发操作；在目标时间段内采用第一心跳检测周期执行心跳检测操作时发生失效检测的次数达到预设阈值；以及检测到当前时间满足定时向服务器发送针对心跳检测周期的更新指令的时间要求。已满足库房工作人员对于业务贯通和档案虚拟化和实体化结合管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集成传感器技术、RFID、ZigBee、NFC、嵌入式、M2M、两化融合等Lot多维应用实现将流动人员档案全部“数据化”，可以实现档案内容进行全文检索、任意组合、全部关联、重新生成、主动推送的数据，可以对实体、装具、环境、人流、工作等各环节进行智能化、自动化、联动化的管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系统支持拓扑管理，能够以拓扑方式显示设备以及设备间的连接关系，拓扑上能够提供设备、链路的状态显示和刷新，能够提供设备和链路的信息。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b.库房办理；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通过电子标签与档案结合绑定来管理，做到一物一码物物相连，AR掌上智慧馆室终端扫描电子标签可同步记录档案基本信息，检索更容易。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c.库房入库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档案资料出入档案室时，能自动识别电子标签并记录；对于未经授权的出入库，系统能自动识别并启动声光报警装置；同时监控设备会对出入人员进行影像抓拍，数据全部上传至数据库记录备查。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通过手持机扫描可以从系统轻松查阅档案所有的出入信息，包括出入时间，借用人等，实现了档案流转的可追溯化管理。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d.库房核对；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核对档案出入库信息，保障出库档案已入库。对于重要、贵重档案，系统可设置审批权限，未经审批许可的出入库，系统会自动报警；审批负责人可通过远程终端对相关出入库进行无纸化远程审批，提高效率。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由于电子标签是可以远距离、批量识别，因而系统可以通过AR掌上智慧馆室终端实现盘点和巡检目的。只要管理人员带着AR掌上智慧馆室终端在档案库房中巡检一遍，在库和不在库的档案会自动生成报表，供管理人员检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3）快递邮寄</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提供信息化管理、分析、决策手段。基于信息技术和现代管理技术、对实现科学的供应链管理借阅大量的重复建设资金，在快递邮寄业务的支持下提高快递下单配送的快速响应能力，满足企业多批次，小批量的特色件的传递、储存和配送跟踪需求，实现获得高水平的用户服务和低存量投资、低单位成本两个目标之间的平衡，实现快点反应、最小变异、最低存储、整合运输以及产品质量与生命周期的支持等，选择最佳的方式与途径，以最低的费用和最小的风险，保质、保量、准时地将货物从一个行政区划送到另一个行政区划的全流程全生命周期跟踪。</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通过统一订单提供用户整合的一站式供应链服务，订单管理以及订单跟踪管理能够使用户的物流服务得到全程的满足。</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系统可实现单次及批量订单，订单管理与馆室管理相连接，并且在下订单时有预警及提示功能，订单管理同时与客户管理相连接，可查询历史订单情况以及订单的执行情况。</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系统支持针对备份存储系统自身的数据（包括但不限于系统配置、备份任务、执行日志和审计日志等）进行备份保护，并具备离线导出，当备份存储系统自身发生故障时，可通过备份数据进行还原。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进入订单跟踪时，运单已进入运输业务第三阶段，承运商开始执行配送任务，实时跟踪订单状态，并将状态信息回传给运营商，再由运营商回传给货主。订单跟踪可使货主实时获取订单当前状态，也方便平台管控司机，保障订单任务顺利完成。实现订单跟踪的方式有两种——人工更新、电子围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4）机要邮寄</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通过机要邮寄功能寄送需要邮寄档案材料，邮寄时可打印机要封皮以及机要单，录入邮寄单号。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功能需求应符合发件单位将机要信件送到当地邮政机要通信部门，办理交寄手续；机要通信部门将机要邮件通过专门渠道送达本省省会城市，由省邮政机要通信部门登记接收；省邮政机要通信部门将机要邮件转送目的地省份的省会城市，当地机要通信部门登记接收，然后派机要通信人员送达接收单位。实现全流程管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通过机要单号、时间等维度查询机要邮寄信息。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5）送档业务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退休送档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记录窗口档案转出申请为个人退休的信息，需要送档时可导出及打印退休送档的信息以及身份证信息内容。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系统支持扫描出的文本图像锐度增强，增强文本的可识别性。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病退送档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记录窗口档案转出申请为因病退休的信息，需要送档时导出及打印退休送档的信息以及身份证信息内容。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6）AG多渠道管理终端后台管理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a.开通账号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AG多渠道账号发放，记录AG多渠道单位营业执照信息、法人信息、办理人信息。记录后开放AG多渠道单位账号，AG多渠道单位可通过账号登录AG多渠道管理终端。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b.审核</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审核AG多渠道单位提交的单位信息变更审核，审核通过后AG多渠道单位信息变更为最新信息，若审核不通过则标明原因将申请驳回。</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c.重置密码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AG多渠道单位主账号忘记密码时，可到窗口申请重置密码，重置密码后AG多渠道单位的主账号密码变更为初始密码。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d.锁定</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当AG多渠道单位账号发生异常时，存档单位有权将账号锁定，锁定账号时需记录锁定原，并记录。账号锁定期间，AG多渠道单位名下档案信息需要申请利用时需到窗口进行办理，账号锁定后AG多渠道单位的主账号及子账号无法登录AG多渠道管理终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e.解锁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当账号锁定后需要解锁时，存档单位通过解锁功能可将AG多渠道单位账号解锁。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f.续签</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当协议到期时，可通过续签延长协议期限。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g.查看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单位信息：查看AG多渠道信息，包含单位信息、法人信息、申请人等信息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账号信息：查看AG多渠道单位下子账号信息，包含姓名、手机号、身份证号等信息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历史信息：记录AG多渠道单位发生变化的信息，包含AG多渠道单位申请、开通账号、锁定、解锁等信息。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(2)数据批注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1）个人业务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审核、办理用户通过Mprogram终端、申批结一站式办事终端提交的业务申请，包含调档函申请、档案接收申请、散材料接收、档案转出、档案查阅、档案借阅、党关系转入、党关系转出、开具证明等业务申请。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2）AG多渠道管理终端业务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AG多渠道管理终端业务审核包含由渠道单位申请业务以及渠道单位下用户通过Mprogram终端、申批结一站式办事终端提交的业务申请信息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批量审核、办理：审核、办理由多渠道代为通过AG多渠道管理终端批量申请的业务信息，包含调档函申请、档案接收申请、散材料接收、单位转个人、个人转单位、档案借阅等业务。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系统支持友好的图形化配置界面，以树形结构方式直观的呈现业务中各模板的引用/包含关系，便于用户理解和操作。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个人审核、办理：审核、办理由AG多渠道管理终端名下用户通过Mprogram终端、申批结一站式办事终端提交的业务申请，包含调档函申请、档案接收申请、散材料接收、档案转出、档案查阅、档案借阅、党关系转入、党关系转出、开具证明等业务申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3）库房复核</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复核当天出入库信息，确保档案及时送回至库房。</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4）档案核实</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核实通过Mprogram终端、申批结一站式办事终端提交的档案核实信息，线上核实档案是否存储本单位下，无需用户到达窗口查询。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5）监管复核</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复核所有业务办理信息并评判业务办理等级。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系统支持采用自研的加速技术，无需进行任何的磁盘和文件系统扫描，能够直接获取磁盘块的变化信息并进行备份。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(3)数据感知探索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对数据终端互通、互认等基于令牌证书认证，经过唯一数据通道利用人工智能学习智能算法检查数据一致性、无效值和缺失值等，与人工审核方式不同，提交上来的数据清理一般由计算机中心数据大脑智能完成。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系统支持设置资源巡检计划，平台将依据巡检计划，对平台中管理的资源等进行状态巡检。您还可以配置巡检告警，若资源出现任何异常（如设备故障、网络异常），都可及时将巡检结果告知运维人员，便于及时检查和维护。</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由于调查、编码和录入误差，数据存在的一些无效值和缺失值，需要给予适当的处理。通过人工智能学习智能算法基于估算、整列、变量、成对删除等操作。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估算：利用某个变量的样本均值、中位数或大众数代替无效值和缺失值。</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整列：由于提交数据的剔除含有缺失值，无法充分利用已经收集到的数据，因此对于关键变量的缺失进行此项操作。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变量：减少了供分析用的变量数目，但没有改变本量，基于特殊编码和逻辑对数据进行分流研判并加以处理。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成对：利用特殊码代表无效值和缺失值，同时保留数据集中的全部变量和样本最大限度地保留数据集中的可用信息。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采用不同的人工智能分析算法逻辑对分析结果产生影响，在数据审查中人工智能基于特殊编码和加工处理避免出现无效值和缺失值，保证数据的完整性。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系统支持针对CBT功能，可以跟踪数据机变化的数据块并进行备份，提高数据备份速度和降低备份所需的磁盘空间。</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1）档案采集数据分析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基于流动人员人事档案基础信息采集规范，确定了流动人员人事档案基础信息最基本的指标结构并规定了需要采集的基本信息集，本系统必须符合引用规范，保证数据符合规范性要求，其中包含：</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GB/T2260中华人民共和国行政区划代码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GB/T2261.1个人基本信息分类与代码第1部分：人的性别代码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GB/T3304中国各民族名称的罗马字母拼写法和代码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GB/T4754国民经济行业分类</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GB/T8561职称代码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GB/T8563.1奖励、纪律处分信息分类与代码第1部分：奖励代码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GB/T8563.2奖励、纪律处分信息分类与代码第2部分：荣誉称号和荣誉奖章代码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GB/T8563.3奖励、纪律处分信息分类与代码第3部分：纪律处分代码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GB11643公民身份号码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GB/T12402经济类型分类与代码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GB/T12407职务级别代码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GB/T14946.1全国干部、人事管理信息系统指标体系与数据结构第1部分:指标体系分类与代码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GB/T20091组织机构类型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GB32100法人和其他组织统一社会信用代码编码规则</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基于采集规范标准和数据模型分析，系统可以形成智能报告、年报、及数据维度汇报材料，并且对于多终端数据融合及对AR掌上智慧馆室实时监控可以掌握AR掌上智慧馆室对于档案的存放、提取等利用提供基于Lot多维度应用并且可以实现智慧馆室的封、解、释放、连贯、穿插等复杂模式的实时切换，并且基于基础信息采集规范实现对年龄、性别、学历、单位、时间属性标签、类型属性标签进行跨纬度、跨数据湖、跨数据深度、延展性等多种OLAP分析引擎加速决策。</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2）党员采集数据分析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利用大数据的概念,对党员的党龄、年龄、学历、性别、民族和状态进行不同维度的信息计算和分类,实现党员数据的全方位统计。党员数据分析主要包括以下几个方面：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a.党龄分布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将党员党龄划分为各个阶段，每个阶段的党员党龄分布都能实现人数具体数值的重新统计，党员从预备党员转为正式党员经过的年数在各地区分布的具体情况，清晰明了。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b.党员年龄分布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用柱形图将党员的额年龄和人数进行统计，党组织内的党员年龄的集中范围，平均值等都有清楚的分析，党员年龄分布在各地区得具体情况清晰明了。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c.党员学历分布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对党员的学历按照博士、硕士、本科、专科和高中的等级进行分布，用柱形图对党员学历具体分布进行展示，使分布在各地区得具体情况清晰明了。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d.党员性别分布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用饼状图对党员的性别分布进行统计，将黄色的部分表示为女性，用蓝色的部分表示为男性。将党组织内部的男女性别比例在各地区的分布清楚的展示。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e.党员民族分布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用饼状图对党员民族的分布进行统计，首先需要统计本党组织内部有哪些民族，之后对各民族在本党组织的分布进行统计，最后就能够准确的将党员分布在各地区得具体情况清晰明了。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f.党员状态分布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将党员状态按照正式党员、失联党员、清退党员和死亡等四个部分进行状态分布的统计，党员状态具体分布以柱状图的形式来进行展示，使分布在各地区得具体情况清晰明了。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将党建与党员数据分析相融合，让“信息多跑路，让群众少跑腿”的要求和党员的数据分析实现全面的整合，将党员数据实现网上网下联动常态化、立体化。</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3）党费采集数据分析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根据《关于中国共产党党费收缴使用和管理的规定》主要内容：中共中央组织部印发《关于中国共产党党费收缴、使用和管理的规定》的通知，关于中国共产党党费收缴、使用和管理的规定，中组部负责人就印发《党费收缴规定》答《人民日报》记者问，中国共产党章程（节录），中国共产党纪律处分条例（节录），行政单位会计制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本系统党费采集数据与银行党员缴费系统进行数据对接数据回传等互信方式，建立健全党费收缴管理制度和采集安全标准管理，对流动人员党费缴纳对于党龄、性别、学历、缴费情况、区域/地区范围与党员缴费的数据分析实现全面贯穿，实现一体化服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（4）基于业务模型的数据采集分析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通过流动人员人事档案基础信息采集规范，及对于DACS一站式管理终端、AR掌上智慧馆室、政务服务平台评价终端、Mprogram终端、申批结一站式办事终端、AG多渠道管理终端多终端、多应用的数据生成通过业务模型人工智能分析算法对于多渠道、多种档案管理模式和业务办理模式、对于档案的业务流转和各节点的数据监控实现从年度、月度、星期、年龄、学历、地区/地域、档案类型、办理方式、及无纸化应用全方位、多维度分析人员的流动情况，深入挖掘企业日常管理中的所存在的问题报告，并以数据报告引用附录作为流动人员管理工作策略的重要参考依据，对于城市发展、企业发展、人才管理工作发展提供数据依托，出台符合当下的政策及人才引进策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通过人工智能分析产品算法以需求分析、数据处理、模型训练、效果测试、成果发布五个阶段。以人工智能训练智能成长以达到对于流动人员深度数据研究分析，形成基于人工智能对于流动人员人才管理行为分析报告。</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系统通过数据感知探索模型可以将多终端数据输入到处理器，通过一系列步骤进行数据加工处理，使数据可以达到期望的输出的数据格式。从而可以保证数据的准确性、完整性、一致性、适时性、有效性等几个方面处理对于缺失值、越界值、不一致代码、重复数据等问题。</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系统支持在统计报表模块生成并查看特定时间内视频监控设备的运维报表，包括区域运维统计、视频质量统计、录像完整性统计等。支持将报表导出至本地 PC。</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1)可以解决不完整数据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大多数情况下，缺失值必须手工填入，本系统通过数据感知探索可以使某些缺失值可以从本数据源或其他数据源推倒出来，可以利用数据模型及更为复杂的概率估计代替缺失值，以达到数据的有效利用性。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2)可以解决错误值的检测及处理办法</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用统计分析的方法识别可能的错误值和异常值，偏差分析、识别不遵守分布或回归方程的值，也可以利用简单规则库（常识性规则、业务特定规则等）检查数据值，使用不同属性间的约束、外部的数据来检测和清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3)对于重复记录的检测及清除</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可以通过判断记录间的属性值是否相等来检测记录是否相等，相等的记录合并为一条记录，从而实现合并/清除的基本处理。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4)数据源内部及数据源之间的检测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可以实现从多数据源集成的数据定义为完整性约束用于检测不一致性，通过数据模型分析发现联系，从而使得数据保持一致，通过允许指定简单的转换规则、使用领域特有的知识采用语法分析和模糊匹配技术完成对多数据源的加工处理，可以通过Integrity和Trillum集成实现、通过人工智能审计扫描数据发现规律和联系和模型发展形成基于智能成长、智能学习的数据感知探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（4）DBQ策略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1）流动人员档案信息规范策略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基于流动人员人事档案基础信息采集规范，DBQ策略可以设定满足流动人员人事档案基础信息采集样表中的个人数据类86项字段条目，其中包含索引号、状态、性质、机构、行政区划、行业、委托关系及个人信息项，支持跨分类、跨数据湖、跨区域、跨分级等不限策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在组合过滤器中，通过使用bool过滤器通过and、or和not逻辑组合将多个过滤器记性组合。通过过滤器做二元判断，从而判断数据结果是否应该出现在反馈JSON及XML结果集中，使结果更精妙，除了决定一个文档是否应该被包括在结果中，还会计算文档的相关程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系统支持设备管理、恢复管理、存储管理、备份管理、远程复制管理、用户及权限管理等均在一个管理界面内，中文界面，基于WEB管理模式，易于管理与维护。</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bool策略结果可以接收must、must_not和should参数下的多个策略语句，策略结果返回title包含满足设定的任意文档需求。并且两个should语句，一个文档不必包含设定关键策略的词项，但如果一定包含DBQ策略就认定为他们更满足相关策略要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所有must语句必须匹配，所有must_not语句都必须不匹配，默认情况下，没有should语句是必须匹配的，只有一个例外：那就是当没有must语句的时候，至少有一个should语句必须匹配。就像我们能控制match查询的精度一样，我们可以通过minimum_should_match参数控制需要匹配的should语句的数量，它既可以是一个绝对的数字，又可以是个百分比。从而确定DBQ策略的结果满足所设定的要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2）调档函信息规范策略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设定基于信息规范策略算法模型，通过AG多渠道管理终端需要识别经办人员有效身份证件，劳动合同或录用手续，单位介绍信等，其他渠道个人委托存档则识别存档人员有效身份证件，通过提交申请材料等到审核并可实现开具《流动人员人事档案调函》信息报送原存档单位办理转档手续，报送档案通过DACS一站式管理终端智慧大脑进行数据委派通过机要邮寄或专人送取方式达到指定位置后进行审核形成RFID、NFC等数据编码进入数据委派AR掌上智慧馆室并记载入库及自动出具回执并可开具存档等证明文件。根据调档函信息规范策略可以通过数据模型DBQ策略对数据编码、类型、名称、状态、时间等信息从而确定满足策略结果。</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3）党员信息规范策略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系统支持以MySQL、SQLServer、Oracle、PostgreSQL、OceanBase、达梦、Kingbase等数据驱动，系统提供了强大而灵活的数据获取能力，一方面继承了需要掌握sql和存储过程等倾向于技术人员的传统数据集，如有：SQL数据集、原生SQL数据集、Java数据集、存储过程数据集、多维数据集。另外也具备可视化界面让业务人员也能实现数据准备，如：自助数据集、透视分析数据集、即席查询数据集、可视化查询数据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无论是技术人员还是业务人员都可以通过相应的数据查询从数据库获取到所需的数据来进行数据分析。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基于多维数据源创建数据集，系统也是支持通过创建多维数据集将多维数据库中的cube进行转换，形成可以供报表使用的数据模型，整个操作都是可视化的，方便灵活。能快速地在电子表格、仪表分析等报表上展现多维数据源的数据。同时我们也给熟悉Java类的开发人员准备Java数据集。此数据集具体是指将Java查询对象输出的数据转换成集合，支持自行编写java类处理数据、调用webservice接口返回数据，内置了txt、csv文件读取等数据获取方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基于个性化需求并剧本灵活查询能力的数据集，用户可以根据业务要求，通过可视化的方式，使用跨数据库、多表关联、数据转换、复杂逻辑关系计算、数据抽取ETL等功能，将数据提取到自助数据集。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根据党员信息规范策略可提供姓名、状态、分类、地域、行政区划、等多策略组合以提供符合要求的结果集。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业务人员使用Excel分析可采用透视分析、即席数据查询数据集作为数据库取数的来源。其中可视化数据查询类似Excel数据透视表，作为数据集能够实现对数据查询与探索。另外透视分析还可作为电子表格的数据来源。即席查询数据集则是用于大量明细数据的查询的清单式数据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4）党费信息规范策略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根据党费信息规范策略，平台提供可提供：</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a.可视化的数据准备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提供强大的界面化数据管理能力，由用户自行在源数据关系的基础上构建自己的业务所需数据集。如可视化查询就能让用户在一个可视化界面拖拉拽即可轻松完成数据模型的构建，使我们的分析用户更快、更直观地获取到准备好的数据，从而更快、更智能地进行业务决策。</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b.支持跨库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自助数据集支持跨库查询，当用户查询数据的范围比较广并不限于一个数据库时，可以跨多个库进行查询。提供跨数据库查询功能，支持将不同的数据源关联，应对不同接口数据统一访问问题。</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c.高速缓存机制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系统支持数据抽取功能的数据集：自助数据集、可视化数据集、SQL数据集、存储过程数据集、Java数据集、即席查询、透视分析。大部分数据集都支持通过数据抽取从源数据库中抽取原始数据到高速缓存库，它可以保证秒级获取大级别量的数据结果，提高系统性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（5）Authorization令牌证书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基于Token进行身份验证的的应用程序中，服务器通过Payload、Header和一个密钥(secret)创建令牌（Token）并将Token发送给客户端，客户端将Token保存在Cookie或者localStorage里面，以后客户端发出的所有请求都会携带这个令牌。将令牌证书放在HTTPHeader的Authorization字段：Authorization:BearerToken。</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1）多租户管理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多租户管理的核心是分配好人员 (组织) 和资源之间的权限关系。对于容器平台来说，主要关注的资源有计算资源、存储资源和网络资源，这是平台多租户管理的核心。在平台租户体系中，将资源划分为以下三个层级：集群、企业空间、项目和工程。针对不同层级的资源都可以灵活地定制角色用以划分用户的权限范围，实现不同用户之间的资源隔离。</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权限管理模型：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在平台统一管理过程中基于RBAC权限管理模型来做用户的权限控制，用户并不直接和资源进行关联，而是经由角色定义来进行权限控制。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资源层级划分：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集群：为当前的单位应用，为租户提供计算、存储和网络资源。集群下可以创建单位企业空间。</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企业空间：在集群下可以创建企业空间，用以对不同的项目进行分组管理。企业空间下可以创建项目和 DevOps 工程。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项目和工程：项目、DevOps 工程是目前版本权限管理的最小层级，消耗集群的资源来部署应用、构建应用。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多层级权限控制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集群权限控制：通过集群角色来定义用户对集群资源的控制权限，例如：节点、监控、账户等。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企业空间权限控制：企业空间角色则定义用户在企业空间下对项目和工程的控制权限以及企业空间成员的管理权限等。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项目和工程权限控制：项目和工程的创建者，可以通过邀请成员的方式将自己的项目共享给其他用户，赋予不同的成员不同的角色，在权限上加以区分。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2）角色管理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主要针对平台用户资源进行管理，包含角色组和角色设置、角色的分类归属、觉得的授权（模块资源授权和动作权限分配）。</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角色组根据角色相近性进行分组归类，降低浮渣性最终统一使用角色来对用户进行分类授权。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系统支持具备管理员和审计管理员双管理员角色，同时和业务系统嵌入后，保持和备份系统的权限独立。审计管理员则可以进行备份系统安全性审计和备份行为审计，以保证备份的安全性。提供审计管理员帐号及审计日志。</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模块资源授权由业务功能模块列表和用户菜单定制共同组成，每个用户可以拥有自己的菜单，也可以直接采用角色缺省菜单（当用户同时充当多个角色切权限重复时，重复的权限仅一次有效）。</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动作权限分配进行对象控制使系统窗口中的可视对象，菜单项、按钮、下拉列表框、数据编辑控件及数据编辑控件的字段等。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控制动作通过角色和用户授权来实现，主要对象属性的控制（使能、禁止、可视、屏蔽）和数据编辑控件中数据记录的维护（增加、删除、修改），基于角色的访问控制方法还可以很好的描述角色层次关系，实现最少权限原则和职责分离的原则。</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角色管理的功能作业区通过主要的操作按钮和信息内容可知其功能有：新增角色组、新增角色，编辑角色组、编辑角色，删除角色组、删除角色，角色授权，角色组排序、角色排序等。其中功能操作按钮的状态会根据选择的树型中不同节点和不同登录用户的动作权限而改变。保证了系统规范和权限系统的双重控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3）系统资源用户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 账号管理系统用于在网络环境中，集中维护用户主账号（即用户唯一身份），收集并维护应用、主机、网络设备等信息资产的从账号，并且将账号信息加密保存在LDAP之中。系统具有丰富的外部数据同步接口，提供功能强大的用户信息整合和同步功能，可以自动地查找业务系统的用户信息，并及时把用户信息保存在系统的LDAP服务器中。账号的属性管理涵盖了和账号相关的基本信息、时效策略、密码策略等内容，有效的管理账号的全生命周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支持证书的申请、签发、下载、暂停、恢复、作废、查询、CRL发布等。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CA客户端，填写用户基本信息，如用户名，住址，身份证信息，Email有效期以及证书私钥文件的存储方式，一般选择智能密码钥匙盘，并将这些信息生成一串Base编码信息发送至CA中心，服务器接受此信息，并返回一个交易帐号，用于CA中心通过审核后，下载证书的凭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证书签发</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服务器接收到用户申请信息，首先把用户申请的编码信息放入RA请求数据库，审核工作可以由人工审核，也可以由系统自动确认审核，审核通过，将CA根证书私钥文件对此Base64编码信息进行数字签名，并生成一个符合X509标准的二进制文件，此二进制文件即为用户的个人数字证书，其中包含了用户的基本信息，和一个公钥，一个私钥。最后存入CA数据库。</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证书下载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用户再次登陆CA客户端，选择挂起的证书选项，输入交易凭证，如果CA中心审核通过，就可以看到下载链接,如果在申请时，私钥存储方式选择的是智能密码钥匙盘，则证书文件自动写入此硬件。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证书吊销（CRL）</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服务器首先会定期轮循证书库，将超过有效期的证书生成一个CRL列表文件放置在一特定位置，这一文件可以无限制的下载，用户可以随时选择下载此文件。CRL列表中包含服务器中所有已经过期证书信息。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根证书的下载和安装</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CA有一个顶级的唯一根，用于表明客户端个人证书的颁发者是否有效，同时认证除此颁发者以外的其它证书为无效。</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登陆CA客户端，首先客户端特定脚本会检测本地是否已经安装了此根证书，如果没有，会自动提示下载安装。过程中无需用户干预。</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数字签章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采用以上两种数字证书管理办法，都可以实现数字证书管理，实现数字签章服务。公司在项目实施时将按第二种方法建立CA认证中心，如果选择第一种方法，公司将积极配合第三方实现数字证书管理和数字签章服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（6）系统设置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1）证明管理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证明管理通过自定义数据表单提供给用户根据自己的需求创建各种管理数据表单的功能，还可以选取不同表单的结果汇总到一张表格中进行综合展示，将不同表格中的数据相互引用、彼此同步，汇总到一个表格中形成一个有机整体。可对表单中录入的数据进行后台收集、管理、统计、筛选、查找……实现高效率的无纸化数据管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在扫描文档，可随意放置文稿台，支持软件自动纠偏，图像可实现自动校正。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自定义表单功能简单易用，无需代码即可轻松创建各类表单；且灵活度高，除了常用模板，用户还可自由配置表头和格式。自定义表单功能让工作人员录入、收集、整理、查询、打印、管理信息、表单套用变得非常方便，提升信息管理效率和服务品质，维护企业业务流程应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2）办理信息自定义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通过创建自定义字典，继承一个字典作为基类，平台需要选择继承UserDict作为基类，选择从UserDict而非dict继承，并且选择UserDict一个data的属性，进而产生属性是UserDict最终存储数据的地方。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UserDict继承MutableMapping，通过字典类型的方法UserDict、MutableMapping和Mapping这些超类继承而来。特别是Mapping类，以满足一个抽象基类（ABC）。</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办理信息自定义可以根据不同终端类别、模块、并且可以根据办理方式决定业务不同终端办理中所需要提交的资料认证和取函方式等，并可以设定所有提交认证资料的具体页数和各提交材料的详细内容，对于人工智能学习模式数据代码提供材料分类和总体业务办理的自定义审批方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3）申请材料自定义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为满足流动人员人事档案管理服务发展和系统智能鉴别模式，自动化全流程管理，用户可以根据业务管理办法的政策文件和结合自身对于业务工作流程及管理办法对于不同终端、数据模块、自定义认证材料、办理文件、页数等各业务流程跨不同终端、种类实现申请材料分类和总体业务办理的自定义审批方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4）机要单位</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机要单位管理模块与邮政机要邮寄通道互通，实现对机要单位名称、行政区划、地址等联系方式的传递，并且与业务模块实现流水号、个人信息、编码、位置、类型、一件生成单号专人派送管理方式。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5）内容管理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可以满足向DACS一站式管理终端、AR掌上智慧馆室、政务服务平台评价终端、Mprogram终端、申批结一站式办事终端、AG多渠道管理终端推送通知新闻公告，可以新建消息，也可以对已有的消息进行修改或删除，同时显示所有消息的基本信息（如接受者、发送者、消息内容等），方便用户对消息进行管理和维护。</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6）代码集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数据采集规范引用国家标准，平台需满足代码集规范要求，具体代码集规范要求如下：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GB/T 2261.6-2003 个人基本信息分类与代码 第1部分：人的性别代码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GB/T 3304-1991 中国各民族名称的罗马字母拼写法和代码，并增加其他人员分类（代码99）</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LD/T 92-2013 政治面貌代码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LD/T 92-2013 婚姻状况代码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LD/T 92-2013 学历代码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GB/T 6864-2003 学位代码，代码长度不足三位的，在代码值之后加“0”补足，并增加其他分类（代码900）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《普通高等学校本科专业目录（2020年）》基本专业名称代码，取其分类的前两级。代码长度不足六位的，在代码值之后加“0”补足</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GB/T 8561-2001 职称代码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GB/T 12407-2008 职务级别代码中的职称级别代码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GB/T 20091-2006 组织机构类型，选取大类</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LD/T 92-2013  国民经济行业分类，记录到门类和大类，门类转换为数字表示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GB/T 12402-2000 经济类型分类与代码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GB/T 6565-2015 《职业分类与代码》，取其前两类</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GB/T 14946-2009 《全国干部、人事管理信息系统指标体系分类与代码》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GB/T 8563.1-2005《奖励、纪律处分信息分类与代码 第1部分：奖励代码》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GB/T 8563.2-2005《奖励、纪律处分信息分类与代码 第2部分：荣誉称号和荣誉奖章代码》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GB/T 8563.3《奖励、纪律处分信息分类与代码 第3部分：纪律处分代码》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GB/T 4761-2008 家庭关系类别代码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GB/T 4880.1-2005 语种名称代码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GB/T 6865-2009语种熟练程度和外语考试</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GB/T 14946.1-2009 教育类别代码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GB/T 14946.1-2009 学习形式类别代码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2.AR掌上智慧馆室</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AR掌上智慧馆室利用系统集成传感器技术、RFID、ZigBee、NFC、嵌入式、M2M、两化融合等Lot多维应用，自动化、智能化技术实现智慧馆室保管环境的自动控制、实体的自动跟踪、装具的自动移动、与信息系统的自动集成与升级、工作业务流程的自动整合和再造等，智慧馆室温湿度及有毒有害气体的管理、自动报警、自动灭火，案卷和资料的自动跟踪、自动调取、自动归还；人流与物流的自动监控；信息流的顺畅便捷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AR掌上智慧馆室需要实现将流动人员档案全部“数据化”，可以实现档案内容进行全文检索、任意组合、全部关联、重新生成、主动推送的数据，可以对实体、装具、环境、人流、工作等各环节进行智能化、自动化、联动化的管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系统支持将IT网络中所有主流品牌基础架构管理整合到一个控制台上，提供单一视图和单一通用数据源，采用模块化结构，提供基本的硬件管理，支持资产和安全管理。支持基于网页的界面，符合行业标准的SSL协议传输加密数据；支持SSL虚拟介质连接；可与动态目录集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系统可经过模型和智能算法与提名、形成者、形成时间、主题词等关键词进行编辑处理，全文内容可以实现非人工翻阅、检索、组合、分析、挖掘。信息事务发出消息、指令、数据、符号等所包含的内容，对数据感知、记忆、理解、联想、逻辑、计算、分析、判断、决定等多种能力，通过学习模型对状态理解，通过数据化转化途径主要经过以下：</w:t>
            </w:r>
            <w:r>
              <w:rPr>
                <w:rFonts w:hint="eastAsia" w:ascii="宋体" w:hAnsi="宋体" w:cs="宋体"/>
                <w:color w:val="000000"/>
                <w:kern w:val="0"/>
                <w:szCs w:val="21"/>
                <w:lang w:bidi="ar"/>
              </w:rPr>
              <w:br w:type="textWrapping"/>
            </w:r>
            <w:r>
              <w:rPr>
                <w:rFonts w:hint="eastAsia" w:ascii="宋体" w:hAnsi="宋体" w:cs="宋体"/>
                <w:kern w:val="0"/>
                <w:szCs w:val="21"/>
                <w:lang w:bidi="ar"/>
              </w:rPr>
              <w:t>（1）对原件上文字为铅排、打印的纸质档案以及原件上文字虽然手写但又十分工整的档案，用</w:t>
            </w:r>
            <w:r>
              <w:rPr>
                <w:rFonts w:hint="eastAsia" w:ascii="MS Gothic" w:hAnsi="MS Gothic" w:eastAsia="MS Gothic" w:cs="MS Gothic"/>
                <w:kern w:val="0"/>
                <w:szCs w:val="21"/>
                <w:lang w:bidi="ar"/>
              </w:rPr>
              <w:t> </w:t>
            </w:r>
            <w:r>
              <w:rPr>
                <w:rFonts w:hint="eastAsia" w:ascii="宋体" w:hAnsi="宋体" w:cs="宋体"/>
                <w:kern w:val="0"/>
                <w:szCs w:val="21"/>
                <w:lang w:bidi="ar"/>
              </w:rPr>
              <w:t>OCR</w:t>
            </w:r>
            <w:r>
              <w:rPr>
                <w:rFonts w:hint="eastAsia" w:ascii="MS Gothic" w:hAnsi="MS Gothic" w:eastAsia="MS Gothic" w:cs="MS Gothic"/>
                <w:kern w:val="0"/>
                <w:szCs w:val="21"/>
                <w:lang w:bidi="ar"/>
              </w:rPr>
              <w:t> </w:t>
            </w:r>
            <w:r>
              <w:rPr>
                <w:rFonts w:hint="eastAsia" w:ascii="宋体" w:hAnsi="宋体" w:cs="宋体"/>
                <w:kern w:val="0"/>
                <w:szCs w:val="21"/>
                <w:lang w:bidi="ar"/>
              </w:rPr>
              <w:t>识别技术进行转化，其准确率可在99%以上；</w:t>
            </w:r>
            <w:r>
              <w:rPr>
                <w:rFonts w:hint="eastAsia" w:ascii="宋体" w:hAnsi="宋体" w:cs="宋体"/>
                <w:kern w:val="0"/>
                <w:szCs w:val="21"/>
                <w:lang w:bidi="ar"/>
              </w:rPr>
              <w:br w:type="textWrapping"/>
            </w:r>
            <w:r>
              <w:rPr>
                <w:rFonts w:hint="eastAsia" w:ascii="宋体" w:hAnsi="宋体" w:cs="宋体"/>
                <w:kern w:val="0"/>
                <w:szCs w:val="21"/>
                <w:lang w:bidi="ar"/>
              </w:rPr>
              <w:t>（2）对原件上文字为手写且</w:t>
            </w:r>
            <w:r>
              <w:rPr>
                <w:rFonts w:hint="eastAsia" w:ascii="MS Gothic" w:hAnsi="MS Gothic" w:eastAsia="MS Gothic" w:cs="MS Gothic"/>
                <w:kern w:val="0"/>
                <w:szCs w:val="21"/>
                <w:lang w:bidi="ar"/>
              </w:rPr>
              <w:t> </w:t>
            </w:r>
            <w:r>
              <w:rPr>
                <w:rFonts w:hint="eastAsia" w:ascii="宋体" w:hAnsi="宋体" w:cs="宋体"/>
                <w:kern w:val="0"/>
                <w:szCs w:val="21"/>
                <w:lang w:bidi="ar"/>
              </w:rPr>
              <w:t>OCR</w:t>
            </w:r>
            <w:r>
              <w:rPr>
                <w:rFonts w:hint="eastAsia" w:ascii="MS Gothic" w:hAnsi="MS Gothic" w:eastAsia="MS Gothic" w:cs="MS Gothic"/>
                <w:kern w:val="0"/>
                <w:szCs w:val="21"/>
                <w:lang w:bidi="ar"/>
              </w:rPr>
              <w:t> </w:t>
            </w:r>
            <w:r>
              <w:rPr>
                <w:rFonts w:hint="eastAsia" w:ascii="宋体" w:hAnsi="宋体" w:cs="宋体"/>
                <w:kern w:val="0"/>
                <w:szCs w:val="21"/>
                <w:lang w:bidi="ar"/>
              </w:rPr>
              <w:t>技术不易识别的档案，用特殊的手写字识别技术进行转化，其准确率目前最高可达95%左右；</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（3）用人工录入电脑的办法转化；</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（4）用人工朗读文字并通过音频技术把声音转换成文字，其准确率也可达95%左右。</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利用统计、在线分析处理、情报检索、机器学习、专家系统（依靠过去的经验法则）和模式识别、人工智能、可视化等多种技术手段。通过分析每个数据，从大量数据中找出规律、找出相互联系、找出因果关系的技术实现关联分析、聚类分析、分类分析、异常分析、特异群组分析、演变分析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AR掌上智慧馆室可以实现基于“全文数据+数据挖掘与推送技术+数据采集系统+数据存储系统+数据传输系统”积极采用物联网技术，可以把人、物、信息、环境等方面全部连接起来，实现自动感知和自动调控。档案工作者不管身在何处，都可用手机掌控一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同时为了有效保证档案的原始性与真实性，采用非对称加密、区块链分布式账本、共识机制等技术，运用中能够显著提升档案利用率，保证档案信息安全，与此同时，要求关注档案信息管理中存在的风险，对此建立相应的应对处理机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利用区块链技术有效保证档案的真实性，采用了时间戳、数字签名、数字摘要等技术。建立了全程管理方式，能够准确记录档案收集时间至最后操作阶段的数据；数字签名是对传统签名方式的改进，利用数字技术识别该档案信息的负责人，避免出现档案收集端的信息造假；数字摘要能够记录档案内容的变更，随着信息的变更，数字摘要记录会产生相应变化，并对此建立可视化的呈现方式，为档案信息的使用人员提供资料依据，此三类技术的综合运用，对档案信息的真实性提供全方位的保证，同时增加了造假的成本，从而屏蔽了造价现象。使得信息使用人员能够追溯到档案的各个过程，提升档案的不可更改性与可逆性，以此保证档案信息的原始性与真实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3.政务服务平台评价终端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(1)待评价办件信息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未当场评价的办件（按照办件的性质可以分为即办件（一次评价，办件办结数据）和承诺件（两次评价，办件受理数据和办件办结数据））也要实时上报政务服务平台评价终端。对于未当场评价的办件，企业和群众可在 5 个工作日内在各地区各部门政务服务平台进行补充评价，各地区各部门将补充评价数据实时上报政务服务平台评价终端，若办件生成5个工作日内未获评价，系统将默认评价为“非常满意”。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(2)评价内容查询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每一个评价等级都应提供统一评价页面，评价页面要素包括评价提示语（如“感谢您的评价！请勾选或录入您评价的理由，以帮助我们更好地提升政务服务绩效。”）、评价内容、文字评价录入框和评价验证码。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当评价等级为“不满意”、“非常不满意”时，应要求评价人勾选或填写评价内容，文字评价内容不得超过500个字符。当办事群众和企业采用短信及热线电话实现服务评价时，应提醒评价人登陆个人中心完善评价信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评价内容分为：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1）评价等级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评价等级是企业和群众每一次办理政务服务事项后对服务的评价分级。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2）结构化测评</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政务服务评价结构化测评由基础测评内容和扩展测评内容组成，测评内容全国统一。通过评价内容查询接口获取当前版本的评价内容和指标，在评价页面中根据不同的评价等级分级展示。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(3)保存办件和评价信息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企业和群众每一次办理政务服务事项，均可对该事项及其办件进行一次评价。办件通常分为即办件和承诺件，即办件当场办结，只产生1次评价。承诺件应产生2次评价（接件评价和办结评价）。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系统支持配置远程管理卡，具有单独的管理网口，不依赖主机操作系统进行远程操作，独立远程管理卡不占用PCI插槽，支持视频重定向，服务器复位、重新启动、开机/关机，远程虚拟介质(CD/DVD/软驱/USB存储固态盘)，用于紧急的软件诊断，存放常用驱动程序，升级补丁，操作系统映像文件等，支持加密连接 (SSL)。</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数据规范标准需符合政务服务评价平台所规定的数据参数规范标准。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4.Mprogram终端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(1)注册：手机号注册、绑定微信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(2)登录：通过微信、手机验证码、账号三种登录方式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(3)首页</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1)开具调档函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调档函可通过线上申请电子调档函或纸质调档函，申请电子调档函时，审核通过后可下载打印电子调档函，申请纸质调档函可选择通过邮寄或自取等方式领取纸质调档函。领取或下载调档函后可凭借调档函调取档案。</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2)存档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凭借调档函调取档案后，可申请档案接收，选择送档方式，依据选择的送档方式将档案送至存档单位进行存档。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3)档案查阅</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需要查阅档案时可通过线上申请查阅内容，可选择是否复印查阅内容，若需要复印查阅内容可选择电子复印件、纸质复印件两种复印方式，若选择电子复印件审核办理后可自行下载、打印电子件复印件，若选择纸质复印件，审核办理后可通过邮寄或自取等方式领取纸质复印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4)档案借阅</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需要借阅档案材料或整本档案时，可通过申请借阅内容，若为整本档案时，需提交借阅函以及其他申请材料，若借阅内容为档案材料时需上传申请材料，提交后完成借阅申请，待审核成功后，可依据申请时选择的办理方式领取借阅内容，借阅后需及时归还借阅材料或整本档案。</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5)散材料接收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当有其他档案材料需要收录在档案中时，可通过散材料接收功能进行申请，上传所需收录的档案信息，核实通过后可按照选择的办理方式将档案材料送至存档单位完成档案材料的收录。</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6)档案转出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档案转至其他存档单位时，通过档案转出功能提出转出申请。选择转出类型包含其他人才中心、行政单位、事业单位、升学等。录入接收单位、选择申请材料、记录父母姓名、选择转递方式等信息，提交转出申请，审核通过后依据选择的转递方式完成档案转递。</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7)党关系转入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党关系需要转入党支部下时，可通过党关系转入功能提交转入申请，若党组织关系在省外则需上传介绍信等信息，若党组织关系在省内则直接提交申请即可，申请后依据选择的办理方式将介绍信送至党支部，完成党关系转入申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8)党关系转出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党关系需要从该党支部下转出时，可通过党关系转出功能进行申请，记录转出去向，选择办理方式，并依据选择的办理方式领取介绍信。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9)开具证明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需要开具存档证明、党关系证明、转正定级情况证明、同意调出函、无工作证明、现实表现等证明内容时，可通过线上申请，申请时可选择开具电子证明或纸质证明，若选择电子证明提交申请且审核通过后可自行下载或打印证明内容，若选择纸质证明可依据选择的办理方式领取纸质证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(4)个人中心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记录、展示通过线上申请、窗口办理的业务信息，包含已完结、已取消、办理中等不同状态信息，可通查看办理进度信息查看办理业务的详情内容。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1)个人信息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展示个人基本信息，包含姓名、身份证号、性别、民族、联系方式等信息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2)教育信息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展示、编辑个人的教育信息包含入学时间、毕业时间、所学转业、毕业学校、所学转等相关教育信息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3)档案信息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查看个人档案基本信息包含档案编号、档案状态、存档时间、物理位置、代理类别、AG单位等基本档案信息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4)党员信息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展示个人的党组织关系信息包含党员状态、预备时间、转正时间、迁入时间、入党时所在支部等党组织基本信息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5)修改密码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可重新设置登录密码，通过验证原密码设置新密码的方式将密码更新为最新设置的密码。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5.申批结一站式办事终端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(1)注册：手机号注册</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(2)登录：手机验证码、账号两种登录方式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(3)档案业务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1）开具调档函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调档函可通过线上申请电子调档函或纸质调档函，申请电子调档函时，审核通过后可下载打印电子调档函，申请纸质调档函可选择通过邮寄或自取等方式领取纸质调档函。领取或下载调档函后可凭借调档函调取档案。</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2）存档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凭借调档函调取档案后，可申请档案接收，选择送档方式，依据选择的送档方式将档案送至存档单位进行存档。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3）档案查阅</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需要查阅档案时可通过线上申请查阅内容，可选择是否复印查阅内容，若需要复印查阅内容可选择电子复印件、纸质复印件两种复印方式，若选择电子复印件审核办理后可自行下载、打印电子件复印件，若选择纸质复印件，审核办理后可通过邮寄或自取等方式领取纸质复印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4）档案借阅</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需要借阅档案材料或整本档案时，可通过申批结一站式办事终端申请借阅内容，若为整本档案时，需提交借阅函以及其他申请材料，若借阅内容为档案材料时需上传申请材料，提交后完成借阅申请，待审核成功后，可依据申请时选择的办理方式领取借阅内容，借阅后需及时归还借阅材料或整本档案。</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5）散材料接收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当有其他档案材料需要收录在档案中时，可通过散材料接收功能进行申请，上传所需收录的档案信息，核实通过后可按照选择的办理方式将档案材料送至存档单位完成档案材料的收录。</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6）档案转出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档案转至其他存档单位时，通过档案转出功能提出转出申请。选择转出类型包含其他人才中心、行政单位、事业单位、升学等。录入接收单位、选择申请材料、记录父母姓名、选择转递方式等信息，提交转出申请，审核通过后依据选择的转递方式完成档案转递。</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7）开具证明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需要开具存档证明、党关系证明、转正定级情况证明、同意调出函、无工作证明、现实表现等证明内容时，可通过线上申请，申请时可选择开具电子证明或纸质证明，若选择电子证明提交申请且审核通过后可自行下载或打印证明内容，若选择纸质证明可依据选择的办理方式领取纸质证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(4)党组织业务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1）党关系转入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党关系需要转入党支部下时，可通过党关系转入功能提交转入申请，若党组织关系在省外则需上传介绍信等信息，若党组织关系在省内则直接提交申请即可，申请后依据选择的办理方式将介绍信送至党支部，完成党关系转入申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2）党关系转出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党关系需要从该党支部下转出时，可通过党关系转出功能进行申请，记录转出去向，选择办理方式，并依据选择的办理方式领取介绍信。</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(5)我的办理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记录、展示通过线上申请、窗口办理的业务信息，包含已完结、已取消、办理中等不同状态信息，可通查看办理进度信息查看办理业务信息详情内容。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(6)个人中心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 个人信息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展示个人基本信息，包含姓名、身份证号、性别、民族、联系方式等信息；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系统支持人员基本信息支持选择已有的基本信息字段，并将其展现在人员基本信息列表中；支持添加自定义的信息字段。</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 教育信息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展示、编辑个人的教育信息包含入学时间、毕业时间、所学转业、毕业学校、所学转业等相关教育信息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 档案信息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查看个人档案基本信息包含档案编号、档案状态、存档时间、物理位置、代理类别、AG单位等基本档案信息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 党员信息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展示个人的党组织关系信息包含党员状态、预备时间、转正时间、迁入时间、入党时所在支部等党组织基本信息；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系统支持组织作为人员管理的基本单元，可以将人员按照一定的划分规则添加到不同的组织中，方便进行人员的管理。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 修改密码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可重新设置登录密码，通过验证原密码设置新密码的方式将密码更新为最新设置的密码。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6.AG多渠道管理终端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(1)业务办理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1）业务申请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a.调档函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可通过新增方式编辑开具调档函的人员信息以及材料信息。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新增：录入人员信息以及上传所需申请材料信息，提交开具调档函的申请信息，等待审核，审核通过后生成电子调档函信息，单位可自行下载或打印调档函。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b.存档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已申请开具调档函的人员可通过新增方式发起存档申请。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新增：选择已开具调档函的人员信息，选择人员信息后编辑每份档案的送档方式，提交送档申请，等待审核，审核通过后可依据所选的送档方式将档案送至存档单位进行存档。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系统支持实现大于实际磁盘空间的数据库服务器可见逻辑空间，以满足业务长期规划；精简配置功能可真正用于数据库生产系统，而不会影响数据库生产系统性能。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c.档案借阅</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单位可通过档案借阅功能，批量借阅档案材料以及整本档案。</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新增：录入借阅内容，新增户下人员信息，提交后完成借阅申请，待审核通过后领取借阅内容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档案借阅需在归还期内将借阅的档案或档案材料及时归还至存档单位。</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d.档案查阅</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需要查阅档案时可通过线上申请查阅内容，可选择是否复印查阅内容，若需要复印查阅内容可选择电子复印件、纸质复印件两种复印方式，若选择电子复印件审核办理后可自行下载、打印电子件复印件，若选择纸质复印件，审核办理后可通过邮寄或自取等方式领取纸质复印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e.转入户下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单位可通过转入户下功能，将未在户下的档案转至户下。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新增：新增已存档人员信息，上传所需的申请材料，提交转入户下申请，审核通过后该档案转入户下。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f.转出户下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当员工离职或其他原因需要将档案转出户下时，可通过新增方式提交人员信息。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新增：选择已在户下的人员信息，上传所需的申请材料，提交后等待审核，审核通过该人员档案信息转出户下，AG单位则无法再申请对该人员档案信息的利用。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g.散材料转入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单位申请存入其他档案材料时可通新增录入人员信息。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新增：选择档案在户下的人员信息，记录存入材料信息后提交申请，申请通过后依据选择的办理方式将档案材料送至存档单位，存档单位将档案材料存入档案中即可。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  系统支持防止包括误更改、误删除等故障造成的数据丢失或损毁，不需要额外克隆。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2）档案查询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支持按档案编号查询、按姓名查询、按身份证号查询、按档案状态等维度查询户下所有档案信息。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系统支持对全文检索的适用性进行改进，使得分区表，包含聚集主键的表及堆表都可以使用全文检索，同时改进全文检索同步机制，实现事务级实时同步，支持多事务并发填充。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(2)系统设置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系统资源用户管理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用户登录票据</w:t>
            </w:r>
            <w:r>
              <w:rPr>
                <w:rFonts w:hint="eastAsia" w:ascii="宋体" w:hAnsi="宋体" w:cs="宋体"/>
                <w:kern w:val="0"/>
                <w:szCs w:val="21"/>
                <w:lang w:bidi="ar"/>
              </w:rPr>
              <w:t>需要被加密保护，支持扩展SSHA、CRYPT、SHA、RC4等多种密码加密算法，并可以快速扩展用户属性信息，保证用户登录票据不能被篡改。在统一身份认证系统中，目录服务和认证系统是管理信息系统所有业务应用系统的基础，安全性是一个非常重要的一个考虑，在整个基于管理信息系统集中身份库的基础上，充分利用操作系统Unix/Linux等的认证系统和Directory Server目录服务器所提供的PKI 技术、CA认证技术、PIN+智能卡等技术来实现整个系统平台的安全性，同时各种认证技术可以灵活选择。此外，Directory Server目录服务器还拥有完善的ACL(ACI)体系，能够充分保障数据的访问安全。</w:t>
            </w:r>
            <w:r>
              <w:rPr>
                <w:rFonts w:hint="eastAsia" w:ascii="宋体" w:hAnsi="宋体" w:cs="宋体"/>
                <w:kern w:val="0"/>
                <w:szCs w:val="21"/>
                <w:lang w:bidi="ar"/>
              </w:rPr>
              <w:br w:type="textWrapping"/>
            </w:r>
            <w:r>
              <w:rPr>
                <w:rFonts w:hint="eastAsia" w:ascii="宋体" w:hAnsi="宋体" w:cs="宋体"/>
                <w:kern w:val="0"/>
                <w:szCs w:val="21"/>
                <w:lang w:bidi="ar"/>
              </w:rPr>
              <w:t>系统支持根据对生产卷的性能要求变化，随时自动在线将数据卷调配到不同性能的存储组里、无需在主机安装或执行任何额外软件, 应用系统不用停机；</w:t>
            </w:r>
            <w:r>
              <w:rPr>
                <w:rFonts w:hint="eastAsia" w:ascii="宋体" w:hAnsi="宋体" w:cs="宋体"/>
                <w:kern w:val="0"/>
                <w:szCs w:val="21"/>
                <w:lang w:bidi="ar"/>
              </w:rPr>
              <w:br w:type="textWrapping"/>
            </w:r>
            <w:r>
              <w:rPr>
                <w:rFonts w:hint="eastAsia" w:ascii="宋体" w:hAnsi="宋体" w:cs="宋体"/>
                <w:kern w:val="0"/>
                <w:szCs w:val="21"/>
                <w:lang w:bidi="ar"/>
              </w:rPr>
              <w:t>用户管理主要为系统管理员提供一个统一的用户管理操作界面，通过该模块进行的用户操作，将通过用户同步服务实时同步到各个系统中去，达到统一用户管理的目的。为满足大量用户维护的需求，系统提供批量操作（导入、导出、迁移）功能，数据格式包括EXCEL、DBF、TXT等。</w:t>
            </w:r>
            <w:r>
              <w:rPr>
                <w:rFonts w:hint="eastAsia" w:ascii="宋体" w:hAnsi="宋体" w:cs="宋体"/>
                <w:kern w:val="0"/>
                <w:szCs w:val="21"/>
                <w:lang w:bidi="ar"/>
              </w:rPr>
              <w:br w:type="textWrapping"/>
            </w:r>
            <w:r>
              <w:rPr>
                <w:rFonts w:hint="eastAsia" w:ascii="宋体" w:hAnsi="宋体" w:cs="宋体"/>
                <w:kern w:val="0"/>
                <w:szCs w:val="21"/>
                <w:lang w:bidi="ar"/>
              </w:rPr>
              <w:t>系统支持采用统计信息的动态采样机制，帮助优化器生成更加准确的计划，对于没有统计信息的过滤，可以在优化阶段实时获取统计信息，动态采样级别可以手工设置或系统决定，动态采样结果可以保存，以便后续语句使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7.档案扫描著录系统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用户扫描、挂接电子档案，实现档案电子化，系统支持档案著录、档案扫描、档案处理、档案挂接。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（1）档案著录：著录档案目录信息；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（2）图像扫描：扫描档案内容；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（3）图像处理：通过纠偏、裁剪、填充等方式对档案进行高清处理；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（4）图像挂接：将扫描、处理完成的档案与目录进行挂接。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（5）文档分拆：系统支持可根据用户需求将文档自动拆分成两个文件，方便用户根据需求进行编辑。</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8.档案数据采集加工系统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(1)系统基础平台要求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系统运行的基础架构，包含工作流管理、数据引擎、业务模板引擎等功能，为流动人员人事档案管理平台软件系统的其他功能模块的稳定运行提供技术支撑与数据支撑。</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1）考虑到流动人员人事档案管理工作实际及信息系统冗余要求，系统应支持80万人员信息及2万单位信息的管理、快速存储和查询。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单用户操作时至少应达到以下要求：各子系统内功能页面间的切换速度≤0.5秒；单条件查询响应速度≤1秒；千条数据以内的数据加载和存储，响应时间在3秒之内；统计响应时间≤30秒/张表（以30×30统计表计）；一般组合查询响应时间≤3秒；复杂组合查询响应时间≤10秒。</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3）并发指标：高峰期支持100名并发用户。有防死锁机制，防止在多个用户同时访问时出现死锁情况。</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4）稳定性指标：不间断运行时间大于半年，防止系统崩溃；保证业务操作和数据的完整性，防止数据丢失，实现操作可回溯。</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(2)基础管理子系统要求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1）组织机构维护：实现组织机构的增设、撤销和合并的功能，维护组织数据的详细属性。可以通过树型方式实现组织机构的直观展现，统计查询的结果能够实现数据的自定义字段导出。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2）数据安全控制要求</w:t>
            </w:r>
            <w:r>
              <w:rPr>
                <w:rFonts w:hint="eastAsia" w:ascii="宋体" w:hAnsi="宋体" w:cs="宋体"/>
                <w:color w:val="000000"/>
                <w:kern w:val="0"/>
                <w:szCs w:val="21"/>
                <w:lang w:bidi="ar"/>
              </w:rPr>
              <w:br w:type="textWrapping"/>
            </w:r>
            <w:r>
              <w:rPr>
                <w:rFonts w:hint="eastAsia" w:ascii="宋体" w:hAnsi="宋体" w:cs="宋体"/>
                <w:kern w:val="0"/>
                <w:szCs w:val="21"/>
                <w:lang w:bidi="ar"/>
              </w:rPr>
              <w:t>a.系统对各种DDOS攻击流量进行高效主动探测清洗，支持数据流量牵引，有效保障网络安全;</w:t>
            </w:r>
            <w:r>
              <w:rPr>
                <w:rFonts w:hint="eastAsia" w:ascii="宋体" w:hAnsi="宋体" w:cs="宋体"/>
                <w:kern w:val="0"/>
                <w:szCs w:val="21"/>
                <w:lang w:bidi="ar"/>
              </w:rPr>
              <w:br w:type="textWrapping"/>
            </w:r>
            <w:r>
              <w:rPr>
                <w:rFonts w:hint="eastAsia" w:ascii="宋体" w:hAnsi="宋体" w:cs="宋体"/>
                <w:kern w:val="0"/>
                <w:szCs w:val="21"/>
                <w:lang w:bidi="ar"/>
              </w:rPr>
              <w:t>b.系统支持网络隐身，业务流量处理和设备管理功能分离，抗DDOS系统工作端口可不设置IP，提高自身安全性;</w:t>
            </w:r>
            <w:r>
              <w:rPr>
                <w:rFonts w:hint="eastAsia" w:ascii="宋体" w:hAnsi="宋体" w:cs="宋体"/>
                <w:kern w:val="0"/>
                <w:szCs w:val="21"/>
                <w:lang w:bidi="ar"/>
              </w:rPr>
              <w:br w:type="textWrapping"/>
            </w:r>
            <w:r>
              <w:rPr>
                <w:rFonts w:hint="eastAsia" w:ascii="宋体" w:hAnsi="宋体" w:cs="宋体"/>
                <w:kern w:val="0"/>
                <w:szCs w:val="21"/>
                <w:lang w:bidi="ar"/>
              </w:rPr>
              <w:t>c.支持建立在连接跟踪模块上的端口防护体制，针对不同的端口应用，可提供不同的防护手段，使得运行在同一服务器上的不同服务，都可以受到不同的DOS/DDOS攻击保护;</w:t>
            </w:r>
            <w:r>
              <w:rPr>
                <w:rFonts w:hint="eastAsia" w:ascii="宋体" w:hAnsi="宋体" w:cs="宋体"/>
                <w:kern w:val="0"/>
                <w:szCs w:val="21"/>
                <w:lang w:bidi="ar"/>
              </w:rPr>
              <w:br w:type="textWrapping"/>
            </w:r>
            <w:r>
              <w:rPr>
                <w:rFonts w:hint="eastAsia" w:ascii="宋体" w:hAnsi="宋体" w:cs="宋体"/>
                <w:kern w:val="0"/>
                <w:szCs w:val="21"/>
                <w:lang w:bidi="ar"/>
              </w:rPr>
              <w:t>d.提供自动抓包功能，可依据自行设置的条件启动抓包任务，当受到攻击时，能够针对该DDOS攻击，自动获取符合抓包条件的网络数据包，为电子取证提供依据;</w:t>
            </w:r>
            <w:r>
              <w:rPr>
                <w:rFonts w:hint="eastAsia" w:ascii="宋体" w:hAnsi="宋体" w:cs="宋体"/>
                <w:kern w:val="0"/>
                <w:szCs w:val="21"/>
                <w:lang w:bidi="ar"/>
              </w:rPr>
              <w:br w:type="textWrapping"/>
            </w:r>
            <w:r>
              <w:rPr>
                <w:rFonts w:hint="eastAsia" w:ascii="宋体" w:hAnsi="宋体" w:cs="宋体"/>
                <w:kern w:val="0"/>
                <w:szCs w:val="21"/>
                <w:lang w:bidi="ar"/>
              </w:rPr>
              <w:t>e.可详细的看到每一个正常的连接和攻击的连接所有信息，通过对每个连接组合查找排序，可为专业人员发现已知和未知的异常攻击提供线索;</w:t>
            </w:r>
            <w:r>
              <w:rPr>
                <w:rFonts w:hint="eastAsia" w:ascii="宋体" w:hAnsi="宋体" w:cs="宋体"/>
                <w:kern w:val="0"/>
                <w:szCs w:val="21"/>
                <w:lang w:bidi="ar"/>
              </w:rPr>
              <w:br w:type="textWrapping"/>
            </w:r>
            <w:r>
              <w:rPr>
                <w:rFonts w:hint="eastAsia" w:ascii="宋体" w:hAnsi="宋体" w:cs="宋体"/>
                <w:kern w:val="0"/>
                <w:szCs w:val="21"/>
                <w:lang w:bidi="ar"/>
              </w:rPr>
              <w:t>f.对系统自身的管理方式支持串口命令行和Web图形化管理两种方式，无需安装专门的客户端管理系统，且图形化界面为中文;</w:t>
            </w:r>
            <w:r>
              <w:rPr>
                <w:rFonts w:hint="eastAsia" w:ascii="宋体" w:hAnsi="宋体" w:cs="宋体"/>
                <w:kern w:val="0"/>
                <w:szCs w:val="21"/>
                <w:lang w:bidi="ar"/>
              </w:rPr>
              <w:br w:type="textWrapping"/>
            </w:r>
            <w:r>
              <w:rPr>
                <w:rFonts w:hint="eastAsia" w:ascii="宋体" w:hAnsi="宋体" w:cs="宋体"/>
                <w:color w:val="000000"/>
                <w:kern w:val="0"/>
                <w:szCs w:val="21"/>
                <w:lang w:bidi="ar"/>
              </w:rPr>
              <w:t>3）数据存储管理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a.系统支持配置日志告警、指示灯告警、控制台告警、蜂鸣器告警、短信告警、邮件告警支持功能，支持故障事件和告警联动方式自定义；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b.系统支持路径冗余和故障切换（含多路径软件支持）未来增加任意平台、任意主机不需要额外付费；</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c.系统支持配置中文图形化管理平台软件，采用开放存储管理软件，提供API接口，支持功能特性植入和二次开发；</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d.系统支持基于时间点的快照，单卷快照数量≥2048，有效预防各种软故障的发生；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e.系统支持异构存储虚拟化功能，能够实现其他品牌存储的统一管理；不允许通过增加虚拟化网关模式实现；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f.系统支持远程复制功能，能够提供1:2、连跳、多对1点的复制功能，且无须额外的协议转换设备。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(3)数据分析与统计要求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针对综合业务统计、人员基本信息统计、档案统计、接收材料统计、转递材料统计、接收档案统计、查阅档案统计、档案借阅统计。生成相应的统计图表，提供便捷的导出功能，便于对申报信息的统计汇总。</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系统接口设置要求：可实现与现有应用系统的无缝对接，实现数据共享并提供利用。规范定义不同层级信息库之间、客户端与信息库之间的数据交换协议，形成标准文档。以通用技术手段实现该协议，初步建成市管干部信息共享和交换平台，屏蔽不同数据库差异，支撑数据的在线动态更新与脱机交换。市管干部信息共享和交换平台支持异构系统接入，支持灵活自定义接口，支持数据双向交换。</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系统支持具备断点续传特性，当远程复制过程中出现中断时，恢复正常后可基于上一次断点处进行续传。</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(5)系统维护要求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部门信息维护要求：可以采用管理系统新创建部门，也可与已采人事系统部门数据对接，可以将多个部门进行合并，同时合并所有涉及部门档案归属到新部门里，部门解散需要将部门下属人员及档案分配至其他部门下或创建临时部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2）档案材料类别维护要求：可以创建多级档案材料，每级下都可存放对应档案材料。</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3）用户管理要求：维护登录本管理系统用户；利用已有数据一键创建登录数据，可使用身份证扫描信息一键创建登录。</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审批流要求：可定义每个功能模块是否要启用审批流，及每个流程内各审批步骤的具体人员。支持在线档案查借阅申请与在线审批，审批通过后方可进行档案查借阅。系统保存每一次申请、审批记录，方便进行数据审计。通过语音及文字查询均可实现。</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权限管理要求：根据不同登录角色下发权限，并可设置每个权限是否具有时效性，过时权限失效；访问控制功能支持分级授权、权限同步模式。要求投标人在系统中设计、研发与访问控制系统相连接的功能模块，并在需要时对访问控制系统进行必要的修改调整；可按任职机构、机构类别、干部管理权限、信息集（子表）等角度来控制权限，也可按授权导出数据、控制数据更新。支持按角色授权。权限控制既要便于管理，又要保证运行速度和效率。</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核心数据快照备份要求：对核心信息，系统每个月自动进行快照备份，快照备份的信息按照月份单独存储。可以随时调阅历史月份的信息库的信息。可以基于快照数据进行查询统计，上报高基报表等统计需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7）操作日志管理要求：系统可以对一些关键信息表的操作有日志记录功能，记录操作人，操作时间、操作内容。系统管理员可以根据操作人、操作时间。操作内容查询操作日志。</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8）档案审核要求</w:t>
            </w:r>
            <w:r>
              <w:rPr>
                <w:rFonts w:hint="eastAsia" w:ascii="宋体" w:hAnsi="宋体" w:cs="宋体"/>
                <w:color w:val="000000"/>
                <w:kern w:val="0"/>
                <w:szCs w:val="21"/>
                <w:lang w:bidi="ar"/>
              </w:rPr>
              <w:br w:type="textWrapping"/>
            </w:r>
            <w:r>
              <w:rPr>
                <w:rFonts w:hint="eastAsia" w:ascii="宋体" w:hAnsi="宋体" w:cs="宋体"/>
                <w:kern w:val="0"/>
                <w:szCs w:val="21"/>
                <w:lang w:bidi="ar"/>
              </w:rPr>
              <w:t>对已经处理完毕的档案及扫描文件进行校验，发现档案异常或文件异常并通知相关处理人员进行整改。审计数据支持18种以上查询条件，可支持按数据库操作命令、语句长度、语句执行回应、语句执行时间、返回内容、返回行数、数据库名、数据库账户、服务器端口、客户端操作系统主机名、客户端操作系统用户名、客户端MAC、客户端IP、客户端端口、客户端进程名、会话ID、关键字、时间（包括开始、结束日期）等为条件进行查询。</w:t>
            </w:r>
            <w:r>
              <w:rPr>
                <w:rFonts w:hint="eastAsia" w:ascii="宋体" w:hAnsi="宋体" w:cs="宋体"/>
                <w:color w:val="FF0000"/>
                <w:kern w:val="0"/>
                <w:szCs w:val="21"/>
                <w:lang w:bidi="ar"/>
              </w:rPr>
              <w:br w:type="textWrapping"/>
            </w:r>
            <w:r>
              <w:rPr>
                <w:rFonts w:hint="eastAsia" w:ascii="宋体" w:hAnsi="宋体" w:cs="宋体"/>
                <w:color w:val="000000"/>
                <w:kern w:val="0"/>
                <w:szCs w:val="21"/>
                <w:lang w:bidi="ar"/>
              </w:rPr>
              <w:t>9）档案挂接与浏览要求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针对扫描文件，依据两种不同格式的数据（固定数据和移动数据）进行挂接。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10）档案打印要求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已经入库的档案支持在线打印，并可以通过系统进行打印权限控制。根据多条件组合查询，最后根据固定格式打印档案标签生成二维码或条形码。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11）档案接收与转递要求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按照中组部对于人事档案接收与转递业务的要求开发相关的处理功能，保证每一份档案的接收与转递都可以进行数字化记录，并提供历史查询功能，可对历史操作进行统计分析。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12）材料接收与转递要求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按照中组部对于人事档案材料接收与转递业务的要求开发相关的处理功能，保证每一份材料的接收与转递都可以进行数字化记录，并提供历史查询功能，可对历史操作进行统计分析。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13)信息查缺功能要求：开发自动查缺模块，在自动审核过程中按照国家下发的信息分类标准及类号进行信息查缺，形成信息缺失提醒，并实现信息自动提取功能，以完善管理信息系统。</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14)查询功能要求：流程需要申请、审批、回复、按组织机构、档案编码、公民身份证号或人员拼音查询及原件浏览、原件打印功能。查借阅日志及审计功能，定期根据需要导出报表。浏览与打印权限均可以通过系统进行控制与分发。</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15)提供自定义报表功能、系统维护要求：组织机构维护、添加/删除人员、代码维护、系统参数设置、系统原文服务器、数据备份恢复、文件类型、颜色设置。</w:t>
            </w:r>
            <w:r>
              <w:rPr>
                <w:rFonts w:hint="eastAsia" w:ascii="宋体" w:hAnsi="宋体" w:cs="宋体"/>
                <w:color w:val="000000"/>
                <w:kern w:val="0"/>
                <w:szCs w:val="21"/>
                <w:lang w:bidi="ar"/>
              </w:rPr>
              <w:br w:type="textWrapping"/>
            </w:r>
            <w:r>
              <w:rPr>
                <w:rFonts w:hint="eastAsia" w:ascii="宋体" w:hAnsi="宋体" w:cs="宋体"/>
                <w:kern w:val="0"/>
                <w:szCs w:val="21"/>
                <w:lang w:bidi="ar"/>
              </w:rPr>
              <w:t>16)支持基于认证服务器的准入控制，防止未授权计算机非法接入平台。支持与本地LDAP连接、第三方LDAP连接、 AD域等联动，来完成用户鉴别功能，以达到终端用户实名制入网。</w:t>
            </w:r>
            <w:r>
              <w:rPr>
                <w:rFonts w:hint="eastAsia" w:ascii="宋体" w:hAnsi="宋体" w:cs="宋体"/>
                <w:color w:val="FF0000"/>
                <w:kern w:val="0"/>
                <w:szCs w:val="21"/>
                <w:lang w:bidi="ar"/>
              </w:rPr>
              <w:br w:type="textWrapping"/>
            </w:r>
            <w:r>
              <w:rPr>
                <w:rFonts w:hint="eastAsia" w:ascii="宋体" w:hAnsi="宋体" w:cs="宋体"/>
                <w:kern w:val="0"/>
                <w:szCs w:val="21"/>
                <w:lang w:bidi="ar"/>
              </w:rPr>
              <w:t>17)对所有被访问的网页进行安全监控，对所有非法访问及安全漏洞进行实时预警并生成审计报告。</w:t>
            </w:r>
            <w:r>
              <w:rPr>
                <w:rFonts w:hint="eastAsia" w:ascii="宋体" w:hAnsi="宋体" w:cs="宋体"/>
                <w:color w:val="000000"/>
                <w:kern w:val="0"/>
                <w:szCs w:val="21"/>
                <w:lang w:bidi="ar"/>
              </w:rPr>
              <w:br w:type="textWrapping"/>
            </w:r>
            <w:r>
              <w:rPr>
                <w:rFonts w:hint="eastAsia" w:ascii="宋体" w:hAnsi="宋体" w:cs="宋体"/>
                <w:kern w:val="0"/>
                <w:szCs w:val="21"/>
                <w:lang w:bidi="ar"/>
              </w:rPr>
              <w:t>18)支持对数据包的域进行安全检查，包含GET、POST、Referer、Response Code、Method、Response、Request File、User Agent、Request Header等域。</w:t>
            </w:r>
            <w:r>
              <w:rPr>
                <w:rFonts w:hint="eastAsia" w:ascii="宋体" w:hAnsi="宋体" w:cs="宋体"/>
                <w:kern w:val="0"/>
                <w:szCs w:val="21"/>
                <w:lang w:bidi="ar"/>
              </w:rPr>
              <w:br w:type="textWrapping"/>
            </w:r>
            <w:r>
              <w:rPr>
                <w:rFonts w:hint="eastAsia" w:ascii="宋体" w:hAnsi="宋体" w:cs="宋体"/>
                <w:kern w:val="0"/>
                <w:szCs w:val="21"/>
                <w:lang w:bidi="ar"/>
              </w:rPr>
              <w:t>19)支持网页防篡改客户端与Web应用防火墙实时联动，支持断点检测状态检测机制。</w:t>
            </w:r>
            <w:r>
              <w:rPr>
                <w:rFonts w:hint="eastAsia" w:ascii="宋体" w:hAnsi="宋体" w:cs="宋体"/>
                <w:kern w:val="0"/>
                <w:szCs w:val="21"/>
                <w:lang w:bidi="ar"/>
              </w:rPr>
              <w:br w:type="textWrapping"/>
            </w:r>
            <w:r>
              <w:rPr>
                <w:rFonts w:hint="eastAsia" w:ascii="宋体" w:hAnsi="宋体" w:cs="宋体"/>
                <w:kern w:val="0"/>
                <w:szCs w:val="21"/>
                <w:lang w:bidi="ar"/>
              </w:rPr>
              <w:t>20)系统支持对TCP参数特征防护，包含TCP畸形、链路无数据传输、未知FIN报文、快速重复ACK、WINNUKE、序号异常、SYN代理、协议状态异常、客户端关闭接收窗口等流量特征检查机制。</w:t>
            </w:r>
            <w:r>
              <w:rPr>
                <w:rFonts w:hint="eastAsia" w:ascii="宋体" w:hAnsi="宋体" w:cs="宋体"/>
                <w:color w:val="FF0000"/>
                <w:kern w:val="0"/>
                <w:szCs w:val="21"/>
                <w:lang w:bidi="ar"/>
              </w:rPr>
              <w:br w:type="textWrapping"/>
            </w:r>
            <w:r>
              <w:rPr>
                <w:rFonts w:hint="eastAsia" w:ascii="宋体" w:hAnsi="宋体" w:cs="宋体"/>
                <w:kern w:val="0"/>
                <w:szCs w:val="21"/>
                <w:lang w:bidi="ar"/>
              </w:rPr>
              <w:t>21)提供功能级、数据表级、字段级、记录级的立体交叉权限控制。</w:t>
            </w:r>
            <w:r>
              <w:rPr>
                <w:rFonts w:hint="eastAsia" w:ascii="宋体" w:hAnsi="宋体" w:cs="宋体"/>
                <w:kern w:val="0"/>
                <w:szCs w:val="21"/>
                <w:lang w:bidi="ar"/>
              </w:rPr>
              <w:br w:type="textWrapping"/>
            </w:r>
            <w:r>
              <w:rPr>
                <w:rFonts w:hint="eastAsia" w:ascii="宋体" w:hAnsi="宋体" w:cs="宋体"/>
                <w:kern w:val="0"/>
                <w:szCs w:val="21"/>
                <w:lang w:bidi="ar"/>
              </w:rPr>
              <w:t>22)支持客户端缓存机制，可在系统断电恢复后实现从客户端到服务器端的瞬时数据回滚。数据恢复粒度在1小时以内。</w:t>
            </w:r>
            <w:r>
              <w:rPr>
                <w:rFonts w:hint="eastAsia" w:ascii="宋体" w:hAnsi="宋体" w:cs="宋体"/>
                <w:kern w:val="0"/>
                <w:szCs w:val="21"/>
                <w:lang w:bidi="ar"/>
              </w:rPr>
              <w:br w:type="textWrapping"/>
            </w:r>
            <w:r>
              <w:rPr>
                <w:rFonts w:hint="eastAsia" w:ascii="宋体" w:hAnsi="宋体" w:cs="宋体"/>
                <w:kern w:val="0"/>
                <w:szCs w:val="21"/>
                <w:lang w:bidi="ar"/>
              </w:rPr>
              <w:t>23)其他管理要求</w:t>
            </w:r>
            <w:r>
              <w:rPr>
                <w:rFonts w:hint="eastAsia" w:ascii="宋体" w:hAnsi="宋体" w:cs="宋体"/>
                <w:kern w:val="0"/>
                <w:szCs w:val="21"/>
                <w:lang w:bidi="ar"/>
              </w:rPr>
              <w:br w:type="textWrapping"/>
            </w:r>
            <w:r>
              <w:rPr>
                <w:rFonts w:hint="eastAsia" w:ascii="宋体" w:hAnsi="宋体" w:cs="宋体"/>
                <w:kern w:val="0"/>
                <w:szCs w:val="21"/>
                <w:lang w:bidi="ar"/>
              </w:rPr>
              <w:t>1）主要功能：把控项目进度、质量及规范标准，能够实现配置管理、数据管理、基本信息配置、故障管理、时段管理。通过后台成果服务管理系统与现有系统进行无缝对接，与数据库对接，原有数据的迁移。</w:t>
            </w:r>
            <w:r>
              <w:rPr>
                <w:rFonts w:hint="eastAsia" w:ascii="宋体" w:hAnsi="宋体" w:cs="宋体"/>
                <w:color w:val="FF0000"/>
                <w:kern w:val="0"/>
                <w:szCs w:val="21"/>
                <w:lang w:bidi="ar"/>
              </w:rPr>
              <w:br w:type="textWrapping"/>
            </w:r>
            <w:r>
              <w:rPr>
                <w:rFonts w:hint="eastAsia" w:ascii="宋体" w:hAnsi="宋体" w:cs="宋体"/>
                <w:kern w:val="0"/>
                <w:szCs w:val="21"/>
                <w:lang w:bidi="ar"/>
              </w:rPr>
              <w:t>2）支持自定义告警策略，可通过自定义方式设置监控对象各项指标告警阈值。</w:t>
            </w:r>
            <w:r>
              <w:rPr>
                <w:rFonts w:hint="eastAsia" w:ascii="宋体" w:hAnsi="宋体" w:cs="宋体"/>
                <w:color w:val="FF0000"/>
                <w:kern w:val="0"/>
                <w:szCs w:val="21"/>
                <w:lang w:bidi="ar"/>
              </w:rPr>
              <w:br w:type="textWrapping"/>
            </w:r>
            <w:r>
              <w:rPr>
                <w:rFonts w:hint="eastAsia" w:ascii="宋体" w:hAnsi="宋体" w:cs="宋体"/>
                <w:kern w:val="0"/>
                <w:szCs w:val="21"/>
                <w:lang w:bidi="ar"/>
              </w:rPr>
              <w:t>3）提供一个汇总系统整体状态信息的仪表板，对当前系统的整体状况可以一目了然。</w:t>
            </w:r>
            <w:r>
              <w:rPr>
                <w:rFonts w:hint="eastAsia" w:ascii="宋体" w:hAnsi="宋体" w:cs="宋体"/>
                <w:color w:val="FF0000"/>
                <w:kern w:val="0"/>
                <w:szCs w:val="21"/>
                <w:lang w:bidi="ar"/>
              </w:rPr>
              <w:br w:type="textWrapping"/>
            </w:r>
            <w:r>
              <w:rPr>
                <w:rFonts w:hint="eastAsia" w:ascii="宋体" w:hAnsi="宋体" w:cs="宋体"/>
                <w:kern w:val="0"/>
                <w:szCs w:val="21"/>
                <w:lang w:bidi="ar"/>
              </w:rPr>
              <w:t>4）根据不同业务，不同时期的需求，用户能够选择不同的计算资源服务。</w:t>
            </w:r>
            <w:r>
              <w:rPr>
                <w:rFonts w:hint="eastAsia" w:ascii="宋体" w:hAnsi="宋体" w:cs="宋体"/>
                <w:kern w:val="0"/>
                <w:szCs w:val="21"/>
                <w:lang w:bidi="ar"/>
              </w:rPr>
              <w:br w:type="textWrapping"/>
            </w:r>
            <w:r>
              <w:rPr>
                <w:rFonts w:hint="eastAsia" w:ascii="宋体" w:hAnsi="宋体" w:cs="宋体"/>
                <w:kern w:val="0"/>
                <w:szCs w:val="21"/>
                <w:lang w:bidi="ar"/>
              </w:rPr>
              <w:t>5）支持数据库语句执行时间、语句执行回应、最大操作语句长度等作为分项响应条件。</w:t>
            </w:r>
            <w:r>
              <w:rPr>
                <w:rFonts w:hint="eastAsia" w:ascii="宋体" w:hAnsi="宋体" w:cs="宋体"/>
                <w:kern w:val="0"/>
                <w:szCs w:val="21"/>
                <w:lang w:bidi="ar"/>
              </w:rPr>
              <w:br w:type="textWrapping"/>
            </w:r>
            <w:r>
              <w:rPr>
                <w:rFonts w:hint="eastAsia" w:ascii="宋体" w:hAnsi="宋体" w:cs="宋体"/>
                <w:kern w:val="0"/>
                <w:szCs w:val="21"/>
                <w:lang w:bidi="ar"/>
              </w:rPr>
              <w:t>6）中间件的支持，支持COM、COM+、DCOM组件。</w:t>
            </w:r>
            <w:r>
              <w:rPr>
                <w:rFonts w:hint="eastAsia" w:ascii="宋体" w:hAnsi="宋体" w:cs="宋体"/>
                <w:color w:val="FF0000"/>
                <w:kern w:val="0"/>
                <w:szCs w:val="21"/>
                <w:lang w:bidi="ar"/>
              </w:rPr>
              <w:br w:type="textWrapping"/>
            </w:r>
            <w:r>
              <w:rPr>
                <w:rFonts w:hint="eastAsia" w:ascii="宋体" w:hAnsi="宋体" w:cs="宋体"/>
                <w:kern w:val="0"/>
                <w:szCs w:val="21"/>
                <w:lang w:bidi="ar"/>
              </w:rPr>
              <w:t>7）审计策略支持数据库名、表、包、过程、函数、视图、字段、索引、数据库帐户（用户名）等作为分项响应条件。</w:t>
            </w:r>
            <w:r>
              <w:rPr>
                <w:rFonts w:hint="eastAsia" w:ascii="宋体" w:hAnsi="宋体" w:cs="宋体"/>
                <w:color w:val="FF0000"/>
                <w:kern w:val="0"/>
                <w:szCs w:val="21"/>
                <w:lang w:bidi="ar"/>
              </w:rPr>
              <w:br w:type="textWrapping"/>
            </w:r>
            <w:r>
              <w:rPr>
                <w:rFonts w:hint="eastAsia" w:ascii="宋体" w:hAnsi="宋体" w:cs="宋体"/>
                <w:kern w:val="0"/>
                <w:szCs w:val="21"/>
                <w:lang w:bidi="ar"/>
              </w:rPr>
              <w:t>8）审计结果隐秘设置，通过*号对审计结果中的重要信息进行隐秘处理，防止非法权限查看</w:t>
            </w:r>
          </w:p>
          <w:p>
            <w:pPr>
              <w:widowControl/>
              <w:jc w:val="left"/>
              <w:textAlignment w:val="center"/>
              <w:rPr>
                <w:rFonts w:ascii="宋体" w:hAnsi="宋体" w:cs="宋体"/>
                <w:color w:val="000000"/>
                <w:szCs w:val="21"/>
              </w:rPr>
            </w:pPr>
            <w:r>
              <w:rPr>
                <w:rFonts w:hint="eastAsia" w:ascii="宋体" w:hAnsi="宋体" w:cs="宋体"/>
                <w:kern w:val="0"/>
                <w:szCs w:val="21"/>
                <w:lang w:bidi="ar"/>
              </w:rPr>
              <w:t xml:space="preserve">9）智能录入要求：1-1.5秒每页，不需拆装直接扫描、自动纠偏、色彩优化、分页，含与应用系统对接开发接口，系统含4组采集数据模块。 </w:t>
            </w:r>
            <w:r>
              <w:rPr>
                <w:rFonts w:hint="eastAsia" w:ascii="宋体" w:hAnsi="宋体" w:cs="宋体"/>
                <w:kern w:val="0"/>
                <w:szCs w:val="21"/>
                <w:lang w:bidi="ar"/>
              </w:rPr>
              <w:br w:type="textWrapping"/>
            </w:r>
            <w:r>
              <w:rPr>
                <w:rFonts w:hint="eastAsia" w:ascii="宋体" w:hAnsi="宋体" w:cs="宋体"/>
                <w:kern w:val="0"/>
                <w:szCs w:val="21"/>
                <w:lang w:bidi="ar"/>
              </w:rPr>
              <w:t>10） 多功能数据展示平台要求</w:t>
            </w:r>
            <w:r>
              <w:rPr>
                <w:rFonts w:hint="eastAsia" w:ascii="宋体" w:hAnsi="宋体" w:cs="宋体"/>
                <w:kern w:val="0"/>
                <w:szCs w:val="21"/>
                <w:lang w:bidi="ar"/>
              </w:rPr>
              <w:br w:type="textWrapping"/>
            </w:r>
            <w:r>
              <w:rPr>
                <w:rFonts w:hint="eastAsia" w:ascii="宋体" w:hAnsi="宋体" w:cs="宋体"/>
                <w:kern w:val="0"/>
                <w:szCs w:val="21"/>
                <w:lang w:bidi="ar"/>
              </w:rPr>
              <w:t>支持多功能数据展示系统数据单元；支持资源检索功能：标识管理、检索标识标注、检索标识编辑；产品分布式部署，支持自定义管理中心端口号、策略端口号、远端扫描引擎名称等信息；支持智能文字检索、语音检索、图像检索、资源展示、服务指南、政策法规。</w:t>
            </w:r>
            <w:r>
              <w:rPr>
                <w:rFonts w:hint="eastAsia" w:ascii="宋体" w:hAnsi="宋体" w:cs="宋体"/>
                <w:kern w:val="0"/>
                <w:szCs w:val="21"/>
                <w:lang w:bidi="ar"/>
              </w:rPr>
              <w:br w:type="textWrapping"/>
            </w:r>
            <w:r>
              <w:rPr>
                <w:rFonts w:hint="eastAsia" w:ascii="宋体" w:hAnsi="宋体" w:cs="宋体"/>
                <w:kern w:val="0"/>
                <w:szCs w:val="21"/>
                <w:lang w:bidi="ar"/>
              </w:rPr>
              <w:t>11)系统支持提供业务应用依赖的基础资源信息及基础服务能力，包括系统基础信息管理、地图应用服务、事件联动应用服务。</w:t>
            </w:r>
            <w:r>
              <w:rPr>
                <w:rFonts w:hint="eastAsia" w:ascii="宋体" w:hAnsi="宋体" w:cs="宋体"/>
                <w:kern w:val="0"/>
                <w:szCs w:val="21"/>
                <w:lang w:bidi="ar"/>
              </w:rPr>
              <w:br w:type="textWrapping"/>
            </w:r>
            <w:r>
              <w:rPr>
                <w:rFonts w:hint="eastAsia" w:ascii="宋体" w:hAnsi="宋体" w:cs="宋体"/>
                <w:kern w:val="0"/>
                <w:szCs w:val="21"/>
                <w:lang w:bidi="ar"/>
              </w:rPr>
              <w:t>12)系统支持图上监控应用以地图可视化模式为各类设备资源提供可视化展示及控制操作，在地图上可展示各类资源点的地理位置，通过接收资源点报警事件，实现报警信息可视化展示。</w:t>
            </w:r>
            <w:r>
              <w:rPr>
                <w:rFonts w:hint="eastAsia" w:ascii="宋体" w:hAnsi="宋体" w:cs="宋体"/>
                <w:kern w:val="0"/>
                <w:szCs w:val="21"/>
                <w:lang w:bidi="ar"/>
              </w:rPr>
              <w:br w:type="textWrapping"/>
            </w:r>
            <w:r>
              <w:rPr>
                <w:rFonts w:hint="eastAsia" w:ascii="宋体" w:hAnsi="宋体" w:cs="宋体"/>
                <w:kern w:val="0"/>
                <w:szCs w:val="21"/>
                <w:lang w:bidi="ar"/>
              </w:rPr>
              <w:t>13)系统支持事件可视化监控能力，实时展示报警事件，支持历史报警事件查询。</w:t>
            </w:r>
            <w:r>
              <w:rPr>
                <w:rFonts w:hint="eastAsia" w:ascii="宋体" w:hAnsi="宋体" w:cs="宋体"/>
                <w:kern w:val="0"/>
                <w:szCs w:val="21"/>
                <w:lang w:bidi="ar"/>
              </w:rPr>
              <w:br w:type="textWrapping"/>
            </w:r>
            <w:r>
              <w:rPr>
                <w:rFonts w:hint="eastAsia" w:ascii="宋体" w:hAnsi="宋体" w:cs="宋体"/>
                <w:kern w:val="0"/>
                <w:szCs w:val="21"/>
                <w:lang w:bidi="ar"/>
              </w:rPr>
              <w:t>14)系统支持用户安全管理，可绑定用户mac地址及IP，可自行修改用户密码或者管理员重置密码。</w:t>
            </w:r>
            <w:r>
              <w:rPr>
                <w:rFonts w:hint="eastAsia" w:ascii="宋体" w:hAnsi="宋体" w:cs="宋体"/>
                <w:kern w:val="0"/>
                <w:szCs w:val="21"/>
                <w:lang w:bidi="ar"/>
              </w:rPr>
              <w:br w:type="textWrapping"/>
            </w:r>
            <w:r>
              <w:rPr>
                <w:rFonts w:hint="eastAsia" w:ascii="宋体" w:hAnsi="宋体" w:cs="宋体"/>
                <w:kern w:val="0"/>
                <w:szCs w:val="21"/>
                <w:lang w:bidi="ar"/>
              </w:rPr>
              <w:t>15)系统支持配置不同角色权限，包括菜单权限、组织权限、区域权限、资源权限、功能控制权限。</w:t>
            </w:r>
            <w:r>
              <w:rPr>
                <w:rFonts w:hint="eastAsia" w:ascii="宋体" w:hAnsi="宋体" w:cs="宋体"/>
                <w:kern w:val="0"/>
                <w:szCs w:val="21"/>
                <w:lang w:bidi="ar"/>
              </w:rPr>
              <w:br w:type="textWrapping"/>
            </w:r>
            <w:r>
              <w:rPr>
                <w:rFonts w:hint="eastAsia" w:ascii="宋体" w:hAnsi="宋体" w:cs="宋体"/>
                <w:kern w:val="0"/>
                <w:szCs w:val="21"/>
                <w:lang w:bidi="ar"/>
              </w:rPr>
              <w:t>16)系统支持提供7种高级联动规则模版配置，支持配置满足在指定时间段存在多个触发事件类型而联动多个并发动作的场景。</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套</w:t>
            </w:r>
          </w:p>
        </w:tc>
      </w:tr>
      <w:tr>
        <w:tblPrEx>
          <w:tblCellMar>
            <w:top w:w="0" w:type="dxa"/>
            <w:left w:w="108" w:type="dxa"/>
            <w:bottom w:w="0" w:type="dxa"/>
            <w:right w:w="108" w:type="dxa"/>
          </w:tblCellMar>
        </w:tblPrEx>
        <w:trPr>
          <w:trHeight w:val="700"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服务器</w:t>
            </w:r>
          </w:p>
        </w:tc>
        <w:tc>
          <w:tcPr>
            <w:tcW w:w="340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6"/>
              <w:numPr>
                <w:ilvl w:val="0"/>
                <w:numId w:val="2"/>
              </w:numPr>
              <w:spacing w:line="0" w:lineRule="atLeast"/>
              <w:ind w:left="0" w:firstLine="0" w:firstLineChars="0"/>
              <w:rPr>
                <w:rFonts w:ascii="宋体" w:hAnsi="宋体" w:cs="宋体"/>
                <w:color w:val="000000"/>
                <w:kern w:val="0"/>
                <w:szCs w:val="21"/>
                <w:lang w:bidi="ar"/>
              </w:rPr>
            </w:pPr>
            <w:r>
              <w:rPr>
                <w:rFonts w:hint="eastAsia" w:ascii="宋体" w:hAnsi="宋体" w:cs="宋体"/>
                <w:color w:val="000000"/>
                <w:kern w:val="0"/>
                <w:szCs w:val="21"/>
                <w:lang w:bidi="ar"/>
              </w:rPr>
              <w:t>规格：国产品牌，2U机架式服务器，机箱深度小于800mm，含导轨；</w:t>
            </w:r>
          </w:p>
          <w:p>
            <w:pPr>
              <w:pStyle w:val="116"/>
              <w:numPr>
                <w:ilvl w:val="0"/>
                <w:numId w:val="2"/>
              </w:numPr>
              <w:spacing w:line="0" w:lineRule="atLeast"/>
              <w:ind w:left="0" w:firstLine="0" w:firstLineChars="0"/>
              <w:rPr>
                <w:rFonts w:ascii="宋体" w:hAnsi="宋体" w:cs="宋体"/>
                <w:color w:val="000000"/>
                <w:kern w:val="0"/>
                <w:szCs w:val="21"/>
                <w:lang w:bidi="ar"/>
              </w:rPr>
            </w:pPr>
            <w:r>
              <w:rPr>
                <w:rFonts w:hint="eastAsia" w:ascii="宋体" w:hAnsi="宋体" w:cs="宋体"/>
                <w:color w:val="000000"/>
                <w:kern w:val="0"/>
                <w:szCs w:val="21"/>
                <w:lang w:bidi="ar"/>
              </w:rPr>
              <w:t>处理器：配置≥2颗Hygon国产C86处理器，每颗CPU核心数≥32核（64线程）、每颗CPU主频≥2.2GHz；</w:t>
            </w:r>
          </w:p>
          <w:p>
            <w:pPr>
              <w:pStyle w:val="116"/>
              <w:numPr>
                <w:ilvl w:val="0"/>
                <w:numId w:val="2"/>
              </w:numPr>
              <w:spacing w:line="0" w:lineRule="atLeast"/>
              <w:ind w:left="0" w:firstLine="0" w:firstLineChars="0"/>
              <w:rPr>
                <w:rFonts w:ascii="宋体" w:hAnsi="宋体" w:cs="宋体"/>
                <w:color w:val="000000"/>
                <w:kern w:val="0"/>
                <w:szCs w:val="21"/>
                <w:lang w:bidi="ar"/>
              </w:rPr>
            </w:pPr>
            <w:r>
              <w:rPr>
                <w:rFonts w:hint="eastAsia" w:ascii="宋体" w:hAnsi="宋体" w:cs="宋体"/>
                <w:color w:val="000000"/>
                <w:kern w:val="0"/>
                <w:szCs w:val="21"/>
                <w:lang w:bidi="ar"/>
              </w:rPr>
              <w:t>内存：配置≥128GB DDR4内存（32G*4），支持≥32个内存插槽；</w:t>
            </w:r>
          </w:p>
          <w:p>
            <w:pPr>
              <w:pStyle w:val="116"/>
              <w:numPr>
                <w:ilvl w:val="0"/>
                <w:numId w:val="2"/>
              </w:numPr>
              <w:spacing w:line="0" w:lineRule="atLeast"/>
              <w:ind w:left="0" w:firstLine="0" w:firstLineChars="0"/>
              <w:rPr>
                <w:rFonts w:ascii="宋体" w:hAnsi="宋体" w:cs="宋体"/>
                <w:color w:val="000000"/>
                <w:kern w:val="0"/>
                <w:szCs w:val="21"/>
                <w:lang w:bidi="ar"/>
              </w:rPr>
            </w:pPr>
            <w:r>
              <w:rPr>
                <w:rFonts w:hint="eastAsia" w:ascii="宋体" w:hAnsi="宋体" w:cs="宋体"/>
                <w:color w:val="000000"/>
                <w:kern w:val="0"/>
                <w:szCs w:val="21"/>
                <w:lang w:bidi="ar"/>
              </w:rPr>
              <w:t>PCIe扩展：最大可扩展10个PCIe插槽；</w:t>
            </w:r>
          </w:p>
          <w:p>
            <w:pPr>
              <w:pStyle w:val="116"/>
              <w:numPr>
                <w:ilvl w:val="0"/>
                <w:numId w:val="2"/>
              </w:numPr>
              <w:spacing w:line="0" w:lineRule="atLeast"/>
              <w:ind w:left="0" w:firstLine="0" w:firstLineChars="0"/>
              <w:rPr>
                <w:rFonts w:ascii="宋体" w:hAnsi="宋体" w:cs="宋体"/>
                <w:color w:val="000000"/>
                <w:kern w:val="0"/>
                <w:szCs w:val="21"/>
                <w:lang w:bidi="ar"/>
              </w:rPr>
            </w:pPr>
            <w:r>
              <w:rPr>
                <w:rFonts w:hint="eastAsia" w:ascii="宋体" w:hAnsi="宋体" w:cs="宋体"/>
                <w:color w:val="000000"/>
                <w:kern w:val="0"/>
                <w:szCs w:val="21"/>
                <w:lang w:bidi="ar"/>
              </w:rPr>
              <w:t>存储：配置≥2块480G 2.5 SATA 6Gb R SSD硬盘；≥3块4TB 7.2k 3.5寸 SATA 6Gb硬盘；内置2个M.2 插槽；</w:t>
            </w:r>
          </w:p>
          <w:p>
            <w:pPr>
              <w:pStyle w:val="116"/>
              <w:numPr>
                <w:ilvl w:val="0"/>
                <w:numId w:val="2"/>
              </w:numPr>
              <w:spacing w:line="0" w:lineRule="atLeast"/>
              <w:ind w:left="0" w:firstLine="0" w:firstLineChars="0"/>
              <w:rPr>
                <w:rFonts w:ascii="宋体" w:hAnsi="宋体" w:cs="宋体"/>
                <w:color w:val="000000"/>
                <w:kern w:val="0"/>
                <w:szCs w:val="21"/>
                <w:lang w:bidi="ar"/>
              </w:rPr>
            </w:pPr>
            <w:r>
              <w:rPr>
                <w:rFonts w:hint="eastAsia" w:ascii="宋体" w:hAnsi="宋体" w:cs="宋体"/>
                <w:color w:val="000000"/>
                <w:kern w:val="0"/>
                <w:szCs w:val="21"/>
                <w:lang w:bidi="ar"/>
              </w:rPr>
              <w:t>阵列卡：配4GB Cache RAID控制器，支持RAID 0/1/5/10/50/60；</w:t>
            </w:r>
          </w:p>
          <w:p>
            <w:pPr>
              <w:pStyle w:val="116"/>
              <w:numPr>
                <w:ilvl w:val="0"/>
                <w:numId w:val="2"/>
              </w:numPr>
              <w:spacing w:line="0" w:lineRule="atLeast"/>
              <w:ind w:left="0" w:firstLine="0" w:firstLineChars="0"/>
              <w:rPr>
                <w:rFonts w:ascii="宋体" w:hAnsi="宋体" w:cs="宋体"/>
                <w:color w:val="000000"/>
                <w:kern w:val="0"/>
                <w:szCs w:val="21"/>
                <w:lang w:bidi="ar"/>
              </w:rPr>
            </w:pPr>
            <w:r>
              <w:rPr>
                <w:rFonts w:hint="eastAsia" w:ascii="宋体" w:hAnsi="宋体" w:cs="宋体"/>
                <w:color w:val="000000"/>
                <w:kern w:val="0"/>
                <w:szCs w:val="21"/>
                <w:lang w:bidi="ar"/>
              </w:rPr>
              <w:t>风扇：配置≥4个热插拔高速系统风扇，支持动态智能风扇调速的散热系统，风扇支持N+1冗余及热插拔功能；</w:t>
            </w:r>
          </w:p>
          <w:p>
            <w:pPr>
              <w:pStyle w:val="116"/>
              <w:numPr>
                <w:ilvl w:val="0"/>
                <w:numId w:val="2"/>
              </w:numPr>
              <w:spacing w:line="0" w:lineRule="atLeast"/>
              <w:ind w:left="0" w:firstLine="0" w:firstLineChars="0"/>
              <w:rPr>
                <w:rFonts w:ascii="宋体" w:hAnsi="宋体" w:cs="宋体"/>
                <w:color w:val="000000"/>
                <w:kern w:val="0"/>
                <w:szCs w:val="21"/>
                <w:lang w:bidi="ar"/>
              </w:rPr>
            </w:pPr>
            <w:r>
              <w:rPr>
                <w:rFonts w:hint="eastAsia" w:ascii="宋体" w:hAnsi="宋体" w:cs="宋体"/>
                <w:color w:val="000000"/>
                <w:kern w:val="0"/>
                <w:szCs w:val="21"/>
                <w:lang w:bidi="ar"/>
              </w:rPr>
              <w:t>网络：双口千兆RJ45网卡；</w:t>
            </w:r>
          </w:p>
          <w:p>
            <w:pPr>
              <w:pStyle w:val="116"/>
              <w:numPr>
                <w:ilvl w:val="0"/>
                <w:numId w:val="2"/>
              </w:numPr>
              <w:spacing w:line="0" w:lineRule="atLeast"/>
              <w:ind w:left="0" w:firstLine="0" w:firstLineChars="0"/>
              <w:rPr>
                <w:rFonts w:ascii="宋体" w:hAnsi="宋体" w:cs="宋体"/>
                <w:color w:val="000000"/>
                <w:kern w:val="0"/>
                <w:szCs w:val="21"/>
                <w:lang w:bidi="ar"/>
              </w:rPr>
            </w:pPr>
            <w:r>
              <w:rPr>
                <w:rFonts w:hint="eastAsia" w:ascii="宋体" w:hAnsi="宋体" w:cs="宋体"/>
                <w:color w:val="000000"/>
                <w:kern w:val="0"/>
                <w:szCs w:val="21"/>
                <w:lang w:bidi="ar"/>
              </w:rPr>
              <w:t>HBA卡：配置≥2块单口16Gb PCI-E 光纤HBA卡；</w:t>
            </w:r>
          </w:p>
          <w:p>
            <w:pPr>
              <w:pStyle w:val="116"/>
              <w:numPr>
                <w:ilvl w:val="0"/>
                <w:numId w:val="2"/>
              </w:numPr>
              <w:spacing w:line="0" w:lineRule="atLeast"/>
              <w:ind w:left="0" w:firstLine="0" w:firstLineChars="0"/>
              <w:rPr>
                <w:rFonts w:ascii="宋体" w:hAnsi="宋体" w:cs="宋体"/>
                <w:color w:val="000000"/>
                <w:kern w:val="0"/>
                <w:szCs w:val="21"/>
                <w:lang w:bidi="ar"/>
              </w:rPr>
            </w:pPr>
            <w:r>
              <w:rPr>
                <w:rFonts w:hint="eastAsia" w:ascii="宋体" w:hAnsi="宋体" w:cs="宋体"/>
                <w:color w:val="000000"/>
                <w:kern w:val="0"/>
                <w:szCs w:val="21"/>
                <w:lang w:bidi="ar"/>
              </w:rPr>
              <w:t>故障诊断：支持离线光诊断功能，可断电环境下诊断主板关键信息故障，提供主板实物照片证明及说明；</w:t>
            </w:r>
          </w:p>
          <w:p>
            <w:pPr>
              <w:pStyle w:val="116"/>
              <w:numPr>
                <w:ilvl w:val="0"/>
                <w:numId w:val="2"/>
              </w:numPr>
              <w:spacing w:line="0" w:lineRule="atLeast"/>
              <w:ind w:left="0" w:firstLine="0" w:firstLineChars="0"/>
              <w:rPr>
                <w:rFonts w:ascii="宋体" w:hAnsi="宋体" w:cs="宋体"/>
                <w:color w:val="000000"/>
                <w:szCs w:val="21"/>
              </w:rPr>
            </w:pPr>
            <w:r>
              <w:rPr>
                <w:rFonts w:hint="eastAsia" w:ascii="宋体" w:hAnsi="宋体" w:cs="宋体"/>
                <w:color w:val="000000"/>
                <w:kern w:val="0"/>
                <w:szCs w:val="21"/>
                <w:lang w:bidi="ar"/>
              </w:rPr>
              <w:t>电源：配置≥2个800W标准电源，支持1+1冗余；</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台</w:t>
            </w:r>
          </w:p>
        </w:tc>
      </w:tr>
      <w:tr>
        <w:tblPrEx>
          <w:tblCellMar>
            <w:top w:w="0" w:type="dxa"/>
            <w:left w:w="108" w:type="dxa"/>
            <w:bottom w:w="0" w:type="dxa"/>
            <w:right w:w="108" w:type="dxa"/>
          </w:tblCellMar>
        </w:tblPrEx>
        <w:trPr>
          <w:trHeight w:val="700"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交换机</w:t>
            </w:r>
          </w:p>
        </w:tc>
        <w:tc>
          <w:tcPr>
            <w:tcW w:w="34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r>
              <w:rPr>
                <w:rFonts w:hint="eastAsia" w:ascii="宋体" w:hAnsi="宋体" w:cs="宋体"/>
                <w:color w:val="000000"/>
                <w:kern w:val="0"/>
                <w:szCs w:val="21"/>
                <w:lang w:bidi="ar"/>
              </w:rPr>
              <w:t>48端口，24端口激活16G光纤交换机，含24个16G SFP模块</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台</w:t>
            </w:r>
          </w:p>
        </w:tc>
      </w:tr>
      <w:tr>
        <w:tblPrEx>
          <w:tblCellMar>
            <w:top w:w="0" w:type="dxa"/>
            <w:left w:w="108" w:type="dxa"/>
            <w:bottom w:w="0" w:type="dxa"/>
            <w:right w:w="108" w:type="dxa"/>
          </w:tblCellMar>
        </w:tblPrEx>
        <w:trPr>
          <w:trHeight w:val="660"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存储</w:t>
            </w:r>
          </w:p>
        </w:tc>
        <w:tc>
          <w:tcPr>
            <w:tcW w:w="340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6"/>
              <w:numPr>
                <w:ilvl w:val="0"/>
                <w:numId w:val="3"/>
              </w:numPr>
              <w:spacing w:line="0" w:lineRule="atLeast"/>
              <w:ind w:left="0" w:firstLine="0" w:firstLineChars="0"/>
              <w:rPr>
                <w:rFonts w:ascii="宋体" w:hAnsi="宋体" w:cs="宋体"/>
                <w:color w:val="000000"/>
                <w:kern w:val="0"/>
                <w:szCs w:val="21"/>
                <w:lang w:bidi="ar"/>
              </w:rPr>
            </w:pPr>
            <w:r>
              <w:rPr>
                <w:rFonts w:hint="eastAsia" w:ascii="宋体" w:hAnsi="宋体" w:cs="宋体"/>
                <w:color w:val="000000"/>
                <w:kern w:val="0"/>
                <w:szCs w:val="21"/>
                <w:lang w:bidi="ar"/>
              </w:rPr>
              <w:t>品牌要求：国产知名品牌，与服务器同一品牌；</w:t>
            </w:r>
          </w:p>
          <w:p>
            <w:pPr>
              <w:pStyle w:val="116"/>
              <w:numPr>
                <w:ilvl w:val="0"/>
                <w:numId w:val="3"/>
              </w:numPr>
              <w:spacing w:line="0" w:lineRule="atLeast"/>
              <w:ind w:left="0" w:firstLine="0" w:firstLineChars="0"/>
              <w:rPr>
                <w:rFonts w:ascii="宋体" w:hAnsi="宋体" w:cs="宋体"/>
                <w:color w:val="000000"/>
                <w:kern w:val="0"/>
                <w:szCs w:val="21"/>
                <w:lang w:bidi="ar"/>
              </w:rPr>
            </w:pPr>
            <w:r>
              <w:rPr>
                <w:rFonts w:hint="eastAsia" w:ascii="宋体" w:hAnsi="宋体" w:cs="宋体"/>
                <w:color w:val="000000"/>
                <w:kern w:val="0"/>
                <w:szCs w:val="21"/>
                <w:lang w:bidi="ar"/>
              </w:rPr>
              <w:t>体系架构：存储系统支持IP SAN、FC SAN、NAS等组网方式，本次提供iSCSI、FC、NFS、CIFS、HTTP、FTP等多种协议许可；NAS功能应为非网关实现方式；硬件采用全模块架构冗余设计，无单一故障点；</w:t>
            </w:r>
          </w:p>
          <w:p>
            <w:pPr>
              <w:pStyle w:val="116"/>
              <w:numPr>
                <w:ilvl w:val="0"/>
                <w:numId w:val="3"/>
              </w:numPr>
              <w:spacing w:line="0" w:lineRule="atLeast"/>
              <w:ind w:left="0" w:firstLine="0" w:firstLineChars="0"/>
              <w:rPr>
                <w:rFonts w:ascii="宋体" w:hAnsi="宋体" w:cs="宋体"/>
                <w:color w:val="000000"/>
                <w:kern w:val="0"/>
                <w:szCs w:val="21"/>
                <w:lang w:bidi="ar"/>
              </w:rPr>
            </w:pPr>
            <w:r>
              <w:rPr>
                <w:rFonts w:hint="eastAsia" w:ascii="宋体" w:hAnsi="宋体" w:cs="宋体"/>
                <w:color w:val="000000"/>
                <w:kern w:val="0"/>
                <w:szCs w:val="21"/>
                <w:lang w:bidi="ar"/>
              </w:rPr>
              <w:t>多控制器架构，最大支持8个控制器，控制器之间支持缓存镜像；本次配置≥两个存储控制器，且单机箱两控制器间采用PCI-E互联；</w:t>
            </w:r>
          </w:p>
          <w:p>
            <w:pPr>
              <w:pStyle w:val="116"/>
              <w:numPr>
                <w:ilvl w:val="0"/>
                <w:numId w:val="3"/>
              </w:numPr>
              <w:spacing w:line="0" w:lineRule="atLeast"/>
              <w:ind w:left="0" w:firstLine="0" w:firstLineChars="0"/>
              <w:rPr>
                <w:rFonts w:ascii="宋体" w:hAnsi="宋体" w:cs="宋体"/>
                <w:color w:val="000000"/>
                <w:kern w:val="0"/>
                <w:szCs w:val="21"/>
                <w:lang w:bidi="ar"/>
              </w:rPr>
            </w:pPr>
            <w:r>
              <w:rPr>
                <w:rFonts w:hint="eastAsia" w:ascii="宋体" w:hAnsi="宋体" w:cs="宋体"/>
                <w:color w:val="000000"/>
                <w:kern w:val="0"/>
                <w:szCs w:val="21"/>
                <w:lang w:bidi="ar"/>
              </w:rPr>
              <w:t>双控制器缓存规格：本次配置64GB，可扩展至128GB（缓存不包含SSD磁盘、高速Flash及NAS控制器缓存）；</w:t>
            </w:r>
          </w:p>
          <w:p>
            <w:pPr>
              <w:pStyle w:val="116"/>
              <w:numPr>
                <w:ilvl w:val="0"/>
                <w:numId w:val="3"/>
              </w:numPr>
              <w:spacing w:line="0" w:lineRule="atLeast"/>
              <w:ind w:left="0" w:firstLine="0" w:firstLineChars="0"/>
              <w:rPr>
                <w:rFonts w:ascii="宋体" w:hAnsi="宋体" w:cs="宋体"/>
                <w:color w:val="000000"/>
                <w:kern w:val="0"/>
                <w:szCs w:val="21"/>
                <w:lang w:bidi="ar"/>
              </w:rPr>
            </w:pPr>
            <w:r>
              <w:rPr>
                <w:rFonts w:hint="eastAsia" w:ascii="宋体" w:hAnsi="宋体" w:cs="宋体"/>
                <w:color w:val="000000"/>
                <w:kern w:val="0"/>
                <w:szCs w:val="21"/>
                <w:lang w:bidi="ar"/>
              </w:rPr>
              <w:t>缓存保护：配置 BBU + Flash 永久电池保护模组，不存在断电时间限制；</w:t>
            </w:r>
          </w:p>
          <w:p>
            <w:pPr>
              <w:pStyle w:val="116"/>
              <w:numPr>
                <w:ilvl w:val="0"/>
                <w:numId w:val="3"/>
              </w:numPr>
              <w:spacing w:line="0" w:lineRule="atLeast"/>
              <w:ind w:left="0" w:firstLine="0" w:firstLineChars="0"/>
              <w:rPr>
                <w:rFonts w:ascii="宋体" w:hAnsi="宋体" w:cs="宋体"/>
                <w:color w:val="000000"/>
                <w:kern w:val="0"/>
                <w:szCs w:val="21"/>
                <w:lang w:bidi="ar"/>
              </w:rPr>
            </w:pPr>
            <w:r>
              <w:rPr>
                <w:rFonts w:hint="eastAsia" w:ascii="宋体" w:hAnsi="宋体" w:cs="宋体"/>
                <w:color w:val="000000"/>
                <w:kern w:val="0"/>
                <w:szCs w:val="21"/>
                <w:lang w:bidi="ar"/>
              </w:rPr>
              <w:t>接口配置：本次配置8个1GbE接口，8个16Gb FC接口；配置12Gb SAS 3.0 4X后端磁盘接口；</w:t>
            </w:r>
          </w:p>
          <w:p>
            <w:pPr>
              <w:pStyle w:val="116"/>
              <w:numPr>
                <w:ilvl w:val="0"/>
                <w:numId w:val="3"/>
              </w:numPr>
              <w:spacing w:line="0" w:lineRule="atLeast"/>
              <w:ind w:left="0" w:firstLine="0" w:firstLineChars="0"/>
              <w:rPr>
                <w:rFonts w:ascii="宋体" w:hAnsi="宋体" w:cs="宋体"/>
                <w:color w:val="000000"/>
                <w:kern w:val="0"/>
                <w:szCs w:val="21"/>
                <w:lang w:bidi="ar"/>
              </w:rPr>
            </w:pPr>
            <w:r>
              <w:rPr>
                <w:rFonts w:hint="eastAsia" w:ascii="宋体" w:hAnsi="宋体" w:cs="宋体"/>
                <w:color w:val="000000"/>
                <w:kern w:val="0"/>
                <w:szCs w:val="21"/>
                <w:lang w:bidi="ar"/>
              </w:rPr>
              <w:t>磁盘本次配置：本次配置≥48块16TB 3.5吋7200转NL-SAS硬盘，支持3.5寸7.2K NL-SAS，2.5寸10K SAS，SSD等多种类型磁盘。支持三种磁盘在同一磁盘柜中混插；</w:t>
            </w:r>
          </w:p>
          <w:p>
            <w:pPr>
              <w:pStyle w:val="116"/>
              <w:numPr>
                <w:ilvl w:val="0"/>
                <w:numId w:val="3"/>
              </w:numPr>
              <w:spacing w:line="0" w:lineRule="atLeast"/>
              <w:ind w:left="0" w:firstLine="0" w:firstLineChars="0"/>
              <w:rPr>
                <w:rFonts w:ascii="宋体" w:hAnsi="宋体" w:cs="宋体"/>
                <w:color w:val="000000"/>
                <w:kern w:val="0"/>
                <w:szCs w:val="21"/>
                <w:lang w:bidi="ar"/>
              </w:rPr>
            </w:pPr>
            <w:r>
              <w:rPr>
                <w:rFonts w:hint="eastAsia" w:ascii="宋体" w:hAnsi="宋体" w:cs="宋体"/>
                <w:color w:val="000000"/>
                <w:kern w:val="0"/>
                <w:szCs w:val="21"/>
                <w:lang w:bidi="ar"/>
              </w:rPr>
              <w:t>LUN：单LUN支持最大容量≥1PB；</w:t>
            </w:r>
          </w:p>
          <w:p>
            <w:pPr>
              <w:pStyle w:val="116"/>
              <w:numPr>
                <w:ilvl w:val="0"/>
                <w:numId w:val="3"/>
              </w:numPr>
              <w:spacing w:line="0" w:lineRule="atLeast"/>
              <w:ind w:left="0" w:firstLine="0" w:firstLineChars="0"/>
              <w:rPr>
                <w:rFonts w:ascii="宋体" w:hAnsi="宋体" w:cs="宋体"/>
                <w:color w:val="000000"/>
                <w:kern w:val="0"/>
                <w:szCs w:val="21"/>
                <w:lang w:bidi="ar"/>
              </w:rPr>
            </w:pPr>
            <w:r>
              <w:rPr>
                <w:rFonts w:hint="eastAsia" w:ascii="宋体" w:hAnsi="宋体" w:cs="宋体"/>
                <w:color w:val="000000"/>
                <w:kern w:val="0"/>
                <w:szCs w:val="21"/>
                <w:lang w:bidi="ar"/>
              </w:rPr>
              <w:t>快照：配置SAN、NAS快照功能：单卷支持快照数≥512个；支持系统定时自动创建快照，且定时快照策略可通过存储自身管理软件配置，定时快照最小时间间隔≤5分钟。</w:t>
            </w:r>
          </w:p>
          <w:p>
            <w:pPr>
              <w:pStyle w:val="116"/>
              <w:numPr>
                <w:ilvl w:val="0"/>
                <w:numId w:val="3"/>
              </w:numPr>
              <w:spacing w:line="0" w:lineRule="atLeast"/>
              <w:ind w:left="0" w:firstLine="0" w:firstLineChars="0"/>
              <w:rPr>
                <w:rFonts w:ascii="宋体" w:hAnsi="宋体" w:cs="宋体"/>
                <w:color w:val="000000"/>
                <w:kern w:val="0"/>
                <w:szCs w:val="21"/>
                <w:lang w:bidi="ar"/>
              </w:rPr>
            </w:pPr>
            <w:r>
              <w:rPr>
                <w:rFonts w:hint="eastAsia" w:ascii="宋体" w:hAnsi="宋体" w:cs="宋体"/>
                <w:color w:val="000000"/>
                <w:kern w:val="0"/>
                <w:szCs w:val="21"/>
                <w:lang w:bidi="ar"/>
              </w:rPr>
              <w:t>克隆：配置SAN、NAS克隆功能，要求瞬时完成，并对克隆的数据可以进行读写更改；</w:t>
            </w:r>
          </w:p>
          <w:p>
            <w:pPr>
              <w:pStyle w:val="116"/>
              <w:numPr>
                <w:ilvl w:val="0"/>
                <w:numId w:val="3"/>
              </w:numPr>
              <w:spacing w:line="0" w:lineRule="atLeast"/>
              <w:ind w:left="0" w:firstLine="0" w:firstLineChars="0"/>
              <w:rPr>
                <w:rFonts w:ascii="宋体" w:hAnsi="宋体" w:cs="宋体"/>
                <w:color w:val="000000"/>
                <w:kern w:val="0"/>
                <w:szCs w:val="21"/>
                <w:lang w:bidi="ar"/>
              </w:rPr>
            </w:pPr>
            <w:r>
              <w:rPr>
                <w:rFonts w:hint="eastAsia" w:ascii="宋体" w:hAnsi="宋体" w:cs="宋体"/>
                <w:color w:val="000000"/>
                <w:kern w:val="0"/>
                <w:szCs w:val="21"/>
                <w:lang w:bidi="ar"/>
              </w:rPr>
              <w:t>精简配置：配置自动精简功能，实现存储设备的容量按需动态扩展；</w:t>
            </w:r>
          </w:p>
          <w:p>
            <w:pPr>
              <w:pStyle w:val="116"/>
              <w:numPr>
                <w:ilvl w:val="0"/>
                <w:numId w:val="3"/>
              </w:numPr>
              <w:spacing w:line="0" w:lineRule="atLeast"/>
              <w:ind w:left="0" w:firstLine="0" w:firstLineChars="0"/>
              <w:rPr>
                <w:rFonts w:ascii="宋体" w:hAnsi="宋体" w:cs="宋体"/>
                <w:color w:val="000000"/>
                <w:szCs w:val="21"/>
              </w:rPr>
            </w:pPr>
            <w:r>
              <w:rPr>
                <w:rFonts w:hint="eastAsia" w:ascii="宋体" w:hAnsi="宋体" w:cs="宋体"/>
                <w:color w:val="000000"/>
                <w:kern w:val="0"/>
                <w:szCs w:val="21"/>
                <w:lang w:bidi="ar"/>
              </w:rPr>
              <w:t>系统扩充性：系统具有完全在线、无需停机的微码升级以及容量扩充能力，支持GUI升级。</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套</w:t>
            </w:r>
          </w:p>
        </w:tc>
      </w:tr>
      <w:tr>
        <w:tblPrEx>
          <w:tblCellMar>
            <w:top w:w="0" w:type="dxa"/>
            <w:left w:w="108" w:type="dxa"/>
            <w:bottom w:w="0" w:type="dxa"/>
            <w:right w:w="108" w:type="dxa"/>
          </w:tblCellMar>
        </w:tblPrEx>
        <w:trPr>
          <w:trHeight w:val="660"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万兆光模块</w:t>
            </w:r>
          </w:p>
        </w:tc>
        <w:tc>
          <w:tcPr>
            <w:tcW w:w="34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万兆单模10KM光模块</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只</w:t>
            </w:r>
          </w:p>
        </w:tc>
      </w:tr>
      <w:tr>
        <w:tblPrEx>
          <w:tblCellMar>
            <w:top w:w="0" w:type="dxa"/>
            <w:left w:w="108" w:type="dxa"/>
            <w:bottom w:w="0" w:type="dxa"/>
            <w:right w:w="108" w:type="dxa"/>
          </w:tblCellMar>
        </w:tblPrEx>
        <w:trPr>
          <w:trHeight w:val="720"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网络交换机</w:t>
            </w:r>
          </w:p>
        </w:tc>
        <w:tc>
          <w:tcPr>
            <w:tcW w:w="34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24口10/100/1000M自适应电口，4个1G/10G SFP+光口，固化单交流电源</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台</w:t>
            </w:r>
          </w:p>
        </w:tc>
      </w:tr>
      <w:tr>
        <w:tblPrEx>
          <w:tblCellMar>
            <w:top w:w="0" w:type="dxa"/>
            <w:left w:w="108" w:type="dxa"/>
            <w:bottom w:w="0" w:type="dxa"/>
            <w:right w:w="108" w:type="dxa"/>
          </w:tblCellMar>
        </w:tblPrEx>
        <w:trPr>
          <w:trHeight w:val="700"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操作系统</w:t>
            </w:r>
          </w:p>
        </w:tc>
        <w:tc>
          <w:tcPr>
            <w:tcW w:w="3404"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Cs w:val="21"/>
              </w:rPr>
            </w:pPr>
            <w:r>
              <w:rPr>
                <w:rFonts w:hint="eastAsia" w:ascii="宋体" w:hAnsi="宋体" w:cs="宋体"/>
                <w:color w:val="000000"/>
                <w:kern w:val="0"/>
                <w:szCs w:val="21"/>
                <w:lang w:bidi="ar"/>
              </w:rPr>
              <w:t>符合GB/T 25645-2010《中文Linux 服务器操作系统技术要求》、GB/T25646-2010《中文Linux用户界面规范》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具备文件管理、设备管理、用户管理、日志管理、服务管理、进程和监控管理、网络管理、资源管理、软件包管理、磁盘管理、安全中心等基本功能，提供语言支持工具、文件共享服务、集成开发平台、更新管理器、备份还原等常用工具，支持KVM、Docker 虚拟化技术，并提供本地和远程批量部署。</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套</w:t>
            </w:r>
          </w:p>
        </w:tc>
      </w:tr>
      <w:tr>
        <w:tblPrEx>
          <w:tblCellMar>
            <w:top w:w="0" w:type="dxa"/>
            <w:left w:w="108" w:type="dxa"/>
            <w:bottom w:w="0" w:type="dxa"/>
            <w:right w:w="108" w:type="dxa"/>
          </w:tblCellMar>
        </w:tblPrEx>
        <w:trPr>
          <w:trHeight w:val="720"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数据库</w:t>
            </w:r>
          </w:p>
        </w:tc>
        <w:tc>
          <w:tcPr>
            <w:tcW w:w="3404"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4"/>
              </w:numPr>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符合GB/T 30994-2014《关系数据库管理系统检测规范》、GB/T28821-2012《关系数据管理系统技术要求》和基础通用产品集群版数据库管理系统测试规范的要求。</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具备数据存储、访问控制、身份鉴别、安全审计和数据备份恢复等功能。产品部署在服务器，以后台服务形式运行，数据库管理员及用户在管理主机上通过图形化管理工具或命令行工具可实现对数据对象（表、视图、约束、索引、触发器、存储过程等）的配置管理。开发人员可通过标准化数据库访问接口，开发基于数据库的应用系统和软件产品。</w:t>
            </w:r>
          </w:p>
          <w:p>
            <w:pPr>
              <w:widowControl/>
              <w:numPr>
                <w:ilvl w:val="0"/>
                <w:numId w:val="4"/>
              </w:numPr>
              <w:jc w:val="left"/>
              <w:textAlignment w:val="top"/>
            </w:pPr>
            <w:r>
              <w:rPr>
                <w:rFonts w:hint="eastAsia"/>
              </w:rPr>
              <w:t>支持多种索引，包括B树索引、聚集索引、唯一索引、非唯一索引、函数索引、分区索引（包括本地分区索引和全局分区索引）、位图索引、位图连接索引、空间索引、数组索引；支持创建索引时指定表空间；支持设置索引可见和不可见；支持设置索引失效；支持重建索引；支持索引监控。</w:t>
            </w:r>
          </w:p>
          <w:p>
            <w:pPr>
              <w:widowControl/>
              <w:numPr>
                <w:ilvl w:val="0"/>
                <w:numId w:val="4"/>
              </w:numPr>
              <w:jc w:val="left"/>
              <w:textAlignment w:val="top"/>
            </w:pPr>
            <w:r>
              <w:rPr>
                <w:rFonts w:hint="eastAsia"/>
              </w:rPr>
              <w:t>支持外部链接DBLINK；支持外部函数，包括支持C语言和JAVA语言外部函数，可在数据库中执行C语言和JAVA语言外部函数；支持XML函数，包括SF_XMLQUERY、XMLQUERY、existsnode、extractvalue。</w:t>
            </w:r>
          </w:p>
          <w:p>
            <w:pPr>
              <w:widowControl/>
              <w:numPr>
                <w:ilvl w:val="0"/>
                <w:numId w:val="4"/>
              </w:numPr>
              <w:jc w:val="left"/>
              <w:textAlignment w:val="top"/>
            </w:pPr>
            <w:r>
              <w:rPr>
                <w:rFonts w:hint="eastAsia"/>
              </w:rPr>
              <w:t>支持多版本并发控制机制，写操纵不阻塞读操纵；支持事务管理机制，包括提交事务、回滚事务和回滚到保存点；支持读提交、读未提交、可串行化等事务隔离级别；支持手动上锁；支持嵌套事务；支持自治事务。</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套</w:t>
            </w:r>
          </w:p>
        </w:tc>
      </w:tr>
      <w:tr>
        <w:tblPrEx>
          <w:tblCellMar>
            <w:top w:w="0" w:type="dxa"/>
            <w:left w:w="108" w:type="dxa"/>
            <w:bottom w:w="0" w:type="dxa"/>
            <w:right w:w="108" w:type="dxa"/>
          </w:tblCellMar>
        </w:tblPrEx>
        <w:trPr>
          <w:trHeight w:val="720"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中间件</w:t>
            </w:r>
          </w:p>
        </w:tc>
        <w:tc>
          <w:tcPr>
            <w:tcW w:w="3404"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Cs w:val="21"/>
              </w:rPr>
            </w:pPr>
            <w:r>
              <w:rPr>
                <w:rFonts w:hint="eastAsia" w:ascii="宋体" w:hAnsi="宋体" w:cs="宋体"/>
                <w:color w:val="000000"/>
                <w:kern w:val="0"/>
                <w:szCs w:val="21"/>
                <w:lang w:bidi="ar"/>
              </w:rPr>
              <w:t>遵循JavaEE标准规范，具有系列型号产品通过JavaEE7、Java EE8认证，通过Jakarta EE 9 Platform Compatible Products认证。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提供包括 Web容器、监控管理、JAVA规范管理、JMX服务、JMS消息服务、日志管理、应用部署、数据源管理、数据库连接池管理等基础功能。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支持IPV6，便于企业级应用从IPv4平滑过渡到IPv6。</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支持线程池分组：定义业务的重要性，分为普通和重要，由不同线程池分开处理重要业务和普通业务的请求，保障重要业务的高性能和稳定性。</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应用部署同时支持ear(企业级应用）、war(Web应用）、jar(EJB应用）、car(webx整合应用）应用包部署。</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套</w:t>
            </w:r>
          </w:p>
        </w:tc>
      </w:tr>
      <w:tr>
        <w:tblPrEx>
          <w:tblCellMar>
            <w:top w:w="0" w:type="dxa"/>
            <w:left w:w="108" w:type="dxa"/>
            <w:bottom w:w="0" w:type="dxa"/>
            <w:right w:w="108" w:type="dxa"/>
          </w:tblCellMar>
        </w:tblPrEx>
        <w:trPr>
          <w:trHeight w:val="700"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11</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网络摄</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像机 </w:t>
            </w:r>
          </w:p>
        </w:tc>
        <w:tc>
          <w:tcPr>
            <w:tcW w:w="3404"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5"/>
              </w:numPr>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最高分辨率可达1920 × 1080 @25 fps，在该分辨率下可输出实时图像；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2.智能侦测：越界侦测，区域入侵侦测；</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3.支持ROI感兴趣区域增强编码，支持Smart265/264编码，可根 据场景情况自适应调整码率分配，有效节省存储成本；</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支持背光补偿，强光抑制，3D数字降噪，120 dB宽动态，适应不同监控环境；</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4.采用高效阵列红外灯，使用寿命长，红外照射距离最远可达30 m;</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5.支持1路报警输入，1路报警输出（报警输出最大支持DC12 V，30 mA），1路音频输入，1路音频输出；1个内置麦克风，高清拾音；</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6.符合IP66防尘防水设计，可靠性高；</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7.传感器类型：1/2.7" Progressive Scan CMOS；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8.最低照度：彩色：0.01 Lux @（F1.2，AGC ON），0 Lux with IR ；</w:t>
            </w:r>
          </w:p>
          <w:p>
            <w:pPr>
              <w:widowControl/>
              <w:jc w:val="left"/>
              <w:textAlignment w:val="top"/>
              <w:rPr>
                <w:rFonts w:ascii="宋体" w:hAnsi="宋体" w:cs="宋体"/>
                <w:color w:val="000000"/>
                <w:szCs w:val="21"/>
              </w:rPr>
            </w:pPr>
            <w:r>
              <w:rPr>
                <w:rFonts w:hint="eastAsia" w:ascii="宋体" w:hAnsi="宋体" w:cs="宋体"/>
                <w:color w:val="000000"/>
                <w:kern w:val="0"/>
                <w:szCs w:val="21"/>
                <w:lang w:bidi="ar"/>
              </w:rPr>
              <w:t>9.宽动态：120 dB；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10.调节角度：水平：0°~360°，垂直：0°~75°，旋转：0°~360°。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16</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台</w:t>
            </w:r>
          </w:p>
        </w:tc>
      </w:tr>
      <w:tr>
        <w:tblPrEx>
          <w:tblCellMar>
            <w:top w:w="0" w:type="dxa"/>
            <w:left w:w="108" w:type="dxa"/>
            <w:bottom w:w="0" w:type="dxa"/>
            <w:right w:w="108" w:type="dxa"/>
          </w:tblCellMar>
        </w:tblPrEx>
        <w:trPr>
          <w:trHeight w:val="660"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POE交</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换机</w:t>
            </w:r>
          </w:p>
        </w:tc>
        <w:tc>
          <w:tcPr>
            <w:tcW w:w="3404"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Cs w:val="21"/>
              </w:rPr>
            </w:pPr>
            <w:r>
              <w:rPr>
                <w:rFonts w:hint="eastAsia" w:ascii="宋体" w:hAnsi="宋体" w:cs="宋体"/>
                <w:color w:val="000000"/>
                <w:kern w:val="0"/>
                <w:szCs w:val="21"/>
                <w:lang w:bidi="ar"/>
              </w:rPr>
              <w:t>1.提供24个千兆PoE电口、2个千兆光口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2.交换容量：52 Gbps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3.包转发率：36.688 Mpps</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4.端口最大供电功率：30 W</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5.整机最大供电功率：370 W</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6.支持终端安全防护</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7.坚固式高强度金属外壳</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台</w:t>
            </w:r>
          </w:p>
        </w:tc>
      </w:tr>
      <w:tr>
        <w:tblPrEx>
          <w:tblCellMar>
            <w:top w:w="0" w:type="dxa"/>
            <w:left w:w="108" w:type="dxa"/>
            <w:bottom w:w="0" w:type="dxa"/>
            <w:right w:w="108" w:type="dxa"/>
          </w:tblCellMar>
        </w:tblPrEx>
        <w:trPr>
          <w:trHeight w:val="693"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13</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视频存储服务器</w:t>
            </w:r>
          </w:p>
        </w:tc>
        <w:tc>
          <w:tcPr>
            <w:tcW w:w="3404" w:type="pc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6"/>
              </w:numPr>
              <w:ind w:left="0" w:firstLine="0"/>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3U机箱 16盘位，1+1冗余电源，1+1冗余风扇，支持前置硬盘热插拔。</w:t>
            </w:r>
          </w:p>
          <w:p>
            <w:pPr>
              <w:widowControl/>
              <w:numPr>
                <w:ilvl w:val="0"/>
                <w:numId w:val="6"/>
              </w:numPr>
              <w:ind w:left="0" w:firstLine="0"/>
              <w:jc w:val="left"/>
              <w:textAlignment w:val="center"/>
              <w:rPr>
                <w:rFonts w:ascii="宋体" w:hAnsi="宋体" w:cs="宋体"/>
                <w:color w:val="000000"/>
                <w:szCs w:val="21"/>
              </w:rPr>
            </w:pPr>
            <w:r>
              <w:rPr>
                <w:rFonts w:hint="eastAsia" w:ascii="宋体" w:hAnsi="宋体" w:cs="宋体"/>
                <w:color w:val="000000"/>
                <w:kern w:val="0"/>
                <w:szCs w:val="21"/>
                <w:lang w:bidi="ar"/>
              </w:rPr>
              <w:t>支持满配20TB硬盘（总容量可达320TB）</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2路HDMI，1路VGA，2路DP，2路V-DP，四异源4K输出，最大支持双8K输出。</w:t>
            </w:r>
          </w:p>
          <w:p>
            <w:pPr>
              <w:widowControl/>
              <w:numPr>
                <w:ilvl w:val="0"/>
                <w:numId w:val="6"/>
              </w:numPr>
              <w:ind w:left="0" w:firstLine="0"/>
              <w:jc w:val="left"/>
              <w:textAlignment w:val="center"/>
              <w:rPr>
                <w:rFonts w:ascii="宋体" w:hAnsi="宋体" w:cs="宋体"/>
                <w:color w:val="000000"/>
                <w:szCs w:val="21"/>
              </w:rPr>
            </w:pPr>
            <w:r>
              <w:rPr>
                <w:rFonts w:hint="eastAsia" w:ascii="宋体" w:hAnsi="宋体" w:cs="宋体"/>
                <w:color w:val="000000"/>
                <w:kern w:val="0"/>
                <w:szCs w:val="21"/>
                <w:lang w:bidi="ar"/>
              </w:rPr>
              <w:t>≥4个10/100/1000/2500Mbps自适应电口；</w:t>
            </w:r>
          </w:p>
          <w:p>
            <w:pPr>
              <w:widowControl/>
              <w:numPr>
                <w:ilvl w:val="0"/>
                <w:numId w:val="6"/>
              </w:numPr>
              <w:ind w:left="0" w:firstLine="0"/>
              <w:jc w:val="left"/>
              <w:textAlignment w:val="center"/>
              <w:rPr>
                <w:rFonts w:ascii="宋体" w:hAnsi="宋体" w:cs="宋体"/>
                <w:color w:val="000000"/>
                <w:szCs w:val="21"/>
              </w:rPr>
            </w:pPr>
            <w:r>
              <w:rPr>
                <w:rFonts w:hint="eastAsia" w:ascii="宋体" w:hAnsi="宋体" w:cs="宋体"/>
                <w:color w:val="000000"/>
                <w:kern w:val="0"/>
                <w:szCs w:val="21"/>
                <w:lang w:bidi="ar"/>
              </w:rPr>
              <w:t>≥2个USB2.0接口、4个USB3.0接口；</w:t>
            </w:r>
          </w:p>
          <w:p>
            <w:pPr>
              <w:widowControl/>
              <w:numPr>
                <w:ilvl w:val="0"/>
                <w:numId w:val="6"/>
              </w:numPr>
              <w:ind w:left="0" w:firstLine="0"/>
              <w:jc w:val="left"/>
              <w:textAlignment w:val="center"/>
              <w:rPr>
                <w:rFonts w:ascii="宋体" w:hAnsi="宋体" w:cs="宋体"/>
                <w:color w:val="000000"/>
                <w:szCs w:val="21"/>
              </w:rPr>
            </w:pPr>
            <w:r>
              <w:rPr>
                <w:rFonts w:hint="eastAsia" w:ascii="宋体" w:hAnsi="宋体" w:cs="宋体"/>
                <w:color w:val="000000"/>
                <w:kern w:val="0"/>
                <w:szCs w:val="21"/>
                <w:lang w:bidi="ar"/>
              </w:rPr>
              <w:t>≥1个eSATA接口；</w:t>
            </w:r>
          </w:p>
          <w:p>
            <w:pPr>
              <w:widowControl/>
              <w:numPr>
                <w:ilvl w:val="0"/>
                <w:numId w:val="6"/>
              </w:numPr>
              <w:ind w:left="0" w:firstLine="0"/>
              <w:jc w:val="left"/>
              <w:textAlignment w:val="center"/>
              <w:rPr>
                <w:rFonts w:ascii="宋体" w:hAnsi="宋体" w:cs="宋体"/>
                <w:color w:val="000000"/>
                <w:szCs w:val="21"/>
              </w:rPr>
            </w:pPr>
            <w:r>
              <w:rPr>
                <w:rFonts w:hint="eastAsia" w:ascii="宋体" w:hAnsi="宋体" w:cs="宋体"/>
                <w:color w:val="000000"/>
                <w:kern w:val="0"/>
                <w:szCs w:val="21"/>
                <w:lang w:bidi="ar"/>
              </w:rPr>
              <w:t>报警IO接口：≥16路报警输入，≥8路报警输出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串行接口：1路全双工485接口 ，1路标准RS-232接口；</w:t>
            </w:r>
          </w:p>
          <w:p>
            <w:pPr>
              <w:widowControl/>
              <w:numPr>
                <w:ilvl w:val="0"/>
                <w:numId w:val="6"/>
              </w:numPr>
              <w:ind w:left="0" w:firstLine="0"/>
              <w:jc w:val="left"/>
              <w:textAlignment w:val="center"/>
              <w:rPr>
                <w:rFonts w:ascii="宋体" w:hAnsi="宋体" w:cs="宋体"/>
                <w:color w:val="000000"/>
                <w:szCs w:val="21"/>
              </w:rPr>
            </w:pPr>
            <w:r>
              <w:rPr>
                <w:rFonts w:hint="eastAsia" w:ascii="宋体" w:hAnsi="宋体" w:cs="宋体"/>
                <w:color w:val="000000"/>
                <w:kern w:val="0"/>
                <w:szCs w:val="21"/>
                <w:lang w:bidi="ar"/>
              </w:rPr>
              <w:t>输入带宽：1024Mbps （开启RAID后带宽为512Mbps）；</w:t>
            </w:r>
          </w:p>
          <w:p>
            <w:pPr>
              <w:widowControl/>
              <w:numPr>
                <w:ilvl w:val="0"/>
                <w:numId w:val="6"/>
              </w:numPr>
              <w:ind w:left="0" w:firstLine="0"/>
              <w:jc w:val="left"/>
              <w:textAlignment w:val="center"/>
              <w:rPr>
                <w:rFonts w:ascii="宋体" w:hAnsi="宋体" w:cs="宋体"/>
                <w:color w:val="000000"/>
                <w:szCs w:val="21"/>
              </w:rPr>
            </w:pPr>
            <w:r>
              <w:rPr>
                <w:rFonts w:hint="eastAsia" w:ascii="宋体" w:hAnsi="宋体" w:cs="宋体"/>
                <w:color w:val="000000"/>
                <w:kern w:val="0"/>
                <w:szCs w:val="21"/>
                <w:lang w:bidi="ar"/>
              </w:rPr>
              <w:t>输出带宽：1024Mbps （开启RAID后带宽为512Mbps）；</w:t>
            </w:r>
          </w:p>
          <w:p>
            <w:pPr>
              <w:widowControl/>
              <w:numPr>
                <w:ilvl w:val="0"/>
                <w:numId w:val="6"/>
              </w:numPr>
              <w:ind w:left="0" w:firstLine="0"/>
              <w:jc w:val="left"/>
              <w:textAlignment w:val="center"/>
              <w:rPr>
                <w:rFonts w:ascii="宋体" w:hAnsi="宋体" w:cs="宋体"/>
                <w:color w:val="000000"/>
                <w:szCs w:val="21"/>
              </w:rPr>
            </w:pPr>
            <w:r>
              <w:rPr>
                <w:rFonts w:hint="eastAsia" w:ascii="宋体" w:hAnsi="宋体" w:cs="宋体"/>
                <w:color w:val="000000"/>
                <w:kern w:val="0"/>
                <w:szCs w:val="21"/>
                <w:lang w:bidi="ar"/>
              </w:rPr>
              <w:t>接入能力：128路H.264、H.265格式高清码流接入；</w:t>
            </w:r>
          </w:p>
          <w:p>
            <w:pPr>
              <w:widowControl/>
              <w:numPr>
                <w:ilvl w:val="0"/>
                <w:numId w:val="6"/>
              </w:numPr>
              <w:ind w:left="0" w:firstLine="0"/>
              <w:jc w:val="left"/>
              <w:textAlignment w:val="center"/>
              <w:rPr>
                <w:rFonts w:ascii="宋体" w:hAnsi="宋体" w:cs="宋体"/>
                <w:color w:val="000000"/>
                <w:szCs w:val="21"/>
              </w:rPr>
            </w:pPr>
            <w:r>
              <w:rPr>
                <w:rFonts w:hint="eastAsia" w:ascii="宋体" w:hAnsi="宋体" w:cs="宋体"/>
                <w:color w:val="000000"/>
                <w:kern w:val="0"/>
                <w:szCs w:val="21"/>
                <w:lang w:bidi="ar"/>
              </w:rPr>
              <w:t>解码能力：最大支持36×1080P；</w:t>
            </w:r>
          </w:p>
          <w:p>
            <w:pPr>
              <w:widowControl/>
              <w:numPr>
                <w:ilvl w:val="0"/>
                <w:numId w:val="6"/>
              </w:numPr>
              <w:ind w:left="0" w:firstLine="0"/>
              <w:jc w:val="left"/>
              <w:textAlignment w:val="center"/>
              <w:rPr>
                <w:rFonts w:ascii="宋体" w:hAnsi="宋体" w:cs="宋体"/>
                <w:color w:val="000000"/>
                <w:szCs w:val="21"/>
              </w:rPr>
            </w:pPr>
            <w:r>
              <w:rPr>
                <w:rFonts w:hint="eastAsia" w:ascii="宋体" w:hAnsi="宋体" w:cs="宋体"/>
                <w:color w:val="000000"/>
                <w:kern w:val="0"/>
                <w:szCs w:val="21"/>
                <w:lang w:bidi="ar"/>
              </w:rPr>
              <w:t>RAID模式：RAID0、RAID1、RAID5、RAID6、RAID10，支持全局热备盘；</w:t>
            </w:r>
          </w:p>
          <w:p>
            <w:pPr>
              <w:widowControl/>
              <w:numPr>
                <w:ilvl w:val="0"/>
                <w:numId w:val="6"/>
              </w:numPr>
              <w:ind w:left="0" w:firstLine="0"/>
              <w:jc w:val="left"/>
              <w:textAlignment w:val="center"/>
              <w:rPr>
                <w:rFonts w:ascii="宋体" w:hAnsi="宋体" w:cs="宋体"/>
                <w:color w:val="000000"/>
                <w:szCs w:val="21"/>
              </w:rPr>
            </w:pPr>
            <w:r>
              <w:rPr>
                <w:rFonts w:hint="eastAsia" w:ascii="宋体" w:hAnsi="宋体" w:cs="宋体"/>
                <w:color w:val="000000"/>
                <w:kern w:val="0"/>
                <w:szCs w:val="21"/>
                <w:lang w:bidi="ar"/>
              </w:rPr>
              <w:t>本次配置6块8T监控用硬盘；</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台</w:t>
            </w:r>
          </w:p>
        </w:tc>
      </w:tr>
      <w:tr>
        <w:tblPrEx>
          <w:tblCellMar>
            <w:top w:w="0" w:type="dxa"/>
            <w:left w:w="108" w:type="dxa"/>
            <w:bottom w:w="0" w:type="dxa"/>
            <w:right w:w="108" w:type="dxa"/>
          </w:tblCellMar>
        </w:tblPrEx>
        <w:trPr>
          <w:trHeight w:val="720"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r>
              <w:rPr>
                <w:rFonts w:ascii="宋体" w:hAnsi="宋体" w:cs="宋体"/>
                <w:color w:val="000000"/>
                <w:kern w:val="0"/>
                <w:szCs w:val="21"/>
                <w:lang w:bidi="ar"/>
              </w:rPr>
              <w:t>4</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综合安防管理平台</w:t>
            </w:r>
          </w:p>
        </w:tc>
        <w:tc>
          <w:tcPr>
            <w:tcW w:w="3404"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Cs w:val="21"/>
              </w:rPr>
            </w:pPr>
            <w:r>
              <w:rPr>
                <w:rFonts w:hint="eastAsia" w:ascii="宋体" w:hAnsi="宋体" w:cs="宋体"/>
                <w:color w:val="000000"/>
                <w:kern w:val="0"/>
                <w:szCs w:val="21"/>
                <w:lang w:bidi="ar"/>
              </w:rPr>
              <w:t>1、提供门户首页内容自定义能力，支持自定义快捷入口、自定义菜单内容、自定义页面元素设置；支持门户展示元素自定义，包括页面logo图标、修改网站标题、设置并添加网站外部链接；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2、提供统一的认证、鉴权管理、应用管理、菜单管理、用户管理、角色管理、组织管理、资源管理等能力；</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3、提供用户权限管理能力，包括菜单权限、组织权限、区域权限、资源权限、功能控制权限；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4、提供组织、区域、设备、人员、卡片、车辆等资源统一管理；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5、提供用户安全管理，支持账户绑定用户mac地址及IP地址能力，提供账户安全设置，支持账户密码有效期设置，支持登录类型（Web端、PC客户端、移动端）和认证方式（密码、PKI）的配置；</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6、提供NTP校时服务能力，支持对设备和服务器统一校时；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7、提供数据、服务等统一开放能力；</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8、提供系统运行状态监测能力，包括运行服务监控、运行服务统计、运行数据报告和运行服务解析概览。</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套</w:t>
            </w:r>
          </w:p>
        </w:tc>
      </w:tr>
      <w:tr>
        <w:tblPrEx>
          <w:tblCellMar>
            <w:top w:w="0" w:type="dxa"/>
            <w:left w:w="108" w:type="dxa"/>
            <w:bottom w:w="0" w:type="dxa"/>
            <w:right w:w="108" w:type="dxa"/>
          </w:tblCellMar>
        </w:tblPrEx>
        <w:trPr>
          <w:trHeight w:val="720"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r>
              <w:rPr>
                <w:rFonts w:ascii="宋体" w:hAnsi="宋体" w:cs="宋体"/>
                <w:color w:val="000000"/>
                <w:kern w:val="0"/>
                <w:szCs w:val="21"/>
                <w:lang w:bidi="ar"/>
              </w:rPr>
              <w:t>5</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通用服务器</w:t>
            </w:r>
          </w:p>
        </w:tc>
        <w:tc>
          <w:tcPr>
            <w:tcW w:w="3404"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Cs w:val="21"/>
              </w:rPr>
            </w:pPr>
            <w:r>
              <w:rPr>
                <w:rFonts w:hint="eastAsia" w:ascii="宋体" w:hAnsi="宋体" w:cs="宋体"/>
                <w:color w:val="000000"/>
                <w:kern w:val="0"/>
                <w:szCs w:val="21"/>
                <w:lang w:bidi="ar"/>
              </w:rPr>
              <w:t>1.2U双路标准机架式服务器</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2.CPU：配置1颗服务器处理器，核数≥10核，主频≥2.4GHz</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3.内存：配置≥64G DDR4，16根内存插槽，最大支持扩展至2TB内存</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4.硬盘：配置2块1.2T 10K 2.5寸 SAS硬盘；   最高支持12块3.5寸(兼容2.5寸）热插拔SAS/SATA硬盘，支持可选2块后置热插拔2.5寸硬盘</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5.阵列卡：配置SAS_HBA卡，支持RAID 0/1/10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6.PCIE扩展：支持≥6个PCIE扩展插槽</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7.网口：板载≥2个千兆电口；   支持选配10GbE、25GbE SFP+等多种网络接口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8.其他接口：≥1个RJ45管理接口，后置≥2个USB 3.0接口，前置≥2个USB2.0接口，≥1个VGA接口</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9.电源：标配550W（1+1）高效铂金CRPS冗余电源 </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台</w:t>
            </w:r>
          </w:p>
        </w:tc>
      </w:tr>
      <w:tr>
        <w:tblPrEx>
          <w:tblCellMar>
            <w:top w:w="0" w:type="dxa"/>
            <w:left w:w="108" w:type="dxa"/>
            <w:bottom w:w="0" w:type="dxa"/>
            <w:right w:w="108" w:type="dxa"/>
          </w:tblCellMar>
        </w:tblPrEx>
        <w:trPr>
          <w:trHeight w:val="720"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r>
              <w:rPr>
                <w:rFonts w:ascii="宋体" w:hAnsi="宋体" w:cs="宋体"/>
                <w:color w:val="000000"/>
                <w:kern w:val="0"/>
                <w:szCs w:val="21"/>
                <w:lang w:bidi="ar"/>
              </w:rPr>
              <w:t>6</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自动化采集设备</w:t>
            </w:r>
          </w:p>
        </w:tc>
        <w:tc>
          <w:tcPr>
            <w:tcW w:w="34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7"/>
              </w:numPr>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最大功率不高于0.8（kW）；</w:t>
            </w:r>
          </w:p>
          <w:p>
            <w:pPr>
              <w:widowControl/>
              <w:numPr>
                <w:ilvl w:val="0"/>
                <w:numId w:val="7"/>
              </w:numPr>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工作噪声不大于45（dB）；</w:t>
            </w:r>
          </w:p>
          <w:p>
            <w:pPr>
              <w:widowControl/>
              <w:numPr>
                <w:ilvl w:val="0"/>
                <w:numId w:val="7"/>
              </w:numPr>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最高扫描速度（页/小时）：1200</w:t>
            </w:r>
          </w:p>
          <w:p>
            <w:pPr>
              <w:widowControl/>
              <w:numPr>
                <w:ilvl w:val="0"/>
                <w:numId w:val="7"/>
              </w:numPr>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操作模式：全自动/半自动/手动 三合一</w:t>
            </w:r>
          </w:p>
          <w:p>
            <w:pPr>
              <w:widowControl/>
              <w:numPr>
                <w:ilvl w:val="0"/>
                <w:numId w:val="7"/>
              </w:numPr>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自动翻页方式：真空吸附，轻柔无损害</w:t>
            </w:r>
          </w:p>
          <w:p>
            <w:pPr>
              <w:widowControl/>
              <w:numPr>
                <w:ilvl w:val="0"/>
                <w:numId w:val="7"/>
              </w:numPr>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最大扫描尺幅（mm）：450*330</w:t>
            </w:r>
          </w:p>
          <w:p>
            <w:pPr>
              <w:widowControl/>
              <w:numPr>
                <w:ilvl w:val="0"/>
                <w:numId w:val="7"/>
              </w:numPr>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最大扫描厚度（mm）：50</w:t>
            </w:r>
          </w:p>
          <w:p>
            <w:pPr>
              <w:widowControl/>
              <w:numPr>
                <w:ilvl w:val="0"/>
                <w:numId w:val="7"/>
              </w:numPr>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纸张类型：可兼容普通打印纸、相片纸等类型</w:t>
            </w:r>
          </w:p>
          <w:p>
            <w:pPr>
              <w:widowControl/>
              <w:numPr>
                <w:ilvl w:val="0"/>
                <w:numId w:val="7"/>
              </w:numPr>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托书台：左右联动式托书台，配有气动式档案夹</w:t>
            </w:r>
          </w:p>
          <w:p>
            <w:pPr>
              <w:widowControl/>
              <w:numPr>
                <w:ilvl w:val="0"/>
                <w:numId w:val="7"/>
              </w:numPr>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压稿玻璃：高透光、耐磨损有机玻璃</w:t>
            </w:r>
          </w:p>
          <w:p>
            <w:pPr>
              <w:widowControl/>
              <w:numPr>
                <w:ilvl w:val="0"/>
                <w:numId w:val="7"/>
              </w:numPr>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纸页定位装置：纸页边缘检测器，可动态调整</w:t>
            </w:r>
          </w:p>
          <w:p>
            <w:pPr>
              <w:widowControl/>
              <w:numPr>
                <w:ilvl w:val="0"/>
                <w:numId w:val="7"/>
              </w:numPr>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纸页剥离装置：多方位气流分页，成功率较高</w:t>
            </w:r>
          </w:p>
          <w:p>
            <w:pPr>
              <w:widowControl/>
              <w:numPr>
                <w:ilvl w:val="0"/>
                <w:numId w:val="7"/>
              </w:numPr>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多页检测装置：软硬件双重检测，漏页率极低</w:t>
            </w:r>
          </w:p>
          <w:p>
            <w:pPr>
              <w:widowControl/>
              <w:numPr>
                <w:ilvl w:val="0"/>
                <w:numId w:val="7"/>
              </w:numPr>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安全防护装置：红外安全光幕，确保操作人员安全</w:t>
            </w:r>
          </w:p>
          <w:p>
            <w:pPr>
              <w:widowControl/>
              <w:numPr>
                <w:ilvl w:val="0"/>
                <w:numId w:val="7"/>
              </w:numPr>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外接操控手柄：可选配</w:t>
            </w:r>
          </w:p>
          <w:p>
            <w:pPr>
              <w:widowControl/>
              <w:numPr>
                <w:ilvl w:val="0"/>
                <w:numId w:val="7"/>
              </w:numPr>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成像设备：工业级相机和镜头</w:t>
            </w:r>
          </w:p>
          <w:p>
            <w:pPr>
              <w:widowControl/>
              <w:numPr>
                <w:ilvl w:val="0"/>
                <w:numId w:val="7"/>
              </w:numPr>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最大分辨率：多个配置级别：300dpi（单相机，2000万像素）、400dpi（双相机，2000万像素）、500dpi（单相机，6500万像素）</w:t>
            </w:r>
          </w:p>
          <w:p>
            <w:pPr>
              <w:widowControl/>
              <w:numPr>
                <w:ilvl w:val="0"/>
                <w:numId w:val="7"/>
              </w:numPr>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色彩深度：24位彩色、8位灰阶和黑白二值</w:t>
            </w:r>
          </w:p>
          <w:p>
            <w:pPr>
              <w:widowControl/>
              <w:numPr>
                <w:ilvl w:val="0"/>
                <w:numId w:val="7"/>
              </w:numPr>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照明光源：双LED，零辐射冷光源</w:t>
            </w:r>
          </w:p>
          <w:p>
            <w:pPr>
              <w:widowControl/>
              <w:numPr>
                <w:ilvl w:val="0"/>
                <w:numId w:val="7"/>
              </w:numPr>
              <w:jc w:val="left"/>
              <w:textAlignment w:val="top"/>
              <w:rPr>
                <w:rFonts w:ascii="宋体" w:hAnsi="宋体" w:cs="宋体"/>
                <w:color w:val="000000"/>
                <w:kern w:val="0"/>
                <w:szCs w:val="21"/>
                <w:lang w:bidi="ar"/>
              </w:rPr>
            </w:pPr>
            <w:r>
              <w:rPr>
                <w:rFonts w:hint="eastAsia" w:ascii="宋体" w:hAnsi="宋体" w:cs="宋体"/>
                <w:color w:val="000000"/>
                <w:kern w:val="0"/>
                <w:szCs w:val="21"/>
                <w:lang w:bidi="ar"/>
              </w:rPr>
              <w:t>成像质量：清晰度高，色彩高保真。</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套</w:t>
            </w:r>
          </w:p>
        </w:tc>
      </w:tr>
      <w:tr>
        <w:tblPrEx>
          <w:tblCellMar>
            <w:top w:w="0" w:type="dxa"/>
            <w:left w:w="108" w:type="dxa"/>
            <w:bottom w:w="0" w:type="dxa"/>
            <w:right w:w="108" w:type="dxa"/>
          </w:tblCellMar>
        </w:tblPrEx>
        <w:trPr>
          <w:trHeight w:val="720"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r>
              <w:rPr>
                <w:rFonts w:ascii="宋体" w:hAnsi="宋体" w:cs="宋体"/>
                <w:color w:val="000000"/>
                <w:kern w:val="0"/>
                <w:szCs w:val="21"/>
                <w:lang w:bidi="ar"/>
              </w:rPr>
              <w:t>7</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线缆及辅材</w:t>
            </w:r>
          </w:p>
        </w:tc>
        <w:tc>
          <w:tcPr>
            <w:tcW w:w="34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包含以上设备安装调试所需的光纤跳线、网线、电源线、控制线及辅材辅料等。</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720" w:hRule="atLeast"/>
          <w:jc w:val="center"/>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r>
              <w:rPr>
                <w:rFonts w:ascii="宋体" w:hAnsi="宋体" w:cs="宋体"/>
                <w:color w:val="000000"/>
                <w:kern w:val="0"/>
                <w:szCs w:val="21"/>
                <w:lang w:bidi="ar"/>
              </w:rPr>
              <w:t>8</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系统集成</w:t>
            </w:r>
          </w:p>
        </w:tc>
        <w:tc>
          <w:tcPr>
            <w:tcW w:w="34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包含以上软件硬件的安装、调试、培训、运输、税费及三年的运维服务。</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w:t>
            </w:r>
          </w:p>
        </w:tc>
      </w:tr>
    </w:tbl>
    <w:p>
      <w:pPr>
        <w:spacing w:before="156" w:beforeLines="50" w:after="156" w:afterLines="50"/>
        <w:rPr>
          <w:b/>
          <w:bCs/>
          <w:color w:val="000000" w:themeColor="text1"/>
          <w:sz w:val="24"/>
          <w14:textFill>
            <w14:solidFill>
              <w14:schemeClr w14:val="tx1"/>
            </w14:solidFill>
          </w14:textFill>
        </w:rPr>
      </w:pPr>
    </w:p>
    <w:p>
      <w:pPr>
        <w:spacing w:before="156" w:beforeLines="50" w:after="156" w:afterLines="50"/>
        <w:ind w:firstLine="482"/>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其他要求：</w:t>
      </w:r>
    </w:p>
    <w:p>
      <w:pPr>
        <w:spacing w:before="156" w:beforeLines="50" w:after="156" w:afterLines="50"/>
        <w:ind w:firstLine="482"/>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1.人员与场地要求</w:t>
      </w:r>
    </w:p>
    <w:p>
      <w:pPr>
        <w:numPr>
          <w:ilvl w:val="0"/>
          <w:numId w:val="8"/>
        </w:numPr>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由招标人提供数据采集加工作业场地总面积不小于200平方米。</w:t>
      </w:r>
    </w:p>
    <w:p>
      <w:pPr>
        <w:numPr>
          <w:ilvl w:val="0"/>
          <w:numId w:val="8"/>
        </w:numPr>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中标人在合同签订时成立项目组，需指定专业团队并有专业人员负责整个项目的运营与对接工作。</w:t>
      </w:r>
    </w:p>
    <w:p>
      <w:pPr>
        <w:numPr>
          <w:ilvl w:val="0"/>
          <w:numId w:val="8"/>
        </w:numPr>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中标人负责提供数据采集加工服务过程使用的电脑、打印机、扫描仪等设备及相关耗材。</w:t>
      </w:r>
    </w:p>
    <w:p>
      <w:pPr>
        <w:numPr>
          <w:ilvl w:val="0"/>
          <w:numId w:val="8"/>
        </w:numPr>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中标人负责服务现场软硬件国产化环境搭建（存储空间满足未来五年需求）、综合布线、设备安装调试及所需的线材及辅料。</w:t>
      </w:r>
    </w:p>
    <w:p>
      <w:pPr>
        <w:spacing w:before="156" w:beforeLines="50" w:after="156" w:afterLines="50" w:line="360" w:lineRule="auto"/>
        <w:ind w:firstLine="482"/>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2.系统运维要求</w:t>
      </w:r>
    </w:p>
    <w:p>
      <w:pPr>
        <w:spacing w:before="156" w:beforeLines="50"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（1）日常维护</w:t>
      </w:r>
    </w:p>
    <w:p>
      <w:pPr>
        <w:spacing w:line="360" w:lineRule="auto"/>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 xml:space="preserve">每天查看系统运行情况及服务器上的数据库备份、磁盘情况，记录并签写纸质记录； </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2）实现对网络基础设施环境性能进行监控；</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3）定时采集网络性能信息，及时发现那些可能会导致网络服务质量出现明显下降的情况及故障隐患。</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系统支持根据网络监控对象，网络性能可分为网络设备性能、重要网络链路性能等，网络性能主要指网络设备的CPU利用率、内存利用率、网络负载均衡设备的流量、重要网络链路的带宽利用率、丢包率、错包率、CRC校验错误包率等；</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5）系统支持全网拓扑显示、并可以根据网络流量负载不同动态显示链路颜色。</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6）系统支持对服务器系统的基本信息和运行状态的监控。</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7）系统支持实时监控主机内所运行的应用、服务和各类中间件等应用服务。</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8）系统支持能够动态收集应用性能数据并通过界面展现，可以对任意关键性能监控对象定义告警阀值并根据阀值提供不同的监控展示方式。</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r>
        <w:rPr>
          <w:rFonts w:ascii="宋体" w:hAnsi="宋体" w:cs="宋体"/>
          <w:color w:val="000000" w:themeColor="text1"/>
          <w:sz w:val="24"/>
          <w14:textFill>
            <w14:solidFill>
              <w14:schemeClr w14:val="tx1"/>
            </w14:solidFill>
          </w14:textFill>
        </w:rPr>
        <w:t xml:space="preserve">每天查看系统与其他系统数据传输情况，发现问题及时处理并记录。 </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r>
        <w:rPr>
          <w:rFonts w:ascii="宋体" w:hAnsi="宋体" w:cs="宋体"/>
          <w:color w:val="000000" w:themeColor="text1"/>
          <w:sz w:val="24"/>
          <w14:textFill>
            <w14:solidFill>
              <w14:schemeClr w14:val="tx1"/>
            </w14:solidFill>
          </w14:textFill>
        </w:rPr>
        <w:t xml:space="preserve">及时接听服务电话，及时处理使用人员提出的问题并记录，详细描述问题 内容，包括问题提出人、需要修改的内容（修改文 件、内容、权限等），处理确实无误后，并及时反馈处理状态。 </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r>
        <w:rPr>
          <w:rFonts w:ascii="宋体" w:hAnsi="宋体" w:cs="宋体"/>
          <w:color w:val="000000" w:themeColor="text1"/>
          <w:sz w:val="24"/>
          <w14:textFill>
            <w14:solidFill>
              <w14:schemeClr w14:val="tx1"/>
            </w14:solidFill>
          </w14:textFill>
        </w:rPr>
        <w:t>定期统计系统各业务模块的使用情况</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 xml:space="preserve"> </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r>
        <w:rPr>
          <w:rFonts w:ascii="宋体" w:hAnsi="宋体" w:cs="宋体"/>
          <w:color w:val="000000" w:themeColor="text1"/>
          <w:sz w:val="24"/>
          <w14:textFill>
            <w14:solidFill>
              <w14:schemeClr w14:val="tx1"/>
            </w14:solidFill>
          </w14:textFill>
        </w:rPr>
        <w:t xml:space="preserve">根据业务需要测试、部署软件新功能。 </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w:t>
      </w:r>
      <w:r>
        <w:rPr>
          <w:rFonts w:ascii="宋体" w:hAnsi="宋体" w:cs="宋体"/>
          <w:color w:val="000000" w:themeColor="text1"/>
          <w:sz w:val="24"/>
          <w14:textFill>
            <w14:solidFill>
              <w14:schemeClr w14:val="tx1"/>
            </w14:solidFill>
          </w14:textFill>
        </w:rPr>
        <w:t>其他不可预测的问题维护</w:t>
      </w:r>
    </w:p>
    <w:p>
      <w:pPr>
        <w:spacing w:before="156" w:beforeLines="50"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(2）系统所涉及的服务器数据库软件系统的维护</w:t>
      </w:r>
    </w:p>
    <w:p>
      <w:pPr>
        <w:spacing w:line="360" w:lineRule="auto"/>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1）须对数据进行科学整理、不断清除数据垃圾； </w:t>
      </w:r>
    </w:p>
    <w:p>
      <w:pPr>
        <w:spacing w:line="360" w:lineRule="auto"/>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2）数据库系统及时升级（打补丁等操作）：随着系统不断升级（包括打补丁），须在不影响客户正常业务的情况下为系统升级。</w:t>
      </w:r>
    </w:p>
    <w:p>
      <w:pPr>
        <w:spacing w:line="360" w:lineRule="auto"/>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3）数据库系统优化；系统每天会产生大量的数据， 随着时间的推移，须优化、整理这些数据，提高软件运行质量和工作人员的工作效率。</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4）系统</w:t>
      </w:r>
      <w:r>
        <w:rPr>
          <w:rFonts w:ascii="宋体" w:hAnsi="宋体" w:cs="宋体"/>
          <w:color w:val="000000" w:themeColor="text1"/>
          <w:sz w:val="24"/>
          <w14:textFill>
            <w14:solidFill>
              <w14:schemeClr w14:val="tx1"/>
            </w14:solidFill>
          </w14:textFill>
        </w:rPr>
        <w:t>支持 ANSI SQL 标准和主流编程语言接口/开发框架。支持行列融合存储技术，在兼顾 OLAP 和 OLTP 的同时，满足超大规模并发事务处理和事务</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分析混合型业务处理HTAP混合应用场景。</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系统支持</w:t>
      </w:r>
      <w:r>
        <w:rPr>
          <w:rFonts w:ascii="宋体" w:hAnsi="宋体" w:cs="宋体"/>
          <w:color w:val="000000" w:themeColor="text1"/>
          <w:sz w:val="24"/>
          <w14:textFill>
            <w14:solidFill>
              <w14:schemeClr w14:val="tx1"/>
            </w14:solidFill>
          </w14:textFill>
        </w:rPr>
        <w:t xml:space="preserve">数据库数据的本地备份和转储：为了防范意外发生，运维要定期地为软件系统产生的数据进行备份，一旦意外发生，须快速恢复系统。 </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6）系统支持单节点数据库容量最大支持TB级以上，支持TB级以上单表数据装载以及基于TB级别以上数据的新增、修改、查询、删除操作。</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r>
        <w:rPr>
          <w:rFonts w:ascii="宋体" w:hAnsi="宋体" w:cs="宋体"/>
          <w:color w:val="000000" w:themeColor="text1"/>
          <w:sz w:val="24"/>
          <w14:textFill>
            <w14:solidFill>
              <w14:schemeClr w14:val="tx1"/>
            </w14:solidFill>
          </w14:textFill>
        </w:rPr>
        <w:t>）操作系统、数据库系统、基础软件等的重新安装、配置等。</w:t>
      </w:r>
    </w:p>
    <w:p>
      <w:pPr>
        <w:spacing w:before="156" w:beforeLines="50"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(3）系统应用软件的其他维护 </w:t>
      </w:r>
    </w:p>
    <w:p>
      <w:pPr>
        <w:spacing w:line="360" w:lineRule="auto"/>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1）软件现有功能的维护，保证数据的正确性和可靠性；</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2）包括各重要应用系统中使用的各类数据库，能够监视数据库系统的运行状况和性能情况。</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3）系统支持多版本并发控制和完整的事务隔离级别，具有不同隔离级别下的事务处理能力，支持读未提交、读已提交、串行化等隔离级别。</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4）系统支持嵌套事务，支持自治事务，支持事务的原子性、一致性、隔离性和持久性特性，支持数据库的表、行等多级别的锁机制，支持高并发场景下的事务处理。</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5）系统支持对同构及异构数据库互连，实现数据查询。支持外部链接DBLINK，支持对异构数据库上的表、视图进行数据增加、删除、查询、修改操作。</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ascii="宋体" w:hAnsi="宋体" w:cs="宋体"/>
          <w:color w:val="000000" w:themeColor="text1"/>
          <w:sz w:val="24"/>
          <w14:textFill>
            <w14:solidFill>
              <w14:schemeClr w14:val="tx1"/>
            </w14:solidFill>
          </w14:textFill>
        </w:rPr>
        <w:t xml:space="preserve">）不断对调整后软件使用过程中出现的问题进行诊断、检测、分析和处理； </w:t>
      </w:r>
    </w:p>
    <w:p>
      <w:pPr>
        <w:pStyle w:val="17"/>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7）系统支持事务－分析混合型业务处理的能力，满足用户对HTAP应用场景的需求。具备变更缓存、高级日志两个关键特性，弥合行存储与列存储的鸿沟。</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r>
        <w:rPr>
          <w:rFonts w:ascii="宋体" w:hAnsi="宋体" w:cs="宋体"/>
          <w:color w:val="000000" w:themeColor="text1"/>
          <w:sz w:val="24"/>
          <w14:textFill>
            <w14:solidFill>
              <w14:schemeClr w14:val="tx1"/>
            </w14:solidFill>
          </w14:textFill>
        </w:rPr>
        <w:t xml:space="preserve">）当出现数据错误或不能工作时，负责检测和分析，并尽快排除故障； </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r>
        <w:rPr>
          <w:rFonts w:ascii="宋体" w:hAnsi="宋体" w:cs="宋体"/>
          <w:color w:val="000000" w:themeColor="text1"/>
          <w:sz w:val="24"/>
          <w14:textFill>
            <w14:solidFill>
              <w14:schemeClr w14:val="tx1"/>
            </w14:solidFill>
          </w14:textFill>
        </w:rPr>
        <w:t xml:space="preserve">）在出现系统整体速度减慢影响业务之前，负责检测和分析，并尽快做出预防性处置，保证系统的正常运行； </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r>
        <w:rPr>
          <w:rFonts w:ascii="宋体" w:hAnsi="宋体" w:cs="宋体"/>
          <w:color w:val="000000" w:themeColor="text1"/>
          <w:sz w:val="24"/>
          <w14:textFill>
            <w14:solidFill>
              <w14:schemeClr w14:val="tx1"/>
            </w14:solidFill>
          </w14:textFill>
        </w:rPr>
        <w:t xml:space="preserve">）现有软件功能漏洞修复、bug修改等；可在源代码的基础上进行编译，发布部署； </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r>
        <w:rPr>
          <w:rFonts w:ascii="宋体" w:hAnsi="宋体" w:cs="宋体"/>
          <w:color w:val="000000" w:themeColor="text1"/>
          <w:sz w:val="24"/>
          <w14:textFill>
            <w14:solidFill>
              <w14:schemeClr w14:val="tx1"/>
            </w14:solidFill>
          </w14:textFill>
        </w:rPr>
        <w:t xml:space="preserve">）负责在现有表单系统基础上的表单更新和修改； </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r>
        <w:rPr>
          <w:rFonts w:ascii="宋体" w:hAnsi="宋体" w:cs="宋体"/>
          <w:color w:val="000000" w:themeColor="text1"/>
          <w:sz w:val="24"/>
          <w14:textFill>
            <w14:solidFill>
              <w14:schemeClr w14:val="tx1"/>
            </w14:solidFill>
          </w14:textFill>
        </w:rPr>
        <w:t xml:space="preserve">）负责在现有业务流程系统基础上的流程更新和修改； </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w:t>
      </w:r>
      <w:r>
        <w:rPr>
          <w:rFonts w:ascii="宋体" w:hAnsi="宋体" w:cs="宋体"/>
          <w:color w:val="000000" w:themeColor="text1"/>
          <w:sz w:val="24"/>
          <w14:textFill>
            <w14:solidFill>
              <w14:schemeClr w14:val="tx1"/>
            </w14:solidFill>
          </w14:textFill>
        </w:rPr>
        <w:t>）负责各功能模块对客户的二次培训；</w:t>
      </w:r>
    </w:p>
    <w:p>
      <w:pPr>
        <w:spacing w:before="156" w:beforeLines="50" w:after="156" w:afterLines="50" w:line="360" w:lineRule="auto"/>
        <w:ind w:firstLine="482"/>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3.保密要求</w:t>
      </w:r>
    </w:p>
    <w:p>
      <w:pPr>
        <w:numPr>
          <w:ilvl w:val="0"/>
          <w:numId w:val="9"/>
        </w:numPr>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中标人必须严格遵守《档案法》和《保密法》，与采购人签订《保密协议》，对项目涉及的档案信息、个人信息（隐私）承担保密义务，须对参与项目的人员进行保密安全教育，以防止泄密事件的发生，并与项目人员签订《保密协议》交采购人备案。</w:t>
      </w:r>
    </w:p>
    <w:p>
      <w:pPr>
        <w:numPr>
          <w:ilvl w:val="0"/>
          <w:numId w:val="9"/>
        </w:numPr>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中标人须建立严格的保密制度，采取安全保密措施，严格安全保密管理，定期做好自查整改，严禁发生信息泄露行为，不得涂改、损坏实体档案，不得随意删除、增加、修改电子档案。出现违法行为的，采购人将追究法律责任。</w:t>
      </w:r>
    </w:p>
    <w:p>
      <w:pPr>
        <w:numPr>
          <w:ilvl w:val="0"/>
          <w:numId w:val="9"/>
        </w:numPr>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严禁发生档案安全责任事故。中标人工作人员不得以任何方式复制、下载、留存、持有、使用和向外人泄露采购人的任何档案信息。如发生遗失、复制、泄露等安全事故，全部由中标人负责，采购人将依照《档案法》等规定进行处理；对情节严重的，采购人暂停中标人全部工作，按有关法规进行处罚，并责成中标人进行整改，所耽误的工作进度由中标人自行负责；情节特别严重的，还要承担相应的刑事责任，并视为中标人违约，由此造成采购人的一切损失由中标人承担。</w:t>
      </w:r>
    </w:p>
    <w:p>
      <w:pPr>
        <w:spacing w:before="156" w:beforeLines="50" w:after="156" w:afterLines="50" w:line="360" w:lineRule="auto"/>
        <w:ind w:firstLine="482"/>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4. 软件系统其它要求</w:t>
      </w:r>
    </w:p>
    <w:p>
      <w:pPr>
        <w:pStyle w:val="116"/>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在应用国产操作系统过程中，采购人可能依据硬件兼容性对上述系统平台做相应的功能模块调整，中标人必须对提供产品做相应的修改。</w:t>
      </w:r>
    </w:p>
    <w:p>
      <w:pPr>
        <w:spacing w:before="156" w:beforeLines="50" w:after="156" w:afterLines="50" w:line="360" w:lineRule="auto"/>
        <w:ind w:firstLine="482"/>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5.软件实施要求</w:t>
      </w:r>
    </w:p>
    <w:p>
      <w:pPr>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(1）为了保证项目进度，在合同签订后30天内完成流动人员人事档案服务平台的安装部署，升级长春市就业服务局和长春市人才服务中心现有软件，满足用户使用需要。</w:t>
      </w:r>
    </w:p>
    <w:p>
      <w:pPr>
        <w:pStyle w:val="17"/>
        <w:numPr>
          <w:ilvl w:val="0"/>
          <w:numId w:val="1"/>
        </w:numPr>
        <w:spacing w:line="360" w:lineRule="auto"/>
        <w:ind w:firstLine="482"/>
        <w:outlineLvl w:val="0"/>
        <w:rPr>
          <w:rFonts w:ascii="宋体" w:hAnsi="宋体" w:cs="宋体"/>
          <w:b/>
          <w:bCs/>
          <w:color w:val="000000" w:themeColor="text1"/>
          <w:sz w:val="24"/>
          <w:szCs w:val="28"/>
          <w14:textFill>
            <w14:solidFill>
              <w14:schemeClr w14:val="tx1"/>
            </w14:solidFill>
          </w14:textFill>
        </w:rPr>
      </w:pPr>
      <w:bookmarkStart w:id="806" w:name="_Toc15223"/>
      <w:r>
        <w:rPr>
          <w:rFonts w:hint="eastAsia" w:ascii="宋体" w:hAnsi="宋体" w:cs="宋体"/>
          <w:b/>
          <w:bCs/>
          <w:color w:val="000000" w:themeColor="text1"/>
          <w:sz w:val="24"/>
          <w:szCs w:val="28"/>
          <w14:textFill>
            <w14:solidFill>
              <w14:schemeClr w14:val="tx1"/>
            </w14:solidFill>
          </w14:textFill>
        </w:rPr>
        <w:t>其他要求</w:t>
      </w:r>
      <w:bookmarkEnd w:id="806"/>
    </w:p>
    <w:tbl>
      <w:tblPr>
        <w:tblStyle w:val="43"/>
        <w:tblpPr w:leftFromText="180" w:rightFromText="180" w:vertAnchor="text" w:horzAnchor="page" w:tblpXSpec="center" w:tblpY="180"/>
        <w:tblOverlap w:val="never"/>
        <w:tblW w:w="499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40"/>
        <w:gridCol w:w="1540"/>
        <w:gridCol w:w="62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34" w:type="pct"/>
            <w:vAlign w:val="center"/>
          </w:tcPr>
          <w:p>
            <w:pPr>
              <w:jc w:val="center"/>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序号</w:t>
            </w:r>
          </w:p>
        </w:tc>
        <w:tc>
          <w:tcPr>
            <w:tcW w:w="904" w:type="pct"/>
            <w:vAlign w:val="center"/>
          </w:tcPr>
          <w:p>
            <w:pPr>
              <w:jc w:val="center"/>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内容</w:t>
            </w:r>
          </w:p>
        </w:tc>
        <w:tc>
          <w:tcPr>
            <w:tcW w:w="3660" w:type="pct"/>
            <w:vAlign w:val="center"/>
          </w:tcPr>
          <w:p>
            <w:pPr>
              <w:jc w:val="center"/>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34" w:type="pct"/>
            <w:vAlign w:val="center"/>
          </w:tcPr>
          <w:p>
            <w:pPr>
              <w:jc w:val="center"/>
              <w:rPr>
                <w:rFonts w:ascii="宋体" w:hAnsi="宋体"/>
                <w:bCs/>
                <w:color w:val="000000" w:themeColor="text1"/>
                <w:kern w:val="0"/>
                <w:szCs w:val="21"/>
                <w14:textFill>
                  <w14:solidFill>
                    <w14:schemeClr w14:val="tx1"/>
                  </w14:solidFill>
                </w14:textFill>
              </w:rPr>
            </w:pPr>
            <w:r>
              <w:rPr>
                <w:rFonts w:hint="eastAsia" w:ascii="宋体" w:hAnsi="宋体"/>
                <w:bCs/>
                <w:color w:val="000000" w:themeColor="text1"/>
                <w:kern w:val="0"/>
                <w:szCs w:val="21"/>
                <w14:textFill>
                  <w14:solidFill>
                    <w14:schemeClr w14:val="tx1"/>
                  </w14:solidFill>
                </w14:textFill>
              </w:rPr>
              <w:t>1</w:t>
            </w:r>
          </w:p>
        </w:tc>
        <w:tc>
          <w:tcPr>
            <w:tcW w:w="904" w:type="pct"/>
            <w:vAlign w:val="center"/>
          </w:tcPr>
          <w:p>
            <w:pPr>
              <w:jc w:val="center"/>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服务期限</w:t>
            </w:r>
          </w:p>
        </w:tc>
        <w:tc>
          <w:tcPr>
            <w:tcW w:w="3660" w:type="pct"/>
            <w:vAlign w:val="center"/>
          </w:tcPr>
          <w:p>
            <w:pPr>
              <w:rPr>
                <w:rFonts w:ascii="宋体" w:hAnsi="宋体"/>
                <w:bCs/>
                <w:color w:val="000000" w:themeColor="text1"/>
                <w:kern w:val="0"/>
                <w:szCs w:val="21"/>
                <w14:textFill>
                  <w14:solidFill>
                    <w14:schemeClr w14:val="tx1"/>
                  </w14:solidFill>
                </w14:textFill>
              </w:rPr>
            </w:pPr>
            <w:r>
              <w:rPr>
                <w:rFonts w:hint="eastAsia" w:ascii="宋体" w:hAnsi="宋体"/>
                <w:bCs/>
                <w:color w:val="000000" w:themeColor="text1"/>
                <w:kern w:val="0"/>
                <w:szCs w:val="21"/>
                <w14:textFill>
                  <w14:solidFill>
                    <w14:schemeClr w14:val="tx1"/>
                  </w14:solidFill>
                </w14:textFill>
              </w:rPr>
              <w:t>档案支撑服务周期为合同签订之日起3年，档案加工周期为合同签订之日起180日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434" w:type="pct"/>
            <w:vAlign w:val="center"/>
          </w:tcPr>
          <w:p>
            <w:pPr>
              <w:jc w:val="center"/>
              <w:rPr>
                <w:rFonts w:ascii="宋体" w:hAnsi="宋体"/>
                <w:bCs/>
                <w:color w:val="000000" w:themeColor="text1"/>
                <w:kern w:val="0"/>
                <w:szCs w:val="21"/>
                <w14:textFill>
                  <w14:solidFill>
                    <w14:schemeClr w14:val="tx1"/>
                  </w14:solidFill>
                </w14:textFill>
              </w:rPr>
            </w:pPr>
            <w:r>
              <w:rPr>
                <w:rFonts w:hint="eastAsia" w:ascii="宋体" w:hAnsi="宋体"/>
                <w:bCs/>
                <w:color w:val="000000" w:themeColor="text1"/>
                <w:kern w:val="0"/>
                <w:szCs w:val="21"/>
                <w14:textFill>
                  <w14:solidFill>
                    <w14:schemeClr w14:val="tx1"/>
                  </w14:solidFill>
                </w14:textFill>
              </w:rPr>
              <w:t>2</w:t>
            </w:r>
          </w:p>
        </w:tc>
        <w:tc>
          <w:tcPr>
            <w:tcW w:w="904" w:type="pct"/>
            <w:vAlign w:val="center"/>
          </w:tcPr>
          <w:p>
            <w:pPr>
              <w:jc w:val="center"/>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服务地点</w:t>
            </w:r>
          </w:p>
        </w:tc>
        <w:tc>
          <w:tcPr>
            <w:tcW w:w="3660" w:type="pct"/>
            <w:vAlign w:val="center"/>
          </w:tcPr>
          <w:p>
            <w:pPr>
              <w:rPr>
                <w:rFonts w:ascii="宋体" w:hAnsi="宋体"/>
                <w:bCs/>
                <w:color w:val="000000" w:themeColor="text1"/>
                <w:kern w:val="0"/>
                <w:szCs w:val="21"/>
                <w14:textFill>
                  <w14:solidFill>
                    <w14:schemeClr w14:val="tx1"/>
                  </w14:solidFill>
                </w14:textFill>
              </w:rPr>
            </w:pPr>
            <w:r>
              <w:rPr>
                <w:rFonts w:hint="eastAsia" w:ascii="宋体" w:hAnsi="宋体"/>
                <w:bCs/>
                <w:color w:val="000000" w:themeColor="text1"/>
                <w:kern w:val="0"/>
                <w:szCs w:val="21"/>
                <w14:textFill>
                  <w14:solidFill>
                    <w14:schemeClr w14:val="tx1"/>
                  </w14:solidFill>
                </w14:textFill>
              </w:rPr>
              <w:t>长春市就业服务局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34" w:type="pct"/>
            <w:vAlign w:val="center"/>
          </w:tcPr>
          <w:p>
            <w:pPr>
              <w:snapToGrid w:val="0"/>
              <w:jc w:val="center"/>
              <w:rPr>
                <w:rFonts w:ascii="宋体" w:hAnsi="宋体"/>
                <w:bCs/>
                <w:color w:val="000000" w:themeColor="text1"/>
                <w:kern w:val="0"/>
                <w:szCs w:val="21"/>
                <w14:textFill>
                  <w14:solidFill>
                    <w14:schemeClr w14:val="tx1"/>
                  </w14:solidFill>
                </w14:textFill>
              </w:rPr>
            </w:pPr>
            <w:r>
              <w:rPr>
                <w:rFonts w:hint="eastAsia" w:ascii="宋体" w:hAnsi="宋体"/>
                <w:bCs/>
                <w:color w:val="000000" w:themeColor="text1"/>
                <w:kern w:val="0"/>
                <w:szCs w:val="21"/>
                <w14:textFill>
                  <w14:solidFill>
                    <w14:schemeClr w14:val="tx1"/>
                  </w14:solidFill>
                </w14:textFill>
              </w:rPr>
              <w:t>3</w:t>
            </w:r>
          </w:p>
        </w:tc>
        <w:tc>
          <w:tcPr>
            <w:tcW w:w="904" w:type="pct"/>
            <w:vAlign w:val="center"/>
          </w:tcPr>
          <w:p>
            <w:pPr>
              <w:snapToGrid w:val="0"/>
              <w:jc w:val="center"/>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报价要求</w:t>
            </w:r>
          </w:p>
        </w:tc>
        <w:tc>
          <w:tcPr>
            <w:tcW w:w="3660" w:type="pct"/>
            <w:vAlign w:val="center"/>
          </w:tcPr>
          <w:p>
            <w:pPr>
              <w:rPr>
                <w:rFonts w:ascii="宋体" w:hAnsi="宋体"/>
                <w:bCs/>
                <w:color w:val="000000" w:themeColor="text1"/>
                <w:kern w:val="0"/>
                <w:szCs w:val="21"/>
                <w14:textFill>
                  <w14:solidFill>
                    <w14:schemeClr w14:val="tx1"/>
                  </w14:solidFill>
                </w14:textFill>
              </w:rPr>
            </w:pPr>
            <w:r>
              <w:rPr>
                <w:rFonts w:hint="eastAsia" w:ascii="宋体" w:hAnsi="宋体"/>
                <w:bCs/>
                <w:color w:val="000000" w:themeColor="text1"/>
                <w:kern w:val="0"/>
                <w:szCs w:val="21"/>
                <w14:textFill>
                  <w14:solidFill>
                    <w14:schemeClr w14:val="tx1"/>
                  </w14:solidFill>
                </w14:textFill>
              </w:rPr>
              <w:t>供应商的报价应当包含为完成本项目全部工作所需的一切费用，包括成本、利润、税金等。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34" w:type="pct"/>
            <w:vAlign w:val="center"/>
          </w:tcPr>
          <w:p>
            <w:pPr>
              <w:snapToGrid w:val="0"/>
              <w:jc w:val="center"/>
              <w:rPr>
                <w:rFonts w:ascii="宋体" w:hAnsi="宋体"/>
                <w:bCs/>
                <w:color w:val="000000" w:themeColor="text1"/>
                <w:kern w:val="0"/>
                <w:szCs w:val="21"/>
                <w14:textFill>
                  <w14:solidFill>
                    <w14:schemeClr w14:val="tx1"/>
                  </w14:solidFill>
                </w14:textFill>
              </w:rPr>
            </w:pPr>
            <w:r>
              <w:rPr>
                <w:rFonts w:hint="eastAsia" w:ascii="宋体" w:hAnsi="宋体"/>
                <w:bCs/>
                <w:color w:val="000000" w:themeColor="text1"/>
                <w:kern w:val="0"/>
                <w:szCs w:val="21"/>
                <w14:textFill>
                  <w14:solidFill>
                    <w14:schemeClr w14:val="tx1"/>
                  </w14:solidFill>
                </w14:textFill>
              </w:rPr>
              <w:t>4</w:t>
            </w:r>
          </w:p>
        </w:tc>
        <w:tc>
          <w:tcPr>
            <w:tcW w:w="904" w:type="pct"/>
            <w:vAlign w:val="center"/>
          </w:tcPr>
          <w:p>
            <w:pPr>
              <w:snapToGrid w:val="0"/>
              <w:jc w:val="center"/>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其他要求</w:t>
            </w:r>
          </w:p>
        </w:tc>
        <w:tc>
          <w:tcPr>
            <w:tcW w:w="3660" w:type="pct"/>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1、质保期内提供7*24小时电话服务，10分钟内响应，30分钟到达现场。免费提供软件使用培训。</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2、服务期间提供5名技术服务人员，提供现场技术支撑和产品培训指导，保障应用部门正常使用。</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3、服务期内提供现场服务使用的设备，并免费提供备品备件，保障平台系统正常运行，所提供加工设备应符合涉密信息设备使用保密管理的有关规定。</w:t>
            </w:r>
          </w:p>
        </w:tc>
      </w:tr>
    </w:tbl>
    <w:p>
      <w:pPr>
        <w:pStyle w:val="42"/>
      </w:pPr>
    </w:p>
    <w:p/>
    <w:p>
      <w:pPr>
        <w:pStyle w:val="42"/>
      </w:pPr>
    </w:p>
    <w:p/>
    <w:p>
      <w:pPr>
        <w:rPr>
          <w:rFonts w:ascii="黑体" w:hAnsi="黑体" w:eastAsia="黑体" w:cs="黑体"/>
          <w:b/>
          <w:bCs/>
          <w:color w:val="000000"/>
          <w:sz w:val="44"/>
          <w:szCs w:val="44"/>
        </w:rPr>
      </w:pPr>
    </w:p>
    <w:p>
      <w:pPr>
        <w:pStyle w:val="17"/>
      </w:pPr>
    </w:p>
    <w:p>
      <w:pPr>
        <w:pStyle w:val="2"/>
        <w:spacing w:before="0" w:after="0" w:line="300" w:lineRule="auto"/>
        <w:jc w:val="center"/>
        <w:rPr>
          <w:rFonts w:ascii="黑体" w:hAnsi="黑体" w:eastAsia="黑体" w:cs="黑体"/>
          <w:color w:val="000000"/>
          <w:kern w:val="2"/>
        </w:rPr>
      </w:pPr>
    </w:p>
    <w:p/>
    <w:p>
      <w:pPr>
        <w:pStyle w:val="2"/>
        <w:spacing w:before="0" w:after="0" w:line="300" w:lineRule="auto"/>
        <w:jc w:val="center"/>
        <w:rPr>
          <w:rFonts w:ascii="黑体" w:hAnsi="黑体" w:eastAsia="黑体" w:cs="黑体"/>
          <w:color w:val="000000"/>
          <w:kern w:val="2"/>
        </w:rPr>
      </w:pPr>
    </w:p>
    <w:p>
      <w:pPr>
        <w:rPr>
          <w:rFonts w:ascii="黑体" w:hAnsi="黑体" w:eastAsia="黑体" w:cs="黑体"/>
          <w:color w:val="000000"/>
        </w:rPr>
      </w:pPr>
    </w:p>
    <w:p>
      <w:pPr>
        <w:rPr>
          <w:rFonts w:ascii="黑体" w:hAnsi="黑体" w:eastAsia="黑体" w:cs="黑体"/>
          <w:color w:val="000000"/>
        </w:rPr>
      </w:pPr>
    </w:p>
    <w:p>
      <w:pPr>
        <w:rPr>
          <w:rFonts w:ascii="黑体" w:hAnsi="黑体" w:eastAsia="黑体" w:cs="黑体"/>
          <w:color w:val="000000"/>
        </w:rPr>
      </w:pPr>
    </w:p>
    <w:p>
      <w:pPr>
        <w:rPr>
          <w:rFonts w:ascii="黑体" w:hAnsi="黑体" w:eastAsia="黑体" w:cs="黑体"/>
          <w:color w:val="000000"/>
        </w:rPr>
      </w:pPr>
    </w:p>
    <w:p>
      <w:pPr>
        <w:rPr>
          <w:rFonts w:ascii="黑体" w:hAnsi="黑体" w:eastAsia="黑体" w:cs="黑体"/>
          <w:color w:val="000000"/>
        </w:rPr>
      </w:pPr>
    </w:p>
    <w:p>
      <w:pPr>
        <w:rPr>
          <w:rFonts w:ascii="黑体" w:hAnsi="黑体" w:eastAsia="黑体" w:cs="黑体"/>
          <w:color w:val="000000"/>
        </w:rPr>
      </w:pPr>
    </w:p>
    <w:p>
      <w:pPr>
        <w:rPr>
          <w:rFonts w:ascii="黑体" w:hAnsi="黑体" w:eastAsia="黑体" w:cs="黑体"/>
          <w:color w:val="000000"/>
        </w:rPr>
      </w:pPr>
    </w:p>
    <w:p>
      <w:pPr>
        <w:rPr>
          <w:rFonts w:ascii="黑体" w:hAnsi="黑体" w:eastAsia="黑体" w:cs="黑体"/>
          <w:color w:val="000000"/>
        </w:rPr>
      </w:pPr>
    </w:p>
    <w:p>
      <w:pPr>
        <w:rPr>
          <w:rFonts w:ascii="黑体" w:hAnsi="黑体" w:eastAsia="黑体" w:cs="黑体"/>
          <w:color w:val="000000"/>
        </w:rPr>
      </w:pPr>
    </w:p>
    <w:p>
      <w:pPr>
        <w:rPr>
          <w:rFonts w:hint="eastAsia" w:ascii="黑体" w:hAnsi="黑体" w:eastAsia="黑体" w:cs="黑体"/>
          <w:color w:val="000000"/>
        </w:rPr>
      </w:pPr>
    </w:p>
    <w:p>
      <w:pPr>
        <w:rPr>
          <w:rFonts w:hint="eastAsia" w:ascii="黑体" w:hAnsi="黑体" w:eastAsia="黑体" w:cs="黑体"/>
          <w:color w:val="000000"/>
        </w:rPr>
      </w:pPr>
    </w:p>
    <w:p>
      <w:pPr>
        <w:rPr>
          <w:rFonts w:hint="eastAsia" w:ascii="黑体" w:hAnsi="黑体" w:eastAsia="黑体" w:cs="黑体"/>
          <w:color w:val="000000"/>
        </w:rPr>
      </w:pPr>
    </w:p>
    <w:p>
      <w:pPr>
        <w:rPr>
          <w:rFonts w:hint="eastAsia" w:ascii="黑体" w:hAnsi="黑体" w:eastAsia="黑体" w:cs="黑体"/>
          <w:color w:val="000000"/>
        </w:rPr>
      </w:pPr>
    </w:p>
    <w:p>
      <w:pPr>
        <w:rPr>
          <w:rFonts w:hint="eastAsia" w:ascii="黑体" w:hAnsi="黑体" w:eastAsia="黑体" w:cs="黑体"/>
          <w:color w:val="000000"/>
        </w:rPr>
      </w:pPr>
    </w:p>
    <w:p>
      <w:pPr>
        <w:rPr>
          <w:rFonts w:hint="eastAsia" w:ascii="黑体" w:hAnsi="黑体" w:eastAsia="黑体" w:cs="黑体"/>
          <w:color w:val="000000"/>
        </w:rPr>
      </w:pPr>
    </w:p>
    <w:p>
      <w:pPr>
        <w:rPr>
          <w:rFonts w:hint="eastAsia" w:ascii="黑体" w:hAnsi="黑体" w:eastAsia="黑体" w:cs="黑体"/>
          <w:color w:val="000000"/>
        </w:rPr>
      </w:pPr>
    </w:p>
    <w:p>
      <w:pPr>
        <w:rPr>
          <w:rFonts w:hint="eastAsia" w:ascii="黑体" w:hAnsi="黑体" w:eastAsia="黑体" w:cs="黑体"/>
          <w:color w:val="000000"/>
        </w:rPr>
      </w:pPr>
    </w:p>
    <w:p>
      <w:pPr>
        <w:rPr>
          <w:rFonts w:hint="eastAsia" w:ascii="黑体" w:hAnsi="黑体" w:eastAsia="黑体" w:cs="黑体"/>
          <w:color w:val="000000"/>
        </w:rPr>
      </w:pPr>
    </w:p>
    <w:p>
      <w:pPr>
        <w:rPr>
          <w:rFonts w:hint="eastAsia" w:ascii="黑体" w:hAnsi="黑体" w:eastAsia="黑体" w:cs="黑体"/>
          <w:color w:val="000000"/>
        </w:rPr>
      </w:pPr>
    </w:p>
    <w:p>
      <w:pPr>
        <w:rPr>
          <w:rFonts w:hint="eastAsia" w:ascii="黑体" w:hAnsi="黑体" w:eastAsia="黑体" w:cs="黑体"/>
          <w:color w:val="000000"/>
        </w:rPr>
      </w:pPr>
    </w:p>
    <w:p>
      <w:pPr>
        <w:rPr>
          <w:rFonts w:hint="eastAsia" w:ascii="黑体" w:hAnsi="黑体" w:eastAsia="黑体" w:cs="黑体"/>
          <w:color w:val="000000"/>
        </w:rPr>
      </w:pPr>
    </w:p>
    <w:p>
      <w:pPr>
        <w:rPr>
          <w:rFonts w:hint="eastAsia" w:ascii="黑体" w:hAnsi="黑体" w:eastAsia="黑体" w:cs="黑体"/>
          <w:color w:val="000000"/>
        </w:rPr>
      </w:pPr>
    </w:p>
    <w:p>
      <w:pPr>
        <w:rPr>
          <w:rFonts w:hint="eastAsia" w:ascii="黑体" w:hAnsi="黑体" w:eastAsia="黑体" w:cs="黑体"/>
          <w:color w:val="000000"/>
        </w:rPr>
      </w:pPr>
    </w:p>
    <w:p>
      <w:pPr>
        <w:rPr>
          <w:rFonts w:hint="eastAsia" w:ascii="黑体" w:hAnsi="黑体" w:eastAsia="黑体" w:cs="黑体"/>
          <w:color w:val="000000"/>
        </w:rPr>
      </w:pPr>
    </w:p>
    <w:p>
      <w:pPr>
        <w:rPr>
          <w:rFonts w:ascii="黑体" w:hAnsi="黑体" w:eastAsia="黑体" w:cs="黑体"/>
          <w:color w:val="000000"/>
        </w:rPr>
      </w:pPr>
    </w:p>
    <w:p>
      <w:pPr>
        <w:pStyle w:val="2"/>
        <w:spacing w:before="0" w:after="0" w:line="300" w:lineRule="auto"/>
        <w:rPr>
          <w:rFonts w:ascii="黑体" w:hAnsi="黑体" w:eastAsia="黑体" w:cs="黑体"/>
          <w:color w:val="000000"/>
          <w:kern w:val="2"/>
        </w:rPr>
      </w:pPr>
    </w:p>
    <w:p>
      <w:pPr>
        <w:pStyle w:val="2"/>
        <w:spacing w:before="0" w:after="0" w:line="300" w:lineRule="auto"/>
        <w:jc w:val="center"/>
        <w:rPr>
          <w:rFonts w:hint="eastAsia" w:ascii="黑体" w:hAnsi="黑体" w:eastAsia="黑体" w:cs="黑体"/>
          <w:color w:val="000000"/>
          <w:kern w:val="2"/>
        </w:rPr>
      </w:pPr>
    </w:p>
    <w:p>
      <w:pPr>
        <w:pStyle w:val="2"/>
        <w:spacing w:before="0" w:after="0" w:line="300" w:lineRule="auto"/>
        <w:jc w:val="center"/>
        <w:rPr>
          <w:rFonts w:ascii="黑体" w:hAnsi="黑体" w:eastAsia="黑体" w:cs="黑体"/>
          <w:color w:val="000000"/>
          <w:kern w:val="2"/>
        </w:rPr>
      </w:pPr>
      <w:r>
        <w:rPr>
          <w:rFonts w:hint="eastAsia" w:ascii="黑体" w:hAnsi="黑体" w:eastAsia="黑体" w:cs="黑体"/>
          <w:color w:val="000000"/>
          <w:kern w:val="2"/>
        </w:rPr>
        <w:t>第六章  投标文件格式</w:t>
      </w:r>
      <w:bookmarkEnd w:id="789"/>
      <w:bookmarkEnd w:id="790"/>
      <w:bookmarkEnd w:id="791"/>
      <w:bookmarkEnd w:id="792"/>
      <w:bookmarkEnd w:id="793"/>
      <w:bookmarkEnd w:id="794"/>
      <w:bookmarkEnd w:id="795"/>
      <w:bookmarkEnd w:id="796"/>
      <w:bookmarkEnd w:id="797"/>
      <w:bookmarkEnd w:id="798"/>
    </w:p>
    <w:p>
      <w:pPr>
        <w:spacing w:line="400" w:lineRule="exact"/>
        <w:rPr>
          <w:rFonts w:ascii="宋体" w:hAnsi="宋体" w:cs="宋体"/>
          <w:color w:val="000000"/>
        </w:rPr>
      </w:pPr>
    </w:p>
    <w:p>
      <w:pPr>
        <w:spacing w:line="400" w:lineRule="exact"/>
        <w:ind w:firstLine="420" w:firstLineChars="200"/>
        <w:rPr>
          <w:rFonts w:ascii="宋体" w:hAnsi="宋体" w:cs="宋体"/>
          <w:color w:val="000000"/>
          <w:szCs w:val="21"/>
        </w:rPr>
      </w:pPr>
    </w:p>
    <w:p>
      <w:pPr>
        <w:spacing w:line="440" w:lineRule="exact"/>
        <w:rPr>
          <w:rFonts w:ascii="宋体" w:hAnsi="宋体" w:cs="宋体"/>
          <w:color w:val="000000"/>
          <w:sz w:val="20"/>
          <w:szCs w:val="20"/>
        </w:rPr>
      </w:pPr>
    </w:p>
    <w:p>
      <w:pPr>
        <w:pStyle w:val="42"/>
        <w:ind w:firstLine="400"/>
        <w:rPr>
          <w:rFonts w:ascii="宋体" w:hAnsi="宋体" w:cs="宋体"/>
          <w:color w:val="000000"/>
          <w:sz w:val="20"/>
          <w:szCs w:val="20"/>
        </w:rPr>
      </w:pPr>
    </w:p>
    <w:p>
      <w:pPr>
        <w:rPr>
          <w:rFonts w:ascii="宋体" w:hAnsi="宋体" w:cs="宋体"/>
          <w:color w:val="000000"/>
          <w:sz w:val="20"/>
          <w:szCs w:val="20"/>
        </w:rPr>
      </w:pPr>
    </w:p>
    <w:p>
      <w:pPr>
        <w:pStyle w:val="42"/>
        <w:ind w:firstLine="400"/>
        <w:rPr>
          <w:rFonts w:ascii="宋体" w:hAnsi="宋体" w:cs="宋体"/>
          <w:color w:val="000000"/>
          <w:sz w:val="20"/>
          <w:szCs w:val="20"/>
        </w:rPr>
      </w:pPr>
    </w:p>
    <w:p>
      <w:pPr>
        <w:rPr>
          <w:rFonts w:hint="eastAsia" w:ascii="宋体" w:hAnsi="宋体" w:cs="宋体"/>
          <w:color w:val="000000"/>
          <w:sz w:val="20"/>
          <w:szCs w:val="20"/>
        </w:rPr>
      </w:pPr>
    </w:p>
    <w:p>
      <w:pPr>
        <w:rPr>
          <w:rFonts w:hint="eastAsia" w:ascii="宋体" w:hAnsi="宋体" w:cs="宋体"/>
          <w:color w:val="000000"/>
          <w:sz w:val="20"/>
          <w:szCs w:val="20"/>
        </w:rPr>
      </w:pPr>
    </w:p>
    <w:p>
      <w:pPr>
        <w:rPr>
          <w:rFonts w:hint="eastAsia" w:ascii="宋体" w:hAnsi="宋体" w:cs="宋体"/>
          <w:color w:val="000000"/>
          <w:sz w:val="20"/>
          <w:szCs w:val="20"/>
        </w:rPr>
      </w:pPr>
    </w:p>
    <w:p>
      <w:pPr>
        <w:rPr>
          <w:rFonts w:hint="eastAsia" w:ascii="宋体" w:hAnsi="宋体" w:cs="宋体"/>
          <w:color w:val="000000"/>
          <w:sz w:val="20"/>
          <w:szCs w:val="20"/>
        </w:rPr>
      </w:pPr>
    </w:p>
    <w:p>
      <w:pPr>
        <w:rPr>
          <w:rFonts w:hint="eastAsia" w:ascii="宋体" w:hAnsi="宋体" w:cs="宋体"/>
          <w:color w:val="000000"/>
          <w:sz w:val="20"/>
          <w:szCs w:val="20"/>
        </w:rPr>
      </w:pPr>
    </w:p>
    <w:p>
      <w:pPr>
        <w:rPr>
          <w:rFonts w:hint="eastAsia" w:ascii="宋体" w:hAnsi="宋体" w:cs="宋体"/>
          <w:color w:val="000000"/>
          <w:sz w:val="20"/>
          <w:szCs w:val="20"/>
        </w:rPr>
      </w:pPr>
    </w:p>
    <w:p>
      <w:pPr>
        <w:rPr>
          <w:rFonts w:hint="eastAsia" w:ascii="宋体" w:hAnsi="宋体" w:cs="宋体"/>
          <w:color w:val="000000"/>
          <w:sz w:val="20"/>
          <w:szCs w:val="20"/>
        </w:rPr>
      </w:pPr>
    </w:p>
    <w:p>
      <w:pPr>
        <w:rPr>
          <w:rFonts w:hint="eastAsia" w:ascii="宋体" w:hAnsi="宋体" w:cs="宋体"/>
          <w:color w:val="000000"/>
          <w:sz w:val="20"/>
          <w:szCs w:val="20"/>
        </w:rPr>
      </w:pPr>
    </w:p>
    <w:p>
      <w:pPr>
        <w:rPr>
          <w:rFonts w:hint="eastAsia" w:ascii="宋体" w:hAnsi="宋体" w:cs="宋体"/>
          <w:color w:val="000000"/>
          <w:sz w:val="20"/>
          <w:szCs w:val="20"/>
        </w:rPr>
      </w:pPr>
    </w:p>
    <w:p>
      <w:pPr>
        <w:rPr>
          <w:rFonts w:hint="eastAsia" w:ascii="宋体" w:hAnsi="宋体" w:cs="宋体"/>
          <w:color w:val="000000"/>
          <w:sz w:val="20"/>
          <w:szCs w:val="20"/>
        </w:rPr>
      </w:pPr>
    </w:p>
    <w:p>
      <w:pPr>
        <w:rPr>
          <w:rFonts w:hint="eastAsia" w:ascii="宋体" w:hAnsi="宋体" w:cs="宋体"/>
          <w:color w:val="000000"/>
          <w:sz w:val="20"/>
          <w:szCs w:val="20"/>
        </w:rPr>
      </w:pPr>
    </w:p>
    <w:p>
      <w:pPr>
        <w:rPr>
          <w:rFonts w:hint="eastAsia" w:ascii="宋体" w:hAnsi="宋体" w:cs="宋体"/>
          <w:color w:val="000000"/>
          <w:sz w:val="20"/>
          <w:szCs w:val="20"/>
        </w:rPr>
      </w:pPr>
    </w:p>
    <w:p>
      <w:pPr>
        <w:rPr>
          <w:rFonts w:hint="eastAsia" w:ascii="宋体" w:hAnsi="宋体" w:cs="宋体"/>
          <w:color w:val="000000"/>
          <w:sz w:val="20"/>
          <w:szCs w:val="20"/>
        </w:rPr>
      </w:pPr>
    </w:p>
    <w:p>
      <w:pPr>
        <w:rPr>
          <w:rFonts w:hint="eastAsia" w:ascii="宋体" w:hAnsi="宋体" w:cs="宋体"/>
          <w:color w:val="000000"/>
          <w:sz w:val="20"/>
          <w:szCs w:val="20"/>
        </w:rPr>
      </w:pPr>
    </w:p>
    <w:p>
      <w:pPr>
        <w:rPr>
          <w:rFonts w:hint="eastAsia" w:ascii="宋体" w:hAnsi="宋体" w:cs="宋体"/>
          <w:color w:val="000000"/>
          <w:sz w:val="20"/>
          <w:szCs w:val="20"/>
        </w:rPr>
      </w:pPr>
    </w:p>
    <w:p>
      <w:pPr>
        <w:rPr>
          <w:rFonts w:hint="eastAsia" w:ascii="宋体" w:hAnsi="宋体" w:cs="宋体"/>
          <w:color w:val="000000"/>
          <w:sz w:val="20"/>
          <w:szCs w:val="20"/>
        </w:rPr>
      </w:pPr>
    </w:p>
    <w:p>
      <w:pPr>
        <w:rPr>
          <w:rFonts w:hint="eastAsia" w:ascii="宋体" w:hAnsi="宋体" w:cs="宋体"/>
          <w:color w:val="000000"/>
          <w:sz w:val="20"/>
          <w:szCs w:val="20"/>
        </w:rPr>
      </w:pPr>
    </w:p>
    <w:p>
      <w:pPr>
        <w:rPr>
          <w:rFonts w:hint="eastAsia" w:ascii="宋体" w:hAnsi="宋体" w:cs="宋体"/>
          <w:color w:val="000000"/>
          <w:sz w:val="20"/>
          <w:szCs w:val="20"/>
        </w:rPr>
      </w:pPr>
    </w:p>
    <w:p>
      <w:pPr>
        <w:rPr>
          <w:rFonts w:hint="eastAsia" w:ascii="宋体" w:hAnsi="宋体" w:cs="宋体"/>
          <w:color w:val="000000"/>
          <w:sz w:val="20"/>
          <w:szCs w:val="20"/>
        </w:rPr>
      </w:pPr>
    </w:p>
    <w:p>
      <w:pPr>
        <w:rPr>
          <w:rFonts w:hint="eastAsia" w:ascii="宋体" w:hAnsi="宋体" w:cs="宋体"/>
          <w:color w:val="000000"/>
          <w:sz w:val="20"/>
          <w:szCs w:val="20"/>
        </w:rPr>
      </w:pPr>
    </w:p>
    <w:p>
      <w:pPr>
        <w:rPr>
          <w:rFonts w:hint="eastAsia" w:ascii="宋体" w:hAnsi="宋体" w:cs="宋体"/>
          <w:color w:val="000000"/>
          <w:sz w:val="20"/>
          <w:szCs w:val="20"/>
        </w:rPr>
      </w:pPr>
    </w:p>
    <w:p>
      <w:pPr>
        <w:rPr>
          <w:rFonts w:hint="eastAsia" w:ascii="宋体" w:hAnsi="宋体" w:cs="宋体"/>
          <w:color w:val="000000"/>
          <w:sz w:val="20"/>
          <w:szCs w:val="20"/>
        </w:rPr>
      </w:pPr>
    </w:p>
    <w:p>
      <w:pPr>
        <w:rPr>
          <w:rFonts w:hint="eastAsia" w:ascii="宋体" w:hAnsi="宋体" w:cs="宋体"/>
          <w:color w:val="000000"/>
          <w:sz w:val="20"/>
          <w:szCs w:val="20"/>
        </w:rPr>
      </w:pPr>
    </w:p>
    <w:p>
      <w:pPr>
        <w:rPr>
          <w:rFonts w:hint="eastAsia" w:ascii="宋体" w:hAnsi="宋体" w:cs="宋体"/>
          <w:color w:val="000000"/>
          <w:sz w:val="20"/>
          <w:szCs w:val="20"/>
        </w:rPr>
      </w:pPr>
    </w:p>
    <w:p>
      <w:pPr>
        <w:rPr>
          <w:rFonts w:hint="eastAsia" w:ascii="宋体" w:hAnsi="宋体" w:cs="宋体"/>
          <w:color w:val="000000"/>
          <w:sz w:val="20"/>
          <w:szCs w:val="20"/>
        </w:rPr>
      </w:pPr>
    </w:p>
    <w:p>
      <w:pPr>
        <w:rPr>
          <w:rFonts w:hint="eastAsia" w:ascii="宋体" w:hAnsi="宋体" w:cs="宋体"/>
          <w:color w:val="000000"/>
          <w:sz w:val="20"/>
          <w:szCs w:val="20"/>
        </w:rPr>
      </w:pPr>
    </w:p>
    <w:p>
      <w:pPr>
        <w:rPr>
          <w:rFonts w:ascii="宋体" w:hAnsi="宋体" w:cs="宋体"/>
          <w:color w:val="000000"/>
          <w:sz w:val="20"/>
          <w:szCs w:val="20"/>
        </w:rPr>
      </w:pPr>
    </w:p>
    <w:p>
      <w:pPr>
        <w:pStyle w:val="42"/>
        <w:ind w:firstLine="400"/>
        <w:rPr>
          <w:rFonts w:ascii="宋体" w:hAnsi="宋体" w:cs="宋体"/>
          <w:color w:val="000000"/>
          <w:sz w:val="20"/>
          <w:szCs w:val="20"/>
        </w:rPr>
      </w:pPr>
    </w:p>
    <w:p>
      <w:pPr>
        <w:rPr>
          <w:rFonts w:ascii="宋体" w:hAnsi="宋体" w:cs="宋体"/>
          <w:color w:val="000000"/>
          <w:sz w:val="20"/>
          <w:szCs w:val="20"/>
        </w:rPr>
      </w:pPr>
    </w:p>
    <w:p>
      <w:pPr>
        <w:pStyle w:val="42"/>
        <w:ind w:firstLine="400"/>
        <w:rPr>
          <w:rFonts w:ascii="宋体" w:hAnsi="宋体" w:cs="宋体"/>
          <w:color w:val="000000"/>
          <w:sz w:val="20"/>
          <w:szCs w:val="20"/>
        </w:rPr>
      </w:pPr>
    </w:p>
    <w:p>
      <w:pPr>
        <w:rPr>
          <w:rFonts w:ascii="宋体" w:hAnsi="宋体" w:cs="宋体"/>
          <w:color w:val="000000"/>
          <w:sz w:val="20"/>
          <w:szCs w:val="20"/>
        </w:rPr>
      </w:pPr>
    </w:p>
    <w:p>
      <w:pPr>
        <w:ind w:firstLine="2800" w:firstLineChars="1000"/>
        <w:outlineLvl w:val="0"/>
        <w:rPr>
          <w:rFonts w:hint="eastAsia" w:ascii="宋体" w:hAnsi="宋体" w:cs="宋体"/>
          <w:color w:val="000000"/>
          <w:sz w:val="28"/>
          <w:szCs w:val="28"/>
          <w:u w:val="single"/>
        </w:rPr>
      </w:pPr>
    </w:p>
    <w:p>
      <w:pPr>
        <w:ind w:firstLine="2800" w:firstLineChars="1000"/>
        <w:outlineLvl w:val="0"/>
        <w:rPr>
          <w:rFonts w:ascii="宋体" w:hAnsi="宋体" w:cs="宋体"/>
          <w:color w:val="000000"/>
          <w:sz w:val="20"/>
          <w:szCs w:val="20"/>
        </w:rPr>
      </w:pPr>
      <w:r>
        <w:rPr>
          <w:rFonts w:hint="eastAsia" w:ascii="宋体" w:hAnsi="宋体" w:cs="宋体"/>
          <w:color w:val="000000"/>
          <w:sz w:val="28"/>
          <w:szCs w:val="28"/>
          <w:u w:val="single"/>
        </w:rPr>
        <w:t xml:space="preserve">                </w:t>
      </w:r>
      <w:bookmarkStart w:id="807" w:name="_Toc23034"/>
      <w:r>
        <w:rPr>
          <w:rFonts w:hint="eastAsia" w:ascii="宋体" w:hAnsi="宋体" w:cs="宋体"/>
          <w:color w:val="000000"/>
          <w:sz w:val="28"/>
          <w:szCs w:val="28"/>
        </w:rPr>
        <w:t>（项目名称）</w:t>
      </w:r>
      <w:bookmarkEnd w:id="807"/>
    </w:p>
    <w:p>
      <w:pPr>
        <w:jc w:val="center"/>
        <w:rPr>
          <w:rFonts w:ascii="宋体" w:hAnsi="宋体" w:cs="宋体"/>
          <w:color w:val="000000"/>
          <w:sz w:val="20"/>
          <w:szCs w:val="20"/>
        </w:rPr>
      </w:pPr>
    </w:p>
    <w:p>
      <w:pPr>
        <w:pStyle w:val="17"/>
      </w:pPr>
    </w:p>
    <w:p>
      <w:pPr>
        <w:rPr>
          <w:rFonts w:ascii="宋体" w:hAnsi="宋体" w:cs="宋体"/>
          <w:color w:val="000000"/>
          <w:sz w:val="20"/>
          <w:szCs w:val="20"/>
        </w:rPr>
      </w:pPr>
    </w:p>
    <w:p>
      <w:pPr>
        <w:jc w:val="center"/>
        <w:rPr>
          <w:rFonts w:ascii="宋体" w:hAnsi="宋体" w:cs="宋体"/>
          <w:color w:val="000000"/>
          <w:sz w:val="72"/>
          <w:szCs w:val="72"/>
        </w:rPr>
      </w:pPr>
      <w:r>
        <w:rPr>
          <w:rFonts w:hint="eastAsia" w:ascii="宋体" w:hAnsi="宋体" w:cs="宋体"/>
          <w:color w:val="000000"/>
          <w:sz w:val="72"/>
          <w:szCs w:val="72"/>
        </w:rPr>
        <w:t>投  标  文  件</w:t>
      </w:r>
    </w:p>
    <w:p>
      <w:pPr>
        <w:rPr>
          <w:rFonts w:ascii="宋体" w:hAnsi="宋体" w:cs="宋体"/>
          <w:color w:val="000000"/>
          <w:sz w:val="28"/>
          <w:szCs w:val="28"/>
        </w:rPr>
      </w:pPr>
    </w:p>
    <w:p>
      <w:pPr>
        <w:rPr>
          <w:rFonts w:ascii="宋体" w:hAnsi="宋体" w:cs="宋体"/>
          <w:color w:val="000000"/>
          <w:sz w:val="28"/>
          <w:szCs w:val="28"/>
        </w:rPr>
      </w:pPr>
    </w:p>
    <w:p>
      <w:pPr>
        <w:jc w:val="center"/>
        <w:rPr>
          <w:rFonts w:ascii="宋体" w:hAnsi="宋体" w:cs="宋体"/>
          <w:color w:val="000000"/>
          <w:sz w:val="28"/>
          <w:szCs w:val="28"/>
        </w:rPr>
      </w:pPr>
      <w:r>
        <w:rPr>
          <w:rFonts w:hint="eastAsia" w:ascii="宋体" w:hAnsi="宋体" w:cs="宋体"/>
          <w:color w:val="000000"/>
          <w:sz w:val="28"/>
          <w:szCs w:val="28"/>
        </w:rPr>
        <w:t>招标项目编号：</w:t>
      </w:r>
    </w:p>
    <w:p>
      <w:pPr>
        <w:rPr>
          <w:rFonts w:ascii="宋体" w:hAnsi="宋体" w:cs="宋体"/>
          <w:color w:val="000000"/>
          <w:sz w:val="28"/>
          <w:szCs w:val="28"/>
        </w:rPr>
      </w:pPr>
    </w:p>
    <w:p>
      <w:pPr>
        <w:rPr>
          <w:rFonts w:ascii="宋体" w:hAnsi="宋体" w:cs="宋体"/>
          <w:color w:val="000000"/>
          <w:sz w:val="28"/>
          <w:szCs w:val="28"/>
        </w:rPr>
      </w:pPr>
    </w:p>
    <w:p>
      <w:pPr>
        <w:rPr>
          <w:rFonts w:ascii="宋体" w:hAnsi="宋体" w:cs="宋体"/>
          <w:color w:val="000000"/>
          <w:sz w:val="28"/>
          <w:szCs w:val="28"/>
        </w:rPr>
      </w:pPr>
    </w:p>
    <w:p>
      <w:pPr>
        <w:rPr>
          <w:rFonts w:ascii="宋体" w:hAnsi="宋体" w:cs="宋体"/>
          <w:color w:val="000000"/>
          <w:sz w:val="28"/>
          <w:szCs w:val="28"/>
        </w:rPr>
      </w:pPr>
    </w:p>
    <w:p>
      <w:pPr>
        <w:ind w:firstLine="280" w:firstLineChars="100"/>
        <w:outlineLvl w:val="0"/>
        <w:rPr>
          <w:rFonts w:ascii="宋体" w:hAnsi="宋体" w:cs="宋体"/>
          <w:color w:val="000000"/>
          <w:sz w:val="28"/>
          <w:szCs w:val="28"/>
          <w:u w:val="single"/>
        </w:rPr>
      </w:pPr>
      <w:bookmarkStart w:id="808" w:name="_Toc27586"/>
      <w:r>
        <w:rPr>
          <w:rFonts w:hint="eastAsia" w:ascii="宋体" w:hAnsi="宋体" w:cs="宋体"/>
          <w:color w:val="000000"/>
          <w:sz w:val="28"/>
          <w:szCs w:val="28"/>
        </w:rPr>
        <w:t>投标人：</w:t>
      </w:r>
      <w:r>
        <w:rPr>
          <w:rFonts w:hint="eastAsia" w:ascii="宋体" w:hAnsi="宋体" w:cs="宋体"/>
          <w:color w:val="000000"/>
          <w:sz w:val="28"/>
          <w:szCs w:val="28"/>
          <w:u w:val="single"/>
        </w:rPr>
        <w:t xml:space="preserve">                                  </w:t>
      </w:r>
      <w:r>
        <w:rPr>
          <w:rFonts w:hint="eastAsia" w:ascii="宋体" w:hAnsi="宋体" w:cs="宋体"/>
          <w:color w:val="000000"/>
          <w:sz w:val="28"/>
          <w:szCs w:val="28"/>
        </w:rPr>
        <w:t>（盖单位章）</w:t>
      </w:r>
      <w:bookmarkEnd w:id="808"/>
    </w:p>
    <w:p>
      <w:pPr>
        <w:jc w:val="center"/>
        <w:outlineLvl w:val="0"/>
        <w:rPr>
          <w:rFonts w:ascii="宋体" w:hAnsi="宋体" w:cs="宋体"/>
          <w:color w:val="000000"/>
          <w:sz w:val="28"/>
          <w:szCs w:val="28"/>
        </w:rPr>
      </w:pPr>
      <w:bookmarkStart w:id="809" w:name="_Toc31249"/>
      <w:r>
        <w:rPr>
          <w:rFonts w:hint="eastAsia" w:ascii="宋体" w:hAnsi="宋体" w:cs="宋体"/>
          <w:color w:val="000000"/>
          <w:sz w:val="28"/>
          <w:szCs w:val="28"/>
        </w:rPr>
        <w:t>法定代表人或其委托代理人：</w:t>
      </w:r>
      <w:r>
        <w:rPr>
          <w:rFonts w:hint="eastAsia" w:ascii="宋体" w:hAnsi="宋体" w:cs="宋体"/>
          <w:color w:val="000000"/>
          <w:sz w:val="28"/>
          <w:szCs w:val="28"/>
          <w:u w:val="single"/>
        </w:rPr>
        <w:t xml:space="preserve">                </w:t>
      </w:r>
      <w:r>
        <w:rPr>
          <w:rFonts w:hint="eastAsia" w:ascii="宋体" w:hAnsi="宋体" w:cs="宋体"/>
          <w:color w:val="000000"/>
          <w:sz w:val="28"/>
          <w:szCs w:val="28"/>
        </w:rPr>
        <w:t>（签字或盖章）</w:t>
      </w:r>
      <w:bookmarkEnd w:id="809"/>
    </w:p>
    <w:p>
      <w:pPr>
        <w:jc w:val="center"/>
        <w:outlineLvl w:val="0"/>
        <w:rPr>
          <w:rFonts w:ascii="宋体" w:hAnsi="宋体" w:cs="宋体"/>
          <w:color w:val="000000"/>
          <w:sz w:val="28"/>
          <w:szCs w:val="28"/>
        </w:rPr>
      </w:pPr>
      <w:r>
        <w:rPr>
          <w:rFonts w:hint="eastAsia" w:ascii="宋体" w:hAnsi="宋体" w:cs="宋体"/>
          <w:color w:val="000000"/>
          <w:sz w:val="28"/>
          <w:szCs w:val="28"/>
          <w:u w:val="single"/>
        </w:rPr>
        <w:t xml:space="preserve">        </w:t>
      </w:r>
      <w:bookmarkStart w:id="810" w:name="_Toc16605"/>
      <w:r>
        <w:rPr>
          <w:rFonts w:hint="eastAsia" w:ascii="宋体" w:hAnsi="宋体" w:cs="宋体"/>
          <w:color w:val="000000"/>
          <w:sz w:val="28"/>
          <w:szCs w:val="28"/>
        </w:rPr>
        <w:t>年</w:t>
      </w:r>
      <w:r>
        <w:rPr>
          <w:rFonts w:hint="eastAsia" w:ascii="宋体" w:hAnsi="宋体" w:cs="宋体"/>
          <w:color w:val="000000"/>
          <w:sz w:val="28"/>
          <w:szCs w:val="28"/>
          <w:u w:val="single"/>
        </w:rPr>
        <w:t xml:space="preserve">        </w:t>
      </w:r>
      <w:r>
        <w:rPr>
          <w:rFonts w:hint="eastAsia" w:ascii="宋体" w:hAnsi="宋体" w:cs="宋体"/>
          <w:color w:val="000000"/>
          <w:sz w:val="28"/>
          <w:szCs w:val="28"/>
        </w:rPr>
        <w:t>月</w:t>
      </w:r>
      <w:r>
        <w:rPr>
          <w:rFonts w:hint="eastAsia" w:ascii="宋体" w:hAnsi="宋体" w:cs="宋体"/>
          <w:color w:val="000000"/>
          <w:sz w:val="28"/>
          <w:szCs w:val="28"/>
          <w:u w:val="single"/>
        </w:rPr>
        <w:t xml:space="preserve">        </w:t>
      </w:r>
      <w:r>
        <w:rPr>
          <w:rFonts w:hint="eastAsia" w:ascii="宋体" w:hAnsi="宋体" w:cs="宋体"/>
          <w:color w:val="000000"/>
          <w:sz w:val="28"/>
          <w:szCs w:val="28"/>
        </w:rPr>
        <w:t>日</w:t>
      </w:r>
      <w:bookmarkEnd w:id="810"/>
    </w:p>
    <w:p>
      <w:pPr>
        <w:spacing w:line="440" w:lineRule="exact"/>
        <w:rPr>
          <w:rFonts w:ascii="宋体" w:hAnsi="宋体" w:cs="宋体"/>
          <w:color w:val="000000"/>
        </w:rPr>
      </w:pPr>
    </w:p>
    <w:p>
      <w:pPr>
        <w:pStyle w:val="3"/>
        <w:keepNext w:val="0"/>
        <w:keepLines w:val="0"/>
        <w:jc w:val="left"/>
        <w:rPr>
          <w:rFonts w:ascii="宋体" w:hAnsi="宋体" w:eastAsia="宋体" w:cs="宋体"/>
          <w:color w:val="000000"/>
          <w:sz w:val="21"/>
          <w:szCs w:val="21"/>
        </w:rPr>
      </w:pPr>
      <w:bookmarkStart w:id="811" w:name="_Toc246996355"/>
      <w:bookmarkStart w:id="812" w:name="_Toc453756953"/>
      <w:bookmarkStart w:id="813" w:name="_Toc21583"/>
      <w:bookmarkStart w:id="814" w:name="_Toc144974856"/>
      <w:bookmarkStart w:id="815" w:name="_Toc152045787"/>
      <w:bookmarkStart w:id="816" w:name="_Toc25714"/>
      <w:bookmarkStart w:id="817" w:name="_Toc152042576"/>
      <w:bookmarkStart w:id="818" w:name="_Toc179632807"/>
      <w:bookmarkStart w:id="819" w:name="_Toc247085873"/>
      <w:bookmarkStart w:id="820" w:name="_Toc22633"/>
      <w:bookmarkStart w:id="821" w:name="_Toc246997098"/>
      <w:bookmarkStart w:id="822" w:name="_Toc24297"/>
      <w:r>
        <w:rPr>
          <w:rFonts w:hint="eastAsia" w:ascii="宋体" w:hAnsi="宋体" w:eastAsia="宋体" w:cs="宋体"/>
          <w:color w:val="000000"/>
          <w:sz w:val="21"/>
          <w:szCs w:val="21"/>
        </w:rPr>
        <w:t xml:space="preserve"> </w:t>
      </w:r>
    </w:p>
    <w:p>
      <w:pPr>
        <w:pStyle w:val="3"/>
        <w:keepNext w:val="0"/>
        <w:keepLines w:val="0"/>
        <w:rPr>
          <w:rFonts w:ascii="宋体" w:hAnsi="宋体" w:eastAsia="宋体" w:cs="宋体"/>
          <w:color w:val="000000"/>
        </w:rPr>
      </w:pPr>
    </w:p>
    <w:p>
      <w:pPr>
        <w:rPr>
          <w:rFonts w:ascii="宋体" w:hAnsi="宋体" w:cs="宋体"/>
          <w:color w:val="000000"/>
        </w:rPr>
      </w:pPr>
    </w:p>
    <w:p>
      <w:pPr>
        <w:pStyle w:val="42"/>
        <w:rPr>
          <w:rFonts w:ascii="宋体" w:hAnsi="宋体" w:cs="宋体"/>
          <w:color w:val="000000"/>
        </w:rPr>
      </w:pPr>
    </w:p>
    <w:p/>
    <w:p/>
    <w:p>
      <w:pPr>
        <w:pStyle w:val="3"/>
        <w:keepNext w:val="0"/>
        <w:keepLines w:val="0"/>
        <w:jc w:val="center"/>
        <w:rPr>
          <w:rFonts w:ascii="宋体" w:hAnsi="宋体" w:eastAsia="宋体" w:cs="宋体"/>
          <w:color w:val="000000"/>
        </w:rPr>
      </w:pPr>
    </w:p>
    <w:p>
      <w:pPr>
        <w:pStyle w:val="3"/>
        <w:keepNext w:val="0"/>
        <w:keepLines w:val="0"/>
        <w:jc w:val="center"/>
        <w:rPr>
          <w:rFonts w:ascii="宋体" w:hAnsi="宋体" w:eastAsia="宋体" w:cs="宋体"/>
          <w:color w:val="000000"/>
        </w:rPr>
      </w:pPr>
      <w:r>
        <w:rPr>
          <w:rFonts w:hint="eastAsia" w:ascii="宋体" w:hAnsi="宋体" w:eastAsia="宋体" w:cs="宋体"/>
          <w:color w:val="000000"/>
        </w:rPr>
        <w:t>目    录</w:t>
      </w:r>
      <w:bookmarkEnd w:id="811"/>
      <w:bookmarkEnd w:id="812"/>
      <w:bookmarkEnd w:id="813"/>
      <w:bookmarkEnd w:id="814"/>
      <w:bookmarkEnd w:id="815"/>
      <w:bookmarkEnd w:id="816"/>
      <w:bookmarkEnd w:id="817"/>
      <w:bookmarkEnd w:id="818"/>
      <w:bookmarkEnd w:id="819"/>
      <w:bookmarkEnd w:id="820"/>
      <w:bookmarkEnd w:id="821"/>
      <w:bookmarkEnd w:id="822"/>
    </w:p>
    <w:p>
      <w:pPr>
        <w:spacing w:line="540" w:lineRule="exact"/>
        <w:jc w:val="center"/>
        <w:rPr>
          <w:rFonts w:ascii="宋体" w:hAnsi="宋体" w:cs="宋体"/>
          <w:b/>
          <w:bCs/>
          <w:color w:val="000000"/>
        </w:rPr>
      </w:pPr>
      <w:r>
        <w:rPr>
          <w:rFonts w:hint="eastAsia" w:ascii="宋体" w:hAnsi="宋体" w:cs="宋体"/>
          <w:b/>
          <w:bCs/>
          <w:color w:val="000000"/>
        </w:rPr>
        <w:t>（投标人需自行编制详细目录，并标注详细页码）</w:t>
      </w:r>
    </w:p>
    <w:p>
      <w:pPr>
        <w:spacing w:line="540" w:lineRule="exact"/>
        <w:outlineLvl w:val="0"/>
        <w:rPr>
          <w:rFonts w:ascii="宋体" w:hAnsi="宋体" w:cs="宋体"/>
          <w:color w:val="000000"/>
        </w:rPr>
      </w:pPr>
      <w:bookmarkStart w:id="823" w:name="_Toc8508"/>
      <w:r>
        <w:rPr>
          <w:rFonts w:hint="eastAsia" w:ascii="宋体" w:hAnsi="宋体" w:cs="宋体"/>
          <w:color w:val="000000"/>
        </w:rPr>
        <w:t>一、投标函</w:t>
      </w:r>
      <w:bookmarkEnd w:id="823"/>
    </w:p>
    <w:p>
      <w:pPr>
        <w:spacing w:line="540" w:lineRule="exact"/>
        <w:outlineLvl w:val="0"/>
        <w:rPr>
          <w:rFonts w:ascii="宋体" w:hAnsi="宋体" w:cs="宋体"/>
          <w:color w:val="000000"/>
        </w:rPr>
      </w:pPr>
      <w:bookmarkStart w:id="824" w:name="_Toc1030"/>
      <w:r>
        <w:rPr>
          <w:rFonts w:hint="eastAsia" w:ascii="宋体" w:hAnsi="宋体" w:cs="宋体"/>
          <w:color w:val="000000"/>
        </w:rPr>
        <w:t>二、法定代表人身份证明</w:t>
      </w:r>
      <w:bookmarkEnd w:id="824"/>
    </w:p>
    <w:p>
      <w:pPr>
        <w:spacing w:line="540" w:lineRule="exact"/>
        <w:outlineLvl w:val="0"/>
        <w:rPr>
          <w:rFonts w:ascii="宋体" w:hAnsi="宋体" w:cs="宋体"/>
          <w:color w:val="000000"/>
        </w:rPr>
      </w:pPr>
      <w:bookmarkStart w:id="825" w:name="_Toc10594"/>
      <w:r>
        <w:rPr>
          <w:rFonts w:hint="eastAsia" w:ascii="宋体" w:hAnsi="宋体" w:cs="宋体"/>
          <w:color w:val="000000"/>
        </w:rPr>
        <w:t>三、授权委托书</w:t>
      </w:r>
      <w:bookmarkEnd w:id="825"/>
    </w:p>
    <w:p>
      <w:pPr>
        <w:spacing w:line="540" w:lineRule="exact"/>
        <w:outlineLvl w:val="0"/>
        <w:rPr>
          <w:rFonts w:ascii="宋体" w:hAnsi="宋体" w:cs="宋体"/>
          <w:color w:val="000000"/>
        </w:rPr>
      </w:pPr>
      <w:bookmarkStart w:id="826" w:name="_Toc14816"/>
      <w:r>
        <w:rPr>
          <w:rFonts w:hint="eastAsia" w:ascii="宋体" w:hAnsi="宋体" w:cs="宋体"/>
          <w:color w:val="000000"/>
        </w:rPr>
        <w:t>四、投标保证金</w:t>
      </w:r>
    </w:p>
    <w:p>
      <w:pPr>
        <w:spacing w:line="540" w:lineRule="exact"/>
        <w:outlineLvl w:val="0"/>
        <w:rPr>
          <w:rFonts w:ascii="宋体" w:hAnsi="宋体" w:cs="宋体"/>
          <w:color w:val="000000"/>
        </w:rPr>
      </w:pPr>
      <w:r>
        <w:rPr>
          <w:rFonts w:hint="eastAsia" w:ascii="宋体" w:hAnsi="宋体" w:cs="宋体"/>
          <w:color w:val="000000"/>
        </w:rPr>
        <w:t>五、开标一览表</w:t>
      </w:r>
      <w:bookmarkEnd w:id="826"/>
    </w:p>
    <w:p>
      <w:pPr>
        <w:spacing w:line="540" w:lineRule="exact"/>
        <w:outlineLvl w:val="0"/>
        <w:rPr>
          <w:rFonts w:ascii="宋体" w:hAnsi="宋体" w:cs="宋体"/>
          <w:color w:val="000000"/>
        </w:rPr>
      </w:pPr>
      <w:bookmarkStart w:id="827" w:name="_Toc6339"/>
      <w:r>
        <w:rPr>
          <w:rFonts w:hint="eastAsia" w:ascii="宋体" w:hAnsi="宋体" w:cs="宋体"/>
          <w:color w:val="000000"/>
        </w:rPr>
        <w:t>六、</w:t>
      </w:r>
      <w:bookmarkEnd w:id="827"/>
      <w:r>
        <w:rPr>
          <w:rFonts w:hint="eastAsia" w:ascii="宋体" w:hAnsi="宋体" w:cs="宋体"/>
          <w:color w:val="000000"/>
        </w:rPr>
        <w:t>投标报价明细表</w:t>
      </w:r>
    </w:p>
    <w:p>
      <w:pPr>
        <w:spacing w:line="540" w:lineRule="exact"/>
        <w:outlineLvl w:val="0"/>
        <w:rPr>
          <w:rFonts w:ascii="宋体" w:hAnsi="宋体" w:cs="宋体"/>
          <w:color w:val="000000"/>
        </w:rPr>
      </w:pPr>
      <w:bookmarkStart w:id="828" w:name="_Toc17778"/>
      <w:r>
        <w:rPr>
          <w:rFonts w:hint="eastAsia" w:ascii="宋体" w:hAnsi="宋体" w:cs="宋体"/>
          <w:color w:val="000000"/>
        </w:rPr>
        <w:t>七、</w:t>
      </w:r>
      <w:bookmarkEnd w:id="828"/>
      <w:r>
        <w:rPr>
          <w:rFonts w:hint="eastAsia" w:ascii="宋体" w:hAnsi="宋体" w:cs="宋体"/>
          <w:color w:val="000000"/>
        </w:rPr>
        <w:t>服务方案</w:t>
      </w:r>
    </w:p>
    <w:p>
      <w:pPr>
        <w:spacing w:line="540" w:lineRule="exact"/>
        <w:outlineLvl w:val="0"/>
        <w:rPr>
          <w:rFonts w:ascii="宋体" w:hAnsi="宋体" w:cs="宋体"/>
          <w:color w:val="000000"/>
        </w:rPr>
      </w:pPr>
      <w:bookmarkStart w:id="829" w:name="_Toc15889"/>
      <w:r>
        <w:rPr>
          <w:rFonts w:hint="eastAsia" w:ascii="宋体" w:hAnsi="宋体" w:cs="宋体"/>
          <w:color w:val="000000"/>
        </w:rPr>
        <w:t>八、项目管理机构</w:t>
      </w:r>
      <w:bookmarkEnd w:id="829"/>
    </w:p>
    <w:p>
      <w:pPr>
        <w:spacing w:line="540" w:lineRule="exact"/>
        <w:outlineLvl w:val="0"/>
        <w:rPr>
          <w:rFonts w:ascii="宋体" w:hAnsi="宋体" w:cs="宋体"/>
          <w:color w:val="000000"/>
        </w:rPr>
      </w:pPr>
      <w:bookmarkStart w:id="830" w:name="_Toc2083"/>
      <w:r>
        <w:rPr>
          <w:rFonts w:hint="eastAsia" w:ascii="宋体" w:hAnsi="宋体" w:cs="宋体"/>
          <w:color w:val="000000"/>
        </w:rPr>
        <w:t>九、资格审查资料</w:t>
      </w:r>
      <w:bookmarkEnd w:id="830"/>
    </w:p>
    <w:p>
      <w:pPr>
        <w:spacing w:line="540" w:lineRule="exact"/>
        <w:outlineLvl w:val="0"/>
        <w:rPr>
          <w:rFonts w:ascii="宋体" w:hAnsi="宋体" w:cs="宋体"/>
          <w:color w:val="000000"/>
        </w:rPr>
      </w:pPr>
      <w:r>
        <w:rPr>
          <w:rFonts w:hint="eastAsia" w:ascii="宋体" w:hAnsi="宋体" w:cs="宋体"/>
          <w:color w:val="000000"/>
        </w:rPr>
        <w:t>十、</w:t>
      </w:r>
      <w:bookmarkStart w:id="831" w:name="_Toc15953"/>
      <w:r>
        <w:rPr>
          <w:rFonts w:hint="eastAsia" w:ascii="宋体" w:hAnsi="宋体" w:cs="宋体"/>
          <w:color w:val="000000"/>
        </w:rPr>
        <w:t>其他资料</w:t>
      </w:r>
      <w:bookmarkEnd w:id="831"/>
    </w:p>
    <w:p>
      <w:pPr>
        <w:spacing w:line="540" w:lineRule="exact"/>
        <w:rPr>
          <w:rFonts w:ascii="宋体" w:hAnsi="宋体" w:cs="宋体"/>
          <w:color w:val="000000"/>
        </w:rPr>
      </w:pPr>
    </w:p>
    <w:p>
      <w:pPr>
        <w:spacing w:line="540" w:lineRule="exact"/>
        <w:rPr>
          <w:rFonts w:ascii="宋体" w:hAnsi="宋体" w:cs="宋体"/>
          <w:color w:val="000000"/>
        </w:rPr>
      </w:pPr>
    </w:p>
    <w:p>
      <w:pPr>
        <w:spacing w:line="540" w:lineRule="exact"/>
        <w:rPr>
          <w:rFonts w:ascii="宋体" w:hAnsi="宋体" w:cs="宋体"/>
          <w:color w:val="000000"/>
        </w:rPr>
      </w:pPr>
    </w:p>
    <w:p>
      <w:pPr>
        <w:spacing w:line="540" w:lineRule="exact"/>
        <w:rPr>
          <w:rFonts w:ascii="宋体" w:hAnsi="宋体" w:cs="宋体"/>
          <w:color w:val="000000"/>
        </w:rPr>
      </w:pPr>
    </w:p>
    <w:p>
      <w:pPr>
        <w:spacing w:line="540" w:lineRule="exact"/>
        <w:rPr>
          <w:rFonts w:ascii="宋体" w:hAnsi="宋体" w:cs="宋体"/>
          <w:color w:val="000000"/>
        </w:rPr>
      </w:pPr>
    </w:p>
    <w:p>
      <w:pPr>
        <w:spacing w:line="540" w:lineRule="exact"/>
        <w:rPr>
          <w:rFonts w:ascii="宋体" w:hAnsi="宋体" w:cs="宋体"/>
          <w:color w:val="000000"/>
        </w:rPr>
      </w:pPr>
    </w:p>
    <w:p>
      <w:pPr>
        <w:spacing w:line="540" w:lineRule="exact"/>
        <w:rPr>
          <w:rFonts w:ascii="宋体" w:hAnsi="宋体" w:cs="宋体"/>
          <w:color w:val="000000"/>
        </w:rPr>
      </w:pPr>
    </w:p>
    <w:p>
      <w:pPr>
        <w:spacing w:line="540" w:lineRule="exact"/>
        <w:rPr>
          <w:rFonts w:ascii="宋体" w:hAnsi="宋体" w:cs="宋体"/>
          <w:color w:val="000000"/>
        </w:rPr>
      </w:pPr>
    </w:p>
    <w:p>
      <w:pPr>
        <w:spacing w:line="540" w:lineRule="exact"/>
        <w:rPr>
          <w:rFonts w:ascii="宋体" w:hAnsi="宋体" w:cs="宋体"/>
          <w:color w:val="000000"/>
        </w:rPr>
      </w:pPr>
    </w:p>
    <w:p>
      <w:pPr>
        <w:pStyle w:val="19"/>
        <w:rPr>
          <w:rFonts w:hAnsi="宋体" w:cs="宋体"/>
          <w:color w:val="000000"/>
        </w:rPr>
      </w:pPr>
    </w:p>
    <w:p>
      <w:pPr>
        <w:pStyle w:val="19"/>
        <w:rPr>
          <w:rFonts w:hAnsi="宋体" w:cs="宋体"/>
          <w:color w:val="000000"/>
        </w:rPr>
      </w:pPr>
    </w:p>
    <w:p>
      <w:pPr>
        <w:spacing w:line="540" w:lineRule="exact"/>
        <w:rPr>
          <w:rFonts w:ascii="宋体" w:hAnsi="宋体" w:cs="宋体"/>
          <w:color w:val="000000"/>
        </w:rPr>
      </w:pPr>
    </w:p>
    <w:p>
      <w:pPr>
        <w:pStyle w:val="19"/>
        <w:rPr>
          <w:rFonts w:hAnsi="宋体" w:cs="宋体"/>
          <w:color w:val="000000"/>
        </w:rPr>
      </w:pPr>
    </w:p>
    <w:p>
      <w:pPr>
        <w:pStyle w:val="3"/>
        <w:keepNext w:val="0"/>
        <w:keepLines w:val="0"/>
        <w:jc w:val="center"/>
        <w:rPr>
          <w:rFonts w:ascii="宋体" w:hAnsi="宋体" w:eastAsia="宋体" w:cs="宋体"/>
          <w:color w:val="000000"/>
        </w:rPr>
      </w:pPr>
      <w:bookmarkStart w:id="832" w:name="_Toc3591"/>
      <w:bookmarkStart w:id="833" w:name="_Toc7376"/>
      <w:bookmarkStart w:id="834" w:name="_Toc152042577"/>
      <w:bookmarkStart w:id="835" w:name="_Toc22019"/>
      <w:bookmarkStart w:id="836" w:name="_Toc17288"/>
      <w:bookmarkStart w:id="837" w:name="_Toc453756954"/>
      <w:bookmarkStart w:id="838" w:name="_Toc247085874"/>
      <w:bookmarkStart w:id="839" w:name="_Toc21979"/>
      <w:bookmarkStart w:id="840" w:name="_Toc144974857"/>
      <w:bookmarkStart w:id="841" w:name="_Toc179632808"/>
      <w:bookmarkStart w:id="842" w:name="_Toc152045788"/>
      <w:bookmarkStart w:id="843" w:name="_Toc246997099"/>
      <w:bookmarkStart w:id="844" w:name="_Toc246996356"/>
      <w:r>
        <w:rPr>
          <w:rFonts w:hint="eastAsia" w:ascii="宋体" w:hAnsi="宋体" w:eastAsia="宋体" w:cs="宋体"/>
          <w:color w:val="000000"/>
        </w:rPr>
        <w:t>一、投标函及投标函附录</w:t>
      </w:r>
      <w:bookmarkEnd w:id="832"/>
      <w:bookmarkEnd w:id="833"/>
      <w:bookmarkEnd w:id="834"/>
      <w:bookmarkEnd w:id="835"/>
      <w:bookmarkEnd w:id="836"/>
      <w:bookmarkEnd w:id="837"/>
      <w:bookmarkEnd w:id="838"/>
      <w:bookmarkEnd w:id="839"/>
      <w:bookmarkEnd w:id="840"/>
      <w:bookmarkEnd w:id="841"/>
      <w:bookmarkEnd w:id="842"/>
      <w:bookmarkEnd w:id="843"/>
      <w:bookmarkEnd w:id="844"/>
    </w:p>
    <w:p>
      <w:pPr>
        <w:pStyle w:val="4"/>
        <w:keepNext w:val="0"/>
        <w:keepLines w:val="0"/>
        <w:jc w:val="center"/>
        <w:rPr>
          <w:rFonts w:ascii="宋体" w:hAnsi="宋体" w:cs="宋体"/>
          <w:color w:val="000000"/>
          <w:sz w:val="24"/>
          <w:szCs w:val="24"/>
        </w:rPr>
      </w:pPr>
      <w:bookmarkStart w:id="845" w:name="_Toc453756955"/>
      <w:bookmarkStart w:id="846" w:name="_Toc25692"/>
      <w:bookmarkStart w:id="847" w:name="_Toc144974858"/>
      <w:bookmarkStart w:id="848" w:name="_Toc246997100"/>
      <w:bookmarkStart w:id="849" w:name="_Toc179632809"/>
      <w:bookmarkStart w:id="850" w:name="_Toc29352"/>
      <w:bookmarkStart w:id="851" w:name="_Toc21749"/>
      <w:bookmarkStart w:id="852" w:name="_Toc246996357"/>
      <w:bookmarkStart w:id="853" w:name="_Toc247085875"/>
      <w:bookmarkStart w:id="854" w:name="_Toc3888"/>
      <w:bookmarkStart w:id="855" w:name="_Toc152042578"/>
      <w:bookmarkStart w:id="856" w:name="_Toc152045789"/>
      <w:r>
        <w:rPr>
          <w:rFonts w:hint="eastAsia" w:ascii="宋体" w:hAnsi="宋体" w:cs="宋体"/>
          <w:color w:val="000000"/>
          <w:sz w:val="24"/>
          <w:szCs w:val="24"/>
        </w:rPr>
        <w:t>（一）投标函</w:t>
      </w:r>
      <w:bookmarkEnd w:id="845"/>
      <w:bookmarkEnd w:id="846"/>
      <w:bookmarkEnd w:id="847"/>
      <w:bookmarkEnd w:id="848"/>
      <w:bookmarkEnd w:id="849"/>
      <w:bookmarkEnd w:id="850"/>
      <w:bookmarkEnd w:id="851"/>
      <w:bookmarkEnd w:id="852"/>
      <w:bookmarkEnd w:id="853"/>
      <w:bookmarkEnd w:id="854"/>
      <w:bookmarkEnd w:id="855"/>
      <w:bookmarkEnd w:id="856"/>
    </w:p>
    <w:p>
      <w:pPr>
        <w:spacing w:line="300" w:lineRule="auto"/>
        <w:rPr>
          <w:rFonts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（采购人名称）：</w:t>
      </w:r>
    </w:p>
    <w:p>
      <w:pPr>
        <w:spacing w:line="300" w:lineRule="auto"/>
        <w:ind w:firstLine="420" w:firstLineChars="200"/>
        <w:rPr>
          <w:rFonts w:ascii="宋体" w:hAnsi="宋体" w:cs="宋体"/>
          <w:color w:val="000000"/>
          <w:szCs w:val="21"/>
        </w:rPr>
      </w:pPr>
    </w:p>
    <w:p>
      <w:pPr>
        <w:spacing w:line="300" w:lineRule="auto"/>
        <w:ind w:firstLine="420" w:firstLineChars="200"/>
        <w:rPr>
          <w:rFonts w:ascii="宋体" w:hAnsi="宋体" w:cs="宋体"/>
          <w:color w:val="000000"/>
          <w:szCs w:val="21"/>
        </w:rPr>
      </w:pPr>
      <w:r>
        <w:rPr>
          <w:rFonts w:hint="eastAsia" w:ascii="宋体" w:hAnsi="宋体" w:cs="宋体"/>
          <w:color w:val="000000"/>
          <w:szCs w:val="21"/>
        </w:rPr>
        <w:t>1.我方已全面阅读和研究贵方的招标编号为</w:t>
      </w:r>
      <w:r>
        <w:rPr>
          <w:rFonts w:hint="eastAsia" w:ascii="宋体" w:hAnsi="宋体" w:cs="宋体"/>
          <w:color w:val="000000"/>
          <w:szCs w:val="21"/>
          <w:u w:val="single"/>
        </w:rPr>
        <w:t xml:space="preserve">      </w:t>
      </w:r>
      <w:r>
        <w:rPr>
          <w:rFonts w:hint="eastAsia" w:ascii="宋体" w:hAnsi="宋体" w:cs="宋体"/>
          <w:color w:val="000000"/>
          <w:szCs w:val="21"/>
        </w:rPr>
        <w:t>的</w:t>
      </w:r>
      <w:r>
        <w:rPr>
          <w:rFonts w:hint="eastAsia" w:ascii="宋体" w:hAnsi="宋体" w:cs="宋体"/>
          <w:color w:val="000000"/>
          <w:szCs w:val="21"/>
          <w:u w:val="single"/>
        </w:rPr>
        <w:t xml:space="preserve">         （项目名称）</w:t>
      </w:r>
      <w:r>
        <w:rPr>
          <w:rFonts w:hint="eastAsia" w:ascii="宋体" w:hAnsi="宋体" w:cs="宋体"/>
          <w:color w:val="000000"/>
          <w:szCs w:val="21"/>
        </w:rPr>
        <w:t>招标文件和招标补充文件，并已充分理解并掌握了本项目招标的全部有关情况。同意接受招标文件的全部内容和条件，并按此确定本项目投标的全部内容，以本投标函向你方发包的全部内容进行投标。投标报价（含税价）为人民币大写：</w:t>
      </w:r>
      <w:r>
        <w:rPr>
          <w:rFonts w:hint="eastAsia" w:ascii="宋体" w:hAnsi="宋体" w:cs="宋体"/>
          <w:color w:val="000000"/>
          <w:szCs w:val="21"/>
          <w:u w:val="single"/>
        </w:rPr>
        <w:t xml:space="preserve">        </w:t>
      </w:r>
      <w:r>
        <w:rPr>
          <w:rFonts w:hint="eastAsia" w:ascii="宋体" w:hAnsi="宋体" w:cs="宋体"/>
          <w:color w:val="000000"/>
          <w:szCs w:val="21"/>
        </w:rPr>
        <w:t>元（小写：</w:t>
      </w:r>
      <w:r>
        <w:rPr>
          <w:rFonts w:hint="eastAsia" w:ascii="宋体" w:hAnsi="宋体" w:cs="Courier New"/>
          <w:szCs w:val="21"/>
          <w:u w:val="single"/>
        </w:rPr>
        <w:t xml:space="preserve">       </w:t>
      </w:r>
      <w:r>
        <w:rPr>
          <w:rFonts w:hint="eastAsia" w:ascii="宋体" w:hAnsi="宋体" w:cs="宋体"/>
          <w:color w:val="000000"/>
          <w:szCs w:val="21"/>
        </w:rPr>
        <w:t>元），合同履行期限</w:t>
      </w:r>
      <w:r>
        <w:rPr>
          <w:rFonts w:hint="eastAsia" w:ascii="宋体" w:hAnsi="宋体" w:cs="宋体"/>
          <w:color w:val="000000"/>
          <w:szCs w:val="21"/>
          <w:u w:val="single"/>
        </w:rPr>
        <w:t xml:space="preserve">          </w:t>
      </w:r>
      <w:r>
        <w:rPr>
          <w:rFonts w:hint="eastAsia" w:ascii="宋体" w:hAnsi="宋体" w:cs="宋体"/>
          <w:color w:val="000000"/>
          <w:szCs w:val="21"/>
        </w:rPr>
        <w:t>，按合同约定实施和完成承包项目，服务标准为</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00" w:lineRule="auto"/>
        <w:ind w:firstLine="420" w:firstLineChars="200"/>
        <w:rPr>
          <w:rFonts w:ascii="宋体" w:hAnsi="宋体" w:cs="宋体"/>
          <w:color w:val="000000"/>
          <w:szCs w:val="21"/>
        </w:rPr>
      </w:pPr>
      <w:r>
        <w:rPr>
          <w:rFonts w:hint="eastAsia" w:ascii="宋体" w:hAnsi="宋体" w:cs="宋体"/>
          <w:color w:val="000000"/>
          <w:szCs w:val="21"/>
        </w:rPr>
        <w:t>2．我方承诺在招标文件规定的投标有效期内不修改、撤销投标文件。</w:t>
      </w:r>
    </w:p>
    <w:p>
      <w:pPr>
        <w:spacing w:line="300" w:lineRule="auto"/>
        <w:ind w:firstLine="420" w:firstLineChars="200"/>
        <w:rPr>
          <w:rFonts w:ascii="宋体" w:hAnsi="宋体" w:cs="宋体"/>
          <w:color w:val="000000"/>
          <w:szCs w:val="21"/>
        </w:rPr>
      </w:pPr>
      <w:r>
        <w:rPr>
          <w:rFonts w:hint="eastAsia" w:ascii="宋体" w:hAnsi="宋体" w:cs="宋体"/>
          <w:color w:val="000000"/>
          <w:szCs w:val="21"/>
        </w:rPr>
        <w:t>3．如我方中标：</w:t>
      </w:r>
    </w:p>
    <w:p>
      <w:pPr>
        <w:spacing w:line="300" w:lineRule="auto"/>
        <w:ind w:firstLine="718" w:firstLineChars="342"/>
        <w:rPr>
          <w:rFonts w:ascii="宋体" w:hAnsi="宋体" w:cs="宋体"/>
          <w:color w:val="000000"/>
          <w:szCs w:val="21"/>
        </w:rPr>
      </w:pPr>
      <w:r>
        <w:rPr>
          <w:rFonts w:hint="eastAsia" w:ascii="宋体" w:hAnsi="宋体" w:cs="宋体"/>
          <w:color w:val="000000"/>
          <w:szCs w:val="21"/>
        </w:rPr>
        <w:t>（1）我方承诺在收到中标通知书后，在中标通知书规定的期限内与你方签订合同。</w:t>
      </w:r>
    </w:p>
    <w:p>
      <w:pPr>
        <w:spacing w:line="300" w:lineRule="auto"/>
        <w:ind w:firstLine="718" w:firstLineChars="342"/>
        <w:rPr>
          <w:rFonts w:ascii="宋体" w:hAnsi="宋体" w:cs="宋体"/>
          <w:color w:val="000000"/>
          <w:szCs w:val="21"/>
        </w:rPr>
      </w:pPr>
      <w:r>
        <w:rPr>
          <w:rFonts w:hint="eastAsia" w:ascii="宋体" w:hAnsi="宋体" w:cs="宋体"/>
          <w:color w:val="000000"/>
          <w:szCs w:val="21"/>
        </w:rPr>
        <w:t>（2）随同本投标函递交的投标函附录属于合同文件的组成部分。</w:t>
      </w:r>
    </w:p>
    <w:p>
      <w:pPr>
        <w:spacing w:line="300" w:lineRule="auto"/>
        <w:ind w:firstLine="718" w:firstLineChars="342"/>
        <w:rPr>
          <w:rFonts w:ascii="宋体" w:hAnsi="宋体" w:cs="宋体"/>
          <w:color w:val="000000"/>
          <w:szCs w:val="21"/>
        </w:rPr>
      </w:pPr>
      <w:r>
        <w:rPr>
          <w:rFonts w:hint="eastAsia" w:ascii="宋体" w:hAnsi="宋体" w:cs="宋体"/>
          <w:color w:val="000000"/>
          <w:szCs w:val="21"/>
        </w:rPr>
        <w:t>（3）我方承诺在合同约定的期限内完成并移交全部合同项目。</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4．</w:t>
      </w:r>
      <w:r>
        <w:rPr>
          <w:rFonts w:hint="eastAsia" w:ascii="宋体" w:hAnsi="宋体" w:cs="宋体"/>
          <w:color w:val="000000"/>
          <w:szCs w:val="21"/>
          <w:u w:val="single"/>
        </w:rPr>
        <w:t xml:space="preserve">                                       </w:t>
      </w:r>
      <w:r>
        <w:rPr>
          <w:rFonts w:hint="eastAsia" w:ascii="宋体" w:hAnsi="宋体" w:cs="宋体"/>
          <w:color w:val="000000"/>
          <w:szCs w:val="21"/>
        </w:rPr>
        <w:t>（其他补充说明）。</w:t>
      </w:r>
    </w:p>
    <w:p>
      <w:pPr>
        <w:spacing w:line="440" w:lineRule="exact"/>
        <w:rPr>
          <w:rFonts w:ascii="宋体" w:hAnsi="宋体" w:cs="宋体"/>
          <w:color w:val="000000"/>
          <w:szCs w:val="21"/>
        </w:rPr>
      </w:pPr>
    </w:p>
    <w:p>
      <w:pPr>
        <w:spacing w:line="440" w:lineRule="exact"/>
        <w:ind w:firstLine="3675" w:firstLineChars="1750"/>
        <w:rPr>
          <w:rFonts w:ascii="宋体" w:hAnsi="宋体" w:cs="宋体"/>
          <w:color w:val="000000"/>
          <w:szCs w:val="21"/>
        </w:rPr>
      </w:pPr>
      <w:r>
        <w:rPr>
          <w:rFonts w:hint="eastAsia" w:ascii="宋体" w:hAnsi="宋体" w:cs="宋体"/>
          <w:color w:val="000000"/>
          <w:szCs w:val="21"/>
        </w:rPr>
        <w:t>投 标 人：</w:t>
      </w:r>
      <w:r>
        <w:rPr>
          <w:rFonts w:hint="eastAsia" w:ascii="宋体" w:hAnsi="宋体" w:cs="宋体"/>
          <w:color w:val="000000"/>
          <w:szCs w:val="21"/>
          <w:u w:val="single"/>
        </w:rPr>
        <w:t xml:space="preserve">                      </w:t>
      </w:r>
      <w:r>
        <w:rPr>
          <w:rFonts w:hint="eastAsia" w:ascii="宋体" w:hAnsi="宋体" w:cs="宋体"/>
          <w:color w:val="000000"/>
          <w:szCs w:val="21"/>
        </w:rPr>
        <w:t>（盖单位章）</w:t>
      </w:r>
    </w:p>
    <w:p>
      <w:pPr>
        <w:spacing w:line="440" w:lineRule="exact"/>
        <w:ind w:firstLine="3675" w:firstLineChars="1750"/>
        <w:rPr>
          <w:rFonts w:ascii="宋体" w:hAnsi="宋体" w:cs="宋体"/>
          <w:color w:val="000000"/>
          <w:szCs w:val="21"/>
        </w:rPr>
      </w:pPr>
      <w:r>
        <w:rPr>
          <w:rFonts w:hint="eastAsia" w:ascii="宋体" w:hAnsi="宋体" w:cs="宋体"/>
          <w:color w:val="000000"/>
          <w:szCs w:val="21"/>
        </w:rPr>
        <w:t>法定代表人或其委托代理人：</w:t>
      </w:r>
      <w:r>
        <w:rPr>
          <w:rFonts w:hint="eastAsia" w:ascii="宋体" w:hAnsi="宋体" w:cs="宋体"/>
          <w:color w:val="000000"/>
          <w:szCs w:val="21"/>
          <w:u w:val="single"/>
        </w:rPr>
        <w:t xml:space="preserve">          </w:t>
      </w:r>
      <w:r>
        <w:rPr>
          <w:rFonts w:hint="eastAsia" w:ascii="宋体" w:hAnsi="宋体" w:cs="宋体"/>
          <w:color w:val="000000"/>
          <w:szCs w:val="21"/>
        </w:rPr>
        <w:t>（签字）</w:t>
      </w:r>
    </w:p>
    <w:p>
      <w:pPr>
        <w:spacing w:line="440" w:lineRule="exact"/>
        <w:ind w:firstLine="3675" w:firstLineChars="1750"/>
        <w:rPr>
          <w:rFonts w:ascii="宋体" w:hAnsi="宋体" w:cs="宋体"/>
          <w:color w:val="000000"/>
          <w:szCs w:val="21"/>
        </w:rPr>
      </w:pPr>
      <w:r>
        <w:rPr>
          <w:rFonts w:hint="eastAsia" w:ascii="宋体" w:hAnsi="宋体" w:cs="宋体"/>
          <w:color w:val="000000"/>
          <w:szCs w:val="21"/>
        </w:rPr>
        <w:t>地址：</w:t>
      </w:r>
      <w:r>
        <w:rPr>
          <w:rFonts w:hint="eastAsia" w:ascii="宋体" w:hAnsi="宋体" w:cs="宋体"/>
          <w:color w:val="000000"/>
          <w:szCs w:val="21"/>
          <w:u w:val="single"/>
        </w:rPr>
        <w:t xml:space="preserve">                                     </w:t>
      </w:r>
    </w:p>
    <w:p>
      <w:pPr>
        <w:spacing w:line="440" w:lineRule="exact"/>
        <w:ind w:firstLine="3675" w:firstLineChars="1750"/>
        <w:rPr>
          <w:rFonts w:ascii="宋体" w:hAnsi="宋体" w:cs="宋体"/>
          <w:color w:val="000000"/>
          <w:szCs w:val="21"/>
        </w:rPr>
      </w:pPr>
      <w:r>
        <w:rPr>
          <w:rFonts w:hint="eastAsia" w:ascii="宋体" w:hAnsi="宋体" w:cs="宋体"/>
          <w:color w:val="000000"/>
          <w:szCs w:val="21"/>
        </w:rPr>
        <w:t>网址：</w:t>
      </w:r>
      <w:r>
        <w:rPr>
          <w:rFonts w:hint="eastAsia" w:ascii="宋体" w:hAnsi="宋体" w:cs="宋体"/>
          <w:color w:val="000000"/>
          <w:szCs w:val="21"/>
          <w:u w:val="single"/>
        </w:rPr>
        <w:t xml:space="preserve">                                     </w:t>
      </w:r>
    </w:p>
    <w:p>
      <w:pPr>
        <w:spacing w:line="440" w:lineRule="exact"/>
        <w:ind w:firstLine="3675" w:firstLineChars="1750"/>
        <w:rPr>
          <w:rFonts w:ascii="宋体" w:hAnsi="宋体" w:cs="宋体"/>
          <w:color w:val="000000"/>
          <w:szCs w:val="21"/>
        </w:rPr>
      </w:pPr>
      <w:r>
        <w:rPr>
          <w:rFonts w:hint="eastAsia" w:ascii="宋体" w:hAnsi="宋体" w:cs="宋体"/>
          <w:color w:val="000000"/>
          <w:szCs w:val="21"/>
        </w:rPr>
        <w:t>电话：</w:t>
      </w:r>
      <w:r>
        <w:rPr>
          <w:rFonts w:hint="eastAsia" w:ascii="宋体" w:hAnsi="宋体" w:cs="宋体"/>
          <w:color w:val="000000"/>
          <w:szCs w:val="21"/>
          <w:u w:val="single"/>
        </w:rPr>
        <w:t xml:space="preserve">                                     </w:t>
      </w:r>
    </w:p>
    <w:p>
      <w:pPr>
        <w:spacing w:line="440" w:lineRule="exact"/>
        <w:ind w:firstLine="3675" w:firstLineChars="1750"/>
        <w:rPr>
          <w:rFonts w:ascii="宋体" w:hAnsi="宋体" w:cs="宋体"/>
          <w:color w:val="000000"/>
          <w:szCs w:val="21"/>
        </w:rPr>
      </w:pPr>
      <w:r>
        <w:rPr>
          <w:rFonts w:hint="eastAsia" w:ascii="宋体" w:hAnsi="宋体" w:cs="宋体"/>
          <w:color w:val="000000"/>
          <w:szCs w:val="21"/>
        </w:rPr>
        <w:t>传真：</w:t>
      </w:r>
      <w:r>
        <w:rPr>
          <w:rFonts w:hint="eastAsia" w:ascii="宋体" w:hAnsi="宋体" w:cs="宋体"/>
          <w:color w:val="000000"/>
          <w:szCs w:val="21"/>
          <w:u w:val="single"/>
        </w:rPr>
        <w:t xml:space="preserve">                                     </w:t>
      </w:r>
    </w:p>
    <w:p>
      <w:pPr>
        <w:spacing w:line="440" w:lineRule="exact"/>
        <w:ind w:firstLine="3675" w:firstLineChars="1750"/>
        <w:rPr>
          <w:rFonts w:ascii="宋体" w:hAnsi="宋体" w:cs="宋体"/>
          <w:color w:val="000000"/>
          <w:szCs w:val="21"/>
        </w:rPr>
      </w:pPr>
      <w:r>
        <w:rPr>
          <w:rFonts w:hint="eastAsia" w:ascii="宋体" w:hAnsi="宋体" w:cs="宋体"/>
          <w:color w:val="000000"/>
          <w:szCs w:val="21"/>
        </w:rPr>
        <w:t>邮政编码：</w:t>
      </w:r>
      <w:r>
        <w:rPr>
          <w:rFonts w:hint="eastAsia" w:ascii="宋体" w:hAnsi="宋体" w:cs="宋体"/>
          <w:color w:val="000000"/>
          <w:szCs w:val="21"/>
          <w:u w:val="single"/>
        </w:rPr>
        <w:t xml:space="preserve">                                 </w:t>
      </w:r>
    </w:p>
    <w:p>
      <w:pPr>
        <w:spacing w:line="440" w:lineRule="exact"/>
        <w:ind w:firstLine="5040" w:firstLineChars="2400"/>
        <w:rPr>
          <w:rFonts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spacing w:line="440" w:lineRule="exact"/>
        <w:rPr>
          <w:rFonts w:ascii="宋体" w:hAnsi="宋体" w:cs="宋体"/>
          <w:color w:val="000000"/>
          <w:szCs w:val="21"/>
        </w:rPr>
      </w:pPr>
    </w:p>
    <w:p>
      <w:pPr>
        <w:pStyle w:val="19"/>
        <w:rPr>
          <w:rFonts w:hAnsi="宋体" w:cs="宋体"/>
          <w:color w:val="000000"/>
          <w:szCs w:val="21"/>
        </w:rPr>
      </w:pPr>
    </w:p>
    <w:p>
      <w:pPr>
        <w:pStyle w:val="19"/>
        <w:rPr>
          <w:rFonts w:hAnsi="宋体" w:cs="宋体"/>
          <w:color w:val="000000"/>
          <w:szCs w:val="21"/>
        </w:rPr>
      </w:pPr>
    </w:p>
    <w:p>
      <w:pPr>
        <w:pStyle w:val="19"/>
        <w:rPr>
          <w:rFonts w:hAnsi="宋体" w:cs="宋体"/>
          <w:color w:val="000000"/>
          <w:szCs w:val="21"/>
        </w:rPr>
      </w:pPr>
    </w:p>
    <w:p>
      <w:pPr>
        <w:pStyle w:val="19"/>
        <w:rPr>
          <w:rFonts w:hAnsi="宋体" w:cs="宋体"/>
          <w:color w:val="000000"/>
          <w:szCs w:val="21"/>
        </w:rPr>
      </w:pPr>
    </w:p>
    <w:p>
      <w:pPr>
        <w:pStyle w:val="57"/>
        <w:rPr>
          <w:rFonts w:hAnsi="宋体"/>
        </w:rPr>
      </w:pPr>
    </w:p>
    <w:p>
      <w:pPr>
        <w:pStyle w:val="25"/>
        <w:rPr>
          <w:rFonts w:ascii="宋体" w:hAnsi="宋体" w:cs="宋体"/>
          <w:color w:val="000000"/>
        </w:rPr>
      </w:pPr>
    </w:p>
    <w:p>
      <w:pPr>
        <w:rPr>
          <w:rFonts w:ascii="宋体" w:hAnsi="宋体" w:cs="宋体"/>
          <w:color w:val="000000"/>
        </w:rPr>
      </w:pPr>
    </w:p>
    <w:p>
      <w:pPr>
        <w:pStyle w:val="19"/>
        <w:rPr>
          <w:rFonts w:hAnsi="宋体" w:cs="宋体"/>
          <w:color w:val="000000"/>
        </w:rPr>
      </w:pPr>
    </w:p>
    <w:p>
      <w:pPr>
        <w:pStyle w:val="3"/>
        <w:keepNext w:val="0"/>
        <w:keepLines w:val="0"/>
        <w:jc w:val="center"/>
        <w:rPr>
          <w:rFonts w:ascii="宋体" w:hAnsi="宋体" w:eastAsia="宋体" w:cs="宋体"/>
          <w:color w:val="000000"/>
        </w:rPr>
      </w:pPr>
      <w:bookmarkStart w:id="857" w:name="_Toc453756957"/>
      <w:bookmarkStart w:id="858" w:name="_Toc152045791"/>
      <w:bookmarkStart w:id="859" w:name="_Toc30535"/>
      <w:bookmarkStart w:id="860" w:name="_Toc179632811"/>
      <w:bookmarkStart w:id="861" w:name="_Toc152042580"/>
      <w:bookmarkStart w:id="862" w:name="_Toc17270"/>
      <w:bookmarkStart w:id="863" w:name="_Toc247085877"/>
      <w:bookmarkStart w:id="864" w:name="_Toc246997102"/>
      <w:bookmarkStart w:id="865" w:name="_Toc144974860"/>
      <w:bookmarkStart w:id="866" w:name="_Toc21247"/>
      <w:bookmarkStart w:id="867" w:name="_Toc246996359"/>
      <w:bookmarkStart w:id="868" w:name="_Toc9087"/>
      <w:bookmarkStart w:id="869" w:name="_Toc20626"/>
      <w:r>
        <w:rPr>
          <w:rFonts w:hint="eastAsia" w:ascii="宋体" w:hAnsi="宋体" w:eastAsia="宋体" w:cs="宋体"/>
          <w:color w:val="000000"/>
        </w:rPr>
        <w:t>二、法定代表人身份证明</w:t>
      </w:r>
      <w:bookmarkEnd w:id="857"/>
      <w:bookmarkEnd w:id="858"/>
      <w:bookmarkEnd w:id="859"/>
      <w:bookmarkEnd w:id="860"/>
      <w:bookmarkEnd w:id="861"/>
      <w:bookmarkEnd w:id="862"/>
      <w:bookmarkEnd w:id="863"/>
      <w:bookmarkEnd w:id="864"/>
      <w:bookmarkEnd w:id="865"/>
      <w:bookmarkEnd w:id="866"/>
      <w:bookmarkEnd w:id="867"/>
      <w:bookmarkEnd w:id="868"/>
      <w:bookmarkEnd w:id="869"/>
    </w:p>
    <w:p>
      <w:pPr>
        <w:spacing w:line="440" w:lineRule="exact"/>
        <w:rPr>
          <w:rFonts w:ascii="宋体" w:hAnsi="宋体" w:cs="宋体"/>
          <w:color w:val="000000"/>
          <w:sz w:val="20"/>
          <w:szCs w:val="20"/>
        </w:rPr>
      </w:pPr>
    </w:p>
    <w:p>
      <w:pPr>
        <w:spacing w:line="440" w:lineRule="exact"/>
        <w:rPr>
          <w:rFonts w:ascii="宋体" w:hAnsi="宋体" w:cs="宋体"/>
          <w:color w:val="000000"/>
          <w:szCs w:val="21"/>
        </w:rPr>
      </w:pPr>
    </w:p>
    <w:p>
      <w:pPr>
        <w:spacing w:line="440" w:lineRule="exact"/>
        <w:rPr>
          <w:rFonts w:ascii="宋体" w:hAnsi="宋体" w:cs="宋体"/>
          <w:color w:val="000000"/>
          <w:szCs w:val="21"/>
        </w:rPr>
      </w:pPr>
      <w:r>
        <w:rPr>
          <w:rFonts w:hint="eastAsia" w:ascii="宋体" w:hAnsi="宋体" w:cs="宋体"/>
          <w:color w:val="000000"/>
          <w:szCs w:val="21"/>
        </w:rPr>
        <w:t>投标人名称：</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spacing w:line="440" w:lineRule="exact"/>
        <w:rPr>
          <w:rFonts w:ascii="宋体" w:hAnsi="宋体" w:cs="宋体"/>
          <w:color w:val="000000"/>
          <w:szCs w:val="21"/>
        </w:rPr>
      </w:pPr>
      <w:r>
        <w:rPr>
          <w:rFonts w:hint="eastAsia" w:ascii="宋体" w:hAnsi="宋体" w:cs="宋体"/>
          <w:color w:val="000000"/>
          <w:szCs w:val="21"/>
        </w:rPr>
        <w:t>单位性质：</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spacing w:line="440" w:lineRule="exact"/>
        <w:rPr>
          <w:rFonts w:ascii="宋体" w:hAnsi="宋体" w:cs="宋体"/>
          <w:color w:val="000000"/>
          <w:szCs w:val="21"/>
        </w:rPr>
      </w:pPr>
      <w:r>
        <w:rPr>
          <w:rFonts w:hint="eastAsia" w:ascii="宋体" w:hAnsi="宋体" w:cs="宋体"/>
          <w:color w:val="000000"/>
          <w:szCs w:val="21"/>
        </w:rPr>
        <w:t>地址：</w:t>
      </w:r>
      <w:r>
        <w:rPr>
          <w:rFonts w:hint="eastAsia" w:ascii="宋体" w:hAnsi="宋体" w:cs="宋体"/>
          <w:color w:val="000000"/>
          <w:szCs w:val="21"/>
          <w:u w:val="single"/>
        </w:rPr>
        <w:t xml:space="preserve">                                   </w:t>
      </w:r>
    </w:p>
    <w:p>
      <w:pPr>
        <w:spacing w:line="440" w:lineRule="exact"/>
        <w:rPr>
          <w:rFonts w:ascii="宋体" w:hAnsi="宋体" w:cs="宋体"/>
          <w:color w:val="000000"/>
          <w:szCs w:val="21"/>
        </w:rPr>
      </w:pPr>
      <w:r>
        <w:rPr>
          <w:rFonts w:hint="eastAsia" w:ascii="宋体" w:hAnsi="宋体" w:cs="宋体"/>
          <w:color w:val="000000"/>
          <w:szCs w:val="21"/>
        </w:rPr>
        <w:t>成立时间：</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spacing w:line="440" w:lineRule="exact"/>
        <w:rPr>
          <w:rFonts w:ascii="宋体" w:hAnsi="宋体" w:cs="宋体"/>
          <w:color w:val="000000"/>
          <w:szCs w:val="21"/>
        </w:rPr>
      </w:pPr>
      <w:r>
        <w:rPr>
          <w:rFonts w:hint="eastAsia" w:ascii="宋体" w:hAnsi="宋体" w:cs="宋体"/>
          <w:color w:val="000000"/>
          <w:szCs w:val="21"/>
        </w:rPr>
        <w:t>经营期限：</w:t>
      </w:r>
      <w:r>
        <w:rPr>
          <w:rFonts w:hint="eastAsia" w:ascii="宋体" w:hAnsi="宋体" w:cs="宋体"/>
          <w:color w:val="000000"/>
          <w:szCs w:val="21"/>
          <w:u w:val="single"/>
        </w:rPr>
        <w:t xml:space="preserve">                               </w:t>
      </w:r>
    </w:p>
    <w:p>
      <w:pPr>
        <w:spacing w:line="440" w:lineRule="exact"/>
        <w:rPr>
          <w:rFonts w:ascii="宋体" w:hAnsi="宋体" w:cs="宋体"/>
          <w:color w:val="000000"/>
          <w:szCs w:val="21"/>
        </w:rPr>
      </w:pPr>
      <w:r>
        <w:rPr>
          <w:rFonts w:hint="eastAsia" w:ascii="宋体" w:hAnsi="宋体" w:cs="宋体"/>
          <w:color w:val="000000"/>
          <w:szCs w:val="21"/>
        </w:rPr>
        <w:t>姓名：</w:t>
      </w:r>
      <w:r>
        <w:rPr>
          <w:rFonts w:hint="eastAsia" w:ascii="宋体" w:hAnsi="宋体" w:cs="宋体"/>
          <w:color w:val="000000"/>
          <w:szCs w:val="21"/>
          <w:u w:val="single"/>
        </w:rPr>
        <w:t xml:space="preserve">         </w:t>
      </w:r>
      <w:r>
        <w:rPr>
          <w:rFonts w:hint="eastAsia" w:ascii="宋体" w:hAnsi="宋体" w:cs="宋体"/>
          <w:color w:val="000000"/>
          <w:szCs w:val="21"/>
        </w:rPr>
        <w:t xml:space="preserve"> 性别：</w:t>
      </w:r>
      <w:r>
        <w:rPr>
          <w:rFonts w:hint="eastAsia" w:ascii="宋体" w:hAnsi="宋体" w:cs="宋体"/>
          <w:color w:val="000000"/>
          <w:szCs w:val="21"/>
          <w:u w:val="single"/>
        </w:rPr>
        <w:t xml:space="preserve">         </w:t>
      </w:r>
      <w:r>
        <w:rPr>
          <w:rFonts w:hint="eastAsia" w:ascii="宋体" w:hAnsi="宋体" w:cs="宋体"/>
          <w:color w:val="000000"/>
          <w:szCs w:val="21"/>
        </w:rPr>
        <w:t>年龄：</w:t>
      </w:r>
      <w:r>
        <w:rPr>
          <w:rFonts w:hint="eastAsia" w:ascii="宋体" w:hAnsi="宋体" w:cs="宋体"/>
          <w:color w:val="000000"/>
          <w:szCs w:val="21"/>
          <w:u w:val="single"/>
        </w:rPr>
        <w:t xml:space="preserve">        </w:t>
      </w:r>
      <w:r>
        <w:rPr>
          <w:rFonts w:hint="eastAsia" w:ascii="宋体" w:hAnsi="宋体" w:cs="宋体"/>
          <w:color w:val="000000"/>
          <w:szCs w:val="21"/>
        </w:rPr>
        <w:t>职务：</w:t>
      </w:r>
      <w:r>
        <w:rPr>
          <w:rFonts w:hint="eastAsia" w:ascii="宋体" w:hAnsi="宋体" w:cs="宋体"/>
          <w:color w:val="000000"/>
          <w:szCs w:val="21"/>
          <w:u w:val="single"/>
        </w:rPr>
        <w:t xml:space="preserve">        </w:t>
      </w:r>
    </w:p>
    <w:p>
      <w:pPr>
        <w:spacing w:line="440" w:lineRule="exact"/>
        <w:rPr>
          <w:rFonts w:ascii="宋体" w:hAnsi="宋体" w:cs="宋体"/>
          <w:color w:val="000000"/>
          <w:szCs w:val="21"/>
        </w:rPr>
      </w:pPr>
      <w:r>
        <w:rPr>
          <w:rFonts w:hint="eastAsia" w:ascii="宋体" w:hAnsi="宋体" w:cs="宋体"/>
          <w:color w:val="000000"/>
          <w:szCs w:val="21"/>
        </w:rPr>
        <w:t>系</w:t>
      </w:r>
      <w:r>
        <w:rPr>
          <w:rFonts w:hint="eastAsia" w:ascii="宋体" w:hAnsi="宋体" w:cs="宋体"/>
          <w:color w:val="000000"/>
          <w:szCs w:val="21"/>
          <w:u w:val="single"/>
        </w:rPr>
        <w:t xml:space="preserve">                             </w:t>
      </w:r>
      <w:r>
        <w:rPr>
          <w:rFonts w:hint="eastAsia" w:ascii="宋体" w:hAnsi="宋体" w:cs="宋体"/>
          <w:color w:val="000000"/>
          <w:szCs w:val="21"/>
        </w:rPr>
        <w:t xml:space="preserve"> （投标人名称）的法定代表人。</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特此证明。</w:t>
      </w:r>
    </w:p>
    <w:p>
      <w:pPr>
        <w:spacing w:line="440" w:lineRule="exact"/>
        <w:rPr>
          <w:rFonts w:ascii="宋体" w:hAnsi="宋体" w:cs="宋体"/>
          <w:color w:val="000000"/>
          <w:szCs w:val="21"/>
        </w:rPr>
      </w:pPr>
    </w:p>
    <w:p>
      <w:pPr>
        <w:spacing w:line="440" w:lineRule="exact"/>
        <w:rPr>
          <w:rFonts w:ascii="宋体" w:hAnsi="宋体" w:cs="宋体"/>
          <w:color w:val="000000"/>
          <w:szCs w:val="21"/>
        </w:rPr>
      </w:pPr>
    </w:p>
    <w:p>
      <w:pPr>
        <w:spacing w:line="440" w:lineRule="exact"/>
        <w:rPr>
          <w:rFonts w:ascii="宋体" w:hAnsi="宋体" w:cs="宋体"/>
          <w:color w:val="000000"/>
          <w:szCs w:val="21"/>
        </w:rPr>
      </w:pPr>
      <w:r>
        <w:rPr>
          <w:rFonts w:hint="eastAsia" w:ascii="宋体" w:hAnsi="宋体" w:cs="宋体"/>
          <w:color w:val="000000"/>
          <w:szCs w:val="21"/>
        </w:rPr>
        <w:t xml:space="preserve">                          投标人：</w:t>
      </w:r>
      <w:r>
        <w:rPr>
          <w:rFonts w:hint="eastAsia" w:ascii="宋体" w:hAnsi="宋体" w:cs="宋体"/>
          <w:color w:val="000000"/>
          <w:szCs w:val="21"/>
          <w:u w:val="single"/>
        </w:rPr>
        <w:t xml:space="preserve">                 </w:t>
      </w:r>
      <w:r>
        <w:rPr>
          <w:rFonts w:hint="eastAsia" w:ascii="宋体" w:hAnsi="宋体" w:cs="宋体"/>
          <w:color w:val="000000"/>
          <w:szCs w:val="21"/>
        </w:rPr>
        <w:t>（盖单位章）</w:t>
      </w:r>
    </w:p>
    <w:p>
      <w:pPr>
        <w:spacing w:line="440" w:lineRule="exact"/>
        <w:rPr>
          <w:rFonts w:ascii="宋体" w:hAnsi="宋体" w:cs="宋体"/>
          <w:color w:val="000000"/>
          <w:szCs w:val="21"/>
        </w:rPr>
      </w:pPr>
      <w:r>
        <w:rPr>
          <w:rFonts w:hint="eastAsia" w:ascii="宋体" w:hAnsi="宋体" w:cs="宋体"/>
          <w:color w:val="000000"/>
          <w:szCs w:val="21"/>
        </w:rPr>
        <w:t xml:space="preserve">                                   </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 xml:space="preserve">日           </w:t>
      </w:r>
    </w:p>
    <w:p>
      <w:pPr>
        <w:spacing w:line="440" w:lineRule="exact"/>
        <w:rPr>
          <w:rFonts w:ascii="宋体" w:hAnsi="宋体" w:cs="宋体"/>
          <w:color w:val="000000"/>
          <w:sz w:val="20"/>
          <w:szCs w:val="20"/>
        </w:rPr>
      </w:pPr>
    </w:p>
    <w:p>
      <w:pPr>
        <w:spacing w:line="440" w:lineRule="exact"/>
        <w:rPr>
          <w:rFonts w:ascii="宋体" w:hAnsi="宋体" w:cs="宋体"/>
          <w:color w:val="000000"/>
          <w:sz w:val="20"/>
          <w:szCs w:val="20"/>
        </w:rPr>
      </w:pPr>
    </w:p>
    <w:p>
      <w:pPr>
        <w:spacing w:line="440" w:lineRule="exact"/>
        <w:rPr>
          <w:rFonts w:ascii="宋体" w:hAnsi="宋体" w:cs="宋体"/>
          <w:color w:val="000000"/>
          <w:sz w:val="20"/>
          <w:szCs w:val="20"/>
        </w:rPr>
      </w:pPr>
    </w:p>
    <w:p>
      <w:pPr>
        <w:spacing w:line="440" w:lineRule="exact"/>
        <w:rPr>
          <w:rFonts w:ascii="宋体" w:hAnsi="宋体" w:cs="宋体"/>
          <w:color w:val="000000"/>
          <w:sz w:val="20"/>
          <w:szCs w:val="20"/>
        </w:rPr>
      </w:pPr>
    </w:p>
    <w:p>
      <w:pPr>
        <w:spacing w:line="440" w:lineRule="exact"/>
        <w:rPr>
          <w:rFonts w:ascii="宋体" w:hAnsi="宋体" w:cs="宋体"/>
          <w:color w:val="000000"/>
          <w:sz w:val="20"/>
          <w:szCs w:val="20"/>
        </w:rPr>
      </w:pPr>
    </w:p>
    <w:p>
      <w:pPr>
        <w:spacing w:line="440" w:lineRule="exact"/>
        <w:rPr>
          <w:rFonts w:ascii="宋体" w:hAnsi="宋体" w:cs="宋体"/>
          <w:color w:val="000000"/>
          <w:sz w:val="20"/>
          <w:szCs w:val="20"/>
        </w:rPr>
      </w:pPr>
    </w:p>
    <w:p>
      <w:pPr>
        <w:spacing w:line="440" w:lineRule="exact"/>
        <w:rPr>
          <w:rFonts w:ascii="宋体" w:hAnsi="宋体" w:cs="宋体"/>
          <w:color w:val="000000"/>
          <w:sz w:val="20"/>
          <w:szCs w:val="20"/>
        </w:rPr>
      </w:pPr>
    </w:p>
    <w:p>
      <w:pPr>
        <w:spacing w:line="440" w:lineRule="exact"/>
        <w:rPr>
          <w:rFonts w:ascii="宋体" w:hAnsi="宋体" w:cs="宋体"/>
          <w:color w:val="000000"/>
          <w:sz w:val="20"/>
          <w:szCs w:val="20"/>
        </w:rPr>
      </w:pPr>
    </w:p>
    <w:p>
      <w:pPr>
        <w:spacing w:line="440" w:lineRule="exact"/>
        <w:rPr>
          <w:rFonts w:ascii="宋体" w:hAnsi="宋体" w:cs="宋体"/>
          <w:color w:val="000000"/>
          <w:sz w:val="20"/>
          <w:szCs w:val="20"/>
        </w:rPr>
      </w:pPr>
    </w:p>
    <w:p>
      <w:pPr>
        <w:spacing w:line="440" w:lineRule="exact"/>
        <w:rPr>
          <w:rFonts w:ascii="宋体" w:hAnsi="宋体" w:cs="宋体"/>
          <w:color w:val="000000"/>
          <w:sz w:val="20"/>
          <w:szCs w:val="20"/>
        </w:rPr>
      </w:pPr>
    </w:p>
    <w:p>
      <w:pPr>
        <w:pStyle w:val="57"/>
        <w:rPr>
          <w:rFonts w:hAnsi="宋体"/>
          <w:sz w:val="20"/>
          <w:szCs w:val="20"/>
        </w:rPr>
      </w:pPr>
    </w:p>
    <w:p>
      <w:pPr>
        <w:pStyle w:val="25"/>
        <w:rPr>
          <w:rFonts w:ascii="宋体" w:hAnsi="宋体" w:cs="宋体"/>
          <w:color w:val="000000"/>
          <w:sz w:val="20"/>
        </w:rPr>
      </w:pPr>
    </w:p>
    <w:p/>
    <w:p>
      <w:pPr>
        <w:spacing w:line="440" w:lineRule="exact"/>
        <w:rPr>
          <w:rFonts w:ascii="宋体" w:hAnsi="宋体" w:cs="宋体"/>
          <w:color w:val="000000"/>
          <w:sz w:val="20"/>
          <w:szCs w:val="20"/>
        </w:rPr>
      </w:pPr>
    </w:p>
    <w:p>
      <w:pPr>
        <w:pStyle w:val="3"/>
        <w:keepNext w:val="0"/>
        <w:keepLines w:val="0"/>
        <w:rPr>
          <w:rFonts w:ascii="宋体" w:hAnsi="宋体" w:eastAsia="宋体" w:cs="宋体"/>
          <w:color w:val="000000"/>
        </w:rPr>
      </w:pPr>
      <w:bookmarkStart w:id="870" w:name="_Toc246997103"/>
      <w:bookmarkStart w:id="871" w:name="_Toc18992"/>
      <w:bookmarkStart w:id="872" w:name="_Toc144974861"/>
      <w:bookmarkStart w:id="873" w:name="_Toc152045792"/>
      <w:bookmarkStart w:id="874" w:name="_Toc246996360"/>
      <w:bookmarkStart w:id="875" w:name="_Toc27559"/>
      <w:bookmarkStart w:id="876" w:name="_Toc152042581"/>
      <w:bookmarkStart w:id="877" w:name="_Toc15638"/>
      <w:bookmarkStart w:id="878" w:name="_Toc453756958"/>
      <w:bookmarkStart w:id="879" w:name="_Toc179632812"/>
      <w:bookmarkStart w:id="880" w:name="_Toc26348"/>
      <w:bookmarkStart w:id="881" w:name="_Toc247085878"/>
      <w:bookmarkStart w:id="882" w:name="_Toc28861"/>
    </w:p>
    <w:p>
      <w:pPr>
        <w:pStyle w:val="3"/>
        <w:keepNext w:val="0"/>
        <w:keepLines w:val="0"/>
        <w:jc w:val="center"/>
        <w:rPr>
          <w:rFonts w:ascii="宋体" w:hAnsi="宋体" w:eastAsia="宋体" w:cs="宋体"/>
          <w:color w:val="000000"/>
        </w:rPr>
      </w:pPr>
      <w:r>
        <w:rPr>
          <w:rFonts w:hint="eastAsia" w:ascii="宋体" w:hAnsi="宋体" w:eastAsia="宋体" w:cs="宋体"/>
          <w:color w:val="000000"/>
        </w:rPr>
        <w:t>三、授权委托书</w:t>
      </w:r>
      <w:bookmarkEnd w:id="870"/>
      <w:bookmarkEnd w:id="871"/>
      <w:bookmarkEnd w:id="872"/>
      <w:bookmarkEnd w:id="873"/>
      <w:bookmarkEnd w:id="874"/>
      <w:bookmarkEnd w:id="875"/>
      <w:bookmarkEnd w:id="876"/>
      <w:bookmarkEnd w:id="877"/>
      <w:bookmarkEnd w:id="878"/>
      <w:bookmarkEnd w:id="879"/>
      <w:bookmarkEnd w:id="880"/>
      <w:bookmarkEnd w:id="881"/>
      <w:bookmarkEnd w:id="882"/>
    </w:p>
    <w:p>
      <w:pPr>
        <w:spacing w:line="440" w:lineRule="exact"/>
        <w:rPr>
          <w:rFonts w:ascii="宋体" w:hAnsi="宋体" w:cs="宋体"/>
          <w:color w:val="000000"/>
          <w:szCs w:val="21"/>
        </w:rPr>
      </w:pPr>
    </w:p>
    <w:p>
      <w:pPr>
        <w:topLinePunct/>
        <w:spacing w:line="440" w:lineRule="exact"/>
        <w:ind w:firstLine="420" w:firstLineChars="200"/>
        <w:rPr>
          <w:rFonts w:ascii="宋体" w:hAnsi="宋体" w:cs="宋体"/>
          <w:color w:val="000000"/>
          <w:szCs w:val="21"/>
        </w:rPr>
      </w:pPr>
      <w:r>
        <w:rPr>
          <w:rFonts w:hint="eastAsia" w:ascii="宋体" w:hAnsi="宋体" w:cs="宋体"/>
          <w:color w:val="000000"/>
          <w:szCs w:val="21"/>
        </w:rPr>
        <w:t>本人</w:t>
      </w:r>
      <w:r>
        <w:rPr>
          <w:rFonts w:hint="eastAsia" w:ascii="宋体" w:hAnsi="宋体" w:cs="宋体"/>
          <w:color w:val="000000"/>
          <w:szCs w:val="21"/>
          <w:u w:val="single"/>
        </w:rPr>
        <w:t xml:space="preserve">       </w:t>
      </w:r>
      <w:r>
        <w:rPr>
          <w:rFonts w:hint="eastAsia" w:ascii="宋体" w:hAnsi="宋体" w:cs="宋体"/>
          <w:color w:val="000000"/>
          <w:szCs w:val="21"/>
        </w:rPr>
        <w:t>（姓名）系</w:t>
      </w:r>
      <w:r>
        <w:rPr>
          <w:rFonts w:hint="eastAsia" w:ascii="宋体" w:hAnsi="宋体" w:cs="宋体"/>
          <w:color w:val="000000"/>
          <w:szCs w:val="21"/>
          <w:u w:val="single"/>
        </w:rPr>
        <w:t xml:space="preserve">        </w:t>
      </w:r>
      <w:r>
        <w:rPr>
          <w:rFonts w:hint="eastAsia" w:ascii="宋体" w:hAnsi="宋体" w:cs="宋体"/>
          <w:color w:val="000000"/>
          <w:szCs w:val="21"/>
        </w:rPr>
        <w:t>（投标人名称）的法定代表人，现委托</w:t>
      </w:r>
      <w:r>
        <w:rPr>
          <w:rFonts w:hint="eastAsia" w:ascii="宋体" w:hAnsi="宋体" w:cs="宋体"/>
          <w:color w:val="000000"/>
          <w:szCs w:val="21"/>
          <w:u w:val="single"/>
        </w:rPr>
        <w:t xml:space="preserve">        </w:t>
      </w:r>
      <w:r>
        <w:rPr>
          <w:rFonts w:hint="eastAsia" w:ascii="宋体" w:hAnsi="宋体" w:cs="宋体"/>
          <w:color w:val="000000"/>
          <w:szCs w:val="21"/>
        </w:rPr>
        <w:t>（姓名）为我方代理人。代理人根据授权，以我方名义签署、澄清、说明、补正、递交、撤回、修改</w:t>
      </w:r>
      <w:r>
        <w:rPr>
          <w:rFonts w:hint="eastAsia" w:ascii="宋体" w:hAnsi="宋体" w:cs="宋体"/>
          <w:color w:val="000000"/>
          <w:szCs w:val="21"/>
          <w:u w:val="single"/>
        </w:rPr>
        <w:t xml:space="preserve">           </w:t>
      </w:r>
      <w:r>
        <w:rPr>
          <w:rFonts w:hint="eastAsia" w:ascii="宋体" w:hAnsi="宋体" w:cs="宋体"/>
          <w:color w:val="000000"/>
          <w:szCs w:val="21"/>
        </w:rPr>
        <w:t>（项目名称）投标文件、签订合同和处理有关事宜，其法律后果由我方承担。</w:t>
      </w:r>
    </w:p>
    <w:p>
      <w:pPr>
        <w:spacing w:line="440" w:lineRule="exact"/>
        <w:rPr>
          <w:rFonts w:ascii="宋体" w:hAnsi="宋体" w:cs="宋体"/>
          <w:color w:val="000000"/>
          <w:szCs w:val="21"/>
        </w:rPr>
      </w:pPr>
      <w:r>
        <w:rPr>
          <w:rFonts w:hint="eastAsia" w:ascii="宋体" w:hAnsi="宋体" w:cs="宋体"/>
          <w:color w:val="000000"/>
          <w:szCs w:val="21"/>
        </w:rPr>
        <w:t xml:space="preserve">    委托期限：</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代理人无转委托权。</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附：法定代表人及委托代理人身份正反面复印件</w:t>
      </w:r>
    </w:p>
    <w:p>
      <w:pPr>
        <w:spacing w:line="440" w:lineRule="exact"/>
        <w:rPr>
          <w:rFonts w:ascii="宋体" w:hAnsi="宋体" w:cs="宋体"/>
          <w:color w:val="000000"/>
          <w:szCs w:val="21"/>
        </w:rPr>
      </w:pPr>
    </w:p>
    <w:p>
      <w:pPr>
        <w:spacing w:line="440" w:lineRule="exact"/>
        <w:rPr>
          <w:rFonts w:ascii="宋体" w:hAnsi="宋体" w:cs="宋体"/>
          <w:color w:val="000000"/>
          <w:szCs w:val="21"/>
        </w:rPr>
      </w:pPr>
    </w:p>
    <w:p>
      <w:pPr>
        <w:spacing w:line="440" w:lineRule="exact"/>
        <w:rPr>
          <w:rFonts w:ascii="宋体" w:hAnsi="宋体" w:cs="宋体"/>
          <w:color w:val="000000"/>
          <w:szCs w:val="21"/>
        </w:rPr>
      </w:pPr>
      <w:r>
        <w:rPr>
          <w:rFonts w:hint="eastAsia" w:ascii="宋体" w:hAnsi="宋体" w:cs="宋体"/>
          <w:color w:val="000000"/>
          <w:szCs w:val="21"/>
        </w:rPr>
        <w:t>投标人：</w:t>
      </w:r>
      <w:r>
        <w:rPr>
          <w:rFonts w:hint="eastAsia" w:ascii="宋体" w:hAnsi="宋体" w:cs="宋体"/>
          <w:color w:val="000000"/>
          <w:szCs w:val="21"/>
          <w:u w:val="single"/>
        </w:rPr>
        <w:t xml:space="preserve">                               </w:t>
      </w:r>
      <w:r>
        <w:rPr>
          <w:rFonts w:hint="eastAsia" w:ascii="宋体" w:hAnsi="宋体" w:cs="宋体"/>
          <w:color w:val="000000"/>
          <w:szCs w:val="21"/>
        </w:rPr>
        <w:t>（盖单位章）</w:t>
      </w:r>
    </w:p>
    <w:p>
      <w:pPr>
        <w:spacing w:line="440" w:lineRule="exact"/>
        <w:rPr>
          <w:rFonts w:ascii="宋体" w:hAnsi="宋体" w:cs="宋体"/>
          <w:color w:val="000000"/>
          <w:szCs w:val="21"/>
        </w:rPr>
      </w:pPr>
    </w:p>
    <w:p>
      <w:pPr>
        <w:spacing w:line="440" w:lineRule="exact"/>
        <w:rPr>
          <w:rFonts w:ascii="宋体" w:hAnsi="宋体" w:cs="宋体"/>
          <w:color w:val="000000"/>
          <w:szCs w:val="21"/>
        </w:rPr>
      </w:pPr>
      <w:r>
        <w:rPr>
          <w:rFonts w:hint="eastAsia" w:ascii="宋体" w:hAnsi="宋体" w:cs="宋体"/>
          <w:color w:val="000000"/>
          <w:szCs w:val="21"/>
        </w:rPr>
        <w:t>法定代表人：</w:t>
      </w:r>
      <w:r>
        <w:rPr>
          <w:rFonts w:hint="eastAsia" w:ascii="宋体" w:hAnsi="宋体" w:cs="宋体"/>
          <w:color w:val="000000"/>
          <w:szCs w:val="21"/>
          <w:u w:val="single"/>
        </w:rPr>
        <w:t xml:space="preserve">                          </w:t>
      </w:r>
      <w:r>
        <w:rPr>
          <w:rFonts w:hint="eastAsia" w:ascii="宋体" w:hAnsi="宋体" w:cs="宋体"/>
          <w:color w:val="000000"/>
          <w:szCs w:val="21"/>
        </w:rPr>
        <w:t>（签字或盖章）</w:t>
      </w:r>
    </w:p>
    <w:p>
      <w:pPr>
        <w:spacing w:line="440" w:lineRule="exact"/>
        <w:rPr>
          <w:rFonts w:ascii="宋体" w:hAnsi="宋体" w:cs="宋体"/>
          <w:color w:val="000000"/>
          <w:szCs w:val="21"/>
        </w:rPr>
      </w:pPr>
    </w:p>
    <w:p>
      <w:pPr>
        <w:spacing w:line="440" w:lineRule="exact"/>
        <w:rPr>
          <w:rFonts w:ascii="宋体" w:hAnsi="宋体" w:cs="宋体"/>
          <w:color w:val="000000"/>
          <w:szCs w:val="21"/>
        </w:rPr>
      </w:pPr>
      <w:r>
        <w:rPr>
          <w:rFonts w:hint="eastAsia" w:ascii="宋体" w:hAnsi="宋体" w:cs="宋体"/>
          <w:color w:val="000000"/>
          <w:szCs w:val="21"/>
        </w:rPr>
        <w:t>身份证号码：</w:t>
      </w:r>
      <w:r>
        <w:rPr>
          <w:rFonts w:hint="eastAsia" w:ascii="宋体" w:hAnsi="宋体" w:cs="宋体"/>
          <w:color w:val="000000"/>
          <w:szCs w:val="21"/>
          <w:u w:val="single"/>
        </w:rPr>
        <w:t xml:space="preserve">                                     </w:t>
      </w:r>
    </w:p>
    <w:p>
      <w:pPr>
        <w:spacing w:line="440" w:lineRule="exact"/>
        <w:rPr>
          <w:rFonts w:ascii="宋体" w:hAnsi="宋体" w:cs="宋体"/>
          <w:color w:val="000000"/>
          <w:szCs w:val="21"/>
        </w:rPr>
      </w:pPr>
    </w:p>
    <w:p>
      <w:pPr>
        <w:spacing w:line="440" w:lineRule="exact"/>
        <w:rPr>
          <w:rFonts w:ascii="宋体" w:hAnsi="宋体" w:cs="宋体"/>
          <w:color w:val="000000"/>
          <w:szCs w:val="21"/>
        </w:rPr>
      </w:pPr>
      <w:r>
        <w:rPr>
          <w:rFonts w:hint="eastAsia" w:ascii="宋体" w:hAnsi="宋体" w:cs="宋体"/>
          <w:color w:val="000000"/>
          <w:szCs w:val="21"/>
        </w:rPr>
        <w:t>委托代理人：</w:t>
      </w:r>
      <w:r>
        <w:rPr>
          <w:rFonts w:hint="eastAsia" w:ascii="宋体" w:hAnsi="宋体" w:cs="宋体"/>
          <w:color w:val="000000"/>
          <w:szCs w:val="21"/>
          <w:u w:val="single"/>
        </w:rPr>
        <w:t xml:space="preserve">                          </w:t>
      </w:r>
      <w:r>
        <w:rPr>
          <w:rFonts w:hint="eastAsia" w:ascii="宋体" w:hAnsi="宋体" w:cs="宋体"/>
          <w:color w:val="000000"/>
          <w:szCs w:val="21"/>
        </w:rPr>
        <w:t xml:space="preserve">（签字或盖章） </w:t>
      </w:r>
    </w:p>
    <w:p>
      <w:pPr>
        <w:spacing w:line="440" w:lineRule="exact"/>
        <w:rPr>
          <w:rFonts w:ascii="宋体" w:hAnsi="宋体" w:cs="宋体"/>
          <w:color w:val="000000"/>
          <w:szCs w:val="21"/>
        </w:rPr>
      </w:pPr>
    </w:p>
    <w:p>
      <w:pPr>
        <w:spacing w:line="440" w:lineRule="exact"/>
        <w:rPr>
          <w:rFonts w:ascii="宋体" w:hAnsi="宋体" w:cs="宋体"/>
          <w:color w:val="000000"/>
          <w:szCs w:val="21"/>
        </w:rPr>
      </w:pPr>
      <w:r>
        <w:rPr>
          <w:rFonts w:hint="eastAsia" w:ascii="宋体" w:hAnsi="宋体" w:cs="宋体"/>
          <w:color w:val="000000"/>
          <w:szCs w:val="21"/>
        </w:rPr>
        <w:t>身份证号码：</w:t>
      </w:r>
      <w:r>
        <w:rPr>
          <w:rFonts w:hint="eastAsia" w:ascii="宋体" w:hAnsi="宋体" w:cs="宋体"/>
          <w:color w:val="000000"/>
          <w:szCs w:val="21"/>
          <w:u w:val="single"/>
        </w:rPr>
        <w:t xml:space="preserve">                                      </w:t>
      </w:r>
    </w:p>
    <w:p>
      <w:pPr>
        <w:spacing w:line="440" w:lineRule="exact"/>
        <w:rPr>
          <w:rFonts w:ascii="宋体" w:hAnsi="宋体" w:cs="宋体"/>
          <w:color w:val="000000"/>
          <w:szCs w:val="21"/>
        </w:rPr>
      </w:pPr>
    </w:p>
    <w:p>
      <w:pPr>
        <w:spacing w:line="440" w:lineRule="exact"/>
        <w:rPr>
          <w:rFonts w:ascii="宋体" w:hAnsi="宋体" w:cs="宋体"/>
          <w:color w:val="000000"/>
          <w:szCs w:val="21"/>
        </w:rPr>
      </w:pPr>
    </w:p>
    <w:p>
      <w:pPr>
        <w:spacing w:line="440" w:lineRule="exact"/>
        <w:ind w:firstLine="2310" w:firstLineChars="1100"/>
        <w:rPr>
          <w:rFonts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spacing w:line="400" w:lineRule="exact"/>
        <w:rPr>
          <w:rFonts w:ascii="宋体" w:hAnsi="宋体" w:cs="宋体"/>
          <w:color w:val="000000"/>
        </w:rPr>
      </w:pPr>
      <w:r>
        <w:rPr>
          <w:rFonts w:hint="eastAsia" w:ascii="宋体" w:hAnsi="宋体" w:cs="宋体"/>
          <w:color w:val="000000"/>
          <w:sz w:val="20"/>
          <w:szCs w:val="20"/>
        </w:rPr>
        <w:br w:type="page"/>
      </w:r>
    </w:p>
    <w:p>
      <w:pPr>
        <w:pStyle w:val="4"/>
        <w:widowControl/>
        <w:numPr>
          <w:ilvl w:val="2"/>
          <w:numId w:val="0"/>
        </w:numPr>
        <w:tabs>
          <w:tab w:val="left" w:pos="720"/>
        </w:tabs>
        <w:spacing w:before="120" w:after="120" w:line="360" w:lineRule="auto"/>
        <w:ind w:left="720" w:hanging="720"/>
        <w:jc w:val="center"/>
        <w:rPr>
          <w:rFonts w:ascii="宋体" w:hAnsi="宋体" w:cs="宋体"/>
          <w:color w:val="000000"/>
        </w:rPr>
      </w:pPr>
      <w:bookmarkStart w:id="883" w:name="_Toc453756960"/>
      <w:bookmarkStart w:id="884" w:name="_Toc418712182"/>
      <w:bookmarkStart w:id="885" w:name="_Toc414891993"/>
      <w:bookmarkStart w:id="886" w:name="_Toc428007706"/>
      <w:bookmarkStart w:id="887" w:name="_Toc13576"/>
      <w:bookmarkStart w:id="888" w:name="_Toc32636"/>
      <w:bookmarkStart w:id="889" w:name="_Toc10075"/>
      <w:bookmarkStart w:id="890" w:name="_Toc4045"/>
      <w:bookmarkStart w:id="891" w:name="_Toc8336"/>
      <w:bookmarkStart w:id="892" w:name="_Toc246997106"/>
      <w:bookmarkStart w:id="893" w:name="_Toc246996363"/>
      <w:bookmarkStart w:id="894" w:name="_Toc144974863"/>
      <w:bookmarkStart w:id="895" w:name="_Toc152045795"/>
      <w:bookmarkStart w:id="896" w:name="_Toc247085881"/>
      <w:bookmarkStart w:id="897" w:name="_Toc179632815"/>
      <w:bookmarkStart w:id="898" w:name="_Toc152042584"/>
    </w:p>
    <w:p>
      <w:pPr>
        <w:pStyle w:val="4"/>
        <w:widowControl/>
        <w:numPr>
          <w:ilvl w:val="2"/>
          <w:numId w:val="0"/>
        </w:numPr>
        <w:tabs>
          <w:tab w:val="left" w:pos="720"/>
        </w:tabs>
        <w:spacing w:before="120" w:after="120" w:line="360" w:lineRule="auto"/>
        <w:ind w:left="720" w:hanging="720"/>
        <w:jc w:val="center"/>
        <w:rPr>
          <w:rFonts w:ascii="宋体" w:hAnsi="宋体" w:cs="宋体"/>
          <w:color w:val="000000"/>
        </w:rPr>
      </w:pPr>
      <w:r>
        <w:rPr>
          <w:rFonts w:hint="eastAsia" w:ascii="宋体" w:hAnsi="宋体" w:cs="宋体"/>
          <w:color w:val="000000"/>
        </w:rPr>
        <w:t>四、投标保证金</w:t>
      </w:r>
    </w:p>
    <w:p>
      <w:pPr>
        <w:autoSpaceDE w:val="0"/>
        <w:autoSpaceDN w:val="0"/>
        <w:adjustRightInd w:val="0"/>
        <w:spacing w:line="400" w:lineRule="exact"/>
        <w:jc w:val="left"/>
        <w:rPr>
          <w:rFonts w:ascii="宋体" w:cs="宋体"/>
          <w:szCs w:val="18"/>
          <w:u w:val="single"/>
          <w:lang w:val="zh-CN"/>
        </w:rPr>
      </w:pPr>
    </w:p>
    <w:p>
      <w:pPr>
        <w:autoSpaceDE w:val="0"/>
        <w:autoSpaceDN w:val="0"/>
        <w:adjustRightInd w:val="0"/>
        <w:spacing w:line="360" w:lineRule="auto"/>
        <w:jc w:val="left"/>
        <w:rPr>
          <w:rFonts w:ascii="宋体" w:cs="宋体"/>
          <w:szCs w:val="21"/>
          <w:lang w:val="zh-CN"/>
        </w:rPr>
      </w:pPr>
      <w:r>
        <w:rPr>
          <w:rFonts w:hint="eastAsia" w:ascii="宋体" w:hAnsi="宋体" w:cs="宋体"/>
          <w:szCs w:val="21"/>
          <w:lang w:val="zh-CN"/>
        </w:rPr>
        <w:t>致</w:t>
      </w:r>
      <w:r>
        <w:rPr>
          <w:rFonts w:ascii="宋体" w:hAnsi="宋体" w:cs="宋体"/>
          <w:szCs w:val="21"/>
          <w:u w:val="single"/>
          <w:lang w:val="zh-CN"/>
        </w:rPr>
        <w:t xml:space="preserve">                </w:t>
      </w:r>
      <w:r>
        <w:rPr>
          <w:rFonts w:hint="eastAsia" w:ascii="宋体" w:hAnsi="宋体" w:cs="宋体"/>
          <w:szCs w:val="21"/>
          <w:lang w:val="zh-CN"/>
        </w:rPr>
        <w:t>（招标代理机构名称）：</w:t>
      </w:r>
    </w:p>
    <w:p>
      <w:pPr>
        <w:autoSpaceDE w:val="0"/>
        <w:autoSpaceDN w:val="0"/>
        <w:adjustRightInd w:val="0"/>
        <w:spacing w:line="360" w:lineRule="auto"/>
        <w:jc w:val="left"/>
        <w:rPr>
          <w:rFonts w:ascii="宋体" w:cs="宋体"/>
          <w:szCs w:val="21"/>
          <w:lang w:val="zh-CN"/>
        </w:rPr>
      </w:pPr>
    </w:p>
    <w:p>
      <w:pPr>
        <w:autoSpaceDE w:val="0"/>
        <w:autoSpaceDN w:val="0"/>
        <w:adjustRightInd w:val="0"/>
        <w:spacing w:line="360" w:lineRule="auto"/>
        <w:ind w:firstLine="601"/>
        <w:jc w:val="left"/>
        <w:rPr>
          <w:rFonts w:ascii="宋体" w:cs="宋体"/>
          <w:szCs w:val="21"/>
          <w:lang w:val="zh-CN"/>
        </w:rPr>
      </w:pPr>
    </w:p>
    <w:tbl>
      <w:tblPr>
        <w:tblStyle w:val="43"/>
        <w:tblW w:w="0" w:type="auto"/>
        <w:tblInd w:w="6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8122" w:type="dxa"/>
          </w:tcPr>
          <w:p>
            <w:pPr>
              <w:spacing w:line="360" w:lineRule="auto"/>
              <w:jc w:val="left"/>
              <w:rPr>
                <w:rFonts w:ascii="宋体" w:cs="宋体"/>
                <w:bCs/>
                <w:szCs w:val="21"/>
              </w:rPr>
            </w:pPr>
            <w:r>
              <w:rPr>
                <w:rFonts w:hint="eastAsia" w:ascii="宋体" w:cs="宋体"/>
                <w:bCs/>
                <w:szCs w:val="21"/>
                <w:lang w:val="zh-CN"/>
              </w:rPr>
              <w:t>附：1.</w:t>
            </w:r>
            <w:r>
              <w:rPr>
                <w:rFonts w:hint="eastAsia" w:ascii="宋体" w:cs="宋体"/>
                <w:bCs/>
                <w:szCs w:val="21"/>
              </w:rPr>
              <w:t>附信用中国截图或银行账户转账凭证或保函。</w:t>
            </w:r>
          </w:p>
          <w:p>
            <w:pPr>
              <w:spacing w:line="360" w:lineRule="auto"/>
              <w:ind w:firstLine="420" w:firstLineChars="200"/>
              <w:jc w:val="left"/>
              <w:rPr>
                <w:rFonts w:ascii="宋体" w:cs="宋体"/>
                <w:szCs w:val="21"/>
                <w:lang w:val="zh-CN"/>
              </w:rPr>
            </w:pPr>
            <w:r>
              <w:rPr>
                <w:rFonts w:hint="eastAsia" w:ascii="宋体" w:cs="宋体"/>
                <w:bCs/>
                <w:szCs w:val="21"/>
                <w:lang w:val="zh-CN"/>
              </w:rPr>
              <w:t>2.投标人的银行基本账户开户许可证复印件。</w:t>
            </w:r>
          </w:p>
          <w:p>
            <w:pPr>
              <w:spacing w:line="360" w:lineRule="auto"/>
              <w:ind w:firstLine="420" w:firstLineChars="200"/>
              <w:jc w:val="left"/>
              <w:rPr>
                <w:rFonts w:ascii="宋体" w:cs="宋体"/>
                <w:szCs w:val="21"/>
                <w:lang w:val="zh-CN"/>
              </w:rPr>
            </w:pPr>
          </w:p>
          <w:p>
            <w:pPr>
              <w:spacing w:line="360" w:lineRule="auto"/>
              <w:jc w:val="left"/>
              <w:rPr>
                <w:rFonts w:ascii="宋体" w:cs="宋体"/>
                <w:szCs w:val="21"/>
                <w:lang w:val="zh-CN"/>
              </w:rPr>
            </w:pPr>
          </w:p>
          <w:p>
            <w:pPr>
              <w:spacing w:line="360" w:lineRule="auto"/>
              <w:jc w:val="left"/>
              <w:rPr>
                <w:rFonts w:ascii="宋体" w:cs="宋体"/>
                <w:szCs w:val="21"/>
                <w:lang w:val="zh-CN"/>
              </w:rPr>
            </w:pPr>
          </w:p>
          <w:p>
            <w:pPr>
              <w:spacing w:line="360" w:lineRule="auto"/>
              <w:jc w:val="left"/>
              <w:rPr>
                <w:rFonts w:ascii="宋体" w:cs="宋体"/>
                <w:szCs w:val="21"/>
                <w:lang w:val="zh-CN"/>
              </w:rPr>
            </w:pPr>
          </w:p>
          <w:p>
            <w:pPr>
              <w:spacing w:line="360" w:lineRule="auto"/>
              <w:jc w:val="left"/>
              <w:rPr>
                <w:rFonts w:ascii="宋体" w:cs="宋体"/>
                <w:szCs w:val="21"/>
                <w:lang w:val="zh-CN"/>
              </w:rPr>
            </w:pPr>
          </w:p>
          <w:p>
            <w:pPr>
              <w:spacing w:line="360" w:lineRule="auto"/>
              <w:jc w:val="left"/>
              <w:rPr>
                <w:rFonts w:ascii="宋体" w:cs="宋体"/>
                <w:szCs w:val="21"/>
                <w:lang w:val="zh-CN"/>
              </w:rPr>
            </w:pPr>
          </w:p>
          <w:p>
            <w:pPr>
              <w:spacing w:line="360" w:lineRule="auto"/>
              <w:jc w:val="left"/>
              <w:rPr>
                <w:rFonts w:ascii="宋体" w:cs="宋体"/>
                <w:szCs w:val="21"/>
                <w:lang w:val="zh-CN"/>
              </w:rPr>
            </w:pPr>
          </w:p>
          <w:p>
            <w:pPr>
              <w:spacing w:line="360" w:lineRule="auto"/>
              <w:jc w:val="left"/>
              <w:rPr>
                <w:rFonts w:ascii="宋体" w:cs="宋体"/>
                <w:szCs w:val="21"/>
                <w:lang w:val="zh-CN"/>
              </w:rPr>
            </w:pPr>
          </w:p>
        </w:tc>
      </w:tr>
    </w:tbl>
    <w:p>
      <w:pPr>
        <w:autoSpaceDE w:val="0"/>
        <w:autoSpaceDN w:val="0"/>
        <w:adjustRightInd w:val="0"/>
        <w:spacing w:line="360" w:lineRule="auto"/>
        <w:ind w:firstLine="570"/>
        <w:jc w:val="left"/>
        <w:rPr>
          <w:rFonts w:ascii="宋体" w:cs="宋体"/>
          <w:szCs w:val="21"/>
          <w:lang w:val="zh-CN"/>
        </w:rPr>
      </w:pPr>
      <w:r>
        <w:rPr>
          <w:rFonts w:ascii="宋体" w:hAnsi="宋体" w:cs="宋体"/>
          <w:szCs w:val="21"/>
          <w:lang w:val="zh-CN"/>
        </w:rPr>
        <w:t xml:space="preserve">     </w:t>
      </w:r>
    </w:p>
    <w:p>
      <w:pPr>
        <w:autoSpaceDE w:val="0"/>
        <w:autoSpaceDN w:val="0"/>
        <w:adjustRightInd w:val="0"/>
        <w:spacing w:line="360" w:lineRule="auto"/>
        <w:ind w:firstLine="570"/>
        <w:jc w:val="left"/>
        <w:rPr>
          <w:rFonts w:ascii="宋体" w:cs="宋体"/>
          <w:szCs w:val="21"/>
          <w:lang w:val="zh-CN"/>
        </w:rPr>
      </w:pPr>
    </w:p>
    <w:p>
      <w:pPr>
        <w:autoSpaceDE w:val="0"/>
        <w:autoSpaceDN w:val="0"/>
        <w:adjustRightInd w:val="0"/>
        <w:spacing w:line="360" w:lineRule="auto"/>
        <w:ind w:firstLine="570"/>
        <w:jc w:val="left"/>
        <w:rPr>
          <w:rFonts w:ascii="宋体" w:cs="宋体"/>
          <w:szCs w:val="21"/>
          <w:lang w:val="zh-CN"/>
        </w:rPr>
      </w:pPr>
    </w:p>
    <w:p>
      <w:pPr>
        <w:autoSpaceDE w:val="0"/>
        <w:autoSpaceDN w:val="0"/>
        <w:adjustRightInd w:val="0"/>
        <w:spacing w:line="480" w:lineRule="auto"/>
        <w:ind w:firstLine="570"/>
        <w:jc w:val="left"/>
        <w:rPr>
          <w:rFonts w:ascii="宋体" w:cs="宋体"/>
          <w:szCs w:val="21"/>
          <w:lang w:val="zh-CN"/>
        </w:rPr>
      </w:pPr>
      <w:r>
        <w:rPr>
          <w:rFonts w:hint="eastAsia" w:ascii="宋体" w:hAnsi="宋体" w:cs="宋体"/>
          <w:szCs w:val="21"/>
          <w:lang w:val="zh-CN"/>
        </w:rPr>
        <w:t>投</w:t>
      </w:r>
      <w:r>
        <w:rPr>
          <w:rFonts w:ascii="宋体" w:hAnsi="宋体" w:cs="宋体"/>
          <w:szCs w:val="21"/>
          <w:lang w:val="zh-CN"/>
        </w:rPr>
        <w:t xml:space="preserve">  </w:t>
      </w:r>
      <w:r>
        <w:rPr>
          <w:rFonts w:hint="eastAsia" w:ascii="宋体" w:hAnsi="宋体" w:cs="宋体"/>
          <w:szCs w:val="21"/>
          <w:lang w:val="zh-CN"/>
        </w:rPr>
        <w:t>标</w:t>
      </w:r>
      <w:r>
        <w:rPr>
          <w:rFonts w:ascii="宋体" w:hAnsi="宋体" w:cs="宋体"/>
          <w:szCs w:val="21"/>
          <w:lang w:val="zh-CN"/>
        </w:rPr>
        <w:t xml:space="preserve">  </w:t>
      </w:r>
      <w:r>
        <w:rPr>
          <w:rFonts w:hint="eastAsia" w:ascii="宋体" w:hAnsi="宋体" w:cs="宋体"/>
          <w:szCs w:val="21"/>
          <w:lang w:val="zh-CN"/>
        </w:rPr>
        <w:t>人：</w:t>
      </w:r>
      <w:r>
        <w:rPr>
          <w:rFonts w:hint="eastAsia" w:ascii="宋体" w:hAnsi="宋体" w:cs="宋体"/>
          <w:szCs w:val="21"/>
          <w:u w:val="single"/>
          <w:lang w:val="zh-CN"/>
        </w:rPr>
        <w:t>　　　　　　　</w:t>
      </w:r>
      <w:r>
        <w:rPr>
          <w:rFonts w:ascii="宋体" w:hAnsi="宋体" w:cs="宋体"/>
          <w:szCs w:val="21"/>
          <w:u w:val="single"/>
          <w:lang w:val="zh-CN"/>
        </w:rPr>
        <w:t xml:space="preserve">        </w:t>
      </w:r>
      <w:r>
        <w:rPr>
          <w:rFonts w:hint="eastAsia" w:ascii="宋体" w:hAnsi="宋体" w:cs="宋体"/>
          <w:szCs w:val="21"/>
          <w:u w:val="single"/>
          <w:lang w:val="zh-CN"/>
        </w:rPr>
        <w:t>　</w:t>
      </w:r>
      <w:r>
        <w:rPr>
          <w:rFonts w:hint="eastAsia" w:ascii="宋体" w:hAnsi="宋体" w:cs="宋体"/>
          <w:szCs w:val="21"/>
          <w:lang w:val="zh-CN"/>
        </w:rPr>
        <w:t>（盖单位公章）</w:t>
      </w:r>
    </w:p>
    <w:p>
      <w:pPr>
        <w:spacing w:line="480" w:lineRule="auto"/>
        <w:ind w:firstLine="583" w:firstLineChars="278"/>
        <w:jc w:val="left"/>
        <w:rPr>
          <w:rFonts w:ascii="宋体" w:cs="宋体"/>
          <w:szCs w:val="21"/>
          <w:lang w:val="zh-CN"/>
        </w:rPr>
      </w:pPr>
      <w:r>
        <w:rPr>
          <w:rFonts w:hint="eastAsia" w:ascii="宋体" w:hAnsi="宋体" w:cs="宋体"/>
          <w:szCs w:val="21"/>
          <w:lang w:val="zh-CN"/>
        </w:rPr>
        <w:t>法定代表人：</w:t>
      </w:r>
      <w:r>
        <w:rPr>
          <w:rFonts w:hint="eastAsia" w:ascii="宋体" w:hAnsi="宋体" w:cs="宋体"/>
          <w:szCs w:val="21"/>
          <w:u w:val="single"/>
          <w:lang w:val="zh-CN"/>
        </w:rPr>
        <w:t>　　　　　　　</w:t>
      </w:r>
      <w:r>
        <w:rPr>
          <w:rFonts w:ascii="宋体" w:hAnsi="宋体" w:cs="宋体"/>
          <w:szCs w:val="21"/>
          <w:u w:val="single"/>
          <w:lang w:val="zh-CN"/>
        </w:rPr>
        <w:t xml:space="preserve">        </w:t>
      </w:r>
      <w:r>
        <w:rPr>
          <w:rFonts w:hint="eastAsia" w:ascii="宋体" w:hAnsi="宋体" w:cs="宋体"/>
          <w:szCs w:val="21"/>
          <w:u w:val="single"/>
          <w:lang w:val="zh-CN"/>
        </w:rPr>
        <w:t>　</w:t>
      </w:r>
      <w:r>
        <w:rPr>
          <w:rFonts w:hint="eastAsia" w:ascii="宋体" w:hAnsi="宋体" w:cs="宋体"/>
          <w:szCs w:val="21"/>
          <w:lang w:val="zh-CN"/>
        </w:rPr>
        <w:t>（签字</w:t>
      </w:r>
      <w:r>
        <w:rPr>
          <w:rFonts w:ascii="宋体" w:hAnsi="宋体" w:cs="宋体"/>
          <w:szCs w:val="21"/>
          <w:lang w:val="zh-CN"/>
        </w:rPr>
        <w:t>或</w:t>
      </w:r>
      <w:r>
        <w:rPr>
          <w:rFonts w:hint="eastAsia" w:ascii="宋体" w:hAnsi="宋体" w:cs="宋体"/>
          <w:szCs w:val="21"/>
          <w:lang w:val="zh-CN"/>
        </w:rPr>
        <w:t>盖章）</w:t>
      </w:r>
    </w:p>
    <w:p>
      <w:pPr>
        <w:spacing w:line="480" w:lineRule="auto"/>
        <w:ind w:firstLine="583" w:firstLineChars="278"/>
        <w:jc w:val="left"/>
        <w:rPr>
          <w:rFonts w:ascii="宋体" w:cs="宋体"/>
          <w:szCs w:val="21"/>
          <w:lang w:val="zh-CN"/>
        </w:rPr>
      </w:pPr>
      <w:r>
        <w:rPr>
          <w:rFonts w:hint="eastAsia" w:ascii="宋体" w:hAnsi="宋体" w:cs="宋体"/>
          <w:szCs w:val="21"/>
          <w:lang w:val="zh-CN"/>
        </w:rPr>
        <w:t>委托代理人：</w:t>
      </w:r>
      <w:r>
        <w:rPr>
          <w:rFonts w:hint="eastAsia" w:ascii="宋体" w:hAnsi="宋体" w:cs="宋体"/>
          <w:szCs w:val="21"/>
          <w:u w:val="single"/>
          <w:lang w:val="zh-CN"/>
        </w:rPr>
        <w:t>　　　　　　　</w:t>
      </w:r>
      <w:r>
        <w:rPr>
          <w:rFonts w:ascii="宋体" w:hAnsi="宋体" w:cs="宋体"/>
          <w:szCs w:val="21"/>
          <w:u w:val="single"/>
          <w:lang w:val="zh-CN"/>
        </w:rPr>
        <w:t xml:space="preserve">        </w:t>
      </w:r>
      <w:r>
        <w:rPr>
          <w:rFonts w:hint="eastAsia" w:ascii="宋体" w:hAnsi="宋体" w:cs="宋体"/>
          <w:szCs w:val="21"/>
          <w:u w:val="single"/>
          <w:lang w:val="zh-CN"/>
        </w:rPr>
        <w:t>　</w:t>
      </w:r>
      <w:r>
        <w:rPr>
          <w:rFonts w:hint="eastAsia" w:ascii="宋体" w:hAnsi="宋体" w:cs="宋体"/>
          <w:szCs w:val="21"/>
          <w:lang w:val="zh-CN"/>
        </w:rPr>
        <w:t>（签字或盖章）</w:t>
      </w:r>
    </w:p>
    <w:p>
      <w:pPr>
        <w:spacing w:line="480" w:lineRule="auto"/>
        <w:ind w:firstLine="583" w:firstLineChars="278"/>
        <w:jc w:val="left"/>
        <w:rPr>
          <w:rFonts w:ascii="宋体"/>
          <w:szCs w:val="21"/>
        </w:rPr>
      </w:pPr>
      <w:r>
        <w:rPr>
          <w:rFonts w:hint="eastAsia" w:ascii="宋体" w:hAnsi="宋体" w:cs="宋体"/>
          <w:szCs w:val="21"/>
          <w:lang w:val="zh-CN"/>
        </w:rPr>
        <w:t>日</w:t>
      </w:r>
      <w:r>
        <w:rPr>
          <w:rFonts w:ascii="宋体" w:hAnsi="宋体" w:cs="宋体"/>
          <w:szCs w:val="21"/>
          <w:lang w:val="zh-CN"/>
        </w:rPr>
        <w:t xml:space="preserve">    </w:t>
      </w:r>
      <w:r>
        <w:rPr>
          <w:rFonts w:hint="eastAsia" w:ascii="宋体" w:hAnsi="宋体" w:cs="宋体"/>
          <w:szCs w:val="21"/>
          <w:lang w:val="zh-CN"/>
        </w:rPr>
        <w:t>期：</w:t>
      </w:r>
      <w:r>
        <w:rPr>
          <w:rFonts w:hint="eastAsia" w:ascii="宋体" w:hAnsi="宋体" w:cs="宋体"/>
          <w:szCs w:val="21"/>
          <w:u w:val="single"/>
          <w:lang w:val="zh-CN"/>
        </w:rPr>
        <w:t>　　　</w:t>
      </w:r>
      <w:r>
        <w:rPr>
          <w:rFonts w:hint="eastAsia" w:ascii="宋体" w:hAnsi="宋体" w:cs="宋体"/>
          <w:szCs w:val="21"/>
          <w:lang w:val="zh-CN"/>
        </w:rPr>
        <w:t>年</w:t>
      </w:r>
      <w:r>
        <w:rPr>
          <w:rFonts w:hint="eastAsia" w:ascii="宋体" w:hAnsi="宋体" w:cs="宋体"/>
          <w:szCs w:val="21"/>
          <w:u w:val="single"/>
          <w:lang w:val="zh-CN"/>
        </w:rPr>
        <w:t>　　　</w:t>
      </w:r>
      <w:r>
        <w:rPr>
          <w:rFonts w:hint="eastAsia" w:ascii="宋体" w:hAnsi="宋体" w:cs="宋体"/>
          <w:szCs w:val="21"/>
          <w:lang w:val="zh-CN"/>
        </w:rPr>
        <w:t>月</w:t>
      </w:r>
      <w:r>
        <w:rPr>
          <w:rFonts w:hint="eastAsia" w:ascii="宋体" w:hAnsi="宋体" w:cs="宋体"/>
          <w:szCs w:val="21"/>
          <w:u w:val="single"/>
          <w:lang w:val="zh-CN"/>
        </w:rPr>
        <w:t>　　　</w:t>
      </w:r>
      <w:r>
        <w:rPr>
          <w:rFonts w:hint="eastAsia" w:ascii="宋体" w:hAnsi="宋体" w:cs="宋体"/>
          <w:szCs w:val="21"/>
          <w:lang w:val="zh-CN"/>
        </w:rPr>
        <w:t>日</w:t>
      </w:r>
    </w:p>
    <w:p>
      <w:pPr>
        <w:pStyle w:val="4"/>
        <w:widowControl/>
        <w:numPr>
          <w:ilvl w:val="2"/>
          <w:numId w:val="0"/>
        </w:numPr>
        <w:tabs>
          <w:tab w:val="left" w:pos="720"/>
        </w:tabs>
        <w:spacing w:before="120" w:after="120" w:line="360" w:lineRule="auto"/>
        <w:rPr>
          <w:rFonts w:ascii="宋体" w:hAnsi="宋体" w:cs="宋体"/>
          <w:color w:val="000000"/>
        </w:rPr>
      </w:pPr>
    </w:p>
    <w:p/>
    <w:p>
      <w:pPr>
        <w:pStyle w:val="4"/>
        <w:widowControl/>
        <w:numPr>
          <w:ilvl w:val="2"/>
          <w:numId w:val="0"/>
        </w:numPr>
        <w:tabs>
          <w:tab w:val="left" w:pos="720"/>
        </w:tabs>
        <w:spacing w:before="120" w:after="120" w:line="360" w:lineRule="auto"/>
        <w:jc w:val="center"/>
        <w:rPr>
          <w:rFonts w:ascii="宋体" w:hAnsi="宋体" w:cs="宋体"/>
          <w:color w:val="000000"/>
        </w:rPr>
      </w:pPr>
    </w:p>
    <w:p>
      <w:pPr>
        <w:pStyle w:val="4"/>
        <w:widowControl/>
        <w:numPr>
          <w:ilvl w:val="2"/>
          <w:numId w:val="0"/>
        </w:numPr>
        <w:tabs>
          <w:tab w:val="left" w:pos="720"/>
        </w:tabs>
        <w:spacing w:before="120" w:after="120" w:line="360" w:lineRule="auto"/>
        <w:jc w:val="center"/>
        <w:rPr>
          <w:rFonts w:ascii="宋体" w:hAnsi="宋体" w:cs="宋体"/>
          <w:color w:val="000000"/>
        </w:rPr>
      </w:pPr>
      <w:r>
        <w:rPr>
          <w:rFonts w:hint="eastAsia" w:ascii="宋体" w:hAnsi="宋体" w:cs="宋体"/>
          <w:color w:val="000000"/>
        </w:rPr>
        <w:t>五、</w:t>
      </w:r>
      <w:bookmarkEnd w:id="883"/>
      <w:bookmarkEnd w:id="884"/>
      <w:bookmarkEnd w:id="885"/>
      <w:bookmarkEnd w:id="886"/>
      <w:r>
        <w:rPr>
          <w:rFonts w:hint="eastAsia" w:ascii="宋体" w:hAnsi="宋体" w:cs="宋体"/>
          <w:color w:val="000000"/>
        </w:rPr>
        <w:t>开标一览表</w:t>
      </w:r>
      <w:bookmarkEnd w:id="887"/>
      <w:bookmarkEnd w:id="888"/>
      <w:bookmarkEnd w:id="889"/>
      <w:bookmarkEnd w:id="890"/>
      <w:bookmarkEnd w:id="891"/>
    </w:p>
    <w:p>
      <w:pPr>
        <w:ind w:left="-2" w:leftChars="-51" w:hanging="105" w:hangingChars="50"/>
        <w:rPr>
          <w:rFonts w:ascii="宋体" w:hAnsi="宋体" w:cs="宋体"/>
          <w:color w:val="000000"/>
          <w:szCs w:val="21"/>
        </w:rPr>
      </w:pPr>
      <w:r>
        <w:rPr>
          <w:rFonts w:hint="eastAsia" w:ascii="宋体" w:hAnsi="宋体" w:cs="宋体"/>
          <w:color w:val="000000"/>
          <w:szCs w:val="21"/>
        </w:rPr>
        <w:t>项目名称：</w:t>
      </w:r>
    </w:p>
    <w:p>
      <w:pPr>
        <w:ind w:left="-2" w:leftChars="-51" w:hanging="105" w:hangingChars="50"/>
        <w:rPr>
          <w:rFonts w:ascii="宋体" w:hAnsi="宋体" w:cs="宋体"/>
          <w:color w:val="000000"/>
          <w:szCs w:val="21"/>
        </w:rPr>
      </w:pPr>
      <w:r>
        <w:rPr>
          <w:rFonts w:hint="eastAsia" w:ascii="宋体" w:hAnsi="宋体" w:cs="宋体"/>
          <w:color w:val="000000"/>
          <w:szCs w:val="21"/>
        </w:rPr>
        <w:t>招标项目编号：</w:t>
      </w:r>
    </w:p>
    <w:tbl>
      <w:tblPr>
        <w:tblStyle w:val="43"/>
        <w:tblpPr w:leftFromText="180" w:rightFromText="180" w:vertAnchor="text" w:horzAnchor="page" w:tblpXSpec="center" w:tblpY="294"/>
        <w:tblOverlap w:val="never"/>
        <w:tblW w:w="94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8"/>
        <w:gridCol w:w="77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pStyle w:val="19"/>
              <w:ind w:left="0" w:firstLine="0"/>
              <w:jc w:val="center"/>
            </w:pPr>
            <w:r>
              <w:rPr>
                <w:rFonts w:hint="eastAsia"/>
              </w:rPr>
              <w:t>投标单位</w:t>
            </w:r>
          </w:p>
        </w:tc>
        <w:tc>
          <w:tcPr>
            <w:tcW w:w="77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pStyle w:val="19"/>
              <w:ind w:left="0" w:firstLine="0"/>
              <w:jc w:val="center"/>
            </w:pPr>
            <w:r>
              <w:rPr>
                <w:rFonts w:hint="eastAsia"/>
              </w:rPr>
              <w:t>投标总报价</w:t>
            </w:r>
          </w:p>
        </w:tc>
        <w:tc>
          <w:tcPr>
            <w:tcW w:w="773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pStyle w:val="19"/>
              <w:ind w:left="0" w:firstLine="0"/>
              <w:jc w:val="center"/>
            </w:pPr>
            <w:r>
              <w:rPr>
                <w:rFonts w:hint="eastAsia"/>
              </w:rPr>
              <w:t>服务标准</w:t>
            </w:r>
          </w:p>
        </w:tc>
        <w:tc>
          <w:tcPr>
            <w:tcW w:w="77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pStyle w:val="19"/>
              <w:ind w:left="0" w:firstLine="0"/>
              <w:jc w:val="center"/>
            </w:pPr>
            <w:r>
              <w:rPr>
                <w:rFonts w:hint="eastAsia"/>
              </w:rPr>
              <w:t>合同履行期限</w:t>
            </w:r>
          </w:p>
        </w:tc>
        <w:tc>
          <w:tcPr>
            <w:tcW w:w="77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rPr>
            </w:pPr>
            <w:r>
              <w:rPr>
                <w:rFonts w:hint="eastAsia" w:ascii="宋体" w:hAnsi="宋体" w:cs="宋体"/>
                <w:color w:val="000000"/>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7"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pStyle w:val="19"/>
              <w:ind w:left="0" w:firstLine="0"/>
              <w:jc w:val="center"/>
            </w:pPr>
            <w:r>
              <w:rPr>
                <w:rFonts w:hint="eastAsia"/>
              </w:rPr>
              <w:t>服务承诺</w:t>
            </w:r>
          </w:p>
        </w:tc>
        <w:tc>
          <w:tcPr>
            <w:tcW w:w="77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有/无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5"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备注</w:t>
            </w:r>
          </w:p>
        </w:tc>
        <w:tc>
          <w:tcPr>
            <w:tcW w:w="7733" w:type="dxa"/>
            <w:tcBorders>
              <w:top w:val="single" w:color="auto" w:sz="4" w:space="0"/>
              <w:left w:val="single" w:color="auto" w:sz="4" w:space="0"/>
              <w:bottom w:val="single" w:color="auto" w:sz="4" w:space="0"/>
              <w:right w:val="single" w:color="auto" w:sz="4" w:space="0"/>
            </w:tcBorders>
          </w:tcPr>
          <w:p>
            <w:pPr>
              <w:numPr>
                <w:ilvl w:val="0"/>
                <w:numId w:val="10"/>
              </w:numPr>
              <w:rPr>
                <w:rFonts w:ascii="宋体" w:hAnsi="宋体" w:cs="宋体"/>
                <w:color w:val="000000"/>
                <w:szCs w:val="21"/>
              </w:rPr>
            </w:pPr>
            <w:r>
              <w:rPr>
                <w:rFonts w:hint="eastAsia" w:ascii="宋体" w:hAnsi="宋体" w:cs="宋体"/>
                <w:color w:val="000000"/>
                <w:szCs w:val="21"/>
              </w:rPr>
              <w:t>填报的内容必须和投标文件及投标函中的内容一致。</w:t>
            </w:r>
          </w:p>
          <w:p>
            <w:pPr>
              <w:numPr>
                <w:ilvl w:val="0"/>
                <w:numId w:val="10"/>
              </w:numPr>
              <w:rPr>
                <w:rFonts w:ascii="宋体" w:hAnsi="宋体" w:cs="宋体"/>
                <w:color w:val="000000"/>
                <w:szCs w:val="21"/>
              </w:rPr>
            </w:pPr>
            <w:r>
              <w:rPr>
                <w:rFonts w:hint="eastAsia" w:ascii="宋体" w:hAnsi="宋体" w:cs="宋体"/>
                <w:color w:val="000000"/>
                <w:szCs w:val="21"/>
              </w:rPr>
              <w:t>服务承诺：本表只填写“有”“无”即可。</w:t>
            </w:r>
          </w:p>
          <w:p>
            <w:pPr>
              <w:numPr>
                <w:ilvl w:val="0"/>
                <w:numId w:val="10"/>
              </w:numPr>
              <w:rPr>
                <w:rFonts w:ascii="宋体" w:hAnsi="宋体" w:cs="宋体"/>
                <w:b/>
                <w:color w:val="000000"/>
                <w:szCs w:val="21"/>
              </w:rPr>
            </w:pPr>
            <w:r>
              <w:rPr>
                <w:rFonts w:hint="eastAsia" w:ascii="宋体" w:hAnsi="宋体" w:cs="宋体"/>
                <w:b/>
                <w:color w:val="000000"/>
                <w:szCs w:val="21"/>
              </w:rPr>
              <w:t>投标报价以元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7" w:hRule="atLeast"/>
          <w:jc w:val="center"/>
        </w:trPr>
        <w:tc>
          <w:tcPr>
            <w:tcW w:w="944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p>
            <w:pPr>
              <w:rPr>
                <w:rFonts w:ascii="宋体" w:hAnsi="宋体" w:cs="宋体"/>
                <w:color w:val="000000"/>
                <w:szCs w:val="21"/>
              </w:rPr>
            </w:pPr>
            <w:r>
              <w:rPr>
                <w:rFonts w:hint="eastAsia" w:ascii="宋体" w:hAnsi="宋体" w:cs="宋体"/>
                <w:color w:val="000000"/>
                <w:szCs w:val="21"/>
              </w:rPr>
              <w:t>投标人：        （盖章）                 法定代表人或被授权人：          （签字或盖章）</w:t>
            </w:r>
          </w:p>
        </w:tc>
      </w:tr>
    </w:tbl>
    <w:p>
      <w:pPr>
        <w:rPr>
          <w:rFonts w:ascii="宋体" w:hAnsi="宋体" w:cs="宋体"/>
          <w:color w:val="000000"/>
        </w:rPr>
      </w:pPr>
      <w:bookmarkStart w:id="899" w:name="_Toc453756961"/>
    </w:p>
    <w:p>
      <w:pPr>
        <w:pStyle w:val="39"/>
      </w:pPr>
    </w:p>
    <w:p/>
    <w:p>
      <w:pPr>
        <w:pStyle w:val="19"/>
      </w:pPr>
    </w:p>
    <w:p>
      <w:pPr>
        <w:pStyle w:val="19"/>
        <w:rPr>
          <w:rFonts w:hAnsi="宋体" w:cs="宋体"/>
          <w:color w:val="000000"/>
        </w:rPr>
      </w:pPr>
    </w:p>
    <w:bookmarkEnd w:id="892"/>
    <w:bookmarkEnd w:id="893"/>
    <w:bookmarkEnd w:id="894"/>
    <w:bookmarkEnd w:id="895"/>
    <w:bookmarkEnd w:id="896"/>
    <w:bookmarkEnd w:id="897"/>
    <w:bookmarkEnd w:id="898"/>
    <w:bookmarkEnd w:id="899"/>
    <w:p>
      <w:pPr>
        <w:spacing w:line="440" w:lineRule="exact"/>
        <w:outlineLvl w:val="0"/>
        <w:rPr>
          <w:rFonts w:ascii="宋体" w:hAnsi="宋体" w:cs="宋体"/>
          <w:b/>
          <w:bCs/>
          <w:color w:val="000000"/>
          <w:sz w:val="32"/>
          <w:szCs w:val="32"/>
        </w:rPr>
        <w:sectPr>
          <w:footerReference r:id="rId10" w:type="default"/>
          <w:pgSz w:w="11906" w:h="16838"/>
          <w:pgMar w:top="1460" w:right="1803" w:bottom="1440" w:left="1800" w:header="851" w:footer="992" w:gutter="0"/>
          <w:cols w:space="720" w:num="1"/>
          <w:rtlGutter w:val="1"/>
          <w:docGrid w:type="lines" w:linePitch="312" w:charSpace="0"/>
        </w:sectPr>
      </w:pPr>
      <w:bookmarkStart w:id="900" w:name="_Toc144974864"/>
      <w:bookmarkStart w:id="901" w:name="_Toc247085882"/>
      <w:bookmarkStart w:id="902" w:name="_Toc246997107"/>
      <w:bookmarkStart w:id="903" w:name="_Toc152042585"/>
      <w:bookmarkStart w:id="904" w:name="_Toc152045796"/>
      <w:bookmarkStart w:id="905" w:name="_Toc179632816"/>
      <w:bookmarkStart w:id="906" w:name="_Toc246996364"/>
      <w:bookmarkStart w:id="907" w:name="_Toc26967"/>
    </w:p>
    <w:p>
      <w:pPr>
        <w:spacing w:line="440" w:lineRule="exact"/>
        <w:outlineLvl w:val="0"/>
        <w:rPr>
          <w:rFonts w:ascii="宋体" w:hAnsi="宋体" w:cs="宋体"/>
          <w:b/>
          <w:bCs/>
          <w:color w:val="000000"/>
          <w:sz w:val="32"/>
          <w:szCs w:val="32"/>
        </w:rPr>
      </w:pPr>
    </w:p>
    <w:p>
      <w:pPr>
        <w:spacing w:line="440" w:lineRule="exact"/>
        <w:jc w:val="center"/>
        <w:outlineLvl w:val="0"/>
        <w:rPr>
          <w:rFonts w:ascii="宋体" w:hAnsi="宋体" w:cs="宋体"/>
          <w:b/>
          <w:bCs/>
          <w:color w:val="000000"/>
          <w:sz w:val="32"/>
          <w:szCs w:val="32"/>
        </w:rPr>
      </w:pPr>
      <w:r>
        <w:rPr>
          <w:rFonts w:hint="eastAsia" w:ascii="宋体" w:hAnsi="宋体" w:cs="宋体"/>
          <w:b/>
          <w:bCs/>
          <w:color w:val="000000"/>
          <w:sz w:val="32"/>
          <w:szCs w:val="32"/>
        </w:rPr>
        <w:t>六、</w:t>
      </w:r>
      <w:bookmarkEnd w:id="900"/>
      <w:bookmarkEnd w:id="901"/>
      <w:bookmarkEnd w:id="902"/>
      <w:bookmarkEnd w:id="903"/>
      <w:bookmarkEnd w:id="904"/>
      <w:bookmarkEnd w:id="905"/>
      <w:bookmarkEnd w:id="906"/>
      <w:bookmarkEnd w:id="907"/>
      <w:r>
        <w:rPr>
          <w:rFonts w:hint="eastAsia" w:ascii="宋体" w:hAnsi="宋体" w:cs="宋体"/>
          <w:b/>
          <w:bCs/>
          <w:color w:val="000000"/>
          <w:sz w:val="32"/>
          <w:szCs w:val="32"/>
        </w:rPr>
        <w:t>服务方案</w:t>
      </w:r>
    </w:p>
    <w:p>
      <w:pPr>
        <w:spacing w:line="440" w:lineRule="exact"/>
        <w:jc w:val="center"/>
        <w:rPr>
          <w:rFonts w:ascii="宋体" w:hAnsi="宋体" w:cs="宋体"/>
          <w:color w:val="000000"/>
        </w:rPr>
      </w:pPr>
    </w:p>
    <w:p>
      <w:pPr>
        <w:pStyle w:val="3"/>
        <w:keepNext w:val="0"/>
        <w:keepLines w:val="0"/>
        <w:jc w:val="center"/>
        <w:rPr>
          <w:rFonts w:ascii="宋体" w:hAnsi="宋体" w:eastAsia="宋体" w:cs="宋体"/>
          <w:color w:val="000000"/>
        </w:rPr>
      </w:pPr>
      <w:bookmarkStart w:id="908" w:name="_Toc453756966"/>
      <w:bookmarkStart w:id="909" w:name="_Toc25760"/>
      <w:bookmarkStart w:id="910" w:name="_Toc152042592"/>
      <w:bookmarkStart w:id="911" w:name="_Toc246996369"/>
      <w:bookmarkStart w:id="912" w:name="_Toc179632823"/>
      <w:bookmarkStart w:id="913" w:name="_Toc21453"/>
      <w:bookmarkStart w:id="914" w:name="_Toc11142"/>
      <w:bookmarkStart w:id="915" w:name="_Toc22277"/>
      <w:bookmarkStart w:id="916" w:name="_Toc246997112"/>
      <w:bookmarkStart w:id="917" w:name="_Toc152045803"/>
      <w:bookmarkStart w:id="918" w:name="_Toc247085887"/>
      <w:bookmarkStart w:id="919" w:name="_Toc13026"/>
      <w:bookmarkStart w:id="920" w:name="_Toc144974871"/>
    </w:p>
    <w:p>
      <w:pPr>
        <w:pStyle w:val="3"/>
        <w:keepNext w:val="0"/>
        <w:keepLines w:val="0"/>
        <w:jc w:val="center"/>
        <w:rPr>
          <w:rFonts w:ascii="宋体" w:hAnsi="宋体" w:eastAsia="宋体" w:cs="宋体"/>
          <w:color w:val="000000"/>
        </w:rPr>
      </w:pPr>
    </w:p>
    <w:p>
      <w:pPr>
        <w:pStyle w:val="3"/>
        <w:keepNext w:val="0"/>
        <w:keepLines w:val="0"/>
        <w:jc w:val="center"/>
        <w:rPr>
          <w:rFonts w:ascii="宋体" w:hAnsi="宋体" w:eastAsia="宋体" w:cs="宋体"/>
          <w:color w:val="000000"/>
        </w:rPr>
      </w:pPr>
    </w:p>
    <w:p>
      <w:pPr>
        <w:pStyle w:val="3"/>
        <w:keepNext w:val="0"/>
        <w:keepLines w:val="0"/>
        <w:jc w:val="center"/>
        <w:rPr>
          <w:rFonts w:ascii="宋体" w:hAnsi="宋体" w:eastAsia="宋体" w:cs="宋体"/>
          <w:color w:val="000000"/>
        </w:rPr>
      </w:pPr>
    </w:p>
    <w:p>
      <w:pPr>
        <w:pStyle w:val="3"/>
        <w:keepNext w:val="0"/>
        <w:keepLines w:val="0"/>
        <w:jc w:val="center"/>
        <w:rPr>
          <w:rFonts w:ascii="宋体" w:hAnsi="宋体" w:eastAsia="宋体" w:cs="宋体"/>
          <w:color w:val="000000"/>
        </w:rPr>
      </w:pPr>
    </w:p>
    <w:p>
      <w:pPr>
        <w:pStyle w:val="3"/>
        <w:keepNext w:val="0"/>
        <w:keepLines w:val="0"/>
        <w:jc w:val="center"/>
        <w:rPr>
          <w:rFonts w:ascii="宋体" w:hAnsi="宋体" w:eastAsia="宋体" w:cs="宋体"/>
          <w:color w:val="000000"/>
        </w:rPr>
      </w:pPr>
    </w:p>
    <w:p>
      <w:pPr>
        <w:pStyle w:val="3"/>
        <w:keepNext w:val="0"/>
        <w:keepLines w:val="0"/>
        <w:jc w:val="center"/>
        <w:rPr>
          <w:rFonts w:ascii="宋体" w:hAnsi="宋体" w:eastAsia="宋体" w:cs="宋体"/>
          <w:color w:val="000000"/>
        </w:rPr>
      </w:pPr>
    </w:p>
    <w:p>
      <w:pPr>
        <w:pStyle w:val="3"/>
        <w:keepNext w:val="0"/>
        <w:keepLines w:val="0"/>
        <w:jc w:val="center"/>
        <w:rPr>
          <w:rFonts w:ascii="宋体" w:hAnsi="宋体" w:eastAsia="宋体" w:cs="宋体"/>
          <w:color w:val="000000"/>
        </w:rPr>
      </w:pPr>
    </w:p>
    <w:p>
      <w:pPr>
        <w:pStyle w:val="3"/>
        <w:keepNext w:val="0"/>
        <w:keepLines w:val="0"/>
        <w:jc w:val="center"/>
        <w:rPr>
          <w:rFonts w:ascii="宋体" w:hAnsi="宋体" w:eastAsia="宋体" w:cs="宋体"/>
          <w:color w:val="000000"/>
        </w:rPr>
      </w:pPr>
    </w:p>
    <w:p>
      <w:pPr>
        <w:pStyle w:val="3"/>
        <w:keepNext w:val="0"/>
        <w:keepLines w:val="0"/>
        <w:jc w:val="center"/>
        <w:rPr>
          <w:rFonts w:ascii="宋体" w:hAnsi="宋体" w:eastAsia="宋体" w:cs="宋体"/>
          <w:color w:val="000000"/>
        </w:rPr>
      </w:pPr>
    </w:p>
    <w:p/>
    <w:p>
      <w:pPr>
        <w:pStyle w:val="3"/>
        <w:keepNext w:val="0"/>
        <w:keepLines w:val="0"/>
        <w:jc w:val="center"/>
        <w:rPr>
          <w:rFonts w:ascii="宋体" w:hAnsi="宋体" w:eastAsia="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pStyle w:val="3"/>
        <w:keepNext w:val="0"/>
        <w:keepLines w:val="0"/>
        <w:jc w:val="center"/>
        <w:rPr>
          <w:rFonts w:ascii="宋体" w:hAnsi="宋体" w:eastAsia="宋体" w:cs="宋体"/>
          <w:color w:val="000000"/>
        </w:rPr>
      </w:pPr>
    </w:p>
    <w:p>
      <w:pPr>
        <w:pStyle w:val="3"/>
        <w:keepNext w:val="0"/>
        <w:keepLines w:val="0"/>
        <w:jc w:val="center"/>
        <w:rPr>
          <w:rFonts w:ascii="宋体" w:hAnsi="宋体" w:eastAsia="宋体" w:cs="宋体"/>
          <w:color w:val="000000"/>
          <w:szCs w:val="21"/>
        </w:rPr>
      </w:pPr>
      <w:r>
        <w:rPr>
          <w:rFonts w:hint="eastAsia" w:ascii="宋体" w:hAnsi="宋体" w:eastAsia="宋体" w:cs="宋体"/>
          <w:color w:val="000000"/>
        </w:rPr>
        <w:t>七、项目管理机构</w:t>
      </w:r>
      <w:bookmarkEnd w:id="908"/>
      <w:bookmarkEnd w:id="909"/>
      <w:bookmarkEnd w:id="910"/>
      <w:bookmarkEnd w:id="911"/>
      <w:bookmarkEnd w:id="912"/>
      <w:bookmarkEnd w:id="913"/>
      <w:bookmarkEnd w:id="914"/>
      <w:bookmarkEnd w:id="915"/>
      <w:bookmarkEnd w:id="916"/>
      <w:bookmarkEnd w:id="917"/>
      <w:bookmarkEnd w:id="918"/>
      <w:bookmarkEnd w:id="919"/>
      <w:bookmarkEnd w:id="920"/>
    </w:p>
    <w:p>
      <w:pPr>
        <w:pStyle w:val="3"/>
        <w:keepNext w:val="0"/>
        <w:keepLines w:val="0"/>
        <w:jc w:val="center"/>
        <w:rPr>
          <w:rFonts w:ascii="宋体" w:hAnsi="宋体" w:eastAsia="宋体" w:cs="宋体"/>
          <w:color w:val="000000"/>
        </w:rPr>
      </w:pPr>
      <w:r>
        <w:rPr>
          <w:rFonts w:hint="eastAsia" w:ascii="宋体" w:hAnsi="宋体" w:eastAsia="宋体" w:cs="宋体"/>
          <w:color w:val="000000"/>
        </w:rPr>
        <w:t>拟投入本项目的人员一览表</w:t>
      </w:r>
    </w:p>
    <w:tbl>
      <w:tblPr>
        <w:tblStyle w:val="43"/>
        <w:tblW w:w="9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683"/>
        <w:gridCol w:w="1020"/>
        <w:gridCol w:w="770"/>
        <w:gridCol w:w="1280"/>
        <w:gridCol w:w="185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869"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268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在本项目中所担任的职务</w:t>
            </w:r>
          </w:p>
        </w:tc>
        <w:tc>
          <w:tcPr>
            <w:tcW w:w="102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姓名</w:t>
            </w:r>
          </w:p>
        </w:tc>
        <w:tc>
          <w:tcPr>
            <w:tcW w:w="77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年龄</w:t>
            </w:r>
          </w:p>
        </w:tc>
        <w:tc>
          <w:tcPr>
            <w:tcW w:w="128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学历</w:t>
            </w:r>
          </w:p>
        </w:tc>
        <w:tc>
          <w:tcPr>
            <w:tcW w:w="185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职称或相关资格</w:t>
            </w:r>
          </w:p>
        </w:tc>
        <w:tc>
          <w:tcPr>
            <w:tcW w:w="120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p>
        </w:tc>
        <w:tc>
          <w:tcPr>
            <w:tcW w:w="2683" w:type="dxa"/>
            <w:vAlign w:val="center"/>
          </w:tcPr>
          <w:p>
            <w:pPr>
              <w:spacing w:line="360" w:lineRule="auto"/>
              <w:jc w:val="center"/>
              <w:rPr>
                <w:rFonts w:ascii="宋体" w:hAnsi="宋体" w:cs="宋体"/>
                <w:color w:val="000000"/>
                <w:szCs w:val="21"/>
              </w:rPr>
            </w:pPr>
          </w:p>
        </w:tc>
        <w:tc>
          <w:tcPr>
            <w:tcW w:w="1020" w:type="dxa"/>
            <w:vAlign w:val="center"/>
          </w:tcPr>
          <w:p>
            <w:pPr>
              <w:spacing w:line="360" w:lineRule="auto"/>
              <w:jc w:val="center"/>
              <w:rPr>
                <w:rFonts w:ascii="宋体" w:hAnsi="宋体" w:cs="宋体"/>
                <w:color w:val="000000"/>
                <w:szCs w:val="21"/>
              </w:rPr>
            </w:pPr>
          </w:p>
        </w:tc>
        <w:tc>
          <w:tcPr>
            <w:tcW w:w="770" w:type="dxa"/>
            <w:vAlign w:val="center"/>
          </w:tcPr>
          <w:p>
            <w:pPr>
              <w:spacing w:line="360" w:lineRule="auto"/>
              <w:jc w:val="center"/>
              <w:rPr>
                <w:rFonts w:ascii="宋体" w:hAnsi="宋体" w:cs="宋体"/>
                <w:color w:val="000000"/>
                <w:szCs w:val="21"/>
              </w:rPr>
            </w:pPr>
          </w:p>
        </w:tc>
        <w:tc>
          <w:tcPr>
            <w:tcW w:w="1280" w:type="dxa"/>
          </w:tcPr>
          <w:p>
            <w:pPr>
              <w:spacing w:line="360" w:lineRule="auto"/>
              <w:jc w:val="center"/>
              <w:rPr>
                <w:rFonts w:ascii="宋体" w:hAnsi="宋体" w:cs="宋体"/>
                <w:color w:val="000000"/>
                <w:szCs w:val="21"/>
              </w:rPr>
            </w:pPr>
          </w:p>
        </w:tc>
        <w:tc>
          <w:tcPr>
            <w:tcW w:w="1850" w:type="dxa"/>
          </w:tcPr>
          <w:p>
            <w:pPr>
              <w:spacing w:line="360" w:lineRule="auto"/>
              <w:jc w:val="center"/>
              <w:rPr>
                <w:rFonts w:ascii="宋体" w:hAnsi="宋体" w:cs="宋体"/>
                <w:color w:val="000000"/>
                <w:szCs w:val="21"/>
              </w:rPr>
            </w:pPr>
          </w:p>
        </w:tc>
        <w:tc>
          <w:tcPr>
            <w:tcW w:w="1200" w:type="dxa"/>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2</w:t>
            </w:r>
          </w:p>
        </w:tc>
        <w:tc>
          <w:tcPr>
            <w:tcW w:w="2683" w:type="dxa"/>
            <w:vAlign w:val="center"/>
          </w:tcPr>
          <w:p>
            <w:pPr>
              <w:spacing w:line="360" w:lineRule="auto"/>
              <w:jc w:val="center"/>
              <w:rPr>
                <w:rFonts w:ascii="宋体" w:hAnsi="宋体" w:cs="宋体"/>
                <w:color w:val="000000"/>
                <w:szCs w:val="21"/>
              </w:rPr>
            </w:pPr>
          </w:p>
        </w:tc>
        <w:tc>
          <w:tcPr>
            <w:tcW w:w="1020" w:type="dxa"/>
            <w:vAlign w:val="center"/>
          </w:tcPr>
          <w:p>
            <w:pPr>
              <w:spacing w:line="360" w:lineRule="auto"/>
              <w:jc w:val="center"/>
              <w:rPr>
                <w:rFonts w:ascii="宋体" w:hAnsi="宋体" w:cs="宋体"/>
                <w:color w:val="000000"/>
                <w:szCs w:val="21"/>
              </w:rPr>
            </w:pPr>
          </w:p>
        </w:tc>
        <w:tc>
          <w:tcPr>
            <w:tcW w:w="770" w:type="dxa"/>
            <w:vAlign w:val="center"/>
          </w:tcPr>
          <w:p>
            <w:pPr>
              <w:spacing w:line="360" w:lineRule="auto"/>
              <w:jc w:val="center"/>
              <w:rPr>
                <w:rFonts w:ascii="宋体" w:hAnsi="宋体" w:cs="宋体"/>
                <w:color w:val="000000"/>
                <w:szCs w:val="21"/>
              </w:rPr>
            </w:pPr>
          </w:p>
        </w:tc>
        <w:tc>
          <w:tcPr>
            <w:tcW w:w="1280" w:type="dxa"/>
          </w:tcPr>
          <w:p>
            <w:pPr>
              <w:spacing w:line="360" w:lineRule="auto"/>
              <w:jc w:val="center"/>
              <w:rPr>
                <w:rFonts w:ascii="宋体" w:hAnsi="宋体" w:cs="宋体"/>
                <w:color w:val="000000"/>
                <w:szCs w:val="21"/>
              </w:rPr>
            </w:pPr>
          </w:p>
        </w:tc>
        <w:tc>
          <w:tcPr>
            <w:tcW w:w="1850" w:type="dxa"/>
          </w:tcPr>
          <w:p>
            <w:pPr>
              <w:spacing w:line="360" w:lineRule="auto"/>
              <w:jc w:val="center"/>
              <w:rPr>
                <w:rFonts w:ascii="宋体" w:hAnsi="宋体" w:cs="宋体"/>
                <w:color w:val="000000"/>
                <w:szCs w:val="21"/>
              </w:rPr>
            </w:pPr>
          </w:p>
        </w:tc>
        <w:tc>
          <w:tcPr>
            <w:tcW w:w="1200" w:type="dxa"/>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w:t>
            </w:r>
          </w:p>
        </w:tc>
        <w:tc>
          <w:tcPr>
            <w:tcW w:w="2683" w:type="dxa"/>
            <w:vAlign w:val="center"/>
          </w:tcPr>
          <w:p>
            <w:pPr>
              <w:spacing w:line="360" w:lineRule="auto"/>
              <w:jc w:val="center"/>
              <w:rPr>
                <w:rFonts w:ascii="宋体" w:hAnsi="宋体" w:cs="宋体"/>
                <w:color w:val="000000"/>
                <w:szCs w:val="21"/>
              </w:rPr>
            </w:pPr>
          </w:p>
        </w:tc>
        <w:tc>
          <w:tcPr>
            <w:tcW w:w="1020" w:type="dxa"/>
            <w:vAlign w:val="center"/>
          </w:tcPr>
          <w:p>
            <w:pPr>
              <w:spacing w:line="360" w:lineRule="auto"/>
              <w:jc w:val="center"/>
              <w:rPr>
                <w:rFonts w:ascii="宋体" w:hAnsi="宋体" w:cs="宋体"/>
                <w:color w:val="000000"/>
                <w:szCs w:val="21"/>
              </w:rPr>
            </w:pPr>
          </w:p>
        </w:tc>
        <w:tc>
          <w:tcPr>
            <w:tcW w:w="770" w:type="dxa"/>
            <w:vAlign w:val="center"/>
          </w:tcPr>
          <w:p>
            <w:pPr>
              <w:spacing w:line="360" w:lineRule="auto"/>
              <w:jc w:val="center"/>
              <w:rPr>
                <w:rFonts w:ascii="宋体" w:hAnsi="宋体" w:cs="宋体"/>
                <w:color w:val="000000"/>
                <w:szCs w:val="21"/>
              </w:rPr>
            </w:pPr>
          </w:p>
        </w:tc>
        <w:tc>
          <w:tcPr>
            <w:tcW w:w="1280" w:type="dxa"/>
          </w:tcPr>
          <w:p>
            <w:pPr>
              <w:spacing w:line="360" w:lineRule="auto"/>
              <w:jc w:val="center"/>
              <w:rPr>
                <w:rFonts w:ascii="宋体" w:hAnsi="宋体" w:cs="宋体"/>
                <w:color w:val="000000"/>
                <w:szCs w:val="21"/>
              </w:rPr>
            </w:pPr>
          </w:p>
        </w:tc>
        <w:tc>
          <w:tcPr>
            <w:tcW w:w="1850" w:type="dxa"/>
          </w:tcPr>
          <w:p>
            <w:pPr>
              <w:spacing w:line="360" w:lineRule="auto"/>
              <w:jc w:val="center"/>
              <w:rPr>
                <w:rFonts w:ascii="宋体" w:hAnsi="宋体" w:cs="宋体"/>
                <w:color w:val="000000"/>
                <w:szCs w:val="21"/>
              </w:rPr>
            </w:pPr>
          </w:p>
        </w:tc>
        <w:tc>
          <w:tcPr>
            <w:tcW w:w="1200" w:type="dxa"/>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4</w:t>
            </w:r>
          </w:p>
        </w:tc>
        <w:tc>
          <w:tcPr>
            <w:tcW w:w="2683" w:type="dxa"/>
            <w:vAlign w:val="center"/>
          </w:tcPr>
          <w:p>
            <w:pPr>
              <w:spacing w:line="360" w:lineRule="auto"/>
              <w:jc w:val="center"/>
              <w:rPr>
                <w:rFonts w:ascii="宋体" w:hAnsi="宋体" w:cs="宋体"/>
                <w:color w:val="000000"/>
                <w:szCs w:val="21"/>
              </w:rPr>
            </w:pPr>
          </w:p>
        </w:tc>
        <w:tc>
          <w:tcPr>
            <w:tcW w:w="1020" w:type="dxa"/>
            <w:vAlign w:val="center"/>
          </w:tcPr>
          <w:p>
            <w:pPr>
              <w:spacing w:line="360" w:lineRule="auto"/>
              <w:jc w:val="center"/>
              <w:rPr>
                <w:rFonts w:ascii="宋体" w:hAnsi="宋体" w:cs="宋体"/>
                <w:color w:val="000000"/>
                <w:szCs w:val="21"/>
              </w:rPr>
            </w:pPr>
          </w:p>
        </w:tc>
        <w:tc>
          <w:tcPr>
            <w:tcW w:w="770" w:type="dxa"/>
            <w:vAlign w:val="center"/>
          </w:tcPr>
          <w:p>
            <w:pPr>
              <w:spacing w:line="360" w:lineRule="auto"/>
              <w:jc w:val="center"/>
              <w:rPr>
                <w:rFonts w:ascii="宋体" w:hAnsi="宋体" w:cs="宋体"/>
                <w:color w:val="000000"/>
                <w:szCs w:val="21"/>
              </w:rPr>
            </w:pPr>
          </w:p>
        </w:tc>
        <w:tc>
          <w:tcPr>
            <w:tcW w:w="1280" w:type="dxa"/>
          </w:tcPr>
          <w:p>
            <w:pPr>
              <w:spacing w:line="360" w:lineRule="auto"/>
              <w:jc w:val="center"/>
              <w:rPr>
                <w:rFonts w:ascii="宋体" w:hAnsi="宋体" w:cs="宋体"/>
                <w:color w:val="000000"/>
                <w:szCs w:val="21"/>
              </w:rPr>
            </w:pPr>
          </w:p>
        </w:tc>
        <w:tc>
          <w:tcPr>
            <w:tcW w:w="1850" w:type="dxa"/>
          </w:tcPr>
          <w:p>
            <w:pPr>
              <w:spacing w:line="360" w:lineRule="auto"/>
              <w:jc w:val="center"/>
              <w:rPr>
                <w:rFonts w:ascii="宋体" w:hAnsi="宋体" w:cs="宋体"/>
                <w:color w:val="000000"/>
                <w:szCs w:val="21"/>
              </w:rPr>
            </w:pPr>
          </w:p>
        </w:tc>
        <w:tc>
          <w:tcPr>
            <w:tcW w:w="1200" w:type="dxa"/>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5</w:t>
            </w:r>
          </w:p>
        </w:tc>
        <w:tc>
          <w:tcPr>
            <w:tcW w:w="2683" w:type="dxa"/>
            <w:vAlign w:val="center"/>
          </w:tcPr>
          <w:p>
            <w:pPr>
              <w:spacing w:line="360" w:lineRule="auto"/>
              <w:jc w:val="center"/>
              <w:rPr>
                <w:rFonts w:ascii="宋体" w:hAnsi="宋体" w:cs="宋体"/>
                <w:color w:val="000000"/>
                <w:szCs w:val="21"/>
              </w:rPr>
            </w:pPr>
          </w:p>
        </w:tc>
        <w:tc>
          <w:tcPr>
            <w:tcW w:w="1020" w:type="dxa"/>
            <w:vAlign w:val="center"/>
          </w:tcPr>
          <w:p>
            <w:pPr>
              <w:spacing w:line="360" w:lineRule="auto"/>
              <w:jc w:val="center"/>
              <w:rPr>
                <w:rFonts w:ascii="宋体" w:hAnsi="宋体" w:cs="宋体"/>
                <w:color w:val="000000"/>
                <w:szCs w:val="21"/>
              </w:rPr>
            </w:pPr>
          </w:p>
        </w:tc>
        <w:tc>
          <w:tcPr>
            <w:tcW w:w="770" w:type="dxa"/>
            <w:vAlign w:val="center"/>
          </w:tcPr>
          <w:p>
            <w:pPr>
              <w:spacing w:line="360" w:lineRule="auto"/>
              <w:jc w:val="center"/>
              <w:rPr>
                <w:rFonts w:ascii="宋体" w:hAnsi="宋体" w:cs="宋体"/>
                <w:color w:val="000000"/>
                <w:szCs w:val="21"/>
              </w:rPr>
            </w:pPr>
          </w:p>
        </w:tc>
        <w:tc>
          <w:tcPr>
            <w:tcW w:w="1280" w:type="dxa"/>
          </w:tcPr>
          <w:p>
            <w:pPr>
              <w:spacing w:line="360" w:lineRule="auto"/>
              <w:jc w:val="center"/>
              <w:rPr>
                <w:rFonts w:ascii="宋体" w:hAnsi="宋体" w:cs="宋体"/>
                <w:color w:val="000000"/>
                <w:szCs w:val="21"/>
              </w:rPr>
            </w:pPr>
          </w:p>
        </w:tc>
        <w:tc>
          <w:tcPr>
            <w:tcW w:w="1850" w:type="dxa"/>
          </w:tcPr>
          <w:p>
            <w:pPr>
              <w:spacing w:line="360" w:lineRule="auto"/>
              <w:jc w:val="center"/>
              <w:rPr>
                <w:rFonts w:ascii="宋体" w:hAnsi="宋体" w:cs="宋体"/>
                <w:color w:val="000000"/>
                <w:szCs w:val="21"/>
              </w:rPr>
            </w:pPr>
          </w:p>
        </w:tc>
        <w:tc>
          <w:tcPr>
            <w:tcW w:w="1200" w:type="dxa"/>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6</w:t>
            </w:r>
          </w:p>
        </w:tc>
        <w:tc>
          <w:tcPr>
            <w:tcW w:w="2683" w:type="dxa"/>
            <w:vAlign w:val="center"/>
          </w:tcPr>
          <w:p>
            <w:pPr>
              <w:spacing w:line="360" w:lineRule="auto"/>
              <w:jc w:val="center"/>
              <w:rPr>
                <w:rFonts w:ascii="宋体" w:hAnsi="宋体" w:cs="宋体"/>
                <w:color w:val="000000"/>
                <w:szCs w:val="21"/>
              </w:rPr>
            </w:pPr>
          </w:p>
        </w:tc>
        <w:tc>
          <w:tcPr>
            <w:tcW w:w="1020" w:type="dxa"/>
            <w:vAlign w:val="center"/>
          </w:tcPr>
          <w:p>
            <w:pPr>
              <w:spacing w:line="360" w:lineRule="auto"/>
              <w:jc w:val="center"/>
              <w:rPr>
                <w:rFonts w:ascii="宋体" w:hAnsi="宋体" w:cs="宋体"/>
                <w:color w:val="000000"/>
                <w:szCs w:val="21"/>
              </w:rPr>
            </w:pPr>
          </w:p>
        </w:tc>
        <w:tc>
          <w:tcPr>
            <w:tcW w:w="770" w:type="dxa"/>
            <w:vAlign w:val="center"/>
          </w:tcPr>
          <w:p>
            <w:pPr>
              <w:spacing w:line="360" w:lineRule="auto"/>
              <w:jc w:val="center"/>
              <w:rPr>
                <w:rFonts w:ascii="宋体" w:hAnsi="宋体" w:cs="宋体"/>
                <w:color w:val="000000"/>
                <w:szCs w:val="21"/>
              </w:rPr>
            </w:pPr>
          </w:p>
        </w:tc>
        <w:tc>
          <w:tcPr>
            <w:tcW w:w="1280" w:type="dxa"/>
          </w:tcPr>
          <w:p>
            <w:pPr>
              <w:spacing w:line="360" w:lineRule="auto"/>
              <w:jc w:val="center"/>
              <w:rPr>
                <w:rFonts w:ascii="宋体" w:hAnsi="宋体" w:cs="宋体"/>
                <w:color w:val="000000"/>
                <w:szCs w:val="21"/>
              </w:rPr>
            </w:pPr>
          </w:p>
        </w:tc>
        <w:tc>
          <w:tcPr>
            <w:tcW w:w="1850" w:type="dxa"/>
          </w:tcPr>
          <w:p>
            <w:pPr>
              <w:spacing w:line="360" w:lineRule="auto"/>
              <w:jc w:val="center"/>
              <w:rPr>
                <w:rFonts w:ascii="宋体" w:hAnsi="宋体" w:cs="宋体"/>
                <w:color w:val="000000"/>
                <w:szCs w:val="21"/>
              </w:rPr>
            </w:pPr>
          </w:p>
        </w:tc>
        <w:tc>
          <w:tcPr>
            <w:tcW w:w="1200" w:type="dxa"/>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7</w:t>
            </w:r>
          </w:p>
        </w:tc>
        <w:tc>
          <w:tcPr>
            <w:tcW w:w="2683" w:type="dxa"/>
            <w:vAlign w:val="center"/>
          </w:tcPr>
          <w:p>
            <w:pPr>
              <w:spacing w:line="360" w:lineRule="auto"/>
              <w:jc w:val="center"/>
              <w:rPr>
                <w:rFonts w:ascii="宋体" w:hAnsi="宋体" w:cs="宋体"/>
                <w:color w:val="000000"/>
                <w:szCs w:val="21"/>
              </w:rPr>
            </w:pPr>
          </w:p>
        </w:tc>
        <w:tc>
          <w:tcPr>
            <w:tcW w:w="1020" w:type="dxa"/>
            <w:vAlign w:val="center"/>
          </w:tcPr>
          <w:p>
            <w:pPr>
              <w:spacing w:line="360" w:lineRule="auto"/>
              <w:jc w:val="center"/>
              <w:rPr>
                <w:rFonts w:ascii="宋体" w:hAnsi="宋体" w:cs="宋体"/>
                <w:color w:val="000000"/>
                <w:szCs w:val="21"/>
              </w:rPr>
            </w:pPr>
          </w:p>
        </w:tc>
        <w:tc>
          <w:tcPr>
            <w:tcW w:w="770" w:type="dxa"/>
            <w:vAlign w:val="center"/>
          </w:tcPr>
          <w:p>
            <w:pPr>
              <w:spacing w:line="360" w:lineRule="auto"/>
              <w:jc w:val="center"/>
              <w:rPr>
                <w:rFonts w:ascii="宋体" w:hAnsi="宋体" w:cs="宋体"/>
                <w:color w:val="000000"/>
                <w:szCs w:val="21"/>
              </w:rPr>
            </w:pPr>
          </w:p>
        </w:tc>
        <w:tc>
          <w:tcPr>
            <w:tcW w:w="1280" w:type="dxa"/>
          </w:tcPr>
          <w:p>
            <w:pPr>
              <w:spacing w:line="360" w:lineRule="auto"/>
              <w:jc w:val="center"/>
              <w:rPr>
                <w:rFonts w:ascii="宋体" w:hAnsi="宋体" w:cs="宋体"/>
                <w:color w:val="000000"/>
                <w:szCs w:val="21"/>
              </w:rPr>
            </w:pPr>
          </w:p>
        </w:tc>
        <w:tc>
          <w:tcPr>
            <w:tcW w:w="1850" w:type="dxa"/>
          </w:tcPr>
          <w:p>
            <w:pPr>
              <w:spacing w:line="360" w:lineRule="auto"/>
              <w:jc w:val="center"/>
              <w:rPr>
                <w:rFonts w:ascii="宋体" w:hAnsi="宋体" w:cs="宋体"/>
                <w:color w:val="000000"/>
                <w:szCs w:val="21"/>
              </w:rPr>
            </w:pPr>
          </w:p>
        </w:tc>
        <w:tc>
          <w:tcPr>
            <w:tcW w:w="1200" w:type="dxa"/>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8</w:t>
            </w:r>
          </w:p>
        </w:tc>
        <w:tc>
          <w:tcPr>
            <w:tcW w:w="2683" w:type="dxa"/>
            <w:vAlign w:val="center"/>
          </w:tcPr>
          <w:p>
            <w:pPr>
              <w:spacing w:line="360" w:lineRule="auto"/>
              <w:jc w:val="center"/>
              <w:rPr>
                <w:rFonts w:ascii="宋体" w:hAnsi="宋体" w:cs="宋体"/>
                <w:color w:val="000000"/>
                <w:szCs w:val="21"/>
              </w:rPr>
            </w:pPr>
          </w:p>
        </w:tc>
        <w:tc>
          <w:tcPr>
            <w:tcW w:w="1020" w:type="dxa"/>
            <w:vAlign w:val="center"/>
          </w:tcPr>
          <w:p>
            <w:pPr>
              <w:spacing w:line="360" w:lineRule="auto"/>
              <w:jc w:val="center"/>
              <w:rPr>
                <w:rFonts w:ascii="宋体" w:hAnsi="宋体" w:cs="宋体"/>
                <w:color w:val="000000"/>
                <w:szCs w:val="21"/>
              </w:rPr>
            </w:pPr>
          </w:p>
        </w:tc>
        <w:tc>
          <w:tcPr>
            <w:tcW w:w="770" w:type="dxa"/>
            <w:vAlign w:val="center"/>
          </w:tcPr>
          <w:p>
            <w:pPr>
              <w:spacing w:line="360" w:lineRule="auto"/>
              <w:jc w:val="center"/>
              <w:rPr>
                <w:rFonts w:ascii="宋体" w:hAnsi="宋体" w:cs="宋体"/>
                <w:color w:val="000000"/>
                <w:szCs w:val="21"/>
              </w:rPr>
            </w:pPr>
          </w:p>
        </w:tc>
        <w:tc>
          <w:tcPr>
            <w:tcW w:w="1280" w:type="dxa"/>
          </w:tcPr>
          <w:p>
            <w:pPr>
              <w:spacing w:line="360" w:lineRule="auto"/>
              <w:jc w:val="center"/>
              <w:rPr>
                <w:rFonts w:ascii="宋体" w:hAnsi="宋体" w:cs="宋体"/>
                <w:color w:val="000000"/>
                <w:szCs w:val="21"/>
              </w:rPr>
            </w:pPr>
          </w:p>
        </w:tc>
        <w:tc>
          <w:tcPr>
            <w:tcW w:w="1850" w:type="dxa"/>
          </w:tcPr>
          <w:p>
            <w:pPr>
              <w:spacing w:line="360" w:lineRule="auto"/>
              <w:jc w:val="center"/>
              <w:rPr>
                <w:rFonts w:ascii="宋体" w:hAnsi="宋体" w:cs="宋体"/>
                <w:color w:val="000000"/>
                <w:szCs w:val="21"/>
              </w:rPr>
            </w:pPr>
          </w:p>
        </w:tc>
        <w:tc>
          <w:tcPr>
            <w:tcW w:w="1200" w:type="dxa"/>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9</w:t>
            </w:r>
          </w:p>
        </w:tc>
        <w:tc>
          <w:tcPr>
            <w:tcW w:w="2683" w:type="dxa"/>
            <w:vAlign w:val="center"/>
          </w:tcPr>
          <w:p>
            <w:pPr>
              <w:spacing w:line="360" w:lineRule="auto"/>
              <w:jc w:val="center"/>
              <w:rPr>
                <w:rFonts w:ascii="宋体" w:hAnsi="宋体" w:cs="宋体"/>
                <w:color w:val="000000"/>
                <w:szCs w:val="21"/>
              </w:rPr>
            </w:pPr>
          </w:p>
        </w:tc>
        <w:tc>
          <w:tcPr>
            <w:tcW w:w="1020" w:type="dxa"/>
            <w:vAlign w:val="center"/>
          </w:tcPr>
          <w:p>
            <w:pPr>
              <w:spacing w:line="360" w:lineRule="auto"/>
              <w:jc w:val="center"/>
              <w:rPr>
                <w:rFonts w:ascii="宋体" w:hAnsi="宋体" w:cs="宋体"/>
                <w:color w:val="000000"/>
                <w:szCs w:val="21"/>
              </w:rPr>
            </w:pPr>
          </w:p>
        </w:tc>
        <w:tc>
          <w:tcPr>
            <w:tcW w:w="770" w:type="dxa"/>
            <w:vAlign w:val="center"/>
          </w:tcPr>
          <w:p>
            <w:pPr>
              <w:spacing w:line="360" w:lineRule="auto"/>
              <w:jc w:val="center"/>
              <w:rPr>
                <w:rFonts w:ascii="宋体" w:hAnsi="宋体" w:cs="宋体"/>
                <w:color w:val="000000"/>
                <w:szCs w:val="21"/>
              </w:rPr>
            </w:pPr>
          </w:p>
        </w:tc>
        <w:tc>
          <w:tcPr>
            <w:tcW w:w="1280" w:type="dxa"/>
          </w:tcPr>
          <w:p>
            <w:pPr>
              <w:spacing w:line="360" w:lineRule="auto"/>
              <w:jc w:val="center"/>
              <w:rPr>
                <w:rFonts w:ascii="宋体" w:hAnsi="宋体" w:cs="宋体"/>
                <w:color w:val="000000"/>
                <w:szCs w:val="21"/>
              </w:rPr>
            </w:pPr>
          </w:p>
        </w:tc>
        <w:tc>
          <w:tcPr>
            <w:tcW w:w="1850" w:type="dxa"/>
          </w:tcPr>
          <w:p>
            <w:pPr>
              <w:spacing w:line="360" w:lineRule="auto"/>
              <w:jc w:val="center"/>
              <w:rPr>
                <w:rFonts w:ascii="宋体" w:hAnsi="宋体" w:cs="宋体"/>
                <w:color w:val="000000"/>
                <w:szCs w:val="21"/>
              </w:rPr>
            </w:pPr>
          </w:p>
        </w:tc>
        <w:tc>
          <w:tcPr>
            <w:tcW w:w="1200" w:type="dxa"/>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w:t>
            </w:r>
          </w:p>
        </w:tc>
        <w:tc>
          <w:tcPr>
            <w:tcW w:w="2683" w:type="dxa"/>
            <w:vAlign w:val="center"/>
          </w:tcPr>
          <w:p>
            <w:pPr>
              <w:spacing w:line="360" w:lineRule="auto"/>
              <w:jc w:val="center"/>
              <w:rPr>
                <w:rFonts w:ascii="宋体" w:hAnsi="宋体" w:cs="宋体"/>
                <w:color w:val="000000"/>
                <w:szCs w:val="21"/>
              </w:rPr>
            </w:pPr>
          </w:p>
        </w:tc>
        <w:tc>
          <w:tcPr>
            <w:tcW w:w="1020" w:type="dxa"/>
            <w:vAlign w:val="center"/>
          </w:tcPr>
          <w:p>
            <w:pPr>
              <w:spacing w:line="360" w:lineRule="auto"/>
              <w:jc w:val="center"/>
              <w:rPr>
                <w:rFonts w:ascii="宋体" w:hAnsi="宋体" w:cs="宋体"/>
                <w:color w:val="000000"/>
                <w:szCs w:val="21"/>
              </w:rPr>
            </w:pPr>
          </w:p>
        </w:tc>
        <w:tc>
          <w:tcPr>
            <w:tcW w:w="770" w:type="dxa"/>
            <w:vAlign w:val="center"/>
          </w:tcPr>
          <w:p>
            <w:pPr>
              <w:spacing w:line="360" w:lineRule="auto"/>
              <w:jc w:val="center"/>
              <w:rPr>
                <w:rFonts w:ascii="宋体" w:hAnsi="宋体" w:cs="宋体"/>
                <w:color w:val="000000"/>
                <w:szCs w:val="21"/>
              </w:rPr>
            </w:pPr>
          </w:p>
        </w:tc>
        <w:tc>
          <w:tcPr>
            <w:tcW w:w="1280" w:type="dxa"/>
          </w:tcPr>
          <w:p>
            <w:pPr>
              <w:spacing w:line="360" w:lineRule="auto"/>
              <w:jc w:val="center"/>
              <w:rPr>
                <w:rFonts w:ascii="宋体" w:hAnsi="宋体" w:cs="宋体"/>
                <w:color w:val="000000"/>
                <w:szCs w:val="21"/>
              </w:rPr>
            </w:pPr>
          </w:p>
        </w:tc>
        <w:tc>
          <w:tcPr>
            <w:tcW w:w="1850" w:type="dxa"/>
          </w:tcPr>
          <w:p>
            <w:pPr>
              <w:spacing w:line="360" w:lineRule="auto"/>
              <w:jc w:val="center"/>
              <w:rPr>
                <w:rFonts w:ascii="宋体" w:hAnsi="宋体" w:cs="宋体"/>
                <w:color w:val="000000"/>
                <w:szCs w:val="21"/>
              </w:rPr>
            </w:pPr>
          </w:p>
        </w:tc>
        <w:tc>
          <w:tcPr>
            <w:tcW w:w="1200" w:type="dxa"/>
          </w:tcPr>
          <w:p>
            <w:pPr>
              <w:spacing w:line="360" w:lineRule="auto"/>
              <w:jc w:val="center"/>
              <w:rPr>
                <w:rFonts w:ascii="宋体" w:hAnsi="宋体" w:cs="宋体"/>
                <w:color w:val="000000"/>
                <w:szCs w:val="21"/>
              </w:rPr>
            </w:pPr>
          </w:p>
        </w:tc>
      </w:tr>
    </w:tbl>
    <w:p>
      <w:pPr>
        <w:spacing w:before="156" w:beforeLines="50" w:after="156" w:afterLines="50"/>
        <w:rPr>
          <w:rFonts w:ascii="宋体" w:hAnsi="宋体" w:cs="宋体"/>
          <w:color w:val="000000"/>
          <w:kern w:val="0"/>
          <w:szCs w:val="21"/>
        </w:rPr>
      </w:pPr>
      <w:r>
        <w:rPr>
          <w:rFonts w:hint="eastAsia" w:ascii="宋体" w:hAnsi="宋体" w:cs="宋体"/>
          <w:color w:val="000000"/>
          <w:kern w:val="0"/>
          <w:szCs w:val="21"/>
        </w:rPr>
        <w:t>注：1、投标人应根据招标文件要求和招标项目的实际需要，列出拟配备的人员清单。</w:t>
      </w:r>
    </w:p>
    <w:p>
      <w:pPr>
        <w:spacing w:before="156" w:beforeLines="50" w:after="156" w:afterLines="50"/>
        <w:rPr>
          <w:rFonts w:ascii="宋体" w:hAnsi="宋体" w:cs="宋体"/>
          <w:color w:val="000000"/>
          <w:kern w:val="0"/>
          <w:szCs w:val="21"/>
        </w:rPr>
      </w:pPr>
      <w:r>
        <w:rPr>
          <w:rFonts w:hint="eastAsia" w:ascii="宋体" w:hAnsi="宋体" w:cs="宋体"/>
          <w:color w:val="000000"/>
          <w:kern w:val="0"/>
          <w:szCs w:val="21"/>
        </w:rPr>
        <w:t>2、投标文件中须提供所有人员相关资格证明等，提供复印件并加盖公章。</w:t>
      </w:r>
    </w:p>
    <w:p>
      <w:pPr>
        <w:tabs>
          <w:tab w:val="left" w:pos="3686"/>
        </w:tabs>
        <w:spacing w:before="156" w:beforeLines="50" w:after="156" w:afterLines="50"/>
        <w:rPr>
          <w:rFonts w:ascii="宋体" w:hAnsi="宋体" w:cs="宋体"/>
          <w:color w:val="000000"/>
          <w:kern w:val="0"/>
          <w:szCs w:val="21"/>
        </w:rPr>
      </w:pPr>
      <w:r>
        <w:rPr>
          <w:rFonts w:hint="eastAsia" w:ascii="宋体" w:hAnsi="宋体" w:cs="宋体"/>
          <w:color w:val="000000"/>
          <w:kern w:val="0"/>
          <w:szCs w:val="21"/>
        </w:rPr>
        <w:t xml:space="preserve">   </w:t>
      </w:r>
    </w:p>
    <w:p>
      <w:pPr>
        <w:topLinePunct/>
        <w:spacing w:line="440" w:lineRule="exact"/>
        <w:jc w:val="center"/>
        <w:rPr>
          <w:rFonts w:ascii="宋体" w:hAnsi="宋体" w:cs="宋体"/>
          <w:color w:val="000000"/>
          <w:sz w:val="20"/>
        </w:rPr>
      </w:pPr>
    </w:p>
    <w:p>
      <w:pPr>
        <w:topLinePunct/>
        <w:spacing w:line="440" w:lineRule="exact"/>
        <w:rPr>
          <w:rFonts w:ascii="宋体" w:hAnsi="宋体" w:cs="宋体"/>
          <w:color w:val="000000"/>
          <w:sz w:val="20"/>
        </w:rPr>
      </w:pPr>
    </w:p>
    <w:p>
      <w:pPr>
        <w:pStyle w:val="3"/>
        <w:keepNext w:val="0"/>
        <w:keepLines w:val="0"/>
        <w:jc w:val="center"/>
        <w:rPr>
          <w:rFonts w:ascii="宋体" w:hAnsi="宋体" w:eastAsia="宋体" w:cs="宋体"/>
          <w:color w:val="000000"/>
        </w:rPr>
      </w:pPr>
      <w:bookmarkStart w:id="921" w:name="_Toc247085890"/>
      <w:bookmarkStart w:id="922" w:name="_Toc246997115"/>
      <w:bookmarkStart w:id="923" w:name="_Toc179632827"/>
      <w:bookmarkStart w:id="924" w:name="_Toc453756969"/>
      <w:bookmarkStart w:id="925" w:name="_Toc9054"/>
      <w:bookmarkStart w:id="926" w:name="_Toc246996372"/>
      <w:bookmarkStart w:id="927" w:name="_Toc13607"/>
      <w:bookmarkStart w:id="928" w:name="_Toc144974875"/>
      <w:bookmarkStart w:id="929" w:name="_Toc11857"/>
      <w:bookmarkStart w:id="930" w:name="_Toc152045807"/>
      <w:bookmarkStart w:id="931" w:name="_Toc152042596"/>
      <w:bookmarkStart w:id="932" w:name="_Toc19469"/>
      <w:bookmarkStart w:id="933" w:name="_Toc3108"/>
      <w:r>
        <w:rPr>
          <w:rFonts w:hint="eastAsia" w:ascii="宋体" w:hAnsi="宋体" w:eastAsia="宋体" w:cs="宋体"/>
          <w:color w:val="000000"/>
        </w:rPr>
        <w:t>八、资格审查资料</w:t>
      </w:r>
      <w:bookmarkEnd w:id="921"/>
      <w:bookmarkEnd w:id="922"/>
      <w:bookmarkEnd w:id="923"/>
      <w:bookmarkEnd w:id="924"/>
      <w:bookmarkEnd w:id="925"/>
      <w:bookmarkEnd w:id="926"/>
      <w:bookmarkEnd w:id="927"/>
      <w:bookmarkEnd w:id="928"/>
      <w:bookmarkEnd w:id="929"/>
      <w:bookmarkEnd w:id="930"/>
      <w:bookmarkEnd w:id="931"/>
      <w:bookmarkEnd w:id="932"/>
      <w:bookmarkEnd w:id="933"/>
    </w:p>
    <w:p>
      <w:pPr>
        <w:pStyle w:val="4"/>
        <w:keepNext w:val="0"/>
        <w:keepLines w:val="0"/>
        <w:jc w:val="center"/>
        <w:rPr>
          <w:rFonts w:ascii="宋体" w:hAnsi="宋体" w:cs="宋体"/>
          <w:color w:val="000000"/>
        </w:rPr>
      </w:pPr>
      <w:bookmarkStart w:id="934" w:name="_Toc247085891"/>
      <w:bookmarkStart w:id="935" w:name="_Toc246996373"/>
      <w:bookmarkStart w:id="936" w:name="_Toc152042597"/>
      <w:bookmarkStart w:id="937" w:name="_Toc25309"/>
      <w:bookmarkStart w:id="938" w:name="_Toc152045808"/>
      <w:bookmarkStart w:id="939" w:name="_Toc246997116"/>
      <w:bookmarkStart w:id="940" w:name="_Toc179632828"/>
      <w:bookmarkStart w:id="941" w:name="_Toc8660"/>
      <w:bookmarkStart w:id="942" w:name="_Toc7743"/>
      <w:bookmarkStart w:id="943" w:name="_Toc144974876"/>
      <w:bookmarkStart w:id="944" w:name="_Toc31079"/>
      <w:bookmarkStart w:id="945" w:name="_Toc453756970"/>
      <w:r>
        <w:rPr>
          <w:rFonts w:hint="eastAsia" w:ascii="宋体" w:hAnsi="宋体" w:cs="宋体"/>
          <w:color w:val="000000"/>
        </w:rPr>
        <w:t>（一）投标人基本情况表</w:t>
      </w:r>
      <w:bookmarkEnd w:id="934"/>
      <w:bookmarkEnd w:id="935"/>
      <w:bookmarkEnd w:id="936"/>
      <w:bookmarkEnd w:id="937"/>
      <w:bookmarkEnd w:id="938"/>
      <w:bookmarkEnd w:id="939"/>
      <w:bookmarkEnd w:id="940"/>
      <w:bookmarkEnd w:id="941"/>
      <w:bookmarkEnd w:id="942"/>
      <w:bookmarkEnd w:id="943"/>
      <w:bookmarkEnd w:id="944"/>
      <w:bookmarkEnd w:id="945"/>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5"/>
        <w:gridCol w:w="1054"/>
        <w:gridCol w:w="1748"/>
        <w:gridCol w:w="1223"/>
        <w:gridCol w:w="1066"/>
        <w:gridCol w:w="170"/>
        <w:gridCol w:w="713"/>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pPr>
              <w:jc w:val="center"/>
              <w:rPr>
                <w:rFonts w:ascii="宋体" w:hAnsi="宋体" w:cs="宋体"/>
                <w:color w:val="000000"/>
                <w:szCs w:val="21"/>
              </w:rPr>
            </w:pPr>
            <w:r>
              <w:rPr>
                <w:rFonts w:hint="eastAsia" w:ascii="宋体" w:hAnsi="宋体" w:cs="宋体"/>
                <w:color w:val="000000"/>
                <w:szCs w:val="21"/>
              </w:rPr>
              <w:t>投标人名称</w:t>
            </w:r>
          </w:p>
        </w:tc>
        <w:tc>
          <w:tcPr>
            <w:tcW w:w="7148" w:type="dxa"/>
            <w:gridSpan w:val="7"/>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pPr>
              <w:jc w:val="center"/>
              <w:rPr>
                <w:rFonts w:ascii="宋体" w:hAnsi="宋体" w:cs="宋体"/>
                <w:color w:val="000000"/>
                <w:szCs w:val="21"/>
              </w:rPr>
            </w:pPr>
            <w:r>
              <w:rPr>
                <w:rFonts w:hint="eastAsia" w:ascii="宋体" w:hAnsi="宋体" w:cs="宋体"/>
                <w:color w:val="000000"/>
                <w:szCs w:val="21"/>
              </w:rPr>
              <w:t>注册地址</w:t>
            </w:r>
          </w:p>
        </w:tc>
        <w:tc>
          <w:tcPr>
            <w:tcW w:w="4025" w:type="dxa"/>
            <w:gridSpan w:val="3"/>
            <w:vAlign w:val="center"/>
          </w:tcPr>
          <w:p>
            <w:pPr>
              <w:jc w:val="center"/>
              <w:rPr>
                <w:rFonts w:ascii="宋体" w:hAnsi="宋体" w:cs="宋体"/>
                <w:color w:val="000000"/>
                <w:szCs w:val="21"/>
              </w:rPr>
            </w:pPr>
          </w:p>
        </w:tc>
        <w:tc>
          <w:tcPr>
            <w:tcW w:w="1066" w:type="dxa"/>
            <w:vAlign w:val="center"/>
          </w:tcPr>
          <w:p>
            <w:pPr>
              <w:jc w:val="center"/>
              <w:rPr>
                <w:rFonts w:ascii="宋体" w:hAnsi="宋体" w:cs="宋体"/>
                <w:color w:val="000000"/>
                <w:szCs w:val="21"/>
              </w:rPr>
            </w:pPr>
            <w:r>
              <w:rPr>
                <w:rFonts w:hint="eastAsia" w:ascii="宋体" w:hAnsi="宋体" w:cs="宋体"/>
                <w:color w:val="000000"/>
                <w:szCs w:val="21"/>
              </w:rPr>
              <w:t>邮政</w:t>
            </w:r>
          </w:p>
          <w:p>
            <w:pPr>
              <w:jc w:val="center"/>
              <w:rPr>
                <w:rFonts w:ascii="宋体" w:hAnsi="宋体" w:cs="宋体"/>
                <w:color w:val="000000"/>
                <w:szCs w:val="21"/>
              </w:rPr>
            </w:pPr>
            <w:r>
              <w:rPr>
                <w:rFonts w:hint="eastAsia" w:ascii="宋体" w:hAnsi="宋体" w:cs="宋体"/>
                <w:color w:val="000000"/>
                <w:szCs w:val="21"/>
              </w:rPr>
              <w:t>编码</w:t>
            </w:r>
          </w:p>
        </w:tc>
        <w:tc>
          <w:tcPr>
            <w:tcW w:w="2057" w:type="dxa"/>
            <w:gridSpan w:val="3"/>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Merge w:val="restart"/>
            <w:vAlign w:val="center"/>
          </w:tcPr>
          <w:p>
            <w:pPr>
              <w:jc w:val="center"/>
              <w:rPr>
                <w:rFonts w:ascii="宋体" w:hAnsi="宋体" w:cs="宋体"/>
                <w:color w:val="000000"/>
                <w:szCs w:val="21"/>
              </w:rPr>
            </w:pPr>
            <w:r>
              <w:rPr>
                <w:rFonts w:hint="eastAsia" w:ascii="宋体" w:hAnsi="宋体" w:cs="宋体"/>
                <w:color w:val="000000"/>
                <w:szCs w:val="21"/>
              </w:rPr>
              <w:t>联系方式</w:t>
            </w:r>
          </w:p>
        </w:tc>
        <w:tc>
          <w:tcPr>
            <w:tcW w:w="1054" w:type="dxa"/>
            <w:vAlign w:val="center"/>
          </w:tcPr>
          <w:p>
            <w:pPr>
              <w:jc w:val="center"/>
              <w:rPr>
                <w:rFonts w:ascii="宋体" w:hAnsi="宋体" w:cs="宋体"/>
                <w:color w:val="000000"/>
                <w:szCs w:val="21"/>
              </w:rPr>
            </w:pPr>
            <w:r>
              <w:rPr>
                <w:rFonts w:hint="eastAsia" w:ascii="宋体" w:hAnsi="宋体" w:cs="宋体"/>
                <w:color w:val="000000"/>
                <w:szCs w:val="21"/>
              </w:rPr>
              <w:t>联系人</w:t>
            </w:r>
          </w:p>
        </w:tc>
        <w:tc>
          <w:tcPr>
            <w:tcW w:w="2971" w:type="dxa"/>
            <w:gridSpan w:val="2"/>
            <w:vAlign w:val="center"/>
          </w:tcPr>
          <w:p>
            <w:pPr>
              <w:jc w:val="center"/>
              <w:rPr>
                <w:rFonts w:ascii="宋体" w:hAnsi="宋体" w:cs="宋体"/>
                <w:color w:val="000000"/>
                <w:szCs w:val="21"/>
              </w:rPr>
            </w:pPr>
          </w:p>
        </w:tc>
        <w:tc>
          <w:tcPr>
            <w:tcW w:w="1066" w:type="dxa"/>
            <w:vAlign w:val="center"/>
          </w:tcPr>
          <w:p>
            <w:pPr>
              <w:jc w:val="center"/>
              <w:rPr>
                <w:rFonts w:ascii="宋体" w:hAnsi="宋体" w:cs="宋体"/>
                <w:color w:val="000000"/>
                <w:szCs w:val="21"/>
              </w:rPr>
            </w:pPr>
            <w:r>
              <w:rPr>
                <w:rFonts w:hint="eastAsia" w:ascii="宋体" w:hAnsi="宋体" w:cs="宋体"/>
                <w:color w:val="000000"/>
                <w:szCs w:val="21"/>
              </w:rPr>
              <w:t>电话</w:t>
            </w:r>
          </w:p>
        </w:tc>
        <w:tc>
          <w:tcPr>
            <w:tcW w:w="2057" w:type="dxa"/>
            <w:gridSpan w:val="3"/>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Merge w:val="continue"/>
            <w:vAlign w:val="center"/>
          </w:tcPr>
          <w:p>
            <w:pPr>
              <w:jc w:val="center"/>
              <w:rPr>
                <w:rFonts w:ascii="宋体" w:hAnsi="宋体" w:cs="宋体"/>
                <w:color w:val="000000"/>
                <w:szCs w:val="21"/>
              </w:rPr>
            </w:pPr>
          </w:p>
        </w:tc>
        <w:tc>
          <w:tcPr>
            <w:tcW w:w="1054" w:type="dxa"/>
            <w:vAlign w:val="center"/>
          </w:tcPr>
          <w:p>
            <w:pPr>
              <w:jc w:val="center"/>
              <w:rPr>
                <w:rFonts w:ascii="宋体" w:hAnsi="宋体" w:cs="宋体"/>
                <w:color w:val="000000"/>
                <w:szCs w:val="21"/>
              </w:rPr>
            </w:pPr>
            <w:r>
              <w:rPr>
                <w:rFonts w:hint="eastAsia" w:ascii="宋体" w:hAnsi="宋体" w:cs="宋体"/>
                <w:color w:val="000000"/>
                <w:szCs w:val="21"/>
              </w:rPr>
              <w:t>传  真</w:t>
            </w:r>
          </w:p>
        </w:tc>
        <w:tc>
          <w:tcPr>
            <w:tcW w:w="2971" w:type="dxa"/>
            <w:gridSpan w:val="2"/>
            <w:vAlign w:val="center"/>
          </w:tcPr>
          <w:p>
            <w:pPr>
              <w:jc w:val="center"/>
              <w:rPr>
                <w:rFonts w:ascii="宋体" w:hAnsi="宋体" w:cs="宋体"/>
                <w:color w:val="000000"/>
                <w:szCs w:val="21"/>
              </w:rPr>
            </w:pPr>
          </w:p>
        </w:tc>
        <w:tc>
          <w:tcPr>
            <w:tcW w:w="1066" w:type="dxa"/>
            <w:vAlign w:val="center"/>
          </w:tcPr>
          <w:p>
            <w:pPr>
              <w:jc w:val="center"/>
              <w:rPr>
                <w:rFonts w:ascii="宋体" w:hAnsi="宋体" w:cs="宋体"/>
                <w:color w:val="000000"/>
                <w:szCs w:val="21"/>
              </w:rPr>
            </w:pPr>
            <w:r>
              <w:rPr>
                <w:rFonts w:hint="eastAsia" w:ascii="宋体" w:hAnsi="宋体" w:cs="宋体"/>
                <w:color w:val="000000"/>
                <w:szCs w:val="21"/>
              </w:rPr>
              <w:t>网址</w:t>
            </w:r>
          </w:p>
        </w:tc>
        <w:tc>
          <w:tcPr>
            <w:tcW w:w="2057" w:type="dxa"/>
            <w:gridSpan w:val="3"/>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pPr>
              <w:jc w:val="center"/>
              <w:rPr>
                <w:rFonts w:ascii="宋体" w:hAnsi="宋体" w:cs="宋体"/>
                <w:color w:val="000000"/>
                <w:szCs w:val="21"/>
              </w:rPr>
            </w:pPr>
            <w:r>
              <w:rPr>
                <w:rFonts w:hint="eastAsia" w:ascii="宋体" w:hAnsi="宋体" w:cs="宋体"/>
                <w:color w:val="000000"/>
                <w:szCs w:val="21"/>
              </w:rPr>
              <w:t>法定代表人</w:t>
            </w:r>
          </w:p>
        </w:tc>
        <w:tc>
          <w:tcPr>
            <w:tcW w:w="1054" w:type="dxa"/>
            <w:vAlign w:val="center"/>
          </w:tcPr>
          <w:p>
            <w:pPr>
              <w:jc w:val="center"/>
              <w:rPr>
                <w:rFonts w:ascii="宋体" w:hAnsi="宋体" w:cs="宋体"/>
                <w:color w:val="000000"/>
                <w:szCs w:val="21"/>
              </w:rPr>
            </w:pPr>
            <w:r>
              <w:rPr>
                <w:rFonts w:hint="eastAsia" w:ascii="宋体" w:hAnsi="宋体" w:cs="宋体"/>
                <w:color w:val="000000"/>
                <w:szCs w:val="21"/>
              </w:rPr>
              <w:t>姓 名</w:t>
            </w:r>
          </w:p>
        </w:tc>
        <w:tc>
          <w:tcPr>
            <w:tcW w:w="1748" w:type="dxa"/>
            <w:vAlign w:val="center"/>
          </w:tcPr>
          <w:p>
            <w:pPr>
              <w:jc w:val="center"/>
              <w:rPr>
                <w:rFonts w:ascii="宋体" w:hAnsi="宋体" w:cs="宋体"/>
                <w:color w:val="000000"/>
                <w:szCs w:val="21"/>
              </w:rPr>
            </w:pPr>
          </w:p>
        </w:tc>
        <w:tc>
          <w:tcPr>
            <w:tcW w:w="1223" w:type="dxa"/>
            <w:vAlign w:val="center"/>
          </w:tcPr>
          <w:p>
            <w:pPr>
              <w:jc w:val="center"/>
              <w:rPr>
                <w:rFonts w:ascii="宋体" w:hAnsi="宋体" w:cs="宋体"/>
                <w:color w:val="000000"/>
                <w:szCs w:val="21"/>
              </w:rPr>
            </w:pPr>
            <w:r>
              <w:rPr>
                <w:rFonts w:hint="eastAsia" w:ascii="宋体" w:hAnsi="宋体" w:cs="宋体"/>
                <w:color w:val="000000"/>
                <w:szCs w:val="21"/>
              </w:rPr>
              <w:t>电话</w:t>
            </w:r>
          </w:p>
        </w:tc>
        <w:tc>
          <w:tcPr>
            <w:tcW w:w="1236" w:type="dxa"/>
            <w:gridSpan w:val="2"/>
            <w:vAlign w:val="center"/>
          </w:tcPr>
          <w:p>
            <w:pPr>
              <w:jc w:val="center"/>
              <w:rPr>
                <w:rFonts w:ascii="宋体" w:hAnsi="宋体" w:cs="宋体"/>
                <w:color w:val="000000"/>
                <w:szCs w:val="21"/>
              </w:rPr>
            </w:pPr>
          </w:p>
        </w:tc>
        <w:tc>
          <w:tcPr>
            <w:tcW w:w="713" w:type="dxa"/>
            <w:vAlign w:val="center"/>
          </w:tcPr>
          <w:p>
            <w:pPr>
              <w:jc w:val="center"/>
              <w:rPr>
                <w:rFonts w:ascii="宋体" w:hAnsi="宋体" w:cs="宋体"/>
                <w:color w:val="000000"/>
                <w:szCs w:val="21"/>
              </w:rPr>
            </w:pPr>
            <w:r>
              <w:rPr>
                <w:rFonts w:hint="eastAsia" w:ascii="宋体" w:hAnsi="宋体" w:cs="宋体"/>
                <w:color w:val="000000"/>
                <w:szCs w:val="21"/>
              </w:rPr>
              <w:t>电话</w:t>
            </w:r>
          </w:p>
        </w:tc>
        <w:tc>
          <w:tcPr>
            <w:tcW w:w="1174" w:type="dxa"/>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pPr>
              <w:jc w:val="center"/>
              <w:rPr>
                <w:rFonts w:ascii="宋体" w:hAnsi="宋体" w:cs="宋体"/>
                <w:color w:val="000000"/>
                <w:szCs w:val="21"/>
              </w:rPr>
            </w:pPr>
            <w:r>
              <w:rPr>
                <w:rFonts w:hint="eastAsia" w:ascii="宋体" w:hAnsi="宋体" w:cs="宋体"/>
                <w:color w:val="000000"/>
                <w:szCs w:val="21"/>
              </w:rPr>
              <w:t>成立时间</w:t>
            </w:r>
          </w:p>
        </w:tc>
        <w:tc>
          <w:tcPr>
            <w:tcW w:w="2802" w:type="dxa"/>
            <w:gridSpan w:val="2"/>
            <w:vAlign w:val="center"/>
          </w:tcPr>
          <w:p>
            <w:pPr>
              <w:jc w:val="center"/>
              <w:rPr>
                <w:rFonts w:ascii="宋体" w:hAnsi="宋体" w:cs="宋体"/>
                <w:color w:val="000000"/>
                <w:szCs w:val="21"/>
              </w:rPr>
            </w:pPr>
          </w:p>
        </w:tc>
        <w:tc>
          <w:tcPr>
            <w:tcW w:w="4346" w:type="dxa"/>
            <w:gridSpan w:val="5"/>
            <w:vAlign w:val="center"/>
          </w:tcPr>
          <w:p>
            <w:pPr>
              <w:rPr>
                <w:rFonts w:ascii="宋体" w:hAnsi="宋体" w:cs="宋体"/>
                <w:color w:val="000000"/>
                <w:szCs w:val="21"/>
              </w:rPr>
            </w:pPr>
            <w:r>
              <w:rPr>
                <w:rFonts w:hint="eastAsia" w:ascii="宋体" w:hAnsi="宋体" w:cs="宋体"/>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pPr>
              <w:jc w:val="center"/>
              <w:rPr>
                <w:rFonts w:ascii="宋体" w:hAnsi="宋体" w:cs="宋体"/>
                <w:color w:val="000000"/>
                <w:szCs w:val="21"/>
              </w:rPr>
            </w:pPr>
            <w:r>
              <w:rPr>
                <w:rFonts w:hint="eastAsia" w:ascii="宋体" w:hAnsi="宋体" w:cs="宋体"/>
                <w:color w:val="000000"/>
                <w:szCs w:val="21"/>
              </w:rPr>
              <w:t>统一社会信用代码</w:t>
            </w:r>
          </w:p>
        </w:tc>
        <w:tc>
          <w:tcPr>
            <w:tcW w:w="7148" w:type="dxa"/>
            <w:gridSpan w:val="7"/>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pPr>
              <w:jc w:val="center"/>
              <w:rPr>
                <w:rFonts w:ascii="宋体" w:hAnsi="宋体" w:cs="宋体"/>
                <w:color w:val="000000"/>
                <w:szCs w:val="21"/>
              </w:rPr>
            </w:pPr>
            <w:r>
              <w:rPr>
                <w:rFonts w:hint="eastAsia" w:ascii="宋体" w:hAnsi="宋体" w:cs="宋体"/>
                <w:color w:val="000000"/>
                <w:szCs w:val="21"/>
              </w:rPr>
              <w:t>注册资金</w:t>
            </w:r>
          </w:p>
        </w:tc>
        <w:tc>
          <w:tcPr>
            <w:tcW w:w="7148" w:type="dxa"/>
            <w:gridSpan w:val="7"/>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pPr>
              <w:jc w:val="center"/>
              <w:rPr>
                <w:rFonts w:ascii="宋体" w:hAnsi="宋体" w:cs="宋体"/>
                <w:color w:val="000000"/>
                <w:szCs w:val="21"/>
              </w:rPr>
            </w:pPr>
            <w:r>
              <w:rPr>
                <w:rFonts w:hint="eastAsia" w:ascii="宋体" w:hAnsi="宋体" w:cs="宋体"/>
                <w:color w:val="000000"/>
                <w:szCs w:val="21"/>
              </w:rPr>
              <w:t>开户银行</w:t>
            </w:r>
          </w:p>
        </w:tc>
        <w:tc>
          <w:tcPr>
            <w:tcW w:w="7148" w:type="dxa"/>
            <w:gridSpan w:val="7"/>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pPr>
              <w:jc w:val="center"/>
              <w:rPr>
                <w:rFonts w:ascii="宋体" w:hAnsi="宋体" w:cs="宋体"/>
                <w:color w:val="000000"/>
                <w:szCs w:val="21"/>
              </w:rPr>
            </w:pPr>
            <w:r>
              <w:rPr>
                <w:rFonts w:hint="eastAsia" w:ascii="宋体" w:hAnsi="宋体" w:cs="宋体"/>
                <w:color w:val="000000"/>
                <w:szCs w:val="21"/>
              </w:rPr>
              <w:t>账   号</w:t>
            </w:r>
          </w:p>
        </w:tc>
        <w:tc>
          <w:tcPr>
            <w:tcW w:w="7148" w:type="dxa"/>
            <w:gridSpan w:val="7"/>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2045" w:type="dxa"/>
            <w:vAlign w:val="center"/>
          </w:tcPr>
          <w:p>
            <w:pPr>
              <w:jc w:val="center"/>
              <w:rPr>
                <w:rFonts w:ascii="宋体" w:hAnsi="宋体" w:cs="宋体"/>
                <w:color w:val="000000"/>
                <w:szCs w:val="21"/>
              </w:rPr>
            </w:pPr>
            <w:r>
              <w:rPr>
                <w:rFonts w:hint="eastAsia" w:ascii="宋体" w:hAnsi="宋体" w:cs="宋体"/>
                <w:color w:val="000000"/>
                <w:szCs w:val="21"/>
              </w:rPr>
              <w:t>经营范围</w:t>
            </w:r>
          </w:p>
        </w:tc>
        <w:tc>
          <w:tcPr>
            <w:tcW w:w="7148" w:type="dxa"/>
            <w:gridSpan w:val="7"/>
            <w:vAlign w:val="center"/>
          </w:tcPr>
          <w:p>
            <w:pPr>
              <w:jc w:val="center"/>
              <w:rPr>
                <w:rFonts w:ascii="宋体" w:hAnsi="宋体" w:cs="宋体"/>
                <w:color w:val="000000"/>
                <w:szCs w:val="21"/>
              </w:rPr>
            </w:pPr>
          </w:p>
        </w:tc>
      </w:tr>
    </w:tbl>
    <w:p>
      <w:pPr>
        <w:rPr>
          <w:rFonts w:ascii="宋体" w:hAnsi="宋体" w:cs="宋体"/>
          <w:color w:val="000000"/>
          <w:szCs w:val="21"/>
        </w:rPr>
      </w:pPr>
      <w:r>
        <w:rPr>
          <w:rFonts w:hint="eastAsia" w:ascii="宋体" w:hAnsi="宋体" w:cs="宋体"/>
          <w:color w:val="000000"/>
          <w:szCs w:val="21"/>
        </w:rPr>
        <w:t>备注：本表后应附企业法人营业执照副本、开户证明文件等材料的复印件。</w:t>
      </w:r>
      <w:bookmarkStart w:id="946" w:name="_Toc152045813"/>
      <w:bookmarkStart w:id="947" w:name="_Toc179632833"/>
      <w:bookmarkStart w:id="948" w:name="_Toc144974881"/>
      <w:bookmarkStart w:id="949" w:name="_Toc152042602"/>
    </w:p>
    <w:p>
      <w:pPr>
        <w:pStyle w:val="4"/>
        <w:keepNext w:val="0"/>
        <w:keepLines w:val="0"/>
        <w:jc w:val="center"/>
        <w:rPr>
          <w:rFonts w:ascii="宋体" w:hAnsi="宋体" w:cs="宋体"/>
          <w:color w:val="000000"/>
        </w:rPr>
      </w:pPr>
      <w:bookmarkStart w:id="950" w:name="_Toc247527849"/>
      <w:bookmarkStart w:id="951" w:name="_Toc152045809"/>
      <w:bookmarkStart w:id="952" w:name="_Toc144974877"/>
      <w:bookmarkStart w:id="953" w:name="_Toc152042598"/>
      <w:bookmarkStart w:id="954" w:name="_Toc453756971"/>
      <w:bookmarkStart w:id="955" w:name="_Toc247514301"/>
      <w:bookmarkStart w:id="956" w:name="_Toc265953295"/>
    </w:p>
    <w:p>
      <w:pPr>
        <w:rPr>
          <w:rFonts w:ascii="宋体" w:hAnsi="宋体" w:cs="宋体"/>
          <w:color w:val="000000"/>
        </w:rPr>
      </w:pPr>
    </w:p>
    <w:p>
      <w:pPr>
        <w:pStyle w:val="19"/>
        <w:rPr>
          <w:rFonts w:hAnsi="宋体" w:cs="宋体"/>
          <w:color w:val="000000"/>
        </w:rPr>
      </w:pPr>
    </w:p>
    <w:p>
      <w:pPr>
        <w:pStyle w:val="19"/>
        <w:rPr>
          <w:rFonts w:hAnsi="宋体" w:cs="宋体"/>
          <w:color w:val="000000"/>
        </w:rPr>
      </w:pPr>
    </w:p>
    <w:p>
      <w:pPr>
        <w:pStyle w:val="19"/>
        <w:rPr>
          <w:rFonts w:hAnsi="宋体" w:cs="宋体"/>
          <w:color w:val="000000"/>
        </w:rPr>
      </w:pPr>
    </w:p>
    <w:p>
      <w:pPr>
        <w:pStyle w:val="19"/>
        <w:rPr>
          <w:rFonts w:hAnsi="宋体" w:cs="宋体"/>
          <w:color w:val="000000"/>
        </w:rPr>
      </w:pPr>
    </w:p>
    <w:p>
      <w:pPr>
        <w:pStyle w:val="19"/>
        <w:rPr>
          <w:rFonts w:hAnsi="宋体" w:cs="宋体"/>
          <w:color w:val="000000"/>
        </w:rPr>
      </w:pPr>
    </w:p>
    <w:p>
      <w:pPr>
        <w:pStyle w:val="19"/>
        <w:rPr>
          <w:rFonts w:hAnsi="宋体" w:cs="宋体"/>
          <w:color w:val="000000"/>
        </w:rPr>
      </w:pPr>
    </w:p>
    <w:p>
      <w:pPr>
        <w:pStyle w:val="4"/>
        <w:keepNext w:val="0"/>
        <w:keepLines w:val="0"/>
        <w:jc w:val="center"/>
        <w:rPr>
          <w:rFonts w:ascii="宋体" w:hAnsi="宋体" w:cs="宋体"/>
          <w:color w:val="000000"/>
        </w:rPr>
      </w:pPr>
      <w:bookmarkStart w:id="957" w:name="_Toc6615"/>
      <w:bookmarkStart w:id="958" w:name="_Toc21115"/>
      <w:bookmarkStart w:id="959" w:name="_Toc1521"/>
      <w:bookmarkStart w:id="960" w:name="_Toc18146"/>
      <w:r>
        <w:rPr>
          <w:rFonts w:hint="eastAsia" w:ascii="宋体" w:hAnsi="宋体" w:cs="宋体"/>
          <w:color w:val="000000"/>
        </w:rPr>
        <w:t>（二）投标单位财务、社保及纳税状况</w:t>
      </w:r>
      <w:bookmarkEnd w:id="950"/>
      <w:bookmarkEnd w:id="951"/>
      <w:bookmarkEnd w:id="952"/>
      <w:bookmarkEnd w:id="953"/>
      <w:bookmarkEnd w:id="954"/>
      <w:bookmarkEnd w:id="955"/>
      <w:bookmarkEnd w:id="956"/>
      <w:bookmarkEnd w:id="957"/>
      <w:bookmarkEnd w:id="958"/>
      <w:bookmarkEnd w:id="959"/>
      <w:bookmarkEnd w:id="960"/>
    </w:p>
    <w:p>
      <w:pPr>
        <w:spacing w:line="500" w:lineRule="exact"/>
        <w:ind w:firstLine="480" w:firstLineChars="200"/>
        <w:jc w:val="left"/>
        <w:rPr>
          <w:rFonts w:ascii="宋体" w:hAnsi="宋体" w:cs="宋体"/>
          <w:color w:val="000000"/>
          <w:sz w:val="24"/>
        </w:rPr>
      </w:pPr>
      <w:r>
        <w:rPr>
          <w:rFonts w:hint="eastAsia" w:ascii="宋体" w:hAnsi="宋体" w:cs="宋体"/>
          <w:color w:val="000000"/>
          <w:sz w:val="24"/>
        </w:rPr>
        <w:t xml:space="preserve">供应商应按照《长春市财政局关于加强政府采购信用体系建设简化供应商资格条件有关事项的通知》（长财采购〔2022〕2066号）文件要求，在投标文件中提交反映其财务状况、依法缴纳税收和社保保障资金情况的资格条件承诺函，并对资格条件承诺函有关内容的真实性、有效性、合法性负责。格式附后。 </w:t>
      </w:r>
    </w:p>
    <w:p>
      <w:pPr>
        <w:pStyle w:val="19"/>
        <w:rPr>
          <w:rFonts w:hAnsi="宋体" w:cs="宋体"/>
          <w:color w:val="000000"/>
          <w:sz w:val="24"/>
        </w:rPr>
      </w:pPr>
    </w:p>
    <w:p>
      <w:pPr>
        <w:pStyle w:val="19"/>
        <w:rPr>
          <w:rFonts w:hAnsi="宋体" w:cs="宋体"/>
          <w:color w:val="000000"/>
          <w:sz w:val="24"/>
        </w:rPr>
      </w:pPr>
    </w:p>
    <w:p>
      <w:pPr>
        <w:pStyle w:val="19"/>
        <w:rPr>
          <w:rFonts w:hAnsi="宋体" w:cs="宋体"/>
          <w:color w:val="000000"/>
          <w:sz w:val="24"/>
        </w:rPr>
      </w:pPr>
    </w:p>
    <w:p>
      <w:pPr>
        <w:pStyle w:val="19"/>
        <w:rPr>
          <w:rFonts w:hAnsi="宋体" w:cs="宋体"/>
          <w:color w:val="000000"/>
          <w:sz w:val="24"/>
        </w:rPr>
      </w:pPr>
    </w:p>
    <w:p>
      <w:pPr>
        <w:pStyle w:val="19"/>
        <w:rPr>
          <w:rFonts w:hAnsi="宋体" w:cs="宋体"/>
          <w:color w:val="000000"/>
          <w:sz w:val="24"/>
        </w:rPr>
      </w:pPr>
    </w:p>
    <w:p>
      <w:pPr>
        <w:pStyle w:val="19"/>
        <w:rPr>
          <w:rFonts w:hAnsi="宋体" w:cs="宋体"/>
          <w:color w:val="000000"/>
          <w:sz w:val="24"/>
        </w:rPr>
      </w:pPr>
    </w:p>
    <w:p>
      <w:pPr>
        <w:pStyle w:val="19"/>
        <w:rPr>
          <w:rFonts w:hAnsi="宋体" w:cs="宋体"/>
          <w:color w:val="000000"/>
          <w:sz w:val="24"/>
        </w:rPr>
      </w:pPr>
    </w:p>
    <w:p>
      <w:pPr>
        <w:pStyle w:val="19"/>
        <w:rPr>
          <w:rFonts w:hAnsi="宋体" w:cs="宋体"/>
          <w:color w:val="000000"/>
          <w:sz w:val="24"/>
        </w:rPr>
      </w:pPr>
    </w:p>
    <w:p>
      <w:pPr>
        <w:pStyle w:val="19"/>
        <w:rPr>
          <w:rFonts w:hAnsi="宋体" w:cs="宋体"/>
          <w:color w:val="000000"/>
          <w:sz w:val="24"/>
        </w:rPr>
      </w:pPr>
    </w:p>
    <w:p>
      <w:pPr>
        <w:pStyle w:val="19"/>
        <w:rPr>
          <w:rFonts w:hAnsi="宋体" w:cs="宋体"/>
          <w:color w:val="000000"/>
          <w:sz w:val="24"/>
        </w:rPr>
      </w:pPr>
    </w:p>
    <w:p>
      <w:pPr>
        <w:pStyle w:val="19"/>
        <w:rPr>
          <w:rFonts w:hAnsi="宋体" w:cs="宋体"/>
          <w:color w:val="000000"/>
          <w:sz w:val="24"/>
        </w:rPr>
      </w:pPr>
    </w:p>
    <w:p>
      <w:pPr>
        <w:pStyle w:val="19"/>
        <w:rPr>
          <w:rFonts w:hAnsi="宋体" w:cs="宋体"/>
          <w:color w:val="000000"/>
          <w:sz w:val="24"/>
        </w:rPr>
      </w:pPr>
    </w:p>
    <w:p>
      <w:pPr>
        <w:pStyle w:val="19"/>
        <w:rPr>
          <w:rFonts w:hAnsi="宋体" w:cs="宋体"/>
          <w:color w:val="000000"/>
          <w:sz w:val="24"/>
        </w:rPr>
      </w:pPr>
    </w:p>
    <w:p>
      <w:pPr>
        <w:pStyle w:val="19"/>
        <w:rPr>
          <w:rFonts w:hAnsi="宋体" w:cs="宋体"/>
          <w:color w:val="000000"/>
          <w:sz w:val="24"/>
        </w:rPr>
      </w:pPr>
    </w:p>
    <w:p>
      <w:pPr>
        <w:pStyle w:val="19"/>
        <w:rPr>
          <w:rFonts w:hAnsi="宋体" w:cs="宋体"/>
          <w:color w:val="000000"/>
          <w:sz w:val="24"/>
        </w:rPr>
      </w:pPr>
    </w:p>
    <w:p>
      <w:pPr>
        <w:pStyle w:val="19"/>
        <w:rPr>
          <w:rFonts w:hAnsi="宋体" w:cs="宋体"/>
          <w:color w:val="000000"/>
          <w:sz w:val="24"/>
        </w:rPr>
      </w:pPr>
    </w:p>
    <w:p>
      <w:pPr>
        <w:pStyle w:val="19"/>
        <w:rPr>
          <w:rFonts w:hAnsi="宋体" w:cs="宋体"/>
          <w:color w:val="000000"/>
          <w:sz w:val="24"/>
        </w:rPr>
      </w:pPr>
    </w:p>
    <w:p>
      <w:pPr>
        <w:pStyle w:val="19"/>
        <w:rPr>
          <w:rFonts w:hAnsi="宋体" w:cs="宋体"/>
          <w:color w:val="000000"/>
          <w:sz w:val="24"/>
        </w:rPr>
      </w:pPr>
    </w:p>
    <w:p>
      <w:pPr>
        <w:pStyle w:val="19"/>
        <w:rPr>
          <w:rFonts w:hAnsi="宋体" w:cs="宋体"/>
          <w:color w:val="000000"/>
          <w:sz w:val="24"/>
        </w:rPr>
      </w:pPr>
    </w:p>
    <w:p>
      <w:pPr>
        <w:pStyle w:val="19"/>
        <w:rPr>
          <w:rFonts w:hAnsi="宋体" w:cs="宋体"/>
          <w:color w:val="000000"/>
          <w:sz w:val="24"/>
        </w:rPr>
      </w:pPr>
    </w:p>
    <w:p>
      <w:pPr>
        <w:topLinePunct/>
        <w:spacing w:line="440" w:lineRule="exact"/>
        <w:jc w:val="center"/>
        <w:rPr>
          <w:rFonts w:ascii="宋体" w:hAnsi="宋体" w:cs="宋体"/>
          <w:color w:val="000000"/>
          <w:sz w:val="20"/>
          <w:szCs w:val="20"/>
        </w:rPr>
      </w:pPr>
    </w:p>
    <w:p>
      <w:pPr>
        <w:spacing w:line="440" w:lineRule="exact"/>
        <w:rPr>
          <w:rFonts w:ascii="宋体" w:hAnsi="宋体" w:cs="宋体"/>
          <w:color w:val="000000"/>
          <w:sz w:val="20"/>
          <w:szCs w:val="20"/>
        </w:rPr>
      </w:pPr>
    </w:p>
    <w:p>
      <w:pPr>
        <w:spacing w:line="440" w:lineRule="exact"/>
        <w:rPr>
          <w:rFonts w:ascii="宋体" w:hAnsi="宋体" w:cs="宋体"/>
          <w:color w:val="000000"/>
          <w:sz w:val="20"/>
          <w:szCs w:val="20"/>
        </w:rPr>
      </w:pPr>
    </w:p>
    <w:p>
      <w:pPr>
        <w:spacing w:line="440" w:lineRule="exact"/>
        <w:rPr>
          <w:rFonts w:ascii="宋体" w:hAnsi="宋体" w:cs="宋体"/>
          <w:color w:val="000000"/>
          <w:sz w:val="20"/>
          <w:szCs w:val="20"/>
        </w:rPr>
      </w:pPr>
    </w:p>
    <w:p>
      <w:pPr>
        <w:spacing w:line="440" w:lineRule="exact"/>
        <w:rPr>
          <w:rFonts w:ascii="宋体" w:hAnsi="宋体" w:cs="宋体"/>
          <w:color w:val="000000"/>
          <w:sz w:val="20"/>
          <w:szCs w:val="20"/>
        </w:rPr>
      </w:pPr>
    </w:p>
    <w:p>
      <w:pPr>
        <w:spacing w:line="440" w:lineRule="exact"/>
        <w:rPr>
          <w:rFonts w:ascii="宋体" w:hAnsi="宋体" w:cs="宋体"/>
          <w:color w:val="000000"/>
          <w:sz w:val="20"/>
          <w:szCs w:val="20"/>
        </w:rPr>
      </w:pPr>
    </w:p>
    <w:p>
      <w:pPr>
        <w:spacing w:line="440" w:lineRule="exact"/>
        <w:rPr>
          <w:rFonts w:ascii="宋体" w:hAnsi="宋体" w:cs="宋体"/>
          <w:color w:val="000000"/>
          <w:sz w:val="20"/>
          <w:szCs w:val="20"/>
        </w:rPr>
      </w:pPr>
    </w:p>
    <w:p>
      <w:pPr>
        <w:spacing w:line="440" w:lineRule="exact"/>
        <w:rPr>
          <w:rFonts w:ascii="宋体" w:hAnsi="宋体" w:cs="宋体"/>
          <w:color w:val="000000"/>
          <w:sz w:val="20"/>
          <w:szCs w:val="20"/>
        </w:rPr>
      </w:pPr>
    </w:p>
    <w:p>
      <w:pPr>
        <w:pStyle w:val="19"/>
        <w:rPr>
          <w:rFonts w:hAnsi="宋体" w:cs="宋体"/>
          <w:color w:val="000000"/>
        </w:rPr>
      </w:pPr>
    </w:p>
    <w:p>
      <w:pPr>
        <w:spacing w:line="440" w:lineRule="exact"/>
        <w:rPr>
          <w:rFonts w:ascii="宋体" w:hAnsi="宋体" w:cs="宋体"/>
          <w:color w:val="000000"/>
          <w:sz w:val="23"/>
          <w:szCs w:val="23"/>
        </w:rPr>
      </w:pPr>
    </w:p>
    <w:p>
      <w:pPr>
        <w:pStyle w:val="4"/>
        <w:keepNext w:val="0"/>
        <w:keepLines w:val="0"/>
        <w:jc w:val="center"/>
        <w:rPr>
          <w:rFonts w:ascii="宋体" w:hAnsi="宋体" w:cs="宋体"/>
          <w:color w:val="000000"/>
        </w:rPr>
      </w:pPr>
      <w:bookmarkStart w:id="961" w:name="_Toc453756972"/>
      <w:bookmarkStart w:id="962" w:name="_Toc26362"/>
      <w:bookmarkStart w:id="963" w:name="_Toc152042599"/>
      <w:bookmarkStart w:id="964" w:name="_Toc265953296"/>
      <w:bookmarkStart w:id="965" w:name="_Toc7575"/>
      <w:bookmarkStart w:id="966" w:name="_Toc29493"/>
      <w:bookmarkStart w:id="967" w:name="_Toc247527850"/>
      <w:bookmarkStart w:id="968" w:name="_Toc29082"/>
      <w:bookmarkStart w:id="969" w:name="_Toc247514302"/>
      <w:bookmarkStart w:id="970" w:name="_Toc152045810"/>
      <w:bookmarkStart w:id="971" w:name="_Toc144974878"/>
      <w:r>
        <w:rPr>
          <w:rFonts w:hint="eastAsia" w:ascii="宋体" w:hAnsi="宋体" w:cs="宋体"/>
          <w:color w:val="000000"/>
        </w:rPr>
        <w:t>资格条件承诺函</w:t>
      </w:r>
    </w:p>
    <w:p>
      <w:pPr>
        <w:spacing w:line="500" w:lineRule="exact"/>
        <w:ind w:firstLine="480" w:firstLineChars="200"/>
        <w:jc w:val="left"/>
        <w:rPr>
          <w:rFonts w:ascii="宋体" w:hAnsi="宋体" w:cs="宋体"/>
          <w:color w:val="000000"/>
          <w:sz w:val="24"/>
        </w:rPr>
      </w:pPr>
      <w:r>
        <w:rPr>
          <w:rFonts w:hint="eastAsia" w:ascii="宋体" w:hAnsi="宋体" w:cs="宋体"/>
          <w:color w:val="000000"/>
          <w:sz w:val="24"/>
        </w:rPr>
        <w:t>致：</w:t>
      </w:r>
      <w:r>
        <w:rPr>
          <w:rFonts w:hint="eastAsia" w:ascii="宋体" w:hAnsi="宋体" w:cs="宋体"/>
          <w:color w:val="000000"/>
          <w:sz w:val="24"/>
          <w:u w:val="single"/>
        </w:rPr>
        <w:t xml:space="preserve">   （采购人、采购代理机构 ）  </w:t>
      </w:r>
      <w:r>
        <w:rPr>
          <w:rFonts w:hint="eastAsia" w:ascii="宋体" w:hAnsi="宋体" w:cs="宋体"/>
          <w:color w:val="000000"/>
          <w:sz w:val="24"/>
        </w:rPr>
        <w:t xml:space="preserve"> ：</w:t>
      </w:r>
    </w:p>
    <w:p>
      <w:pPr>
        <w:spacing w:line="500" w:lineRule="exact"/>
        <w:ind w:firstLine="480" w:firstLineChars="200"/>
        <w:jc w:val="left"/>
        <w:rPr>
          <w:rFonts w:ascii="宋体" w:hAnsi="宋体" w:cs="宋体"/>
          <w:color w:val="000000"/>
          <w:sz w:val="24"/>
        </w:rPr>
      </w:pPr>
      <w:r>
        <w:rPr>
          <w:rFonts w:hint="eastAsia" w:ascii="宋体" w:hAnsi="宋体" w:cs="宋体"/>
          <w:color w:val="000000"/>
          <w:sz w:val="24"/>
        </w:rPr>
        <w:t>我单位（公司）参与</w:t>
      </w:r>
      <w:r>
        <w:rPr>
          <w:rFonts w:hint="eastAsia" w:ascii="宋体" w:hAnsi="宋体" w:cs="宋体"/>
          <w:color w:val="000000"/>
          <w:sz w:val="24"/>
          <w:u w:val="single"/>
        </w:rPr>
        <w:t xml:space="preserve">   （采购项目名称 项目编号）  </w:t>
      </w:r>
      <w:r>
        <w:rPr>
          <w:rFonts w:hint="eastAsia" w:ascii="宋体" w:hAnsi="宋体" w:cs="宋体"/>
          <w:color w:val="000000"/>
          <w:sz w:val="24"/>
        </w:rPr>
        <w:t>采购项目的政府采购活动，现承诺如下：</w:t>
      </w:r>
    </w:p>
    <w:p>
      <w:pPr>
        <w:spacing w:line="500" w:lineRule="exact"/>
        <w:ind w:firstLine="480" w:firstLineChars="200"/>
        <w:jc w:val="left"/>
        <w:rPr>
          <w:rFonts w:ascii="宋体" w:hAnsi="宋体" w:cs="宋体"/>
          <w:color w:val="000000"/>
          <w:sz w:val="24"/>
        </w:rPr>
      </w:pPr>
      <w:r>
        <w:rPr>
          <w:rFonts w:hint="eastAsia" w:ascii="宋体" w:hAnsi="宋体" w:cs="宋体"/>
          <w:color w:val="000000"/>
          <w:sz w:val="24"/>
        </w:rPr>
        <w:t>1. 具有良好的商业信誉和健全的财务会计制度；</w:t>
      </w:r>
    </w:p>
    <w:p>
      <w:pPr>
        <w:spacing w:line="500" w:lineRule="exact"/>
        <w:ind w:firstLine="480" w:firstLineChars="200"/>
        <w:jc w:val="left"/>
        <w:rPr>
          <w:rFonts w:ascii="宋体" w:hAnsi="宋体" w:cs="宋体"/>
          <w:color w:val="000000"/>
          <w:sz w:val="24"/>
        </w:rPr>
      </w:pPr>
      <w:r>
        <w:rPr>
          <w:rFonts w:hint="eastAsia" w:ascii="宋体" w:hAnsi="宋体" w:cs="宋体"/>
          <w:color w:val="000000"/>
          <w:sz w:val="24"/>
        </w:rPr>
        <w:t>2. 具有依法缴纳税收的良好记录；</w:t>
      </w:r>
    </w:p>
    <w:p>
      <w:pPr>
        <w:spacing w:line="500" w:lineRule="exact"/>
        <w:ind w:firstLine="480" w:firstLineChars="200"/>
        <w:jc w:val="left"/>
        <w:rPr>
          <w:rFonts w:ascii="宋体" w:hAnsi="宋体" w:cs="宋体"/>
          <w:color w:val="000000"/>
          <w:sz w:val="24"/>
        </w:rPr>
      </w:pPr>
      <w:r>
        <w:rPr>
          <w:rFonts w:hint="eastAsia" w:ascii="宋体" w:hAnsi="宋体" w:cs="宋体"/>
          <w:color w:val="000000"/>
          <w:sz w:val="24"/>
        </w:rPr>
        <w:t>3.具有依法缴纳社会保障金的良好记录。</w:t>
      </w:r>
    </w:p>
    <w:p>
      <w:pPr>
        <w:spacing w:line="500" w:lineRule="exact"/>
        <w:ind w:firstLine="480" w:firstLineChars="200"/>
        <w:jc w:val="left"/>
        <w:rPr>
          <w:rFonts w:ascii="宋体" w:hAnsi="宋体" w:cs="宋体"/>
          <w:color w:val="000000"/>
          <w:sz w:val="24"/>
        </w:rPr>
      </w:pPr>
      <w:r>
        <w:rPr>
          <w:rFonts w:hint="eastAsia" w:ascii="宋体" w:hAnsi="宋体" w:cs="宋体"/>
          <w:color w:val="000000"/>
          <w:sz w:val="24"/>
        </w:rPr>
        <w:t>我方在采购项目评审（评标）环节结束后，随时接受采购人、采购代理机构的检查验证，配合提供相关证明材料，证明符合《中华人民共和国政府采购法》规定的供应商基本资格条件。</w:t>
      </w:r>
    </w:p>
    <w:p>
      <w:pPr>
        <w:spacing w:line="500" w:lineRule="exact"/>
        <w:ind w:firstLine="480" w:firstLineChars="200"/>
        <w:jc w:val="left"/>
        <w:rPr>
          <w:rFonts w:ascii="宋体" w:hAnsi="宋体" w:cs="宋体"/>
          <w:color w:val="000000"/>
          <w:sz w:val="24"/>
        </w:rPr>
      </w:pPr>
      <w:r>
        <w:rPr>
          <w:rFonts w:hint="eastAsia" w:ascii="宋体" w:hAnsi="宋体" w:cs="宋体"/>
          <w:color w:val="000000"/>
          <w:sz w:val="24"/>
        </w:rPr>
        <w:t>我单位（公司）对上述承诺的真实性负责。如有虚假，将依法承担相应责任。</w:t>
      </w:r>
    </w:p>
    <w:p>
      <w:pPr>
        <w:spacing w:line="500" w:lineRule="exact"/>
        <w:ind w:firstLine="480" w:firstLineChars="200"/>
        <w:jc w:val="left"/>
        <w:rPr>
          <w:rFonts w:ascii="宋体" w:hAnsi="宋体" w:cs="宋体"/>
          <w:color w:val="000000"/>
          <w:sz w:val="24"/>
        </w:rPr>
      </w:pPr>
      <w:r>
        <w:rPr>
          <w:rFonts w:hint="eastAsia" w:ascii="宋体" w:hAnsi="宋体" w:cs="宋体"/>
          <w:color w:val="000000"/>
          <w:sz w:val="24"/>
        </w:rPr>
        <w:t>特此承诺。</w:t>
      </w:r>
    </w:p>
    <w:p>
      <w:pPr>
        <w:spacing w:line="500" w:lineRule="exact"/>
        <w:ind w:firstLine="480" w:firstLineChars="200"/>
        <w:jc w:val="right"/>
        <w:rPr>
          <w:rFonts w:ascii="宋体" w:hAnsi="宋体" w:cs="宋体"/>
          <w:color w:val="000000"/>
          <w:sz w:val="24"/>
        </w:rPr>
      </w:pPr>
    </w:p>
    <w:p>
      <w:pPr>
        <w:spacing w:line="500" w:lineRule="exact"/>
        <w:ind w:firstLine="480" w:firstLineChars="200"/>
        <w:jc w:val="right"/>
        <w:rPr>
          <w:rFonts w:ascii="宋体" w:hAnsi="宋体" w:cs="宋体"/>
          <w:color w:val="000000"/>
          <w:sz w:val="24"/>
        </w:rPr>
      </w:pPr>
    </w:p>
    <w:p>
      <w:pPr>
        <w:spacing w:line="500" w:lineRule="exact"/>
        <w:ind w:firstLine="480" w:firstLineChars="200"/>
        <w:jc w:val="center"/>
        <w:rPr>
          <w:rFonts w:ascii="宋体" w:hAnsi="宋体" w:cs="宋体"/>
          <w:color w:val="000000"/>
          <w:sz w:val="24"/>
        </w:rPr>
      </w:pPr>
      <w:r>
        <w:rPr>
          <w:rFonts w:hint="eastAsia" w:ascii="宋体" w:hAnsi="宋体" w:cs="宋体"/>
          <w:color w:val="000000"/>
          <w:sz w:val="24"/>
        </w:rPr>
        <w:t>盖章：</w:t>
      </w:r>
    </w:p>
    <w:p>
      <w:pPr>
        <w:spacing w:line="500" w:lineRule="exact"/>
        <w:ind w:firstLine="480" w:firstLineChars="200"/>
        <w:jc w:val="center"/>
        <w:rPr>
          <w:rFonts w:ascii="宋体" w:hAnsi="宋体" w:cs="宋体"/>
          <w:color w:val="000000"/>
          <w:sz w:val="24"/>
        </w:rPr>
      </w:pPr>
      <w:r>
        <w:rPr>
          <w:rFonts w:hint="eastAsia" w:ascii="宋体" w:hAnsi="宋体" w:cs="宋体"/>
          <w:color w:val="000000"/>
          <w:sz w:val="24"/>
        </w:rPr>
        <w:t>签字：</w:t>
      </w:r>
    </w:p>
    <w:p>
      <w:pPr>
        <w:spacing w:line="500" w:lineRule="exact"/>
        <w:ind w:firstLine="480" w:firstLineChars="200"/>
        <w:jc w:val="center"/>
        <w:rPr>
          <w:rFonts w:ascii="宋体" w:hAnsi="宋体" w:cs="宋体"/>
          <w:color w:val="000000"/>
          <w:sz w:val="24"/>
        </w:rPr>
      </w:pPr>
      <w:r>
        <w:rPr>
          <w:rFonts w:hint="eastAsia" w:ascii="宋体" w:hAnsi="宋体" w:cs="宋体"/>
          <w:color w:val="000000"/>
          <w:sz w:val="24"/>
        </w:rPr>
        <w:t>日期：</w:t>
      </w:r>
    </w:p>
    <w:p>
      <w:pPr>
        <w:pStyle w:val="4"/>
        <w:keepNext w:val="0"/>
        <w:keepLines w:val="0"/>
        <w:jc w:val="right"/>
        <w:rPr>
          <w:rFonts w:ascii="宋体" w:hAnsi="宋体" w:cs="宋体"/>
          <w:b w:val="0"/>
          <w:bCs w:val="0"/>
          <w:color w:val="000000"/>
          <w:sz w:val="24"/>
          <w:szCs w:val="24"/>
        </w:rPr>
      </w:pPr>
    </w:p>
    <w:p>
      <w:pPr>
        <w:pStyle w:val="4"/>
        <w:keepNext w:val="0"/>
        <w:keepLines w:val="0"/>
        <w:jc w:val="right"/>
        <w:rPr>
          <w:rFonts w:ascii="宋体" w:hAnsi="宋体" w:cs="宋体"/>
          <w:b w:val="0"/>
          <w:bCs w:val="0"/>
          <w:color w:val="000000"/>
          <w:sz w:val="24"/>
          <w:szCs w:val="24"/>
        </w:rPr>
      </w:pPr>
    </w:p>
    <w:p>
      <w:pPr>
        <w:pStyle w:val="4"/>
        <w:keepNext w:val="0"/>
        <w:keepLines w:val="0"/>
        <w:jc w:val="right"/>
        <w:rPr>
          <w:rFonts w:ascii="宋体" w:hAnsi="宋体" w:cs="宋体"/>
          <w:b w:val="0"/>
          <w:bCs w:val="0"/>
          <w:color w:val="000000"/>
          <w:sz w:val="24"/>
          <w:szCs w:val="24"/>
        </w:rPr>
      </w:pPr>
    </w:p>
    <w:p>
      <w:pPr>
        <w:pStyle w:val="4"/>
        <w:keepNext w:val="0"/>
        <w:keepLines w:val="0"/>
        <w:jc w:val="right"/>
        <w:rPr>
          <w:rFonts w:ascii="宋体" w:hAnsi="宋体" w:cs="宋体"/>
          <w:b w:val="0"/>
          <w:bCs w:val="0"/>
          <w:color w:val="000000"/>
          <w:sz w:val="24"/>
          <w:szCs w:val="24"/>
        </w:rPr>
      </w:pPr>
    </w:p>
    <w:p>
      <w:pPr>
        <w:pStyle w:val="4"/>
        <w:keepNext w:val="0"/>
        <w:keepLines w:val="0"/>
        <w:jc w:val="right"/>
        <w:rPr>
          <w:rFonts w:ascii="宋体" w:hAnsi="宋体" w:cs="宋体"/>
          <w:b w:val="0"/>
          <w:bCs w:val="0"/>
          <w:color w:val="000000"/>
          <w:sz w:val="24"/>
          <w:szCs w:val="24"/>
        </w:rPr>
      </w:pPr>
    </w:p>
    <w:p>
      <w:pPr>
        <w:pStyle w:val="4"/>
        <w:keepNext w:val="0"/>
        <w:keepLines w:val="0"/>
        <w:rPr>
          <w:rFonts w:ascii="宋体" w:hAnsi="宋体" w:cs="宋体"/>
          <w:b w:val="0"/>
          <w:bCs w:val="0"/>
          <w:color w:val="000000"/>
          <w:sz w:val="24"/>
          <w:szCs w:val="24"/>
        </w:rPr>
      </w:pPr>
    </w:p>
    <w:p>
      <w:pPr>
        <w:pStyle w:val="4"/>
        <w:keepNext w:val="0"/>
        <w:keepLines w:val="0"/>
        <w:jc w:val="center"/>
        <w:rPr>
          <w:rFonts w:ascii="宋体" w:hAnsi="宋体" w:cs="宋体"/>
          <w:color w:val="000000"/>
        </w:rPr>
      </w:pPr>
      <w:r>
        <w:rPr>
          <w:rFonts w:hint="eastAsia" w:ascii="宋体" w:hAnsi="宋体" w:cs="宋体"/>
          <w:color w:val="000000"/>
        </w:rPr>
        <w:t>（三）近年完成的类似项目情况表</w:t>
      </w:r>
      <w:bookmarkEnd w:id="961"/>
      <w:bookmarkEnd w:id="962"/>
      <w:bookmarkEnd w:id="963"/>
      <w:bookmarkEnd w:id="964"/>
      <w:bookmarkEnd w:id="965"/>
      <w:bookmarkEnd w:id="966"/>
      <w:bookmarkEnd w:id="967"/>
      <w:bookmarkEnd w:id="968"/>
      <w:bookmarkEnd w:id="969"/>
      <w:bookmarkEnd w:id="970"/>
      <w:bookmarkEnd w:id="971"/>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8"/>
        <w:gridCol w:w="6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pPr>
              <w:jc w:val="center"/>
              <w:rPr>
                <w:rFonts w:ascii="宋体" w:hAnsi="宋体" w:cs="宋体"/>
                <w:color w:val="000000"/>
                <w:szCs w:val="21"/>
              </w:rPr>
            </w:pPr>
            <w:bookmarkStart w:id="972" w:name="_Toc453756973"/>
            <w:bookmarkStart w:id="973" w:name="_Toc265953297"/>
            <w:bookmarkStart w:id="974" w:name="_Toc152042600"/>
            <w:bookmarkStart w:id="975" w:name="_Toc247527851"/>
            <w:bookmarkStart w:id="976" w:name="_Toc144974879"/>
            <w:bookmarkStart w:id="977" w:name="_Toc152045811"/>
            <w:bookmarkStart w:id="978" w:name="_Toc247514303"/>
            <w:r>
              <w:rPr>
                <w:rFonts w:hint="eastAsia" w:ascii="宋体" w:hAnsi="宋体" w:cs="宋体"/>
                <w:color w:val="000000"/>
                <w:szCs w:val="21"/>
              </w:rPr>
              <w:t>采购人</w:t>
            </w:r>
          </w:p>
        </w:tc>
        <w:tc>
          <w:tcPr>
            <w:tcW w:w="6254" w:type="dxa"/>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pPr>
              <w:jc w:val="center"/>
              <w:rPr>
                <w:rFonts w:ascii="宋体" w:hAnsi="宋体" w:cs="宋体"/>
                <w:color w:val="000000"/>
                <w:szCs w:val="21"/>
              </w:rPr>
            </w:pPr>
            <w:r>
              <w:rPr>
                <w:rFonts w:hint="eastAsia" w:ascii="宋体" w:hAnsi="宋体" w:cs="宋体"/>
                <w:color w:val="000000"/>
                <w:szCs w:val="21"/>
              </w:rPr>
              <w:t>项目名称</w:t>
            </w:r>
          </w:p>
        </w:tc>
        <w:tc>
          <w:tcPr>
            <w:tcW w:w="6254" w:type="dxa"/>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pPr>
              <w:jc w:val="center"/>
              <w:rPr>
                <w:rFonts w:ascii="宋体" w:hAnsi="宋体" w:cs="宋体"/>
                <w:color w:val="000000"/>
                <w:szCs w:val="21"/>
              </w:rPr>
            </w:pPr>
            <w:r>
              <w:rPr>
                <w:rFonts w:hint="eastAsia" w:ascii="宋体" w:hAnsi="宋体" w:cs="宋体"/>
                <w:color w:val="000000"/>
                <w:szCs w:val="21"/>
              </w:rPr>
              <w:t>合同金额</w:t>
            </w:r>
          </w:p>
        </w:tc>
        <w:tc>
          <w:tcPr>
            <w:tcW w:w="6254" w:type="dxa"/>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pPr>
              <w:jc w:val="center"/>
              <w:rPr>
                <w:rFonts w:ascii="宋体" w:hAnsi="宋体" w:cs="宋体"/>
                <w:color w:val="000000"/>
                <w:szCs w:val="21"/>
              </w:rPr>
            </w:pPr>
            <w:r>
              <w:rPr>
                <w:rFonts w:hint="eastAsia" w:ascii="宋体" w:hAnsi="宋体" w:cs="宋体"/>
                <w:color w:val="000000"/>
                <w:szCs w:val="21"/>
              </w:rPr>
              <w:t>完 成 日 期</w:t>
            </w:r>
          </w:p>
          <w:p>
            <w:pPr>
              <w:jc w:val="center"/>
              <w:rPr>
                <w:rFonts w:ascii="宋体" w:hAnsi="宋体" w:cs="宋体"/>
                <w:color w:val="000000"/>
                <w:szCs w:val="21"/>
              </w:rPr>
            </w:pPr>
            <w:r>
              <w:rPr>
                <w:rFonts w:hint="eastAsia" w:ascii="宋体" w:hAnsi="宋体" w:cs="宋体"/>
                <w:color w:val="000000"/>
                <w:szCs w:val="21"/>
              </w:rPr>
              <w:t>（年/月/日）</w:t>
            </w:r>
          </w:p>
        </w:tc>
        <w:tc>
          <w:tcPr>
            <w:tcW w:w="6254" w:type="dxa"/>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pPr>
              <w:jc w:val="center"/>
              <w:rPr>
                <w:rFonts w:ascii="宋体" w:hAnsi="宋体" w:cs="宋体"/>
                <w:color w:val="000000"/>
                <w:szCs w:val="21"/>
              </w:rPr>
            </w:pPr>
            <w:r>
              <w:rPr>
                <w:rFonts w:hint="eastAsia" w:ascii="宋体" w:hAnsi="宋体" w:cs="宋体"/>
                <w:color w:val="000000"/>
                <w:szCs w:val="21"/>
              </w:rPr>
              <w:t>……</w:t>
            </w:r>
          </w:p>
        </w:tc>
        <w:tc>
          <w:tcPr>
            <w:tcW w:w="6254" w:type="dxa"/>
            <w:vAlign w:val="center"/>
          </w:tcPr>
          <w:p>
            <w:pPr>
              <w:jc w:val="center"/>
              <w:rPr>
                <w:rFonts w:ascii="宋体" w:hAnsi="宋体" w:cs="宋体"/>
                <w:color w:val="000000"/>
                <w:szCs w:val="21"/>
              </w:rPr>
            </w:pPr>
          </w:p>
        </w:tc>
      </w:tr>
    </w:tbl>
    <w:p>
      <w:pPr>
        <w:spacing w:line="440" w:lineRule="exact"/>
        <w:ind w:left="258" w:leftChars="123"/>
        <w:rPr>
          <w:rFonts w:ascii="宋体" w:hAnsi="宋体" w:cs="宋体"/>
          <w:color w:val="000000"/>
          <w:szCs w:val="21"/>
        </w:rPr>
      </w:pPr>
      <w:r>
        <w:rPr>
          <w:rFonts w:hint="eastAsia" w:ascii="宋体" w:hAnsi="宋体" w:cs="宋体"/>
          <w:color w:val="000000"/>
          <w:szCs w:val="21"/>
        </w:rPr>
        <w:t>备注：本表后附加盖公章的合同复印件，具体年份要求见投标人须知前附表。每张表格只填写一个项目，并标明序号。</w:t>
      </w:r>
    </w:p>
    <w:p>
      <w:pPr>
        <w:pStyle w:val="57"/>
        <w:rPr>
          <w:rFonts w:hAnsi="宋体"/>
          <w:szCs w:val="21"/>
        </w:rPr>
      </w:pPr>
    </w:p>
    <w:p>
      <w:pPr>
        <w:pStyle w:val="25"/>
        <w:rPr>
          <w:rFonts w:ascii="宋体" w:hAnsi="宋体" w:cs="宋体"/>
          <w:color w:val="000000"/>
          <w:szCs w:val="21"/>
        </w:rPr>
      </w:pPr>
    </w:p>
    <w:p>
      <w:pPr>
        <w:rPr>
          <w:rFonts w:ascii="宋体" w:hAnsi="宋体" w:cs="宋体"/>
          <w:color w:val="000000"/>
          <w:szCs w:val="21"/>
        </w:rPr>
      </w:pPr>
    </w:p>
    <w:p>
      <w:pPr>
        <w:pStyle w:val="57"/>
        <w:rPr>
          <w:rFonts w:hAnsi="宋体"/>
        </w:rPr>
      </w:pPr>
    </w:p>
    <w:p>
      <w:pPr>
        <w:pStyle w:val="25"/>
        <w:rPr>
          <w:rFonts w:ascii="宋体" w:hAnsi="宋体" w:cs="宋体"/>
          <w:color w:val="000000"/>
        </w:rPr>
      </w:pPr>
    </w:p>
    <w:p>
      <w:pPr>
        <w:rPr>
          <w:rFonts w:ascii="宋体" w:hAnsi="宋体" w:cs="宋体"/>
          <w:color w:val="000000"/>
        </w:rPr>
      </w:pPr>
    </w:p>
    <w:p>
      <w:pPr>
        <w:pStyle w:val="19"/>
        <w:rPr>
          <w:rFonts w:hAnsi="宋体" w:cs="宋体"/>
          <w:color w:val="000000"/>
        </w:rPr>
      </w:pPr>
    </w:p>
    <w:p>
      <w:pPr>
        <w:pStyle w:val="19"/>
        <w:rPr>
          <w:rFonts w:hAnsi="宋体" w:cs="宋体"/>
          <w:color w:val="000000"/>
        </w:rPr>
      </w:pPr>
    </w:p>
    <w:p>
      <w:pPr>
        <w:pStyle w:val="19"/>
        <w:rPr>
          <w:rFonts w:hAnsi="宋体" w:cs="宋体"/>
          <w:color w:val="000000"/>
        </w:rPr>
      </w:pPr>
    </w:p>
    <w:p>
      <w:pPr>
        <w:pStyle w:val="19"/>
        <w:rPr>
          <w:rFonts w:hAnsi="宋体" w:cs="宋体"/>
          <w:color w:val="000000"/>
        </w:rPr>
      </w:pPr>
    </w:p>
    <w:p>
      <w:pPr>
        <w:pStyle w:val="19"/>
        <w:rPr>
          <w:rFonts w:hAnsi="宋体" w:cs="宋体"/>
          <w:color w:val="000000"/>
        </w:rPr>
      </w:pPr>
    </w:p>
    <w:p>
      <w:pPr>
        <w:pStyle w:val="19"/>
        <w:rPr>
          <w:rFonts w:hAnsi="宋体" w:cs="宋体"/>
          <w:color w:val="000000"/>
        </w:rPr>
      </w:pPr>
    </w:p>
    <w:p>
      <w:pPr>
        <w:pStyle w:val="19"/>
        <w:rPr>
          <w:rFonts w:hAnsi="宋体" w:cs="宋体"/>
          <w:color w:val="000000"/>
        </w:rPr>
      </w:pPr>
    </w:p>
    <w:p>
      <w:pPr>
        <w:pStyle w:val="19"/>
        <w:rPr>
          <w:rFonts w:hAnsi="宋体" w:cs="宋体"/>
          <w:color w:val="000000"/>
        </w:rPr>
      </w:pPr>
    </w:p>
    <w:p>
      <w:pPr>
        <w:pStyle w:val="19"/>
        <w:rPr>
          <w:rFonts w:hAnsi="宋体" w:cs="宋体"/>
          <w:color w:val="000000"/>
        </w:rPr>
      </w:pPr>
    </w:p>
    <w:p>
      <w:pPr>
        <w:pStyle w:val="19"/>
        <w:rPr>
          <w:rFonts w:hAnsi="宋体" w:cs="宋体"/>
          <w:color w:val="000000"/>
        </w:rPr>
      </w:pPr>
    </w:p>
    <w:p>
      <w:pPr>
        <w:pStyle w:val="19"/>
        <w:rPr>
          <w:rFonts w:hAnsi="宋体" w:cs="宋体"/>
          <w:color w:val="000000"/>
        </w:rPr>
      </w:pPr>
    </w:p>
    <w:p>
      <w:pPr>
        <w:pStyle w:val="19"/>
        <w:rPr>
          <w:rFonts w:hAnsi="宋体" w:cs="宋体"/>
          <w:color w:val="000000"/>
        </w:rPr>
      </w:pPr>
    </w:p>
    <w:p>
      <w:pPr>
        <w:pStyle w:val="19"/>
        <w:rPr>
          <w:rFonts w:hAnsi="宋体" w:cs="宋体"/>
          <w:color w:val="000000"/>
        </w:rPr>
      </w:pPr>
    </w:p>
    <w:p>
      <w:pPr>
        <w:pStyle w:val="4"/>
        <w:keepNext w:val="0"/>
        <w:keepLines w:val="0"/>
        <w:jc w:val="center"/>
        <w:rPr>
          <w:rFonts w:ascii="宋体" w:hAnsi="宋体" w:cs="宋体"/>
          <w:color w:val="000000"/>
        </w:rPr>
      </w:pPr>
      <w:bookmarkStart w:id="979" w:name="_Toc12258"/>
      <w:bookmarkStart w:id="980" w:name="_Toc19165"/>
      <w:bookmarkStart w:id="981" w:name="_Toc29254"/>
      <w:bookmarkStart w:id="982" w:name="_Toc13393"/>
      <w:r>
        <w:rPr>
          <w:rFonts w:hint="eastAsia" w:ascii="宋体" w:hAnsi="宋体" w:cs="宋体"/>
          <w:color w:val="000000"/>
        </w:rPr>
        <w:t>（四）正在实施的和新承接的项目情况表</w:t>
      </w:r>
      <w:bookmarkEnd w:id="972"/>
      <w:bookmarkEnd w:id="973"/>
      <w:bookmarkEnd w:id="974"/>
      <w:bookmarkEnd w:id="975"/>
      <w:bookmarkEnd w:id="976"/>
      <w:bookmarkEnd w:id="977"/>
      <w:bookmarkEnd w:id="978"/>
      <w:bookmarkEnd w:id="979"/>
      <w:bookmarkEnd w:id="980"/>
      <w:bookmarkEnd w:id="981"/>
      <w:bookmarkEnd w:id="982"/>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8"/>
        <w:gridCol w:w="6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pPr>
              <w:jc w:val="center"/>
              <w:rPr>
                <w:rFonts w:ascii="宋体" w:hAnsi="宋体" w:cs="宋体"/>
                <w:color w:val="000000"/>
                <w:szCs w:val="21"/>
              </w:rPr>
            </w:pPr>
            <w:r>
              <w:rPr>
                <w:rFonts w:hint="eastAsia" w:ascii="宋体" w:hAnsi="宋体" w:cs="宋体"/>
                <w:color w:val="000000"/>
                <w:szCs w:val="21"/>
              </w:rPr>
              <w:t>采购人</w:t>
            </w:r>
          </w:p>
        </w:tc>
        <w:tc>
          <w:tcPr>
            <w:tcW w:w="6254" w:type="dxa"/>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pPr>
              <w:jc w:val="center"/>
              <w:rPr>
                <w:rFonts w:ascii="宋体" w:hAnsi="宋体" w:cs="宋体"/>
                <w:color w:val="000000"/>
                <w:szCs w:val="21"/>
              </w:rPr>
            </w:pPr>
            <w:r>
              <w:rPr>
                <w:rFonts w:hint="eastAsia" w:ascii="宋体" w:hAnsi="宋体" w:cs="宋体"/>
                <w:color w:val="000000"/>
                <w:szCs w:val="21"/>
              </w:rPr>
              <w:t>项目名称</w:t>
            </w:r>
          </w:p>
        </w:tc>
        <w:tc>
          <w:tcPr>
            <w:tcW w:w="6254" w:type="dxa"/>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pPr>
              <w:jc w:val="center"/>
              <w:rPr>
                <w:rFonts w:ascii="宋体" w:hAnsi="宋体" w:cs="宋体"/>
                <w:color w:val="000000"/>
                <w:szCs w:val="21"/>
              </w:rPr>
            </w:pPr>
            <w:r>
              <w:rPr>
                <w:rFonts w:hint="eastAsia" w:ascii="宋体" w:hAnsi="宋体" w:cs="宋体"/>
                <w:color w:val="000000"/>
                <w:szCs w:val="21"/>
              </w:rPr>
              <w:t>合同金额</w:t>
            </w:r>
          </w:p>
        </w:tc>
        <w:tc>
          <w:tcPr>
            <w:tcW w:w="6254" w:type="dxa"/>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pPr>
              <w:jc w:val="center"/>
              <w:rPr>
                <w:rFonts w:ascii="宋体" w:hAnsi="宋体" w:cs="宋体"/>
                <w:color w:val="000000"/>
                <w:szCs w:val="21"/>
              </w:rPr>
            </w:pPr>
            <w:r>
              <w:rPr>
                <w:rFonts w:hint="eastAsia" w:ascii="宋体" w:hAnsi="宋体" w:cs="宋体"/>
                <w:color w:val="000000"/>
                <w:szCs w:val="21"/>
              </w:rPr>
              <w:t>完 成 日 期</w:t>
            </w:r>
          </w:p>
          <w:p>
            <w:pPr>
              <w:jc w:val="center"/>
              <w:rPr>
                <w:rFonts w:ascii="宋体" w:hAnsi="宋体" w:cs="宋体"/>
                <w:color w:val="000000"/>
                <w:szCs w:val="21"/>
              </w:rPr>
            </w:pPr>
            <w:r>
              <w:rPr>
                <w:rFonts w:hint="eastAsia" w:ascii="宋体" w:hAnsi="宋体" w:cs="宋体"/>
                <w:color w:val="000000"/>
                <w:szCs w:val="21"/>
              </w:rPr>
              <w:t>（年/月/日）</w:t>
            </w:r>
          </w:p>
        </w:tc>
        <w:tc>
          <w:tcPr>
            <w:tcW w:w="6254" w:type="dxa"/>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pPr>
              <w:jc w:val="center"/>
              <w:rPr>
                <w:rFonts w:ascii="宋体" w:hAnsi="宋体" w:cs="宋体"/>
                <w:color w:val="000000"/>
                <w:szCs w:val="21"/>
              </w:rPr>
            </w:pPr>
            <w:r>
              <w:rPr>
                <w:rFonts w:hint="eastAsia" w:ascii="宋体" w:hAnsi="宋体" w:cs="宋体"/>
                <w:color w:val="000000"/>
                <w:szCs w:val="21"/>
              </w:rPr>
              <w:t>……</w:t>
            </w:r>
          </w:p>
        </w:tc>
        <w:tc>
          <w:tcPr>
            <w:tcW w:w="6254" w:type="dxa"/>
            <w:vAlign w:val="center"/>
          </w:tcPr>
          <w:p>
            <w:pPr>
              <w:jc w:val="center"/>
              <w:rPr>
                <w:rFonts w:ascii="宋体" w:hAnsi="宋体" w:cs="宋体"/>
                <w:color w:val="000000"/>
                <w:szCs w:val="21"/>
              </w:rPr>
            </w:pPr>
          </w:p>
        </w:tc>
      </w:tr>
    </w:tbl>
    <w:p>
      <w:pPr>
        <w:spacing w:line="440" w:lineRule="exact"/>
        <w:ind w:left="258" w:leftChars="123"/>
        <w:rPr>
          <w:rFonts w:ascii="宋体" w:hAnsi="宋体" w:cs="宋体"/>
          <w:color w:val="000000"/>
          <w:szCs w:val="21"/>
        </w:rPr>
      </w:pPr>
      <w:r>
        <w:rPr>
          <w:rFonts w:hint="eastAsia" w:ascii="宋体" w:hAnsi="宋体" w:cs="宋体"/>
          <w:color w:val="000000"/>
          <w:szCs w:val="21"/>
        </w:rPr>
        <w:t>备注：</w:t>
      </w:r>
      <w:r>
        <w:rPr>
          <w:rFonts w:hint="eastAsia" w:ascii="宋体" w:hAnsi="宋体" w:cs="宋体"/>
          <w:color w:val="000000"/>
          <w:sz w:val="24"/>
        </w:rPr>
        <w:t>1、</w:t>
      </w:r>
      <w:r>
        <w:rPr>
          <w:rFonts w:hint="eastAsia" w:ascii="宋体" w:hAnsi="宋体" w:cs="宋体"/>
          <w:color w:val="000000"/>
          <w:szCs w:val="21"/>
        </w:rPr>
        <w:t>本表后附加盖公章的合同复印件，具体年份要求见投标人须知前附表。</w:t>
      </w:r>
    </w:p>
    <w:p>
      <w:pPr>
        <w:spacing w:line="440" w:lineRule="exact"/>
        <w:ind w:left="258" w:leftChars="123"/>
        <w:rPr>
          <w:rFonts w:ascii="宋体" w:hAnsi="宋体" w:cs="宋体"/>
          <w:color w:val="000000"/>
          <w:sz w:val="24"/>
        </w:rPr>
      </w:pPr>
      <w:r>
        <w:rPr>
          <w:rFonts w:hint="eastAsia" w:ascii="宋体" w:hAnsi="宋体" w:cs="宋体"/>
          <w:color w:val="000000"/>
          <w:szCs w:val="21"/>
        </w:rPr>
        <w:t>每张表格只填写一个项目，并标明序号。</w:t>
      </w:r>
    </w:p>
    <w:p>
      <w:pPr>
        <w:rPr>
          <w:rFonts w:ascii="宋体" w:hAnsi="宋体" w:cs="宋体"/>
          <w:color w:val="000000"/>
          <w:sz w:val="24"/>
        </w:rPr>
      </w:pPr>
    </w:p>
    <w:p>
      <w:pPr>
        <w:spacing w:line="440" w:lineRule="exact"/>
        <w:rPr>
          <w:rFonts w:ascii="宋体" w:hAnsi="宋体" w:cs="宋体"/>
          <w:color w:val="000000"/>
          <w:sz w:val="20"/>
          <w:szCs w:val="20"/>
        </w:rPr>
      </w:pPr>
    </w:p>
    <w:p>
      <w:pPr>
        <w:spacing w:line="440" w:lineRule="exact"/>
        <w:ind w:firstLine="500" w:firstLineChars="250"/>
        <w:jc w:val="center"/>
        <w:rPr>
          <w:rFonts w:ascii="宋体" w:hAnsi="宋体" w:cs="宋体"/>
          <w:color w:val="000000"/>
          <w:sz w:val="20"/>
          <w:szCs w:val="20"/>
        </w:rPr>
      </w:pPr>
    </w:p>
    <w:p>
      <w:pPr>
        <w:spacing w:line="440" w:lineRule="exact"/>
        <w:ind w:firstLine="500" w:firstLineChars="250"/>
        <w:jc w:val="center"/>
        <w:rPr>
          <w:rFonts w:ascii="宋体" w:hAnsi="宋体" w:cs="宋体"/>
          <w:color w:val="000000"/>
          <w:sz w:val="20"/>
          <w:szCs w:val="20"/>
        </w:rPr>
      </w:pPr>
    </w:p>
    <w:p>
      <w:pPr>
        <w:pStyle w:val="19"/>
        <w:rPr>
          <w:rFonts w:hAnsi="宋体" w:cs="宋体"/>
          <w:color w:val="000000"/>
          <w:sz w:val="20"/>
        </w:rPr>
      </w:pPr>
    </w:p>
    <w:p>
      <w:pPr>
        <w:pStyle w:val="19"/>
        <w:rPr>
          <w:rFonts w:hAnsi="宋体" w:cs="宋体"/>
          <w:color w:val="000000"/>
          <w:sz w:val="20"/>
        </w:rPr>
      </w:pPr>
    </w:p>
    <w:p>
      <w:pPr>
        <w:pStyle w:val="19"/>
        <w:rPr>
          <w:rFonts w:hAnsi="宋体" w:cs="宋体"/>
          <w:color w:val="000000"/>
          <w:sz w:val="20"/>
        </w:rPr>
      </w:pPr>
    </w:p>
    <w:p>
      <w:pPr>
        <w:pStyle w:val="19"/>
        <w:rPr>
          <w:rFonts w:hAnsi="宋体" w:cs="宋体"/>
          <w:color w:val="000000"/>
          <w:sz w:val="20"/>
        </w:rPr>
      </w:pPr>
    </w:p>
    <w:p>
      <w:pPr>
        <w:pStyle w:val="19"/>
        <w:rPr>
          <w:rFonts w:hAnsi="宋体" w:cs="宋体"/>
          <w:color w:val="000000"/>
          <w:sz w:val="20"/>
        </w:rPr>
      </w:pPr>
    </w:p>
    <w:p>
      <w:pPr>
        <w:pStyle w:val="19"/>
        <w:rPr>
          <w:rFonts w:hAnsi="宋体" w:cs="宋体"/>
          <w:color w:val="000000"/>
          <w:sz w:val="20"/>
        </w:rPr>
      </w:pPr>
    </w:p>
    <w:p>
      <w:pPr>
        <w:pStyle w:val="19"/>
        <w:rPr>
          <w:rFonts w:hAnsi="宋体" w:cs="宋体"/>
          <w:color w:val="000000"/>
          <w:sz w:val="20"/>
        </w:rPr>
      </w:pPr>
    </w:p>
    <w:p>
      <w:pPr>
        <w:pStyle w:val="19"/>
        <w:rPr>
          <w:rFonts w:hAnsi="宋体" w:cs="宋体"/>
          <w:color w:val="000000"/>
          <w:sz w:val="20"/>
        </w:rPr>
      </w:pPr>
    </w:p>
    <w:p>
      <w:pPr>
        <w:pStyle w:val="19"/>
        <w:rPr>
          <w:rFonts w:hAnsi="宋体" w:cs="宋体"/>
          <w:color w:val="000000"/>
          <w:sz w:val="20"/>
        </w:rPr>
      </w:pPr>
    </w:p>
    <w:p>
      <w:pPr>
        <w:pStyle w:val="19"/>
        <w:rPr>
          <w:rFonts w:hAnsi="宋体" w:cs="宋体"/>
          <w:color w:val="000000"/>
          <w:sz w:val="20"/>
        </w:rPr>
      </w:pPr>
    </w:p>
    <w:p>
      <w:pPr>
        <w:pStyle w:val="19"/>
        <w:rPr>
          <w:rFonts w:hAnsi="宋体" w:cs="宋体"/>
          <w:color w:val="000000"/>
          <w:sz w:val="20"/>
        </w:rPr>
      </w:pPr>
    </w:p>
    <w:p>
      <w:pPr>
        <w:pStyle w:val="19"/>
        <w:rPr>
          <w:rFonts w:hAnsi="宋体" w:cs="宋体"/>
          <w:color w:val="000000"/>
          <w:sz w:val="20"/>
        </w:rPr>
      </w:pPr>
    </w:p>
    <w:p>
      <w:pPr>
        <w:pStyle w:val="19"/>
        <w:rPr>
          <w:rFonts w:hAnsi="宋体" w:cs="宋体"/>
          <w:color w:val="000000"/>
          <w:sz w:val="20"/>
        </w:rPr>
      </w:pPr>
    </w:p>
    <w:p>
      <w:pPr>
        <w:pStyle w:val="19"/>
        <w:rPr>
          <w:rFonts w:hAnsi="宋体" w:cs="宋体"/>
          <w:color w:val="000000"/>
          <w:sz w:val="20"/>
        </w:rPr>
      </w:pPr>
    </w:p>
    <w:p>
      <w:pPr>
        <w:pStyle w:val="4"/>
        <w:keepNext w:val="0"/>
        <w:keepLines w:val="0"/>
        <w:jc w:val="center"/>
        <w:rPr>
          <w:rFonts w:ascii="宋体" w:hAnsi="宋体" w:cs="宋体"/>
          <w:color w:val="000000"/>
        </w:rPr>
      </w:pPr>
      <w:bookmarkStart w:id="983" w:name="_Toc246996374"/>
      <w:bookmarkStart w:id="984" w:name="_Toc247085892"/>
      <w:bookmarkStart w:id="985" w:name="_Toc246997117"/>
      <w:bookmarkStart w:id="986" w:name="_Toc1300"/>
      <w:bookmarkStart w:id="987" w:name="_Toc353"/>
      <w:bookmarkStart w:id="988" w:name="_Toc14805"/>
      <w:bookmarkStart w:id="989" w:name="_Toc453756974"/>
      <w:bookmarkStart w:id="990" w:name="_Toc24867"/>
      <w:r>
        <w:rPr>
          <w:rFonts w:hint="eastAsia" w:ascii="宋体" w:hAnsi="宋体" w:cs="宋体"/>
          <w:color w:val="000000"/>
        </w:rPr>
        <w:t>（五）</w:t>
      </w:r>
      <w:bookmarkEnd w:id="946"/>
      <w:bookmarkEnd w:id="947"/>
      <w:bookmarkEnd w:id="948"/>
      <w:bookmarkEnd w:id="949"/>
      <w:bookmarkEnd w:id="983"/>
      <w:bookmarkEnd w:id="984"/>
      <w:bookmarkEnd w:id="985"/>
      <w:bookmarkStart w:id="991" w:name="_Toc418712192"/>
      <w:bookmarkStart w:id="992" w:name="_Toc399762147"/>
      <w:bookmarkStart w:id="993" w:name="_Toc201488184"/>
      <w:bookmarkStart w:id="994" w:name="_Toc201487562"/>
      <w:bookmarkStart w:id="995" w:name="_Toc428007717"/>
      <w:bookmarkStart w:id="996" w:name="_Toc202062915"/>
      <w:bookmarkStart w:id="997" w:name="_Toc414892006"/>
      <w:r>
        <w:rPr>
          <w:rFonts w:hint="eastAsia" w:ascii="宋体" w:hAnsi="宋体" w:cs="宋体"/>
          <w:color w:val="000000"/>
        </w:rPr>
        <w:t>近三年（202</w:t>
      </w:r>
      <w:r>
        <w:rPr>
          <w:rFonts w:hint="eastAsia" w:ascii="宋体" w:hAnsi="宋体" w:cs="宋体"/>
          <w:color w:val="000000"/>
          <w:lang w:val="en-US" w:eastAsia="zh-CN"/>
        </w:rPr>
        <w:t>1-</w:t>
      </w:r>
      <w:r>
        <w:rPr>
          <w:rFonts w:hint="eastAsia" w:ascii="宋体" w:hAnsi="宋体" w:cs="宋体"/>
          <w:color w:val="000000"/>
        </w:rPr>
        <w:t>至今）发生的诉讼及仲裁情况</w:t>
      </w:r>
      <w:bookmarkEnd w:id="986"/>
      <w:bookmarkEnd w:id="987"/>
      <w:bookmarkEnd w:id="988"/>
      <w:bookmarkEnd w:id="989"/>
      <w:bookmarkEnd w:id="990"/>
      <w:bookmarkEnd w:id="991"/>
      <w:bookmarkEnd w:id="992"/>
      <w:bookmarkEnd w:id="993"/>
      <w:bookmarkEnd w:id="994"/>
      <w:bookmarkEnd w:id="995"/>
      <w:bookmarkEnd w:id="996"/>
      <w:bookmarkEnd w:id="997"/>
    </w:p>
    <w:p>
      <w:pPr>
        <w:rPr>
          <w:rFonts w:ascii="宋体" w:hAnsi="宋体" w:cs="宋体"/>
          <w:color w:val="000000"/>
          <w:sz w:val="24"/>
        </w:rPr>
      </w:pPr>
    </w:p>
    <w:p>
      <w:pPr>
        <w:spacing w:line="440" w:lineRule="exact"/>
        <w:ind w:left="630" w:hanging="630" w:hangingChars="300"/>
        <w:rPr>
          <w:rFonts w:ascii="宋体" w:hAnsi="宋体" w:cs="宋体"/>
          <w:color w:val="000000"/>
          <w:szCs w:val="21"/>
        </w:rPr>
      </w:pPr>
      <w:r>
        <w:rPr>
          <w:rFonts w:hint="eastAsia" w:ascii="宋体" w:hAnsi="宋体" w:cs="宋体"/>
          <w:color w:val="000000"/>
          <w:szCs w:val="21"/>
        </w:rPr>
        <w:t>说明：近年发生的诉讼和仲裁情况仅限于投标人败诉的，且与履行合同有关的案件，不包括调解结案以及未裁决的仲裁或未终审判决的诉讼。格式自拟。</w:t>
      </w: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pStyle w:val="57"/>
        <w:rPr>
          <w:rFonts w:hAnsi="宋体"/>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pStyle w:val="102"/>
        <w:keepNext w:val="0"/>
        <w:keepLines w:val="0"/>
        <w:numPr>
          <w:ilvl w:val="0"/>
          <w:numId w:val="11"/>
        </w:numPr>
        <w:spacing w:before="156" w:after="156"/>
        <w:jc w:val="center"/>
        <w:rPr>
          <w:rFonts w:cs="宋体"/>
          <w:color w:val="000000"/>
          <w:sz w:val="32"/>
          <w:szCs w:val="32"/>
        </w:rPr>
      </w:pPr>
      <w:bookmarkStart w:id="998" w:name="_Toc11597"/>
      <w:bookmarkStart w:id="999" w:name="_Toc29769"/>
      <w:bookmarkStart w:id="1000" w:name="_Toc453756975"/>
      <w:bookmarkStart w:id="1001" w:name="_Toc418712193"/>
      <w:bookmarkStart w:id="1002" w:name="_Toc428007718"/>
      <w:bookmarkStart w:id="1003" w:name="_Toc414892007"/>
      <w:r>
        <w:rPr>
          <w:rFonts w:hint="eastAsia" w:cs="宋体"/>
          <w:color w:val="000000"/>
          <w:sz w:val="32"/>
          <w:szCs w:val="32"/>
        </w:rPr>
        <w:t>信誉</w:t>
      </w:r>
      <w:bookmarkEnd w:id="998"/>
      <w:bookmarkEnd w:id="999"/>
      <w:r>
        <w:rPr>
          <w:rFonts w:hint="eastAsia" w:cs="宋体"/>
          <w:color w:val="000000"/>
          <w:sz w:val="32"/>
          <w:szCs w:val="32"/>
        </w:rPr>
        <w:t>承诺</w:t>
      </w:r>
    </w:p>
    <w:bookmarkEnd w:id="1000"/>
    <w:bookmarkEnd w:id="1001"/>
    <w:bookmarkEnd w:id="1002"/>
    <w:bookmarkEnd w:id="1003"/>
    <w:p>
      <w:pPr>
        <w:spacing w:line="500" w:lineRule="exact"/>
        <w:ind w:firstLine="440" w:firstLineChars="200"/>
        <w:jc w:val="left"/>
      </w:pPr>
      <w:r>
        <w:rPr>
          <w:rFonts w:hint="eastAsia" w:ascii="宋体" w:hAnsi="宋体" w:cs="宋体"/>
          <w:color w:val="000000"/>
          <w:sz w:val="22"/>
          <w:szCs w:val="28"/>
        </w:rPr>
        <w:t>不接受信用中国网站被列入失信被执行人、重大税收违法案件当事人名单、中国政府采购网被列入政府采购严重违法失信行为记录名单的投标人参与投标（详见财库[2016]125号文件）；投标人及法人在中国裁判文书网（http://wenshu.court.gov.cn）无行贿受贿犯罪记录。</w:t>
      </w:r>
    </w:p>
    <w:p>
      <w:pPr>
        <w:spacing w:line="500" w:lineRule="exact"/>
        <w:jc w:val="left"/>
        <w:rPr>
          <w:rFonts w:ascii="宋体" w:hAnsi="宋体" w:cs="宋体"/>
          <w:color w:val="000000"/>
          <w:szCs w:val="21"/>
          <w:lang w:val="zh-CN"/>
        </w:rPr>
      </w:pPr>
      <w:r>
        <w:rPr>
          <w:rFonts w:hint="eastAsia" w:ascii="宋体" w:hAnsi="宋体" w:cs="宋体"/>
          <w:b/>
          <w:bCs/>
          <w:color w:val="000000"/>
          <w:szCs w:val="21"/>
        </w:rPr>
        <w:t>提供相关网页截图及由法定代表人或其授权委托人签字并加盖公章的承诺书。承诺书格式自拟。</w:t>
      </w:r>
    </w:p>
    <w:p>
      <w:pPr>
        <w:rPr>
          <w:rFonts w:ascii="宋体" w:hAnsi="宋体" w:cs="宋体"/>
          <w:color w:val="000000"/>
          <w:sz w:val="24"/>
        </w:rPr>
      </w:pPr>
    </w:p>
    <w:p>
      <w:pPr>
        <w:ind w:firstLine="720" w:firstLineChars="300"/>
        <w:jc w:val="left"/>
        <w:rPr>
          <w:rFonts w:ascii="宋体" w:hAnsi="宋体" w:cs="宋体"/>
          <w:color w:val="000000"/>
          <w:szCs w:val="21"/>
        </w:rPr>
        <w:sectPr>
          <w:pgSz w:w="11906" w:h="16838"/>
          <w:pgMar w:top="1460" w:right="1803" w:bottom="1440" w:left="1800" w:header="851" w:footer="992" w:gutter="0"/>
          <w:cols w:space="720" w:num="1"/>
          <w:rtlGutter w:val="1"/>
          <w:docGrid w:type="lines" w:linePitch="312" w:charSpace="0"/>
        </w:sectPr>
      </w:pPr>
      <w:bookmarkStart w:id="1004" w:name="_Toc399762148"/>
      <w:bookmarkStart w:id="1005" w:name="_Toc202062916"/>
      <w:bookmarkStart w:id="1006" w:name="_Toc201488185"/>
      <w:bookmarkStart w:id="1007" w:name="_Toc201487563"/>
      <w:r>
        <w:rPr>
          <w:rFonts w:hint="eastAsia" w:ascii="宋体" w:hAnsi="宋体" w:cs="宋体"/>
          <w:color w:val="000000"/>
          <w:sz w:val="24"/>
        </w:rPr>
        <w:br w:type="page"/>
      </w:r>
      <w:bookmarkStart w:id="1008" w:name="_Toc453756976"/>
      <w:bookmarkStart w:id="1009" w:name="_Toc414892008"/>
      <w:bookmarkStart w:id="1010" w:name="_Toc428007719"/>
      <w:bookmarkStart w:id="1011" w:name="_Toc418712194"/>
    </w:p>
    <w:p>
      <w:pPr>
        <w:pStyle w:val="87"/>
        <w:jc w:val="center"/>
        <w:rPr>
          <w:rFonts w:ascii="宋体" w:hAnsi="宋体" w:cs="宋体"/>
          <w:color w:val="000000"/>
        </w:rPr>
      </w:pPr>
      <w:bookmarkStart w:id="1012" w:name="_Toc12594"/>
      <w:r>
        <w:rPr>
          <w:rFonts w:hint="eastAsia" w:ascii="宋体" w:hAnsi="宋体" w:cs="宋体"/>
          <w:bCs w:val="0"/>
          <w:color w:val="000000"/>
          <w:sz w:val="32"/>
          <w:szCs w:val="32"/>
        </w:rPr>
        <w:t>九、</w:t>
      </w:r>
      <w:bookmarkEnd w:id="1012"/>
      <w:bookmarkStart w:id="1013" w:name="_Toc11698"/>
      <w:bookmarkStart w:id="1014" w:name="_Toc11190"/>
      <w:bookmarkStart w:id="1015" w:name="_Toc24755"/>
      <w:bookmarkStart w:id="1016" w:name="_Toc31100"/>
      <w:bookmarkStart w:id="1017" w:name="_Toc24787"/>
      <w:r>
        <w:rPr>
          <w:rFonts w:hint="eastAsia" w:ascii="宋体" w:hAnsi="宋体" w:cs="宋体"/>
          <w:color w:val="000000"/>
          <w:sz w:val="32"/>
          <w:szCs w:val="32"/>
        </w:rPr>
        <w:t>其他材料</w:t>
      </w:r>
      <w:bookmarkEnd w:id="1004"/>
      <w:bookmarkEnd w:id="1005"/>
      <w:bookmarkEnd w:id="1006"/>
      <w:bookmarkEnd w:id="1007"/>
      <w:bookmarkEnd w:id="1008"/>
      <w:bookmarkEnd w:id="1009"/>
      <w:bookmarkEnd w:id="1010"/>
      <w:bookmarkEnd w:id="1011"/>
      <w:bookmarkEnd w:id="1013"/>
      <w:bookmarkEnd w:id="1014"/>
      <w:bookmarkEnd w:id="1015"/>
      <w:bookmarkEnd w:id="1016"/>
      <w:bookmarkEnd w:id="1017"/>
    </w:p>
    <w:p>
      <w:pPr>
        <w:pStyle w:val="87"/>
        <w:jc w:val="center"/>
        <w:rPr>
          <w:rFonts w:ascii="宋体" w:hAnsi="宋体" w:cs="宋体"/>
          <w:color w:val="000000"/>
          <w:sz w:val="32"/>
          <w:szCs w:val="32"/>
          <w:lang w:val="zh-CN"/>
        </w:rPr>
      </w:pPr>
      <w:r>
        <w:rPr>
          <w:rFonts w:hint="eastAsia" w:ascii="宋体" w:hAnsi="宋体" w:cs="宋体"/>
          <w:color w:val="000000"/>
          <w:sz w:val="32"/>
          <w:szCs w:val="32"/>
        </w:rPr>
        <w:t>1、</w:t>
      </w:r>
      <w:r>
        <w:rPr>
          <w:rFonts w:hint="eastAsia" w:ascii="宋体" w:hAnsi="宋体" w:cs="宋体"/>
          <w:color w:val="000000"/>
          <w:sz w:val="32"/>
          <w:szCs w:val="32"/>
          <w:lang w:val="zh-CN"/>
        </w:rPr>
        <w:t>中小企业证明文件</w:t>
      </w:r>
    </w:p>
    <w:p>
      <w:pPr>
        <w:pStyle w:val="19"/>
        <w:ind w:left="0" w:firstLine="0"/>
      </w:pPr>
    </w:p>
    <w:p>
      <w:pPr>
        <w:pStyle w:val="19"/>
        <w:ind w:left="0" w:firstLine="0"/>
      </w:pPr>
    </w:p>
    <w:p>
      <w:pPr>
        <w:pStyle w:val="87"/>
        <w:jc w:val="center"/>
        <w:rPr>
          <w:rFonts w:ascii="宋体" w:hAnsi="宋体" w:cs="宋体"/>
          <w:color w:val="000000"/>
          <w:sz w:val="32"/>
          <w:szCs w:val="32"/>
          <w:lang w:val="zh-CN"/>
        </w:rPr>
      </w:pPr>
      <w:r>
        <w:rPr>
          <w:rFonts w:hint="eastAsia" w:ascii="宋体" w:hAnsi="宋体" w:cs="宋体"/>
          <w:color w:val="000000"/>
          <w:sz w:val="32"/>
          <w:szCs w:val="32"/>
          <w:lang w:val="zh-CN"/>
        </w:rPr>
        <w:t>中小企业声明函</w:t>
      </w:r>
    </w:p>
    <w:p>
      <w:pPr>
        <w:widowControl/>
        <w:autoSpaceDE w:val="0"/>
        <w:autoSpaceDN w:val="0"/>
        <w:spacing w:line="360" w:lineRule="auto"/>
        <w:jc w:val="center"/>
        <w:rPr>
          <w:rFonts w:ascii="宋体" w:hAnsi="宋体" w:cs="宋体"/>
          <w:b/>
          <w:kern w:val="0"/>
          <w:szCs w:val="21"/>
        </w:rPr>
      </w:pPr>
    </w:p>
    <w:p>
      <w:pPr>
        <w:widowControl/>
        <w:autoSpaceDE w:val="0"/>
        <w:autoSpaceDN w:val="0"/>
        <w:spacing w:line="360" w:lineRule="auto"/>
        <w:ind w:firstLine="420" w:firstLineChars="200"/>
        <w:rPr>
          <w:rFonts w:ascii="宋体" w:hAnsi="宋体" w:cs="仿宋"/>
          <w:kern w:val="0"/>
          <w:szCs w:val="21"/>
        </w:rPr>
      </w:pPr>
      <w:r>
        <w:rPr>
          <w:rFonts w:hint="eastAsia" w:ascii="宋体" w:hAnsi="宋体" w:cs="仿宋"/>
          <w:kern w:val="0"/>
          <w:szCs w:val="21"/>
        </w:rPr>
        <w:t>本公司（联合体）郑重声明，根据《政府采购促进中小企业发展管理办法》（财库</w:t>
      </w:r>
      <w:r>
        <w:rPr>
          <w:rFonts w:hint="eastAsia" w:ascii="宋体" w:hAnsi="宋体" w:cs="宋体"/>
          <w:kern w:val="0"/>
          <w:szCs w:val="21"/>
        </w:rPr>
        <w:t>﹝</w:t>
      </w:r>
      <w:r>
        <w:rPr>
          <w:rFonts w:hint="eastAsia" w:ascii="宋体" w:hAnsi="宋体" w:cs="仿宋"/>
          <w:kern w:val="0"/>
          <w:szCs w:val="21"/>
        </w:rPr>
        <w:t>2020</w:t>
      </w:r>
      <w:r>
        <w:rPr>
          <w:rFonts w:hint="eastAsia" w:ascii="宋体" w:hAnsi="宋体" w:cs="宋体"/>
          <w:kern w:val="0"/>
          <w:szCs w:val="21"/>
        </w:rPr>
        <w:t>﹞</w:t>
      </w:r>
      <w:r>
        <w:rPr>
          <w:rFonts w:hint="eastAsia" w:ascii="宋体" w:hAnsi="宋体" w:cs="仿宋"/>
          <w:kern w:val="0"/>
          <w:szCs w:val="21"/>
        </w:rPr>
        <w:t>46 号）的规定，本公司（联合体）参加</w:t>
      </w:r>
      <w:r>
        <w:rPr>
          <w:rFonts w:hint="eastAsia" w:ascii="宋体" w:hAnsi="宋体" w:cs="仿宋"/>
          <w:kern w:val="0"/>
          <w:szCs w:val="21"/>
          <w:u w:val="single"/>
        </w:rPr>
        <w:t>（单位名称）</w:t>
      </w:r>
      <w:r>
        <w:rPr>
          <w:rFonts w:hint="eastAsia" w:ascii="宋体" w:hAnsi="宋体" w:cs="仿宋"/>
          <w:kern w:val="0"/>
          <w:szCs w:val="21"/>
        </w:rPr>
        <w:t>的</w:t>
      </w:r>
      <w:r>
        <w:rPr>
          <w:rFonts w:hint="eastAsia" w:ascii="宋体" w:hAnsi="宋体" w:cs="仿宋"/>
          <w:kern w:val="0"/>
          <w:szCs w:val="21"/>
          <w:u w:val="single"/>
        </w:rPr>
        <w:t>（项目名称）</w:t>
      </w:r>
      <w:r>
        <w:rPr>
          <w:rFonts w:hint="eastAsia" w:ascii="宋体" w:hAnsi="宋体" w:cs="仿宋"/>
          <w:kern w:val="0"/>
          <w:szCs w:val="21"/>
        </w:rPr>
        <w:t xml:space="preserve">采购活动，提供的货物全部由符合政策要求的中小企业制造。相关企业（含联合体中的中小企业、签订分包意向协议的中小企业） 的具体情况如下： </w:t>
      </w:r>
    </w:p>
    <w:p>
      <w:pPr>
        <w:widowControl/>
        <w:autoSpaceDE w:val="0"/>
        <w:autoSpaceDN w:val="0"/>
        <w:adjustRightInd w:val="0"/>
        <w:snapToGrid w:val="0"/>
        <w:spacing w:line="360" w:lineRule="auto"/>
        <w:ind w:firstLine="420" w:firstLineChars="200"/>
        <w:rPr>
          <w:rFonts w:ascii="宋体" w:hAnsi="宋体" w:cs="仿宋"/>
          <w:kern w:val="0"/>
          <w:szCs w:val="21"/>
        </w:rPr>
      </w:pPr>
      <w:r>
        <w:rPr>
          <w:rFonts w:hint="eastAsia" w:ascii="宋体" w:hAnsi="宋体" w:cs="仿宋"/>
          <w:kern w:val="0"/>
          <w:szCs w:val="21"/>
        </w:rPr>
        <w:t>1.</w:t>
      </w:r>
      <w:r>
        <w:rPr>
          <w:rFonts w:hint="eastAsia" w:ascii="宋体" w:hAnsi="宋体" w:cs="仿宋"/>
          <w:kern w:val="0"/>
          <w:szCs w:val="21"/>
          <w:u w:val="single"/>
        </w:rPr>
        <w:t xml:space="preserve">（标的名称） </w:t>
      </w:r>
      <w:r>
        <w:rPr>
          <w:rFonts w:hint="eastAsia" w:ascii="宋体" w:hAnsi="宋体" w:cs="仿宋"/>
          <w:kern w:val="0"/>
          <w:szCs w:val="21"/>
        </w:rPr>
        <w:t>，属于</w:t>
      </w:r>
      <w:r>
        <w:rPr>
          <w:rFonts w:hint="eastAsia" w:ascii="宋体" w:hAnsi="宋体" w:cs="仿宋"/>
          <w:kern w:val="0"/>
          <w:szCs w:val="21"/>
          <w:u w:val="single"/>
        </w:rPr>
        <w:t>（采购文件中明确的所属行业）行业</w:t>
      </w:r>
      <w:r>
        <w:rPr>
          <w:rFonts w:hint="eastAsia" w:ascii="宋体" w:hAnsi="宋体" w:cs="仿宋"/>
          <w:kern w:val="0"/>
          <w:szCs w:val="21"/>
        </w:rPr>
        <w:t>；制造商为</w:t>
      </w:r>
      <w:r>
        <w:rPr>
          <w:rFonts w:hint="eastAsia" w:ascii="宋体" w:hAnsi="宋体" w:cs="仿宋"/>
          <w:kern w:val="0"/>
          <w:szCs w:val="21"/>
          <w:u w:val="single"/>
        </w:rPr>
        <w:t>（企业名称）</w:t>
      </w:r>
      <w:r>
        <w:rPr>
          <w:rFonts w:hint="eastAsia" w:ascii="宋体" w:hAnsi="宋体" w:cs="仿宋"/>
          <w:kern w:val="0"/>
          <w:szCs w:val="21"/>
        </w:rPr>
        <w:t>，从业人员</w:t>
      </w:r>
      <w:r>
        <w:rPr>
          <w:rFonts w:hint="eastAsia" w:ascii="宋体" w:hAnsi="宋体" w:cs="仿宋"/>
          <w:kern w:val="0"/>
          <w:szCs w:val="21"/>
          <w:u w:val="single"/>
        </w:rPr>
        <w:t xml:space="preserve">      </w:t>
      </w:r>
      <w:r>
        <w:rPr>
          <w:rFonts w:hint="eastAsia" w:ascii="宋体" w:hAnsi="宋体" w:cs="仿宋"/>
          <w:kern w:val="0"/>
          <w:szCs w:val="21"/>
        </w:rPr>
        <w:t>人，营业收入为</w:t>
      </w:r>
      <w:r>
        <w:rPr>
          <w:rFonts w:hint="eastAsia" w:ascii="宋体" w:hAnsi="宋体" w:cs="仿宋"/>
          <w:kern w:val="0"/>
          <w:szCs w:val="21"/>
          <w:u w:val="single"/>
        </w:rPr>
        <w:t xml:space="preserve">       </w:t>
      </w:r>
      <w:r>
        <w:rPr>
          <w:rFonts w:hint="eastAsia" w:ascii="宋体" w:hAnsi="宋体" w:cs="仿宋"/>
          <w:kern w:val="0"/>
          <w:szCs w:val="21"/>
        </w:rPr>
        <w:t>万元，资产总额为</w:t>
      </w:r>
      <w:r>
        <w:rPr>
          <w:rFonts w:hint="eastAsia" w:ascii="宋体" w:hAnsi="宋体" w:cs="仿宋"/>
          <w:kern w:val="0"/>
          <w:szCs w:val="21"/>
          <w:u w:val="single"/>
        </w:rPr>
        <w:t xml:space="preserve">        </w:t>
      </w:r>
      <w:r>
        <w:rPr>
          <w:rFonts w:hint="eastAsia" w:ascii="宋体" w:hAnsi="宋体" w:cs="仿宋"/>
          <w:kern w:val="0"/>
          <w:szCs w:val="21"/>
        </w:rPr>
        <w:t>万元</w:t>
      </w:r>
      <w:r>
        <w:rPr>
          <w:rFonts w:hint="eastAsia" w:ascii="宋体" w:hAnsi="宋体" w:cs="仿宋"/>
          <w:kern w:val="0"/>
          <w:szCs w:val="21"/>
          <w:vertAlign w:val="superscript"/>
        </w:rPr>
        <w:t>1</w:t>
      </w:r>
      <w:r>
        <w:rPr>
          <w:rFonts w:hint="eastAsia" w:ascii="宋体" w:hAnsi="宋体" w:cs="仿宋"/>
          <w:kern w:val="0"/>
          <w:szCs w:val="21"/>
        </w:rPr>
        <w:t>，属于（</w:t>
      </w:r>
      <w:r>
        <w:rPr>
          <w:rFonts w:hint="eastAsia" w:ascii="宋体" w:hAnsi="宋体" w:cs="仿宋"/>
          <w:kern w:val="0"/>
          <w:szCs w:val="21"/>
          <w:u w:val="single"/>
        </w:rPr>
        <w:t>中型企业、小型企业、微型企业）</w:t>
      </w:r>
      <w:r>
        <w:rPr>
          <w:rFonts w:hint="eastAsia" w:ascii="宋体" w:hAnsi="宋体" w:cs="仿宋"/>
          <w:kern w:val="0"/>
          <w:szCs w:val="21"/>
        </w:rPr>
        <w:t xml:space="preserve">； </w:t>
      </w:r>
    </w:p>
    <w:p>
      <w:pPr>
        <w:widowControl/>
        <w:autoSpaceDE w:val="0"/>
        <w:autoSpaceDN w:val="0"/>
        <w:adjustRightInd w:val="0"/>
        <w:snapToGrid w:val="0"/>
        <w:spacing w:line="360" w:lineRule="auto"/>
        <w:ind w:firstLine="420" w:firstLineChars="200"/>
        <w:rPr>
          <w:rFonts w:ascii="宋体" w:hAnsi="宋体" w:cs="仿宋"/>
          <w:kern w:val="0"/>
          <w:szCs w:val="21"/>
          <w:lang w:val="zh-CN" w:bidi="zh-CN"/>
        </w:rPr>
      </w:pPr>
      <w:r>
        <w:rPr>
          <w:rFonts w:hint="eastAsia" w:ascii="宋体" w:hAnsi="宋体" w:cs="仿宋"/>
          <w:kern w:val="0"/>
          <w:szCs w:val="21"/>
        </w:rPr>
        <w:t>2.</w:t>
      </w:r>
      <w:r>
        <w:rPr>
          <w:rFonts w:hint="eastAsia" w:ascii="宋体" w:hAnsi="宋体" w:cs="仿宋"/>
          <w:kern w:val="0"/>
          <w:szCs w:val="21"/>
          <w:u w:val="single"/>
        </w:rPr>
        <w:t xml:space="preserve">（标的名称） </w:t>
      </w:r>
      <w:r>
        <w:rPr>
          <w:rFonts w:hint="eastAsia" w:ascii="宋体" w:hAnsi="宋体" w:cs="仿宋"/>
          <w:kern w:val="0"/>
          <w:szCs w:val="21"/>
        </w:rPr>
        <w:t>，属于</w:t>
      </w:r>
      <w:r>
        <w:rPr>
          <w:rFonts w:hint="eastAsia" w:ascii="宋体" w:hAnsi="宋体" w:cs="仿宋"/>
          <w:kern w:val="0"/>
          <w:szCs w:val="21"/>
          <w:u w:val="single"/>
        </w:rPr>
        <w:t>（采购文件中明确的所属行业）行业</w:t>
      </w:r>
      <w:r>
        <w:rPr>
          <w:rFonts w:hint="eastAsia" w:ascii="宋体" w:hAnsi="宋体" w:cs="仿宋"/>
          <w:kern w:val="0"/>
          <w:szCs w:val="21"/>
        </w:rPr>
        <w:t>；制造商为</w:t>
      </w:r>
      <w:r>
        <w:rPr>
          <w:rFonts w:hint="eastAsia" w:ascii="宋体" w:hAnsi="宋体" w:cs="仿宋"/>
          <w:kern w:val="0"/>
          <w:szCs w:val="21"/>
          <w:u w:val="single"/>
        </w:rPr>
        <w:t>（企业名称）</w:t>
      </w:r>
      <w:r>
        <w:rPr>
          <w:rFonts w:hint="eastAsia" w:ascii="宋体" w:hAnsi="宋体" w:cs="仿宋"/>
          <w:kern w:val="0"/>
          <w:szCs w:val="21"/>
        </w:rPr>
        <w:t>，从业人员</w:t>
      </w:r>
      <w:r>
        <w:rPr>
          <w:rFonts w:hint="eastAsia" w:ascii="宋体" w:hAnsi="宋体" w:cs="仿宋"/>
          <w:kern w:val="0"/>
          <w:szCs w:val="21"/>
          <w:u w:val="single"/>
        </w:rPr>
        <w:t xml:space="preserve">    </w:t>
      </w:r>
      <w:r>
        <w:rPr>
          <w:rFonts w:hint="eastAsia" w:ascii="宋体" w:hAnsi="宋体" w:cs="仿宋"/>
          <w:kern w:val="0"/>
          <w:szCs w:val="21"/>
        </w:rPr>
        <w:t>人，营业收入 为</w:t>
      </w:r>
      <w:r>
        <w:rPr>
          <w:rFonts w:hint="eastAsia" w:ascii="宋体" w:hAnsi="宋体" w:cs="仿宋"/>
          <w:kern w:val="0"/>
          <w:szCs w:val="21"/>
          <w:u w:val="single"/>
        </w:rPr>
        <w:t xml:space="preserve">      </w:t>
      </w:r>
      <w:r>
        <w:rPr>
          <w:rFonts w:hint="eastAsia" w:ascii="宋体" w:hAnsi="宋体" w:cs="仿宋"/>
          <w:kern w:val="0"/>
          <w:szCs w:val="21"/>
        </w:rPr>
        <w:t>万元，资产总额为</w:t>
      </w:r>
      <w:r>
        <w:rPr>
          <w:rFonts w:hint="eastAsia" w:ascii="宋体" w:hAnsi="宋体" w:cs="仿宋"/>
          <w:kern w:val="0"/>
          <w:szCs w:val="21"/>
          <w:u w:val="single"/>
        </w:rPr>
        <w:t xml:space="preserve">      </w:t>
      </w:r>
      <w:r>
        <w:rPr>
          <w:rFonts w:hint="eastAsia" w:ascii="宋体" w:hAnsi="宋体" w:cs="仿宋"/>
          <w:kern w:val="0"/>
          <w:szCs w:val="21"/>
        </w:rPr>
        <w:t xml:space="preserve">万元，属于（中型企业、小型企业、微型企业）； </w:t>
      </w:r>
    </w:p>
    <w:p>
      <w:pPr>
        <w:widowControl/>
        <w:autoSpaceDE w:val="0"/>
        <w:autoSpaceDN w:val="0"/>
        <w:adjustRightInd w:val="0"/>
        <w:snapToGrid w:val="0"/>
        <w:spacing w:line="360" w:lineRule="auto"/>
        <w:ind w:firstLine="420" w:firstLineChars="200"/>
        <w:rPr>
          <w:rFonts w:ascii="宋体" w:hAnsi="宋体" w:cs="仿宋"/>
          <w:kern w:val="0"/>
          <w:szCs w:val="21"/>
          <w:lang w:val="zh-CN" w:bidi="zh-CN"/>
        </w:rPr>
      </w:pPr>
      <w:r>
        <w:rPr>
          <w:rFonts w:hint="eastAsia" w:ascii="宋体" w:hAnsi="宋体" w:cs="仿宋"/>
          <w:kern w:val="0"/>
          <w:szCs w:val="21"/>
        </w:rPr>
        <w:t>……</w:t>
      </w:r>
    </w:p>
    <w:p>
      <w:pPr>
        <w:widowControl/>
        <w:autoSpaceDE w:val="0"/>
        <w:autoSpaceDN w:val="0"/>
        <w:adjustRightInd w:val="0"/>
        <w:snapToGrid w:val="0"/>
        <w:spacing w:line="360" w:lineRule="auto"/>
        <w:ind w:firstLine="420" w:firstLineChars="200"/>
        <w:rPr>
          <w:rFonts w:ascii="宋体" w:hAnsi="宋体" w:cs="仿宋"/>
          <w:kern w:val="0"/>
          <w:szCs w:val="21"/>
          <w:lang w:val="zh-CN" w:bidi="zh-CN"/>
        </w:rPr>
      </w:pPr>
      <w:r>
        <w:rPr>
          <w:rFonts w:hint="eastAsia" w:ascii="宋体" w:hAnsi="宋体" w:cs="仿宋"/>
          <w:kern w:val="0"/>
          <w:szCs w:val="21"/>
        </w:rPr>
        <w:t>以上企业，不属于大企业的分支机构，不存在控股股东为大企业的情形，也不存在与大企业的负责人为同一人的情形。</w:t>
      </w:r>
    </w:p>
    <w:p>
      <w:pPr>
        <w:widowControl/>
        <w:autoSpaceDE w:val="0"/>
        <w:autoSpaceDN w:val="0"/>
        <w:adjustRightInd w:val="0"/>
        <w:snapToGrid w:val="0"/>
        <w:spacing w:line="360" w:lineRule="auto"/>
        <w:ind w:firstLine="420" w:firstLineChars="200"/>
        <w:rPr>
          <w:rFonts w:ascii="宋体" w:hAnsi="宋体" w:cs="仿宋"/>
          <w:kern w:val="0"/>
          <w:szCs w:val="21"/>
          <w:lang w:val="zh-CN" w:bidi="zh-CN"/>
        </w:rPr>
      </w:pPr>
      <w:r>
        <w:rPr>
          <w:rFonts w:hint="eastAsia" w:ascii="宋体" w:hAnsi="宋体" w:cs="仿宋"/>
          <w:kern w:val="0"/>
          <w:szCs w:val="21"/>
        </w:rPr>
        <w:t xml:space="preserve">本企业对上述声明内容的真实性负责。如有虚假，将依法承担相应责任。 </w:t>
      </w:r>
    </w:p>
    <w:p>
      <w:pPr>
        <w:widowControl/>
        <w:autoSpaceDE w:val="0"/>
        <w:autoSpaceDN w:val="0"/>
        <w:adjustRightInd w:val="0"/>
        <w:snapToGrid w:val="0"/>
        <w:spacing w:line="360" w:lineRule="auto"/>
        <w:ind w:firstLine="3150" w:firstLineChars="1500"/>
        <w:rPr>
          <w:rFonts w:ascii="宋体" w:hAnsi="宋体" w:cs="仿宋"/>
          <w:kern w:val="0"/>
          <w:szCs w:val="21"/>
        </w:rPr>
      </w:pPr>
      <w:r>
        <w:rPr>
          <w:rFonts w:hint="eastAsia" w:ascii="宋体" w:hAnsi="宋体" w:cs="仿宋"/>
          <w:kern w:val="0"/>
          <w:szCs w:val="21"/>
        </w:rPr>
        <w:t xml:space="preserve">企业名称（盖章）： </w:t>
      </w:r>
    </w:p>
    <w:p>
      <w:pPr>
        <w:widowControl/>
        <w:autoSpaceDE w:val="0"/>
        <w:autoSpaceDN w:val="0"/>
        <w:adjustRightInd w:val="0"/>
        <w:snapToGrid w:val="0"/>
        <w:spacing w:line="360" w:lineRule="auto"/>
        <w:ind w:firstLine="3150" w:firstLineChars="1500"/>
        <w:rPr>
          <w:szCs w:val="21"/>
        </w:rPr>
      </w:pPr>
      <w:r>
        <w:rPr>
          <w:rFonts w:hint="eastAsia" w:ascii="宋体" w:hAnsi="宋体" w:cs="仿宋"/>
          <w:kern w:val="0"/>
          <w:szCs w:val="21"/>
        </w:rPr>
        <w:t>日 期：</w:t>
      </w:r>
    </w:p>
    <w:p>
      <w:pPr>
        <w:autoSpaceDE w:val="0"/>
        <w:autoSpaceDN w:val="0"/>
        <w:adjustRightInd w:val="0"/>
        <w:spacing w:line="180" w:lineRule="exact"/>
        <w:jc w:val="left"/>
        <w:rPr>
          <w:rFonts w:ascii="宋体" w:hAnsi="宋体" w:cs="宋体"/>
          <w:color w:val="000000"/>
          <w:szCs w:val="21"/>
        </w:rPr>
      </w:pPr>
    </w:p>
    <w:p>
      <w:pPr>
        <w:autoSpaceDE w:val="0"/>
        <w:autoSpaceDN w:val="0"/>
        <w:adjustRightInd w:val="0"/>
        <w:spacing w:line="180" w:lineRule="exact"/>
        <w:jc w:val="left"/>
        <w:rPr>
          <w:rFonts w:ascii="宋体" w:hAnsi="宋体" w:cs="宋体"/>
          <w:color w:val="000000"/>
          <w:szCs w:val="21"/>
        </w:rPr>
      </w:pPr>
    </w:p>
    <w:p>
      <w:pPr>
        <w:autoSpaceDE w:val="0"/>
        <w:autoSpaceDN w:val="0"/>
        <w:adjustRightInd w:val="0"/>
        <w:spacing w:line="180" w:lineRule="exact"/>
        <w:jc w:val="left"/>
        <w:rPr>
          <w:rFonts w:ascii="宋体" w:hAnsi="宋体" w:cs="宋体"/>
          <w:color w:val="000000"/>
          <w:szCs w:val="21"/>
        </w:rPr>
      </w:pPr>
    </w:p>
    <w:p>
      <w:pPr>
        <w:autoSpaceDE w:val="0"/>
        <w:autoSpaceDN w:val="0"/>
        <w:adjustRightInd w:val="0"/>
        <w:spacing w:line="180" w:lineRule="exact"/>
        <w:jc w:val="left"/>
        <w:rPr>
          <w:rFonts w:ascii="宋体" w:hAnsi="宋体" w:cs="宋体"/>
          <w:color w:val="000000"/>
          <w:sz w:val="18"/>
          <w:szCs w:val="18"/>
        </w:rPr>
      </w:pPr>
    </w:p>
    <w:p>
      <w:pPr>
        <w:autoSpaceDE w:val="0"/>
        <w:autoSpaceDN w:val="0"/>
        <w:adjustRightInd w:val="0"/>
        <w:spacing w:line="180" w:lineRule="exact"/>
        <w:jc w:val="left"/>
        <w:rPr>
          <w:rFonts w:ascii="宋体" w:hAnsi="宋体" w:cs="宋体"/>
          <w:color w:val="000000"/>
          <w:sz w:val="18"/>
          <w:szCs w:val="18"/>
        </w:rPr>
      </w:pPr>
    </w:p>
    <w:p>
      <w:pPr>
        <w:autoSpaceDE w:val="0"/>
        <w:autoSpaceDN w:val="0"/>
        <w:adjustRightInd w:val="0"/>
        <w:spacing w:line="180" w:lineRule="exact"/>
        <w:jc w:val="left"/>
        <w:rPr>
          <w:rFonts w:ascii="宋体" w:hAnsi="宋体" w:cs="宋体"/>
          <w:color w:val="000000"/>
          <w:sz w:val="18"/>
          <w:szCs w:val="18"/>
        </w:rPr>
      </w:pPr>
    </w:p>
    <w:p>
      <w:pPr>
        <w:autoSpaceDE w:val="0"/>
        <w:autoSpaceDN w:val="0"/>
        <w:adjustRightInd w:val="0"/>
        <w:spacing w:line="180" w:lineRule="exact"/>
        <w:jc w:val="left"/>
        <w:rPr>
          <w:rFonts w:ascii="宋体" w:hAnsi="宋体" w:cs="宋体"/>
          <w:color w:val="000000"/>
          <w:sz w:val="18"/>
          <w:szCs w:val="18"/>
        </w:rPr>
      </w:pPr>
    </w:p>
    <w:p>
      <w:pPr>
        <w:autoSpaceDE w:val="0"/>
        <w:autoSpaceDN w:val="0"/>
        <w:adjustRightInd w:val="0"/>
        <w:spacing w:line="180" w:lineRule="exact"/>
        <w:jc w:val="left"/>
        <w:rPr>
          <w:rFonts w:ascii="宋体" w:hAnsi="宋体" w:cs="宋体"/>
          <w:color w:val="000000"/>
          <w:sz w:val="18"/>
          <w:szCs w:val="18"/>
        </w:rPr>
      </w:pPr>
      <w:r>
        <w:rPr>
          <w:rFonts w:hint="eastAsia" w:ascii="宋体" w:hAnsi="宋体" w:cs="宋体"/>
          <w:color w:val="000000"/>
          <w:sz w:val="18"/>
          <w:szCs w:val="18"/>
        </w:rPr>
        <w:t>注：从业人员、营业收入、资产总额填报上一年度数据，无上一年度数据的新成立企业可不填报。</w:t>
      </w:r>
    </w:p>
    <w:p>
      <w:pPr>
        <w:spacing w:line="312" w:lineRule="auto"/>
        <w:rPr>
          <w:rFonts w:ascii="宋体" w:hAnsi="宋体" w:cs="宋体"/>
          <w:color w:val="000000"/>
          <w:sz w:val="32"/>
          <w:szCs w:val="32"/>
          <w:lang w:val="zh-CN"/>
        </w:rPr>
      </w:pPr>
    </w:p>
    <w:p>
      <w:pPr>
        <w:spacing w:line="312" w:lineRule="auto"/>
        <w:jc w:val="center"/>
        <w:rPr>
          <w:rFonts w:ascii="宋体" w:hAnsi="宋体" w:cs="宋体"/>
          <w:b/>
          <w:bCs/>
          <w:color w:val="000000"/>
          <w:sz w:val="32"/>
          <w:szCs w:val="32"/>
          <w:lang w:val="zh-CN"/>
        </w:rPr>
      </w:pPr>
    </w:p>
    <w:p>
      <w:pPr>
        <w:spacing w:line="312" w:lineRule="auto"/>
        <w:jc w:val="center"/>
        <w:rPr>
          <w:rFonts w:ascii="宋体" w:hAnsi="宋体" w:cs="宋体"/>
          <w:b/>
          <w:bCs/>
          <w:color w:val="000000"/>
          <w:sz w:val="32"/>
          <w:szCs w:val="32"/>
          <w:lang w:val="zh-CN"/>
        </w:rPr>
      </w:pPr>
      <w:r>
        <w:rPr>
          <w:rFonts w:hint="eastAsia" w:ascii="宋体" w:hAnsi="宋体" w:cs="宋体"/>
          <w:b/>
          <w:bCs/>
          <w:color w:val="000000"/>
          <w:sz w:val="32"/>
          <w:szCs w:val="32"/>
          <w:lang w:val="zh-CN"/>
        </w:rPr>
        <w:t>监狱企业证明材料</w:t>
      </w:r>
    </w:p>
    <w:p>
      <w:pPr>
        <w:autoSpaceDE w:val="0"/>
        <w:autoSpaceDN w:val="0"/>
        <w:snapToGrid w:val="0"/>
        <w:spacing w:line="360" w:lineRule="auto"/>
        <w:rPr>
          <w:rFonts w:ascii="宋体" w:hAnsi="宋体" w:cs="宋体"/>
          <w:color w:val="000000"/>
          <w:sz w:val="32"/>
          <w:szCs w:val="22"/>
          <w:lang w:val="zh-CN"/>
        </w:rPr>
      </w:pPr>
    </w:p>
    <w:p>
      <w:pPr>
        <w:autoSpaceDE w:val="0"/>
        <w:autoSpaceDN w:val="0"/>
        <w:spacing w:line="640" w:lineRule="exact"/>
        <w:ind w:firstLine="420" w:firstLineChars="200"/>
        <w:rPr>
          <w:rFonts w:ascii="宋体" w:hAnsi="宋体" w:cs="宋体"/>
          <w:color w:val="000000"/>
          <w:szCs w:val="21"/>
        </w:rPr>
      </w:pPr>
      <w:r>
        <w:rPr>
          <w:rFonts w:hint="eastAsia" w:ascii="宋体" w:hAnsi="宋体" w:cs="宋体"/>
          <w:color w:val="000000"/>
          <w:szCs w:val="21"/>
        </w:rPr>
        <w:t>备注：若是，监狱企业投标的应按照《财政部司法部关于政府采购支持监狱企业发展有关问题的通知（财库〔2014〕68号）》要求提供由省级以上监狱管理局、戒毒管理局（含新疆生产建设兵团）出具的属于监狱企业的证明文件。</w:t>
      </w:r>
    </w:p>
    <w:p>
      <w:pPr>
        <w:spacing w:line="360" w:lineRule="auto"/>
        <w:ind w:firstLine="480" w:firstLineChars="200"/>
        <w:jc w:val="distribute"/>
        <w:rPr>
          <w:rFonts w:ascii="宋体" w:hAnsi="宋体" w:cs="宋体"/>
          <w:color w:val="000000"/>
          <w:sz w:val="24"/>
          <w:szCs w:val="22"/>
        </w:rPr>
      </w:pPr>
      <w:r>
        <w:rPr>
          <w:rFonts w:hint="eastAsia" w:ascii="宋体" w:hAnsi="宋体" w:cs="宋体"/>
          <w:color w:val="000000"/>
          <w:sz w:val="24"/>
          <w:szCs w:val="22"/>
        </w:rPr>
        <w:br w:type="page"/>
      </w:r>
    </w:p>
    <w:p>
      <w:pPr>
        <w:pStyle w:val="87"/>
        <w:jc w:val="center"/>
        <w:rPr>
          <w:rFonts w:ascii="宋体" w:hAnsi="宋体" w:cs="宋体"/>
          <w:color w:val="000000"/>
          <w:sz w:val="32"/>
          <w:szCs w:val="32"/>
          <w:lang w:val="zh-CN"/>
        </w:rPr>
      </w:pPr>
      <w:r>
        <w:rPr>
          <w:rFonts w:hint="eastAsia" w:ascii="宋体" w:hAnsi="宋体" w:cs="宋体"/>
          <w:color w:val="000000"/>
          <w:sz w:val="32"/>
          <w:szCs w:val="32"/>
          <w:lang w:val="zh-CN"/>
        </w:rPr>
        <w:t>残疾人福利性单位声明函</w:t>
      </w:r>
    </w:p>
    <w:p>
      <w:pPr>
        <w:spacing w:line="588" w:lineRule="exact"/>
        <w:rPr>
          <w:rFonts w:ascii="宋体" w:hAnsi="宋体" w:cs="宋体"/>
          <w:color w:val="000000"/>
          <w:spacing w:val="6"/>
          <w:sz w:val="30"/>
          <w:szCs w:val="30"/>
        </w:rPr>
      </w:pPr>
    </w:p>
    <w:p>
      <w:pPr>
        <w:spacing w:line="588" w:lineRule="exact"/>
        <w:ind w:firstLine="444" w:firstLineChars="200"/>
        <w:rPr>
          <w:rFonts w:ascii="宋体" w:hAnsi="宋体" w:cs="宋体"/>
          <w:color w:val="000000"/>
          <w:spacing w:val="6"/>
          <w:szCs w:val="21"/>
        </w:rPr>
      </w:pPr>
      <w:r>
        <w:rPr>
          <w:rFonts w:hint="eastAsia" w:ascii="宋体" w:hAnsi="宋体" w:cs="宋体"/>
          <w:color w:val="000000"/>
          <w:spacing w:val="6"/>
          <w:szCs w:val="21"/>
        </w:rPr>
        <w:t>本单位郑重声明，根据《财政部民政部中国残疾人联合会关于促进残疾人就业政府采购政策的通知》（财库</w:t>
      </w:r>
      <w:r>
        <w:rPr>
          <w:rFonts w:hint="eastAsia" w:ascii="宋体" w:hAnsi="宋体" w:cs="宋体"/>
          <w:color w:val="000000"/>
          <w:szCs w:val="21"/>
        </w:rPr>
        <w:t>〔2017〕 141</w:t>
      </w:r>
      <w:r>
        <w:rPr>
          <w:rFonts w:hint="eastAsia" w:ascii="宋体" w:hAnsi="宋体" w:cs="宋体"/>
          <w:color w:val="000000"/>
          <w:spacing w:val="6"/>
          <w:szCs w:val="21"/>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宋体" w:hAnsi="宋体" w:cs="宋体"/>
          <w:color w:val="000000"/>
          <w:spacing w:val="6"/>
          <w:szCs w:val="21"/>
        </w:rPr>
      </w:pPr>
      <w:r>
        <w:rPr>
          <w:rFonts w:hint="eastAsia" w:ascii="宋体" w:hAnsi="宋体" w:cs="宋体"/>
          <w:color w:val="000000"/>
          <w:spacing w:val="6"/>
          <w:szCs w:val="21"/>
        </w:rPr>
        <w:t>本单位对上述声明的真实性负责。如有虚假，将依法承担相应责任。</w:t>
      </w:r>
    </w:p>
    <w:p>
      <w:pPr>
        <w:spacing w:line="588" w:lineRule="exact"/>
        <w:ind w:firstLine="444" w:firstLineChars="200"/>
        <w:rPr>
          <w:rFonts w:ascii="宋体" w:hAnsi="宋体" w:cs="宋体"/>
          <w:color w:val="000000"/>
          <w:spacing w:val="6"/>
          <w:szCs w:val="21"/>
        </w:rPr>
      </w:pPr>
    </w:p>
    <w:p>
      <w:pPr>
        <w:spacing w:line="588" w:lineRule="exact"/>
        <w:ind w:firstLine="444" w:firstLineChars="200"/>
        <w:rPr>
          <w:rFonts w:ascii="宋体" w:hAnsi="宋体" w:cs="宋体"/>
          <w:color w:val="000000"/>
          <w:spacing w:val="6"/>
          <w:szCs w:val="21"/>
        </w:rPr>
      </w:pPr>
    </w:p>
    <w:p>
      <w:pPr>
        <w:tabs>
          <w:tab w:val="left" w:pos="4860"/>
        </w:tabs>
        <w:autoSpaceDE w:val="0"/>
        <w:autoSpaceDN w:val="0"/>
        <w:spacing w:line="588" w:lineRule="exact"/>
        <w:ind w:right="1560" w:firstLine="504"/>
        <w:jc w:val="right"/>
        <w:rPr>
          <w:rFonts w:ascii="宋体" w:hAnsi="宋体" w:cs="宋体"/>
          <w:color w:val="000000"/>
          <w:szCs w:val="21"/>
          <w:lang w:val="zh-CN"/>
        </w:rPr>
      </w:pPr>
      <w:r>
        <w:rPr>
          <w:rFonts w:hint="eastAsia" w:ascii="宋体" w:hAnsi="宋体" w:cs="宋体"/>
          <w:color w:val="000000"/>
          <w:szCs w:val="21"/>
          <w:lang w:val="zh-CN"/>
        </w:rPr>
        <w:t>企业名称（公章）：</w:t>
      </w:r>
    </w:p>
    <w:p>
      <w:pPr>
        <w:tabs>
          <w:tab w:val="left" w:pos="4860"/>
        </w:tabs>
        <w:autoSpaceDE w:val="0"/>
        <w:autoSpaceDN w:val="0"/>
        <w:spacing w:line="588" w:lineRule="exact"/>
        <w:ind w:right="1560" w:firstLine="504"/>
        <w:jc w:val="right"/>
        <w:rPr>
          <w:rFonts w:ascii="宋体" w:hAnsi="宋体" w:cs="宋体"/>
          <w:color w:val="000000"/>
          <w:szCs w:val="21"/>
          <w:lang w:val="zh-CN"/>
        </w:rPr>
      </w:pPr>
      <w:r>
        <w:rPr>
          <w:rFonts w:hint="eastAsia" w:ascii="宋体" w:hAnsi="宋体" w:cs="宋体"/>
          <w:color w:val="000000"/>
          <w:szCs w:val="21"/>
          <w:lang w:val="zh-CN"/>
        </w:rPr>
        <w:t xml:space="preserve">日期： </w:t>
      </w:r>
    </w:p>
    <w:p>
      <w:pPr>
        <w:autoSpaceDE w:val="0"/>
        <w:autoSpaceDN w:val="0"/>
        <w:adjustRightInd w:val="0"/>
        <w:spacing w:line="400" w:lineRule="exact"/>
        <w:jc w:val="left"/>
        <w:rPr>
          <w:rFonts w:ascii="宋体" w:hAnsi="宋体" w:cs="宋体"/>
          <w:color w:val="000000"/>
          <w:szCs w:val="21"/>
        </w:rPr>
      </w:pPr>
    </w:p>
    <w:p>
      <w:pPr>
        <w:autoSpaceDE w:val="0"/>
        <w:autoSpaceDN w:val="0"/>
        <w:adjustRightInd w:val="0"/>
        <w:spacing w:line="400" w:lineRule="exact"/>
        <w:jc w:val="left"/>
        <w:rPr>
          <w:rFonts w:ascii="宋体" w:hAnsi="宋体" w:cs="宋体"/>
          <w:color w:val="000000"/>
          <w:szCs w:val="21"/>
        </w:rPr>
      </w:pPr>
    </w:p>
    <w:p>
      <w:pPr>
        <w:autoSpaceDE w:val="0"/>
        <w:autoSpaceDN w:val="0"/>
        <w:adjustRightInd w:val="0"/>
        <w:spacing w:line="400" w:lineRule="exact"/>
        <w:jc w:val="left"/>
        <w:rPr>
          <w:rFonts w:ascii="宋体" w:hAnsi="宋体" w:cs="宋体"/>
          <w:color w:val="000000"/>
          <w:szCs w:val="21"/>
        </w:rPr>
      </w:pPr>
    </w:p>
    <w:p>
      <w:pPr>
        <w:autoSpaceDE w:val="0"/>
        <w:autoSpaceDN w:val="0"/>
        <w:adjustRightInd w:val="0"/>
        <w:spacing w:line="400" w:lineRule="exact"/>
        <w:jc w:val="left"/>
        <w:rPr>
          <w:rFonts w:ascii="宋体" w:hAnsi="宋体" w:cs="宋体"/>
          <w:color w:val="000000"/>
          <w:szCs w:val="21"/>
        </w:rPr>
      </w:pPr>
    </w:p>
    <w:p>
      <w:pPr>
        <w:autoSpaceDE w:val="0"/>
        <w:autoSpaceDN w:val="0"/>
        <w:adjustRightInd w:val="0"/>
        <w:spacing w:line="400" w:lineRule="exact"/>
        <w:jc w:val="left"/>
        <w:rPr>
          <w:rFonts w:ascii="宋体" w:hAnsi="宋体" w:cs="宋体"/>
          <w:color w:val="000000"/>
          <w:szCs w:val="21"/>
        </w:rPr>
      </w:pPr>
      <w:r>
        <w:rPr>
          <w:rFonts w:hint="eastAsia" w:ascii="宋体" w:hAnsi="宋体" w:cs="宋体"/>
          <w:color w:val="000000"/>
          <w:szCs w:val="21"/>
        </w:rPr>
        <w:t>备注：若是，</w:t>
      </w:r>
      <w:r>
        <w:rPr>
          <w:rFonts w:hint="eastAsia" w:ascii="宋体" w:hAnsi="宋体" w:cs="宋体"/>
          <w:color w:val="000000"/>
          <w:szCs w:val="21"/>
          <w:lang w:val="zh-CN"/>
        </w:rPr>
        <w:t>应提供财库〔2017〕141号文规定的《残疾人福利性单位声明函》，并对声明的真实性负责</w:t>
      </w:r>
      <w:r>
        <w:rPr>
          <w:rFonts w:hint="eastAsia" w:ascii="宋体" w:hAnsi="宋体" w:cs="宋体"/>
          <w:color w:val="000000"/>
          <w:szCs w:val="21"/>
        </w:rPr>
        <w:t>。</w:t>
      </w:r>
    </w:p>
    <w:p>
      <w:pPr>
        <w:pStyle w:val="2"/>
        <w:keepNext w:val="0"/>
        <w:keepLines w:val="0"/>
        <w:widowControl/>
        <w:spacing w:before="0" w:after="0" w:line="23" w:lineRule="atLeast"/>
        <w:jc w:val="center"/>
        <w:rPr>
          <w:rFonts w:ascii="宋体" w:hAnsi="宋体" w:cs="宋体"/>
          <w:color w:val="000000"/>
          <w:sz w:val="24"/>
          <w:szCs w:val="22"/>
        </w:rPr>
      </w:pPr>
      <w:r>
        <w:rPr>
          <w:rFonts w:hint="eastAsia" w:ascii="宋体" w:hAnsi="宋体" w:cs="宋体"/>
          <w:color w:val="000000"/>
          <w:sz w:val="24"/>
          <w:szCs w:val="22"/>
        </w:rPr>
        <w:t xml:space="preserve"> </w:t>
      </w:r>
    </w:p>
    <w:p>
      <w:pPr>
        <w:pStyle w:val="2"/>
        <w:keepNext w:val="0"/>
        <w:keepLines w:val="0"/>
        <w:widowControl/>
        <w:spacing w:before="0" w:after="0" w:line="23" w:lineRule="atLeast"/>
        <w:jc w:val="center"/>
        <w:rPr>
          <w:rFonts w:ascii="宋体" w:hAnsi="宋体" w:cs="宋体"/>
          <w:color w:val="000000"/>
          <w:sz w:val="24"/>
          <w:szCs w:val="22"/>
        </w:rPr>
      </w:pPr>
    </w:p>
    <w:p>
      <w:pPr>
        <w:pStyle w:val="2"/>
        <w:keepNext w:val="0"/>
        <w:keepLines w:val="0"/>
        <w:widowControl/>
        <w:spacing w:before="0" w:after="0" w:line="23" w:lineRule="atLeast"/>
        <w:jc w:val="center"/>
        <w:rPr>
          <w:rFonts w:ascii="宋体" w:hAnsi="宋体" w:cs="宋体"/>
          <w:color w:val="000000"/>
          <w:sz w:val="24"/>
          <w:szCs w:val="22"/>
        </w:rPr>
      </w:pPr>
    </w:p>
    <w:p>
      <w:pPr>
        <w:pStyle w:val="2"/>
        <w:keepNext w:val="0"/>
        <w:keepLines w:val="0"/>
        <w:widowControl/>
        <w:spacing w:before="0" w:after="0" w:line="23" w:lineRule="atLeast"/>
        <w:jc w:val="center"/>
        <w:rPr>
          <w:rFonts w:ascii="宋体" w:hAnsi="宋体" w:cs="宋体"/>
          <w:color w:val="000000"/>
          <w:sz w:val="24"/>
          <w:szCs w:val="22"/>
        </w:rPr>
      </w:pPr>
    </w:p>
    <w:p>
      <w:pPr>
        <w:pStyle w:val="2"/>
        <w:keepNext w:val="0"/>
        <w:keepLines w:val="0"/>
        <w:widowControl/>
        <w:spacing w:before="0" w:after="0" w:line="23" w:lineRule="atLeast"/>
        <w:jc w:val="center"/>
        <w:rPr>
          <w:rFonts w:ascii="宋体" w:hAnsi="宋体" w:cs="宋体"/>
          <w:color w:val="000000"/>
          <w:sz w:val="24"/>
          <w:szCs w:val="22"/>
        </w:rPr>
      </w:pPr>
    </w:p>
    <w:p>
      <w:pPr>
        <w:pStyle w:val="2"/>
        <w:keepNext w:val="0"/>
        <w:keepLines w:val="0"/>
        <w:widowControl/>
        <w:spacing w:before="0" w:after="0" w:line="23" w:lineRule="atLeast"/>
        <w:jc w:val="center"/>
        <w:rPr>
          <w:rFonts w:ascii="宋体" w:hAnsi="宋体" w:cs="宋体"/>
          <w:color w:val="000000"/>
          <w:sz w:val="24"/>
          <w:szCs w:val="22"/>
        </w:rPr>
      </w:pPr>
    </w:p>
    <w:p/>
    <w:p>
      <w:pPr>
        <w:pStyle w:val="2"/>
        <w:keepNext w:val="0"/>
        <w:keepLines w:val="0"/>
        <w:widowControl/>
        <w:spacing w:before="0" w:after="0" w:line="23" w:lineRule="atLeast"/>
        <w:jc w:val="center"/>
        <w:rPr>
          <w:rFonts w:ascii="宋体" w:hAnsi="宋体" w:cs="宋体"/>
          <w:color w:val="000000"/>
          <w:sz w:val="24"/>
          <w:szCs w:val="22"/>
        </w:rPr>
      </w:pPr>
    </w:p>
    <w:p>
      <w:pPr>
        <w:pStyle w:val="2"/>
        <w:keepNext w:val="0"/>
        <w:keepLines w:val="0"/>
        <w:widowControl/>
        <w:spacing w:before="0" w:after="0" w:line="23" w:lineRule="atLeast"/>
        <w:jc w:val="center"/>
        <w:rPr>
          <w:rFonts w:ascii="宋体" w:hAnsi="宋体" w:cs="宋体"/>
          <w:color w:val="000000"/>
          <w:sz w:val="24"/>
          <w:szCs w:val="22"/>
        </w:rPr>
      </w:pPr>
    </w:p>
    <w:p>
      <w:pPr>
        <w:pStyle w:val="2"/>
        <w:keepNext w:val="0"/>
        <w:keepLines w:val="0"/>
        <w:widowControl/>
        <w:spacing w:before="0" w:after="0" w:line="23" w:lineRule="atLeast"/>
        <w:jc w:val="center"/>
        <w:rPr>
          <w:rFonts w:ascii="宋体" w:hAnsi="宋体" w:cs="宋体"/>
          <w:color w:val="000000"/>
          <w:sz w:val="24"/>
          <w:szCs w:val="22"/>
        </w:rPr>
      </w:pPr>
    </w:p>
    <w:p/>
    <w:p>
      <w:pPr>
        <w:pStyle w:val="39"/>
      </w:pPr>
    </w:p>
    <w:p>
      <w:pPr>
        <w:pStyle w:val="19"/>
        <w:rPr>
          <w:rFonts w:hAnsi="宋体" w:cs="宋体"/>
          <w:bCs/>
          <w:color w:val="000000"/>
          <w:szCs w:val="21"/>
        </w:rPr>
      </w:pPr>
    </w:p>
    <w:p>
      <w:pPr>
        <w:pStyle w:val="87"/>
        <w:rPr>
          <w:rFonts w:ascii="宋体" w:hAnsi="宋体" w:cs="宋体"/>
          <w:color w:val="000000"/>
          <w:sz w:val="32"/>
          <w:szCs w:val="32"/>
          <w:lang w:val="zh-CN"/>
        </w:rPr>
      </w:pPr>
      <w:r>
        <w:rPr>
          <w:rFonts w:hint="eastAsia" w:ascii="宋体" w:hAnsi="宋体" w:cs="宋体"/>
          <w:color w:val="000000"/>
          <w:sz w:val="32"/>
          <w:szCs w:val="32"/>
        </w:rPr>
        <w:t>2、</w:t>
      </w:r>
      <w:r>
        <w:rPr>
          <w:rFonts w:hint="eastAsia" w:ascii="宋体" w:hAnsi="宋体" w:cs="宋体"/>
          <w:color w:val="000000"/>
          <w:sz w:val="32"/>
          <w:szCs w:val="32"/>
          <w:lang w:val="zh-CN"/>
        </w:rPr>
        <w:t>优惠条件；</w:t>
      </w:r>
    </w:p>
    <w:p>
      <w:pPr>
        <w:pStyle w:val="87"/>
        <w:rPr>
          <w:rFonts w:ascii="宋体" w:hAnsi="宋体" w:cs="宋体"/>
          <w:color w:val="000000"/>
          <w:sz w:val="32"/>
          <w:szCs w:val="32"/>
          <w:lang w:val="zh-CN"/>
        </w:rPr>
      </w:pPr>
      <w:r>
        <w:rPr>
          <w:rFonts w:hint="eastAsia" w:ascii="宋体" w:hAnsi="宋体" w:cs="宋体"/>
          <w:color w:val="000000"/>
          <w:sz w:val="32"/>
          <w:szCs w:val="32"/>
        </w:rPr>
        <w:t>3、</w:t>
      </w:r>
      <w:r>
        <w:rPr>
          <w:rFonts w:hint="eastAsia" w:ascii="宋体" w:hAnsi="宋体" w:cs="宋体"/>
          <w:color w:val="000000"/>
          <w:sz w:val="32"/>
          <w:szCs w:val="32"/>
          <w:lang w:val="zh-CN"/>
        </w:rPr>
        <w:t>服务承诺；</w:t>
      </w:r>
    </w:p>
    <w:p>
      <w:pPr>
        <w:pStyle w:val="87"/>
        <w:rPr>
          <w:rFonts w:ascii="宋体" w:hAnsi="宋体" w:cs="宋体"/>
          <w:color w:val="000000"/>
          <w:sz w:val="32"/>
          <w:szCs w:val="32"/>
          <w:lang w:val="zh-CN"/>
        </w:rPr>
      </w:pPr>
      <w:r>
        <w:rPr>
          <w:rFonts w:hint="eastAsia" w:ascii="宋体" w:hAnsi="宋体" w:cs="宋体"/>
          <w:color w:val="000000"/>
          <w:sz w:val="32"/>
          <w:szCs w:val="32"/>
        </w:rPr>
        <w:t>4、</w:t>
      </w:r>
      <w:r>
        <w:rPr>
          <w:rFonts w:hint="eastAsia" w:ascii="宋体" w:hAnsi="宋体" w:cs="宋体"/>
          <w:color w:val="000000"/>
          <w:sz w:val="32"/>
          <w:szCs w:val="32"/>
          <w:lang w:val="zh-CN"/>
        </w:rPr>
        <w:t>投标人认为有必要的其它资料及评标办法评审项目的其他证明材料。</w:t>
      </w:r>
    </w:p>
    <w:p>
      <w:pPr>
        <w:pStyle w:val="87"/>
        <w:rPr>
          <w:rFonts w:ascii="宋体" w:hAnsi="宋体" w:cs="宋体"/>
          <w:color w:val="000000"/>
          <w:sz w:val="32"/>
          <w:szCs w:val="32"/>
          <w:lang w:val="zh-CN"/>
        </w:rPr>
      </w:pPr>
    </w:p>
    <w:p>
      <w:pPr>
        <w:pStyle w:val="3"/>
        <w:rPr>
          <w:rFonts w:ascii="宋体" w:hAnsi="宋体" w:cs="宋体"/>
          <w:color w:val="000000"/>
          <w:sz w:val="24"/>
          <w:highlight w:val="cyan"/>
        </w:rPr>
      </w:pPr>
    </w:p>
    <w:p>
      <w:pPr>
        <w:rPr>
          <w:rFonts w:ascii="宋体" w:hAnsi="宋体" w:cs="宋体"/>
          <w:color w:val="000000"/>
          <w:sz w:val="24"/>
          <w:highlight w:val="cyan"/>
        </w:rPr>
      </w:pPr>
    </w:p>
    <w:p>
      <w:pPr>
        <w:pStyle w:val="3"/>
        <w:rPr>
          <w:rFonts w:ascii="宋体" w:hAnsi="宋体" w:cs="宋体"/>
          <w:color w:val="000000"/>
          <w:sz w:val="24"/>
          <w:highlight w:val="cyan"/>
        </w:rPr>
      </w:pPr>
    </w:p>
    <w:p>
      <w:pPr>
        <w:rPr>
          <w:rFonts w:ascii="宋体" w:hAnsi="宋体" w:cs="宋体"/>
          <w:color w:val="000000"/>
          <w:sz w:val="24"/>
          <w:highlight w:val="cyan"/>
        </w:rPr>
      </w:pPr>
    </w:p>
    <w:p>
      <w:pPr>
        <w:pStyle w:val="3"/>
        <w:rPr>
          <w:rFonts w:ascii="宋体" w:hAnsi="宋体" w:cs="宋体"/>
          <w:color w:val="000000"/>
          <w:sz w:val="24"/>
          <w:highlight w:val="cyan"/>
        </w:rPr>
      </w:pPr>
    </w:p>
    <w:p>
      <w:pPr>
        <w:rPr>
          <w:rFonts w:ascii="宋体" w:hAnsi="宋体" w:cs="宋体"/>
          <w:color w:val="000000"/>
          <w:sz w:val="24"/>
          <w:highlight w:val="cyan"/>
        </w:rPr>
      </w:pPr>
    </w:p>
    <w:p>
      <w:pPr>
        <w:pStyle w:val="3"/>
        <w:rPr>
          <w:rFonts w:ascii="宋体" w:hAnsi="宋体" w:cs="宋体"/>
          <w:color w:val="000000"/>
          <w:sz w:val="24"/>
          <w:highlight w:val="cyan"/>
        </w:rPr>
      </w:pPr>
    </w:p>
    <w:p>
      <w:pPr>
        <w:rPr>
          <w:rFonts w:ascii="宋体" w:hAnsi="宋体" w:cs="宋体"/>
          <w:color w:val="000000"/>
          <w:sz w:val="24"/>
          <w:highlight w:val="cyan"/>
        </w:rPr>
      </w:pPr>
    </w:p>
    <w:p>
      <w:pPr>
        <w:pStyle w:val="3"/>
        <w:rPr>
          <w:rFonts w:ascii="宋体" w:hAnsi="宋体" w:cs="宋体"/>
          <w:color w:val="000000"/>
          <w:sz w:val="24"/>
          <w:highlight w:val="cyan"/>
        </w:rPr>
      </w:pPr>
    </w:p>
    <w:p/>
    <w:p>
      <w:pPr>
        <w:rPr>
          <w:rFonts w:ascii="宋体" w:hAnsi="宋体" w:cs="宋体"/>
          <w:color w:val="000000"/>
          <w:sz w:val="24"/>
          <w:highlight w:val="cyan"/>
        </w:rPr>
      </w:pPr>
    </w:p>
    <w:p>
      <w:pPr>
        <w:pStyle w:val="3"/>
        <w:rPr>
          <w:rFonts w:ascii="宋体" w:hAnsi="宋体" w:cs="宋体"/>
          <w:color w:val="000000"/>
          <w:sz w:val="24"/>
          <w:highlight w:val="cyan"/>
        </w:rPr>
      </w:pPr>
    </w:p>
    <w:p>
      <w:pPr>
        <w:rPr>
          <w:rFonts w:ascii="宋体" w:hAnsi="宋体" w:cs="宋体"/>
          <w:color w:val="000000"/>
          <w:sz w:val="24"/>
          <w:highlight w:val="cyan"/>
        </w:rPr>
      </w:pPr>
    </w:p>
    <w:p>
      <w:pPr>
        <w:pStyle w:val="39"/>
        <w:jc w:val="both"/>
        <w:rPr>
          <w:rFonts w:ascii="宋体" w:hAnsi="宋体" w:cs="宋体"/>
          <w:sz w:val="28"/>
          <w:szCs w:val="28"/>
        </w:rPr>
      </w:pPr>
    </w:p>
    <w:p>
      <w:pPr>
        <w:pStyle w:val="39"/>
        <w:rPr>
          <w:rFonts w:ascii="宋体" w:hAnsi="宋体" w:cs="宋体"/>
          <w:sz w:val="28"/>
          <w:szCs w:val="28"/>
        </w:rPr>
      </w:pPr>
      <w:r>
        <w:rPr>
          <w:rFonts w:hint="eastAsia" w:ascii="宋体" w:hAnsi="宋体" w:cs="宋体"/>
          <w:sz w:val="28"/>
          <w:szCs w:val="28"/>
        </w:rPr>
        <w:t>附件：关于印发中小企业划型标准规定的通知</w:t>
      </w:r>
    </w:p>
    <w:p>
      <w:pPr>
        <w:pStyle w:val="39"/>
        <w:rPr>
          <w:rFonts w:ascii="宋体" w:hAnsi="宋体" w:cs="宋体"/>
          <w:sz w:val="28"/>
          <w:szCs w:val="28"/>
        </w:rPr>
      </w:pPr>
      <w:r>
        <w:rPr>
          <w:rFonts w:hint="eastAsia" w:ascii="宋体" w:hAnsi="宋体" w:cs="宋体"/>
          <w:sz w:val="28"/>
          <w:szCs w:val="28"/>
        </w:rPr>
        <w:t>工信部联企业〔2011〕300 号</w:t>
      </w:r>
    </w:p>
    <w:p>
      <w:pPr>
        <w:spacing w:line="360" w:lineRule="auto"/>
        <w:ind w:firstLine="530" w:firstLineChars="221"/>
        <w:rPr>
          <w:rFonts w:ascii="宋体" w:hAnsi="宋体" w:cs="宋体"/>
          <w:sz w:val="24"/>
          <w:lang w:val="zh-CN"/>
        </w:rPr>
      </w:pPr>
      <w:r>
        <w:rPr>
          <w:rFonts w:hint="eastAsia" w:ascii="宋体" w:hAnsi="宋体" w:cs="宋体"/>
          <w:sz w:val="24"/>
          <w:lang w:val="zh-CN"/>
        </w:rPr>
        <w:t>各省、自治区、直辖市人民政府，国务院各部委、各直属机构及有关单位：</w:t>
      </w:r>
    </w:p>
    <w:p>
      <w:pPr>
        <w:spacing w:line="360" w:lineRule="auto"/>
        <w:ind w:firstLine="530" w:firstLineChars="221"/>
        <w:rPr>
          <w:rFonts w:ascii="宋体" w:hAnsi="宋体" w:cs="宋体"/>
          <w:sz w:val="24"/>
          <w:lang w:val="zh-CN"/>
        </w:rPr>
      </w:pPr>
      <w:r>
        <w:rPr>
          <w:rFonts w:hint="eastAsia" w:ascii="宋体" w:hAnsi="宋体" w:cs="宋体"/>
          <w:sz w:val="24"/>
          <w:lang w:val="zh-CN"/>
        </w:rPr>
        <w:t xml:space="preserve"> 为贯彻落实《中华人民共和国中小企业促进法》和《国务院关于进一步促进中小企业发展的若干意见》（国发〔2009〕36 号），工业和信息化部、国家统计局、发展改革委、财政部研究制定了《中小企业划型标准规定》。经国务院同意，现印发给你们，请遵照执行。</w:t>
      </w:r>
    </w:p>
    <w:p>
      <w:pPr>
        <w:spacing w:line="360" w:lineRule="auto"/>
        <w:ind w:firstLine="530" w:firstLineChars="221"/>
        <w:rPr>
          <w:rFonts w:ascii="宋体" w:hAnsi="宋体" w:cs="宋体"/>
          <w:sz w:val="24"/>
          <w:lang w:val="zh-CN"/>
        </w:rPr>
      </w:pPr>
      <w:r>
        <w:rPr>
          <w:rFonts w:hint="eastAsia" w:ascii="宋体" w:hAnsi="宋体" w:cs="宋体"/>
          <w:sz w:val="24"/>
          <w:lang w:val="zh-CN"/>
        </w:rPr>
        <w:t xml:space="preserve"> </w:t>
      </w:r>
    </w:p>
    <w:p>
      <w:pPr>
        <w:spacing w:line="360" w:lineRule="auto"/>
        <w:ind w:firstLine="530" w:firstLineChars="221"/>
        <w:jc w:val="right"/>
        <w:rPr>
          <w:rFonts w:ascii="宋体" w:hAnsi="宋体" w:cs="宋体"/>
          <w:sz w:val="24"/>
          <w:lang w:val="zh-CN"/>
        </w:rPr>
      </w:pPr>
      <w:r>
        <w:rPr>
          <w:rFonts w:hint="eastAsia" w:ascii="宋体" w:hAnsi="宋体" w:cs="宋体"/>
          <w:sz w:val="24"/>
          <w:lang w:val="zh-CN"/>
        </w:rPr>
        <w:t>工业和信息化部 国家统计局</w:t>
      </w:r>
    </w:p>
    <w:p>
      <w:pPr>
        <w:spacing w:line="360" w:lineRule="auto"/>
        <w:ind w:firstLine="530" w:firstLineChars="221"/>
        <w:jc w:val="right"/>
        <w:rPr>
          <w:rFonts w:ascii="宋体" w:hAnsi="宋体" w:cs="宋体"/>
          <w:sz w:val="24"/>
          <w:lang w:val="zh-CN"/>
        </w:rPr>
      </w:pPr>
      <w:r>
        <w:rPr>
          <w:rFonts w:hint="eastAsia" w:ascii="宋体" w:hAnsi="宋体" w:cs="宋体"/>
          <w:sz w:val="24"/>
          <w:lang w:val="zh-CN"/>
        </w:rPr>
        <w:t xml:space="preserve"> 国家发展和改革委员会 财政部</w:t>
      </w:r>
    </w:p>
    <w:p>
      <w:pPr>
        <w:spacing w:line="360" w:lineRule="auto"/>
        <w:ind w:firstLine="530" w:firstLineChars="221"/>
        <w:jc w:val="right"/>
        <w:rPr>
          <w:rFonts w:ascii="宋体" w:hAnsi="宋体" w:cs="宋体"/>
          <w:sz w:val="24"/>
          <w:lang w:val="zh-CN"/>
        </w:rPr>
      </w:pPr>
      <w:r>
        <w:rPr>
          <w:rFonts w:hint="eastAsia" w:ascii="宋体" w:hAnsi="宋体" w:cs="宋体"/>
          <w:sz w:val="24"/>
          <w:lang w:val="zh-CN"/>
        </w:rPr>
        <w:t>二○一一年六月十八日</w:t>
      </w:r>
    </w:p>
    <w:p>
      <w:pPr>
        <w:pStyle w:val="41"/>
        <w:ind w:firstLine="480" w:firstLineChars="200"/>
        <w:jc w:val="right"/>
        <w:rPr>
          <w:rFonts w:ascii="宋体"/>
          <w:bCs/>
          <w:sz w:val="24"/>
        </w:rPr>
      </w:pPr>
    </w:p>
    <w:p>
      <w:pPr>
        <w:pStyle w:val="41"/>
        <w:ind w:firstLine="480" w:firstLineChars="200"/>
        <w:jc w:val="right"/>
        <w:rPr>
          <w:rFonts w:ascii="宋体"/>
          <w:bCs/>
          <w:sz w:val="24"/>
        </w:rPr>
      </w:pPr>
    </w:p>
    <w:p>
      <w:pPr>
        <w:pStyle w:val="41"/>
        <w:ind w:firstLine="480" w:firstLineChars="200"/>
        <w:jc w:val="right"/>
        <w:rPr>
          <w:rFonts w:ascii="宋体"/>
          <w:bCs/>
          <w:sz w:val="24"/>
        </w:rPr>
      </w:pPr>
    </w:p>
    <w:p>
      <w:pPr>
        <w:pStyle w:val="41"/>
        <w:ind w:firstLine="480" w:firstLineChars="200"/>
        <w:jc w:val="right"/>
        <w:rPr>
          <w:rFonts w:ascii="宋体"/>
          <w:bCs/>
          <w:sz w:val="24"/>
        </w:rPr>
      </w:pPr>
    </w:p>
    <w:p>
      <w:pPr>
        <w:pStyle w:val="41"/>
        <w:ind w:firstLine="480" w:firstLineChars="200"/>
        <w:jc w:val="right"/>
        <w:rPr>
          <w:rFonts w:ascii="宋体"/>
          <w:bCs/>
          <w:sz w:val="24"/>
        </w:rPr>
      </w:pPr>
    </w:p>
    <w:p>
      <w:pPr>
        <w:pStyle w:val="41"/>
        <w:ind w:firstLine="480" w:firstLineChars="200"/>
        <w:jc w:val="right"/>
        <w:rPr>
          <w:rFonts w:ascii="宋体"/>
          <w:bCs/>
          <w:sz w:val="24"/>
        </w:rPr>
      </w:pPr>
    </w:p>
    <w:p>
      <w:pPr>
        <w:pStyle w:val="41"/>
        <w:ind w:firstLine="480" w:firstLineChars="200"/>
        <w:jc w:val="right"/>
        <w:rPr>
          <w:rFonts w:ascii="宋体"/>
          <w:bCs/>
          <w:sz w:val="24"/>
        </w:rPr>
      </w:pPr>
    </w:p>
    <w:p>
      <w:pPr>
        <w:pStyle w:val="41"/>
        <w:ind w:firstLine="480" w:firstLineChars="200"/>
        <w:jc w:val="right"/>
        <w:rPr>
          <w:rFonts w:ascii="宋体"/>
          <w:bCs/>
          <w:sz w:val="24"/>
        </w:rPr>
      </w:pPr>
    </w:p>
    <w:p>
      <w:pPr>
        <w:pStyle w:val="41"/>
        <w:ind w:firstLine="480" w:firstLineChars="200"/>
        <w:jc w:val="right"/>
        <w:rPr>
          <w:rFonts w:ascii="宋体"/>
          <w:bCs/>
          <w:sz w:val="24"/>
        </w:rPr>
      </w:pPr>
    </w:p>
    <w:p>
      <w:pPr>
        <w:pStyle w:val="41"/>
        <w:ind w:firstLine="480" w:firstLineChars="200"/>
        <w:jc w:val="right"/>
        <w:rPr>
          <w:rFonts w:ascii="宋体"/>
          <w:bCs/>
          <w:sz w:val="24"/>
        </w:rPr>
      </w:pPr>
    </w:p>
    <w:p>
      <w:pPr>
        <w:pStyle w:val="41"/>
        <w:ind w:firstLine="480" w:firstLineChars="200"/>
        <w:jc w:val="right"/>
        <w:rPr>
          <w:rFonts w:ascii="宋体"/>
          <w:bCs/>
          <w:sz w:val="24"/>
        </w:rPr>
      </w:pPr>
    </w:p>
    <w:p>
      <w:pPr>
        <w:pStyle w:val="41"/>
        <w:ind w:firstLine="480" w:firstLineChars="200"/>
        <w:jc w:val="right"/>
        <w:rPr>
          <w:rFonts w:ascii="宋体"/>
          <w:bCs/>
          <w:sz w:val="24"/>
        </w:rPr>
      </w:pPr>
    </w:p>
    <w:p>
      <w:pPr>
        <w:pStyle w:val="41"/>
        <w:ind w:firstLine="480" w:firstLineChars="200"/>
        <w:jc w:val="right"/>
        <w:rPr>
          <w:rFonts w:ascii="宋体"/>
          <w:bCs/>
          <w:sz w:val="24"/>
        </w:rPr>
      </w:pPr>
    </w:p>
    <w:p>
      <w:pPr>
        <w:pStyle w:val="41"/>
        <w:ind w:firstLine="480" w:firstLineChars="200"/>
        <w:jc w:val="right"/>
        <w:rPr>
          <w:rFonts w:ascii="宋体"/>
          <w:bCs/>
          <w:sz w:val="24"/>
        </w:rPr>
      </w:pPr>
    </w:p>
    <w:p>
      <w:pPr>
        <w:pStyle w:val="41"/>
        <w:ind w:firstLine="480" w:firstLineChars="200"/>
        <w:jc w:val="right"/>
        <w:rPr>
          <w:rFonts w:ascii="宋体"/>
          <w:bCs/>
          <w:sz w:val="24"/>
        </w:rPr>
      </w:pPr>
    </w:p>
    <w:p>
      <w:pPr>
        <w:pStyle w:val="41"/>
        <w:ind w:firstLine="480" w:firstLineChars="200"/>
        <w:jc w:val="right"/>
        <w:rPr>
          <w:rFonts w:ascii="宋体"/>
          <w:bCs/>
          <w:sz w:val="24"/>
        </w:rPr>
      </w:pPr>
    </w:p>
    <w:p>
      <w:pPr>
        <w:pStyle w:val="41"/>
        <w:ind w:firstLine="480" w:firstLineChars="200"/>
        <w:jc w:val="right"/>
        <w:rPr>
          <w:rFonts w:ascii="宋体"/>
          <w:bCs/>
          <w:sz w:val="24"/>
        </w:rPr>
      </w:pPr>
    </w:p>
    <w:p>
      <w:pPr>
        <w:pStyle w:val="41"/>
        <w:ind w:firstLine="480" w:firstLineChars="200"/>
        <w:jc w:val="right"/>
        <w:rPr>
          <w:rFonts w:ascii="宋体"/>
          <w:bCs/>
          <w:sz w:val="24"/>
        </w:rPr>
      </w:pPr>
    </w:p>
    <w:p>
      <w:pPr>
        <w:pStyle w:val="41"/>
        <w:ind w:firstLine="480" w:firstLineChars="200"/>
        <w:jc w:val="right"/>
        <w:rPr>
          <w:rFonts w:ascii="宋体"/>
          <w:bCs/>
          <w:sz w:val="24"/>
        </w:rPr>
      </w:pPr>
    </w:p>
    <w:p>
      <w:pPr>
        <w:pStyle w:val="41"/>
        <w:ind w:firstLine="0" w:firstLineChars="0"/>
        <w:jc w:val="center"/>
        <w:rPr>
          <w:rFonts w:ascii="宋体"/>
          <w:b/>
          <w:bCs/>
          <w:sz w:val="32"/>
          <w:szCs w:val="32"/>
        </w:rPr>
      </w:pPr>
      <w:r>
        <w:rPr>
          <w:rFonts w:hint="eastAsia" w:ascii="宋体"/>
          <w:b/>
          <w:bCs/>
          <w:sz w:val="32"/>
          <w:szCs w:val="32"/>
        </w:rPr>
        <w:t>中小企业划型标准规定</w:t>
      </w:r>
    </w:p>
    <w:p>
      <w:pPr>
        <w:spacing w:line="360" w:lineRule="auto"/>
        <w:ind w:firstLine="530" w:firstLineChars="221"/>
        <w:rPr>
          <w:rFonts w:ascii="宋体" w:hAnsi="宋体" w:cs="宋体"/>
          <w:sz w:val="24"/>
          <w:lang w:val="zh-CN"/>
        </w:rPr>
      </w:pPr>
      <w:r>
        <w:rPr>
          <w:rFonts w:hint="eastAsia" w:ascii="宋体" w:hAnsi="宋体" w:cs="宋体"/>
          <w:sz w:val="24"/>
          <w:lang w:val="zh-CN"/>
        </w:rPr>
        <w:t>一、根据《中华人民共和国中小企业促进法》和《国务院关于进一步促进中小企业发展的若干意见》(国发〔2009〕36 号），制定本规定。</w:t>
      </w:r>
    </w:p>
    <w:p>
      <w:pPr>
        <w:spacing w:line="360" w:lineRule="auto"/>
        <w:ind w:firstLine="530" w:firstLineChars="221"/>
        <w:rPr>
          <w:rFonts w:ascii="宋体" w:hAnsi="宋体" w:cs="宋体"/>
          <w:sz w:val="24"/>
          <w:lang w:val="zh-CN"/>
        </w:rPr>
      </w:pPr>
      <w:r>
        <w:rPr>
          <w:rFonts w:hint="eastAsia" w:ascii="宋体" w:hAnsi="宋体" w:cs="宋体"/>
          <w:sz w:val="24"/>
          <w:lang w:val="zh-CN"/>
        </w:rPr>
        <w:t>二、中小企业划分为中型、小型、微型三种类型，具体标准根据企业从业人员、营业收入、资产总额等指标，结合行业特点制定。</w:t>
      </w:r>
    </w:p>
    <w:p>
      <w:pPr>
        <w:spacing w:line="360" w:lineRule="auto"/>
        <w:ind w:firstLine="530" w:firstLineChars="221"/>
        <w:rPr>
          <w:rFonts w:ascii="宋体" w:hAnsi="宋体" w:cs="宋体"/>
          <w:sz w:val="24"/>
          <w:lang w:val="zh-CN"/>
        </w:rPr>
      </w:pPr>
      <w:r>
        <w:rPr>
          <w:rFonts w:hint="eastAsia" w:ascii="宋体" w:hAnsi="宋体" w:cs="宋体"/>
          <w:sz w:val="24"/>
          <w:lang w:val="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spacing w:line="360" w:lineRule="auto"/>
        <w:ind w:firstLine="530" w:firstLineChars="221"/>
        <w:rPr>
          <w:rFonts w:ascii="宋体" w:hAnsi="宋体" w:cs="宋体"/>
          <w:sz w:val="24"/>
          <w:lang w:val="zh-CN"/>
        </w:rPr>
      </w:pPr>
      <w:r>
        <w:rPr>
          <w:rFonts w:hint="eastAsia" w:ascii="宋体" w:hAnsi="宋体" w:cs="宋体"/>
          <w:sz w:val="24"/>
          <w:lang w:val="zh-CN"/>
        </w:rPr>
        <w:t>四、各行业划型标准为：</w:t>
      </w:r>
    </w:p>
    <w:p>
      <w:pPr>
        <w:spacing w:line="360" w:lineRule="auto"/>
        <w:ind w:firstLine="530" w:firstLineChars="221"/>
        <w:rPr>
          <w:rFonts w:ascii="宋体" w:hAnsi="宋体" w:cs="宋体"/>
          <w:sz w:val="24"/>
          <w:lang w:val="zh-CN"/>
        </w:rPr>
      </w:pPr>
      <w:r>
        <w:rPr>
          <w:rFonts w:hint="eastAsia" w:ascii="宋体" w:hAnsi="宋体" w:cs="宋体"/>
          <w:sz w:val="24"/>
          <w:lang w:val="zh-CN"/>
        </w:rPr>
        <w:t>（一）农、林、牧、渔业。营业收入 20000 万元以下的为中小微型企业。其中，营业收入 500 万元及以上的为中型企业，营业收入 50 万元及以上的为小型企业，营业收入 50 万元以下的为微型企业。</w:t>
      </w:r>
    </w:p>
    <w:p>
      <w:pPr>
        <w:spacing w:line="360" w:lineRule="auto"/>
        <w:ind w:firstLine="530" w:firstLineChars="221"/>
        <w:rPr>
          <w:rFonts w:ascii="宋体" w:hAnsi="宋体" w:cs="宋体"/>
          <w:sz w:val="24"/>
          <w:lang w:val="zh-CN"/>
        </w:rPr>
      </w:pPr>
      <w:r>
        <w:rPr>
          <w:rFonts w:hint="eastAsia" w:ascii="宋体" w:hAnsi="宋体" w:cs="宋体"/>
          <w:sz w:val="24"/>
          <w:lang w:val="zh-CN"/>
        </w:rPr>
        <w:t>（二）工业。从业人员 1000 人以下或营业收入 40000 万元以下的为中小微型企业。其中，从业人员 300 人及以上，且营业收入 2000 万元及以上的为中型企业；从业人员20 人及以上，且营业收入 300 万元及以上的为小型企业；从业人员 20 人以下或营业收入 300 万元以下的为微型企业。</w:t>
      </w:r>
    </w:p>
    <w:p>
      <w:pPr>
        <w:spacing w:line="360" w:lineRule="auto"/>
        <w:ind w:firstLine="530" w:firstLineChars="221"/>
        <w:rPr>
          <w:rFonts w:ascii="宋体" w:hAnsi="宋体" w:cs="宋体"/>
          <w:sz w:val="24"/>
          <w:lang w:val="zh-CN"/>
        </w:rPr>
      </w:pPr>
      <w:r>
        <w:rPr>
          <w:rFonts w:hint="eastAsia" w:ascii="宋体" w:hAnsi="宋体" w:cs="宋体"/>
          <w:sz w:val="24"/>
          <w:lang w:val="zh-CN"/>
        </w:rPr>
        <w:t>（三）建筑业。营业收入 80000 万元以下或资产总额 80000 万元以下的为中小微型企业。其中，营业收入 6000 万元及以上，且资产总额 5000 万元及以上的为中型企业；营业收入 300 万元及以上，且资产总额 300 万元及以上的为小型企业；营业收入 300 万元以下或资产总额 300 万元以下的为微型企业。</w:t>
      </w:r>
    </w:p>
    <w:p>
      <w:pPr>
        <w:spacing w:line="360" w:lineRule="auto"/>
        <w:ind w:firstLine="530" w:firstLineChars="221"/>
        <w:rPr>
          <w:rFonts w:ascii="宋体" w:hAnsi="宋体" w:cs="宋体"/>
          <w:sz w:val="24"/>
          <w:lang w:val="zh-CN"/>
        </w:rPr>
      </w:pPr>
      <w:r>
        <w:rPr>
          <w:rFonts w:hint="eastAsia" w:ascii="宋体" w:hAnsi="宋体" w:cs="宋体"/>
          <w:sz w:val="24"/>
          <w:lang w:val="zh-CN"/>
        </w:rPr>
        <w:t>（四）批发业。从业人员 200 人以下或营业收入 40000 万元以下的为中小微型企业。其中，从业人员 20 人及以上，且营业收入 5000 万元及以上的为中型企业；从业人员 5人及以上，且营业收入 1000 万元及以上的为小型企业；从业人员 5 人以下或营业收入1000 万元以下的为微型企业。</w:t>
      </w:r>
    </w:p>
    <w:p>
      <w:pPr>
        <w:spacing w:line="360" w:lineRule="auto"/>
        <w:ind w:firstLine="530" w:firstLineChars="221"/>
        <w:rPr>
          <w:rFonts w:ascii="宋体" w:hAnsi="宋体" w:cs="宋体"/>
          <w:sz w:val="24"/>
          <w:lang w:val="zh-CN"/>
        </w:rPr>
      </w:pPr>
      <w:r>
        <w:rPr>
          <w:rFonts w:hint="eastAsia" w:ascii="宋体" w:hAnsi="宋体" w:cs="宋体"/>
          <w:sz w:val="24"/>
          <w:lang w:val="zh-CN"/>
        </w:rPr>
        <w:t>（五）零售业。从业人员 300 人以下或营业收入 20000 万元以下的为中小微型企业。其中，从业人员 50 人及以上，且营业收入 500 万元及以上的为中型企业；从业人员 10人及以上，且营业收入 100 万元及以上的为小型企业；从业人员 10 人以下或营业收入100 万元以下的为微型企业。</w:t>
      </w:r>
    </w:p>
    <w:p>
      <w:pPr>
        <w:spacing w:line="360" w:lineRule="auto"/>
        <w:ind w:firstLine="530" w:firstLineChars="221"/>
        <w:rPr>
          <w:rFonts w:ascii="宋体" w:hAnsi="宋体" w:cs="宋体"/>
          <w:sz w:val="24"/>
          <w:lang w:val="zh-CN"/>
        </w:rPr>
      </w:pPr>
      <w:r>
        <w:rPr>
          <w:rFonts w:hint="eastAsia" w:ascii="宋体" w:hAnsi="宋体" w:cs="宋体"/>
          <w:sz w:val="24"/>
          <w:lang w:val="zh-CN"/>
        </w:rPr>
        <w:t>（六）交通运输业。从业人员 1000 人以下或营业收入 30000 万元以下的为中小微型企业。其中，从业人员 300 人及以上，且营业收入 3000 万元及以上的为中型企业；从业人员 20 人及以上，且营业收入 200 万元及以上的为小型企业；从业人员 20 人以下或营业收入 200 万元以下的为微型企业。</w:t>
      </w:r>
    </w:p>
    <w:p>
      <w:pPr>
        <w:spacing w:line="360" w:lineRule="auto"/>
        <w:ind w:firstLine="530" w:firstLineChars="221"/>
        <w:rPr>
          <w:rFonts w:ascii="宋体" w:hAnsi="宋体" w:cs="宋体"/>
          <w:sz w:val="24"/>
          <w:lang w:val="zh-CN"/>
        </w:rPr>
      </w:pPr>
      <w:r>
        <w:rPr>
          <w:rFonts w:hint="eastAsia" w:ascii="宋体" w:hAnsi="宋体" w:cs="宋体"/>
          <w:sz w:val="24"/>
          <w:lang w:val="zh-CN"/>
        </w:rPr>
        <w:t>（七）仓储业。从业人员 200 人以下或营业收入 30000 万元以下的为中小微型企业。其中，从业人员 100 人及以上，且营业收入 1000 万元及以上的为中型企业；从业人员20 人及以上，且营业收入 100 万元及以上的为小型企业；从业人员 20 人以下或营业收入 100 万元以下的为微型企业。</w:t>
      </w:r>
    </w:p>
    <w:p>
      <w:pPr>
        <w:spacing w:line="360" w:lineRule="auto"/>
        <w:ind w:firstLine="530" w:firstLineChars="221"/>
        <w:rPr>
          <w:rFonts w:ascii="宋体" w:hAnsi="宋体" w:cs="宋体"/>
          <w:sz w:val="24"/>
          <w:lang w:val="zh-CN"/>
        </w:rPr>
      </w:pPr>
      <w:r>
        <w:rPr>
          <w:rFonts w:hint="eastAsia" w:ascii="宋体" w:hAnsi="宋体" w:cs="宋体"/>
          <w:sz w:val="24"/>
          <w:lang w:val="zh-CN"/>
        </w:rPr>
        <w:t>（八）邮政业。从业人员 1000 人以下或营业收入 30000 万元以下的为中小微型企业。其中，从业人员 300 人及以上，且营业收入 2000 万元及以上的为中型企业；从业人员 20 人及以上，且营业收入 100 万元及以上的为小型企业；从业人员 20 人以下或营业收入 100 万元以下的为微型企业。</w:t>
      </w:r>
    </w:p>
    <w:p>
      <w:pPr>
        <w:spacing w:line="360" w:lineRule="auto"/>
        <w:ind w:firstLine="530" w:firstLineChars="221"/>
        <w:rPr>
          <w:rFonts w:ascii="宋体" w:hAnsi="宋体" w:cs="宋体"/>
          <w:sz w:val="24"/>
          <w:lang w:val="zh-CN"/>
        </w:rPr>
      </w:pPr>
      <w:r>
        <w:rPr>
          <w:rFonts w:hint="eastAsia" w:ascii="宋体" w:hAnsi="宋体" w:cs="宋体"/>
          <w:sz w:val="24"/>
          <w:lang w:val="zh-CN"/>
        </w:rPr>
        <w:t>（九）住宿业。从业人员 300 人以下或营业收入 10000 万元以下的为中小微型企业。其中，从业人员 100 人及以上，且营业收入 2000 万元及以上的为中型企业；从业人员10 人及以上，且营业收入 100 万元及以上的为小型企业；从业人员 10 人以下或营业收入 100 万元以下的为微型企业。</w:t>
      </w:r>
    </w:p>
    <w:p>
      <w:pPr>
        <w:spacing w:line="360" w:lineRule="auto"/>
        <w:ind w:firstLine="530" w:firstLineChars="221"/>
        <w:rPr>
          <w:rFonts w:ascii="宋体" w:hAnsi="宋体" w:cs="宋体"/>
          <w:sz w:val="24"/>
          <w:lang w:val="zh-CN"/>
        </w:rPr>
      </w:pPr>
      <w:r>
        <w:rPr>
          <w:rFonts w:hint="eastAsia" w:ascii="宋体" w:hAnsi="宋体" w:cs="宋体"/>
          <w:sz w:val="24"/>
          <w:lang w:val="zh-CN"/>
        </w:rPr>
        <w:t>（十）餐饮业。从业人员 300 人以下或营业收入 10000 万元以下的为中小微型企业。其中，从业人员 100 人及以上，且营业收入 2000 万元及以上的为中型企业；从业人员10 人及以上，且营业收入 100 万元及以上的为小型企业；从业人员 10 人以下或营业收入 100 万元以下的为微型企业。</w:t>
      </w:r>
    </w:p>
    <w:p>
      <w:pPr>
        <w:spacing w:line="360" w:lineRule="auto"/>
        <w:ind w:firstLine="530" w:firstLineChars="221"/>
        <w:rPr>
          <w:rFonts w:ascii="宋体" w:hAnsi="宋体" w:cs="宋体"/>
          <w:sz w:val="24"/>
          <w:lang w:val="zh-CN"/>
        </w:rPr>
      </w:pPr>
      <w:r>
        <w:rPr>
          <w:rFonts w:hint="eastAsia" w:ascii="宋体" w:hAnsi="宋体" w:cs="宋体"/>
          <w:sz w:val="24"/>
          <w:lang w:val="zh-CN"/>
        </w:rPr>
        <w:t>（十一）信息传输业。从业人员 2000 人以下或营业收入 100000 万元以下的为中小微型企业。其中，从业人员 100 人及以上，且营业收入 1000 万元及以上的为中型企业；从业人员 10 人及以上，且营业收入 100 万元及以上的为小型企业；从业人员 10 人以下或营业收入 100 万元以下的为微型企业。</w:t>
      </w:r>
    </w:p>
    <w:p>
      <w:pPr>
        <w:spacing w:line="360" w:lineRule="auto"/>
        <w:ind w:firstLine="530" w:firstLineChars="221"/>
        <w:rPr>
          <w:rFonts w:ascii="宋体" w:hAnsi="宋体" w:cs="宋体"/>
          <w:sz w:val="24"/>
          <w:lang w:val="zh-CN"/>
        </w:rPr>
      </w:pPr>
      <w:r>
        <w:rPr>
          <w:rFonts w:hint="eastAsia" w:ascii="宋体" w:hAnsi="宋体" w:cs="宋体"/>
          <w:sz w:val="24"/>
          <w:lang w:val="zh-CN"/>
        </w:rPr>
        <w:t>（十二）软件和信息技术服务业。从业人员 300 人以下或营业收入 10000 万元以下的为中小微型企业。其中，从业人员 100 人及以上，且营业收入 1000 万元及以上的为中型企业；从业人员 10 人及以上，且营业收入 50 万元及以上的为小型企业；从业人员10 人以下或营业收入 50 万元以下的为微型企业。</w:t>
      </w:r>
    </w:p>
    <w:p>
      <w:pPr>
        <w:spacing w:line="360" w:lineRule="auto"/>
        <w:ind w:firstLine="530" w:firstLineChars="221"/>
        <w:rPr>
          <w:rFonts w:ascii="宋体" w:hAnsi="宋体" w:cs="宋体"/>
          <w:sz w:val="24"/>
          <w:lang w:val="zh-CN"/>
        </w:rPr>
      </w:pPr>
      <w:r>
        <w:rPr>
          <w:rFonts w:hint="eastAsia" w:ascii="宋体" w:hAnsi="宋体" w:cs="宋体"/>
          <w:sz w:val="24"/>
          <w:lang w:val="zh-CN"/>
        </w:rPr>
        <w:t>（十三）房地产开发经营。营业收入 200000 万元以下或资产总额 10000 万元以下的为中小微型企业。其中，营业收入 1000 万元及以上，且资产总额 5000 万元及以上的为中型企业；营业收入 100 万元及以上，且资产总额 2000 万元及以上的为小型企业；营业收入 100 万元以下或资产总额 2000 万元以下的为微型企业。</w:t>
      </w:r>
    </w:p>
    <w:p>
      <w:pPr>
        <w:spacing w:line="360" w:lineRule="auto"/>
        <w:ind w:firstLine="530" w:firstLineChars="221"/>
        <w:rPr>
          <w:rFonts w:ascii="宋体" w:hAnsi="宋体" w:cs="宋体"/>
          <w:sz w:val="24"/>
          <w:lang w:val="zh-CN"/>
        </w:rPr>
      </w:pPr>
      <w:r>
        <w:rPr>
          <w:rFonts w:hint="eastAsia" w:ascii="宋体" w:hAnsi="宋体" w:cs="宋体"/>
          <w:sz w:val="24"/>
          <w:lang w:val="zh-CN"/>
        </w:rPr>
        <w:t>（十四）物业管理。从业人员 1000 人以下或营业收入 5000 万元以下的为中小微型企业。其中，从业人员 300 人及以上，且营业收入 1000 万元及以上的为中型企业；从业人员 100 人及以上，且营业收入 500 万元及以上的为小型企业；从业人员 100 人以下或营业收入 500 万元以下的为微型企业。</w:t>
      </w:r>
    </w:p>
    <w:p>
      <w:pPr>
        <w:spacing w:line="360" w:lineRule="auto"/>
        <w:ind w:firstLine="530" w:firstLineChars="221"/>
        <w:rPr>
          <w:rFonts w:ascii="宋体" w:hAnsi="宋体" w:cs="宋体"/>
          <w:sz w:val="24"/>
          <w:lang w:val="zh-CN"/>
        </w:rPr>
      </w:pPr>
      <w:r>
        <w:rPr>
          <w:rFonts w:hint="eastAsia" w:ascii="宋体" w:hAnsi="宋体" w:cs="宋体"/>
          <w:sz w:val="24"/>
          <w:lang w:val="zh-CN"/>
        </w:rPr>
        <w:t>（十五）租赁和商务服务业。从业人员 300 人以下或资产总额 120000 万元以下的为中小微型企业。其中，从业人员 100 人及以上，且资产总额 8000 万元及以上的为中型企业；从业人员 10 人及以上，且资产总额 100 万元及以上的为小型企业；从业人员10 人以下或资产总额 100 万元以下的为微型企业。</w:t>
      </w:r>
    </w:p>
    <w:p>
      <w:pPr>
        <w:spacing w:line="360" w:lineRule="auto"/>
        <w:ind w:firstLine="530" w:firstLineChars="221"/>
        <w:rPr>
          <w:rFonts w:ascii="宋体" w:hAnsi="宋体" w:cs="宋体"/>
          <w:sz w:val="24"/>
          <w:lang w:val="zh-CN"/>
        </w:rPr>
      </w:pPr>
      <w:r>
        <w:rPr>
          <w:rFonts w:hint="eastAsia" w:ascii="宋体" w:hAnsi="宋体" w:cs="宋体"/>
          <w:sz w:val="24"/>
          <w:lang w:val="zh-CN"/>
        </w:rPr>
        <w:t>（十六）其他未列明行业。从业人员 300 人以下的为中小微型企业。其中，从业人员 100 人及以上的为中型企业；从业人员 10 人及以上的为小型企业；从业人员 10 人以下的为微型企业。</w:t>
      </w:r>
    </w:p>
    <w:p>
      <w:pPr>
        <w:spacing w:line="360" w:lineRule="auto"/>
        <w:ind w:firstLine="530" w:firstLineChars="221"/>
        <w:rPr>
          <w:rFonts w:ascii="宋体" w:hAnsi="宋体" w:cs="宋体"/>
          <w:sz w:val="24"/>
          <w:lang w:val="zh-CN"/>
        </w:rPr>
      </w:pPr>
      <w:r>
        <w:rPr>
          <w:rFonts w:hint="eastAsia" w:ascii="宋体" w:hAnsi="宋体" w:cs="宋体"/>
          <w:sz w:val="24"/>
          <w:lang w:val="zh-CN"/>
        </w:rPr>
        <w:t>五、企业类型的划分以统计部门的统计数据为依据。</w:t>
      </w:r>
    </w:p>
    <w:p>
      <w:pPr>
        <w:spacing w:line="360" w:lineRule="auto"/>
        <w:ind w:firstLine="530" w:firstLineChars="221"/>
        <w:rPr>
          <w:rFonts w:ascii="宋体" w:hAnsi="宋体" w:cs="宋体"/>
          <w:sz w:val="24"/>
          <w:lang w:val="zh-CN"/>
        </w:rPr>
      </w:pPr>
      <w:r>
        <w:rPr>
          <w:rFonts w:hint="eastAsia" w:ascii="宋体" w:hAnsi="宋体" w:cs="宋体"/>
          <w:sz w:val="24"/>
          <w:lang w:val="zh-CN"/>
        </w:rPr>
        <w:t>六、本规定适用于在中华人民共和国境内依法设立的各类所有制和各种组织形式的企业。个体工商户和本规定以外的行业，参照本规定进行划型。</w:t>
      </w:r>
    </w:p>
    <w:p>
      <w:pPr>
        <w:spacing w:line="360" w:lineRule="auto"/>
        <w:ind w:firstLine="530" w:firstLineChars="221"/>
        <w:rPr>
          <w:rFonts w:ascii="宋体" w:hAnsi="宋体" w:cs="宋体"/>
          <w:sz w:val="24"/>
          <w:lang w:val="zh-CN"/>
        </w:rPr>
      </w:pPr>
      <w:r>
        <w:rPr>
          <w:rFonts w:hint="eastAsia" w:ascii="宋体" w:hAnsi="宋体" w:cs="宋体"/>
          <w:sz w:val="24"/>
          <w:lang w:val="zh-CN"/>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530" w:firstLineChars="221"/>
        <w:rPr>
          <w:rFonts w:ascii="宋体" w:hAnsi="宋体" w:cs="宋体"/>
          <w:sz w:val="24"/>
          <w:lang w:val="zh-CN"/>
        </w:rPr>
      </w:pPr>
      <w:r>
        <w:rPr>
          <w:rFonts w:hint="eastAsia" w:ascii="宋体" w:hAnsi="宋体" w:cs="宋体"/>
          <w:sz w:val="24"/>
          <w:lang w:val="zh-CN"/>
        </w:rPr>
        <w:t>八、本规定由工业和信息化部、国家统计局会同有关部门根据《国民经济行业分类》修订情况和企业发展变化情况适时修订。</w:t>
      </w:r>
    </w:p>
    <w:p>
      <w:pPr>
        <w:spacing w:line="360" w:lineRule="auto"/>
        <w:ind w:firstLine="530" w:firstLineChars="221"/>
        <w:rPr>
          <w:rFonts w:ascii="宋体" w:hAnsi="宋体" w:cs="宋体"/>
          <w:sz w:val="24"/>
          <w:lang w:val="zh-CN"/>
        </w:rPr>
      </w:pPr>
      <w:r>
        <w:rPr>
          <w:rFonts w:hint="eastAsia" w:ascii="宋体" w:hAnsi="宋体" w:cs="宋体"/>
          <w:sz w:val="24"/>
          <w:lang w:val="zh-CN"/>
        </w:rPr>
        <w:t>九、本规定由工业和信息化部、国家统计局会同有关部门负责解释。</w:t>
      </w:r>
    </w:p>
    <w:p>
      <w:pPr>
        <w:spacing w:line="360" w:lineRule="auto"/>
        <w:ind w:firstLine="530" w:firstLineChars="221"/>
        <w:rPr>
          <w:rFonts w:ascii="宋体" w:hAnsi="宋体" w:cs="宋体"/>
          <w:color w:val="000000"/>
          <w:sz w:val="24"/>
          <w:highlight w:val="cyan"/>
        </w:rPr>
      </w:pPr>
      <w:r>
        <w:rPr>
          <w:rFonts w:hint="eastAsia" w:ascii="宋体" w:hAnsi="宋体" w:cs="宋体"/>
          <w:sz w:val="24"/>
          <w:lang w:val="zh-CN"/>
        </w:rPr>
        <w:t>十、本规定自发布之日起执行，原国家经贸委、原国家计委、财政部和国家统计局 2003 年颁布的《中小企业标准暂行规定》同时废止。</w:t>
      </w:r>
    </w:p>
    <w:p/>
    <w:sectPr>
      <w:pgSz w:w="11906" w:h="16838"/>
      <w:pgMar w:top="1440" w:right="1803" w:bottom="1440" w:left="1800" w:header="851" w:footer="992"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auto"/>
    <w:pitch w:val="default"/>
    <w:sig w:usb0="00000000" w:usb1="00000000" w:usb2="00000010" w:usb3="00000000" w:csb0="00100000"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 ( 正文 )">
    <w:altName w:val="宋体"/>
    <w:panose1 w:val="00000000000000000000"/>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eastAsia="仿宋_GB2312"/>
        <w:spacing w:val="20"/>
        <w:sz w:val="24"/>
      </w:rPr>
    </w:pPr>
    <w:r>
      <w:rPr>
        <w:sz w:val="24"/>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8"/>
                          </w:pPr>
                          <w:r>
                            <w:fldChar w:fldCharType="begin"/>
                          </w:r>
                          <w:r>
                            <w:instrText xml:space="preserve"> PAGE  \* MERGEFORMAT </w:instrText>
                          </w:r>
                          <w:r>
                            <w:fldChar w:fldCharType="separate"/>
                          </w:r>
                          <w:r>
                            <w:t>3</w:t>
                          </w:r>
                          <w:r>
                            <w:fldChar w:fldCharType="end"/>
                          </w:r>
                        </w:p>
                      </w:txbxContent>
                    </wps:txbx>
                    <wps:bodyPr wrap="none" lIns="0" tIns="0" rIns="0" bIns="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qJhhar0BAAB7AwAADgAAAAAAAAABACAAAAAfAQAAZHJzL2Uyb0RvYy54bWxQSwUGAAAA&#10;AAYABgBZAQAATgU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3</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eastAsia="仿宋_GB2312"/>
        <w:spacing w:val="20"/>
        <w:sz w:val="24"/>
      </w:rPr>
    </w:pPr>
    <w:r>
      <w:rPr>
        <w:sz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8"/>
                          </w:pPr>
                          <w:r>
                            <w:fldChar w:fldCharType="begin"/>
                          </w:r>
                          <w:r>
                            <w:instrText xml:space="preserve"> PAGE  \* MERGEFORMAT </w:instrText>
                          </w:r>
                          <w:r>
                            <w:fldChar w:fldCharType="separate"/>
                          </w:r>
                          <w:r>
                            <w:t>6</w:t>
                          </w:r>
                          <w:r>
                            <w:fldChar w:fldCharType="end"/>
                          </w:r>
                        </w:p>
                      </w:txbxContent>
                    </wps:txbx>
                    <wps:bodyPr wrap="none" lIns="0" tIns="0" rIns="0" bIns="0">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Dhg+BvvAEAAHsDAAAOAAAAAAAAAAEAIAAAAB8BAABkcnMvZTJvRG9jLnhtbFBLBQYAAAAA&#10;BgAGAFkBAABNBQ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6</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eastAsia="仿宋_GB2312"/>
        <w:spacing w:val="20"/>
        <w:sz w:val="24"/>
      </w:rPr>
    </w:pPr>
    <w:r>
      <w:rPr>
        <w:sz w:val="24"/>
      </w:rP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8"/>
                          </w:pPr>
                          <w:r>
                            <w:fldChar w:fldCharType="begin"/>
                          </w:r>
                          <w:r>
                            <w:instrText xml:space="preserve"> PAGE  \* MERGEFORMAT </w:instrText>
                          </w:r>
                          <w:r>
                            <w:fldChar w:fldCharType="separate"/>
                          </w:r>
                          <w:r>
                            <w:t>21</w:t>
                          </w:r>
                          <w:r>
                            <w:fldChar w:fldCharType="end"/>
                          </w:r>
                        </w:p>
                      </w:txbxContent>
                    </wps:txbx>
                    <wps:bodyPr wrap="none" lIns="0" tIns="0" rIns="0" bIns="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BDadnCvAEAAHsDAAAOAAAAAAAAAAEAIAAAAB8BAABkcnMvZTJvRG9jLnhtbFBLBQYAAAAA&#10;BgAGAFkBAABNBQ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21</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8"/>
                          </w:pPr>
                          <w:r>
                            <w:fldChar w:fldCharType="begin"/>
                          </w:r>
                          <w:r>
                            <w:instrText xml:space="preserve"> PAGE  \* MERGEFORMAT </w:instrText>
                          </w:r>
                          <w:r>
                            <w:fldChar w:fldCharType="separate"/>
                          </w:r>
                          <w:r>
                            <w:t>66</w:t>
                          </w:r>
                          <w:r>
                            <w:fldChar w:fldCharType="end"/>
                          </w:r>
                        </w:p>
                      </w:txbxContent>
                    </wps:txbx>
                    <wps:bodyPr wrap="none" lIns="0" tIns="0" rIns="0" bIns="0">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5&#10;dblS0AAAAAUBAAAPAAAAAAAAAAEAIAAAACIAAABkcnMvZG93bnJldi54bWxQSwECFAAUAAAACACH&#10;TuJAdA6VkLoBAAB8AwAADgAAAAAAAAABACAAAAAfAQAAZHJzL2Uyb0RvYy54bWxQSwUGAAAAAAYA&#10;BgBZAQAASwU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66</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38956"/>
    <w:multiLevelType w:val="singleLevel"/>
    <w:tmpl w:val="A0038956"/>
    <w:lvl w:ilvl="0" w:tentative="0">
      <w:start w:val="1"/>
      <w:numFmt w:val="decimal"/>
      <w:lvlText w:val="%1."/>
      <w:lvlJc w:val="left"/>
      <w:pPr>
        <w:ind w:left="425" w:hanging="425"/>
      </w:pPr>
      <w:rPr>
        <w:rFonts w:hint="default"/>
      </w:rPr>
    </w:lvl>
  </w:abstractNum>
  <w:abstractNum w:abstractNumId="1">
    <w:nsid w:val="AF4BBA80"/>
    <w:multiLevelType w:val="multilevel"/>
    <w:tmpl w:val="AF4BBA80"/>
    <w:lvl w:ilvl="0" w:tentative="0">
      <w:start w:val="1"/>
      <w:numFmt w:val="decimal"/>
      <w:lvlText w:val="%1."/>
      <w:lvlJc w:val="left"/>
      <w:pPr>
        <w:ind w:left="440" w:hanging="440"/>
      </w:pPr>
      <w:rPr>
        <w:rFonts w:hint="default" w:ascii="宋体" w:hAnsi="宋体" w:eastAsia="宋体" w:cs="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B2161499"/>
    <w:multiLevelType w:val="singleLevel"/>
    <w:tmpl w:val="B2161499"/>
    <w:lvl w:ilvl="0" w:tentative="0">
      <w:start w:val="1"/>
      <w:numFmt w:val="decimal"/>
      <w:lvlText w:val="%1."/>
      <w:lvlJc w:val="left"/>
      <w:pPr>
        <w:ind w:left="425" w:hanging="425"/>
      </w:pPr>
      <w:rPr>
        <w:rFonts w:hint="default"/>
      </w:rPr>
    </w:lvl>
  </w:abstractNum>
  <w:abstractNum w:abstractNumId="3">
    <w:nsid w:val="E9E708A1"/>
    <w:multiLevelType w:val="singleLevel"/>
    <w:tmpl w:val="E9E708A1"/>
    <w:lvl w:ilvl="0" w:tentative="0">
      <w:start w:val="1"/>
      <w:numFmt w:val="chineseCounting"/>
      <w:suff w:val="nothing"/>
      <w:lvlText w:val="%1、"/>
      <w:lvlJc w:val="left"/>
      <w:rPr>
        <w:rFonts w:hint="eastAsia"/>
      </w:rPr>
    </w:lvl>
  </w:abstractNum>
  <w:abstractNum w:abstractNumId="4">
    <w:nsid w:val="ECCD0613"/>
    <w:multiLevelType w:val="singleLevel"/>
    <w:tmpl w:val="ECCD0613"/>
    <w:lvl w:ilvl="0" w:tentative="0">
      <w:start w:val="1"/>
      <w:numFmt w:val="decimal"/>
      <w:suff w:val="space"/>
      <w:lvlText w:val="(%1)"/>
      <w:lvlJc w:val="left"/>
    </w:lvl>
  </w:abstractNum>
  <w:abstractNum w:abstractNumId="5">
    <w:nsid w:val="F162553C"/>
    <w:multiLevelType w:val="singleLevel"/>
    <w:tmpl w:val="F162553C"/>
    <w:lvl w:ilvl="0" w:tentative="0">
      <w:start w:val="1"/>
      <w:numFmt w:val="decimal"/>
      <w:lvlText w:val="%1."/>
      <w:lvlJc w:val="left"/>
      <w:pPr>
        <w:tabs>
          <w:tab w:val="left" w:pos="312"/>
        </w:tabs>
      </w:pPr>
    </w:lvl>
  </w:abstractNum>
  <w:abstractNum w:abstractNumId="6">
    <w:nsid w:val="00000003"/>
    <w:multiLevelType w:val="multilevel"/>
    <w:tmpl w:val="00000003"/>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00000004"/>
    <w:multiLevelType w:val="singleLevel"/>
    <w:tmpl w:val="00000004"/>
    <w:lvl w:ilvl="0" w:tentative="0">
      <w:start w:val="6"/>
      <w:numFmt w:val="chineseCounting"/>
      <w:suff w:val="nothing"/>
      <w:lvlText w:val="（%1）"/>
      <w:lvlJc w:val="left"/>
      <w:rPr>
        <w:rFonts w:hint="eastAsia"/>
      </w:rPr>
    </w:lvl>
  </w:abstractNum>
  <w:abstractNum w:abstractNumId="8">
    <w:nsid w:val="0585A644"/>
    <w:multiLevelType w:val="singleLevel"/>
    <w:tmpl w:val="0585A644"/>
    <w:lvl w:ilvl="0" w:tentative="0">
      <w:start w:val="1"/>
      <w:numFmt w:val="decimal"/>
      <w:suff w:val="space"/>
      <w:lvlText w:val="(%1)"/>
      <w:lvlJc w:val="left"/>
    </w:lvl>
  </w:abstractNum>
  <w:abstractNum w:abstractNumId="9">
    <w:nsid w:val="303056FD"/>
    <w:multiLevelType w:val="multilevel"/>
    <w:tmpl w:val="303056FD"/>
    <w:lvl w:ilvl="0" w:tentative="0">
      <w:start w:val="1"/>
      <w:numFmt w:val="decimal"/>
      <w:lvlText w:val="%1."/>
      <w:lvlJc w:val="left"/>
      <w:pPr>
        <w:ind w:left="440" w:hanging="440"/>
      </w:pPr>
      <w:rPr>
        <w:rFonts w:hint="default" w:ascii="宋体" w:hAnsi="宋体" w:eastAsia="宋体" w:cs="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40DE058A"/>
    <w:multiLevelType w:val="singleLevel"/>
    <w:tmpl w:val="40DE058A"/>
    <w:lvl w:ilvl="0" w:tentative="0">
      <w:start w:val="1"/>
      <w:numFmt w:val="decimal"/>
      <w:lvlText w:val="%1."/>
      <w:lvlJc w:val="left"/>
      <w:pPr>
        <w:tabs>
          <w:tab w:val="left" w:pos="312"/>
        </w:tabs>
      </w:pPr>
    </w:lvl>
  </w:abstractNum>
  <w:num w:numId="1">
    <w:abstractNumId w:val="3"/>
  </w:num>
  <w:num w:numId="2">
    <w:abstractNumId w:val="9"/>
  </w:num>
  <w:num w:numId="3">
    <w:abstractNumId w:val="1"/>
  </w:num>
  <w:num w:numId="4">
    <w:abstractNumId w:val="5"/>
  </w:num>
  <w:num w:numId="5">
    <w:abstractNumId w:val="10"/>
  </w:num>
  <w:num w:numId="6">
    <w:abstractNumId w:val="0"/>
  </w:num>
  <w:num w:numId="7">
    <w:abstractNumId w:val="2"/>
  </w:num>
  <w:num w:numId="8">
    <w:abstractNumId w:val="8"/>
  </w:num>
  <w:num w:numId="9">
    <w:abstractNumId w:val="4"/>
  </w:num>
  <w:num w:numId="10">
    <w:abstractNumId w:val="6"/>
    <w:lvlOverride w:ilvl="0">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gutterAtTop/>
  <w:hideSpellingErrors/>
  <w:documentProtection w:edit="readOnly" w:formatting="1"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mY2FjMGRhYzQzYWY2YjI2NDFkMTdiYTJkMGFmODAifQ=="/>
  </w:docVars>
  <w:rsids>
    <w:rsidRoot w:val="00C52C25"/>
    <w:rsid w:val="0008716C"/>
    <w:rsid w:val="00097D3C"/>
    <w:rsid w:val="000E73CB"/>
    <w:rsid w:val="00106D65"/>
    <w:rsid w:val="001A4AD6"/>
    <w:rsid w:val="001A73B2"/>
    <w:rsid w:val="001A7A72"/>
    <w:rsid w:val="0034710A"/>
    <w:rsid w:val="003A17E6"/>
    <w:rsid w:val="003B5F3C"/>
    <w:rsid w:val="003D7996"/>
    <w:rsid w:val="003E34C0"/>
    <w:rsid w:val="004879E4"/>
    <w:rsid w:val="004E66D2"/>
    <w:rsid w:val="00551C59"/>
    <w:rsid w:val="00566707"/>
    <w:rsid w:val="00576C76"/>
    <w:rsid w:val="00592552"/>
    <w:rsid w:val="00601F8C"/>
    <w:rsid w:val="00632507"/>
    <w:rsid w:val="006E5B25"/>
    <w:rsid w:val="00711BE6"/>
    <w:rsid w:val="007252DC"/>
    <w:rsid w:val="0073143E"/>
    <w:rsid w:val="00731D47"/>
    <w:rsid w:val="00736C44"/>
    <w:rsid w:val="007C5AAF"/>
    <w:rsid w:val="007D4992"/>
    <w:rsid w:val="008546F4"/>
    <w:rsid w:val="008C6B77"/>
    <w:rsid w:val="008D5E9E"/>
    <w:rsid w:val="00925434"/>
    <w:rsid w:val="009643FF"/>
    <w:rsid w:val="009B4A2A"/>
    <w:rsid w:val="009B7B49"/>
    <w:rsid w:val="009C33E8"/>
    <w:rsid w:val="009D6A27"/>
    <w:rsid w:val="009F6F89"/>
    <w:rsid w:val="00A550BB"/>
    <w:rsid w:val="00A929C8"/>
    <w:rsid w:val="00AC3E49"/>
    <w:rsid w:val="00AD3ADA"/>
    <w:rsid w:val="00B32632"/>
    <w:rsid w:val="00B54774"/>
    <w:rsid w:val="00B60C17"/>
    <w:rsid w:val="00B633E2"/>
    <w:rsid w:val="00B91F8A"/>
    <w:rsid w:val="00C52C25"/>
    <w:rsid w:val="00C5467F"/>
    <w:rsid w:val="00C833CC"/>
    <w:rsid w:val="00CB730B"/>
    <w:rsid w:val="00CD50D7"/>
    <w:rsid w:val="00D474C1"/>
    <w:rsid w:val="00D50399"/>
    <w:rsid w:val="00D90C7A"/>
    <w:rsid w:val="00D92337"/>
    <w:rsid w:val="00DC6134"/>
    <w:rsid w:val="00E17B1C"/>
    <w:rsid w:val="00E870F9"/>
    <w:rsid w:val="00E93679"/>
    <w:rsid w:val="00EF2978"/>
    <w:rsid w:val="00F34A72"/>
    <w:rsid w:val="00FA7541"/>
    <w:rsid w:val="00FC223D"/>
    <w:rsid w:val="016E55A4"/>
    <w:rsid w:val="03343620"/>
    <w:rsid w:val="04846602"/>
    <w:rsid w:val="078B414B"/>
    <w:rsid w:val="07AD1503"/>
    <w:rsid w:val="0990427D"/>
    <w:rsid w:val="0DCD1F19"/>
    <w:rsid w:val="0F7037DB"/>
    <w:rsid w:val="117178D4"/>
    <w:rsid w:val="133442D4"/>
    <w:rsid w:val="146E77CF"/>
    <w:rsid w:val="14BF64EE"/>
    <w:rsid w:val="16FD4B26"/>
    <w:rsid w:val="17F3478A"/>
    <w:rsid w:val="19A90B8D"/>
    <w:rsid w:val="1AA800EB"/>
    <w:rsid w:val="1C5201C3"/>
    <w:rsid w:val="1CC854EC"/>
    <w:rsid w:val="1F065805"/>
    <w:rsid w:val="231A593C"/>
    <w:rsid w:val="27AC7A9A"/>
    <w:rsid w:val="2A585C4C"/>
    <w:rsid w:val="2B9D374F"/>
    <w:rsid w:val="30BD6AAD"/>
    <w:rsid w:val="31052029"/>
    <w:rsid w:val="315D56E1"/>
    <w:rsid w:val="32007244"/>
    <w:rsid w:val="332D5503"/>
    <w:rsid w:val="332F7747"/>
    <w:rsid w:val="382F1BF9"/>
    <w:rsid w:val="38D275A8"/>
    <w:rsid w:val="3AB775D8"/>
    <w:rsid w:val="3C7F657A"/>
    <w:rsid w:val="3E002A85"/>
    <w:rsid w:val="3E7B5ED1"/>
    <w:rsid w:val="3E8728EB"/>
    <w:rsid w:val="3EE576C2"/>
    <w:rsid w:val="3F935E11"/>
    <w:rsid w:val="3FC272EB"/>
    <w:rsid w:val="40265E63"/>
    <w:rsid w:val="4119781D"/>
    <w:rsid w:val="42615E65"/>
    <w:rsid w:val="43C16579"/>
    <w:rsid w:val="44C21A8E"/>
    <w:rsid w:val="44E407A0"/>
    <w:rsid w:val="479379D3"/>
    <w:rsid w:val="48DD6B99"/>
    <w:rsid w:val="49335AE1"/>
    <w:rsid w:val="498C5875"/>
    <w:rsid w:val="4A0B0666"/>
    <w:rsid w:val="4A2631CB"/>
    <w:rsid w:val="4B901590"/>
    <w:rsid w:val="4D1D1E23"/>
    <w:rsid w:val="4E250A92"/>
    <w:rsid w:val="4EE57D0E"/>
    <w:rsid w:val="4FEE0289"/>
    <w:rsid w:val="512E60BF"/>
    <w:rsid w:val="5176064D"/>
    <w:rsid w:val="529A6445"/>
    <w:rsid w:val="5308501C"/>
    <w:rsid w:val="548328B3"/>
    <w:rsid w:val="56776545"/>
    <w:rsid w:val="582E32C0"/>
    <w:rsid w:val="5A53531C"/>
    <w:rsid w:val="5DAB0E5A"/>
    <w:rsid w:val="5E904445"/>
    <w:rsid w:val="5F37766E"/>
    <w:rsid w:val="5F7268F8"/>
    <w:rsid w:val="645A2798"/>
    <w:rsid w:val="64735C7F"/>
    <w:rsid w:val="658709C8"/>
    <w:rsid w:val="66B25D27"/>
    <w:rsid w:val="6779459B"/>
    <w:rsid w:val="6A026ACA"/>
    <w:rsid w:val="6B2E4433"/>
    <w:rsid w:val="71EB5AD4"/>
    <w:rsid w:val="72B95F46"/>
    <w:rsid w:val="74170336"/>
    <w:rsid w:val="74BD01BD"/>
    <w:rsid w:val="75185269"/>
    <w:rsid w:val="766D79C1"/>
    <w:rsid w:val="78474837"/>
    <w:rsid w:val="793C1AEE"/>
    <w:rsid w:val="79413C2F"/>
    <w:rsid w:val="7E115970"/>
    <w:rsid w:val="7F267FFF"/>
    <w:rsid w:val="7F74643E"/>
    <w:rsid w:val="7FEE6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60"/>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53"/>
    <w:autoRedefine/>
    <w:qFormat/>
    <w:uiPriority w:val="0"/>
    <w:pPr>
      <w:keepNext/>
      <w:keepLines/>
      <w:spacing w:before="260" w:after="260" w:line="415" w:lineRule="auto"/>
      <w:outlineLvl w:val="2"/>
    </w:pPr>
    <w:rPr>
      <w:b/>
      <w:bCs/>
      <w:sz w:val="32"/>
      <w:szCs w:val="32"/>
    </w:rPr>
  </w:style>
  <w:style w:type="paragraph" w:styleId="5">
    <w:name w:val="heading 4"/>
    <w:basedOn w:val="1"/>
    <w:next w:val="1"/>
    <w:link w:val="61"/>
    <w:autoRedefine/>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62"/>
    <w:autoRedefine/>
    <w:qFormat/>
    <w:uiPriority w:val="0"/>
    <w:pPr>
      <w:keepNext/>
      <w:keepLines/>
      <w:spacing w:before="280" w:after="290" w:line="372" w:lineRule="auto"/>
      <w:outlineLvl w:val="4"/>
    </w:pPr>
    <w:rPr>
      <w:b/>
      <w:bCs/>
      <w:sz w:val="28"/>
      <w:szCs w:val="28"/>
    </w:rPr>
  </w:style>
  <w:style w:type="paragraph" w:styleId="7">
    <w:name w:val="heading 6"/>
    <w:basedOn w:val="1"/>
    <w:next w:val="1"/>
    <w:link w:val="63"/>
    <w:autoRedefine/>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64"/>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65"/>
    <w:autoRedefine/>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66"/>
    <w:autoRedefine/>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5">
    <w:name w:val="Default Paragraph Font"/>
    <w:semiHidden/>
    <w:unhideWhenUsed/>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qFormat/>
    <w:uiPriority w:val="0"/>
    <w:pPr>
      <w:ind w:left="1260"/>
      <w:jc w:val="left"/>
    </w:pPr>
    <w:rPr>
      <w:sz w:val="18"/>
      <w:szCs w:val="18"/>
    </w:rPr>
  </w:style>
  <w:style w:type="paragraph" w:styleId="12">
    <w:name w:val="Normal Indent"/>
    <w:basedOn w:val="1"/>
    <w:autoRedefine/>
    <w:qFormat/>
    <w:uiPriority w:val="0"/>
    <w:pPr>
      <w:ind w:firstLine="420" w:firstLineChars="200"/>
    </w:pPr>
  </w:style>
  <w:style w:type="paragraph" w:styleId="13">
    <w:name w:val="caption"/>
    <w:basedOn w:val="1"/>
    <w:next w:val="1"/>
    <w:autoRedefine/>
    <w:qFormat/>
    <w:uiPriority w:val="0"/>
    <w:rPr>
      <w:rFonts w:ascii="Cambria" w:hAnsi="Cambria" w:eastAsia="黑体"/>
      <w:sz w:val="20"/>
      <w:szCs w:val="20"/>
    </w:rPr>
  </w:style>
  <w:style w:type="paragraph" w:styleId="14">
    <w:name w:val="Document Map"/>
    <w:basedOn w:val="1"/>
    <w:link w:val="67"/>
    <w:qFormat/>
    <w:uiPriority w:val="0"/>
    <w:pPr>
      <w:shd w:val="clear" w:color="auto" w:fill="000080"/>
    </w:pPr>
  </w:style>
  <w:style w:type="paragraph" w:styleId="15">
    <w:name w:val="annotation text"/>
    <w:basedOn w:val="1"/>
    <w:link w:val="68"/>
    <w:autoRedefine/>
    <w:qFormat/>
    <w:uiPriority w:val="0"/>
    <w:pPr>
      <w:jc w:val="left"/>
    </w:pPr>
  </w:style>
  <w:style w:type="paragraph" w:styleId="16">
    <w:name w:val="Body Text 3"/>
    <w:basedOn w:val="1"/>
    <w:qFormat/>
    <w:uiPriority w:val="0"/>
    <w:rPr>
      <w:rFonts w:ascii="宋体"/>
      <w:sz w:val="24"/>
      <w:szCs w:val="20"/>
    </w:rPr>
  </w:style>
  <w:style w:type="paragraph" w:styleId="17">
    <w:name w:val="Body Text"/>
    <w:basedOn w:val="1"/>
    <w:next w:val="1"/>
    <w:link w:val="69"/>
    <w:autoRedefine/>
    <w:qFormat/>
    <w:uiPriority w:val="0"/>
    <w:pPr>
      <w:spacing w:after="120"/>
    </w:pPr>
  </w:style>
  <w:style w:type="paragraph" w:styleId="18">
    <w:name w:val="Body Text Indent"/>
    <w:basedOn w:val="1"/>
    <w:next w:val="1"/>
    <w:autoRedefine/>
    <w:qFormat/>
    <w:uiPriority w:val="0"/>
    <w:pPr>
      <w:spacing w:after="120"/>
      <w:ind w:left="420" w:leftChars="200"/>
    </w:pPr>
  </w:style>
  <w:style w:type="paragraph" w:styleId="19">
    <w:name w:val="List 2"/>
    <w:basedOn w:val="1"/>
    <w:autoRedefine/>
    <w:qFormat/>
    <w:uiPriority w:val="0"/>
    <w:pPr>
      <w:widowControl/>
      <w:ind w:left="840" w:hanging="420"/>
      <w:jc w:val="left"/>
    </w:pPr>
    <w:rPr>
      <w:rFonts w:ascii="宋体"/>
      <w:kern w:val="0"/>
      <w:sz w:val="22"/>
      <w:szCs w:val="20"/>
    </w:rPr>
  </w:style>
  <w:style w:type="paragraph" w:styleId="20">
    <w:name w:val="index 4"/>
    <w:basedOn w:val="1"/>
    <w:next w:val="1"/>
    <w:autoRedefine/>
    <w:qFormat/>
    <w:uiPriority w:val="0"/>
    <w:pPr>
      <w:ind w:left="600" w:leftChars="600"/>
    </w:pPr>
  </w:style>
  <w:style w:type="paragraph" w:styleId="21">
    <w:name w:val="toc 5"/>
    <w:basedOn w:val="1"/>
    <w:next w:val="1"/>
    <w:autoRedefine/>
    <w:qFormat/>
    <w:uiPriority w:val="0"/>
    <w:pPr>
      <w:ind w:left="840"/>
      <w:jc w:val="left"/>
    </w:pPr>
    <w:rPr>
      <w:sz w:val="18"/>
      <w:szCs w:val="18"/>
    </w:rPr>
  </w:style>
  <w:style w:type="paragraph" w:styleId="22">
    <w:name w:val="toc 3"/>
    <w:basedOn w:val="1"/>
    <w:next w:val="1"/>
    <w:qFormat/>
    <w:uiPriority w:val="0"/>
    <w:pPr>
      <w:ind w:left="420"/>
      <w:jc w:val="left"/>
    </w:pPr>
    <w:rPr>
      <w:i/>
      <w:iCs/>
      <w:sz w:val="20"/>
      <w:szCs w:val="20"/>
    </w:rPr>
  </w:style>
  <w:style w:type="paragraph" w:styleId="23">
    <w:name w:val="Plain Text"/>
    <w:basedOn w:val="1"/>
    <w:link w:val="70"/>
    <w:qFormat/>
    <w:uiPriority w:val="0"/>
    <w:rPr>
      <w:rFonts w:ascii="Courier New" w:hAnsi="Courier New"/>
      <w:szCs w:val="20"/>
    </w:rPr>
  </w:style>
  <w:style w:type="paragraph" w:styleId="24">
    <w:name w:val="toc 8"/>
    <w:basedOn w:val="1"/>
    <w:next w:val="1"/>
    <w:autoRedefine/>
    <w:qFormat/>
    <w:uiPriority w:val="0"/>
    <w:pPr>
      <w:ind w:left="1470"/>
      <w:jc w:val="left"/>
    </w:pPr>
    <w:rPr>
      <w:sz w:val="18"/>
      <w:szCs w:val="18"/>
    </w:rPr>
  </w:style>
  <w:style w:type="paragraph" w:styleId="25">
    <w:name w:val="Date"/>
    <w:basedOn w:val="1"/>
    <w:next w:val="1"/>
    <w:link w:val="71"/>
    <w:qFormat/>
    <w:uiPriority w:val="0"/>
    <w:rPr>
      <w:sz w:val="24"/>
      <w:szCs w:val="20"/>
    </w:rPr>
  </w:style>
  <w:style w:type="paragraph" w:styleId="26">
    <w:name w:val="Body Text Indent 2"/>
    <w:basedOn w:val="1"/>
    <w:autoRedefine/>
    <w:qFormat/>
    <w:uiPriority w:val="0"/>
    <w:pPr>
      <w:spacing w:after="120" w:line="480" w:lineRule="auto"/>
      <w:ind w:left="420" w:leftChars="200"/>
    </w:pPr>
  </w:style>
  <w:style w:type="paragraph" w:styleId="27">
    <w:name w:val="Balloon Text"/>
    <w:basedOn w:val="1"/>
    <w:link w:val="72"/>
    <w:autoRedefine/>
    <w:qFormat/>
    <w:uiPriority w:val="0"/>
    <w:rPr>
      <w:sz w:val="18"/>
      <w:szCs w:val="18"/>
    </w:rPr>
  </w:style>
  <w:style w:type="paragraph" w:styleId="28">
    <w:name w:val="footer"/>
    <w:basedOn w:val="1"/>
    <w:link w:val="73"/>
    <w:autoRedefine/>
    <w:qFormat/>
    <w:uiPriority w:val="0"/>
    <w:pPr>
      <w:tabs>
        <w:tab w:val="center" w:pos="4153"/>
        <w:tab w:val="right" w:pos="8306"/>
      </w:tabs>
      <w:snapToGrid w:val="0"/>
      <w:jc w:val="left"/>
    </w:pPr>
    <w:rPr>
      <w:sz w:val="18"/>
      <w:szCs w:val="18"/>
    </w:rPr>
  </w:style>
  <w:style w:type="paragraph" w:styleId="29">
    <w:name w:val="header"/>
    <w:basedOn w:val="1"/>
    <w:link w:val="74"/>
    <w:autoRedefine/>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qFormat/>
    <w:uiPriority w:val="0"/>
    <w:pPr>
      <w:spacing w:before="120" w:after="120"/>
      <w:jc w:val="left"/>
    </w:pPr>
    <w:rPr>
      <w:b/>
      <w:bCs/>
      <w:caps/>
      <w:sz w:val="20"/>
      <w:szCs w:val="20"/>
    </w:rPr>
  </w:style>
  <w:style w:type="paragraph" w:styleId="31">
    <w:name w:val="toc 4"/>
    <w:basedOn w:val="1"/>
    <w:next w:val="1"/>
    <w:autoRedefine/>
    <w:qFormat/>
    <w:uiPriority w:val="0"/>
    <w:pPr>
      <w:ind w:left="630"/>
      <w:jc w:val="left"/>
    </w:pPr>
    <w:rPr>
      <w:sz w:val="18"/>
      <w:szCs w:val="18"/>
    </w:rPr>
  </w:style>
  <w:style w:type="paragraph" w:styleId="32">
    <w:name w:val="Subtitle"/>
    <w:basedOn w:val="1"/>
    <w:next w:val="1"/>
    <w:link w:val="75"/>
    <w:autoRedefine/>
    <w:qFormat/>
    <w:uiPriority w:val="0"/>
    <w:pPr>
      <w:spacing w:before="240" w:after="60" w:line="312" w:lineRule="auto"/>
      <w:jc w:val="center"/>
      <w:outlineLvl w:val="1"/>
    </w:pPr>
    <w:rPr>
      <w:rFonts w:ascii="Cambria" w:hAnsi="Cambria"/>
      <w:b/>
      <w:bCs/>
      <w:kern w:val="28"/>
      <w:sz w:val="32"/>
      <w:szCs w:val="32"/>
    </w:rPr>
  </w:style>
  <w:style w:type="paragraph" w:styleId="33">
    <w:name w:val="footnote text"/>
    <w:basedOn w:val="1"/>
    <w:autoRedefine/>
    <w:qFormat/>
    <w:uiPriority w:val="0"/>
    <w:rPr>
      <w:sz w:val="20"/>
      <w:szCs w:val="20"/>
    </w:rPr>
  </w:style>
  <w:style w:type="paragraph" w:styleId="34">
    <w:name w:val="Body Text Indent 3"/>
    <w:basedOn w:val="1"/>
    <w:link w:val="76"/>
    <w:autoRedefine/>
    <w:qFormat/>
    <w:uiPriority w:val="0"/>
    <w:pPr>
      <w:spacing w:after="120"/>
      <w:ind w:left="420" w:leftChars="200"/>
    </w:pPr>
    <w:rPr>
      <w:sz w:val="16"/>
      <w:szCs w:val="16"/>
    </w:rPr>
  </w:style>
  <w:style w:type="paragraph" w:styleId="35">
    <w:name w:val="table of figures"/>
    <w:basedOn w:val="1"/>
    <w:next w:val="1"/>
    <w:autoRedefine/>
    <w:qFormat/>
    <w:uiPriority w:val="0"/>
    <w:pPr>
      <w:ind w:left="200" w:leftChars="200" w:hanging="200" w:hangingChars="200"/>
    </w:pPr>
  </w:style>
  <w:style w:type="paragraph" w:styleId="36">
    <w:name w:val="toc 2"/>
    <w:basedOn w:val="1"/>
    <w:next w:val="1"/>
    <w:autoRedefine/>
    <w:qFormat/>
    <w:uiPriority w:val="0"/>
    <w:pPr>
      <w:ind w:left="210"/>
      <w:jc w:val="left"/>
    </w:pPr>
    <w:rPr>
      <w:smallCaps/>
      <w:sz w:val="20"/>
      <w:szCs w:val="20"/>
    </w:rPr>
  </w:style>
  <w:style w:type="paragraph" w:styleId="37">
    <w:name w:val="toc 9"/>
    <w:basedOn w:val="1"/>
    <w:next w:val="1"/>
    <w:autoRedefine/>
    <w:qFormat/>
    <w:uiPriority w:val="0"/>
    <w:pPr>
      <w:ind w:left="1680"/>
      <w:jc w:val="left"/>
    </w:pPr>
    <w:rPr>
      <w:sz w:val="18"/>
      <w:szCs w:val="18"/>
    </w:rPr>
  </w:style>
  <w:style w:type="paragraph" w:styleId="38">
    <w:name w:val="Normal (Web)"/>
    <w:basedOn w:val="1"/>
    <w:autoRedefine/>
    <w:qFormat/>
    <w:uiPriority w:val="0"/>
    <w:pPr>
      <w:widowControl/>
      <w:spacing w:before="100" w:beforeAutospacing="1" w:after="100" w:afterAutospacing="1" w:line="320" w:lineRule="atLeast"/>
      <w:jc w:val="left"/>
    </w:pPr>
    <w:rPr>
      <w:rFonts w:ascii="宋体" w:hAnsi="宋体"/>
      <w:kern w:val="0"/>
      <w:sz w:val="18"/>
      <w:szCs w:val="18"/>
    </w:rPr>
  </w:style>
  <w:style w:type="paragraph" w:styleId="39">
    <w:name w:val="Title"/>
    <w:basedOn w:val="1"/>
    <w:next w:val="1"/>
    <w:link w:val="59"/>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77"/>
    <w:autoRedefine/>
    <w:qFormat/>
    <w:uiPriority w:val="0"/>
    <w:rPr>
      <w:b/>
      <w:bCs/>
    </w:rPr>
  </w:style>
  <w:style w:type="paragraph" w:styleId="41">
    <w:name w:val="Body Text First Indent"/>
    <w:basedOn w:val="17"/>
    <w:next w:val="1"/>
    <w:autoRedefine/>
    <w:qFormat/>
    <w:uiPriority w:val="99"/>
    <w:pPr>
      <w:ind w:firstLine="420" w:firstLineChars="100"/>
    </w:pPr>
  </w:style>
  <w:style w:type="paragraph" w:styleId="42">
    <w:name w:val="Body Text First Indent 2"/>
    <w:basedOn w:val="18"/>
    <w:next w:val="1"/>
    <w:autoRedefine/>
    <w:qFormat/>
    <w:uiPriority w:val="99"/>
    <w:pPr>
      <w:ind w:firstLine="420" w:firstLineChars="200"/>
    </w:pPr>
  </w:style>
  <w:style w:type="table" w:styleId="44">
    <w:name w:val="Table Grid"/>
    <w:basedOn w:val="4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autoRedefine/>
    <w:qFormat/>
    <w:uiPriority w:val="0"/>
    <w:rPr>
      <w:b/>
      <w:bCs/>
    </w:rPr>
  </w:style>
  <w:style w:type="character" w:styleId="47">
    <w:name w:val="page number"/>
    <w:basedOn w:val="45"/>
    <w:autoRedefine/>
    <w:qFormat/>
    <w:uiPriority w:val="0"/>
  </w:style>
  <w:style w:type="character" w:styleId="48">
    <w:name w:val="FollowedHyperlink"/>
    <w:basedOn w:val="45"/>
    <w:autoRedefine/>
    <w:qFormat/>
    <w:uiPriority w:val="0"/>
    <w:rPr>
      <w:color w:val="000000"/>
      <w:u w:val="none"/>
    </w:rPr>
  </w:style>
  <w:style w:type="character" w:styleId="49">
    <w:name w:val="Emphasis"/>
    <w:autoRedefine/>
    <w:qFormat/>
    <w:uiPriority w:val="20"/>
    <w:rPr>
      <w:i/>
      <w:iCs/>
    </w:rPr>
  </w:style>
  <w:style w:type="character" w:styleId="50">
    <w:name w:val="Hyperlink"/>
    <w:basedOn w:val="45"/>
    <w:autoRedefine/>
    <w:qFormat/>
    <w:uiPriority w:val="0"/>
    <w:rPr>
      <w:color w:val="000000"/>
      <w:u w:val="none"/>
    </w:rPr>
  </w:style>
  <w:style w:type="character" w:styleId="51">
    <w:name w:val="annotation reference"/>
    <w:autoRedefine/>
    <w:qFormat/>
    <w:uiPriority w:val="0"/>
    <w:rPr>
      <w:sz w:val="21"/>
      <w:szCs w:val="21"/>
    </w:rPr>
  </w:style>
  <w:style w:type="character" w:styleId="52">
    <w:name w:val="footnote reference"/>
    <w:autoRedefine/>
    <w:qFormat/>
    <w:uiPriority w:val="0"/>
    <w:rPr>
      <w:vertAlign w:val="superscript"/>
    </w:rPr>
  </w:style>
  <w:style w:type="character" w:customStyle="1" w:styleId="53">
    <w:name w:val="标题 3 Char"/>
    <w:link w:val="4"/>
    <w:autoRedefine/>
    <w:qFormat/>
    <w:uiPriority w:val="0"/>
    <w:rPr>
      <w:b/>
      <w:bCs/>
      <w:kern w:val="2"/>
      <w:sz w:val="32"/>
      <w:szCs w:val="32"/>
    </w:rPr>
  </w:style>
  <w:style w:type="character" w:customStyle="1" w:styleId="54">
    <w:name w:val="标题 1 Char"/>
    <w:link w:val="2"/>
    <w:autoRedefine/>
    <w:qFormat/>
    <w:uiPriority w:val="0"/>
    <w:rPr>
      <w:rFonts w:eastAsia="宋体"/>
      <w:b/>
      <w:bCs/>
      <w:kern w:val="44"/>
      <w:sz w:val="44"/>
      <w:szCs w:val="44"/>
      <w:lang w:val="en-US" w:eastAsia="zh-CN" w:bidi="ar-SA"/>
    </w:rPr>
  </w:style>
  <w:style w:type="paragraph" w:customStyle="1" w:styleId="55">
    <w:name w:val="标题5"/>
    <w:basedOn w:val="4"/>
    <w:link w:val="105"/>
    <w:autoRedefine/>
    <w:qFormat/>
    <w:uiPriority w:val="0"/>
    <w:pPr>
      <w:spacing w:line="413" w:lineRule="auto"/>
    </w:pPr>
    <w:rPr>
      <w:rFonts w:ascii="Arial" w:hAnsi="Arial"/>
      <w:kern w:val="0"/>
      <w:sz w:val="24"/>
    </w:rPr>
  </w:style>
  <w:style w:type="paragraph" w:styleId="56">
    <w:name w:val="Quote"/>
    <w:basedOn w:val="1"/>
    <w:next w:val="1"/>
    <w:link w:val="111"/>
    <w:autoRedefine/>
    <w:qFormat/>
    <w:uiPriority w:val="0"/>
    <w:rPr>
      <w:i/>
      <w:iCs/>
      <w:color w:val="000000"/>
      <w:szCs w:val="22"/>
    </w:rPr>
  </w:style>
  <w:style w:type="paragraph" w:customStyle="1" w:styleId="57">
    <w:name w:val="Default"/>
    <w:next w:val="25"/>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8">
    <w:name w:val="toc 61"/>
    <w:next w:val="1"/>
    <w:autoRedefine/>
    <w:qFormat/>
    <w:uiPriority w:val="0"/>
    <w:pPr>
      <w:wordWrap w:val="0"/>
      <w:ind w:left="2125"/>
      <w:jc w:val="both"/>
    </w:pPr>
    <w:rPr>
      <w:rFonts w:ascii="Times New Roman" w:hAnsi="Times New Roman" w:eastAsia="宋体" w:cs="Times New Roman"/>
      <w:sz w:val="21"/>
      <w:lang w:val="en-US" w:eastAsia="zh-CN" w:bidi="ar-SA"/>
    </w:rPr>
  </w:style>
  <w:style w:type="character" w:customStyle="1" w:styleId="59">
    <w:name w:val="标题 Char"/>
    <w:link w:val="39"/>
    <w:autoRedefine/>
    <w:qFormat/>
    <w:uiPriority w:val="0"/>
    <w:rPr>
      <w:rFonts w:ascii="Arial" w:hAnsi="Arial"/>
      <w:b/>
      <w:sz w:val="32"/>
    </w:rPr>
  </w:style>
  <w:style w:type="character" w:customStyle="1" w:styleId="60">
    <w:name w:val="标题 2 Char"/>
    <w:link w:val="3"/>
    <w:autoRedefine/>
    <w:qFormat/>
    <w:uiPriority w:val="0"/>
    <w:rPr>
      <w:rFonts w:ascii="Arial" w:hAnsi="Arial" w:eastAsia="黑体"/>
      <w:b/>
      <w:bCs/>
      <w:kern w:val="2"/>
      <w:sz w:val="32"/>
      <w:szCs w:val="32"/>
      <w:lang w:val="en-US" w:eastAsia="zh-CN" w:bidi="ar-SA"/>
    </w:rPr>
  </w:style>
  <w:style w:type="character" w:customStyle="1" w:styleId="61">
    <w:name w:val="标题 4 Char"/>
    <w:link w:val="5"/>
    <w:qFormat/>
    <w:uiPriority w:val="0"/>
    <w:rPr>
      <w:rFonts w:ascii="Arial" w:hAnsi="Arial" w:eastAsia="黑体"/>
      <w:b/>
      <w:bCs/>
      <w:kern w:val="2"/>
      <w:sz w:val="28"/>
      <w:szCs w:val="28"/>
    </w:rPr>
  </w:style>
  <w:style w:type="character" w:customStyle="1" w:styleId="62">
    <w:name w:val="标题 5 Char"/>
    <w:link w:val="6"/>
    <w:autoRedefine/>
    <w:qFormat/>
    <w:uiPriority w:val="0"/>
    <w:rPr>
      <w:b/>
      <w:bCs/>
      <w:kern w:val="2"/>
      <w:sz w:val="28"/>
      <w:szCs w:val="28"/>
    </w:rPr>
  </w:style>
  <w:style w:type="character" w:customStyle="1" w:styleId="63">
    <w:name w:val="标题 6 Char"/>
    <w:link w:val="7"/>
    <w:autoRedefine/>
    <w:qFormat/>
    <w:uiPriority w:val="0"/>
    <w:rPr>
      <w:rFonts w:ascii="Arial" w:hAnsi="Arial" w:eastAsia="黑体"/>
      <w:b/>
      <w:bCs/>
      <w:sz w:val="24"/>
      <w:szCs w:val="24"/>
    </w:rPr>
  </w:style>
  <w:style w:type="character" w:customStyle="1" w:styleId="64">
    <w:name w:val="标题 7 Char"/>
    <w:link w:val="8"/>
    <w:qFormat/>
    <w:uiPriority w:val="0"/>
    <w:rPr>
      <w:b/>
      <w:bCs/>
      <w:sz w:val="24"/>
      <w:szCs w:val="24"/>
    </w:rPr>
  </w:style>
  <w:style w:type="character" w:customStyle="1" w:styleId="65">
    <w:name w:val="标题 8 Char"/>
    <w:link w:val="9"/>
    <w:autoRedefine/>
    <w:qFormat/>
    <w:uiPriority w:val="0"/>
    <w:rPr>
      <w:rFonts w:ascii="Arial" w:hAnsi="Arial" w:eastAsia="黑体"/>
      <w:sz w:val="24"/>
      <w:szCs w:val="24"/>
    </w:rPr>
  </w:style>
  <w:style w:type="character" w:customStyle="1" w:styleId="66">
    <w:name w:val="标题 9 Char"/>
    <w:link w:val="10"/>
    <w:autoRedefine/>
    <w:qFormat/>
    <w:uiPriority w:val="0"/>
    <w:rPr>
      <w:rFonts w:ascii="Arial" w:hAnsi="Arial" w:eastAsia="黑体"/>
      <w:sz w:val="21"/>
      <w:szCs w:val="21"/>
    </w:rPr>
  </w:style>
  <w:style w:type="character" w:customStyle="1" w:styleId="67">
    <w:name w:val="文档结构图 Char"/>
    <w:link w:val="14"/>
    <w:qFormat/>
    <w:uiPriority w:val="0"/>
    <w:rPr>
      <w:kern w:val="2"/>
      <w:sz w:val="21"/>
      <w:szCs w:val="24"/>
      <w:shd w:val="clear" w:color="auto" w:fill="000080"/>
    </w:rPr>
  </w:style>
  <w:style w:type="character" w:customStyle="1" w:styleId="68">
    <w:name w:val="批注文字 Char"/>
    <w:link w:val="15"/>
    <w:autoRedefine/>
    <w:qFormat/>
    <w:uiPriority w:val="0"/>
    <w:rPr>
      <w:rFonts w:eastAsia="宋体"/>
      <w:kern w:val="2"/>
      <w:sz w:val="21"/>
      <w:szCs w:val="24"/>
      <w:lang w:val="en-US" w:eastAsia="zh-CN" w:bidi="ar-SA"/>
    </w:rPr>
  </w:style>
  <w:style w:type="character" w:customStyle="1" w:styleId="69">
    <w:name w:val="正文文本 Char"/>
    <w:link w:val="17"/>
    <w:autoRedefine/>
    <w:qFormat/>
    <w:uiPriority w:val="0"/>
    <w:rPr>
      <w:kern w:val="2"/>
      <w:sz w:val="21"/>
      <w:szCs w:val="24"/>
    </w:rPr>
  </w:style>
  <w:style w:type="character" w:customStyle="1" w:styleId="70">
    <w:name w:val="纯文本 Char"/>
    <w:link w:val="23"/>
    <w:qFormat/>
    <w:uiPriority w:val="0"/>
    <w:rPr>
      <w:rFonts w:ascii="Courier New" w:hAnsi="Courier New" w:eastAsia="宋体"/>
      <w:kern w:val="2"/>
      <w:sz w:val="21"/>
      <w:lang w:val="en-US" w:eastAsia="zh-CN" w:bidi="ar-SA"/>
    </w:rPr>
  </w:style>
  <w:style w:type="character" w:customStyle="1" w:styleId="71">
    <w:name w:val="日期 Char"/>
    <w:link w:val="25"/>
    <w:autoRedefine/>
    <w:qFormat/>
    <w:uiPriority w:val="0"/>
    <w:rPr>
      <w:kern w:val="2"/>
      <w:sz w:val="24"/>
    </w:rPr>
  </w:style>
  <w:style w:type="character" w:customStyle="1" w:styleId="72">
    <w:name w:val="批注框文本 Char"/>
    <w:link w:val="27"/>
    <w:autoRedefine/>
    <w:qFormat/>
    <w:uiPriority w:val="0"/>
    <w:rPr>
      <w:kern w:val="2"/>
      <w:sz w:val="18"/>
      <w:szCs w:val="18"/>
    </w:rPr>
  </w:style>
  <w:style w:type="character" w:customStyle="1" w:styleId="73">
    <w:name w:val="页脚 Char"/>
    <w:link w:val="28"/>
    <w:qFormat/>
    <w:uiPriority w:val="0"/>
    <w:rPr>
      <w:kern w:val="2"/>
      <w:sz w:val="18"/>
      <w:szCs w:val="18"/>
    </w:rPr>
  </w:style>
  <w:style w:type="character" w:customStyle="1" w:styleId="74">
    <w:name w:val="页眉 Char"/>
    <w:link w:val="29"/>
    <w:autoRedefine/>
    <w:qFormat/>
    <w:uiPriority w:val="0"/>
    <w:rPr>
      <w:kern w:val="2"/>
      <w:sz w:val="18"/>
      <w:szCs w:val="18"/>
    </w:rPr>
  </w:style>
  <w:style w:type="character" w:customStyle="1" w:styleId="75">
    <w:name w:val="副标题 Char"/>
    <w:link w:val="32"/>
    <w:autoRedefine/>
    <w:qFormat/>
    <w:uiPriority w:val="0"/>
    <w:rPr>
      <w:rFonts w:ascii="Cambria" w:hAnsi="Cambria"/>
      <w:b/>
      <w:bCs/>
      <w:kern w:val="28"/>
      <w:sz w:val="32"/>
      <w:szCs w:val="32"/>
    </w:rPr>
  </w:style>
  <w:style w:type="character" w:customStyle="1" w:styleId="76">
    <w:name w:val="正文文本缩进 3 Char"/>
    <w:link w:val="34"/>
    <w:qFormat/>
    <w:uiPriority w:val="0"/>
    <w:rPr>
      <w:kern w:val="2"/>
      <w:sz w:val="16"/>
      <w:szCs w:val="16"/>
    </w:rPr>
  </w:style>
  <w:style w:type="character" w:customStyle="1" w:styleId="77">
    <w:name w:val="批注主题 Char"/>
    <w:link w:val="40"/>
    <w:autoRedefine/>
    <w:qFormat/>
    <w:uiPriority w:val="0"/>
    <w:rPr>
      <w:b/>
      <w:bCs/>
      <w:kern w:val="2"/>
      <w:sz w:val="21"/>
      <w:szCs w:val="24"/>
    </w:rPr>
  </w:style>
  <w:style w:type="character" w:customStyle="1" w:styleId="78">
    <w:name w:val="日期 Char1"/>
    <w:autoRedefine/>
    <w:qFormat/>
    <w:uiPriority w:val="0"/>
    <w:rPr>
      <w:kern w:val="2"/>
      <w:sz w:val="21"/>
      <w:szCs w:val="22"/>
    </w:rPr>
  </w:style>
  <w:style w:type="character" w:customStyle="1" w:styleId="79">
    <w:name w:val="Char Char8"/>
    <w:qFormat/>
    <w:uiPriority w:val="0"/>
    <w:rPr>
      <w:rFonts w:ascii="Arial" w:hAnsi="Arial" w:eastAsia="黑体"/>
      <w:b/>
      <w:bCs/>
      <w:kern w:val="2"/>
      <w:sz w:val="32"/>
      <w:szCs w:val="32"/>
      <w:lang w:val="en-US" w:eastAsia="zh-CN" w:bidi="ar-SA"/>
    </w:rPr>
  </w:style>
  <w:style w:type="character" w:customStyle="1" w:styleId="80">
    <w:name w:val="Intense Reference_0abc2d4c-e318-4fdd-beed-8cb908dc1956"/>
    <w:qFormat/>
    <w:uiPriority w:val="0"/>
    <w:rPr>
      <w:b/>
      <w:bCs/>
      <w:smallCaps/>
      <w:color w:val="C0504D"/>
      <w:spacing w:val="5"/>
      <w:u w:val="single"/>
    </w:rPr>
  </w:style>
  <w:style w:type="character" w:customStyle="1" w:styleId="81">
    <w:name w:val="Char Char"/>
    <w:autoRedefine/>
    <w:qFormat/>
    <w:uiPriority w:val="0"/>
    <w:rPr>
      <w:rFonts w:ascii="Arial" w:hAnsi="Arial" w:eastAsia="黑体"/>
      <w:b/>
      <w:bCs/>
      <w:kern w:val="2"/>
      <w:sz w:val="32"/>
      <w:szCs w:val="32"/>
      <w:lang w:val="en-US" w:eastAsia="zh-CN" w:bidi="ar-SA"/>
    </w:rPr>
  </w:style>
  <w:style w:type="character" w:customStyle="1" w:styleId="82">
    <w:name w:val="文档结构图 Char1"/>
    <w:autoRedefine/>
    <w:qFormat/>
    <w:uiPriority w:val="0"/>
    <w:rPr>
      <w:rFonts w:ascii="宋体"/>
      <w:kern w:val="2"/>
      <w:sz w:val="18"/>
      <w:szCs w:val="18"/>
    </w:rPr>
  </w:style>
  <w:style w:type="character" w:customStyle="1" w:styleId="83">
    <w:name w:val="明显引用 Char"/>
    <w:link w:val="84"/>
    <w:qFormat/>
    <w:uiPriority w:val="0"/>
    <w:rPr>
      <w:b/>
      <w:bCs/>
      <w:i/>
      <w:iCs/>
      <w:color w:val="4F81BD"/>
      <w:kern w:val="2"/>
      <w:sz w:val="21"/>
      <w:szCs w:val="22"/>
    </w:rPr>
  </w:style>
  <w:style w:type="paragraph" w:styleId="84">
    <w:name w:val="Intense Quote"/>
    <w:basedOn w:val="1"/>
    <w:next w:val="1"/>
    <w:link w:val="83"/>
    <w:autoRedefine/>
    <w:qFormat/>
    <w:uiPriority w:val="0"/>
    <w:pPr>
      <w:pBdr>
        <w:bottom w:val="single" w:color="4F81BD" w:sz="4" w:space="4"/>
      </w:pBdr>
      <w:spacing w:before="200" w:after="280"/>
      <w:ind w:left="936" w:right="936"/>
    </w:pPr>
    <w:rPr>
      <w:b/>
      <w:bCs/>
      <w:i/>
      <w:iCs/>
      <w:color w:val="4F81BD"/>
      <w:szCs w:val="22"/>
    </w:rPr>
  </w:style>
  <w:style w:type="character" w:customStyle="1" w:styleId="85">
    <w:name w:val="批注文字 Char Char"/>
    <w:autoRedefine/>
    <w:qFormat/>
    <w:uiPriority w:val="0"/>
    <w:rPr>
      <w:rFonts w:ascii="宋体" w:hAnsi="Times New Roman" w:eastAsia="宋体" w:cs="Times New Roman"/>
      <w:sz w:val="28"/>
      <w:szCs w:val="20"/>
    </w:rPr>
  </w:style>
  <w:style w:type="character" w:customStyle="1" w:styleId="86">
    <w:name w:val="标题2 Char"/>
    <w:link w:val="87"/>
    <w:qFormat/>
    <w:uiPriority w:val="0"/>
    <w:rPr>
      <w:rFonts w:ascii="Cambria" w:hAnsi="Cambria"/>
      <w:b/>
      <w:bCs/>
      <w:kern w:val="2"/>
      <w:sz w:val="30"/>
      <w:szCs w:val="24"/>
      <w:lang w:bidi="ar-SA"/>
    </w:rPr>
  </w:style>
  <w:style w:type="paragraph" w:customStyle="1" w:styleId="87">
    <w:name w:val="标题2"/>
    <w:basedOn w:val="39"/>
    <w:link w:val="86"/>
    <w:qFormat/>
    <w:uiPriority w:val="0"/>
    <w:pPr>
      <w:adjustRightInd/>
      <w:spacing w:after="240" w:line="240" w:lineRule="auto"/>
      <w:jc w:val="left"/>
      <w:textAlignment w:val="auto"/>
    </w:pPr>
    <w:rPr>
      <w:rFonts w:ascii="Cambria" w:hAnsi="Cambria"/>
      <w:bCs/>
      <w:kern w:val="2"/>
      <w:sz w:val="30"/>
      <w:szCs w:val="24"/>
    </w:rPr>
  </w:style>
  <w:style w:type="character" w:customStyle="1" w:styleId="88">
    <w:name w:val="MSG_EN_FONT_STYLE_NAME_TEMPLATE_ROLE_NUMBER MSG_EN_FONT_STYLE_NAME_BY_ROLE_TEXT 13 + MSG_EN_FONT_STYLE_MODIFER_SIZE 8.5"/>
    <w:autoRedefine/>
    <w:qFormat/>
    <w:uiPriority w:val="0"/>
    <w:rPr>
      <w:rFonts w:ascii="PMingLiU" w:hAnsi="PMingLiU" w:eastAsia="PMingLiU" w:cs="PMingLiU"/>
      <w:color w:val="000000"/>
      <w:spacing w:val="0"/>
      <w:w w:val="100"/>
      <w:position w:val="0"/>
      <w:sz w:val="17"/>
      <w:szCs w:val="17"/>
      <w:u w:val="none"/>
      <w:lang w:val="zh-CN" w:eastAsia="zh-CN" w:bidi="zh-CN"/>
    </w:rPr>
  </w:style>
  <w:style w:type="character" w:customStyle="1" w:styleId="89">
    <w:name w:val="font161"/>
    <w:autoRedefine/>
    <w:qFormat/>
    <w:uiPriority w:val="0"/>
    <w:rPr>
      <w:b/>
      <w:bCs/>
      <w:sz w:val="32"/>
      <w:szCs w:val="32"/>
    </w:rPr>
  </w:style>
  <w:style w:type="character" w:customStyle="1" w:styleId="90">
    <w:name w:val="标题4 Char Char"/>
    <w:link w:val="91"/>
    <w:autoRedefine/>
    <w:qFormat/>
    <w:uiPriority w:val="0"/>
    <w:rPr>
      <w:rFonts w:ascii="Arial" w:hAnsi="Arial"/>
      <w:b/>
      <w:bCs/>
      <w:sz w:val="24"/>
      <w:szCs w:val="32"/>
    </w:rPr>
  </w:style>
  <w:style w:type="paragraph" w:customStyle="1" w:styleId="91">
    <w:name w:val="标题4"/>
    <w:basedOn w:val="3"/>
    <w:next w:val="20"/>
    <w:link w:val="90"/>
    <w:autoRedefine/>
    <w:qFormat/>
    <w:uiPriority w:val="0"/>
    <w:pPr>
      <w:spacing w:line="413" w:lineRule="auto"/>
    </w:pPr>
    <w:rPr>
      <w:rFonts w:eastAsia="宋体"/>
      <w:kern w:val="0"/>
      <w:sz w:val="24"/>
    </w:rPr>
  </w:style>
  <w:style w:type="character" w:customStyle="1" w:styleId="92">
    <w:name w:val="MSG_EN_FONT_STYLE_NAME_TEMPLATE_ROLE_NUMBER MSG_EN_FONT_STYLE_NAME_BY_ROLE_TEXT 13_"/>
    <w:link w:val="93"/>
    <w:autoRedefine/>
    <w:qFormat/>
    <w:uiPriority w:val="0"/>
    <w:rPr>
      <w:rFonts w:ascii="PMingLiU" w:hAnsi="PMingLiU" w:eastAsia="PMingLiU" w:cs="PMingLiU"/>
    </w:rPr>
  </w:style>
  <w:style w:type="paragraph" w:customStyle="1" w:styleId="93">
    <w:name w:val="MSG_EN_FONT_STYLE_NAME_TEMPLATE_ROLE_NUMBER MSG_EN_FONT_STYLE_NAME_BY_ROLE_TEXT 131"/>
    <w:basedOn w:val="1"/>
    <w:link w:val="92"/>
    <w:autoRedefine/>
    <w:qFormat/>
    <w:uiPriority w:val="0"/>
    <w:pPr>
      <w:shd w:val="clear" w:color="auto" w:fill="FFFFFF"/>
      <w:spacing w:before="340" w:after="160" w:line="398" w:lineRule="exact"/>
      <w:jc w:val="distribute"/>
    </w:pPr>
    <w:rPr>
      <w:rFonts w:ascii="PMingLiU" w:hAnsi="PMingLiU" w:eastAsia="PMingLiU"/>
      <w:kern w:val="0"/>
      <w:sz w:val="20"/>
      <w:szCs w:val="20"/>
    </w:rPr>
  </w:style>
  <w:style w:type="character" w:customStyle="1" w:styleId="94">
    <w:name w:val="Char Char2"/>
    <w:autoRedefine/>
    <w:qFormat/>
    <w:uiPriority w:val="0"/>
    <w:rPr>
      <w:rFonts w:eastAsia="宋体"/>
      <w:kern w:val="2"/>
      <w:sz w:val="21"/>
      <w:szCs w:val="24"/>
      <w:lang w:val="en-US" w:eastAsia="zh-CN" w:bidi="ar-SA"/>
    </w:rPr>
  </w:style>
  <w:style w:type="character" w:customStyle="1" w:styleId="95">
    <w:name w:val="明显引用 Char1"/>
    <w:autoRedefine/>
    <w:qFormat/>
    <w:uiPriority w:val="99"/>
    <w:rPr>
      <w:b/>
      <w:bCs/>
      <w:i/>
      <w:iCs/>
      <w:color w:val="4F81BD"/>
      <w:kern w:val="2"/>
      <w:sz w:val="21"/>
      <w:szCs w:val="24"/>
    </w:rPr>
  </w:style>
  <w:style w:type="character" w:customStyle="1" w:styleId="96">
    <w:name w:val="正文文本 Char1"/>
    <w:autoRedefine/>
    <w:qFormat/>
    <w:uiPriority w:val="0"/>
    <w:rPr>
      <w:kern w:val="2"/>
      <w:sz w:val="21"/>
      <w:szCs w:val="22"/>
    </w:rPr>
  </w:style>
  <w:style w:type="character" w:customStyle="1" w:styleId="97">
    <w:name w:val="Char Char16"/>
    <w:autoRedefine/>
    <w:qFormat/>
    <w:uiPriority w:val="0"/>
    <w:rPr>
      <w:kern w:val="2"/>
      <w:sz w:val="21"/>
      <w:szCs w:val="24"/>
    </w:rPr>
  </w:style>
  <w:style w:type="character" w:customStyle="1" w:styleId="98">
    <w:name w:val="Subtle Emphasis_d7a44c72-1a51-48e4-8078-05e729afb0e5"/>
    <w:autoRedefine/>
    <w:qFormat/>
    <w:uiPriority w:val="0"/>
    <w:rPr>
      <w:i/>
      <w:iCs/>
      <w:color w:val="808080"/>
    </w:rPr>
  </w:style>
  <w:style w:type="character" w:customStyle="1" w:styleId="99">
    <w:name w:val="textcontents"/>
    <w:autoRedefine/>
    <w:qFormat/>
    <w:uiPriority w:val="0"/>
    <w:rPr>
      <w:rFonts w:cs="Times New Roman"/>
    </w:rPr>
  </w:style>
  <w:style w:type="character" w:customStyle="1" w:styleId="100">
    <w:name w:val="Intense Emphasis_8365e8d9-3436-4d36-b306-226f6be619e9"/>
    <w:autoRedefine/>
    <w:qFormat/>
    <w:uiPriority w:val="0"/>
    <w:rPr>
      <w:b/>
      <w:bCs/>
      <w:i/>
      <w:iCs/>
      <w:color w:val="4F81BD"/>
    </w:rPr>
  </w:style>
  <w:style w:type="character" w:customStyle="1" w:styleId="101">
    <w:name w:val="标题3 Char"/>
    <w:link w:val="102"/>
    <w:autoRedefine/>
    <w:qFormat/>
    <w:uiPriority w:val="0"/>
    <w:rPr>
      <w:rFonts w:ascii="宋体" w:hAnsi="宋体"/>
      <w:b/>
      <w:bCs/>
      <w:kern w:val="44"/>
      <w:sz w:val="24"/>
      <w:szCs w:val="24"/>
      <w:lang w:bidi="ar-SA"/>
    </w:rPr>
  </w:style>
  <w:style w:type="paragraph" w:customStyle="1" w:styleId="102">
    <w:name w:val="标题3"/>
    <w:basedOn w:val="2"/>
    <w:link w:val="101"/>
    <w:autoRedefine/>
    <w:qFormat/>
    <w:uiPriority w:val="0"/>
    <w:pPr>
      <w:spacing w:beforeLines="50" w:afterLines="50" w:line="400" w:lineRule="exact"/>
    </w:pPr>
    <w:rPr>
      <w:rFonts w:ascii="宋体" w:hAnsi="宋体"/>
      <w:sz w:val="24"/>
      <w:szCs w:val="24"/>
    </w:rPr>
  </w:style>
  <w:style w:type="character" w:customStyle="1" w:styleId="103">
    <w:name w:val="批注主题 Char1"/>
    <w:autoRedefine/>
    <w:qFormat/>
    <w:uiPriority w:val="0"/>
    <w:rPr>
      <w:b/>
      <w:bCs/>
      <w:kern w:val="2"/>
      <w:sz w:val="21"/>
      <w:szCs w:val="22"/>
    </w:rPr>
  </w:style>
  <w:style w:type="character" w:customStyle="1" w:styleId="104">
    <w:name w:val="Book Title_3a040dad-674f-4d45-820e-cea834dcb84d"/>
    <w:autoRedefine/>
    <w:qFormat/>
    <w:uiPriority w:val="0"/>
    <w:rPr>
      <w:b/>
      <w:bCs/>
      <w:smallCaps/>
      <w:spacing w:val="5"/>
    </w:rPr>
  </w:style>
  <w:style w:type="character" w:customStyle="1" w:styleId="105">
    <w:name w:val="标题5 Char Char"/>
    <w:link w:val="55"/>
    <w:autoRedefine/>
    <w:qFormat/>
    <w:uiPriority w:val="0"/>
    <w:rPr>
      <w:rFonts w:ascii="Arial" w:hAnsi="Arial"/>
      <w:b/>
      <w:bCs/>
      <w:sz w:val="24"/>
      <w:szCs w:val="32"/>
    </w:rPr>
  </w:style>
  <w:style w:type="character" w:customStyle="1" w:styleId="106">
    <w:name w:val="Char Char7"/>
    <w:autoRedefine/>
    <w:qFormat/>
    <w:uiPriority w:val="0"/>
    <w:rPr>
      <w:rFonts w:ascii="Arial" w:hAnsi="Arial" w:eastAsia="黑体"/>
      <w:b/>
      <w:bCs/>
      <w:kern w:val="2"/>
      <w:sz w:val="32"/>
      <w:szCs w:val="32"/>
      <w:lang w:val="en-US" w:eastAsia="zh-CN" w:bidi="ar-SA"/>
    </w:rPr>
  </w:style>
  <w:style w:type="character" w:customStyle="1" w:styleId="107">
    <w:name w:val="引用 Char1"/>
    <w:autoRedefine/>
    <w:qFormat/>
    <w:uiPriority w:val="99"/>
    <w:rPr>
      <w:i/>
      <w:iCs/>
      <w:color w:val="000000"/>
      <w:kern w:val="2"/>
      <w:sz w:val="21"/>
      <w:szCs w:val="24"/>
    </w:rPr>
  </w:style>
  <w:style w:type="character" w:customStyle="1" w:styleId="108">
    <w:name w:val="Subtle Reference_07d189c8-9147-4bb8-a550-1c9491cdd900"/>
    <w:autoRedefine/>
    <w:qFormat/>
    <w:uiPriority w:val="0"/>
    <w:rPr>
      <w:smallCaps/>
      <w:color w:val="C0504D"/>
      <w:u w:val="single"/>
    </w:rPr>
  </w:style>
  <w:style w:type="character" w:customStyle="1" w:styleId="109">
    <w:name w:val="批注框文本 Char1"/>
    <w:autoRedefine/>
    <w:qFormat/>
    <w:uiPriority w:val="0"/>
    <w:rPr>
      <w:kern w:val="2"/>
      <w:sz w:val="18"/>
      <w:szCs w:val="18"/>
    </w:rPr>
  </w:style>
  <w:style w:type="character" w:customStyle="1" w:styleId="110">
    <w:name w:val="副标题 Char1"/>
    <w:autoRedefine/>
    <w:qFormat/>
    <w:uiPriority w:val="0"/>
    <w:rPr>
      <w:rFonts w:ascii="Cambria" w:hAnsi="Cambria" w:cs="Times New Roman"/>
      <w:b/>
      <w:bCs/>
      <w:kern w:val="28"/>
      <w:sz w:val="32"/>
      <w:szCs w:val="32"/>
    </w:rPr>
  </w:style>
  <w:style w:type="character" w:customStyle="1" w:styleId="111">
    <w:name w:val="引用 Char"/>
    <w:link w:val="56"/>
    <w:autoRedefine/>
    <w:qFormat/>
    <w:uiPriority w:val="0"/>
    <w:rPr>
      <w:i/>
      <w:iCs/>
      <w:color w:val="000000"/>
      <w:kern w:val="2"/>
      <w:sz w:val="21"/>
      <w:szCs w:val="22"/>
    </w:rPr>
  </w:style>
  <w:style w:type="paragraph" w:customStyle="1" w:styleId="112">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113">
    <w:name w:val="样式4"/>
    <w:basedOn w:val="4"/>
    <w:autoRedefine/>
    <w:qFormat/>
    <w:uiPriority w:val="0"/>
    <w:rPr>
      <w:rFonts w:eastAsia="Arial"/>
    </w:rPr>
  </w:style>
  <w:style w:type="paragraph" w:customStyle="1" w:styleId="114">
    <w:name w:val="Char"/>
    <w:basedOn w:val="1"/>
    <w:autoRedefine/>
    <w:qFormat/>
    <w:uiPriority w:val="0"/>
    <w:pPr>
      <w:tabs>
        <w:tab w:val="left" w:pos="360"/>
      </w:tabs>
    </w:pPr>
    <w:rPr>
      <w:sz w:val="24"/>
    </w:rPr>
  </w:style>
  <w:style w:type="paragraph" w:customStyle="1" w:styleId="115">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styleId="116">
    <w:name w:val="List Paragraph"/>
    <w:basedOn w:val="1"/>
    <w:autoRedefine/>
    <w:qFormat/>
    <w:uiPriority w:val="0"/>
    <w:pPr>
      <w:ind w:firstLine="420" w:firstLineChars="200"/>
    </w:pPr>
    <w:rPr>
      <w:szCs w:val="22"/>
    </w:rPr>
  </w:style>
  <w:style w:type="paragraph" w:customStyle="1" w:styleId="117">
    <w:name w:val="WPSOffice手动目录 1"/>
    <w:autoRedefine/>
    <w:qFormat/>
    <w:uiPriority w:val="0"/>
    <w:rPr>
      <w:rFonts w:ascii="Times New Roman" w:hAnsi="Times New Roman" w:eastAsia="宋体" w:cs="Times New Roman"/>
      <w:lang w:val="en-US" w:eastAsia="zh-CN" w:bidi="ar-SA"/>
    </w:rPr>
  </w:style>
  <w:style w:type="paragraph" w:styleId="118">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9">
    <w:name w:val="表格"/>
    <w:basedOn w:val="1"/>
    <w:autoRedefine/>
    <w:qFormat/>
    <w:uiPriority w:val="0"/>
    <w:pPr>
      <w:jc w:val="center"/>
      <w:textAlignment w:val="center"/>
    </w:pPr>
    <w:rPr>
      <w:rFonts w:ascii="华文细黑" w:hAnsi="华文细黑"/>
      <w:kern w:val="0"/>
      <w:szCs w:val="20"/>
    </w:rPr>
  </w:style>
  <w:style w:type="paragraph" w:customStyle="1" w:styleId="120">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21">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22">
    <w:name w:val="1"/>
    <w:basedOn w:val="1"/>
    <w:next w:val="1"/>
    <w:autoRedefine/>
    <w:qFormat/>
    <w:uiPriority w:val="0"/>
  </w:style>
  <w:style w:type="paragraph" w:customStyle="1" w:styleId="123">
    <w:name w:val="样式3"/>
    <w:basedOn w:val="4"/>
    <w:autoRedefine/>
    <w:qFormat/>
    <w:uiPriority w:val="0"/>
    <w:rPr>
      <w:rFonts w:eastAsia="Arial"/>
    </w:rPr>
  </w:style>
  <w:style w:type="paragraph" w:customStyle="1" w:styleId="124">
    <w:name w:val="样式2"/>
    <w:basedOn w:val="4"/>
    <w:autoRedefine/>
    <w:qFormat/>
    <w:uiPriority w:val="0"/>
  </w:style>
  <w:style w:type="paragraph" w:customStyle="1" w:styleId="125">
    <w:name w:val="样式1"/>
    <w:basedOn w:val="4"/>
    <w:autoRedefine/>
    <w:qFormat/>
    <w:uiPriority w:val="0"/>
    <w:rPr>
      <w:rFonts w:eastAsia="Arial"/>
    </w:rPr>
  </w:style>
  <w:style w:type="paragraph" w:customStyle="1" w:styleId="126">
    <w:name w:val="TOC Heading_a277e60f-81d8-4322-a434-307f17edaa0f"/>
    <w:basedOn w:val="2"/>
    <w:next w:val="1"/>
    <w:autoRedefine/>
    <w:qFormat/>
    <w:uiPriority w:val="0"/>
    <w:pPr>
      <w:spacing w:line="578" w:lineRule="auto"/>
      <w:outlineLvl w:val="9"/>
    </w:pPr>
  </w:style>
  <w:style w:type="paragraph" w:customStyle="1" w:styleId="127">
    <w:name w:val="Revision_475f317f-c742-4dec-8580-9b5c977f05a1"/>
    <w:autoRedefine/>
    <w:qFormat/>
    <w:uiPriority w:val="0"/>
    <w:rPr>
      <w:rFonts w:ascii="Times New Roman" w:hAnsi="Times New Roman" w:eastAsia="宋体" w:cs="Times New Roman"/>
      <w:kern w:val="2"/>
      <w:sz w:val="21"/>
      <w:szCs w:val="24"/>
      <w:lang w:val="en-US" w:eastAsia="zh-CN" w:bidi="ar-SA"/>
    </w:rPr>
  </w:style>
  <w:style w:type="paragraph" w:customStyle="1" w:styleId="128">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129">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130">
    <w:name w:val="表格文字"/>
    <w:basedOn w:val="1"/>
    <w:autoRedefine/>
    <w:qFormat/>
    <w:uiPriority w:val="0"/>
    <w:pPr>
      <w:adjustRightInd w:val="0"/>
      <w:spacing w:line="420" w:lineRule="atLeast"/>
      <w:jc w:val="left"/>
      <w:textAlignment w:val="baseline"/>
    </w:pPr>
    <w:rPr>
      <w:kern w:val="0"/>
      <w:szCs w:val="20"/>
    </w:rPr>
  </w:style>
  <w:style w:type="character" w:customStyle="1" w:styleId="131">
    <w:name w:val="NormalCharacter"/>
    <w:autoRedefine/>
    <w:qFormat/>
    <w:uiPriority w:val="0"/>
  </w:style>
  <w:style w:type="character" w:customStyle="1" w:styleId="132">
    <w:name w:val="loan"/>
    <w:basedOn w:val="45"/>
    <w:autoRedefine/>
    <w:qFormat/>
    <w:uiPriority w:val="0"/>
  </w:style>
  <w:style w:type="character" w:customStyle="1" w:styleId="133">
    <w:name w:val="font"/>
    <w:basedOn w:val="45"/>
    <w:autoRedefine/>
    <w:qFormat/>
    <w:uiPriority w:val="0"/>
  </w:style>
  <w:style w:type="character" w:customStyle="1" w:styleId="134">
    <w:name w:val="font1"/>
    <w:basedOn w:val="45"/>
    <w:autoRedefine/>
    <w:qFormat/>
    <w:uiPriority w:val="0"/>
  </w:style>
  <w:style w:type="character" w:customStyle="1" w:styleId="135">
    <w:name w:val="gwds_nopic"/>
    <w:basedOn w:val="45"/>
    <w:autoRedefine/>
    <w:qFormat/>
    <w:uiPriority w:val="0"/>
  </w:style>
  <w:style w:type="character" w:customStyle="1" w:styleId="136">
    <w:name w:val="gwds_nopic1"/>
    <w:basedOn w:val="45"/>
    <w:autoRedefine/>
    <w:qFormat/>
    <w:uiPriority w:val="0"/>
  </w:style>
  <w:style w:type="character" w:customStyle="1" w:styleId="137">
    <w:name w:val="gwds_nopic2"/>
    <w:basedOn w:val="45"/>
    <w:autoRedefine/>
    <w:qFormat/>
    <w:uiPriority w:val="0"/>
  </w:style>
  <w:style w:type="character" w:customStyle="1" w:styleId="138">
    <w:name w:val="laypage_curr"/>
    <w:basedOn w:val="45"/>
    <w:autoRedefine/>
    <w:qFormat/>
    <w:uiPriority w:val="0"/>
    <w:rPr>
      <w:color w:val="FFFDF4"/>
      <w:shd w:val="clear" w:color="auto" w:fill="0B67A6"/>
    </w:rPr>
  </w:style>
  <w:style w:type="character" w:customStyle="1" w:styleId="139">
    <w:name w:val="hover12"/>
    <w:basedOn w:val="45"/>
    <w:autoRedefine/>
    <w:qFormat/>
    <w:uiPriority w:val="0"/>
    <w:rPr>
      <w:color w:val="015293"/>
    </w:rPr>
  </w:style>
  <w:style w:type="table" w:customStyle="1" w:styleId="140">
    <w:name w:val="Table Normal"/>
    <w:basedOn w:val="43"/>
    <w:autoRedefine/>
    <w:qFormat/>
    <w:uiPriority w:val="0"/>
    <w:tblPr>
      <w:tblCellMar>
        <w:left w:w="0" w:type="dxa"/>
        <w:right w:w="0" w:type="dxa"/>
      </w:tblCellMar>
    </w:tblPr>
  </w:style>
  <w:style w:type="paragraph" w:customStyle="1" w:styleId="141">
    <w:name w:val="Table Paragraph"/>
    <w:basedOn w:val="1"/>
    <w:autoRedefine/>
    <w:qFormat/>
    <w:uiPriority w:val="1"/>
    <w:rPr>
      <w:rFonts w:ascii="仿宋" w:hAnsi="仿宋" w:eastAsia="仿宋" w:cs="仿宋"/>
      <w:lang w:val="zh-CN" w:bidi="zh-CN"/>
    </w:rPr>
  </w:style>
  <w:style w:type="paragraph" w:customStyle="1" w:styleId="142">
    <w:name w:val="toc 6_5f9deb80-98c4-44be-974b-f31a9ed578cc"/>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143">
    <w:name w:val="p0"/>
    <w:basedOn w:val="1"/>
    <w:autoRedefine/>
    <w:qFormat/>
    <w:uiPriority w:val="0"/>
    <w:rPr>
      <w:szCs w:val="21"/>
    </w:rPr>
  </w:style>
  <w:style w:type="character" w:customStyle="1" w:styleId="144">
    <w:name w:val="font31"/>
    <w:basedOn w:val="45"/>
    <w:autoRedefine/>
    <w:qFormat/>
    <w:uiPriority w:val="0"/>
    <w:rPr>
      <w:rFonts w:hint="default" w:ascii="宋体 ( 正文 )" w:hAnsi="宋体 ( 正文 )" w:eastAsia="宋体 ( 正文 )" w:cs="宋体 ( 正文 )"/>
      <w:color w:val="000000"/>
      <w:sz w:val="20"/>
      <w:szCs w:val="20"/>
      <w:u w:val="none"/>
    </w:rPr>
  </w:style>
  <w:style w:type="character" w:customStyle="1" w:styleId="145">
    <w:name w:val="font41"/>
    <w:basedOn w:val="45"/>
    <w:autoRedefine/>
    <w:qFormat/>
    <w:uiPriority w:val="0"/>
    <w:rPr>
      <w:rFonts w:hint="eastAsia" w:ascii="宋体" w:hAnsi="宋体" w:eastAsia="宋体" w:cs="宋体"/>
      <w:color w:val="000000"/>
      <w:sz w:val="20"/>
      <w:szCs w:val="20"/>
      <w:u w:val="none"/>
    </w:rPr>
  </w:style>
  <w:style w:type="character" w:customStyle="1" w:styleId="146">
    <w:name w:val="font51"/>
    <w:basedOn w:val="45"/>
    <w:autoRedefine/>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101</Pages>
  <Words>10033</Words>
  <Characters>57193</Characters>
  <Lines>476</Lines>
  <Paragraphs>134</Paragraphs>
  <TotalTime>66</TotalTime>
  <ScaleCrop>false</ScaleCrop>
  <LinksUpToDate>false</LinksUpToDate>
  <CharactersWithSpaces>67092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2022-01-14T04:40:00Z</dcterms:created>
  <dc:creator>User</dc:creator>
  <cp:lastModifiedBy>10760</cp:lastModifiedBy>
  <cp:lastPrinted>2023-11-23T00:07:00Z</cp:lastPrinted>
  <dcterms:modified xsi:type="dcterms:W3CDTF">2023-12-26T01:50:35Z</dcterms:modified>
  <dc:title>（项目名称）施工招标</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8B4CDDD6D13C4D8E89C122D10D949C55_13</vt:lpwstr>
  </property>
</Properties>
</file>