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hint="eastAsia" w:ascii="宋体" w:hAnsi="宋体" w:cs="宋体"/>
          <w:color w:val="000000"/>
          <w:sz w:val="44"/>
          <w:szCs w:val="44"/>
        </w:rPr>
      </w:pPr>
      <w:bookmarkStart w:id="0" w:name="_Toc296602400"/>
      <w:bookmarkStart w:id="1" w:name="_Toc247085669"/>
      <w:bookmarkStart w:id="2" w:name="_Toc246996898"/>
      <w:bookmarkStart w:id="3" w:name="_Toc1986"/>
      <w:bookmarkStart w:id="4" w:name="_Toc246996175"/>
      <w:bookmarkStart w:id="5" w:name="_Toc246996918"/>
      <w:bookmarkStart w:id="6" w:name="_Toc11557"/>
      <w:bookmarkStart w:id="7" w:name="_Toc179632546"/>
      <w:bookmarkStart w:id="8" w:name="_Toc31947"/>
      <w:bookmarkStart w:id="9" w:name="_Toc152045529"/>
      <w:bookmarkStart w:id="10" w:name="_Toc17310"/>
      <w:bookmarkStart w:id="11" w:name="_Toc247085689"/>
      <w:bookmarkStart w:id="12" w:name="_Toc5253"/>
      <w:bookmarkStart w:id="13" w:name="_Toc144974497"/>
      <w:bookmarkStart w:id="14" w:name="_Toc152042305"/>
      <w:bookmarkStart w:id="15" w:name="_Toc4161"/>
      <w:bookmarkStart w:id="16" w:name="_Toc453756895"/>
    </w:p>
    <w:bookmarkEnd w:id="0"/>
    <w:bookmarkEnd w:id="1"/>
    <w:bookmarkEnd w:id="2"/>
    <w:p>
      <w:pPr>
        <w:spacing w:line="500" w:lineRule="atLeast"/>
        <w:jc w:val="center"/>
        <w:rPr>
          <w:rFonts w:hint="eastAsia" w:ascii="宋体" w:hAnsi="宋体" w:cs="宋体"/>
          <w:sz w:val="44"/>
          <w:szCs w:val="44"/>
        </w:rPr>
      </w:pPr>
      <w:bookmarkStart w:id="17" w:name="_Toc246996899"/>
      <w:bookmarkStart w:id="18" w:name="_Toc247085670"/>
      <w:bookmarkStart w:id="19" w:name="_Toc246996156"/>
      <w:r>
        <w:rPr>
          <w:rFonts w:hint="eastAsia" w:ascii="宋体" w:hAnsi="宋体" w:cs="宋体"/>
          <w:sz w:val="44"/>
          <w:szCs w:val="44"/>
          <w:lang w:val="en-US" w:eastAsia="zh-CN"/>
        </w:rPr>
        <w:t>长春市就业链与产业链协同发展示范项目基础公共就业及信息化服务</w:t>
      </w:r>
    </w:p>
    <w:p>
      <w:pPr>
        <w:pStyle w:val="2"/>
        <w:rPr>
          <w:rFonts w:hint="eastAsia" w:ascii="宋体" w:hAnsi="宋体" w:cs="宋体"/>
          <w:sz w:val="36"/>
          <w:szCs w:val="36"/>
        </w:rPr>
      </w:pPr>
    </w:p>
    <w:p>
      <w:pPr>
        <w:pStyle w:val="27"/>
        <w:rPr>
          <w:rFonts w:hint="eastAsia"/>
        </w:rPr>
      </w:pPr>
    </w:p>
    <w:p>
      <w:pPr>
        <w:spacing w:line="500" w:lineRule="atLeast"/>
        <w:jc w:val="center"/>
        <w:rPr>
          <w:rFonts w:hint="eastAsia" w:ascii="宋体" w:hAnsi="宋体" w:cs="宋体"/>
          <w:bCs/>
          <w:sz w:val="72"/>
          <w:szCs w:val="72"/>
        </w:rPr>
      </w:pPr>
      <w:r>
        <w:rPr>
          <w:rFonts w:hint="eastAsia" w:ascii="宋体" w:hAnsi="宋体" w:cs="宋体"/>
          <w:bCs/>
          <w:sz w:val="72"/>
          <w:szCs w:val="72"/>
        </w:rPr>
        <w:t>招 标 文 件</w:t>
      </w:r>
    </w:p>
    <w:p>
      <w:pPr>
        <w:jc w:val="center"/>
        <w:rPr>
          <w:rFonts w:hint="default" w:ascii="宋体" w:hAnsi="宋体" w:eastAsia="宋体" w:cs="宋体"/>
          <w:sz w:val="44"/>
          <w:szCs w:val="44"/>
          <w:lang w:val="en-US" w:eastAsia="zh-CN"/>
        </w:rPr>
      </w:pPr>
      <w:r>
        <w:rPr>
          <w:rFonts w:hint="eastAsia" w:ascii="宋体" w:hAnsi="宋体" w:cs="宋体"/>
          <w:sz w:val="32"/>
          <w:szCs w:val="32"/>
        </w:rPr>
        <w:t>招标项目编号</w:t>
      </w:r>
      <w:r>
        <w:rPr>
          <w:rFonts w:hint="eastAsia" w:ascii="宋体" w:hAnsi="宋体" w:cs="宋体"/>
          <w:sz w:val="32"/>
          <w:szCs w:val="32"/>
          <w:highlight w:val="none"/>
        </w:rPr>
        <w:t>：</w:t>
      </w:r>
      <w:r>
        <w:rPr>
          <w:rFonts w:hint="eastAsia" w:ascii="宋体" w:hAnsi="宋体" w:cs="宋体"/>
          <w:sz w:val="32"/>
          <w:szCs w:val="32"/>
          <w:highlight w:val="none"/>
          <w:lang w:val="en-US" w:eastAsia="zh-CN"/>
        </w:rPr>
        <w:t>JM-2023-11-01181-3</w:t>
      </w:r>
    </w:p>
    <w:p>
      <w:pPr>
        <w:pStyle w:val="26"/>
        <w:rPr>
          <w:rFonts w:hint="eastAsia" w:ascii="宋体" w:hAnsi="宋体" w:cs="宋体"/>
          <w:sz w:val="44"/>
          <w:szCs w:val="44"/>
          <w:lang w:val="en-US" w:eastAsia="zh-CN"/>
        </w:rPr>
      </w:pPr>
    </w:p>
    <w:p>
      <w:pPr>
        <w:rPr>
          <w:rFonts w:hint="eastAsia" w:ascii="宋体" w:hAnsi="宋体" w:cs="宋体"/>
          <w:sz w:val="44"/>
          <w:szCs w:val="44"/>
          <w:lang w:val="en-US" w:eastAsia="zh-CN"/>
        </w:rPr>
      </w:pPr>
    </w:p>
    <w:p>
      <w:pPr>
        <w:pStyle w:val="55"/>
        <w:rPr>
          <w:rFonts w:hint="eastAsia"/>
          <w:lang w:val="en-US" w:eastAsia="zh-CN"/>
        </w:rPr>
      </w:pPr>
    </w:p>
    <w:p>
      <w:pPr>
        <w:rPr>
          <w:rFonts w:hint="eastAsia" w:ascii="宋体" w:hAnsi="宋体" w:cs="宋体"/>
          <w:sz w:val="44"/>
          <w:szCs w:val="44"/>
          <w:lang w:val="en-US" w:eastAsia="zh-CN"/>
        </w:rPr>
      </w:pPr>
    </w:p>
    <w:p>
      <w:pPr>
        <w:pStyle w:val="55"/>
        <w:rPr>
          <w:rFonts w:hint="eastAsia"/>
          <w:lang w:val="en-US" w:eastAsia="zh-CN"/>
        </w:rPr>
      </w:pPr>
    </w:p>
    <w:p>
      <w:pPr>
        <w:jc w:val="center"/>
        <w:rPr>
          <w:rFonts w:hint="eastAsia" w:ascii="宋体" w:hAnsi="宋体" w:cs="宋体"/>
          <w:sz w:val="44"/>
          <w:szCs w:val="44"/>
          <w:lang w:val="en-US" w:eastAsia="zh-CN"/>
        </w:rPr>
      </w:pPr>
    </w:p>
    <w:p>
      <w:pPr>
        <w:snapToGrid w:val="0"/>
        <w:spacing w:line="480" w:lineRule="auto"/>
        <w:jc w:val="center"/>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val="0"/>
        <w:spacing w:line="480" w:lineRule="auto"/>
        <w:ind w:firstLine="320" w:firstLineChars="100"/>
        <w:jc w:val="both"/>
        <w:textAlignment w:val="auto"/>
        <w:rPr>
          <w:rFonts w:hint="default" w:ascii="宋体" w:hAnsi="宋体" w:cs="宋体"/>
          <w:bCs/>
          <w:sz w:val="32"/>
          <w:szCs w:val="32"/>
          <w:u w:val="single"/>
          <w:lang w:val="en-US"/>
        </w:rPr>
      </w:pPr>
      <w:r>
        <w:rPr>
          <w:rFonts w:hint="eastAsia" w:ascii="宋体" w:hAnsi="宋体" w:cs="宋体"/>
          <w:bCs/>
          <w:sz w:val="32"/>
          <w:szCs w:val="32"/>
        </w:rPr>
        <w:t xml:space="preserve">招 </w:t>
      </w:r>
      <w:r>
        <w:rPr>
          <w:rFonts w:hint="eastAsia" w:ascii="宋体" w:hAnsi="宋体" w:cs="宋体"/>
          <w:bCs/>
          <w:sz w:val="32"/>
          <w:szCs w:val="32"/>
          <w:lang w:val="en-US" w:eastAsia="zh-CN"/>
        </w:rPr>
        <w:t xml:space="preserve"> </w:t>
      </w:r>
      <w:r>
        <w:rPr>
          <w:rFonts w:hint="eastAsia" w:ascii="宋体" w:hAnsi="宋体" w:cs="宋体"/>
          <w:bCs/>
          <w:sz w:val="32"/>
          <w:szCs w:val="32"/>
        </w:rPr>
        <w:t xml:space="preserve"> 标  </w:t>
      </w:r>
      <w:r>
        <w:rPr>
          <w:rFonts w:hint="eastAsia" w:ascii="宋体" w:hAnsi="宋体" w:cs="宋体"/>
          <w:bCs/>
          <w:sz w:val="32"/>
          <w:szCs w:val="32"/>
          <w:lang w:val="en-US" w:eastAsia="zh-CN"/>
        </w:rPr>
        <w:t xml:space="preserve"> </w:t>
      </w:r>
      <w:r>
        <w:rPr>
          <w:rFonts w:hint="eastAsia" w:ascii="宋体" w:hAnsi="宋体" w:cs="宋体"/>
          <w:bCs/>
          <w:sz w:val="32"/>
          <w:szCs w:val="32"/>
        </w:rPr>
        <w:t>人</w:t>
      </w:r>
      <w:r>
        <w:rPr>
          <w:rFonts w:hint="eastAsia" w:ascii="宋体" w:hAnsi="宋体" w:cs="宋体"/>
          <w:bCs/>
          <w:sz w:val="32"/>
          <w:szCs w:val="32"/>
          <w:lang w:eastAsia="zh-CN"/>
        </w:rPr>
        <w:t>：</w:t>
      </w:r>
      <w:r>
        <w:rPr>
          <w:rFonts w:hint="eastAsia" w:ascii="宋体" w:hAnsi="宋体" w:cs="宋体"/>
          <w:bCs/>
          <w:sz w:val="32"/>
          <w:szCs w:val="32"/>
          <w:u w:val="single"/>
        </w:rPr>
        <w:t xml:space="preserve"> </w:t>
      </w:r>
      <w:r>
        <w:rPr>
          <w:rFonts w:hint="eastAsia" w:ascii="宋体" w:hAnsi="宋体" w:cs="宋体"/>
          <w:bCs/>
          <w:sz w:val="32"/>
          <w:szCs w:val="32"/>
          <w:u w:val="single"/>
          <w:lang w:eastAsia="zh-CN"/>
        </w:rPr>
        <w:t xml:space="preserve"> 长春市就业服务局</w:t>
      </w:r>
      <w:r>
        <w:rPr>
          <w:rFonts w:hint="eastAsia" w:ascii="宋体" w:hAnsi="宋体" w:cs="宋体"/>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320" w:firstLineChars="100"/>
        <w:jc w:val="both"/>
        <w:textAlignment w:val="auto"/>
        <w:rPr>
          <w:rFonts w:hint="default" w:ascii="宋体" w:hAnsi="宋体" w:cs="宋体"/>
          <w:sz w:val="32"/>
          <w:szCs w:val="32"/>
          <w:u w:val="single"/>
          <w:lang w:val="en-US"/>
        </w:rPr>
      </w:pPr>
      <w:r>
        <w:rPr>
          <w:rFonts w:hint="eastAsia" w:ascii="宋体" w:hAnsi="宋体" w:cs="宋体"/>
          <w:sz w:val="32"/>
          <w:szCs w:val="32"/>
        </w:rPr>
        <w:t>招标代理机构</w:t>
      </w:r>
      <w:r>
        <w:rPr>
          <w:rFonts w:hint="eastAsia" w:ascii="宋体" w:hAnsi="宋体" w:cs="宋体"/>
          <w:sz w:val="32"/>
          <w:szCs w:val="32"/>
          <w:lang w:eastAsia="zh-CN"/>
        </w:rPr>
        <w:t>：</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bCs/>
          <w:sz w:val="32"/>
          <w:szCs w:val="32"/>
          <w:u w:val="single"/>
          <w:lang w:eastAsia="zh-CN"/>
        </w:rPr>
        <w:t>吉林省龙泰工程咨询有限责任公司</w:t>
      </w:r>
      <w:r>
        <w:rPr>
          <w:rFonts w:hint="eastAsia" w:ascii="宋体" w:hAnsi="宋体" w:cs="宋体"/>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宋体" w:hAnsi="宋体" w:cs="宋体"/>
          <w:sz w:val="32"/>
          <w:szCs w:val="32"/>
          <w:lang w:val="en-US" w:eastAsia="zh-CN"/>
        </w:rPr>
      </w:pPr>
      <w:r>
        <w:rPr>
          <w:rFonts w:hint="eastAsia" w:ascii="宋体" w:hAnsi="宋体" w:cs="宋体"/>
          <w:sz w:val="32"/>
          <w:szCs w:val="32"/>
          <w:lang w:val="en-US" w:eastAsia="zh-CN"/>
        </w:rPr>
        <w:t>2023年11月</w:t>
      </w:r>
    </w:p>
    <w:p>
      <w:pPr>
        <w:spacing w:line="440" w:lineRule="exact"/>
        <w:jc w:val="center"/>
        <w:rPr>
          <w:rFonts w:hint="eastAsia" w:ascii="宋体" w:hAnsi="宋体" w:cs="宋体"/>
          <w:b/>
          <w:color w:val="000000"/>
          <w:sz w:val="44"/>
          <w:szCs w:val="44"/>
        </w:rPr>
      </w:pPr>
    </w:p>
    <w:p>
      <w:pPr>
        <w:pStyle w:val="55"/>
        <w:rPr>
          <w:rFonts w:hint="eastAsia" w:ascii="宋体" w:hAnsi="宋体" w:cs="宋体"/>
          <w:b/>
          <w:color w:val="000000"/>
          <w:sz w:val="44"/>
          <w:szCs w:val="44"/>
        </w:rPr>
      </w:pPr>
    </w:p>
    <w:p>
      <w:pPr>
        <w:pStyle w:val="26"/>
        <w:rPr>
          <w:rFonts w:hint="eastAsia" w:ascii="宋体" w:hAnsi="宋体" w:cs="宋体"/>
          <w:b/>
          <w:color w:val="000000"/>
          <w:sz w:val="44"/>
          <w:szCs w:val="44"/>
        </w:rPr>
      </w:pPr>
    </w:p>
    <w:p>
      <w:pPr>
        <w:rPr>
          <w:rFonts w:hint="eastAsia"/>
        </w:rPr>
        <w:sectPr>
          <w:headerReference r:id="rId3" w:type="default"/>
          <w:footerReference r:id="rId4" w:type="default"/>
          <w:pgSz w:w="11906" w:h="16838"/>
          <w:pgMar w:top="1440" w:right="1800" w:bottom="1440" w:left="1800" w:header="851" w:footer="992" w:gutter="0"/>
          <w:pgNumType w:fmt="decimal" w:start="1"/>
          <w:cols w:space="720" w:num="1"/>
          <w:rtlGutter w:val="1"/>
          <w:docGrid w:type="lines" w:linePitch="312" w:charSpace="0"/>
        </w:sectPr>
      </w:pPr>
    </w:p>
    <w:p>
      <w:pPr>
        <w:pStyle w:val="2"/>
        <w:rPr>
          <w:rFonts w:hint="eastAsia"/>
        </w:rPr>
      </w:pPr>
    </w:p>
    <w:p>
      <w:pPr>
        <w:spacing w:line="440" w:lineRule="exact"/>
        <w:jc w:val="center"/>
        <w:rPr>
          <w:rFonts w:hint="eastAsia" w:ascii="宋体" w:hAnsi="宋体" w:cs="宋体"/>
          <w:b/>
          <w:color w:val="000000"/>
          <w:sz w:val="44"/>
          <w:szCs w:val="44"/>
        </w:rPr>
      </w:pPr>
    </w:p>
    <w:p>
      <w:pPr>
        <w:spacing w:line="440" w:lineRule="exact"/>
        <w:jc w:val="center"/>
        <w:rPr>
          <w:rFonts w:hint="eastAsia" w:ascii="宋体" w:hAnsi="宋体" w:cs="宋体"/>
          <w:b/>
          <w:color w:val="000000"/>
          <w:sz w:val="44"/>
          <w:szCs w:val="44"/>
        </w:rPr>
      </w:pPr>
      <w:r>
        <w:rPr>
          <w:rFonts w:hint="eastAsia" w:ascii="宋体" w:hAnsi="宋体" w:cs="宋体"/>
          <w:b/>
          <w:color w:val="000000"/>
          <w:sz w:val="44"/>
          <w:szCs w:val="44"/>
        </w:rPr>
        <w:t>目  录</w:t>
      </w:r>
    </w:p>
    <w:p>
      <w:pPr>
        <w:pStyle w:val="55"/>
        <w:rPr>
          <w:rFonts w:hint="eastAsia"/>
        </w:rPr>
      </w:pPr>
    </w:p>
    <w:p>
      <w:pPr>
        <w:pStyle w:val="118"/>
        <w:tabs>
          <w:tab w:val="right" w:leader="dot" w:pos="8306"/>
        </w:tabs>
        <w:rPr>
          <w:rFonts w:hint="eastAsia" w:ascii="宋体" w:hAnsi="宋体" w:cs="宋体"/>
          <w:color w:val="000000"/>
          <w:sz w:val="28"/>
          <w:szCs w:val="28"/>
        </w:rPr>
      </w:pPr>
      <w:r>
        <w:rPr>
          <w:rFonts w:hint="eastAsia" w:ascii="宋体" w:hAnsi="宋体" w:cs="宋体"/>
          <w:color w:val="000000"/>
        </w:rPr>
        <w:fldChar w:fldCharType="begin"/>
      </w:r>
      <w:r>
        <w:rPr>
          <w:rFonts w:hint="eastAsia" w:ascii="宋体" w:hAnsi="宋体" w:cs="宋体"/>
          <w:color w:val="000000"/>
        </w:rPr>
        <w:instrText xml:space="preserve">TOC \o "1-1" \h \u </w:instrText>
      </w:r>
      <w:r>
        <w:rPr>
          <w:rFonts w:hint="eastAsia" w:ascii="宋体" w:hAnsi="宋体" w:cs="宋体"/>
          <w:color w:val="000000"/>
        </w:rPr>
        <w:fldChar w:fldCharType="separate"/>
      </w:r>
      <w:r>
        <w:fldChar w:fldCharType="begin"/>
      </w:r>
      <w:r>
        <w:instrText xml:space="preserve"> HYPERLINK \l "_Toc2466" </w:instrText>
      </w:r>
      <w:r>
        <w:fldChar w:fldCharType="separate"/>
      </w:r>
      <w:r>
        <w:rPr>
          <w:rFonts w:hint="eastAsia" w:ascii="宋体" w:hAnsi="宋体" w:cs="宋体"/>
          <w:color w:val="000000"/>
          <w:sz w:val="28"/>
          <w:szCs w:val="28"/>
        </w:rPr>
        <w:t>第一章 招标公告</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_Toc2466 </w:instrText>
      </w:r>
      <w:r>
        <w:rPr>
          <w:rFonts w:hint="eastAsia" w:ascii="宋体" w:hAnsi="宋体" w:cs="宋体"/>
          <w:color w:val="000000"/>
          <w:sz w:val="28"/>
          <w:szCs w:val="28"/>
        </w:rPr>
        <w:fldChar w:fldCharType="separate"/>
      </w:r>
      <w:r>
        <w:rPr>
          <w:rFonts w:hint="eastAsia" w:ascii="宋体" w:hAnsi="宋体" w:cs="宋体"/>
          <w:color w:val="000000"/>
          <w:sz w:val="28"/>
          <w:szCs w:val="28"/>
        </w:rPr>
        <w:t>1</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18"/>
        <w:tabs>
          <w:tab w:val="right" w:leader="dot" w:pos="8306"/>
        </w:tabs>
        <w:rPr>
          <w:rFonts w:hint="eastAsia" w:ascii="宋体" w:hAnsi="宋体" w:cs="宋体"/>
          <w:color w:val="000000"/>
          <w:sz w:val="28"/>
          <w:szCs w:val="28"/>
        </w:rPr>
      </w:pPr>
      <w:r>
        <w:fldChar w:fldCharType="begin"/>
      </w:r>
      <w:r>
        <w:instrText xml:space="preserve"> HYPERLINK \l "_Toc19108" </w:instrText>
      </w:r>
      <w:r>
        <w:fldChar w:fldCharType="separate"/>
      </w:r>
      <w:r>
        <w:rPr>
          <w:rFonts w:hint="eastAsia" w:ascii="宋体" w:hAnsi="宋体" w:cs="宋体"/>
          <w:color w:val="000000"/>
          <w:sz w:val="28"/>
          <w:szCs w:val="28"/>
        </w:rPr>
        <w:t>第二章 投标人须知</w:t>
      </w:r>
      <w:r>
        <w:rPr>
          <w:rFonts w:hint="eastAsia" w:ascii="宋体" w:hAnsi="宋体" w:cs="宋体"/>
          <w:color w:val="000000"/>
          <w:sz w:val="28"/>
          <w:szCs w:val="28"/>
        </w:rPr>
        <w:tab/>
      </w:r>
      <w:r>
        <w:rPr>
          <w:rFonts w:hint="eastAsia" w:ascii="宋体" w:hAnsi="宋体" w:cs="宋体"/>
          <w:color w:val="000000"/>
          <w:sz w:val="28"/>
          <w:szCs w:val="28"/>
          <w:lang w:val="en-US" w:eastAsia="zh-CN"/>
        </w:rPr>
        <w:t>4</w:t>
      </w:r>
      <w:r>
        <w:rPr>
          <w:rFonts w:hint="eastAsia" w:ascii="宋体" w:hAnsi="宋体" w:cs="宋体"/>
          <w:color w:val="000000"/>
          <w:sz w:val="28"/>
          <w:szCs w:val="28"/>
        </w:rPr>
        <w:fldChar w:fldCharType="end"/>
      </w:r>
    </w:p>
    <w:p>
      <w:pPr>
        <w:pStyle w:val="118"/>
        <w:tabs>
          <w:tab w:val="right" w:leader="dot" w:pos="8306"/>
        </w:tabs>
        <w:rPr>
          <w:rFonts w:hint="eastAsia" w:ascii="宋体" w:hAnsi="宋体" w:eastAsia="宋体" w:cs="宋体"/>
          <w:color w:val="000000"/>
          <w:sz w:val="28"/>
          <w:szCs w:val="28"/>
          <w:lang w:val="en-US" w:eastAsia="zh-CN"/>
        </w:rPr>
      </w:pPr>
      <w:r>
        <w:fldChar w:fldCharType="begin"/>
      </w:r>
      <w:r>
        <w:instrText xml:space="preserve"> HYPERLINK \l "_Toc21572" </w:instrText>
      </w:r>
      <w:r>
        <w:fldChar w:fldCharType="separate"/>
      </w:r>
      <w:r>
        <w:rPr>
          <w:rFonts w:hint="eastAsia" w:ascii="宋体" w:hAnsi="宋体" w:cs="宋体"/>
          <w:color w:val="000000"/>
          <w:sz w:val="28"/>
          <w:szCs w:val="28"/>
        </w:rPr>
        <w:t>第三章 评标办法</w:t>
      </w:r>
      <w:r>
        <w:rPr>
          <w:rFonts w:hint="eastAsia" w:ascii="宋体" w:hAnsi="宋体" w:cs="宋体"/>
          <w:color w:val="000000"/>
          <w:sz w:val="28"/>
          <w:szCs w:val="28"/>
        </w:rPr>
        <w:tab/>
      </w:r>
      <w:r>
        <w:rPr>
          <w:rFonts w:hint="eastAsia" w:ascii="宋体" w:hAnsi="宋体" w:cs="宋体"/>
          <w:color w:val="000000"/>
          <w:sz w:val="28"/>
          <w:szCs w:val="28"/>
          <w:lang w:val="en-US" w:eastAsia="zh-CN"/>
        </w:rPr>
        <w:t>2</w:t>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2</w:t>
      </w:r>
    </w:p>
    <w:p>
      <w:pPr>
        <w:pStyle w:val="118"/>
        <w:tabs>
          <w:tab w:val="right" w:leader="dot" w:pos="8306"/>
        </w:tabs>
        <w:rPr>
          <w:rFonts w:hint="eastAsia" w:ascii="宋体" w:hAnsi="宋体" w:eastAsia="宋体" w:cs="宋体"/>
          <w:color w:val="000000"/>
          <w:sz w:val="28"/>
          <w:szCs w:val="28"/>
          <w:lang w:eastAsia="zh-CN"/>
        </w:rPr>
      </w:pPr>
      <w:r>
        <w:fldChar w:fldCharType="begin"/>
      </w:r>
      <w:r>
        <w:instrText xml:space="preserve"> HYPERLINK \l "_Toc3593" </w:instrText>
      </w:r>
      <w:r>
        <w:fldChar w:fldCharType="separate"/>
      </w:r>
      <w:r>
        <w:rPr>
          <w:rFonts w:hint="eastAsia" w:ascii="宋体" w:hAnsi="宋体" w:cs="宋体"/>
          <w:color w:val="000000"/>
          <w:sz w:val="28"/>
          <w:szCs w:val="28"/>
        </w:rPr>
        <w:t>第四章 合同条款及格式</w:t>
      </w:r>
      <w:r>
        <w:rPr>
          <w:rFonts w:hint="eastAsia" w:ascii="宋体" w:hAnsi="宋体" w:cs="宋体"/>
          <w:color w:val="000000"/>
          <w:sz w:val="28"/>
          <w:szCs w:val="28"/>
        </w:rPr>
        <w:tab/>
      </w:r>
      <w:r>
        <w:rPr>
          <w:rFonts w:hint="eastAsia" w:ascii="宋体" w:hAnsi="宋体" w:cs="宋体"/>
          <w:color w:val="000000"/>
          <w:sz w:val="28"/>
          <w:szCs w:val="28"/>
          <w:lang w:val="en-US" w:eastAsia="zh-CN"/>
        </w:rPr>
        <w:t>32</w:t>
      </w:r>
      <w:r>
        <w:rPr>
          <w:rFonts w:hint="eastAsia" w:ascii="宋体" w:hAnsi="宋体" w:cs="宋体"/>
          <w:color w:val="000000"/>
          <w:sz w:val="28"/>
          <w:szCs w:val="28"/>
        </w:rPr>
        <w:fldChar w:fldCharType="end"/>
      </w:r>
    </w:p>
    <w:p>
      <w:pPr>
        <w:pStyle w:val="118"/>
        <w:tabs>
          <w:tab w:val="right" w:leader="dot" w:pos="8306"/>
        </w:tabs>
        <w:rPr>
          <w:rFonts w:hint="eastAsia" w:ascii="宋体" w:hAnsi="宋体" w:eastAsia="宋体" w:cs="宋体"/>
          <w:color w:val="000000"/>
          <w:sz w:val="28"/>
          <w:szCs w:val="28"/>
          <w:lang w:eastAsia="zh-CN"/>
        </w:rPr>
      </w:pPr>
      <w:r>
        <w:fldChar w:fldCharType="begin"/>
      </w:r>
      <w:r>
        <w:instrText xml:space="preserve"> HYPERLINK \l "_Toc13094" </w:instrText>
      </w:r>
      <w:r>
        <w:fldChar w:fldCharType="separate"/>
      </w:r>
      <w:r>
        <w:rPr>
          <w:rFonts w:hint="eastAsia" w:ascii="宋体" w:hAnsi="宋体" w:cs="宋体"/>
          <w:color w:val="000000"/>
          <w:sz w:val="28"/>
          <w:szCs w:val="28"/>
        </w:rPr>
        <w:t>第</w:t>
      </w:r>
      <w:r>
        <w:rPr>
          <w:rFonts w:hint="eastAsia" w:ascii="宋体" w:hAnsi="宋体" w:cs="宋体"/>
          <w:color w:val="000000"/>
          <w:sz w:val="28"/>
          <w:szCs w:val="28"/>
          <w:lang w:eastAsia="zh-CN"/>
        </w:rPr>
        <w:t>五</w:t>
      </w:r>
      <w:r>
        <w:rPr>
          <w:rFonts w:hint="eastAsia" w:ascii="宋体" w:hAnsi="宋体" w:cs="宋体"/>
          <w:color w:val="000000"/>
          <w:sz w:val="28"/>
          <w:szCs w:val="28"/>
        </w:rPr>
        <w:t>章 采购需求</w:t>
      </w:r>
      <w:r>
        <w:rPr>
          <w:rFonts w:hint="eastAsia" w:ascii="宋体" w:hAnsi="宋体" w:cs="宋体"/>
          <w:color w:val="000000"/>
          <w:sz w:val="28"/>
          <w:szCs w:val="28"/>
        </w:rPr>
        <w:tab/>
      </w:r>
      <w:r>
        <w:rPr>
          <w:rFonts w:hint="eastAsia" w:ascii="宋体" w:hAnsi="宋体" w:cs="宋体"/>
          <w:color w:val="000000"/>
          <w:sz w:val="28"/>
          <w:szCs w:val="28"/>
          <w:lang w:val="en-US" w:eastAsia="zh-CN"/>
        </w:rPr>
        <w:t>3</w:t>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3</w:t>
      </w:r>
    </w:p>
    <w:p>
      <w:pPr>
        <w:pStyle w:val="118"/>
        <w:tabs>
          <w:tab w:val="right" w:leader="dot" w:pos="8306"/>
        </w:tabs>
        <w:rPr>
          <w:rFonts w:hint="default" w:ascii="宋体" w:hAnsi="宋体" w:eastAsia="宋体" w:cs="宋体"/>
          <w:color w:val="000000"/>
          <w:sz w:val="28"/>
          <w:szCs w:val="28"/>
          <w:lang w:val="en-US" w:eastAsia="zh-CN"/>
        </w:rPr>
      </w:pPr>
      <w:r>
        <w:fldChar w:fldCharType="begin"/>
      </w:r>
      <w:r>
        <w:instrText xml:space="preserve"> HYPERLINK \l "_Toc22867" </w:instrText>
      </w:r>
      <w:r>
        <w:fldChar w:fldCharType="separate"/>
      </w:r>
      <w:r>
        <w:rPr>
          <w:rFonts w:hint="eastAsia" w:ascii="宋体" w:hAnsi="宋体" w:cs="宋体"/>
          <w:color w:val="000000"/>
          <w:sz w:val="28"/>
          <w:szCs w:val="28"/>
        </w:rPr>
        <w:t>第</w:t>
      </w:r>
      <w:r>
        <w:rPr>
          <w:rFonts w:hint="eastAsia" w:ascii="宋体" w:hAnsi="宋体" w:cs="宋体"/>
          <w:color w:val="000000"/>
          <w:sz w:val="28"/>
          <w:szCs w:val="28"/>
          <w:lang w:eastAsia="zh-CN"/>
        </w:rPr>
        <w:t>六</w:t>
      </w:r>
      <w:r>
        <w:rPr>
          <w:rFonts w:hint="eastAsia" w:ascii="宋体" w:hAnsi="宋体" w:cs="宋体"/>
          <w:color w:val="000000"/>
          <w:sz w:val="28"/>
          <w:szCs w:val="28"/>
        </w:rPr>
        <w:t>章 投标文件格式</w:t>
      </w:r>
      <w:r>
        <w:rPr>
          <w:rFonts w:hint="eastAsia" w:ascii="宋体" w:hAnsi="宋体" w:cs="宋体"/>
          <w:color w:val="000000"/>
          <w:sz w:val="28"/>
          <w:szCs w:val="28"/>
        </w:rPr>
        <w:tab/>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146</w:t>
      </w:r>
    </w:p>
    <w:p>
      <w:pPr>
        <w:pStyle w:val="118"/>
        <w:tabs>
          <w:tab w:val="right" w:leader="dot" w:pos="8306"/>
        </w:tabs>
        <w:rPr>
          <w:rFonts w:hint="eastAsia" w:ascii="宋体" w:hAnsi="宋体" w:cs="宋体"/>
          <w:color w:val="000000"/>
          <w:sz w:val="28"/>
          <w:szCs w:val="28"/>
        </w:rPr>
      </w:pPr>
    </w:p>
    <w:p>
      <w:pPr>
        <w:pStyle w:val="118"/>
        <w:tabs>
          <w:tab w:val="right" w:leader="dot" w:pos="8306"/>
        </w:tabs>
        <w:rPr>
          <w:rFonts w:hint="eastAsia" w:ascii="宋体" w:hAnsi="宋体" w:cs="宋体"/>
          <w:b/>
          <w:bCs/>
          <w:color w:val="000000"/>
        </w:rPr>
      </w:pPr>
    </w:p>
    <w:p>
      <w:pPr>
        <w:rPr>
          <w:rFonts w:hint="eastAsia" w:ascii="宋体" w:hAnsi="宋体" w:cs="宋体"/>
          <w:color w:val="000000"/>
        </w:rPr>
      </w:pPr>
      <w:r>
        <w:rPr>
          <w:rFonts w:hint="eastAsia" w:ascii="宋体" w:hAnsi="宋体" w:cs="宋体"/>
          <w:color w:val="000000"/>
        </w:rPr>
        <w:fldChar w:fldCharType="end"/>
      </w:r>
    </w:p>
    <w:bookmarkEnd w:id="17"/>
    <w:bookmarkEnd w:id="18"/>
    <w:bookmarkEnd w:id="19"/>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val="0"/>
          <w:iCs/>
          <w:caps/>
          <w:color w:val="000000"/>
          <w:kern w:val="2"/>
          <w:sz w:val="20"/>
          <w:szCs w:val="20"/>
        </w:rPr>
        <w:sectPr>
          <w:footerReference r:id="rId5" w:type="default"/>
          <w:pgSz w:w="11906" w:h="16838"/>
          <w:pgMar w:top="1440" w:right="1800" w:bottom="1440" w:left="1800" w:header="851" w:footer="992" w:gutter="0"/>
          <w:pgNumType w:fmt="decimal" w:start="1"/>
          <w:cols w:space="720" w:num="1"/>
          <w:rtlGutter w:val="1"/>
          <w:docGrid w:type="lines" w:linePitch="312" w:charSpace="0"/>
        </w:sectPr>
      </w:pPr>
      <w:bookmarkStart w:id="20" w:name="_Toc152042287"/>
      <w:bookmarkStart w:id="21" w:name="_Toc152045511"/>
      <w:bookmarkStart w:id="22" w:name="_Toc144974479"/>
      <w:bookmarkStart w:id="23" w:name="_Toc179632527"/>
    </w:p>
    <w:p>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Fonts w:hint="eastAsia" w:ascii="宋体" w:hAnsi="宋体" w:cs="宋体"/>
          <w:b/>
          <w:bCs/>
          <w:color w:val="000000"/>
          <w:sz w:val="44"/>
          <w:szCs w:val="44"/>
        </w:rPr>
      </w:pPr>
      <w:bookmarkStart w:id="24" w:name="_Toc246996900"/>
      <w:bookmarkStart w:id="25" w:name="_Toc8682"/>
      <w:bookmarkStart w:id="26" w:name="_Toc2466"/>
      <w:bookmarkStart w:id="27" w:name="_Toc247096243"/>
      <w:bookmarkStart w:id="28" w:name="_Toc246996157"/>
      <w:bookmarkStart w:id="29" w:name="_Toc247085671"/>
      <w:r>
        <w:rPr>
          <w:rFonts w:hint="eastAsia" w:ascii="黑体" w:hAnsi="黑体" w:eastAsia="黑体" w:cs="黑体"/>
          <w:b/>
          <w:bCs/>
          <w:color w:val="000000"/>
          <w:sz w:val="44"/>
          <w:szCs w:val="44"/>
        </w:rPr>
        <w:t>第一章</w:t>
      </w:r>
      <w:bookmarkEnd w:id="20"/>
      <w:bookmarkEnd w:id="21"/>
      <w:bookmarkEnd w:id="22"/>
      <w:bookmarkEnd w:id="23"/>
      <w:bookmarkEnd w:id="24"/>
      <w:bookmarkEnd w:id="25"/>
      <w:bookmarkEnd w:id="26"/>
      <w:bookmarkEnd w:id="27"/>
      <w:bookmarkEnd w:id="28"/>
      <w:bookmarkEnd w:id="29"/>
      <w:bookmarkStart w:id="30" w:name="_Toc144974495"/>
      <w:bookmarkStart w:id="31" w:name="_Toc246996916"/>
      <w:bookmarkStart w:id="32" w:name="_Toc179632544"/>
      <w:bookmarkStart w:id="33" w:name="_Toc18845"/>
      <w:bookmarkStart w:id="34" w:name="_Toc247085687"/>
      <w:bookmarkStart w:id="35" w:name="_Toc152045527"/>
      <w:bookmarkStart w:id="36" w:name="_Toc152042303"/>
      <w:bookmarkStart w:id="37" w:name="_Toc19108"/>
      <w:bookmarkStart w:id="38" w:name="_Toc18868"/>
      <w:bookmarkStart w:id="39" w:name="_Toc246996173"/>
      <w:r>
        <w:rPr>
          <w:rFonts w:hint="eastAsia" w:ascii="黑体" w:hAnsi="黑体" w:eastAsia="黑体" w:cs="黑体"/>
          <w:b/>
          <w:bCs/>
          <w:color w:val="000000"/>
          <w:sz w:val="44"/>
          <w:szCs w:val="44"/>
          <w:lang w:val="en-US" w:eastAsia="zh-CN"/>
        </w:rPr>
        <w:t xml:space="preserve">  </w:t>
      </w:r>
      <w:r>
        <w:rPr>
          <w:rFonts w:hint="eastAsia" w:ascii="黑体" w:hAnsi="黑体" w:eastAsia="黑体" w:cs="黑体"/>
          <w:b/>
          <w:bCs/>
          <w:color w:val="000000"/>
          <w:sz w:val="44"/>
          <w:szCs w:val="44"/>
        </w:rPr>
        <w:t>招标公告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项目概况</w:t>
      </w:r>
    </w:p>
    <w:p>
      <w:pPr>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kern w:val="0"/>
          <w:sz w:val="21"/>
          <w:szCs w:val="21"/>
          <w:highlight w:val="none"/>
          <w:u w:val="none"/>
          <w:lang w:eastAsia="zh-CN"/>
        </w:rPr>
      </w:pPr>
      <w:r>
        <w:rPr>
          <w:rFonts w:hint="eastAsia" w:ascii="宋体" w:hAnsi="宋体" w:cs="宋体"/>
          <w:kern w:val="0"/>
          <w:sz w:val="21"/>
          <w:szCs w:val="21"/>
          <w:highlight w:val="none"/>
          <w:u w:val="none"/>
          <w:lang w:val="en-US" w:eastAsia="zh-CN"/>
        </w:rPr>
        <w:t>长春市就业链与产业链协同发展示范项目基础公共就业及信息化服务</w:t>
      </w:r>
      <w:r>
        <w:rPr>
          <w:rFonts w:hint="eastAsia" w:ascii="宋体" w:hAnsi="宋体" w:eastAsia="宋体" w:cs="宋体"/>
          <w:kern w:val="0"/>
          <w:sz w:val="21"/>
          <w:szCs w:val="21"/>
          <w:highlight w:val="none"/>
          <w:u w:val="none"/>
          <w:lang w:eastAsia="zh-CN"/>
        </w:rPr>
        <w:t>的潜在投标人应在</w:t>
      </w:r>
      <w:r>
        <w:rPr>
          <w:rFonts w:hint="eastAsia" w:ascii="宋体" w:hAnsi="宋体" w:eastAsia="宋体" w:cs="宋体"/>
          <w:b w:val="0"/>
          <w:bCs/>
          <w:sz w:val="21"/>
          <w:szCs w:val="21"/>
          <w:highlight w:val="none"/>
        </w:rPr>
        <w:t>政府采购云平台</w:t>
      </w:r>
      <w:r>
        <w:rPr>
          <w:rFonts w:hint="eastAsia" w:ascii="宋体" w:hAnsi="宋体" w:eastAsia="宋体" w:cs="宋体"/>
          <w:kern w:val="0"/>
          <w:sz w:val="21"/>
          <w:szCs w:val="21"/>
          <w:highlight w:val="none"/>
          <w:u w:val="none"/>
          <w:lang w:eastAsia="zh-CN"/>
        </w:rPr>
        <w:t>获取招标文件，并于2023年</w:t>
      </w:r>
      <w:r>
        <w:rPr>
          <w:rFonts w:hint="eastAsia" w:ascii="宋体" w:hAnsi="宋体" w:cs="宋体"/>
          <w:kern w:val="0"/>
          <w:sz w:val="21"/>
          <w:szCs w:val="21"/>
          <w:highlight w:val="none"/>
          <w:u w:val="none"/>
          <w:lang w:val="en-US" w:eastAsia="zh-CN"/>
        </w:rPr>
        <w:t>12</w:t>
      </w:r>
      <w:r>
        <w:rPr>
          <w:rFonts w:hint="eastAsia" w:ascii="宋体" w:hAnsi="宋体" w:eastAsia="宋体" w:cs="宋体"/>
          <w:kern w:val="0"/>
          <w:sz w:val="21"/>
          <w:szCs w:val="21"/>
          <w:highlight w:val="none"/>
          <w:u w:val="none"/>
          <w:lang w:eastAsia="zh-CN"/>
        </w:rPr>
        <w:t>月</w:t>
      </w:r>
      <w:r>
        <w:rPr>
          <w:rFonts w:hint="eastAsia" w:ascii="宋体" w:hAnsi="宋体" w:cs="宋体"/>
          <w:kern w:val="0"/>
          <w:sz w:val="21"/>
          <w:szCs w:val="21"/>
          <w:highlight w:val="none"/>
          <w:u w:val="none"/>
          <w:lang w:val="en-US" w:eastAsia="zh-CN"/>
        </w:rPr>
        <w:t>13</w:t>
      </w:r>
      <w:r>
        <w:rPr>
          <w:rFonts w:hint="eastAsia" w:ascii="宋体" w:hAnsi="宋体" w:eastAsia="宋体" w:cs="宋体"/>
          <w:kern w:val="0"/>
          <w:sz w:val="21"/>
          <w:szCs w:val="21"/>
          <w:highlight w:val="none"/>
          <w:u w:val="none"/>
          <w:lang w:eastAsia="zh-CN"/>
        </w:rPr>
        <w:t>日</w:t>
      </w:r>
      <w:r>
        <w:rPr>
          <w:rFonts w:hint="eastAsia" w:ascii="宋体" w:hAnsi="宋体" w:cs="宋体"/>
          <w:kern w:val="0"/>
          <w:sz w:val="21"/>
          <w:szCs w:val="21"/>
          <w:highlight w:val="none"/>
          <w:u w:val="none"/>
          <w:lang w:val="en-US" w:eastAsia="zh-CN"/>
        </w:rPr>
        <w:t>10时00</w:t>
      </w:r>
      <w:r>
        <w:rPr>
          <w:rFonts w:hint="eastAsia" w:ascii="宋体" w:hAnsi="宋体" w:eastAsia="宋体" w:cs="宋体"/>
          <w:kern w:val="0"/>
          <w:sz w:val="21"/>
          <w:szCs w:val="21"/>
          <w:highlight w:val="none"/>
          <w:u w:val="none"/>
          <w:lang w:eastAsia="zh-CN"/>
        </w:rPr>
        <w:t>分（北京时间）前递交投标文件。</w:t>
      </w:r>
      <w:bookmarkStart w:id="40" w:name="_Toc28359002"/>
      <w:bookmarkStart w:id="41" w:name="_Toc35393621"/>
      <w:bookmarkStart w:id="42" w:name="_Toc35393790"/>
      <w:bookmarkStart w:id="43" w:name="_Toc28359079"/>
      <w:bookmarkStart w:id="44" w:name="_Hlk24379207"/>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一、项目基本情况</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lang w:eastAsia="zh-CN"/>
        </w:rPr>
        <w:t>项目</w:t>
      </w:r>
      <w:r>
        <w:rPr>
          <w:rFonts w:hint="eastAsia" w:ascii="宋体" w:hAnsi="宋体" w:eastAsia="宋体" w:cs="宋体"/>
          <w:color w:val="000000"/>
          <w:sz w:val="21"/>
          <w:szCs w:val="21"/>
          <w:highlight w:val="none"/>
        </w:rPr>
        <w:t>编</w:t>
      </w:r>
      <w:r>
        <w:rPr>
          <w:rFonts w:hint="eastAsia" w:ascii="宋体" w:hAnsi="宋体" w:eastAsia="宋体" w:cs="宋体"/>
          <w:color w:val="000000"/>
          <w:sz w:val="21"/>
          <w:szCs w:val="21"/>
          <w:highlight w:val="none"/>
          <w:lang w:eastAsia="zh-CN"/>
        </w:rPr>
        <w:t>号：</w:t>
      </w:r>
      <w:r>
        <w:rPr>
          <w:rFonts w:hint="eastAsia" w:ascii="宋体" w:hAnsi="宋体" w:cs="宋体"/>
          <w:color w:val="000000"/>
          <w:sz w:val="21"/>
          <w:szCs w:val="21"/>
          <w:highlight w:val="none"/>
          <w:lang w:val="en-US" w:eastAsia="zh-CN"/>
        </w:rPr>
        <w:t>JM-2023-11-01181-3</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项目名称：</w:t>
      </w:r>
      <w:r>
        <w:rPr>
          <w:rFonts w:hint="eastAsia" w:ascii="宋体" w:hAnsi="宋体" w:cs="宋体"/>
          <w:color w:val="000000"/>
          <w:sz w:val="21"/>
          <w:szCs w:val="21"/>
          <w:highlight w:val="none"/>
          <w:lang w:eastAsia="zh-CN"/>
        </w:rPr>
        <w:t>长春市就业链与产业链协同发展示范项目基础公共就业及信息化服务</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7317.28</w:t>
      </w:r>
      <w:r>
        <w:rPr>
          <w:rFonts w:hint="eastAsia" w:ascii="宋体" w:hAnsi="宋体" w:eastAsia="宋体" w:cs="宋体"/>
          <w:color w:val="auto"/>
          <w:sz w:val="21"/>
          <w:szCs w:val="21"/>
          <w:highlight w:val="none"/>
          <w:lang w:val="en-US" w:eastAsia="zh-CN"/>
        </w:rPr>
        <w:t>万元</w:t>
      </w:r>
      <w:r>
        <w:rPr>
          <w:rFonts w:hint="eastAsia" w:ascii="宋体" w:hAnsi="宋体" w:eastAsia="宋体" w:cs="宋体"/>
        </w:rPr>
        <w:t>；</w:t>
      </w:r>
      <w:bookmarkEnd w:id="44"/>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标准：符合国家相关行业标准</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合同履行期限：</w:t>
      </w:r>
      <w:r>
        <w:rPr>
          <w:rFonts w:hint="eastAsia" w:ascii="宋体" w:hAnsi="宋体" w:cs="宋体"/>
          <w:color w:val="000000"/>
          <w:sz w:val="21"/>
          <w:szCs w:val="21"/>
          <w:highlight w:val="none"/>
          <w:lang w:val="en-US" w:eastAsia="zh-CN"/>
        </w:rPr>
        <w:t>合同签订之日起3年</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本项目接受联合体投标</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联合体投标各方不得再以自己的名义单独或参加其他联合体投标，联合体组成后不得再发生变化，联合体成员应签订联合体协议，明确联合体各方拟承担的权利和义务，不得违背联合体投标的相关法律法规</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rPr>
      </w:pPr>
      <w:bookmarkStart w:id="45" w:name="_Toc28359080"/>
      <w:bookmarkStart w:id="46" w:name="_Toc35393622"/>
      <w:bookmarkStart w:id="47" w:name="_Toc28359003"/>
      <w:bookmarkStart w:id="48" w:name="_Toc35393791"/>
      <w:r>
        <w:rPr>
          <w:rFonts w:hint="eastAsia" w:ascii="宋体" w:hAnsi="宋体" w:eastAsia="宋体" w:cs="宋体"/>
          <w:b/>
          <w:bCs/>
          <w:color w:val="000000"/>
          <w:sz w:val="21"/>
          <w:szCs w:val="21"/>
        </w:rPr>
        <w:t>二、申请人的资格要求：</w:t>
      </w:r>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rPr>
      </w:pPr>
      <w:bookmarkStart w:id="49" w:name="_Toc35393792"/>
      <w:bookmarkStart w:id="50" w:name="_Toc28359004"/>
      <w:bookmarkStart w:id="51" w:name="_Toc35393623"/>
      <w:bookmarkStart w:id="52" w:name="_Toc28359081"/>
      <w:r>
        <w:rPr>
          <w:rFonts w:hint="eastAsia" w:ascii="宋体" w:hAnsi="宋体" w:eastAsia="宋体" w:cs="宋体"/>
          <w:b w:val="0"/>
          <w:bCs w:val="0"/>
          <w:color w:val="000000"/>
          <w:sz w:val="21"/>
          <w:szCs w:val="21"/>
        </w:rPr>
        <w:t>1.供应商满足《中华人民共和国政府采购法》第二十二条规定；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rPr>
      </w:pPr>
      <w:r>
        <w:rPr>
          <w:rFonts w:hint="eastAsia" w:ascii="宋体" w:hAnsi="宋体" w:cs="宋体"/>
          <w:b w:val="0"/>
          <w:bCs w:val="0"/>
          <w:color w:val="000000"/>
          <w:sz w:val="21"/>
          <w:szCs w:val="21"/>
          <w:lang w:val="en-US" w:eastAsia="zh-CN"/>
        </w:rPr>
        <w:t>2.</w:t>
      </w:r>
      <w:r>
        <w:rPr>
          <w:rFonts w:hint="eastAsia" w:ascii="宋体" w:hAnsi="宋体" w:eastAsia="宋体" w:cs="宋体"/>
          <w:b w:val="0"/>
          <w:bCs w:val="0"/>
          <w:color w:val="000000"/>
          <w:sz w:val="21"/>
          <w:szCs w:val="21"/>
        </w:rPr>
        <w:t>供应商须是在中华人民共和国境内注册的法人或其他组织，能够独立承担民事责任，具有有效的营业执照，并在人员、设备方面具有相应的能力；</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具有良好的商业信誉和健全的财务会计制度，依法缴纳税收和社会保障资金的良好记录，提供上年度由具备审计资格的第三方出具的财务审计报告，根据《长财采购[2022]2066号文件关于加强政府采购信用体系建设简化供应商资格条件有关事项的通知》提供资格条件承诺函；注：如投标人在2023年1月1日后成立的，只提供成立之日</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至今的财务状况良好承诺即可。</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rPr>
      </w:pPr>
      <w:r>
        <w:rPr>
          <w:rFonts w:hint="eastAsia" w:ascii="宋体" w:hAnsi="宋体" w:cs="宋体"/>
          <w:b w:val="0"/>
          <w:bCs w:val="0"/>
          <w:color w:val="000000"/>
          <w:sz w:val="21"/>
          <w:szCs w:val="21"/>
          <w:lang w:val="en-US" w:eastAsia="zh-CN"/>
        </w:rPr>
        <w:t>4</w:t>
      </w:r>
      <w:r>
        <w:rPr>
          <w:rFonts w:hint="eastAsia" w:ascii="宋体" w:hAnsi="宋体" w:eastAsia="宋体" w:cs="宋体"/>
          <w:b w:val="0"/>
          <w:bCs w:val="0"/>
          <w:color w:val="000000"/>
          <w:sz w:val="21"/>
          <w:szCs w:val="21"/>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rPr>
      </w:pPr>
      <w:r>
        <w:rPr>
          <w:rFonts w:hint="eastAsia" w:ascii="宋体" w:hAnsi="宋体" w:cs="宋体"/>
          <w:b w:val="0"/>
          <w:bCs w:val="0"/>
          <w:color w:val="000000"/>
          <w:sz w:val="21"/>
          <w:szCs w:val="21"/>
          <w:lang w:val="en-US" w:eastAsia="zh-CN"/>
        </w:rPr>
        <w:t>5</w:t>
      </w:r>
      <w:r>
        <w:rPr>
          <w:rFonts w:hint="eastAsia" w:ascii="宋体" w:hAnsi="宋体" w:eastAsia="宋体" w:cs="宋体"/>
          <w:b w:val="0"/>
          <w:bCs w:val="0"/>
          <w:color w:val="000000"/>
          <w:sz w:val="21"/>
          <w:szCs w:val="21"/>
        </w:rPr>
        <w:t>.在中国裁判文书网上，近三年无行贿受贿犯罪记录；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rPr>
      </w:pPr>
      <w:r>
        <w:rPr>
          <w:rFonts w:hint="eastAsia" w:ascii="宋体" w:hAnsi="宋体" w:cs="宋体"/>
          <w:b w:val="0"/>
          <w:bCs w:val="0"/>
          <w:color w:val="000000"/>
          <w:sz w:val="21"/>
          <w:szCs w:val="21"/>
          <w:lang w:val="en-US" w:eastAsia="zh-CN"/>
        </w:rPr>
        <w:t>6</w:t>
      </w:r>
      <w:r>
        <w:rPr>
          <w:rFonts w:hint="eastAsia" w:ascii="宋体" w:hAnsi="宋体" w:eastAsia="宋体" w:cs="宋体"/>
          <w:b w:val="0"/>
          <w:bCs w:val="0"/>
          <w:color w:val="000000"/>
          <w:sz w:val="21"/>
          <w:szCs w:val="21"/>
        </w:rPr>
        <w:t>.近三年内（截止到202</w:t>
      </w:r>
      <w:r>
        <w:rPr>
          <w:rFonts w:hint="eastAsia" w:ascii="宋体" w:hAnsi="宋体" w:eastAsia="宋体" w:cs="宋体"/>
          <w:b w:val="0"/>
          <w:bCs w:val="0"/>
          <w:color w:val="auto"/>
          <w:sz w:val="21"/>
          <w:szCs w:val="21"/>
        </w:rPr>
        <w:t>3年</w:t>
      </w: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rPr>
        <w:t>月）不得为“信用中国”网站（www.creditchina.gov.cn）中列入失信被执行人和重大税收违法案</w:t>
      </w:r>
      <w:r>
        <w:rPr>
          <w:rFonts w:hint="eastAsia" w:ascii="宋体" w:hAnsi="宋体" w:eastAsia="宋体" w:cs="宋体"/>
          <w:b w:val="0"/>
          <w:bCs w:val="0"/>
          <w:color w:val="000000"/>
          <w:sz w:val="21"/>
          <w:szCs w:val="21"/>
        </w:rPr>
        <w:t>件当事人名单供应商，不得为中国政府采购网（www.ccgp.gov.cn）政府采购严重违法失信行为记录名单中被财政部门禁止参加政府采购活动的供应商（在处罚决定规定的时间和地域范围内）；</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rPr>
      </w:pPr>
      <w:r>
        <w:rPr>
          <w:rFonts w:hint="eastAsia" w:ascii="宋体" w:hAnsi="宋体" w:cs="宋体"/>
          <w:b w:val="0"/>
          <w:bCs w:val="0"/>
          <w:color w:val="000000"/>
          <w:sz w:val="21"/>
          <w:szCs w:val="21"/>
          <w:lang w:val="en-US" w:eastAsia="zh-CN"/>
        </w:rPr>
        <w:t>7</w:t>
      </w:r>
      <w:r>
        <w:rPr>
          <w:rFonts w:hint="eastAsia" w:ascii="宋体" w:hAnsi="宋体" w:eastAsia="宋体" w:cs="宋体"/>
          <w:b w:val="0"/>
          <w:bCs w:val="0"/>
          <w:color w:val="000000"/>
          <w:sz w:val="21"/>
          <w:szCs w:val="21"/>
        </w:rPr>
        <w:t>.本项目不接受被列入失信被执行人、重大税收违法案件当事人名单、政府采购严重违法失信行为记录名单的供应商参与投标（详见财库【2017】125号文件）；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rPr>
      </w:pPr>
      <w:r>
        <w:rPr>
          <w:rFonts w:hint="eastAsia" w:ascii="宋体" w:hAnsi="宋体" w:cs="宋体"/>
          <w:b w:val="0"/>
          <w:bCs w:val="0"/>
          <w:color w:val="000000"/>
          <w:sz w:val="21"/>
          <w:szCs w:val="21"/>
          <w:lang w:val="en-US" w:eastAsia="zh-CN"/>
        </w:rPr>
        <w:t>8</w:t>
      </w:r>
      <w:r>
        <w:rPr>
          <w:rFonts w:hint="eastAsia" w:ascii="宋体" w:hAnsi="宋体" w:eastAsia="宋体" w:cs="宋体"/>
          <w:b w:val="0"/>
          <w:bCs w:val="0"/>
          <w:color w:val="000000"/>
          <w:sz w:val="21"/>
          <w:szCs w:val="21"/>
        </w:rPr>
        <w:t>.单位负责人为同一人或者存在控股、管理关系的不同单位，不得参加同一标段投标或者未划分标段的同一招标项目投标。违反这两款规定的，相关投标均无效；</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lang w:eastAsia="zh-CN"/>
        </w:rPr>
      </w:pPr>
      <w:r>
        <w:rPr>
          <w:rFonts w:hint="eastAsia" w:ascii="宋体" w:hAnsi="宋体" w:cs="宋体"/>
          <w:b w:val="0"/>
          <w:bCs w:val="0"/>
          <w:color w:val="000000"/>
          <w:sz w:val="21"/>
          <w:szCs w:val="21"/>
          <w:lang w:val="en-US" w:eastAsia="zh-CN"/>
        </w:rPr>
        <w:t>9</w:t>
      </w:r>
      <w:r>
        <w:rPr>
          <w:rFonts w:hint="eastAsia" w:ascii="宋体" w:hAnsi="宋体" w:eastAsia="宋体" w:cs="宋体"/>
          <w:b w:val="0"/>
          <w:bCs w:val="0"/>
          <w:color w:val="000000"/>
          <w:sz w:val="21"/>
          <w:szCs w:val="21"/>
        </w:rPr>
        <w:t>.拒绝列入政府取消投标资格记录期间的企业或个人投标</w:t>
      </w:r>
      <w:r>
        <w:rPr>
          <w:rFonts w:hint="eastAsia" w:ascii="宋体" w:hAnsi="宋体" w:cs="宋体"/>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10</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落实政府采购政策需满足的资格要求：本项目不是专门面向中小企业项目</w:t>
      </w:r>
      <w:r>
        <w:rPr>
          <w:rFonts w:hint="eastAsia" w:ascii="宋体" w:hAnsi="宋体" w:cs="宋体"/>
          <w:b w:val="0"/>
          <w:bCs w:val="0"/>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三、获取招标文件</w:t>
      </w:r>
      <w:bookmarkEnd w:id="49"/>
      <w:bookmarkEnd w:id="50"/>
      <w:bookmarkEnd w:id="51"/>
      <w:bookmarkEnd w:id="52"/>
    </w:p>
    <w:p>
      <w:pPr>
        <w:spacing w:line="400" w:lineRule="exact"/>
        <w:ind w:firstLine="420" w:firstLineChars="200"/>
        <w:rPr>
          <w:rFonts w:hint="eastAsia" w:ascii="宋体" w:hAnsi="宋体" w:eastAsia="宋体" w:cs="宋体"/>
          <w:color w:val="000000"/>
          <w:sz w:val="21"/>
          <w:szCs w:val="21"/>
          <w:lang w:val="en-US" w:eastAsia="zh-CN"/>
        </w:rPr>
      </w:pPr>
      <w:bookmarkStart w:id="53" w:name="_Toc28359005"/>
      <w:bookmarkStart w:id="54" w:name="_Toc28359082"/>
      <w:bookmarkStart w:id="55" w:name="_Toc35393793"/>
      <w:bookmarkStart w:id="56" w:name="_Toc35393624"/>
      <w:r>
        <w:rPr>
          <w:rFonts w:hint="eastAsia" w:ascii="宋体" w:hAnsi="宋体" w:eastAsia="宋体" w:cs="宋体"/>
          <w:color w:val="000000"/>
          <w:sz w:val="21"/>
          <w:szCs w:val="21"/>
          <w:lang w:val="en-US" w:eastAsia="zh-CN"/>
        </w:rPr>
        <w:t>1.时间：</w:t>
      </w:r>
      <w:r>
        <w:rPr>
          <w:rFonts w:hint="eastAsia" w:ascii="宋体" w:hAnsi="宋体" w:eastAsia="宋体" w:cs="宋体"/>
          <w:color w:val="000000"/>
          <w:sz w:val="21"/>
          <w:szCs w:val="21"/>
          <w:highlight w:val="none"/>
          <w:lang w:val="en-US" w:eastAsia="zh-CN"/>
        </w:rPr>
        <w:t>2023年</w:t>
      </w:r>
      <w:r>
        <w:rPr>
          <w:rFonts w:hint="eastAsia" w:ascii="宋体" w:hAnsi="宋体" w:cs="宋体"/>
          <w:color w:val="000000"/>
          <w:sz w:val="21"/>
          <w:szCs w:val="21"/>
          <w:highlight w:val="none"/>
          <w:lang w:val="en-US" w:eastAsia="zh-CN"/>
        </w:rPr>
        <w:t>11</w:t>
      </w:r>
      <w:r>
        <w:rPr>
          <w:rFonts w:hint="eastAsia" w:ascii="宋体" w:hAnsi="宋体" w:eastAsia="宋体" w:cs="宋体"/>
          <w:color w:val="000000"/>
          <w:sz w:val="21"/>
          <w:szCs w:val="21"/>
          <w:highlight w:val="none"/>
          <w:lang w:val="en-US" w:eastAsia="zh-CN"/>
        </w:rPr>
        <w:t>月</w:t>
      </w:r>
      <w:r>
        <w:rPr>
          <w:rFonts w:hint="eastAsia" w:ascii="宋体" w:hAnsi="宋体" w:cs="宋体"/>
          <w:color w:val="000000"/>
          <w:sz w:val="21"/>
          <w:szCs w:val="21"/>
          <w:highlight w:val="none"/>
          <w:lang w:val="en-US" w:eastAsia="zh-CN"/>
        </w:rPr>
        <w:t>23</w:t>
      </w:r>
      <w:r>
        <w:rPr>
          <w:rFonts w:hint="eastAsia" w:ascii="宋体" w:hAnsi="宋体" w:eastAsia="宋体" w:cs="宋体"/>
          <w:color w:val="000000"/>
          <w:sz w:val="21"/>
          <w:szCs w:val="21"/>
          <w:highlight w:val="none"/>
          <w:lang w:val="en-US" w:eastAsia="zh-CN"/>
        </w:rPr>
        <w:t>日至2023年</w:t>
      </w:r>
      <w:r>
        <w:rPr>
          <w:rFonts w:hint="eastAsia" w:ascii="宋体" w:hAnsi="宋体" w:cs="宋体"/>
          <w:color w:val="000000"/>
          <w:sz w:val="21"/>
          <w:szCs w:val="21"/>
          <w:highlight w:val="none"/>
          <w:lang w:val="en-US" w:eastAsia="zh-CN"/>
        </w:rPr>
        <w:t>11</w:t>
      </w:r>
      <w:r>
        <w:rPr>
          <w:rFonts w:hint="eastAsia" w:ascii="宋体" w:hAnsi="宋体" w:eastAsia="宋体" w:cs="宋体"/>
          <w:color w:val="000000"/>
          <w:sz w:val="21"/>
          <w:szCs w:val="21"/>
          <w:highlight w:val="none"/>
          <w:lang w:val="en-US" w:eastAsia="zh-CN"/>
        </w:rPr>
        <w:t>月</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lang w:val="en-US" w:eastAsia="zh-CN"/>
        </w:rPr>
        <w:t>日</w:t>
      </w:r>
      <w:r>
        <w:rPr>
          <w:rFonts w:hint="eastAsia" w:ascii="宋体" w:hAnsi="宋体" w:eastAsia="宋体" w:cs="宋体"/>
          <w:color w:val="000000"/>
          <w:sz w:val="21"/>
          <w:szCs w:val="21"/>
          <w:lang w:val="en-US" w:eastAsia="zh-CN"/>
        </w:rPr>
        <w:t>（北京时间，法定公休日、节假日除外）；</w:t>
      </w:r>
    </w:p>
    <w:p>
      <w:pPr>
        <w:spacing w:line="36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2.地点：本项目不发放纸质版采购文件。供应商可自行在“政采云”平台（http：//www.zcygov.cn）下载采购文件（操作路径：登录“政采云”平台</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项目采购</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获取采购文件</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找到本项目</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点击“申请获取采购文件”），电子投标文件制作需要基于“政采云”平台获取的采购文件编制；</w:t>
      </w:r>
    </w:p>
    <w:p>
      <w:pPr>
        <w:spacing w:line="360" w:lineRule="auto"/>
        <w:ind w:firstLine="54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3.未进行网上注册的供应商将无法参与本次采购活动。</w:t>
      </w:r>
    </w:p>
    <w:p>
      <w:pPr>
        <w:spacing w:line="360" w:lineRule="auto"/>
        <w:ind w:firstLine="54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4.有效供应商不足三家时，采购人另行组织采购。</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rPr>
        <w:t>四、提交投标文件</w:t>
      </w:r>
      <w:bookmarkEnd w:id="53"/>
      <w:bookmarkEnd w:id="54"/>
      <w:r>
        <w:rPr>
          <w:rFonts w:hint="eastAsia" w:ascii="宋体" w:hAnsi="宋体" w:eastAsia="宋体" w:cs="宋体"/>
          <w:b/>
          <w:bCs/>
          <w:color w:val="000000"/>
          <w:sz w:val="21"/>
          <w:szCs w:val="21"/>
        </w:rPr>
        <w:t>截止时间、</w:t>
      </w:r>
      <w:r>
        <w:rPr>
          <w:rFonts w:hint="eastAsia" w:ascii="宋体" w:hAnsi="宋体" w:eastAsia="宋体" w:cs="宋体"/>
          <w:b/>
          <w:bCs/>
          <w:color w:val="000000"/>
          <w:sz w:val="21"/>
          <w:szCs w:val="21"/>
          <w:highlight w:val="none"/>
        </w:rPr>
        <w:t>开标时间和地点</w:t>
      </w:r>
      <w:bookmarkEnd w:id="55"/>
      <w:bookmarkEnd w:id="56"/>
    </w:p>
    <w:p>
      <w:pPr>
        <w:spacing w:line="360" w:lineRule="auto"/>
        <w:ind w:firstLine="540"/>
        <w:jc w:val="left"/>
        <w:rPr>
          <w:rFonts w:hint="eastAsia" w:ascii="宋体" w:hAnsi="宋体" w:eastAsia="宋体" w:cs="宋体"/>
          <w:color w:val="000000"/>
          <w:sz w:val="21"/>
          <w:szCs w:val="21"/>
          <w:lang w:val="en-US" w:eastAsia="zh-CN"/>
        </w:rPr>
      </w:pPr>
      <w:bookmarkStart w:id="57" w:name="_Toc35393794"/>
      <w:bookmarkStart w:id="58" w:name="_Toc28359007"/>
      <w:bookmarkStart w:id="59" w:name="_Toc28359084"/>
      <w:bookmarkStart w:id="60" w:name="_Toc35393625"/>
      <w:r>
        <w:rPr>
          <w:rFonts w:hint="eastAsia" w:ascii="宋体" w:hAnsi="宋体" w:eastAsia="宋体" w:cs="宋体"/>
          <w:color w:val="000000"/>
          <w:sz w:val="21"/>
          <w:szCs w:val="21"/>
          <w:highlight w:val="none"/>
          <w:lang w:val="en-US" w:eastAsia="zh-CN"/>
        </w:rPr>
        <w:t>1.投标文件提交截止时间：2023年</w:t>
      </w: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lang w:val="en-US" w:eastAsia="zh-CN"/>
        </w:rPr>
        <w:t>月</w:t>
      </w:r>
      <w:r>
        <w:rPr>
          <w:rFonts w:hint="eastAsia" w:ascii="宋体" w:hAnsi="宋体" w:cs="宋体"/>
          <w:color w:val="000000"/>
          <w:sz w:val="21"/>
          <w:szCs w:val="21"/>
          <w:highlight w:val="none"/>
          <w:lang w:val="en-US" w:eastAsia="zh-CN"/>
        </w:rPr>
        <w:t>13</w:t>
      </w:r>
      <w:r>
        <w:rPr>
          <w:rFonts w:hint="eastAsia" w:ascii="宋体" w:hAnsi="宋体" w:eastAsia="宋体" w:cs="宋体"/>
          <w:color w:val="000000"/>
          <w:sz w:val="21"/>
          <w:szCs w:val="21"/>
          <w:highlight w:val="none"/>
          <w:lang w:val="en-US" w:eastAsia="zh-CN"/>
        </w:rPr>
        <w:t>日</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点</w:t>
      </w:r>
      <w:r>
        <w:rPr>
          <w:rFonts w:hint="eastAsia" w:ascii="宋体" w:hAnsi="宋体" w:cs="宋体"/>
          <w:color w:val="000000"/>
          <w:sz w:val="21"/>
          <w:szCs w:val="21"/>
          <w:highlight w:val="none"/>
          <w:lang w:val="en-US" w:eastAsia="zh-CN"/>
        </w:rPr>
        <w:t>00</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lang w:val="en-US" w:eastAsia="zh-CN"/>
        </w:rPr>
        <w:t>北京时间）；</w:t>
      </w:r>
    </w:p>
    <w:p>
      <w:pPr>
        <w:spacing w:line="360" w:lineRule="auto"/>
        <w:ind w:firstLine="54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2投标文件提交方式：在提交截止时间前通过政府采购云平台在线提交，开标现场需提交纸质投标文件（纸质投标文件仅用于因政府采购云平台系统问题导致投标文件解密失败时，供评审使用）。</w:t>
      </w:r>
    </w:p>
    <w:p>
      <w:pPr>
        <w:spacing w:line="360" w:lineRule="auto"/>
        <w:ind w:firstLine="54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3.本项目开标采用腾讯会议直播形式进行开标。</w:t>
      </w:r>
    </w:p>
    <w:p>
      <w:pPr>
        <w:spacing w:line="360" w:lineRule="auto"/>
        <w:ind w:firstLine="540"/>
        <w:jc w:val="left"/>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lang w:val="en-US" w:eastAsia="zh-CN"/>
        </w:rPr>
        <w:t>4.投标文件开启地点：</w:t>
      </w:r>
      <w:r>
        <w:rPr>
          <w:rFonts w:hint="eastAsia" w:ascii="宋体" w:hAnsi="宋体" w:eastAsia="宋体" w:cs="宋体"/>
          <w:color w:val="auto"/>
          <w:sz w:val="21"/>
          <w:szCs w:val="21"/>
          <w:highlight w:val="none"/>
          <w:lang w:val="en-US" w:eastAsia="zh-CN"/>
        </w:rPr>
        <w:t>东北亚国际金融中心（人民大街与谊民路交汇东行100米）3号楼3-127室第三开标室</w:t>
      </w:r>
      <w:r>
        <w:rPr>
          <w:rFonts w:hint="eastAsia" w:ascii="宋体" w:hAnsi="宋体" w:eastAsia="宋体" w:cs="宋体"/>
          <w:color w:val="auto"/>
          <w:sz w:val="21"/>
          <w:szCs w:val="21"/>
          <w:lang w:val="en-US" w:eastAsia="zh-CN"/>
        </w:rPr>
        <w:t>。</w:t>
      </w:r>
    </w:p>
    <w:p>
      <w:pPr>
        <w:spacing w:line="360" w:lineRule="auto"/>
        <w:ind w:firstLine="54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5.操作流程：供应商在政府采购云平台注册入库成为正式供应商后，在平台按《政府采购项目电子交易管理操作指南</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供应商》进行操作。由于供应商自身原因在递交投标文件截止时间前无法完成办理的，后果自负。</w:t>
      </w:r>
    </w:p>
    <w:p>
      <w:pPr>
        <w:spacing w:line="360" w:lineRule="auto"/>
        <w:ind w:firstLine="54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6.逾期送达的或者未送达指定地点的投标文件，采购人不予受理。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五、公告期限</w:t>
      </w:r>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1.自本公告发布之日起5个工作日。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rPr>
      </w:pPr>
      <w:bookmarkStart w:id="61" w:name="_Toc35393795"/>
      <w:bookmarkStart w:id="62" w:name="_Toc35393626"/>
      <w:r>
        <w:rPr>
          <w:rFonts w:hint="eastAsia" w:ascii="宋体" w:hAnsi="宋体" w:eastAsia="宋体" w:cs="宋体"/>
          <w:b/>
          <w:bCs/>
          <w:color w:val="000000"/>
          <w:sz w:val="21"/>
          <w:szCs w:val="21"/>
        </w:rPr>
        <w:t>六、其他补充事宜</w:t>
      </w:r>
      <w:bookmarkEnd w:id="61"/>
      <w:bookmarkEnd w:id="62"/>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1.本项目招标公告在“政采云 ”平台（http:// </w:t>
      </w:r>
      <w:r>
        <w:rPr>
          <w:rFonts w:hint="eastAsia" w:ascii="宋体" w:hAnsi="宋体" w:eastAsia="宋体" w:cs="宋体"/>
          <w:color w:val="000000"/>
          <w:sz w:val="21"/>
          <w:szCs w:val="21"/>
          <w:lang w:val="en-US" w:eastAsia="zh-CN"/>
        </w:rPr>
        <w:fldChar w:fldCharType="begin"/>
      </w:r>
      <w:r>
        <w:rPr>
          <w:rFonts w:hint="eastAsia" w:ascii="宋体" w:hAnsi="宋体" w:eastAsia="宋体" w:cs="宋体"/>
          <w:color w:val="000000"/>
          <w:sz w:val="21"/>
          <w:szCs w:val="21"/>
          <w:lang w:val="en-US" w:eastAsia="zh-CN"/>
        </w:rPr>
        <w:instrText xml:space="preserve"> HYPERLINK "http://www.zcygov.xn--cn)-6y3bv51n8fam9sfb62s53dyj463a9xxymbly7a85a053cq9dba./" </w:instrText>
      </w:r>
      <w:r>
        <w:rPr>
          <w:rFonts w:hint="eastAsia" w:ascii="宋体" w:hAnsi="宋体" w:eastAsia="宋体" w:cs="宋体"/>
          <w:color w:val="000000"/>
          <w:sz w:val="21"/>
          <w:szCs w:val="21"/>
          <w:lang w:val="en-US" w:eastAsia="zh-CN"/>
        </w:rPr>
        <w:fldChar w:fldCharType="separate"/>
      </w:r>
      <w:r>
        <w:rPr>
          <w:rFonts w:hint="eastAsia" w:ascii="宋体" w:hAnsi="宋体" w:eastAsia="宋体" w:cs="宋体"/>
          <w:color w:val="000000"/>
          <w:sz w:val="21"/>
          <w:szCs w:val="21"/>
          <w:lang w:val="en-US" w:eastAsia="zh-CN"/>
        </w:rPr>
        <w:t>www.zcygov.cn），</w:t>
      </w:r>
      <w:r>
        <w:rPr>
          <w:rFonts w:hint="eastAsia" w:ascii="宋体" w:hAnsi="宋体" w:eastAsia="宋体" w:cs="宋体"/>
          <w:color w:val="000000"/>
          <w:sz w:val="21"/>
          <w:szCs w:val="21"/>
          <w:lang w:val="en-US" w:eastAsia="zh-CN"/>
        </w:rPr>
        <w:fldChar w:fldCharType="end"/>
      </w:r>
      <w:r>
        <w:rPr>
          <w:rFonts w:hint="eastAsia" w:ascii="宋体" w:hAnsi="宋体" w:eastAsia="宋体" w:cs="宋体"/>
          <w:color w:val="000000"/>
          <w:sz w:val="21"/>
          <w:szCs w:val="21"/>
          <w:lang w:val="en-US" w:eastAsia="zh-CN"/>
        </w:rPr>
        <w:t>并同时在《中国政府采购网》、《长春市公共资源交易网》上发布。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bookmarkStart w:id="63" w:name="_Toc28359008"/>
      <w:bookmarkStart w:id="64" w:name="_Toc35393627"/>
      <w:bookmarkStart w:id="65" w:name="_Toc28359085"/>
      <w:bookmarkStart w:id="66" w:name="_Toc35393796"/>
      <w:r>
        <w:rPr>
          <w:rFonts w:hint="eastAsia" w:ascii="宋体" w:hAnsi="宋体" w:eastAsia="宋体" w:cs="宋体"/>
          <w:color w:val="000000"/>
          <w:sz w:val="21"/>
          <w:szCs w:val="21"/>
          <w:lang w:val="en-US" w:eastAsia="zh-CN"/>
        </w:rPr>
        <w:t>2.若对项目采购电子交易系统操作有疑问，可登录“政采云”平台（https://www.zcygov.cn/）点击右侧咨询小采，获取采小蜜智能服务管家帮助，或拨打政采云服务热线 400-881-7190或95763获取热线服务帮助。</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七、凡对本次采购提出询问，请按以下方式联系。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en-US" w:eastAsia="zh-CN"/>
        </w:rPr>
      </w:pPr>
      <w:bookmarkStart w:id="67" w:name="_Toc28359086"/>
      <w:bookmarkStart w:id="68" w:name="_Toc28359009"/>
      <w:r>
        <w:rPr>
          <w:rFonts w:hint="eastAsia" w:ascii="宋体" w:hAnsi="宋体" w:eastAsia="宋体" w:cs="宋体"/>
          <w:color w:val="000000"/>
          <w:sz w:val="21"/>
          <w:szCs w:val="21"/>
          <w:lang w:val="en-US" w:eastAsia="zh-CN"/>
        </w:rPr>
        <w:t>采</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购</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人：</w:t>
      </w:r>
      <w:r>
        <w:rPr>
          <w:rFonts w:hint="eastAsia" w:ascii="宋体" w:hAnsi="宋体" w:cs="宋体"/>
          <w:color w:val="000000"/>
          <w:sz w:val="21"/>
          <w:szCs w:val="21"/>
          <w:highlight w:val="none"/>
          <w:lang w:val="en-US" w:eastAsia="zh-CN"/>
        </w:rPr>
        <w:t xml:space="preserve"> 长春市就业服务局</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系</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人：</w:t>
      </w:r>
      <w:r>
        <w:rPr>
          <w:rFonts w:hint="eastAsia" w:ascii="宋体" w:hAnsi="宋体" w:cs="宋体"/>
          <w:color w:val="000000"/>
          <w:sz w:val="21"/>
          <w:szCs w:val="21"/>
          <w:lang w:val="en-US" w:eastAsia="zh-CN"/>
        </w:rPr>
        <w:t xml:space="preserve"> 姚先生</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val="en-US" w:eastAsia="zh-CN"/>
        </w:rPr>
        <w:t xml:space="preserve">地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址： 吉林省长春市天富路1567号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联系方式：</w:t>
      </w:r>
      <w:bookmarkEnd w:id="67"/>
      <w:bookmarkEnd w:id="68"/>
      <w:r>
        <w:rPr>
          <w:rFonts w:hint="eastAsia" w:ascii="宋体" w:hAnsi="宋体" w:cs="宋体"/>
          <w:color w:val="000000"/>
          <w:sz w:val="21"/>
          <w:szCs w:val="21"/>
          <w:highlight w:val="none"/>
          <w:lang w:val="en-US" w:eastAsia="zh-CN"/>
        </w:rPr>
        <w:t xml:space="preserve"> 0431-81118030</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采购代理机构：</w:t>
      </w:r>
      <w:r>
        <w:rPr>
          <w:rFonts w:hint="eastAsia" w:ascii="宋体" w:hAnsi="宋体" w:cs="宋体"/>
          <w:color w:val="000000"/>
          <w:sz w:val="21"/>
          <w:szCs w:val="21"/>
          <w:lang w:val="en-US" w:eastAsia="zh-CN"/>
        </w:rPr>
        <w:t xml:space="preserve"> 吉林省龙泰工程咨询有限责任公司</w:t>
      </w:r>
      <w:r>
        <w:rPr>
          <w:rFonts w:hint="eastAsia" w:ascii="宋体" w:hAnsi="宋体" w:eastAsia="宋体" w:cs="宋体"/>
          <w:color w:val="000000"/>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系</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人：</w:t>
      </w:r>
      <w:r>
        <w:rPr>
          <w:rFonts w:hint="eastAsia" w:ascii="宋体" w:hAnsi="宋体" w:cs="宋体"/>
          <w:color w:val="000000"/>
          <w:sz w:val="21"/>
          <w:szCs w:val="21"/>
          <w:lang w:val="en-US" w:eastAsia="zh-CN"/>
        </w:rPr>
        <w:t xml:space="preserve"> 于工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　　址：</w:t>
      </w:r>
      <w:r>
        <w:rPr>
          <w:rFonts w:hint="eastAsia" w:ascii="宋体" w:hAnsi="宋体" w:cs="宋体"/>
          <w:color w:val="000000"/>
          <w:sz w:val="21"/>
          <w:szCs w:val="21"/>
          <w:lang w:val="en-US" w:eastAsia="zh-CN"/>
        </w:rPr>
        <w:t xml:space="preserve"> 长春市南关区蔚山路与幸福街交汇陶然公馆19楼1908室</w:t>
      </w:r>
      <w:r>
        <w:rPr>
          <w:rFonts w:hint="eastAsia" w:ascii="宋体" w:hAnsi="宋体" w:eastAsia="宋体" w:cs="宋体"/>
          <w:color w:val="000000"/>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联系方式：</w:t>
      </w:r>
      <w:r>
        <w:rPr>
          <w:rFonts w:hint="eastAsia" w:ascii="宋体" w:hAnsi="宋体" w:cs="宋体"/>
          <w:color w:val="000000"/>
          <w:sz w:val="21"/>
          <w:szCs w:val="21"/>
          <w:lang w:val="en-US" w:eastAsia="zh-CN"/>
        </w:rPr>
        <w:t xml:space="preserve"> 0431-85332368</w:t>
      </w:r>
      <w:r>
        <w:rPr>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监督部门：长春市财政局</w:t>
      </w:r>
    </w:p>
    <w:p>
      <w:pPr>
        <w:pStyle w:val="41"/>
        <w:rPr>
          <w:rFonts w:hint="eastAsia" w:ascii="宋体" w:hAnsi="宋体" w:eastAsia="宋体" w:cs="宋体"/>
          <w:color w:val="000000"/>
          <w:sz w:val="24"/>
          <w:szCs w:val="24"/>
          <w:lang w:val="en-US" w:eastAsia="zh-CN"/>
        </w:rPr>
      </w:pPr>
    </w:p>
    <w:p>
      <w:pPr>
        <w:rPr>
          <w:rFonts w:hint="eastAsia"/>
        </w:rPr>
        <w:sectPr>
          <w:footerReference r:id="rId6" w:type="default"/>
          <w:pgSz w:w="11906" w:h="16838"/>
          <w:pgMar w:top="1440" w:right="1803" w:bottom="1417" w:left="1417" w:header="851" w:footer="992" w:gutter="0"/>
          <w:pgNumType w:fmt="decimal" w:start="1"/>
          <w:cols w:space="720" w:num="1"/>
          <w:rtlGutter w:val="1"/>
          <w:docGrid w:type="lines" w:linePitch="312" w:charSpace="0"/>
        </w:sectPr>
      </w:pPr>
    </w:p>
    <w:bookmarkEnd w:id="63"/>
    <w:bookmarkEnd w:id="64"/>
    <w:bookmarkEnd w:id="65"/>
    <w:bookmarkEnd w:id="66"/>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000000"/>
          <w:sz w:val="44"/>
          <w:szCs w:val="44"/>
        </w:rPr>
      </w:pPr>
      <w:r>
        <w:rPr>
          <w:rFonts w:hint="eastAsia" w:ascii="黑体" w:hAnsi="黑体" w:eastAsia="黑体" w:cs="黑体"/>
          <w:b/>
          <w:bCs/>
          <w:color w:val="000000"/>
          <w:sz w:val="44"/>
          <w:szCs w:val="44"/>
        </w:rPr>
        <w:t>第二章 投标人须知</w:t>
      </w:r>
      <w:bookmarkEnd w:id="30"/>
      <w:bookmarkEnd w:id="31"/>
      <w:bookmarkEnd w:id="32"/>
      <w:bookmarkEnd w:id="33"/>
      <w:bookmarkEnd w:id="34"/>
      <w:bookmarkEnd w:id="35"/>
      <w:bookmarkEnd w:id="36"/>
      <w:bookmarkEnd w:id="37"/>
      <w:bookmarkEnd w:id="38"/>
      <w:bookmarkEnd w:id="39"/>
    </w:p>
    <w:p>
      <w:pPr>
        <w:pStyle w:val="7"/>
        <w:keepNext w:val="0"/>
        <w:keepLines w:val="0"/>
        <w:spacing w:line="360" w:lineRule="exact"/>
        <w:jc w:val="center"/>
        <w:rPr>
          <w:rFonts w:hint="eastAsia" w:ascii="宋体" w:hAnsi="宋体" w:eastAsia="宋体" w:cs="宋体"/>
          <w:color w:val="000000"/>
          <w:sz w:val="28"/>
          <w:szCs w:val="28"/>
          <w:lang w:val="en-US" w:eastAsia="zh-CN"/>
        </w:rPr>
      </w:pPr>
      <w:bookmarkStart w:id="69" w:name="_Toc30390"/>
      <w:bookmarkStart w:id="70" w:name="_Toc246996174"/>
      <w:bookmarkStart w:id="71" w:name="_Toc11173"/>
      <w:bookmarkStart w:id="72" w:name="_Toc247085688"/>
      <w:bookmarkStart w:id="73" w:name="_Toc144974496"/>
      <w:bookmarkStart w:id="74" w:name="_Toc246996917"/>
      <w:bookmarkStart w:id="75" w:name="_Toc23622"/>
      <w:bookmarkStart w:id="76" w:name="_Toc453756894"/>
      <w:bookmarkStart w:id="77" w:name="_Toc22688"/>
      <w:bookmarkStart w:id="78" w:name="_Toc152045528"/>
      <w:bookmarkStart w:id="79" w:name="_Toc179632545"/>
      <w:bookmarkStart w:id="80" w:name="_Toc152042304"/>
      <w:bookmarkStart w:id="81" w:name="_Toc29337"/>
      <w:bookmarkStart w:id="82" w:name="_Toc19173"/>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投标人须知前附表</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宋体" w:hAnsi="宋体" w:eastAsia="宋体" w:cs="宋体"/>
          <w:color w:val="000000"/>
          <w:sz w:val="28"/>
          <w:szCs w:val="28"/>
          <w:lang w:val="en-US" w:eastAsia="zh-CN"/>
        </w:rPr>
        <w:t xml:space="preserve"> </w:t>
      </w:r>
    </w:p>
    <w:tbl>
      <w:tblPr>
        <w:tblStyle w:val="44"/>
        <w:tblW w:w="10279" w:type="dxa"/>
        <w:jc w:val="center"/>
        <w:tblLayout w:type="fixed"/>
        <w:tblCellMar>
          <w:top w:w="0" w:type="dxa"/>
          <w:left w:w="108" w:type="dxa"/>
          <w:bottom w:w="0" w:type="dxa"/>
          <w:right w:w="108" w:type="dxa"/>
        </w:tblCellMar>
      </w:tblPr>
      <w:tblGrid>
        <w:gridCol w:w="1060"/>
        <w:gridCol w:w="1968"/>
        <w:gridCol w:w="7251"/>
      </w:tblGrid>
      <w:tr>
        <w:tblPrEx>
          <w:tblCellMar>
            <w:top w:w="0" w:type="dxa"/>
            <w:left w:w="108" w:type="dxa"/>
            <w:bottom w:w="0" w:type="dxa"/>
            <w:right w:w="108" w:type="dxa"/>
          </w:tblCellMar>
        </w:tblPrEx>
        <w:trPr>
          <w:trHeight w:val="36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000000"/>
                <w:szCs w:val="21"/>
              </w:rPr>
            </w:pPr>
            <w:r>
              <w:rPr>
                <w:rFonts w:hint="eastAsia" w:ascii="宋体" w:hAnsi="宋体" w:cs="宋体"/>
                <w:b/>
                <w:color w:val="000000"/>
                <w:szCs w:val="21"/>
              </w:rPr>
              <w:t>条款号</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000000"/>
                <w:szCs w:val="21"/>
              </w:rPr>
            </w:pPr>
            <w:r>
              <w:rPr>
                <w:rFonts w:hint="eastAsia" w:ascii="宋体" w:hAnsi="宋体" w:cs="宋体"/>
                <w:b/>
                <w:color w:val="000000"/>
                <w:szCs w:val="21"/>
              </w:rPr>
              <w:t>条  款  名  称</w:t>
            </w:r>
          </w:p>
        </w:tc>
        <w:tc>
          <w:tcPr>
            <w:tcW w:w="7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000000"/>
                <w:szCs w:val="21"/>
              </w:rPr>
            </w:pPr>
            <w:r>
              <w:rPr>
                <w:rFonts w:hint="eastAsia" w:ascii="宋体" w:hAnsi="宋体" w:cs="宋体"/>
                <w:b/>
                <w:color w:val="000000"/>
                <w:szCs w:val="21"/>
              </w:rPr>
              <w:t>编  列  内  容</w:t>
            </w:r>
          </w:p>
        </w:tc>
      </w:tr>
      <w:tr>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1.1.2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名    称： </w:t>
            </w:r>
            <w:r>
              <w:rPr>
                <w:rFonts w:hint="eastAsia" w:ascii="宋体" w:hAnsi="宋体" w:cs="宋体"/>
                <w:color w:val="000000"/>
                <w:sz w:val="21"/>
                <w:szCs w:val="21"/>
                <w:lang w:val="en-US" w:eastAsia="zh-CN"/>
              </w:rPr>
              <w:t>长春市就业服务局</w:t>
            </w:r>
          </w:p>
          <w:p>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 系 人： 姚先生</w:t>
            </w:r>
          </w:p>
          <w:p>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val="en-US" w:eastAsia="zh-CN"/>
              </w:rPr>
              <w:t>地    址： 吉林省长春市天富路1567号</w:t>
            </w:r>
          </w:p>
          <w:p>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联系方式： 0431-81118030</w:t>
            </w:r>
          </w:p>
        </w:tc>
      </w:tr>
      <w:tr>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1.1.3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rPr>
            </w:pPr>
            <w:r>
              <w:rPr>
                <w:rFonts w:hint="eastAsia" w:ascii="宋体" w:hAnsi="宋体" w:cs="宋体"/>
                <w:color w:val="000000"/>
              </w:rPr>
              <w:t>采购代理机构</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eastAsia="宋体"/>
                <w:lang w:val="en-US" w:eastAsia="zh-CN"/>
              </w:rPr>
            </w:pPr>
            <w:r>
              <w:rPr>
                <w:rFonts w:hint="default" w:eastAsia="宋体"/>
                <w:lang w:val="en-US" w:eastAsia="zh-CN"/>
              </w:rPr>
              <w:t xml:space="preserve">名    称： </w:t>
            </w:r>
            <w:r>
              <w:rPr>
                <w:rFonts w:hint="eastAsia"/>
                <w:lang w:val="en-US" w:eastAsia="zh-CN"/>
              </w:rPr>
              <w:t>吉林省龙泰工程咨询有限责任公司</w:t>
            </w:r>
            <w:r>
              <w:rPr>
                <w:rFonts w:hint="default" w:eastAsia="宋体"/>
                <w:lang w:val="en-US" w:eastAsia="zh-CN"/>
              </w:rPr>
              <w:t>　　　　　　　　　　　　</w:t>
            </w:r>
          </w:p>
          <w:p>
            <w:pPr>
              <w:spacing w:line="360" w:lineRule="auto"/>
              <w:jc w:val="left"/>
              <w:rPr>
                <w:rFonts w:hint="default" w:eastAsia="宋体"/>
                <w:lang w:val="en-US" w:eastAsia="zh-CN"/>
              </w:rPr>
            </w:pPr>
            <w:r>
              <w:rPr>
                <w:rFonts w:hint="default" w:eastAsia="宋体"/>
                <w:lang w:val="en-US" w:eastAsia="zh-CN"/>
              </w:rPr>
              <w:t xml:space="preserve">联 系 人： </w:t>
            </w:r>
            <w:r>
              <w:rPr>
                <w:rFonts w:hint="eastAsia" w:ascii="宋体" w:hAnsi="宋体" w:cs="宋体"/>
                <w:color w:val="000000"/>
                <w:sz w:val="21"/>
                <w:szCs w:val="21"/>
                <w:lang w:val="en-US" w:eastAsia="zh-CN"/>
              </w:rPr>
              <w:t>于工</w:t>
            </w:r>
          </w:p>
          <w:p>
            <w:pPr>
              <w:spacing w:line="360" w:lineRule="auto"/>
              <w:jc w:val="left"/>
              <w:rPr>
                <w:rFonts w:hint="default" w:eastAsia="宋体"/>
                <w:lang w:val="en-US" w:eastAsia="zh-CN"/>
              </w:rPr>
            </w:pPr>
            <w:r>
              <w:rPr>
                <w:rFonts w:hint="default" w:eastAsia="宋体"/>
                <w:lang w:val="en-US" w:eastAsia="zh-CN"/>
              </w:rPr>
              <w:t>地　　址： 长春市南关区蔚山路与幸福街交汇陶然公馆19楼1908室　　　　　　　　　　　　</w:t>
            </w:r>
          </w:p>
          <w:p>
            <w:pPr>
              <w:spacing w:line="360" w:lineRule="auto"/>
              <w:jc w:val="left"/>
              <w:rPr>
                <w:rFonts w:hint="default" w:eastAsia="宋体"/>
                <w:lang w:val="en-US" w:eastAsia="zh-CN"/>
              </w:rPr>
            </w:pPr>
            <w:r>
              <w:rPr>
                <w:rFonts w:hint="default" w:eastAsia="宋体"/>
                <w:lang w:val="en-US" w:eastAsia="zh-CN"/>
              </w:rPr>
              <w:t>联系方式： 0431-85332368</w:t>
            </w:r>
          </w:p>
        </w:tc>
      </w:tr>
      <w:tr>
        <w:tblPrEx>
          <w:tblCellMar>
            <w:top w:w="0" w:type="dxa"/>
            <w:left w:w="108" w:type="dxa"/>
            <w:bottom w:w="0" w:type="dxa"/>
            <w:right w:w="108" w:type="dxa"/>
          </w:tblCellMar>
        </w:tblPrEx>
        <w:trPr>
          <w:trHeight w:val="407" w:hRule="atLeast"/>
          <w:jc w:val="center"/>
        </w:trPr>
        <w:tc>
          <w:tcPr>
            <w:tcW w:w="1060"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1.1.4</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招标编号</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JM-2023-11-01181-3</w:t>
            </w:r>
          </w:p>
        </w:tc>
      </w:tr>
      <w:tr>
        <w:tblPrEx>
          <w:tblCellMar>
            <w:top w:w="0" w:type="dxa"/>
            <w:left w:w="108" w:type="dxa"/>
            <w:bottom w:w="0" w:type="dxa"/>
            <w:right w:w="108" w:type="dxa"/>
          </w:tblCellMar>
        </w:tblPrEx>
        <w:trPr>
          <w:trHeight w:val="407" w:hRule="atLeast"/>
          <w:jc w:val="center"/>
        </w:trPr>
        <w:tc>
          <w:tcPr>
            <w:tcW w:w="1060" w:type="dxa"/>
            <w:vMerge w:val="continue"/>
            <w:tcBorders>
              <w:left w:val="single" w:color="auto" w:sz="4" w:space="0"/>
              <w:right w:val="single" w:color="auto" w:sz="4" w:space="0"/>
            </w:tcBorders>
            <w:vAlign w:val="center"/>
          </w:tcPr>
          <w:p>
            <w:pPr>
              <w:jc w:val="center"/>
              <w:rPr>
                <w:rFonts w:hint="eastAsia" w:ascii="宋体" w:hAnsi="宋体" w:cs="宋体"/>
                <w:color w:val="000000"/>
                <w:szCs w:val="21"/>
              </w:rPr>
            </w:pPr>
          </w:p>
        </w:tc>
        <w:tc>
          <w:tcPr>
            <w:tcW w:w="1968"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项目名称</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长春市就业链与产业链协同发展示范项目基础公共就业及信息化服务</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1.1.5</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服务地点</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highlight w:val="none"/>
                <w:lang w:eastAsia="zh-CN"/>
              </w:rPr>
              <w:t>长春市就业服务局</w:t>
            </w:r>
            <w:r>
              <w:rPr>
                <w:rFonts w:hint="eastAsia" w:ascii="宋体" w:hAnsi="宋体" w:eastAsia="宋体" w:cs="宋体"/>
                <w:color w:val="000000"/>
                <w:sz w:val="21"/>
                <w:szCs w:val="21"/>
                <w:highlight w:val="none"/>
              </w:rPr>
              <w:t>指定地点</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1.2.1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资金来源</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财政资金</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1.2.2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资金落实情况</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已落实</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1.3.1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招标范围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长春市就业链与产业链协同发展示范项目基础公共就业及信息化服务</w:t>
            </w:r>
          </w:p>
        </w:tc>
      </w:tr>
      <w:tr>
        <w:tblPrEx>
          <w:tblCellMar>
            <w:top w:w="0" w:type="dxa"/>
            <w:left w:w="108" w:type="dxa"/>
            <w:bottom w:w="0" w:type="dxa"/>
            <w:right w:w="108" w:type="dxa"/>
          </w:tblCellMar>
        </w:tblPrEx>
        <w:trPr>
          <w:trHeight w:val="54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1.3.2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合同履行期限</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highlight w:val="none"/>
                <w:lang w:val="en-US" w:eastAsia="zh-CN"/>
              </w:rPr>
              <w:t>合同签订之日起3年</w:t>
            </w:r>
          </w:p>
        </w:tc>
      </w:tr>
      <w:tr>
        <w:tblPrEx>
          <w:tblCellMar>
            <w:top w:w="0" w:type="dxa"/>
            <w:left w:w="108" w:type="dxa"/>
            <w:bottom w:w="0" w:type="dxa"/>
            <w:right w:w="108" w:type="dxa"/>
          </w:tblCellMar>
        </w:tblPrEx>
        <w:trPr>
          <w:trHeight w:val="39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1.3.3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lang w:eastAsia="zh-CN"/>
              </w:rPr>
              <w:t>服务</w:t>
            </w:r>
            <w:r>
              <w:rPr>
                <w:rFonts w:hint="eastAsia" w:ascii="宋体" w:hAnsi="宋体" w:cs="宋体"/>
                <w:color w:val="000000"/>
                <w:szCs w:val="21"/>
              </w:rPr>
              <w:t>标准</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eastAsia="宋体" w:cs="宋体"/>
                <w:bCs/>
                <w:color w:val="000000"/>
                <w:szCs w:val="21"/>
                <w:lang w:val="en-US" w:eastAsia="zh-CN"/>
              </w:rPr>
            </w:pPr>
            <w:r>
              <w:rPr>
                <w:rFonts w:hint="default" w:ascii="宋体" w:hAnsi="宋体" w:eastAsia="宋体" w:cs="宋体"/>
                <w:bCs/>
                <w:color w:val="000000"/>
                <w:szCs w:val="21"/>
                <w:lang w:val="en-US" w:eastAsia="zh-CN"/>
              </w:rPr>
              <w:t>符合国家相关行业标准</w:t>
            </w:r>
          </w:p>
        </w:tc>
      </w:tr>
      <w:tr>
        <w:tblPrEx>
          <w:tblCellMar>
            <w:top w:w="0" w:type="dxa"/>
            <w:left w:w="108" w:type="dxa"/>
            <w:bottom w:w="0" w:type="dxa"/>
            <w:right w:w="108" w:type="dxa"/>
          </w:tblCellMar>
        </w:tblPrEx>
        <w:trPr>
          <w:trHeight w:val="306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1.4.1</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投标人资质条件、能力</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eastAsia="宋体"/>
                <w:lang w:val="en-US" w:eastAsia="zh-CN"/>
              </w:rPr>
            </w:pPr>
            <w:r>
              <w:rPr>
                <w:rFonts w:hint="eastAsia" w:eastAsia="宋体"/>
                <w:lang w:val="en-US" w:eastAsia="zh-CN"/>
              </w:rPr>
              <w:t>1.供应商满足《中华人民共和国政府采购法》第二十二条规定；</w:t>
            </w:r>
          </w:p>
          <w:p>
            <w:pPr>
              <w:spacing w:line="360" w:lineRule="exact"/>
              <w:jc w:val="left"/>
              <w:rPr>
                <w:rFonts w:hint="eastAsia" w:eastAsia="宋体"/>
                <w:lang w:val="en-US" w:eastAsia="zh-CN"/>
              </w:rPr>
            </w:pPr>
            <w:r>
              <w:rPr>
                <w:rFonts w:hint="eastAsia" w:eastAsia="宋体"/>
                <w:lang w:val="en-US" w:eastAsia="zh-CN"/>
              </w:rPr>
              <w:t>2.供应商须是在中华人民共和国境内注册的法人或其他组织，能够独立承担民事责任，具有有效的营业执照，并在人员、设备方面具有相应的能力；</w:t>
            </w:r>
          </w:p>
          <w:p>
            <w:pPr>
              <w:spacing w:line="360" w:lineRule="exact"/>
              <w:jc w:val="left"/>
              <w:rPr>
                <w:rFonts w:hint="eastAsia" w:eastAsia="宋体"/>
                <w:lang w:val="en-US" w:eastAsia="zh-CN"/>
              </w:rPr>
            </w:pPr>
            <w:r>
              <w:rPr>
                <w:rFonts w:hint="eastAsia" w:eastAsia="宋体"/>
                <w:lang w:val="en-US" w:eastAsia="zh-CN"/>
              </w:rPr>
              <w:t>3.具有良好的商业信誉和健全的财务会计制度，依法缴纳税收和社会保障资金的良好记录，提供上年度由具备审计资格的第三方出具的财务审计报告，根据《长财采购[2022]2066号文件关于加强政府采购信用体系建设简化供应商资格条件有关事项的通知》提供资格条件承诺函；注：如投标人在2023年1月1日后成立的，只提供成立之日至今的财务状况良好承诺即可。</w:t>
            </w:r>
          </w:p>
          <w:p>
            <w:pPr>
              <w:spacing w:line="360" w:lineRule="exact"/>
              <w:jc w:val="left"/>
              <w:rPr>
                <w:rFonts w:hint="eastAsia" w:eastAsia="宋体"/>
                <w:lang w:val="en-US" w:eastAsia="zh-CN"/>
              </w:rPr>
            </w:pPr>
            <w:r>
              <w:rPr>
                <w:rFonts w:hint="eastAsia" w:eastAsia="宋体"/>
                <w:lang w:val="en-US" w:eastAsia="zh-CN"/>
              </w:rPr>
              <w:t>4.参加政府采购活动前三年内，在经营活动中没有重大违法记录；</w:t>
            </w:r>
          </w:p>
          <w:p>
            <w:pPr>
              <w:spacing w:line="360" w:lineRule="exact"/>
              <w:jc w:val="left"/>
              <w:rPr>
                <w:rFonts w:hint="eastAsia" w:eastAsia="宋体"/>
                <w:lang w:val="en-US" w:eastAsia="zh-CN"/>
              </w:rPr>
            </w:pPr>
            <w:r>
              <w:rPr>
                <w:rFonts w:hint="eastAsia" w:eastAsia="宋体"/>
                <w:lang w:val="en-US" w:eastAsia="zh-CN"/>
              </w:rPr>
              <w:t>5.在中国裁判文书网上，近三年无行贿受贿犯罪记录；</w:t>
            </w:r>
          </w:p>
          <w:p>
            <w:pPr>
              <w:spacing w:line="360" w:lineRule="exact"/>
              <w:jc w:val="left"/>
              <w:rPr>
                <w:rFonts w:hint="eastAsia" w:eastAsia="宋体"/>
                <w:lang w:val="en-US" w:eastAsia="zh-CN"/>
              </w:rPr>
            </w:pPr>
            <w:r>
              <w:rPr>
                <w:rFonts w:hint="eastAsia" w:eastAsia="宋体"/>
                <w:lang w:val="en-US" w:eastAsia="zh-CN"/>
              </w:rPr>
              <w:t>6.近三年内（截止到2023年</w:t>
            </w:r>
            <w:r>
              <w:rPr>
                <w:rFonts w:hint="eastAsia"/>
                <w:lang w:val="en-US" w:eastAsia="zh-CN"/>
              </w:rPr>
              <w:t>10</w:t>
            </w:r>
            <w:r>
              <w:rPr>
                <w:rFonts w:hint="eastAsia" w:eastAsia="宋体"/>
                <w:lang w:val="en-US" w:eastAsia="zh-CN"/>
              </w:rPr>
              <w:t>月）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w:t>
            </w:r>
          </w:p>
          <w:p>
            <w:pPr>
              <w:spacing w:line="360" w:lineRule="exact"/>
              <w:jc w:val="left"/>
              <w:rPr>
                <w:rFonts w:hint="eastAsia" w:eastAsia="宋体"/>
                <w:lang w:val="en-US" w:eastAsia="zh-CN"/>
              </w:rPr>
            </w:pPr>
            <w:r>
              <w:rPr>
                <w:rFonts w:hint="eastAsia" w:eastAsia="宋体"/>
                <w:lang w:val="en-US" w:eastAsia="zh-CN"/>
              </w:rPr>
              <w:t>7.本项目不接受被列入失信被执行人、重大税收违法案件当事人名单、政府采购严重违法失信行为记录名单的供应商参与投标（详见财库【2017】125号文件）；</w:t>
            </w:r>
          </w:p>
          <w:p>
            <w:pPr>
              <w:spacing w:line="360" w:lineRule="exact"/>
              <w:jc w:val="left"/>
              <w:rPr>
                <w:rFonts w:hint="eastAsia" w:eastAsia="宋体"/>
                <w:lang w:val="en-US" w:eastAsia="zh-CN"/>
              </w:rPr>
            </w:pPr>
            <w:r>
              <w:rPr>
                <w:rFonts w:hint="eastAsia" w:eastAsia="宋体"/>
                <w:lang w:val="en-US" w:eastAsia="zh-CN"/>
              </w:rPr>
              <w:t>8.单位负责人为同一人或者存在控股、管理关系的不同单位，不得参加同一标段投标或者未划分标段的同一招标项目投标。违反这两款规定的，相关投标均无效；</w:t>
            </w:r>
          </w:p>
          <w:p>
            <w:pPr>
              <w:spacing w:line="360" w:lineRule="exact"/>
              <w:jc w:val="left"/>
              <w:rPr>
                <w:rFonts w:hint="eastAsia" w:eastAsia="宋体"/>
                <w:lang w:val="en-US" w:eastAsia="zh-CN"/>
              </w:rPr>
            </w:pPr>
            <w:r>
              <w:rPr>
                <w:rFonts w:hint="eastAsia" w:eastAsia="宋体"/>
                <w:lang w:val="en-US" w:eastAsia="zh-CN"/>
              </w:rPr>
              <w:t>9.拒绝列入政府取消投标资格记录期间的企业或个人投标；</w:t>
            </w:r>
          </w:p>
          <w:p>
            <w:pPr>
              <w:spacing w:line="360" w:lineRule="exact"/>
              <w:jc w:val="left"/>
              <w:rPr>
                <w:rFonts w:hint="eastAsia" w:eastAsia="宋体"/>
                <w:lang w:val="en-US" w:eastAsia="zh-CN"/>
              </w:rPr>
            </w:pPr>
            <w:r>
              <w:rPr>
                <w:rFonts w:hint="eastAsia" w:eastAsia="宋体"/>
                <w:lang w:val="en-US" w:eastAsia="zh-CN"/>
              </w:rPr>
              <w:t>10.落实政府采购政策需满足的资格要求：本项目不是专门面向中小企业项目。</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eastAsia="zh-CN"/>
              </w:rPr>
              <w:t>踏勘现场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zh-CN" w:eastAsia="zh-CN"/>
              </w:rPr>
              <w:t>不组织</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eastAsia="zh-CN"/>
              </w:rPr>
              <w:t>投标预备会</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zh-CN" w:eastAsia="zh-CN"/>
              </w:rPr>
              <w:t>不召开</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投标人提出问题的截止时间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hAnsi="宋体"/>
                <w:color w:val="auto"/>
                <w:kern w:val="2"/>
                <w:sz w:val="21"/>
                <w:szCs w:val="21"/>
              </w:rPr>
              <w:t>投标截止时间10日前，逾期有权不再解答，若供应商未提出疑问，则视为其无疑</w:t>
            </w:r>
            <w:r>
              <w:rPr>
                <w:rFonts w:hint="eastAsia" w:ascii="宋体" w:hAnsi="宋体" w:eastAsia="宋体" w:cs="宋体"/>
                <w:color w:val="auto"/>
                <w:kern w:val="2"/>
                <w:sz w:val="21"/>
                <w:szCs w:val="21"/>
              </w:rPr>
              <w:t>问。</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采购人书面澄清的时间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投标截止日期前15日</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偏离</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不允许</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构成招标文件的其他材料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澄清文件（如有）</w:t>
            </w:r>
          </w:p>
        </w:tc>
      </w:tr>
      <w:tr>
        <w:tblPrEx>
          <w:tblCellMar>
            <w:top w:w="0" w:type="dxa"/>
            <w:left w:w="108" w:type="dxa"/>
            <w:bottom w:w="0" w:type="dxa"/>
            <w:right w:w="108" w:type="dxa"/>
          </w:tblCellMar>
        </w:tblPrEx>
        <w:trPr>
          <w:trHeight w:val="4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投标截止时间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zh-CN" w:eastAsia="zh-CN"/>
              </w:rPr>
              <w:t>202</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zh-CN" w:eastAsia="zh-CN"/>
              </w:rPr>
              <w:t>年</w:t>
            </w:r>
            <w:r>
              <w:rPr>
                <w:rFonts w:hint="eastAsia" w:ascii="宋体" w:hAnsi="宋体" w:cs="宋体"/>
                <w:color w:val="000000"/>
                <w:szCs w:val="21"/>
                <w:highlight w:val="none"/>
                <w:lang w:val="en-US" w:eastAsia="zh-CN"/>
              </w:rPr>
              <w:t>12</w:t>
            </w:r>
            <w:r>
              <w:rPr>
                <w:rFonts w:hint="eastAsia" w:ascii="宋体" w:hAnsi="宋体" w:eastAsia="宋体" w:cs="宋体"/>
                <w:color w:val="000000"/>
                <w:szCs w:val="21"/>
                <w:highlight w:val="none"/>
                <w:lang w:val="zh-CN" w:eastAsia="zh-CN"/>
              </w:rPr>
              <w:t>月</w:t>
            </w:r>
            <w:r>
              <w:rPr>
                <w:rFonts w:hint="eastAsia" w:ascii="宋体" w:hAnsi="宋体" w:cs="宋体"/>
                <w:color w:val="000000"/>
                <w:szCs w:val="21"/>
                <w:highlight w:val="none"/>
                <w:lang w:val="en-US" w:eastAsia="zh-CN"/>
              </w:rPr>
              <w:t>13</w:t>
            </w:r>
            <w:r>
              <w:rPr>
                <w:rFonts w:hint="eastAsia" w:ascii="宋体" w:hAnsi="宋体" w:eastAsia="宋体" w:cs="宋体"/>
                <w:color w:val="000000"/>
                <w:szCs w:val="21"/>
                <w:highlight w:val="none"/>
                <w:lang w:val="zh-CN" w:eastAsia="zh-CN"/>
              </w:rPr>
              <w:t>日</w:t>
            </w: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lang w:val="zh-CN" w:eastAsia="zh-CN"/>
              </w:rPr>
              <w:t>点</w:t>
            </w:r>
            <w:r>
              <w:rPr>
                <w:rFonts w:hint="eastAsia" w:ascii="宋体" w:hAnsi="宋体" w:cs="宋体"/>
                <w:color w:val="000000"/>
                <w:szCs w:val="21"/>
                <w:highlight w:val="none"/>
                <w:lang w:val="en-US" w:eastAsia="zh-CN"/>
              </w:rPr>
              <w:t>00</w:t>
            </w:r>
            <w:r>
              <w:rPr>
                <w:rFonts w:hint="eastAsia" w:ascii="宋体" w:hAnsi="宋体" w:eastAsia="宋体" w:cs="宋体"/>
                <w:color w:val="000000"/>
                <w:szCs w:val="21"/>
                <w:highlight w:val="none"/>
                <w:lang w:val="zh-CN" w:eastAsia="zh-CN"/>
              </w:rPr>
              <w:t>分</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投标人确认收到招标文件澄清的时间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在收到相应澄清文件后24小时内</w:t>
            </w:r>
          </w:p>
        </w:tc>
      </w:tr>
      <w:tr>
        <w:tblPrEx>
          <w:tblCellMar>
            <w:top w:w="0" w:type="dxa"/>
            <w:left w:w="108" w:type="dxa"/>
            <w:bottom w:w="0" w:type="dxa"/>
            <w:right w:w="108" w:type="dxa"/>
          </w:tblCellMar>
        </w:tblPrEx>
        <w:trPr>
          <w:trHeight w:val="463" w:hRule="atLeast"/>
          <w:jc w:val="center"/>
        </w:trPr>
        <w:tc>
          <w:tcPr>
            <w:tcW w:w="1060"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2.3.2</w:t>
            </w:r>
          </w:p>
        </w:tc>
        <w:tc>
          <w:tcPr>
            <w:tcW w:w="196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投标人确认收到招标文件修改的时间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在收到相应修改文件后24小时内</w:t>
            </w:r>
          </w:p>
        </w:tc>
      </w:tr>
      <w:tr>
        <w:tblPrEx>
          <w:tblCellMar>
            <w:top w:w="0" w:type="dxa"/>
            <w:left w:w="108" w:type="dxa"/>
            <w:bottom w:w="0" w:type="dxa"/>
            <w:right w:w="108" w:type="dxa"/>
          </w:tblCellMar>
        </w:tblPrEx>
        <w:trPr>
          <w:trHeight w:val="463" w:hRule="atLeast"/>
          <w:jc w:val="center"/>
        </w:trPr>
        <w:tc>
          <w:tcPr>
            <w:tcW w:w="1060" w:type="dxa"/>
            <w:vMerge w:val="continue"/>
            <w:tcBorders>
              <w:left w:val="single" w:color="auto" w:sz="4" w:space="0"/>
              <w:bottom w:val="single" w:color="auto" w:sz="4" w:space="0"/>
              <w:right w:val="single" w:color="auto" w:sz="4" w:space="0"/>
            </w:tcBorders>
            <w:vAlign w:val="center"/>
          </w:tcPr>
          <w:p>
            <w:pPr>
              <w:spacing w:line="360" w:lineRule="exact"/>
              <w:jc w:val="left"/>
            </w:pPr>
          </w:p>
        </w:tc>
        <w:tc>
          <w:tcPr>
            <w:tcW w:w="1968" w:type="dxa"/>
            <w:vMerge w:val="continue"/>
            <w:tcBorders>
              <w:left w:val="single" w:color="auto" w:sz="4" w:space="0"/>
              <w:bottom w:val="single" w:color="auto" w:sz="4" w:space="0"/>
              <w:right w:val="single" w:color="auto" w:sz="4" w:space="0"/>
            </w:tcBorders>
            <w:vAlign w:val="center"/>
          </w:tcPr>
          <w:p>
            <w:pPr>
              <w:spacing w:line="360" w:lineRule="exact"/>
              <w:jc w:val="left"/>
            </w:pP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rPr>
              <w:t>形式：有关本次采购项目的事项若存在变动或修改，敬请及时关注“政采云”网站发布的信息更正公告</w:t>
            </w:r>
            <w:r>
              <w:rPr>
                <w:rFonts w:hint="eastAsia" w:ascii="宋体" w:hAnsi="宋体" w:eastAsia="宋体" w:cs="宋体"/>
                <w:color w:val="auto"/>
                <w:kern w:val="2"/>
                <w:sz w:val="21"/>
                <w:szCs w:val="21"/>
                <w:lang w:eastAsia="zh-CN"/>
              </w:rPr>
              <w:t>或澄清文件</w:t>
            </w:r>
          </w:p>
        </w:tc>
      </w:tr>
      <w:tr>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eastAsia="zh-CN"/>
              </w:rPr>
              <w:t>构成投标文件的其他材料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lang w:val="en-US" w:eastAsia="zh-CN"/>
              </w:rPr>
              <w:t>无</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投标有效期</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投标截止之日起90日历天</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投标保证金</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诚信记录良好的供应商不收取投标保证金。</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据长春市财政局关于取消政府采购投标保证金及采购文件工本费等事项的通知，满足《中华人民共和国政府采购法》第二十二条有关规定，经“信用中国”网站查询存在行政处罚信息的投标人收取投标保证金，投标保证金金额如下。</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据长春市财政局关于取消政府采购投标保证金及采购文件工本费等有关事项的通知《长财采购(2021)695号》文件要求“自2021年7月1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供应商根据自身情况自行判断是否需要提交投标保证金。如符合文件要求的不需要提交投标保证金情况的请在响应文件中提供相关网页截图并提供承诺书（格式自拟）。</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投标保证金的形式：现金、银行出具的现金支票、保兑支票、银行汇票，银行、专业担保公司、保险公司出具的保函等形式，以现金或支票形式提交的投标保证金应当从供应商的基本账户转出。</w:t>
            </w:r>
          </w:p>
          <w:p>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lang w:val="en-US" w:eastAsia="zh-CN"/>
              </w:rPr>
              <w:t>投标保证金的金额：</w:t>
            </w:r>
            <w:r>
              <w:rPr>
                <w:rFonts w:hint="eastAsia" w:ascii="宋体" w:hAnsi="宋体" w:eastAsia="宋体" w:cs="宋体"/>
                <w:color w:val="000000"/>
                <w:szCs w:val="21"/>
                <w:highlight w:val="none"/>
                <w:lang w:val="en-US" w:eastAsia="zh-CN"/>
              </w:rPr>
              <w:t>人民币</w:t>
            </w:r>
            <w:r>
              <w:rPr>
                <w:rFonts w:hint="eastAsia" w:ascii="宋体" w:hAnsi="宋体" w:cs="宋体"/>
                <w:color w:val="000000"/>
                <w:szCs w:val="21"/>
                <w:highlight w:val="none"/>
                <w:lang w:val="en-US" w:eastAsia="zh-CN"/>
              </w:rPr>
              <w:t>10万</w:t>
            </w:r>
            <w:r>
              <w:rPr>
                <w:rFonts w:hint="eastAsia" w:ascii="宋体" w:hAnsi="宋体" w:eastAsia="宋体" w:cs="宋体"/>
                <w:color w:val="000000"/>
                <w:szCs w:val="21"/>
                <w:highlight w:val="none"/>
                <w:lang w:val="en-US" w:eastAsia="zh-CN"/>
              </w:rPr>
              <w:t>元整</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投标保证金的递交截止时间为：2023年</w:t>
            </w:r>
            <w:r>
              <w:rPr>
                <w:rFonts w:hint="eastAsia" w:ascii="宋体" w:hAnsi="宋体" w:cs="宋体"/>
                <w:color w:val="000000"/>
                <w:szCs w:val="21"/>
                <w:highlight w:val="none"/>
                <w:lang w:val="en-US" w:eastAsia="zh-CN"/>
              </w:rPr>
              <w:t>12</w:t>
            </w:r>
            <w:r>
              <w:rPr>
                <w:rFonts w:hint="eastAsia" w:ascii="宋体" w:hAnsi="宋体" w:eastAsia="宋体" w:cs="宋体"/>
                <w:color w:val="000000"/>
                <w:szCs w:val="21"/>
                <w:highlight w:val="none"/>
                <w:lang w:val="en-US" w:eastAsia="zh-CN"/>
              </w:rPr>
              <w:t>月</w:t>
            </w:r>
            <w:r>
              <w:rPr>
                <w:rFonts w:hint="eastAsia" w:ascii="宋体" w:hAnsi="宋体" w:cs="宋体"/>
                <w:color w:val="000000"/>
                <w:szCs w:val="21"/>
                <w:highlight w:val="none"/>
                <w:lang w:val="en-US" w:eastAsia="zh-CN"/>
              </w:rPr>
              <w:t>13</w:t>
            </w:r>
            <w:r>
              <w:rPr>
                <w:rFonts w:hint="eastAsia" w:ascii="宋体" w:hAnsi="宋体" w:eastAsia="宋体" w:cs="宋体"/>
                <w:color w:val="000000"/>
                <w:szCs w:val="21"/>
                <w:highlight w:val="none"/>
                <w:lang w:val="en-US" w:eastAsia="zh-CN"/>
              </w:rPr>
              <w:t>日</w:t>
            </w:r>
            <w:r>
              <w:rPr>
                <w:rFonts w:hint="eastAsia" w:ascii="宋体" w:hAnsi="宋体" w:cs="宋体"/>
                <w:color w:val="000000"/>
                <w:szCs w:val="21"/>
                <w:highlight w:val="none"/>
                <w:lang w:val="en-US" w:eastAsia="zh-CN"/>
              </w:rPr>
              <w:t>10时</w:t>
            </w:r>
            <w:r>
              <w:rPr>
                <w:rFonts w:hint="eastAsia" w:ascii="宋体" w:hAnsi="宋体" w:eastAsia="宋体" w:cs="宋体"/>
                <w:color w:val="000000"/>
                <w:szCs w:val="21"/>
                <w:lang w:val="en-US" w:eastAsia="zh-CN"/>
              </w:rPr>
              <w:t>之前递交至指定账号，以到达账户时间为准。以保函形式提交的，须在此时间前将保函原件递交到采购代理机构，标书内附加盖公章的复印件。</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账户名称：吉林省龙泰工程咨询有限责任公司</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开户银行：中国建设银行股份有限公司长春人民广场支行</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账    号：2205 0134 0100 0000 0143</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※请在汇款单据上标明项目名称以便核查。</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供应商应在银行进账单或电汇凭证上明确用途、采购项目名称、联系人及电话，以便核对查实</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（1）供应商以转账或电汇形式提交投标保证金的，在办理退还谈判保证金手续时，需携带经办人身份证原件及复印件、单位介绍信或法人授权委托书原件、汇款银行出具的汇款（存款）凭证原件。</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（2）投标保证金以保函担保方式缴纳的，保函担保原件由采购代理机构保管。</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企业近年完成的类似项目的年份要求</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近</w:t>
            </w:r>
            <w:r>
              <w:rPr>
                <w:rFonts w:hint="eastAsia" w:ascii="宋体" w:hAnsi="宋体" w:cs="宋体"/>
                <w:color w:val="000000"/>
                <w:szCs w:val="21"/>
                <w:lang w:val="en-US" w:eastAsia="zh-CN"/>
              </w:rPr>
              <w:t>三</w:t>
            </w:r>
            <w:r>
              <w:rPr>
                <w:rFonts w:hint="eastAsia" w:ascii="宋体" w:hAnsi="宋体" w:eastAsia="宋体" w:cs="宋体"/>
                <w:color w:val="000000"/>
                <w:szCs w:val="21"/>
                <w:lang w:val="en-US" w:eastAsia="zh-CN"/>
              </w:rPr>
              <w:t>年，指 2020年1月1日</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至今</w:t>
            </w:r>
            <w:r>
              <w:rPr>
                <w:rFonts w:hint="eastAsia" w:ascii="宋体" w:hAnsi="宋体" w:cs="宋体"/>
                <w:color w:val="000000"/>
                <w:szCs w:val="21"/>
                <w:lang w:val="en-US" w:eastAsia="zh-CN"/>
              </w:rPr>
              <w:t>。</w:t>
            </w:r>
          </w:p>
        </w:tc>
      </w:tr>
      <w:tr>
        <w:tblPrEx>
          <w:tblCellMar>
            <w:top w:w="0" w:type="dxa"/>
            <w:left w:w="108" w:type="dxa"/>
            <w:bottom w:w="0" w:type="dxa"/>
            <w:right w:w="108" w:type="dxa"/>
          </w:tblCellMar>
        </w:tblPrEx>
        <w:trPr>
          <w:trHeight w:val="43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纸质投标文件</w:t>
            </w:r>
            <w:r>
              <w:rPr>
                <w:rFonts w:hint="eastAsia" w:ascii="宋体" w:hAnsi="宋体" w:eastAsia="宋体" w:cs="宋体"/>
                <w:color w:val="000000"/>
                <w:sz w:val="21"/>
                <w:szCs w:val="21"/>
                <w:lang w:val="en-US" w:eastAsia="zh-CN"/>
              </w:rPr>
              <w:t>签字或盖章要求</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en-US" w:eastAsia="zh-CN"/>
              </w:rPr>
              <w:t>在</w:t>
            </w:r>
            <w:r>
              <w:rPr>
                <w:rFonts w:hint="eastAsia" w:ascii="宋体" w:hAnsi="宋体" w:eastAsia="宋体" w:cs="宋体"/>
                <w:color w:val="000000"/>
                <w:szCs w:val="21"/>
                <w:lang w:val="zh-CN" w:eastAsia="zh-CN"/>
              </w:rPr>
              <w:t>投标文件应使用打印、复印或不能擦去的墨水书写，文字要清晰，语言要明确，并按招标文件的要求签字或盖章。</w:t>
            </w:r>
          </w:p>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投标文件应尽量避免涂改和插字，如有修改，除了按采购人书面请示进行修改的以外，均应由法定代表人（或授权委托人）在修改处盖章或签名确认。</w:t>
            </w:r>
          </w:p>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zh-CN" w:eastAsia="zh-CN"/>
              </w:rPr>
              <w:t>投标文件“正本”中的投标函、法人授权委托书等的盖章和签字（盖章不能代替签字）等都要求是原件或真迹，不得复印。</w:t>
            </w:r>
          </w:p>
        </w:tc>
      </w:tr>
      <w:tr>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3.6.4</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纸质</w:t>
            </w:r>
            <w:r>
              <w:rPr>
                <w:rFonts w:hint="eastAsia" w:ascii="宋体" w:hAnsi="宋体" w:eastAsia="宋体" w:cs="宋体"/>
                <w:color w:val="000000"/>
                <w:sz w:val="21"/>
                <w:szCs w:val="21"/>
                <w:lang w:val="en-US" w:eastAsia="zh-CN"/>
              </w:rPr>
              <w:t>投标文件份数</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正本一份、副本</w:t>
            </w:r>
            <w:r>
              <w:rPr>
                <w:rFonts w:hint="eastAsia" w:ascii="宋体" w:hAnsi="宋体" w:cs="宋体"/>
                <w:color w:val="000000"/>
                <w:szCs w:val="21"/>
                <w:lang w:val="en-US" w:eastAsia="zh-CN"/>
              </w:rPr>
              <w:t>二</w:t>
            </w:r>
            <w:r>
              <w:rPr>
                <w:rFonts w:hint="eastAsia" w:ascii="宋体" w:hAnsi="宋体" w:eastAsia="宋体" w:cs="宋体"/>
                <w:color w:val="000000"/>
                <w:szCs w:val="21"/>
                <w:lang w:val="en-US" w:eastAsia="zh-CN"/>
              </w:rPr>
              <w:t>份，电子版二份（U盘存储，应包括投标文件全部内容word版和PDF版，单独封装）</w:t>
            </w:r>
          </w:p>
        </w:tc>
      </w:tr>
      <w:tr>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3.6.5</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纸质投标文件</w:t>
            </w:r>
          </w:p>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装订要求</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投标文件的正本和副本的封面上应清楚地标记“正本”或“副本”的字样，分别装订成册；要编制目录及页码，并用A4规格纸打印，不允许活页装订。</w:t>
            </w:r>
          </w:p>
        </w:tc>
      </w:tr>
      <w:tr>
        <w:tblPrEx>
          <w:tblCellMar>
            <w:top w:w="0" w:type="dxa"/>
            <w:left w:w="108" w:type="dxa"/>
            <w:bottom w:w="0" w:type="dxa"/>
            <w:right w:w="108" w:type="dxa"/>
          </w:tblCellMar>
        </w:tblPrEx>
        <w:trPr>
          <w:trHeight w:val="1538"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4.1.2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封套上应载明的</w:t>
            </w:r>
          </w:p>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信息</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采购人地址：</w:t>
            </w:r>
          </w:p>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采购人名称：</w:t>
            </w:r>
          </w:p>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投标人名称：</w:t>
            </w:r>
          </w:p>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 xml:space="preserve">            （项目名称）投标文件</w:t>
            </w:r>
          </w:p>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在  年  月  日  时  分前不得开启</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递交投标文件地点及</w:t>
            </w:r>
            <w:r>
              <w:rPr>
                <w:rFonts w:hint="eastAsia" w:ascii="宋体" w:hAnsi="宋体" w:cs="宋体"/>
                <w:color w:val="000000"/>
                <w:szCs w:val="21"/>
                <w:lang w:val="en-US" w:eastAsia="zh-CN"/>
              </w:rPr>
              <w:t>截止时间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截止时间：202</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zh-CN" w:eastAsia="zh-CN"/>
              </w:rPr>
              <w:t>年</w:t>
            </w:r>
            <w:r>
              <w:rPr>
                <w:rFonts w:hint="eastAsia" w:ascii="宋体" w:hAnsi="宋体" w:cs="宋体"/>
                <w:color w:val="000000"/>
                <w:szCs w:val="21"/>
                <w:highlight w:val="none"/>
                <w:lang w:val="en-US" w:eastAsia="zh-CN"/>
              </w:rPr>
              <w:t>12</w:t>
            </w:r>
            <w:r>
              <w:rPr>
                <w:rFonts w:hint="eastAsia" w:ascii="宋体" w:hAnsi="宋体" w:eastAsia="宋体" w:cs="宋体"/>
                <w:color w:val="000000"/>
                <w:szCs w:val="21"/>
                <w:highlight w:val="none"/>
                <w:lang w:val="zh-CN" w:eastAsia="zh-CN"/>
              </w:rPr>
              <w:t>月</w:t>
            </w:r>
            <w:r>
              <w:rPr>
                <w:rFonts w:hint="eastAsia" w:ascii="宋体" w:hAnsi="宋体" w:cs="宋体"/>
                <w:color w:val="000000"/>
                <w:szCs w:val="21"/>
                <w:highlight w:val="none"/>
                <w:lang w:val="en-US" w:eastAsia="zh-CN"/>
              </w:rPr>
              <w:t>13</w:t>
            </w:r>
            <w:r>
              <w:rPr>
                <w:rFonts w:hint="eastAsia" w:ascii="宋体" w:hAnsi="宋体" w:eastAsia="宋体" w:cs="宋体"/>
                <w:color w:val="000000"/>
                <w:szCs w:val="21"/>
                <w:highlight w:val="none"/>
                <w:lang w:val="zh-CN" w:eastAsia="zh-CN"/>
              </w:rPr>
              <w:t>日</w:t>
            </w: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lang w:val="zh-CN" w:eastAsia="zh-CN"/>
              </w:rPr>
              <w:t>点</w:t>
            </w:r>
            <w:r>
              <w:rPr>
                <w:rFonts w:hint="eastAsia" w:ascii="宋体" w:hAnsi="宋体" w:cs="宋体"/>
                <w:color w:val="000000"/>
                <w:szCs w:val="21"/>
                <w:highlight w:val="none"/>
                <w:lang w:val="en-US" w:eastAsia="zh-CN"/>
              </w:rPr>
              <w:t>00</w:t>
            </w:r>
            <w:r>
              <w:rPr>
                <w:rFonts w:hint="eastAsia" w:ascii="宋体" w:hAnsi="宋体" w:eastAsia="宋体" w:cs="宋体"/>
                <w:color w:val="000000"/>
                <w:szCs w:val="21"/>
                <w:highlight w:val="none"/>
                <w:lang w:val="zh-CN" w:eastAsia="zh-CN"/>
              </w:rPr>
              <w:t>分</w:t>
            </w:r>
          </w:p>
          <w:p>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地点：</w:t>
            </w:r>
            <w:r>
              <w:rPr>
                <w:rFonts w:hint="eastAsia" w:ascii="宋体" w:hAnsi="宋体" w:eastAsia="宋体" w:cs="宋体"/>
                <w:color w:val="auto"/>
                <w:sz w:val="21"/>
                <w:szCs w:val="21"/>
                <w:highlight w:val="none"/>
                <w:lang w:val="en-US" w:eastAsia="zh-CN"/>
              </w:rPr>
              <w:t>东北亚国际金融中心（人民大街与谊民路交汇东行100米）3号楼3-127室第三开标室</w:t>
            </w:r>
          </w:p>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en-US" w:eastAsia="zh-CN"/>
              </w:rPr>
              <w:t>纸质</w:t>
            </w:r>
            <w:r>
              <w:rPr>
                <w:rFonts w:hint="eastAsia" w:ascii="宋体" w:hAnsi="宋体" w:cs="宋体"/>
                <w:color w:val="000000"/>
                <w:szCs w:val="21"/>
                <w:lang w:val="en-US" w:eastAsia="zh-CN"/>
              </w:rPr>
              <w:t>投标文件</w:t>
            </w:r>
            <w:r>
              <w:rPr>
                <w:rFonts w:hint="eastAsia" w:ascii="宋体" w:hAnsi="宋体" w:eastAsia="宋体" w:cs="宋体"/>
                <w:color w:val="000000"/>
                <w:szCs w:val="21"/>
                <w:lang w:val="en-US" w:eastAsia="zh-CN"/>
              </w:rPr>
              <w:t>仅作为系统无法正常解密</w:t>
            </w:r>
            <w:r>
              <w:rPr>
                <w:rFonts w:hint="eastAsia" w:ascii="宋体" w:hAnsi="宋体" w:cs="宋体"/>
                <w:color w:val="000000"/>
                <w:szCs w:val="21"/>
                <w:lang w:val="en-US" w:eastAsia="zh-CN"/>
              </w:rPr>
              <w:t>投标文件</w:t>
            </w:r>
            <w:r>
              <w:rPr>
                <w:rFonts w:hint="eastAsia" w:ascii="宋体" w:hAnsi="宋体" w:eastAsia="宋体" w:cs="宋体"/>
                <w:color w:val="000000"/>
                <w:szCs w:val="21"/>
                <w:lang w:val="en-US" w:eastAsia="zh-CN"/>
              </w:rPr>
              <w:t>时使用及存档使用，投标人递交后即可离开。</w:t>
            </w:r>
          </w:p>
        </w:tc>
      </w:tr>
      <w:tr>
        <w:tblPrEx>
          <w:tblCellMar>
            <w:top w:w="0" w:type="dxa"/>
            <w:left w:w="108" w:type="dxa"/>
            <w:bottom w:w="0" w:type="dxa"/>
            <w:right w:w="108" w:type="dxa"/>
          </w:tblCellMar>
        </w:tblPrEx>
        <w:trPr>
          <w:trHeight w:val="43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是否退还投标文件</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否</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开标时间和地点</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highlight w:val="none"/>
                <w:lang w:val="zh-CN" w:eastAsia="zh-CN"/>
              </w:rPr>
            </w:pPr>
            <w:r>
              <w:rPr>
                <w:rFonts w:hint="eastAsia"/>
                <w:lang w:val="zh-CN" w:eastAsia="zh-CN"/>
              </w:rPr>
              <w:t>开标</w:t>
            </w:r>
            <w:r>
              <w:rPr>
                <w:rFonts w:hint="eastAsia" w:ascii="宋体" w:hAnsi="宋体" w:eastAsia="宋体" w:cs="宋体"/>
                <w:color w:val="000000"/>
                <w:szCs w:val="21"/>
                <w:lang w:val="zh-CN" w:eastAsia="zh-CN"/>
              </w:rPr>
              <w:t>时间：</w:t>
            </w:r>
            <w:r>
              <w:rPr>
                <w:rFonts w:hint="eastAsia" w:ascii="宋体" w:hAnsi="宋体" w:eastAsia="宋体" w:cs="宋体"/>
                <w:color w:val="000000"/>
                <w:szCs w:val="21"/>
                <w:highlight w:val="none"/>
                <w:lang w:val="zh-CN" w:eastAsia="zh-CN"/>
              </w:rPr>
              <w:t>202</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zh-CN" w:eastAsia="zh-CN"/>
              </w:rPr>
              <w:t>年</w:t>
            </w:r>
            <w:r>
              <w:rPr>
                <w:rFonts w:hint="eastAsia" w:ascii="宋体" w:hAnsi="宋体" w:cs="宋体"/>
                <w:color w:val="000000"/>
                <w:szCs w:val="21"/>
                <w:highlight w:val="none"/>
                <w:lang w:val="en-US" w:eastAsia="zh-CN"/>
              </w:rPr>
              <w:t>12</w:t>
            </w:r>
            <w:r>
              <w:rPr>
                <w:rFonts w:hint="eastAsia" w:ascii="宋体" w:hAnsi="宋体" w:eastAsia="宋体" w:cs="宋体"/>
                <w:color w:val="000000"/>
                <w:szCs w:val="21"/>
                <w:highlight w:val="none"/>
                <w:lang w:val="zh-CN" w:eastAsia="zh-CN"/>
              </w:rPr>
              <w:t>月</w:t>
            </w:r>
            <w:r>
              <w:rPr>
                <w:rFonts w:hint="eastAsia" w:ascii="宋体" w:hAnsi="宋体" w:cs="宋体"/>
                <w:color w:val="000000"/>
                <w:szCs w:val="21"/>
                <w:highlight w:val="none"/>
                <w:lang w:val="en-US" w:eastAsia="zh-CN"/>
              </w:rPr>
              <w:t>13</w:t>
            </w:r>
            <w:r>
              <w:rPr>
                <w:rFonts w:hint="eastAsia" w:ascii="宋体" w:hAnsi="宋体" w:eastAsia="宋体" w:cs="宋体"/>
                <w:color w:val="000000"/>
                <w:szCs w:val="21"/>
                <w:highlight w:val="none"/>
                <w:lang w:val="zh-CN" w:eastAsia="zh-CN"/>
              </w:rPr>
              <w:t>日</w:t>
            </w: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lang w:val="zh-CN" w:eastAsia="zh-CN"/>
              </w:rPr>
              <w:t>点</w:t>
            </w:r>
            <w:r>
              <w:rPr>
                <w:rFonts w:hint="eastAsia" w:ascii="宋体" w:hAnsi="宋体" w:cs="宋体"/>
                <w:color w:val="000000"/>
                <w:szCs w:val="21"/>
                <w:highlight w:val="none"/>
                <w:lang w:val="en-US" w:eastAsia="zh-CN"/>
              </w:rPr>
              <w:t>00</w:t>
            </w:r>
            <w:r>
              <w:rPr>
                <w:rFonts w:hint="eastAsia" w:ascii="宋体" w:hAnsi="宋体" w:eastAsia="宋体" w:cs="宋体"/>
                <w:color w:val="000000"/>
                <w:szCs w:val="21"/>
                <w:highlight w:val="none"/>
                <w:lang w:val="zh-CN" w:eastAsia="zh-CN"/>
              </w:rPr>
              <w:t>分</w:t>
            </w:r>
          </w:p>
          <w:p>
            <w:pPr>
              <w:spacing w:line="360" w:lineRule="exact"/>
              <w:jc w:val="left"/>
              <w:rPr>
                <w:rFonts w:hint="eastAsia"/>
                <w:highlight w:val="none"/>
                <w:lang w:val="en-US" w:eastAsia="zh-CN"/>
              </w:rPr>
            </w:pPr>
            <w:r>
              <w:rPr>
                <w:rFonts w:hint="eastAsia"/>
                <w:highlight w:val="none"/>
                <w:lang w:val="zh-CN" w:eastAsia="zh-CN"/>
              </w:rPr>
              <w:t>开标地点：</w:t>
            </w:r>
            <w:r>
              <w:rPr>
                <w:rFonts w:hint="eastAsia" w:ascii="宋体" w:hAnsi="宋体" w:eastAsia="宋体" w:cs="宋体"/>
                <w:color w:val="auto"/>
                <w:sz w:val="21"/>
                <w:szCs w:val="21"/>
                <w:highlight w:val="none"/>
                <w:lang w:val="en-US" w:eastAsia="zh-CN"/>
              </w:rPr>
              <w:t>东北亚国际金融中心（人民大街与谊民路交汇东行100米）3号楼3-127室第三开标室</w:t>
            </w:r>
          </w:p>
          <w:p>
            <w:pPr>
              <w:pStyle w:val="55"/>
              <w:rPr>
                <w:rFonts w:hint="eastAsia"/>
                <w:kern w:val="2"/>
                <w:lang w:val="zh-CN" w:eastAsia="zh-CN"/>
              </w:rPr>
            </w:pPr>
            <w:r>
              <w:rPr>
                <w:rFonts w:hint="eastAsia" w:ascii="Times New Roman" w:hAnsi="Times New Roman" w:eastAsia="宋体" w:cs="Times New Roman"/>
                <w:b/>
                <w:bCs/>
                <w:color w:val="auto"/>
                <w:kern w:val="2"/>
                <w:sz w:val="21"/>
                <w:szCs w:val="24"/>
                <w:lang w:val="en-US" w:eastAsia="zh-CN" w:bidi="ar-SA"/>
              </w:rPr>
              <w:t>开标方式：本项目开标采用腾讯会议直播形式进行远程解密开标，在递交投标文件截止时间前加入腾讯会议</w:t>
            </w:r>
            <w:r>
              <w:rPr>
                <w:rFonts w:hint="eastAsia" w:ascii="Times New Roman" w:hAnsi="Times New Roman" w:eastAsia="宋体" w:cs="Times New Roman"/>
                <w:b/>
                <w:bCs/>
                <w:color w:val="auto"/>
                <w:kern w:val="2"/>
                <w:sz w:val="21"/>
                <w:szCs w:val="24"/>
                <w:highlight w:val="none"/>
                <w:lang w:val="en-US" w:eastAsia="zh-CN" w:bidi="ar-SA"/>
              </w:rPr>
              <w:t>（会议号：</w:t>
            </w:r>
            <w:r>
              <w:rPr>
                <w:rFonts w:hint="eastAsia" w:ascii="Times New Roman" w:cs="Times New Roman"/>
                <w:b/>
                <w:bCs/>
                <w:color w:val="auto"/>
                <w:kern w:val="2"/>
                <w:sz w:val="21"/>
                <w:szCs w:val="24"/>
                <w:highlight w:val="none"/>
                <w:lang w:val="en-US" w:eastAsia="zh-CN" w:bidi="ar-SA"/>
              </w:rPr>
              <w:t>197-449-500</w:t>
            </w:r>
            <w:r>
              <w:rPr>
                <w:rFonts w:hint="eastAsia" w:ascii="Times New Roman" w:hAnsi="Times New Roman" w:eastAsia="宋体" w:cs="Times New Roman"/>
                <w:b/>
                <w:bCs/>
                <w:color w:val="auto"/>
                <w:kern w:val="2"/>
                <w:sz w:val="21"/>
                <w:szCs w:val="24"/>
                <w:highlight w:val="none"/>
                <w:lang w:val="en-US" w:eastAsia="zh-CN" w:bidi="ar-SA"/>
              </w:rPr>
              <w:t>）</w:t>
            </w:r>
            <w:r>
              <w:rPr>
                <w:rFonts w:hint="eastAsia" w:ascii="Times New Roman" w:hAnsi="Times New Roman" w:eastAsia="宋体" w:cs="Times New Roman"/>
                <w:b/>
                <w:bCs/>
                <w:color w:val="auto"/>
                <w:kern w:val="2"/>
                <w:sz w:val="21"/>
                <w:szCs w:val="24"/>
                <w:lang w:val="en-US" w:eastAsia="zh-CN" w:bidi="ar-SA"/>
              </w:rPr>
              <w:t>，进入视频会议人员应改名为“投标人”。投标人持投标单位企业CA锁登录，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r>
              <w:rPr>
                <w:rFonts w:hint="eastAsia" w:ascii="Times New Roman" w:cs="Times New Roman"/>
                <w:b/>
                <w:bCs/>
                <w:color w:val="auto"/>
                <w:kern w:val="2"/>
                <w:sz w:val="21"/>
                <w:szCs w:val="24"/>
                <w:lang w:val="en-US" w:eastAsia="zh-CN" w:bidi="ar-SA"/>
              </w:rPr>
              <w:t>。</w:t>
            </w:r>
          </w:p>
        </w:tc>
      </w:tr>
      <w:tr>
        <w:tblPrEx>
          <w:tblCellMar>
            <w:top w:w="0" w:type="dxa"/>
            <w:left w:w="108" w:type="dxa"/>
            <w:bottom w:w="0" w:type="dxa"/>
            <w:right w:w="108" w:type="dxa"/>
          </w:tblCellMar>
        </w:tblPrEx>
        <w:trPr>
          <w:trHeight w:val="90"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评标委员会的组建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评标委员会构成：</w:t>
            </w:r>
            <w:r>
              <w:rPr>
                <w:rFonts w:hint="eastAsia" w:ascii="宋体" w:hAnsi="宋体" w:eastAsia="宋体" w:cs="宋体"/>
                <w:color w:val="000000"/>
                <w:szCs w:val="21"/>
                <w:highlight w:val="none"/>
                <w:lang w:val="zh-CN" w:eastAsia="zh-CN"/>
              </w:rPr>
              <w:t>社会专家</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zh-CN" w:eastAsia="zh-CN"/>
              </w:rPr>
              <w:t>人</w:t>
            </w:r>
            <w:r>
              <w:rPr>
                <w:rFonts w:hint="eastAsia" w:ascii="宋体" w:hAnsi="宋体" w:eastAsia="宋体" w:cs="宋体"/>
                <w:color w:val="000000"/>
                <w:szCs w:val="21"/>
                <w:lang w:val="zh-CN" w:eastAsia="zh-CN"/>
              </w:rPr>
              <w:t>。</w:t>
            </w:r>
          </w:p>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评标专家确定方式：从依法设立的综合评标专家库中随机抽取。</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是否授权评标委员会确定中标人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否，推荐的中标候选人数：</w:t>
            </w:r>
            <w:r>
              <w:rPr>
                <w:rFonts w:hint="eastAsia" w:ascii="宋体" w:hAnsi="宋体" w:cs="宋体"/>
                <w:color w:val="000000"/>
                <w:szCs w:val="21"/>
                <w:lang w:val="en-US" w:eastAsia="zh-CN"/>
              </w:rPr>
              <w:t>1-</w:t>
            </w:r>
            <w:r>
              <w:rPr>
                <w:rFonts w:hint="eastAsia" w:ascii="宋体" w:hAnsi="宋体" w:eastAsia="宋体" w:cs="宋体"/>
                <w:color w:val="000000"/>
                <w:szCs w:val="21"/>
                <w:lang w:val="zh-CN" w:eastAsia="zh-CN"/>
              </w:rPr>
              <w:t>3名</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7.2</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sz w:val="21"/>
                <w:szCs w:val="21"/>
                <w:lang w:val="en-US" w:eastAsia="zh-CN"/>
              </w:rPr>
            </w:pPr>
            <w:r>
              <w:rPr>
                <w:rFonts w:hint="eastAsia" w:ascii="宋体" w:hAnsi="宋体" w:cs="宋体"/>
                <w:bCs/>
                <w:szCs w:val="21"/>
                <w:lang w:val="zh-CN"/>
              </w:rPr>
              <w:t>中标结果公示媒介</w:t>
            </w:r>
          </w:p>
        </w:tc>
        <w:tc>
          <w:tcPr>
            <w:tcW w:w="72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在“政采云 ”平台（http:// </w:t>
            </w:r>
            <w:r>
              <w:rPr>
                <w:rFonts w:hint="eastAsia" w:ascii="宋体" w:hAnsi="宋体" w:eastAsia="宋体" w:cs="宋体"/>
                <w:color w:val="000000"/>
                <w:szCs w:val="21"/>
                <w:lang w:val="zh-CN" w:eastAsia="zh-CN"/>
              </w:rPr>
              <w:fldChar w:fldCharType="begin"/>
            </w:r>
            <w:r>
              <w:rPr>
                <w:rFonts w:hint="eastAsia" w:ascii="宋体" w:hAnsi="宋体" w:eastAsia="宋体" w:cs="宋体"/>
                <w:color w:val="000000"/>
                <w:szCs w:val="21"/>
                <w:lang w:val="zh-CN" w:eastAsia="zh-CN"/>
              </w:rPr>
              <w:instrText xml:space="preserve"> HYPERLINK "http://www.zcygov.xn--cn)-6y3bv51n8fam9sfb62s53dyj463a9xxymbly7a85a053cq9dba./" </w:instrText>
            </w:r>
            <w:r>
              <w:rPr>
                <w:rFonts w:hint="eastAsia" w:ascii="宋体" w:hAnsi="宋体" w:eastAsia="宋体" w:cs="宋体"/>
                <w:color w:val="000000"/>
                <w:szCs w:val="21"/>
                <w:lang w:val="zh-CN" w:eastAsia="zh-CN"/>
              </w:rPr>
              <w:fldChar w:fldCharType="separate"/>
            </w:r>
            <w:r>
              <w:rPr>
                <w:rFonts w:hint="eastAsia" w:ascii="宋体" w:hAnsi="宋体" w:eastAsia="宋体" w:cs="宋体"/>
                <w:color w:val="000000"/>
                <w:szCs w:val="21"/>
                <w:lang w:val="zh-CN" w:eastAsia="zh-CN"/>
              </w:rPr>
              <w:t>www.zcygov.cn），</w:t>
            </w:r>
            <w:r>
              <w:rPr>
                <w:rFonts w:hint="eastAsia" w:ascii="宋体" w:hAnsi="宋体" w:eastAsia="宋体" w:cs="宋体"/>
                <w:color w:val="000000"/>
                <w:szCs w:val="21"/>
                <w:lang w:val="zh-CN" w:eastAsia="zh-CN"/>
              </w:rPr>
              <w:fldChar w:fldCharType="end"/>
            </w:r>
            <w:r>
              <w:rPr>
                <w:rFonts w:hint="eastAsia" w:ascii="宋体" w:hAnsi="宋体" w:eastAsia="宋体" w:cs="宋体"/>
                <w:color w:val="000000"/>
                <w:szCs w:val="21"/>
                <w:lang w:val="zh-CN" w:eastAsia="zh-CN"/>
              </w:rPr>
              <w:t>并同时在《中国政府采购网》、《长春市公共资源交易网》上发布</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921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cs="宋体"/>
                <w:color w:val="000000"/>
                <w:szCs w:val="21"/>
                <w:lang w:val="zh-CN" w:eastAsia="zh-CN"/>
              </w:rPr>
              <w:t>其他要求</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付款条件与比例</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以甲乙双方签订合同为准</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招标代理费</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招标代理费执行国家发展改革委《关于进一步放开建设项目专业服务价格的通知》（发改价格〔2015〕299号），实行市场价格的取费标准</w:t>
            </w:r>
            <w:r>
              <w:rPr>
                <w:rFonts w:hint="eastAsia" w:ascii="宋体" w:hAnsi="宋体" w:cs="宋体"/>
                <w:color w:val="000000"/>
                <w:szCs w:val="21"/>
                <w:lang w:val="en-US" w:eastAsia="zh-CN"/>
              </w:rPr>
              <w:t>收取</w:t>
            </w:r>
            <w:r>
              <w:rPr>
                <w:rFonts w:hint="eastAsia" w:ascii="宋体" w:hAnsi="宋体" w:eastAsia="宋体" w:cs="宋体"/>
                <w:color w:val="000000"/>
                <w:szCs w:val="21"/>
                <w:lang w:val="zh-CN" w:eastAsia="zh-CN"/>
              </w:rPr>
              <w:t>。</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中小企业划分标准所属行业</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软件和信息技术服务业</w:t>
            </w:r>
          </w:p>
        </w:tc>
      </w:tr>
      <w:tr>
        <w:tblPrEx>
          <w:tblCellMar>
            <w:top w:w="0" w:type="dxa"/>
            <w:left w:w="108" w:type="dxa"/>
            <w:bottom w:w="0" w:type="dxa"/>
            <w:right w:w="108" w:type="dxa"/>
          </w:tblCellMar>
        </w:tblPrEx>
        <w:trPr>
          <w:trHeight w:val="123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10.4</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p>
          <w:p>
            <w:pPr>
              <w:spacing w:line="360" w:lineRule="auto"/>
              <w:jc w:val="center"/>
              <w:rPr>
                <w:rFonts w:hint="eastAsia" w:ascii="宋体" w:hAnsi="宋体" w:eastAsia="宋体" w:cs="宋体"/>
                <w:color w:val="000000"/>
                <w:sz w:val="21"/>
                <w:szCs w:val="21"/>
                <w:lang w:val="en-US" w:eastAsia="zh-CN"/>
              </w:rPr>
            </w:pPr>
          </w:p>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项目金额（采购预算）</w:t>
            </w:r>
          </w:p>
          <w:p>
            <w:pPr>
              <w:spacing w:line="360" w:lineRule="auto"/>
              <w:jc w:val="both"/>
              <w:rPr>
                <w:rFonts w:hint="eastAsia" w:ascii="宋体" w:hAnsi="宋体" w:eastAsia="宋体" w:cs="宋体"/>
                <w:color w:val="000000"/>
                <w:sz w:val="21"/>
                <w:szCs w:val="21"/>
                <w:lang w:val="en-US" w:eastAsia="zh-CN"/>
              </w:rPr>
            </w:pP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最高</w:t>
            </w:r>
            <w:r>
              <w:rPr>
                <w:rFonts w:hint="eastAsia" w:ascii="宋体" w:hAnsi="宋体" w:cs="宋体"/>
                <w:color w:val="000000"/>
                <w:szCs w:val="21"/>
                <w:lang w:val="en-US" w:eastAsia="zh-CN"/>
              </w:rPr>
              <w:t>投标限价</w:t>
            </w:r>
            <w:r>
              <w:rPr>
                <w:rFonts w:hint="eastAsia" w:ascii="宋体" w:hAnsi="宋体" w:eastAsia="宋体" w:cs="宋体"/>
                <w:color w:val="000000"/>
                <w:szCs w:val="21"/>
                <w:lang w:val="zh-CN" w:eastAsia="zh-CN"/>
              </w:rPr>
              <w:t>：</w:t>
            </w:r>
            <w:r>
              <w:rPr>
                <w:rFonts w:hint="eastAsia" w:ascii="宋体" w:hAnsi="宋体" w:cs="宋体"/>
                <w:color w:val="000000"/>
                <w:szCs w:val="21"/>
                <w:lang w:val="en-US" w:eastAsia="zh-CN"/>
              </w:rPr>
              <w:t>7317.28</w:t>
            </w:r>
            <w:r>
              <w:rPr>
                <w:rFonts w:hint="eastAsia" w:ascii="宋体" w:hAnsi="宋体" w:eastAsia="宋体" w:cs="宋体"/>
                <w:color w:val="000000"/>
                <w:szCs w:val="21"/>
                <w:lang w:val="zh-CN" w:eastAsia="zh-CN"/>
              </w:rPr>
              <w:t>万元。</w:t>
            </w:r>
          </w:p>
          <w:p>
            <w:pPr>
              <w:spacing w:line="360" w:lineRule="exact"/>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zh-CN" w:eastAsia="zh-CN"/>
              </w:rPr>
              <w:t>在评标过程中，评标委员会发现投标人的报价（修正价）明显低于其他投标报价，使得其投标报价可能低于其个别成本的，应当要求该投标人做出书面说明并提供相关证明材料。投标人不能合理说明或者不能提供相关证明材料的，由评标委员会认定该投标人以低于成本报价竞标，低于成本视为废标处理。</w:t>
            </w:r>
          </w:p>
        </w:tc>
      </w:tr>
      <w:tr>
        <w:tblPrEx>
          <w:tblCellMar>
            <w:top w:w="0" w:type="dxa"/>
            <w:left w:w="108" w:type="dxa"/>
            <w:bottom w:w="0" w:type="dxa"/>
            <w:right w:w="108" w:type="dxa"/>
          </w:tblCellMar>
        </w:tblPrEx>
        <w:trPr>
          <w:trHeight w:val="38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10.5</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政府采购政策</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本项目是否专门面向中小企业或小型、微型企业采购：否</w:t>
            </w:r>
          </w:p>
        </w:tc>
      </w:tr>
      <w:tr>
        <w:tblPrEx>
          <w:tblCellMar>
            <w:top w:w="0" w:type="dxa"/>
            <w:left w:w="108" w:type="dxa"/>
            <w:bottom w:w="0" w:type="dxa"/>
            <w:right w:w="108" w:type="dxa"/>
          </w:tblCellMar>
        </w:tblPrEx>
        <w:trPr>
          <w:trHeight w:val="58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10.6</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合同管理</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中标单位应自中标通知书发出之日起30日内与采购人签订合同。</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10.7</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val="zh-CN" w:eastAsia="zh-CN"/>
              </w:rPr>
            </w:pPr>
            <w:r>
              <w:rPr>
                <w:rFonts w:hint="eastAsia" w:ascii="宋体" w:hAnsi="宋体" w:cs="宋体"/>
                <w:color w:val="000000"/>
                <w:sz w:val="21"/>
                <w:szCs w:val="21"/>
                <w:lang w:val="zh-CN" w:eastAsia="zh-CN"/>
              </w:rPr>
              <w:t>转包、分包</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本次招标严禁转包、违法分包，严禁各类形式的资质挂靠。</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10.8</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000000"/>
                <w:sz w:val="21"/>
                <w:szCs w:val="21"/>
                <w:lang w:val="en-US" w:eastAsia="zh-CN"/>
              </w:rPr>
            </w:pPr>
            <w:r>
              <w:rPr>
                <w:rFonts w:hint="eastAsia" w:ascii="宋体" w:hAnsi="宋体" w:eastAsia="宋体" w:cs="宋体"/>
                <w:b w:val="0"/>
                <w:bCs/>
                <w:sz w:val="21"/>
                <w:szCs w:val="21"/>
                <w:highlight w:val="none"/>
                <w:lang w:val="en-US" w:eastAsia="zh-CN"/>
              </w:rPr>
              <w:t>政府采购云平台入驻、登录及CA办理</w:t>
            </w:r>
          </w:p>
        </w:tc>
        <w:tc>
          <w:tcPr>
            <w:tcW w:w="725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1.供应商入驻政府采购云平台登录网址：</w:t>
            </w:r>
          </w:p>
          <w:p>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https://middle.zcygov.cn/v-settle-front/registry</w:t>
            </w:r>
          </w:p>
          <w:p>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1.1招标文件下载操作路径：登录政府采购云平台</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项目采购</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获取采购文件</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本次采购项目</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申请获取采购文件。电子</w:t>
            </w:r>
            <w:r>
              <w:rPr>
                <w:rFonts w:hint="eastAsia" w:ascii="宋体" w:hAnsi="宋体" w:cs="宋体"/>
                <w:color w:val="000000"/>
                <w:szCs w:val="21"/>
                <w:lang w:val="en-US" w:eastAsia="zh-CN"/>
              </w:rPr>
              <w:t>投标文件</w:t>
            </w:r>
            <w:r>
              <w:rPr>
                <w:rFonts w:hint="eastAsia" w:ascii="宋体" w:hAnsi="宋体" w:eastAsia="宋体" w:cs="宋体"/>
                <w:color w:val="000000"/>
                <w:szCs w:val="21"/>
                <w:lang w:val="en-US" w:eastAsia="zh-CN"/>
              </w:rPr>
              <w:t>制作应基于政府采购云平台获取的采购文件编制，其他途径获取的采购文件一律按无效处理。</w:t>
            </w:r>
          </w:p>
          <w:p>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CA办理：首先安装政采云电子交易客户端（政府采购云平台下载）并办理安信CA证书，CA证书为免费办理（已在吉林省级或各市级公共资源交易平台办理过任意一个CA的交易主体，CA未到期限的，无需重新办理，CA过期的可进行免费办理延续证书）。数字证书办理时限为1</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3个工作日，供应商应及时办理，软件公司地址：吉林省安信电子认证服务有限公司 (吉林省长春市高新技术产业开发区学苑街与博才路交汇处栖乐荟政务服务中心二楼 A24-A26)，联系电话：0431-85177688。</w:t>
            </w:r>
          </w:p>
          <w:p>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3.CA申请流程登录网址：</w:t>
            </w:r>
          </w:p>
          <w:p>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HYPERLINK "http://www.anxinca.com/kehu/zcy/kh-zcy-zsshenqing.html" </w:instrText>
            </w:r>
            <w:r>
              <w:rPr>
                <w:rFonts w:hint="eastAsia" w:ascii="宋体" w:hAnsi="宋体" w:eastAsia="宋体" w:cs="宋体"/>
                <w:color w:val="000000"/>
                <w:szCs w:val="21"/>
                <w:lang w:val="en-US" w:eastAsia="zh-CN"/>
              </w:rPr>
              <w:fldChar w:fldCharType="separate"/>
            </w:r>
            <w:r>
              <w:rPr>
                <w:rFonts w:hint="eastAsia" w:ascii="宋体" w:hAnsi="宋体" w:eastAsia="宋体" w:cs="宋体"/>
                <w:color w:val="000000"/>
                <w:szCs w:val="21"/>
                <w:lang w:val="en-US" w:eastAsia="zh-CN"/>
              </w:rPr>
              <w:t>http://www.anxinca.com/kehu/zcy/kh-zcy-zsshenqing.html</w:t>
            </w:r>
            <w:r>
              <w:rPr>
                <w:rFonts w:hint="eastAsia" w:ascii="宋体" w:hAnsi="宋体" w:eastAsia="宋体" w:cs="宋体"/>
                <w:color w:val="000000"/>
                <w:szCs w:val="21"/>
                <w:lang w:val="en-US" w:eastAsia="zh-CN"/>
              </w:rPr>
              <w:fldChar w:fldCharType="end"/>
            </w:r>
          </w:p>
          <w:p>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4.政采云投标客户端及CA驱动下载地址：</w:t>
            </w:r>
          </w:p>
          <w:p>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HYPERLINK "https://customer.zcygov.cn/CA-driver-download?utm=web-login-front.52cebfa2.0.0.04df4040034511edaac705fda12edb43" </w:instrText>
            </w:r>
            <w:r>
              <w:rPr>
                <w:rFonts w:hint="eastAsia" w:ascii="宋体" w:hAnsi="宋体" w:eastAsia="宋体" w:cs="宋体"/>
                <w:color w:val="000000"/>
                <w:szCs w:val="21"/>
                <w:lang w:val="en-US" w:eastAsia="zh-CN"/>
              </w:rPr>
              <w:fldChar w:fldCharType="separate"/>
            </w:r>
            <w:r>
              <w:rPr>
                <w:rFonts w:hint="eastAsia" w:ascii="宋体" w:hAnsi="宋体" w:eastAsia="宋体" w:cs="宋体"/>
                <w:color w:val="000000"/>
                <w:szCs w:val="21"/>
                <w:lang w:val="en-US" w:eastAsia="zh-CN"/>
              </w:rPr>
              <w:t>https://customer.zcygov.cn/CA-driver-download?utm=web-login-front.52cebfa2.0.0.04df4040034511edaac705fda12edb43</w:t>
            </w:r>
            <w:r>
              <w:rPr>
                <w:rFonts w:hint="eastAsia" w:ascii="宋体" w:hAnsi="宋体" w:eastAsia="宋体" w:cs="宋体"/>
                <w:color w:val="000000"/>
                <w:szCs w:val="21"/>
                <w:lang w:val="en-US" w:eastAsia="zh-CN"/>
              </w:rPr>
              <w:fldChar w:fldCharType="end"/>
            </w:r>
          </w:p>
          <w:p>
            <w:pPr>
              <w:autoSpaceDE w:val="0"/>
              <w:autoSpaceDN w:val="0"/>
              <w:adjustRightInd w:val="0"/>
              <w:rPr>
                <w:rFonts w:hint="eastAsia" w:ascii="宋体" w:hAnsi="宋体" w:eastAsia="宋体" w:cs="宋体"/>
                <w:color w:val="000000"/>
                <w:szCs w:val="21"/>
                <w:lang w:val="zh-CN" w:eastAsia="zh-CN"/>
              </w:rPr>
            </w:pPr>
            <w:r>
              <w:rPr>
                <w:rFonts w:hint="eastAsia" w:ascii="宋体" w:hAnsi="宋体" w:eastAsia="宋体" w:cs="宋体"/>
                <w:color w:val="000000"/>
                <w:szCs w:val="21"/>
                <w:lang w:val="en-US" w:eastAsia="zh-CN"/>
              </w:rPr>
              <w:t>5.使用CA进入政采云登录界面，点击CA登录-CA驱动下载</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下载并安装政采云投标客户端和安信CA驱动，账号绑定后才能进行</w:t>
            </w:r>
            <w:r>
              <w:rPr>
                <w:rFonts w:hint="eastAsia" w:ascii="宋体" w:hAnsi="宋体" w:cs="宋体"/>
                <w:color w:val="000000"/>
                <w:szCs w:val="21"/>
                <w:lang w:val="en-US" w:eastAsia="zh-CN"/>
              </w:rPr>
              <w:t>投标文件</w:t>
            </w:r>
            <w:r>
              <w:rPr>
                <w:rFonts w:hint="eastAsia" w:ascii="宋体" w:hAnsi="宋体" w:eastAsia="宋体" w:cs="宋体"/>
                <w:color w:val="000000"/>
                <w:szCs w:val="21"/>
                <w:lang w:val="en-US" w:eastAsia="zh-CN"/>
              </w:rPr>
              <w:t>编制。具体参照政府采购云平台《政府采购项目电子交易管理操作指南</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供应商》，并按照</w:t>
            </w:r>
            <w:r>
              <w:rPr>
                <w:rFonts w:hint="eastAsia" w:ascii="宋体" w:hAnsi="宋体" w:cs="宋体"/>
                <w:color w:val="000000"/>
                <w:szCs w:val="21"/>
                <w:lang w:val="en-US" w:eastAsia="zh-CN"/>
              </w:rPr>
              <w:t>采购文件</w:t>
            </w:r>
            <w:r>
              <w:rPr>
                <w:rFonts w:hint="eastAsia" w:ascii="宋体" w:hAnsi="宋体" w:eastAsia="宋体" w:cs="宋体"/>
                <w:color w:val="000000"/>
                <w:szCs w:val="21"/>
                <w:lang w:val="en-US" w:eastAsia="zh-CN"/>
              </w:rPr>
              <w:t>和政府采购云平台的系统操作要求进行编制。加密后的</w:t>
            </w:r>
            <w:r>
              <w:rPr>
                <w:rFonts w:hint="eastAsia" w:ascii="宋体" w:hAnsi="宋体" w:cs="宋体"/>
                <w:color w:val="000000"/>
                <w:szCs w:val="21"/>
                <w:lang w:val="en-US" w:eastAsia="zh-CN"/>
              </w:rPr>
              <w:t>投标文件</w:t>
            </w:r>
            <w:r>
              <w:rPr>
                <w:rFonts w:hint="eastAsia" w:ascii="宋体" w:hAnsi="宋体" w:eastAsia="宋体" w:cs="宋体"/>
                <w:color w:val="000000"/>
                <w:szCs w:val="21"/>
                <w:lang w:val="en-US" w:eastAsia="zh-CN"/>
              </w:rPr>
              <w:t>需在提交截止时间前上传至政府采购云平台，未进行网上注册并办理CA认证的将无法参与本次采购活动。</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000000"/>
                <w:sz w:val="21"/>
                <w:szCs w:val="21"/>
                <w:lang w:val="en-US" w:eastAsia="zh-CN"/>
              </w:rPr>
            </w:pPr>
            <w:r>
              <w:rPr>
                <w:rFonts w:hint="eastAsia" w:ascii="宋体" w:hAnsi="宋体" w:eastAsia="宋体" w:cs="宋体"/>
                <w:b w:val="0"/>
                <w:bCs/>
                <w:sz w:val="21"/>
                <w:szCs w:val="21"/>
                <w:lang w:val="en-US" w:eastAsia="zh-CN"/>
              </w:rPr>
              <w:t>书面形式的定义</w:t>
            </w:r>
          </w:p>
        </w:tc>
        <w:tc>
          <w:tcPr>
            <w:tcW w:w="72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w:t>
            </w:r>
          </w:p>
          <w:p>
            <w:pPr>
              <w:autoSpaceDE w:val="0"/>
              <w:autoSpaceDN w:val="0"/>
              <w:adjustRightInd w:val="0"/>
              <w:jc w:val="left"/>
              <w:rPr>
                <w:rFonts w:hint="eastAsia" w:ascii="宋体" w:hAnsi="宋体" w:eastAsia="宋体" w:cs="宋体"/>
                <w:color w:val="000000"/>
                <w:szCs w:val="21"/>
                <w:lang w:val="zh-CN" w:eastAsia="zh-CN"/>
              </w:rPr>
            </w:pPr>
            <w:r>
              <w:rPr>
                <w:rFonts w:hint="eastAsia" w:ascii="Times New Roman" w:hAnsi="Times New Roman" w:eastAsia="宋体" w:cs="Times New Roman"/>
                <w:b w:val="0"/>
                <w:bCs w:val="0"/>
                <w:sz w:val="21"/>
                <w:szCs w:val="21"/>
                <w:lang w:val="en-US" w:eastAsia="zh-CN"/>
              </w:rPr>
              <w:t>布的征集公告、</w:t>
            </w:r>
            <w:r>
              <w:rPr>
                <w:rFonts w:hint="eastAsia" w:cs="Times New Roman"/>
                <w:b w:val="0"/>
                <w:bCs w:val="0"/>
                <w:sz w:val="21"/>
                <w:szCs w:val="21"/>
                <w:lang w:val="en-US" w:eastAsia="zh-CN"/>
              </w:rPr>
              <w:t>采购文件</w:t>
            </w:r>
            <w:r>
              <w:rPr>
                <w:rFonts w:hint="eastAsia" w:ascii="Times New Roman" w:hAnsi="Times New Roman" w:eastAsia="宋体" w:cs="Times New Roman"/>
                <w:b w:val="0"/>
                <w:bCs w:val="0"/>
                <w:sz w:val="21"/>
                <w:szCs w:val="21"/>
                <w:lang w:val="en-US" w:eastAsia="zh-CN"/>
              </w:rPr>
              <w:t>及发出的澄清、答疑、变更等各类公告。</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10.10</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支付方式</w:t>
            </w:r>
          </w:p>
        </w:tc>
        <w:tc>
          <w:tcPr>
            <w:tcW w:w="7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以甲乙双方签订合同为准</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10.11</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履约保证金数额</w:t>
            </w:r>
          </w:p>
        </w:tc>
        <w:tc>
          <w:tcPr>
            <w:tcW w:w="7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中标（成交）金额的</w:t>
            </w:r>
            <w:r>
              <w:rPr>
                <w:rFonts w:hint="eastAsia" w:cs="Times New Roman"/>
                <w:b w:val="0"/>
                <w:bCs w:val="0"/>
                <w:color w:val="auto"/>
                <w:sz w:val="21"/>
                <w:szCs w:val="21"/>
                <w:lang w:val="en-US" w:eastAsia="zh-CN"/>
              </w:rPr>
              <w:t>5</w:t>
            </w:r>
            <w:r>
              <w:rPr>
                <w:rFonts w:hint="eastAsia" w:ascii="Times New Roman" w:hAnsi="Times New Roman" w:eastAsia="宋体" w:cs="Times New Roman"/>
                <w:b w:val="0"/>
                <w:bCs w:val="0"/>
                <w:color w:val="auto"/>
                <w:sz w:val="21"/>
                <w:szCs w:val="21"/>
                <w:lang w:val="en-US" w:eastAsia="zh-CN"/>
              </w:rPr>
              <w:t>%</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10.12</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履约管理与违约责任</w:t>
            </w:r>
          </w:p>
        </w:tc>
        <w:tc>
          <w:tcPr>
            <w:tcW w:w="7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以甲乙双方签订合同为准</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10.13</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其他</w:t>
            </w:r>
          </w:p>
        </w:tc>
        <w:tc>
          <w:tcPr>
            <w:tcW w:w="72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因地方性政策变化或政府行为致使双方合同无法继续履行的，任何一方均可提前解除合同。</w:t>
            </w:r>
          </w:p>
        </w:tc>
      </w:tr>
      <w:tr>
        <w:tblPrEx>
          <w:tblCellMar>
            <w:top w:w="0" w:type="dxa"/>
            <w:left w:w="108" w:type="dxa"/>
            <w:bottom w:w="0" w:type="dxa"/>
            <w:right w:w="108" w:type="dxa"/>
          </w:tblCellMar>
        </w:tblPrEx>
        <w:trPr>
          <w:trHeight w:val="552" w:hRule="atLeast"/>
          <w:jc w:val="center"/>
        </w:trPr>
        <w:tc>
          <w:tcPr>
            <w:tcW w:w="102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b/>
                <w:bCs/>
                <w:color w:val="000000"/>
                <w:szCs w:val="21"/>
              </w:rPr>
              <w:t>招标公告与招标文件如有不一致处，以招标文件为准。</w:t>
            </w:r>
          </w:p>
        </w:tc>
      </w:tr>
    </w:tbl>
    <w:p>
      <w:pPr>
        <w:pStyle w:val="7"/>
        <w:keepNext w:val="0"/>
        <w:keepLines w:val="0"/>
        <w:rPr>
          <w:rFonts w:hint="eastAsia" w:ascii="宋体" w:hAnsi="宋体" w:eastAsia="宋体" w:cs="宋体"/>
          <w:color w:val="000000"/>
        </w:rPr>
        <w:sectPr>
          <w:footerReference r:id="rId7" w:type="default"/>
          <w:pgSz w:w="11906" w:h="16838"/>
          <w:pgMar w:top="1440" w:right="1803" w:bottom="1417" w:left="1417" w:header="851" w:footer="992" w:gutter="0"/>
          <w:pgNumType w:fmt="decimal"/>
          <w:cols w:space="720" w:num="1"/>
          <w:rtlGutter w:val="1"/>
          <w:docGrid w:type="lines" w:linePitch="312" w:charSpace="0"/>
        </w:sectPr>
      </w:pPr>
    </w:p>
    <w:p>
      <w:pPr>
        <w:pStyle w:val="7"/>
        <w:keepNext w:val="0"/>
        <w:keepLines w:val="0"/>
        <w:spacing w:line="240" w:lineRule="auto"/>
        <w:rPr>
          <w:rFonts w:hint="eastAsia" w:ascii="宋体" w:hAnsi="宋体" w:eastAsia="宋体" w:cs="宋体"/>
          <w:color w:val="000000"/>
        </w:rPr>
      </w:pPr>
      <w:r>
        <w:rPr>
          <w:rFonts w:hint="eastAsia" w:ascii="宋体" w:hAnsi="宋体" w:eastAsia="宋体" w:cs="宋体"/>
          <w:color w:val="000000"/>
        </w:rPr>
        <w:t>1. 总则</w:t>
      </w:r>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8"/>
        <w:keepNext w:val="0"/>
        <w:keepLines w:val="0"/>
        <w:spacing w:line="240" w:lineRule="auto"/>
        <w:rPr>
          <w:rFonts w:hint="eastAsia" w:ascii="宋体" w:hAnsi="宋体" w:cs="宋体"/>
          <w:color w:val="000000"/>
        </w:rPr>
      </w:pPr>
      <w:bookmarkStart w:id="83" w:name="_Toc6973"/>
      <w:bookmarkStart w:id="84" w:name="_Toc246996176"/>
      <w:bookmarkStart w:id="85" w:name="_Toc246996919"/>
      <w:bookmarkStart w:id="86" w:name="_Toc152042306"/>
      <w:bookmarkStart w:id="87" w:name="_Toc247085690"/>
      <w:bookmarkStart w:id="88" w:name="_Toc453756896"/>
      <w:bookmarkStart w:id="89" w:name="_Toc8784"/>
      <w:bookmarkStart w:id="90" w:name="_Toc2263"/>
      <w:bookmarkStart w:id="91" w:name="_Toc30709"/>
      <w:bookmarkStart w:id="92" w:name="_Toc144974498"/>
      <w:bookmarkStart w:id="93" w:name="_Toc152045530"/>
      <w:bookmarkStart w:id="94" w:name="_Toc30394"/>
      <w:bookmarkStart w:id="95" w:name="_Toc179632547"/>
      <w:bookmarkStart w:id="96" w:name="_Toc22255"/>
      <w:r>
        <w:rPr>
          <w:rFonts w:hint="eastAsia" w:ascii="宋体" w:hAnsi="宋体" w:cs="宋体"/>
          <w:color w:val="000000"/>
        </w:rPr>
        <w:t>1.1 项目概况</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1.1.1根据《中华人民共和国政府采购法》等有关法律、法规和规章的规定，本招标项目已具备招标条件，</w:t>
      </w:r>
      <w:r>
        <w:rPr>
          <w:rFonts w:hint="eastAsia" w:ascii="宋体" w:hAnsi="宋体" w:cs="宋体"/>
          <w:color w:val="000000"/>
        </w:rPr>
        <w:t>现对本项目</w:t>
      </w:r>
      <w:r>
        <w:rPr>
          <w:rFonts w:hint="eastAsia" w:ascii="宋体" w:hAnsi="宋体" w:cs="宋体"/>
          <w:color w:val="000000"/>
          <w:szCs w:val="21"/>
        </w:rPr>
        <w:t>采用资格后审方式</w:t>
      </w:r>
      <w:r>
        <w:rPr>
          <w:rFonts w:hint="eastAsia" w:ascii="宋体" w:hAnsi="宋体" w:cs="宋体"/>
          <w:color w:val="000000"/>
        </w:rPr>
        <w:t>进行招标</w:t>
      </w:r>
      <w:r>
        <w:rPr>
          <w:rFonts w:hint="eastAsia" w:ascii="宋体" w:hAnsi="宋体" w:cs="宋体"/>
          <w:color w:val="000000"/>
          <w:sz w:val="22"/>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1.1.2 本招标项目采购人：见投标人须知前附表。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1.1.3 本招标项目采购代理机构：见投标人须知前附表。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1.1.4 本招标项目名称：见投标人须知前附表。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1.1.5 本招标项目</w:t>
      </w:r>
      <w:r>
        <w:rPr>
          <w:rFonts w:hint="eastAsia" w:ascii="宋体" w:hAnsi="宋体" w:cs="宋体"/>
          <w:color w:val="000000"/>
          <w:sz w:val="22"/>
          <w:szCs w:val="28"/>
          <w:lang w:eastAsia="zh-CN"/>
        </w:rPr>
        <w:t>供货</w:t>
      </w:r>
      <w:r>
        <w:rPr>
          <w:rFonts w:hint="eastAsia" w:ascii="宋体" w:hAnsi="宋体" w:cs="宋体"/>
          <w:color w:val="000000"/>
          <w:sz w:val="22"/>
          <w:szCs w:val="28"/>
        </w:rPr>
        <w:t>地点：见投标人须知前附表。</w:t>
      </w:r>
    </w:p>
    <w:p>
      <w:pPr>
        <w:pStyle w:val="8"/>
        <w:keepNext w:val="0"/>
        <w:keepLines w:val="0"/>
        <w:spacing w:line="240" w:lineRule="auto"/>
        <w:rPr>
          <w:rFonts w:hint="eastAsia" w:ascii="宋体" w:hAnsi="宋体" w:cs="宋体"/>
          <w:color w:val="000000"/>
        </w:rPr>
      </w:pPr>
      <w:bookmarkStart w:id="97" w:name="_Toc453756897"/>
      <w:bookmarkStart w:id="98" w:name="_Toc16923"/>
      <w:bookmarkStart w:id="99" w:name="_Toc12643"/>
      <w:bookmarkStart w:id="100" w:name="_Toc246996920"/>
      <w:bookmarkStart w:id="101" w:name="_Toc15011"/>
      <w:bookmarkStart w:id="102" w:name="_Toc179632548"/>
      <w:bookmarkStart w:id="103" w:name="_Toc246996177"/>
      <w:bookmarkStart w:id="104" w:name="_Toc2635"/>
      <w:bookmarkStart w:id="105" w:name="_Toc144974499"/>
      <w:bookmarkStart w:id="106" w:name="_Toc152045531"/>
      <w:bookmarkStart w:id="107" w:name="_Toc8644"/>
      <w:bookmarkStart w:id="108" w:name="_Toc247085691"/>
      <w:bookmarkStart w:id="109" w:name="_Toc152042307"/>
      <w:bookmarkStart w:id="110" w:name="_Toc28448"/>
      <w:r>
        <w:rPr>
          <w:rFonts w:hint="eastAsia" w:ascii="宋体" w:hAnsi="宋体" w:cs="宋体"/>
          <w:color w:val="000000"/>
        </w:rPr>
        <w:t>1.2 资金来源和落实情况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1.2.1 本招标项目的资金来源及出资比例：见投标人须知前附表。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1.2.2 本招标项目的资金落实情况：见投标人须知前附表。</w:t>
      </w:r>
    </w:p>
    <w:p>
      <w:pPr>
        <w:pStyle w:val="8"/>
        <w:keepNext w:val="0"/>
        <w:keepLines w:val="0"/>
        <w:spacing w:line="240" w:lineRule="auto"/>
        <w:rPr>
          <w:rFonts w:hint="eastAsia" w:ascii="宋体" w:hAnsi="宋体" w:cs="宋体"/>
          <w:color w:val="000000"/>
          <w:lang w:eastAsia="zh-CN"/>
        </w:rPr>
      </w:pPr>
      <w:bookmarkStart w:id="111" w:name="_Toc15441"/>
      <w:bookmarkStart w:id="112" w:name="_Toc22723"/>
      <w:bookmarkStart w:id="113" w:name="_Toc20776"/>
      <w:bookmarkStart w:id="114" w:name="_Toc246996921"/>
      <w:bookmarkStart w:id="115" w:name="_Toc13895"/>
      <w:bookmarkStart w:id="116" w:name="_Toc246996178"/>
      <w:bookmarkStart w:id="117" w:name="_Toc26754"/>
      <w:bookmarkStart w:id="118" w:name="_Toc152045532"/>
      <w:bookmarkStart w:id="119" w:name="_Toc152042308"/>
      <w:bookmarkStart w:id="120" w:name="_Toc247085692"/>
      <w:bookmarkStart w:id="121" w:name="_Toc179632549"/>
      <w:bookmarkStart w:id="122" w:name="_Toc144974500"/>
      <w:bookmarkStart w:id="123" w:name="_Toc2196"/>
      <w:bookmarkStart w:id="124" w:name="_Toc453756898"/>
      <w:r>
        <w:rPr>
          <w:rFonts w:hint="eastAsia" w:ascii="宋体" w:hAnsi="宋体" w:cs="宋体"/>
          <w:color w:val="000000"/>
        </w:rPr>
        <w:t>1.3 招标范围、</w:t>
      </w:r>
      <w:r>
        <w:rPr>
          <w:rFonts w:hint="eastAsia" w:ascii="宋体" w:hAnsi="宋体" w:cs="宋体"/>
          <w:color w:val="000000"/>
          <w:lang w:eastAsia="zh-CN"/>
        </w:rPr>
        <w:t>合同履行期限</w:t>
      </w:r>
      <w:r>
        <w:rPr>
          <w:rFonts w:hint="eastAsia" w:ascii="宋体" w:hAnsi="宋体" w:cs="宋体"/>
          <w:color w:val="000000"/>
          <w:lang w:val="en-US" w:eastAsia="zh-CN"/>
        </w:rPr>
        <w:t xml:space="preserve"> </w:t>
      </w:r>
      <w:r>
        <w:rPr>
          <w:rFonts w:hint="eastAsia" w:ascii="宋体" w:hAnsi="宋体" w:cs="宋体"/>
          <w:color w:val="000000"/>
        </w:rPr>
        <w: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color w:val="000000"/>
          <w:lang w:eastAsia="zh-CN"/>
        </w:rPr>
        <w:t>服务标准</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1.3.1 本次招标范围：见投标人须知前附表。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1.3.2 本招标项目的合同履行期限：见投标人须知前附表。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1.3.3 本招标项目的</w:t>
      </w:r>
      <w:r>
        <w:rPr>
          <w:rFonts w:hint="eastAsia" w:ascii="宋体" w:hAnsi="宋体" w:cs="宋体"/>
          <w:color w:val="000000"/>
          <w:sz w:val="22"/>
          <w:szCs w:val="28"/>
          <w:lang w:eastAsia="zh-CN"/>
        </w:rPr>
        <w:t>服务</w:t>
      </w:r>
      <w:r>
        <w:rPr>
          <w:rFonts w:hint="eastAsia" w:ascii="宋体" w:hAnsi="宋体" w:eastAsia="宋体" w:cs="宋体"/>
          <w:color w:val="000000"/>
          <w:sz w:val="22"/>
          <w:szCs w:val="28"/>
        </w:rPr>
        <w:t>标准：见投标人须知前附表。</w:t>
      </w:r>
    </w:p>
    <w:p>
      <w:pPr>
        <w:pStyle w:val="8"/>
        <w:keepNext w:val="0"/>
        <w:keepLines w:val="0"/>
        <w:spacing w:line="240" w:lineRule="auto"/>
        <w:rPr>
          <w:rFonts w:hint="eastAsia" w:ascii="宋体" w:hAnsi="宋体" w:cs="宋体"/>
          <w:color w:val="000000"/>
        </w:rPr>
      </w:pPr>
      <w:bookmarkStart w:id="125" w:name="_Toc152042310"/>
      <w:bookmarkStart w:id="126" w:name="_Toc25551"/>
      <w:bookmarkStart w:id="127" w:name="_Toc8033"/>
      <w:bookmarkStart w:id="128" w:name="_Toc246996922"/>
      <w:bookmarkStart w:id="129" w:name="_Toc144974502"/>
      <w:bookmarkStart w:id="130" w:name="_Toc26571"/>
      <w:bookmarkStart w:id="131" w:name="_Toc152045534"/>
      <w:bookmarkStart w:id="132" w:name="_Toc2323"/>
      <w:bookmarkStart w:id="133" w:name="_Toc179632551"/>
      <w:bookmarkStart w:id="134" w:name="_Toc246996179"/>
      <w:bookmarkStart w:id="135" w:name="_Toc20723"/>
      <w:bookmarkStart w:id="136" w:name="_Toc453756899"/>
      <w:bookmarkStart w:id="137" w:name="_Toc247085693"/>
      <w:bookmarkStart w:id="138" w:name="_Toc26366"/>
      <w:r>
        <w:rPr>
          <w:rFonts w:hint="eastAsia" w:ascii="宋体" w:hAnsi="宋体" w:cs="宋体"/>
          <w:color w:val="000000"/>
        </w:rPr>
        <w:t>1.4 投标人资格要求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1.4.1 投标人应具备承担本项目的资质条件、能力和信誉。</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（1）资质条件：见投标人须知前附表；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（2）财务要求：见投标人须知前附表；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（3）其他要求：见投标人须知前附表。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1.4.2 投标人不得存在下列情形之一：</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（1）为采购人不具有独立法人资格的附属机构（单位）；</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（2）为本招标项目前期准备提供设计或咨询服务的； </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（3）为本招标项目提供招标代理服务的； </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（4）与本招标项目的招标代理机构同为一个法定代表人的；</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（5）与本招标项目的招标代理机构相互控股或参股的；</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（6）与本招标项目的招标代理机构相互任职或工作的；</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（7）被责令停业的； </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（8）被暂停或取消投标资格的； </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（9）财产被接管或冻结的；</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（10）在参与采购活动前三年内在经营活动中有重大违法记录。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1.4.3 单位负责人为同一人或者存在直接控股、管理关系的不同供应商，不得参加同一合同项下的政府采购活动。</w:t>
      </w:r>
    </w:p>
    <w:p>
      <w:pPr>
        <w:pStyle w:val="8"/>
        <w:keepNext w:val="0"/>
        <w:keepLines w:val="0"/>
        <w:spacing w:line="240" w:lineRule="auto"/>
        <w:rPr>
          <w:rFonts w:hint="eastAsia" w:ascii="宋体" w:hAnsi="宋体" w:cs="宋体"/>
          <w:color w:val="000000"/>
        </w:rPr>
      </w:pPr>
      <w:bookmarkStart w:id="139" w:name="_Toc26251"/>
      <w:bookmarkStart w:id="140" w:name="_Toc453756900"/>
      <w:bookmarkStart w:id="141" w:name="_Toc152042311"/>
      <w:bookmarkStart w:id="142" w:name="_Toc21895"/>
      <w:bookmarkStart w:id="143" w:name="_Toc5888"/>
      <w:bookmarkStart w:id="144" w:name="_Toc179632552"/>
      <w:bookmarkStart w:id="145" w:name="_Toc8589"/>
      <w:bookmarkStart w:id="146" w:name="_Toc152045535"/>
      <w:bookmarkStart w:id="147" w:name="_Toc246996180"/>
      <w:bookmarkStart w:id="148" w:name="_Toc144974503"/>
      <w:bookmarkStart w:id="149" w:name="_Toc247085694"/>
      <w:bookmarkStart w:id="150" w:name="_Toc15234"/>
      <w:bookmarkStart w:id="151" w:name="_Toc246996923"/>
      <w:bookmarkStart w:id="152" w:name="_Toc16208"/>
      <w:r>
        <w:rPr>
          <w:rFonts w:hint="eastAsia" w:ascii="宋体" w:hAnsi="宋体" w:cs="宋体"/>
          <w:color w:val="000000"/>
        </w:rPr>
        <w:t>1.5 费用承担</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投标人准备和参加投标活动发生的费用自理。</w:t>
      </w:r>
    </w:p>
    <w:p>
      <w:pPr>
        <w:pStyle w:val="8"/>
        <w:keepNext w:val="0"/>
        <w:keepLines w:val="0"/>
        <w:spacing w:line="240" w:lineRule="auto"/>
        <w:rPr>
          <w:rFonts w:hint="eastAsia" w:ascii="宋体" w:hAnsi="宋体" w:cs="宋体"/>
          <w:color w:val="000000"/>
        </w:rPr>
      </w:pPr>
      <w:bookmarkStart w:id="153" w:name="_Toc247085695"/>
      <w:bookmarkStart w:id="154" w:name="_Toc6909"/>
      <w:bookmarkStart w:id="155" w:name="_Toc179632553"/>
      <w:bookmarkStart w:id="156" w:name="_Toc19752"/>
      <w:bookmarkStart w:id="157" w:name="_Toc4656"/>
      <w:bookmarkStart w:id="158" w:name="_Toc246996181"/>
      <w:bookmarkStart w:id="159" w:name="_Toc453756901"/>
      <w:bookmarkStart w:id="160" w:name="_Toc152045536"/>
      <w:bookmarkStart w:id="161" w:name="_Toc606"/>
      <w:bookmarkStart w:id="162" w:name="_Toc152042312"/>
      <w:bookmarkStart w:id="163" w:name="_Toc246996924"/>
      <w:bookmarkStart w:id="164" w:name="_Toc3663"/>
      <w:bookmarkStart w:id="165" w:name="_Toc7421"/>
      <w:bookmarkStart w:id="166" w:name="_Toc144974504"/>
      <w:r>
        <w:rPr>
          <w:rFonts w:hint="eastAsia" w:ascii="宋体" w:hAnsi="宋体" w:cs="宋体"/>
          <w:color w:val="000000"/>
        </w:rPr>
        <w:t>1.6 保密</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参与招标投标活动的各方应对招标文件和投标文件中的商业和技术等秘密保密，违者应对由此造成的后果承担法律责任。 </w:t>
      </w:r>
    </w:p>
    <w:p>
      <w:pPr>
        <w:pStyle w:val="8"/>
        <w:keepNext w:val="0"/>
        <w:keepLines w:val="0"/>
        <w:spacing w:line="240" w:lineRule="auto"/>
        <w:rPr>
          <w:rFonts w:hint="eastAsia" w:ascii="宋体" w:hAnsi="宋体" w:cs="宋体"/>
          <w:color w:val="000000"/>
        </w:rPr>
      </w:pPr>
      <w:bookmarkStart w:id="167" w:name="_Toc144974505"/>
      <w:bookmarkStart w:id="168" w:name="_Toc246996925"/>
      <w:bookmarkStart w:id="169" w:name="_Toc20732"/>
      <w:bookmarkStart w:id="170" w:name="_Toc2536"/>
      <w:bookmarkStart w:id="171" w:name="_Toc179632554"/>
      <w:bookmarkStart w:id="172" w:name="_Toc12070"/>
      <w:bookmarkStart w:id="173" w:name="_Toc246996182"/>
      <w:bookmarkStart w:id="174" w:name="_Toc453756902"/>
      <w:bookmarkStart w:id="175" w:name="_Toc5320"/>
      <w:bookmarkStart w:id="176" w:name="_Toc247085696"/>
      <w:bookmarkStart w:id="177" w:name="_Toc152045537"/>
      <w:bookmarkStart w:id="178" w:name="_Toc14016"/>
      <w:bookmarkStart w:id="179" w:name="_Toc152042313"/>
      <w:bookmarkStart w:id="180" w:name="_Toc892"/>
      <w:r>
        <w:rPr>
          <w:rFonts w:hint="eastAsia" w:ascii="宋体" w:hAnsi="宋体" w:cs="宋体"/>
          <w:color w:val="000000"/>
        </w:rPr>
        <w:t>1.7 语言</w:t>
      </w:r>
      <w:bookmarkEnd w:id="167"/>
      <w:r>
        <w:rPr>
          <w:rFonts w:hint="eastAsia" w:ascii="宋体" w:hAnsi="宋体" w:cs="宋体"/>
          <w:color w:val="000000"/>
        </w:rPr>
        <w:t>文字</w:t>
      </w:r>
      <w:bookmarkEnd w:id="168"/>
      <w:bookmarkEnd w:id="169"/>
      <w:bookmarkEnd w:id="170"/>
      <w:bookmarkEnd w:id="171"/>
      <w:bookmarkEnd w:id="172"/>
      <w:bookmarkEnd w:id="173"/>
      <w:bookmarkEnd w:id="174"/>
      <w:bookmarkEnd w:id="175"/>
      <w:bookmarkEnd w:id="176"/>
      <w:bookmarkEnd w:id="177"/>
      <w:bookmarkEnd w:id="178"/>
      <w:bookmarkEnd w:id="179"/>
      <w:bookmarkEnd w:id="180"/>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181" w:name="_Toc152045538"/>
      <w:bookmarkStart w:id="182" w:name="_Toc179632555"/>
      <w:bookmarkStart w:id="183" w:name="_Toc246996183"/>
      <w:bookmarkStart w:id="184" w:name="_Toc144974506"/>
      <w:bookmarkStart w:id="185" w:name="_Toc247085697"/>
      <w:bookmarkStart w:id="186" w:name="_Toc152042314"/>
      <w:bookmarkStart w:id="187" w:name="_Toc246996926"/>
      <w:r>
        <w:rPr>
          <w:rFonts w:hint="eastAsia" w:ascii="宋体" w:hAnsi="宋体" w:eastAsia="宋体" w:cs="宋体"/>
          <w:color w:val="000000"/>
          <w:sz w:val="22"/>
          <w:szCs w:val="28"/>
        </w:rPr>
        <w:t>招标投标文件使用的语言文字为中文。专用术语使用外文的，应附有中文注释。</w:t>
      </w:r>
    </w:p>
    <w:p>
      <w:pPr>
        <w:pStyle w:val="8"/>
        <w:keepNext w:val="0"/>
        <w:keepLines w:val="0"/>
        <w:spacing w:line="240" w:lineRule="auto"/>
        <w:rPr>
          <w:rFonts w:hint="eastAsia" w:ascii="宋体" w:hAnsi="宋体" w:cs="宋体"/>
          <w:color w:val="000000"/>
        </w:rPr>
      </w:pPr>
      <w:bookmarkStart w:id="188" w:name="_Toc32596"/>
      <w:bookmarkStart w:id="189" w:name="_Toc3977"/>
      <w:bookmarkStart w:id="190" w:name="_Toc18268"/>
      <w:bookmarkStart w:id="191" w:name="_Toc12433"/>
      <w:bookmarkStart w:id="192" w:name="_Toc453756903"/>
      <w:bookmarkStart w:id="193" w:name="_Toc28117"/>
      <w:bookmarkStart w:id="194" w:name="_Toc15979"/>
      <w:r>
        <w:rPr>
          <w:rFonts w:hint="eastAsia" w:ascii="宋体" w:hAnsi="宋体" w:cs="宋体"/>
          <w:color w:val="000000"/>
        </w:rPr>
        <w:t>1.8 计量单位</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所有计量均采用中华人民共和国法定计量单位。</w:t>
      </w:r>
    </w:p>
    <w:p>
      <w:pPr>
        <w:pStyle w:val="8"/>
        <w:keepNext w:val="0"/>
        <w:keepLines w:val="0"/>
        <w:spacing w:line="240" w:lineRule="auto"/>
        <w:rPr>
          <w:rFonts w:hint="eastAsia" w:ascii="宋体" w:hAnsi="宋体" w:eastAsia="宋体" w:cs="宋体"/>
          <w:color w:val="000000"/>
          <w:lang w:eastAsia="zh-CN"/>
        </w:rPr>
      </w:pPr>
      <w:bookmarkStart w:id="195" w:name="_Toc3039"/>
      <w:bookmarkStart w:id="196" w:name="_Toc152042315"/>
      <w:bookmarkStart w:id="197" w:name="_Toc28592"/>
      <w:bookmarkStart w:id="198" w:name="_Toc12527"/>
      <w:bookmarkStart w:id="199" w:name="_Toc823"/>
      <w:bookmarkStart w:id="200" w:name="_Toc144974507"/>
      <w:bookmarkStart w:id="201" w:name="_Toc247592876"/>
      <w:bookmarkStart w:id="202" w:name="_Toc247513962"/>
      <w:bookmarkStart w:id="203" w:name="_Toc247527563"/>
      <w:bookmarkStart w:id="204" w:name="_Toc152045539"/>
      <w:bookmarkStart w:id="205" w:name="_Toc453756904"/>
      <w:bookmarkStart w:id="206" w:name="_Toc17293"/>
      <w:bookmarkStart w:id="207" w:name="_Toc211"/>
      <w:r>
        <w:rPr>
          <w:rFonts w:hint="eastAsia" w:ascii="宋体" w:hAnsi="宋体" w:cs="宋体"/>
          <w:color w:val="000000"/>
        </w:rPr>
        <w:t>1.9 踏勘现场</w:t>
      </w:r>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000000"/>
          <w:lang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1.9.1 投标人须知前附表规定组织踏勘现场的，采购人按投标人须知前附表规定的时间、地点组织投标人踏勘项目现场。</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1.9.2 投标人踏勘现场发生的费用自理。</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1.9.3 除采购人的原因外，投标人自行负责在踏勘现场中所发生的人员伤亡和财产损失。</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1.9.4 采购人在踏勘现场中介绍的工程场地和相关的周边环境情况，供投标人在编制投标文件时参考，采购人不对投标人据此作出的判断和决策负责。</w:t>
      </w:r>
    </w:p>
    <w:p>
      <w:pPr>
        <w:pStyle w:val="8"/>
        <w:keepNext w:val="0"/>
        <w:keepLines w:val="0"/>
        <w:spacing w:line="240" w:lineRule="auto"/>
        <w:rPr>
          <w:rFonts w:hint="eastAsia" w:ascii="宋体" w:hAnsi="宋体" w:eastAsia="宋体" w:cs="宋体"/>
          <w:color w:val="000000"/>
          <w:lang w:eastAsia="zh-CN"/>
        </w:rPr>
      </w:pPr>
      <w:bookmarkStart w:id="208" w:name="_Toc247527564"/>
      <w:bookmarkStart w:id="209" w:name="_Toc247592877"/>
      <w:bookmarkStart w:id="210" w:name="_Toc13590"/>
      <w:bookmarkStart w:id="211" w:name="_Toc453756905"/>
      <w:bookmarkStart w:id="212" w:name="_Toc12682"/>
      <w:bookmarkStart w:id="213" w:name="_Toc3480"/>
      <w:bookmarkStart w:id="214" w:name="_Toc247513963"/>
      <w:bookmarkStart w:id="215" w:name="_Toc28533"/>
      <w:bookmarkStart w:id="216" w:name="_Toc144974508"/>
      <w:bookmarkStart w:id="217" w:name="_Toc6188"/>
      <w:bookmarkStart w:id="218" w:name="_Toc152042316"/>
      <w:bookmarkStart w:id="219" w:name="_Toc152045540"/>
      <w:bookmarkStart w:id="220" w:name="_Toc17455"/>
      <w:r>
        <w:rPr>
          <w:rFonts w:hint="eastAsia" w:ascii="宋体" w:hAnsi="宋体" w:cs="宋体"/>
          <w:color w:val="000000"/>
        </w:rPr>
        <w:t>1.10 投标预备会</w:t>
      </w:r>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color w:val="000000"/>
          <w:lang w:eastAsia="zh-CN"/>
        </w:rPr>
        <w:t>（不召开）</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1.10.1 投标人须知前附表规定召开投标预备会的，采购人按投标人须知前附表规定的时间和地点召开投标预备会，澄清投标人提出的问题。</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1.10.2 投标人应在投标人须知前附表规定的时间前，以书面形式将提出的问题送达采购人，以便采购人在会议期间澄清。</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1.10.3 投标预备会后，采购人在投标人须知前附表规定的时间内，将对投标人所提问题的澄清，以书面形式通知所有获取招标文件的投标人。该澄清内容为招标文件的组成部分。</w:t>
      </w:r>
    </w:p>
    <w:p>
      <w:pPr>
        <w:pStyle w:val="8"/>
        <w:keepNext w:val="0"/>
        <w:keepLines w:val="0"/>
        <w:spacing w:line="240" w:lineRule="auto"/>
        <w:rPr>
          <w:rFonts w:hint="eastAsia" w:ascii="宋体" w:hAnsi="宋体" w:cs="宋体"/>
          <w:color w:val="000000"/>
        </w:rPr>
      </w:pPr>
      <w:bookmarkStart w:id="221" w:name="_Toc20216"/>
      <w:bookmarkStart w:id="222" w:name="_Toc29701"/>
      <w:bookmarkStart w:id="223" w:name="_Toc19653"/>
      <w:bookmarkStart w:id="224" w:name="_Toc453756906"/>
      <w:bookmarkStart w:id="225" w:name="_Toc18907"/>
      <w:bookmarkStart w:id="226" w:name="_Toc12226"/>
      <w:bookmarkStart w:id="227" w:name="_Toc21109"/>
      <w:r>
        <w:rPr>
          <w:rFonts w:hint="eastAsia" w:ascii="宋体" w:hAnsi="宋体" w:cs="宋体"/>
          <w:color w:val="000000"/>
        </w:rPr>
        <w:t>1.11 偏离</w:t>
      </w:r>
      <w:bookmarkEnd w:id="221"/>
      <w:bookmarkEnd w:id="222"/>
      <w:bookmarkEnd w:id="223"/>
      <w:bookmarkEnd w:id="224"/>
      <w:bookmarkEnd w:id="225"/>
      <w:bookmarkEnd w:id="226"/>
      <w:bookmarkEnd w:id="227"/>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不允许。</w:t>
      </w:r>
    </w:p>
    <w:p>
      <w:pPr>
        <w:pStyle w:val="7"/>
        <w:keepNext w:val="0"/>
        <w:keepLines w:val="0"/>
        <w:spacing w:line="240" w:lineRule="auto"/>
        <w:rPr>
          <w:rFonts w:hint="eastAsia" w:ascii="宋体" w:hAnsi="宋体" w:eastAsia="宋体" w:cs="宋体"/>
          <w:color w:val="000000"/>
        </w:rPr>
      </w:pPr>
      <w:bookmarkStart w:id="228" w:name="_Toc144974510"/>
      <w:bookmarkStart w:id="229" w:name="_Toc152042318"/>
      <w:bookmarkStart w:id="230" w:name="_Toc179632560"/>
      <w:bookmarkStart w:id="231" w:name="_Toc246996187"/>
      <w:bookmarkStart w:id="232" w:name="_Toc247085701"/>
      <w:bookmarkStart w:id="233" w:name="_Toc152045542"/>
      <w:bookmarkStart w:id="234" w:name="_Toc453756907"/>
      <w:bookmarkStart w:id="235" w:name="_Toc29075"/>
      <w:bookmarkStart w:id="236" w:name="_Toc346"/>
      <w:bookmarkStart w:id="237" w:name="_Toc23100"/>
      <w:bookmarkStart w:id="238" w:name="_Toc5470"/>
      <w:bookmarkStart w:id="239" w:name="_Toc4115"/>
      <w:bookmarkStart w:id="240" w:name="_Toc246996930"/>
      <w:bookmarkStart w:id="241" w:name="_Toc9301"/>
      <w:r>
        <w:rPr>
          <w:rFonts w:hint="eastAsia" w:ascii="宋体" w:hAnsi="宋体" w:eastAsia="宋体" w:cs="宋体"/>
          <w:color w:val="000000"/>
        </w:rPr>
        <w:t>2. 招标文件</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8"/>
        <w:keepNext w:val="0"/>
        <w:keepLines w:val="0"/>
        <w:spacing w:line="240" w:lineRule="auto"/>
        <w:rPr>
          <w:rFonts w:hint="eastAsia" w:ascii="宋体" w:hAnsi="宋体" w:cs="宋体"/>
          <w:color w:val="000000"/>
        </w:rPr>
      </w:pPr>
      <w:bookmarkStart w:id="242" w:name="_Toc2379"/>
      <w:bookmarkStart w:id="243" w:name="_Toc247085702"/>
      <w:bookmarkStart w:id="244" w:name="_Toc3613"/>
      <w:bookmarkStart w:id="245" w:name="_Toc144974511"/>
      <w:bookmarkStart w:id="246" w:name="_Toc30544"/>
      <w:bookmarkStart w:id="247" w:name="_Toc25187"/>
      <w:bookmarkStart w:id="248" w:name="_Toc453756908"/>
      <w:bookmarkStart w:id="249" w:name="_Toc179632561"/>
      <w:bookmarkStart w:id="250" w:name="_Toc246996931"/>
      <w:bookmarkStart w:id="251" w:name="_Toc246996188"/>
      <w:bookmarkStart w:id="252" w:name="_Toc30454"/>
      <w:bookmarkStart w:id="253" w:name="_Toc152045543"/>
      <w:bookmarkStart w:id="254" w:name="_Toc18933"/>
      <w:bookmarkStart w:id="255" w:name="_Toc152042319"/>
      <w:r>
        <w:rPr>
          <w:rFonts w:hint="eastAsia" w:ascii="宋体" w:hAnsi="宋体" w:cs="宋体"/>
          <w:color w:val="000000"/>
        </w:rPr>
        <w:t>2.1 招标文件的组成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keepNext w:val="0"/>
        <w:keepLines w:val="0"/>
        <w:pageBreakBefore w:val="0"/>
        <w:widowControl w:val="0"/>
        <w:kinsoku/>
        <w:wordWrap/>
        <w:overflowPunct/>
        <w:topLinePunct w:val="0"/>
        <w:autoSpaceDE/>
        <w:autoSpaceDN/>
        <w:bidi w:val="0"/>
        <w:adjustRightInd/>
        <w:snapToGrid/>
        <w:spacing w:line="500" w:lineRule="exact"/>
        <w:ind w:firstLine="660" w:firstLineChars="3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2.1.1 本招标文件包括：</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（1）招标公告（或投标邀请书）；</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（2）投标人须知；</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（3）评标办法；</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（4）合同条款及格式；</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（5）采购需求；</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（6）投标文件格式。 </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2.1.2 根据本章第1.10款、第2.2款和第2.3款对招标文件所作的澄清、修改，构成招标文件的组成部分。</w:t>
      </w:r>
    </w:p>
    <w:p>
      <w:pPr>
        <w:pStyle w:val="8"/>
        <w:keepNext w:val="0"/>
        <w:keepLines w:val="0"/>
        <w:spacing w:line="240" w:lineRule="auto"/>
        <w:rPr>
          <w:rFonts w:hint="eastAsia" w:ascii="宋体" w:hAnsi="宋体" w:cs="宋体"/>
          <w:color w:val="000000"/>
        </w:rPr>
      </w:pPr>
      <w:bookmarkStart w:id="256" w:name="_Toc5138"/>
      <w:bookmarkStart w:id="257" w:name="_Toc26078"/>
      <w:bookmarkStart w:id="258" w:name="_Toc246996932"/>
      <w:bookmarkStart w:id="259" w:name="_Toc29768"/>
      <w:bookmarkStart w:id="260" w:name="_Toc144974512"/>
      <w:bookmarkStart w:id="261" w:name="_Toc152045544"/>
      <w:bookmarkStart w:id="262" w:name="_Toc453756909"/>
      <w:bookmarkStart w:id="263" w:name="_Toc179632562"/>
      <w:bookmarkStart w:id="264" w:name="_Toc7976"/>
      <w:bookmarkStart w:id="265" w:name="_Toc10685"/>
      <w:bookmarkStart w:id="266" w:name="_Toc246996189"/>
      <w:bookmarkStart w:id="267" w:name="_Toc247085703"/>
      <w:bookmarkStart w:id="268" w:name="_Toc152042320"/>
      <w:bookmarkStart w:id="269" w:name="_Toc26703"/>
      <w:r>
        <w:rPr>
          <w:rFonts w:hint="eastAsia" w:ascii="宋体" w:hAnsi="宋体" w:cs="宋体"/>
          <w:color w:val="000000"/>
        </w:rPr>
        <w:t>2.2 招标文件的澄清</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int="eastAsia"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2.2.1 投标人应仔细阅读和检查招标文件的全部内容。如发现缺页或附件不全，应及时向采购人提出，以便补齐。如有疑问，应在投标人须知前附表规定的时间前</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要求采购人对招标文件予以澄清</w:t>
      </w:r>
      <w:r>
        <w:rPr>
          <w:rFonts w:hint="eastAsia" w:ascii="宋体" w:hAnsi="宋体" w:cs="宋体"/>
          <w:color w:val="000000"/>
          <w:sz w:val="22"/>
          <w:szCs w:val="28"/>
          <w:lang w:eastAsia="zh-CN"/>
        </w:rPr>
        <w:t>，同时拨打代理机构电话进行确认</w:t>
      </w:r>
      <w:r>
        <w:rPr>
          <w:rFonts w:hint="eastAsia" w:ascii="宋体" w:hAnsi="宋体" w:eastAsia="宋体" w:cs="宋体"/>
          <w:color w:val="000000"/>
          <w:sz w:val="22"/>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2.2.2 招标文件的澄清将</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 xml:space="preserve">发给所有获取招标文件的投标人，但不指明澄清问题的来源。如果澄清发出的时间距投标人须知前附表规定的投标截止时间不足15天，并且澄清内容影响投标文件编制的，将相应延长投标截止时间。 </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2.2.3 投标人在收到澄清后，应在投标人须知前附表规定的时间内</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通知采购人，确认已收到该澄清。</w:t>
      </w:r>
    </w:p>
    <w:p>
      <w:pPr>
        <w:pStyle w:val="8"/>
        <w:keepNext w:val="0"/>
        <w:keepLines w:val="0"/>
        <w:spacing w:line="240" w:lineRule="auto"/>
        <w:rPr>
          <w:rFonts w:hint="eastAsia" w:ascii="宋体" w:hAnsi="宋体" w:cs="宋体"/>
          <w:color w:val="000000"/>
        </w:rPr>
      </w:pPr>
      <w:bookmarkStart w:id="270" w:name="_Toc246996190"/>
      <w:bookmarkStart w:id="271" w:name="_Toc14891"/>
      <w:bookmarkStart w:id="272" w:name="_Toc32735"/>
      <w:bookmarkStart w:id="273" w:name="_Toc453756910"/>
      <w:bookmarkStart w:id="274" w:name="_Toc31926"/>
      <w:bookmarkStart w:id="275" w:name="_Toc152045545"/>
      <w:bookmarkStart w:id="276" w:name="_Toc152042321"/>
      <w:bookmarkStart w:id="277" w:name="_Toc15781"/>
      <w:bookmarkStart w:id="278" w:name="_Toc28733"/>
      <w:bookmarkStart w:id="279" w:name="_Toc246996933"/>
      <w:bookmarkStart w:id="280" w:name="_Toc13500"/>
      <w:bookmarkStart w:id="281" w:name="_Toc144974513"/>
      <w:bookmarkStart w:id="282" w:name="_Toc179632563"/>
      <w:bookmarkStart w:id="283" w:name="_Toc247085704"/>
      <w:r>
        <w:rPr>
          <w:rFonts w:hint="eastAsia" w:ascii="宋体" w:hAnsi="宋体" w:cs="宋体"/>
          <w:color w:val="000000"/>
        </w:rPr>
        <w:t>2.3 招标文件的修改</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2.3.1采购人可以</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修改招标文件，并通知所有已获取招标文件的投标人。但如果修改招标文件的时间距投标截止时间不足15天，并且修改内容影响投标文件编制的，将相应延长投标截止时间。</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2.3.2 投标人收到修改内容后，应在投标人须知前附表规定的时间内</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通知采购人，确认已收到该修改。</w:t>
      </w:r>
    </w:p>
    <w:p>
      <w:pPr>
        <w:pStyle w:val="7"/>
        <w:keepNext w:val="0"/>
        <w:keepLines w:val="0"/>
        <w:spacing w:line="240" w:lineRule="auto"/>
        <w:rPr>
          <w:rFonts w:hint="eastAsia" w:ascii="宋体" w:hAnsi="宋体" w:eastAsia="宋体" w:cs="宋体"/>
          <w:color w:val="000000"/>
        </w:rPr>
      </w:pPr>
      <w:bookmarkStart w:id="284" w:name="_Toc14031"/>
      <w:bookmarkStart w:id="285" w:name="_Toc32746"/>
      <w:bookmarkStart w:id="286" w:name="_Toc453756911"/>
      <w:bookmarkStart w:id="287" w:name="_Toc247085705"/>
      <w:bookmarkStart w:id="288" w:name="_Toc152045546"/>
      <w:bookmarkStart w:id="289" w:name="_Toc21853"/>
      <w:bookmarkStart w:id="290" w:name="_Toc246996934"/>
      <w:bookmarkStart w:id="291" w:name="_Toc144974514"/>
      <w:bookmarkStart w:id="292" w:name="_Toc26852"/>
      <w:bookmarkStart w:id="293" w:name="_Toc179632564"/>
      <w:bookmarkStart w:id="294" w:name="_Toc246996191"/>
      <w:bookmarkStart w:id="295" w:name="_Toc9826"/>
      <w:bookmarkStart w:id="296" w:name="_Toc152042322"/>
      <w:bookmarkStart w:id="297" w:name="_Toc20316"/>
      <w:r>
        <w:rPr>
          <w:rFonts w:hint="eastAsia" w:ascii="宋体" w:hAnsi="宋体" w:eastAsia="宋体" w:cs="宋体"/>
          <w:color w:val="000000"/>
        </w:rPr>
        <w:t>3. 投标文件</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8"/>
        <w:keepNext w:val="0"/>
        <w:keepLines w:val="0"/>
        <w:spacing w:line="240" w:lineRule="auto"/>
        <w:rPr>
          <w:rFonts w:hint="eastAsia" w:ascii="宋体" w:hAnsi="宋体" w:cs="宋体"/>
          <w:color w:val="000000"/>
        </w:rPr>
      </w:pPr>
      <w:bookmarkStart w:id="298" w:name="_Toc453756912"/>
      <w:bookmarkStart w:id="299" w:name="_Toc179632565"/>
      <w:bookmarkStart w:id="300" w:name="_Toc4486"/>
      <w:bookmarkStart w:id="301" w:name="_Toc247085706"/>
      <w:bookmarkStart w:id="302" w:name="_Toc152045547"/>
      <w:bookmarkStart w:id="303" w:name="_Toc152042323"/>
      <w:bookmarkStart w:id="304" w:name="_Toc246996935"/>
      <w:bookmarkStart w:id="305" w:name="_Toc9917"/>
      <w:bookmarkStart w:id="306" w:name="_Toc246996192"/>
      <w:bookmarkStart w:id="307" w:name="_Toc30255"/>
      <w:bookmarkStart w:id="308" w:name="_Toc4405"/>
      <w:bookmarkStart w:id="309" w:name="_Toc17211"/>
      <w:bookmarkStart w:id="310" w:name="_Toc9554"/>
      <w:bookmarkStart w:id="311" w:name="_Toc144974515"/>
      <w:r>
        <w:rPr>
          <w:rFonts w:hint="eastAsia" w:ascii="宋体" w:hAnsi="宋体" w:cs="宋体"/>
          <w:color w:val="000000"/>
        </w:rPr>
        <w:t>3.1 投标文件的组成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投标文件应包括下列内容：</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312" w:name="_Toc246996193"/>
      <w:bookmarkStart w:id="313" w:name="_Toc29747"/>
      <w:bookmarkStart w:id="314" w:name="_Toc15471"/>
      <w:bookmarkStart w:id="315" w:name="_Toc152042324"/>
      <w:bookmarkStart w:id="316" w:name="_Toc10624"/>
      <w:bookmarkStart w:id="317" w:name="_Toc453756913"/>
      <w:bookmarkStart w:id="318" w:name="_Toc22921"/>
      <w:bookmarkStart w:id="319" w:name="_Toc247085707"/>
      <w:bookmarkStart w:id="320" w:name="_Toc29229"/>
      <w:bookmarkStart w:id="321" w:name="_Toc152045548"/>
      <w:bookmarkStart w:id="322" w:name="_Toc26594"/>
      <w:bookmarkStart w:id="323" w:name="_Toc144974516"/>
      <w:bookmarkStart w:id="324" w:name="_Toc179632566"/>
      <w:bookmarkStart w:id="325" w:name="_Toc246996936"/>
      <w:r>
        <w:rPr>
          <w:rFonts w:hint="eastAsia" w:ascii="宋体" w:hAnsi="宋体" w:eastAsia="宋体" w:cs="宋体"/>
          <w:color w:val="000000"/>
          <w:sz w:val="22"/>
          <w:szCs w:val="28"/>
        </w:rPr>
        <w:t>（1）投标函</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（2）法定代表人身份证明</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（3）授权委托书</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rPr>
        <w:t>（4）</w:t>
      </w:r>
      <w:r>
        <w:rPr>
          <w:rFonts w:hint="eastAsia" w:ascii="宋体" w:hAnsi="宋体" w:eastAsia="宋体" w:cs="宋体"/>
          <w:color w:val="000000"/>
          <w:sz w:val="22"/>
          <w:szCs w:val="28"/>
          <w:highlight w:val="none"/>
          <w:lang w:val="en-US" w:eastAsia="zh-CN"/>
        </w:rPr>
        <w:t>投标保证金</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（5）开标一览表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lang w:eastAsia="zh-CN"/>
        </w:rPr>
      </w:pPr>
      <w:r>
        <w:rPr>
          <w:rFonts w:hint="eastAsia" w:ascii="宋体" w:hAnsi="宋体" w:eastAsia="宋体" w:cs="宋体"/>
          <w:color w:val="000000"/>
          <w:sz w:val="22"/>
          <w:szCs w:val="28"/>
          <w:highlight w:val="none"/>
        </w:rPr>
        <w:t>（6）投标报价</w:t>
      </w:r>
      <w:r>
        <w:rPr>
          <w:rFonts w:hint="eastAsia" w:ascii="宋体" w:hAnsi="宋体" w:cs="宋体"/>
          <w:color w:val="000000"/>
          <w:sz w:val="22"/>
          <w:szCs w:val="28"/>
          <w:highlight w:val="none"/>
          <w:lang w:eastAsia="zh-CN"/>
        </w:rPr>
        <w:t>明细表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（7）</w:t>
      </w:r>
      <w:r>
        <w:rPr>
          <w:rFonts w:hint="eastAsia" w:ascii="宋体" w:hAnsi="宋体" w:cs="宋体"/>
          <w:color w:val="000000"/>
          <w:sz w:val="22"/>
          <w:szCs w:val="28"/>
          <w:highlight w:val="none"/>
          <w:lang w:val="en-US" w:eastAsia="zh-CN"/>
        </w:rPr>
        <w:t>服务</w:t>
      </w:r>
      <w:r>
        <w:rPr>
          <w:rFonts w:hint="eastAsia" w:ascii="宋体" w:hAnsi="宋体" w:eastAsia="宋体" w:cs="宋体"/>
          <w:color w:val="000000"/>
          <w:sz w:val="22"/>
          <w:szCs w:val="28"/>
          <w:highlight w:val="none"/>
        </w:rPr>
        <w:t>方案</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（8）项目管理机构</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9</w:t>
      </w:r>
      <w:r>
        <w:rPr>
          <w:rFonts w:hint="eastAsia" w:ascii="宋体" w:hAnsi="宋体" w:eastAsia="宋体" w:cs="宋体"/>
          <w:color w:val="000000"/>
          <w:sz w:val="22"/>
          <w:szCs w:val="28"/>
          <w:highlight w:val="none"/>
        </w:rPr>
        <w:t>）资格审查资料</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）其他材料</w:t>
      </w:r>
    </w:p>
    <w:p>
      <w:pPr>
        <w:pStyle w:val="8"/>
        <w:keepNext w:val="0"/>
        <w:keepLines w:val="0"/>
        <w:spacing w:line="240" w:lineRule="auto"/>
        <w:rPr>
          <w:rFonts w:hint="eastAsia" w:ascii="宋体" w:hAnsi="宋体" w:cs="宋体"/>
          <w:color w:val="000000"/>
          <w:sz w:val="21"/>
          <w:szCs w:val="21"/>
        </w:rPr>
      </w:pPr>
      <w:r>
        <w:rPr>
          <w:rFonts w:hint="eastAsia" w:ascii="宋体" w:hAnsi="宋体" w:cs="宋体"/>
          <w:color w:val="000000"/>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3.2.1 投标人应按第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章“投标文件格式”的要求填写相应表格。投标报价为项目涉及全部内容价格（包含服务、税务发票等所有费用）。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3.2.2 </w:t>
      </w:r>
      <w:bookmarkStart w:id="326" w:name="_Toc179632567"/>
      <w:bookmarkStart w:id="327" w:name="_Toc152042325"/>
      <w:bookmarkStart w:id="328" w:name="_Toc152045549"/>
      <w:bookmarkStart w:id="329" w:name="_Toc144974517"/>
      <w:r>
        <w:rPr>
          <w:rFonts w:hint="eastAsia" w:ascii="宋体" w:hAnsi="宋体" w:eastAsia="宋体" w:cs="宋体"/>
          <w:color w:val="000000"/>
          <w:sz w:val="22"/>
          <w:szCs w:val="28"/>
        </w:rPr>
        <w:t>投标人在投标截止时间前修改投标函中的投标报价总额，应同时修改“投标报价表”中的相应报价，投标报价总额为各分项金额之和。此修改须符合本章第4.3款的有关要求。</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3.2.3 采购人设有采购预算的，投标人的投标报价不得超过采购预算，采购预算或其计算方法在投标人须知前附表中载明。</w:t>
      </w:r>
    </w:p>
    <w:p>
      <w:pPr>
        <w:pStyle w:val="8"/>
        <w:keepNext w:val="0"/>
        <w:keepLines w:val="0"/>
        <w:spacing w:line="240" w:lineRule="auto"/>
        <w:rPr>
          <w:rFonts w:hint="eastAsia" w:ascii="宋体" w:hAnsi="宋体" w:cs="宋体"/>
          <w:color w:val="000000"/>
        </w:rPr>
      </w:pPr>
      <w:bookmarkStart w:id="330" w:name="_Toc24444"/>
      <w:bookmarkStart w:id="331" w:name="_Toc23489"/>
      <w:bookmarkStart w:id="332" w:name="_Toc246996937"/>
      <w:bookmarkStart w:id="333" w:name="_Toc16148"/>
      <w:bookmarkStart w:id="334" w:name="_Toc23858"/>
      <w:bookmarkStart w:id="335" w:name="_Toc8904"/>
      <w:bookmarkStart w:id="336" w:name="_Toc28941"/>
      <w:bookmarkStart w:id="337" w:name="_Toc246996194"/>
      <w:bookmarkStart w:id="338" w:name="_Toc247085708"/>
      <w:bookmarkStart w:id="339" w:name="_Toc453756914"/>
      <w:r>
        <w:rPr>
          <w:rFonts w:hint="eastAsia" w:ascii="宋体" w:hAnsi="宋体" w:cs="宋体"/>
          <w:color w:val="000000"/>
        </w:rPr>
        <w:t>3.3 投标有效期</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3.3.1投标有效期为投标截止之日起90日历天。</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3.3.2在投标有效期内，投标人撤销或修改其投标文件的，应承担招标文件和法律规定的责任。</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pPr>
        <w:pStyle w:val="8"/>
        <w:keepNext w:val="0"/>
        <w:keepLines w:val="0"/>
        <w:spacing w:line="240" w:lineRule="auto"/>
        <w:rPr>
          <w:rFonts w:hint="eastAsia" w:ascii="宋体" w:hAnsi="宋体" w:cs="宋体"/>
          <w:color w:val="000000"/>
          <w:highlight w:val="none"/>
        </w:rPr>
      </w:pPr>
      <w:bookmarkStart w:id="340" w:name="_Toc246996938"/>
      <w:bookmarkStart w:id="341" w:name="_Toc247085709"/>
      <w:bookmarkStart w:id="342" w:name="_Toc7314"/>
      <w:bookmarkStart w:id="343" w:name="_Toc246996195"/>
      <w:bookmarkStart w:id="344" w:name="_Toc152042326"/>
      <w:bookmarkStart w:id="345" w:name="_Toc18540"/>
      <w:bookmarkStart w:id="346" w:name="_Toc16479"/>
      <w:bookmarkStart w:id="347" w:name="_Toc26908"/>
      <w:bookmarkStart w:id="348" w:name="_Toc27337"/>
      <w:bookmarkStart w:id="349" w:name="_Toc453756915"/>
      <w:bookmarkStart w:id="350" w:name="_Toc144974518"/>
      <w:bookmarkStart w:id="351" w:name="_Toc152045550"/>
      <w:bookmarkStart w:id="352" w:name="_Toc30288"/>
      <w:bookmarkStart w:id="353" w:name="_Toc179632568"/>
      <w:r>
        <w:rPr>
          <w:rFonts w:hint="eastAsia" w:ascii="宋体" w:hAnsi="宋体" w:cs="宋体"/>
          <w:color w:val="000000"/>
          <w:highlight w:val="none"/>
        </w:rPr>
        <w:t>3.4 投标保证金</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3.4.1 投标人须知前附表规定递交投标保证金的，投标人在递交投标文件的同时，应按投标人须知前附表规定的金额、担保形式和第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章“投标文件格式”规定的或者事先经过采购人认可的投标保证金格式递交投标保证金，并作为其投标文件的组成部分。</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3.4.2 投标人不按本章第3.4.1项要求提交投标保证金的，评标委员会将否决其投标。</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3.4.3 采购人在中标公示期结束后十日内返还未中标投标单位的投标保证金，在签订合同后五日内返还中标人的投标保证金。未中标单位的投标保函原件在中标公示期结束后十日内返还，中标人的投标保函原件在签订合同后五日内返还。</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3.4.4 有下列情形之一的，投标保证金将不予退还： </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（1）投标人在投标有效期内撤销投标文件的；</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（2）中标通知书发出后，中标人无故放弃中标项目或无正当理由在规定时间内不与采购人签订合同的；</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（3）其他违反法律法规的情况。</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3.4.5 投标人采取保函方式交纳投标保证金的，如违反3.4.4条规定，采购人将不予退还投标保函，由出具保函的机构依法有关规定，将投标保证金转入采购人</w:t>
      </w:r>
      <w:r>
        <w:rPr>
          <w:rFonts w:hint="eastAsia" w:ascii="宋体" w:hAnsi="宋体" w:cs="宋体"/>
          <w:color w:val="000000"/>
          <w:sz w:val="22"/>
          <w:szCs w:val="28"/>
          <w:lang w:eastAsia="zh-CN"/>
        </w:rPr>
        <w:t>基本账户</w:t>
      </w:r>
      <w:r>
        <w:rPr>
          <w:rFonts w:hint="eastAsia" w:ascii="宋体" w:hAnsi="宋体" w:eastAsia="宋体" w:cs="宋体"/>
          <w:color w:val="000000"/>
          <w:sz w:val="22"/>
          <w:szCs w:val="28"/>
        </w:rPr>
        <w:t>。</w:t>
      </w:r>
    </w:p>
    <w:p>
      <w:pPr>
        <w:pStyle w:val="8"/>
        <w:keepNext w:val="0"/>
        <w:keepLines w:val="0"/>
        <w:spacing w:line="240" w:lineRule="auto"/>
        <w:rPr>
          <w:rFonts w:hint="eastAsia" w:ascii="宋体" w:hAnsi="宋体" w:cs="宋体"/>
          <w:color w:val="000000"/>
        </w:rPr>
      </w:pPr>
      <w:bookmarkStart w:id="354" w:name="_Toc32650"/>
      <w:bookmarkStart w:id="355" w:name="_Toc12974"/>
      <w:bookmarkStart w:id="356" w:name="_Toc144974520"/>
      <w:bookmarkStart w:id="357" w:name="_Toc247085710"/>
      <w:bookmarkStart w:id="358" w:name="_Toc152045552"/>
      <w:bookmarkStart w:id="359" w:name="_Toc27924"/>
      <w:bookmarkStart w:id="360" w:name="_Toc246996196"/>
      <w:bookmarkStart w:id="361" w:name="_Toc246996939"/>
      <w:bookmarkStart w:id="362" w:name="_Toc15528"/>
      <w:bookmarkStart w:id="363" w:name="_Toc24430"/>
      <w:bookmarkStart w:id="364" w:name="_Toc152042328"/>
      <w:bookmarkStart w:id="365" w:name="_Toc179632570"/>
      <w:bookmarkStart w:id="366" w:name="_Toc453756916"/>
      <w:bookmarkStart w:id="367" w:name="_Toc31070"/>
      <w:r>
        <w:rPr>
          <w:rFonts w:hint="eastAsia" w:ascii="宋体" w:hAnsi="宋体" w:cs="宋体"/>
          <w:color w:val="000000"/>
        </w:rPr>
        <w:t>3.5 资格审查资料</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3.5.1 “投标人基本情况表”应附投标人营业执照及其年检合格的证明材料等材料的复印件。</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3.5.2 “近年财务状况”</w:t>
      </w:r>
      <w:r>
        <w:rPr>
          <w:rFonts w:hint="eastAsia" w:ascii="宋体" w:hAnsi="宋体" w:cs="宋体"/>
          <w:color w:val="000000"/>
          <w:sz w:val="22"/>
          <w:szCs w:val="28"/>
          <w:highlight w:val="none"/>
          <w:lang w:eastAsia="zh-CN"/>
        </w:rPr>
        <w:t>，</w:t>
      </w:r>
      <w:r>
        <w:rPr>
          <w:rFonts w:hint="eastAsia" w:ascii="宋体" w:hAnsi="宋体" w:eastAsia="宋体" w:cs="宋体"/>
          <w:color w:val="000000"/>
          <w:sz w:val="22"/>
          <w:szCs w:val="28"/>
          <w:highlight w:val="none"/>
        </w:rPr>
        <w:t>投标单位应按照《长春市财政局关于加强政府采购信用体系建设简化供应商资格条件有关事项的通知》（长财采购〔2022〕2066号）文件要求</w:t>
      </w:r>
      <w:r>
        <w:rPr>
          <w:rFonts w:hint="eastAsia" w:ascii="宋体" w:hAnsi="宋体" w:eastAsia="宋体" w:cs="宋体"/>
          <w:color w:val="000000"/>
          <w:sz w:val="22"/>
          <w:szCs w:val="28"/>
          <w:highlight w:val="none"/>
          <w:lang w:eastAsia="zh-CN"/>
        </w:rPr>
        <w:t>，</w:t>
      </w:r>
      <w:r>
        <w:rPr>
          <w:rFonts w:hint="eastAsia" w:ascii="宋体" w:hAnsi="宋体" w:eastAsia="宋体" w:cs="宋体"/>
          <w:color w:val="000000"/>
          <w:sz w:val="22"/>
          <w:szCs w:val="28"/>
          <w:highlight w:val="none"/>
        </w:rPr>
        <w:t>在</w:t>
      </w:r>
      <w:r>
        <w:rPr>
          <w:rFonts w:hint="eastAsia" w:ascii="宋体" w:hAnsi="宋体" w:eastAsia="宋体" w:cs="宋体"/>
          <w:color w:val="000000"/>
          <w:sz w:val="22"/>
          <w:szCs w:val="28"/>
          <w:highlight w:val="none"/>
          <w:lang w:eastAsia="zh-CN"/>
        </w:rPr>
        <w:t>投标</w:t>
      </w:r>
      <w:r>
        <w:rPr>
          <w:rFonts w:hint="eastAsia" w:ascii="宋体" w:hAnsi="宋体" w:eastAsia="宋体" w:cs="宋体"/>
          <w:color w:val="000000"/>
          <w:sz w:val="22"/>
          <w:szCs w:val="28"/>
          <w:highlight w:val="none"/>
        </w:rPr>
        <w:t>文件中提交反映其财务状况、依法缴纳税收和社保保障资金情况的资格条件承诺函，并对资格条件承诺函有关内容的真实性、有效性、合法性负责</w:t>
      </w:r>
      <w:r>
        <w:rPr>
          <w:rFonts w:hint="eastAsia" w:ascii="宋体" w:hAnsi="宋体" w:eastAsia="宋体" w:cs="宋体"/>
          <w:color w:val="000000"/>
          <w:sz w:val="22"/>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3.5.3 “近年完成的类似项目情况表”应附中标通知书或合同协议书或复印件，具体年份要求见投标人须知前附表。每张表格只填写一个项目，并标明序号。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3.5.4 “正在实施和新承接的项目情况表”应附中标通知书或合同协议书复印件。每张表格只填写一个项目，并标明序号。</w:t>
      </w:r>
    </w:p>
    <w:p>
      <w:pPr>
        <w:pStyle w:val="8"/>
        <w:keepNext w:val="0"/>
        <w:keepLines w:val="0"/>
        <w:spacing w:line="240" w:lineRule="auto"/>
        <w:rPr>
          <w:rFonts w:hint="eastAsia" w:ascii="宋体" w:hAnsi="宋体" w:cs="宋体"/>
          <w:color w:val="000000"/>
        </w:rPr>
      </w:pPr>
      <w:bookmarkStart w:id="368" w:name="_Toc21065"/>
      <w:bookmarkStart w:id="369" w:name="_Toc16435"/>
      <w:bookmarkStart w:id="370" w:name="_Toc6629"/>
      <w:bookmarkStart w:id="371" w:name="_Toc453756917"/>
      <w:bookmarkStart w:id="372" w:name="_Toc24576"/>
      <w:bookmarkStart w:id="373" w:name="_Toc12108"/>
      <w:bookmarkStart w:id="374" w:name="_Toc14495"/>
      <w:bookmarkStart w:id="375" w:name="_Toc179632571"/>
      <w:bookmarkStart w:id="376" w:name="_Toc152042329"/>
      <w:bookmarkStart w:id="377" w:name="_Toc152045553"/>
      <w:bookmarkStart w:id="378" w:name="_Toc246996940"/>
      <w:bookmarkStart w:id="379" w:name="_Toc247085711"/>
      <w:bookmarkStart w:id="380" w:name="_Toc246996197"/>
      <w:bookmarkStart w:id="381" w:name="_Toc144974521"/>
      <w:r>
        <w:rPr>
          <w:rFonts w:hint="eastAsia" w:ascii="宋体" w:hAnsi="宋体" w:cs="宋体"/>
          <w:color w:val="000000"/>
        </w:rPr>
        <w:t>3.6投标文件的编制</w:t>
      </w:r>
      <w:bookmarkEnd w:id="368"/>
      <w:bookmarkEnd w:id="369"/>
      <w:bookmarkEnd w:id="370"/>
      <w:bookmarkEnd w:id="371"/>
      <w:bookmarkEnd w:id="372"/>
      <w:bookmarkEnd w:id="373"/>
      <w:bookmarkEnd w:id="374"/>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3.6.1投标文件应按第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章“投标文件格式”进行编写，如有必要，可以增加附页，作为投标文件的组成部分。其中，投标函附录在满足招标文件实质性要求的基础上，可以提出比招标文件要求更有利于采购人的承诺。</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3.6.2 投标文件应当对招标文件有关服务</w:t>
      </w:r>
      <w:r>
        <w:rPr>
          <w:rFonts w:hint="eastAsia" w:ascii="宋体" w:hAnsi="宋体" w:cs="宋体"/>
          <w:color w:val="000000"/>
          <w:sz w:val="22"/>
          <w:szCs w:val="28"/>
          <w:lang w:val="en-US" w:eastAsia="zh-CN"/>
        </w:rPr>
        <w:t>内容</w:t>
      </w:r>
      <w:r>
        <w:rPr>
          <w:rFonts w:hint="eastAsia" w:ascii="宋体" w:hAnsi="宋体" w:eastAsia="宋体" w:cs="宋体"/>
          <w:color w:val="000000"/>
          <w:sz w:val="22"/>
          <w:szCs w:val="28"/>
        </w:rPr>
        <w:t>、投标有效期、</w:t>
      </w:r>
      <w:r>
        <w:rPr>
          <w:rFonts w:hint="eastAsia" w:ascii="宋体" w:hAnsi="宋体" w:cs="宋体"/>
          <w:color w:val="000000"/>
          <w:sz w:val="22"/>
          <w:szCs w:val="28"/>
          <w:lang w:eastAsia="zh-CN"/>
        </w:rPr>
        <w:t>质量</w:t>
      </w:r>
      <w:r>
        <w:rPr>
          <w:rFonts w:hint="eastAsia" w:ascii="宋体" w:hAnsi="宋体" w:eastAsia="宋体" w:cs="宋体"/>
          <w:color w:val="000000"/>
          <w:sz w:val="22"/>
          <w:szCs w:val="28"/>
        </w:rPr>
        <w:t>标准、采购需求、招标范围等实质性内容作出响应。</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3.6.4 投标文件正本一份</w:t>
      </w:r>
      <w:r>
        <w:rPr>
          <w:rFonts w:hint="eastAsia" w:ascii="宋体" w:hAnsi="宋体" w:cs="宋体"/>
          <w:color w:val="000000"/>
          <w:sz w:val="22"/>
          <w:szCs w:val="28"/>
          <w:lang w:eastAsia="zh-CN"/>
        </w:rPr>
        <w:t>，</w:t>
      </w:r>
      <w:r>
        <w:rPr>
          <w:rFonts w:hint="eastAsia" w:ascii="宋体" w:hAnsi="宋体" w:eastAsia="宋体" w:cs="宋体"/>
          <w:color w:val="000000"/>
          <w:sz w:val="22"/>
          <w:szCs w:val="28"/>
        </w:rPr>
        <w:t xml:space="preserve"> 副本份数见投标人须知前附表。正本和副本的封面上应清楚地标记“正本”或“副本”的字样。当副本和正本不一致时，以正本为准。</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3.6.5 投标文件的正本与副本应分别装订成册，具体装订要求见投标人须知前附表规定。</w:t>
      </w:r>
      <w:bookmarkEnd w:id="375"/>
      <w:bookmarkEnd w:id="376"/>
      <w:bookmarkEnd w:id="377"/>
      <w:bookmarkEnd w:id="378"/>
      <w:bookmarkEnd w:id="379"/>
      <w:bookmarkEnd w:id="380"/>
      <w:bookmarkEnd w:id="381"/>
      <w:bookmarkStart w:id="382" w:name="_Toc246996942"/>
      <w:bookmarkStart w:id="383" w:name="_Toc246996199"/>
      <w:bookmarkStart w:id="384" w:name="_Toc144974523"/>
      <w:bookmarkStart w:id="385" w:name="_Toc152045555"/>
      <w:bookmarkStart w:id="386" w:name="_Toc247085713"/>
      <w:bookmarkStart w:id="387" w:name="_Toc152042331"/>
      <w:bookmarkStart w:id="388" w:name="_Toc179632573"/>
    </w:p>
    <w:p>
      <w:pPr>
        <w:pStyle w:val="7"/>
        <w:keepNext w:val="0"/>
        <w:keepLines w:val="0"/>
        <w:spacing w:line="240" w:lineRule="auto"/>
        <w:rPr>
          <w:rFonts w:hint="eastAsia" w:ascii="宋体" w:hAnsi="宋体" w:eastAsia="宋体" w:cs="宋体"/>
          <w:color w:val="000000"/>
        </w:rPr>
      </w:pPr>
      <w:bookmarkStart w:id="389" w:name="_Toc5597"/>
      <w:bookmarkStart w:id="390" w:name="_Toc21535"/>
      <w:bookmarkStart w:id="391" w:name="_Toc4466"/>
      <w:bookmarkStart w:id="392" w:name="_Toc453756918"/>
      <w:bookmarkStart w:id="393" w:name="_Toc8703"/>
      <w:bookmarkStart w:id="394" w:name="_Toc16901"/>
      <w:bookmarkStart w:id="395" w:name="_Toc6927"/>
      <w:r>
        <w:rPr>
          <w:rFonts w:hint="eastAsia" w:ascii="宋体" w:hAnsi="宋体" w:eastAsia="宋体" w:cs="宋体"/>
          <w:color w:val="000000"/>
        </w:rPr>
        <w:t>4. 投标</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8"/>
        <w:keepNext w:val="0"/>
        <w:keepLines w:val="0"/>
        <w:spacing w:line="240" w:lineRule="auto"/>
        <w:rPr>
          <w:rFonts w:hint="eastAsia" w:ascii="宋体" w:hAnsi="宋体" w:cs="宋体"/>
          <w:color w:val="000000"/>
        </w:rPr>
      </w:pPr>
      <w:bookmarkStart w:id="396" w:name="_Toc179632574"/>
      <w:bookmarkStart w:id="397" w:name="_Toc9902"/>
      <w:bookmarkStart w:id="398" w:name="_Toc4191"/>
      <w:bookmarkStart w:id="399" w:name="_Toc20561"/>
      <w:bookmarkStart w:id="400" w:name="_Toc453756919"/>
      <w:bookmarkStart w:id="401" w:name="_Toc152042332"/>
      <w:bookmarkStart w:id="402" w:name="_Toc246996200"/>
      <w:bookmarkStart w:id="403" w:name="_Toc246996943"/>
      <w:bookmarkStart w:id="404" w:name="_Toc247085714"/>
      <w:bookmarkStart w:id="405" w:name="_Toc152045556"/>
      <w:bookmarkStart w:id="406" w:name="_Toc144974524"/>
      <w:bookmarkStart w:id="407" w:name="_Toc3749"/>
      <w:bookmarkStart w:id="408" w:name="_Toc31201"/>
      <w:bookmarkStart w:id="409" w:name="_Toc13060"/>
      <w:r>
        <w:rPr>
          <w:rFonts w:hint="eastAsia" w:ascii="宋体" w:hAnsi="宋体" w:cs="宋体"/>
          <w:color w:val="000000"/>
        </w:rPr>
        <w:t xml:space="preserve">4.1 </w:t>
      </w:r>
      <w:r>
        <w:rPr>
          <w:rFonts w:hint="eastAsia" w:ascii="宋体" w:hAnsi="宋体" w:cs="宋体"/>
          <w:color w:val="000000"/>
          <w:lang w:eastAsia="zh-CN"/>
        </w:rPr>
        <w:t>纸质</w:t>
      </w:r>
      <w:r>
        <w:rPr>
          <w:rFonts w:hint="eastAsia" w:ascii="宋体" w:hAnsi="宋体" w:cs="宋体"/>
          <w:color w:val="000000"/>
        </w:rPr>
        <w:t>投标文件的密封和标记</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410" w:name="_Toc246996944"/>
      <w:bookmarkStart w:id="411" w:name="_Toc152045557"/>
      <w:bookmarkStart w:id="412" w:name="_Toc179632575"/>
      <w:bookmarkStart w:id="413" w:name="_Toc247085715"/>
      <w:bookmarkStart w:id="414" w:name="_Toc246996201"/>
      <w:bookmarkStart w:id="415" w:name="_Toc152042333"/>
      <w:bookmarkStart w:id="416" w:name="_Toc144974525"/>
      <w:r>
        <w:rPr>
          <w:rFonts w:hint="eastAsia" w:ascii="宋体" w:hAnsi="宋体" w:eastAsia="宋体" w:cs="宋体"/>
          <w:color w:val="000000"/>
          <w:sz w:val="22"/>
          <w:szCs w:val="28"/>
        </w:rPr>
        <w:t>4.1.1 投标文件正本、副本应密封包装在一起并加贴封条，在封套的封口处加盖投标人单位章。</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4.1.2 投标文件封套上应写明的内容见投标人须知前附表。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4.1.3 未按本章第4.1.1项或第4.1.2项要求密封和加写标记的投标文件，采购人应予拒收。</w:t>
      </w:r>
    </w:p>
    <w:p>
      <w:pPr>
        <w:pStyle w:val="8"/>
        <w:keepNext w:val="0"/>
        <w:keepLines w:val="0"/>
        <w:spacing w:line="240" w:lineRule="auto"/>
        <w:rPr>
          <w:rFonts w:hint="eastAsia" w:ascii="宋体" w:hAnsi="宋体" w:cs="宋体"/>
          <w:color w:val="000000"/>
        </w:rPr>
      </w:pPr>
      <w:bookmarkStart w:id="417" w:name="_Toc3027"/>
      <w:bookmarkStart w:id="418" w:name="_Toc14136"/>
      <w:bookmarkStart w:id="419" w:name="_Toc1164"/>
      <w:bookmarkStart w:id="420" w:name="_Toc14605"/>
      <w:bookmarkStart w:id="421" w:name="_Toc32107"/>
      <w:bookmarkStart w:id="422" w:name="_Toc453756920"/>
      <w:bookmarkStart w:id="423" w:name="_Toc23987"/>
      <w:r>
        <w:rPr>
          <w:rFonts w:hint="eastAsia" w:ascii="宋体" w:hAnsi="宋体" w:cs="宋体"/>
          <w:color w:val="000000"/>
        </w:rPr>
        <w:t>4.2 投标文件的递交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4.2.1 投标人应在本章第2.2.2项规定的投标截止时间前递交投标文件。</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4.2.2 投标人递交投标文件的地点：见投标人须知前附表。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4.2.3 除投标人须知前附表另有规定外，投标人所递交的投标文件不予退还。</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4.2.4 采购人收到投标文件后，向投标人出具签收凭证。</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4.2.5 逾期送达的或者未送达指定地点的投标文件，采购人不予受理。</w:t>
      </w:r>
    </w:p>
    <w:p>
      <w:pPr>
        <w:pStyle w:val="8"/>
        <w:keepNext w:val="0"/>
        <w:keepLines w:val="0"/>
        <w:spacing w:line="240" w:lineRule="auto"/>
        <w:rPr>
          <w:rFonts w:hint="eastAsia" w:ascii="宋体" w:hAnsi="宋体" w:cs="宋体"/>
          <w:color w:val="000000"/>
        </w:rPr>
      </w:pPr>
      <w:bookmarkStart w:id="424" w:name="_Toc13178"/>
      <w:bookmarkStart w:id="425" w:name="_Toc144974526"/>
      <w:bookmarkStart w:id="426" w:name="_Toc179632576"/>
      <w:bookmarkStart w:id="427" w:name="_Toc246996202"/>
      <w:bookmarkStart w:id="428" w:name="_Toc19206"/>
      <w:bookmarkStart w:id="429" w:name="_Toc453756921"/>
      <w:bookmarkStart w:id="430" w:name="_Toc2112"/>
      <w:bookmarkStart w:id="431" w:name="_Toc247085716"/>
      <w:bookmarkStart w:id="432" w:name="_Toc152045558"/>
      <w:bookmarkStart w:id="433" w:name="_Toc3343"/>
      <w:bookmarkStart w:id="434" w:name="_Toc9562"/>
      <w:bookmarkStart w:id="435" w:name="_Toc152042334"/>
      <w:bookmarkStart w:id="436" w:name="_Toc30854"/>
      <w:bookmarkStart w:id="437" w:name="_Toc246996945"/>
      <w:r>
        <w:rPr>
          <w:rFonts w:hint="eastAsia" w:ascii="宋体" w:hAnsi="宋体" w:cs="宋体"/>
          <w:color w:val="000000"/>
        </w:rPr>
        <w:t>4.3 投标文件的修改与撤回</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4.3.1 在本章第2.2.2项规定的投标截止时间前，投标人可以修改或撤回已递交的投标文件，但应以书面形式通知采购人。</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4.3.2 投标人修改或撤回已递交投标文件的书面通知应按照本章第3.6.3项的要求签字或盖章。采购人收到书面通知后，向投标人出具签收凭证。</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4.3.3 投标人撤回投标文件的，采购人自收到投标人书面撤回通知之日起5日内退还已收取的投标保证金。</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4.3.4 修改的内容为投标文件的组成部分。修改的投标文件应按照本章第3条、第4条规定进行编制、密封、标记和递交，并标明“修改”字样。</w:t>
      </w:r>
    </w:p>
    <w:p>
      <w:pPr>
        <w:pStyle w:val="8"/>
        <w:keepNext w:val="0"/>
        <w:keepLines w:val="0"/>
        <w:spacing w:line="24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4.4电子投标</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default" w:ascii="宋体" w:hAnsi="宋体" w:eastAsia="宋体" w:cs="宋体"/>
          <w:color w:val="000000"/>
          <w:sz w:val="22"/>
          <w:szCs w:val="28"/>
          <w:lang w:val="en-US" w:eastAsia="zh-CN"/>
        </w:rPr>
      </w:pPr>
      <w:r>
        <w:rPr>
          <w:rFonts w:hint="eastAsia" w:ascii="宋体" w:hAnsi="宋体" w:eastAsia="宋体" w:cs="宋体"/>
          <w:color w:val="000000"/>
          <w:sz w:val="22"/>
          <w:szCs w:val="28"/>
          <w:lang w:val="en-US" w:eastAsia="zh-CN"/>
        </w:rPr>
        <w:t>4.4.1本项目采用电子投标方式，供应商除按</w:t>
      </w:r>
      <w:r>
        <w:rPr>
          <w:rFonts w:hint="eastAsia" w:ascii="宋体" w:hAnsi="宋体" w:cs="宋体"/>
          <w:color w:val="000000"/>
          <w:sz w:val="22"/>
          <w:szCs w:val="28"/>
          <w:lang w:val="en-US" w:eastAsia="zh-CN"/>
        </w:rPr>
        <w:t>采购文件</w:t>
      </w:r>
      <w:r>
        <w:rPr>
          <w:rFonts w:hint="eastAsia" w:ascii="宋体" w:hAnsi="宋体" w:eastAsia="宋体" w:cs="宋体"/>
          <w:color w:val="000000"/>
          <w:sz w:val="22"/>
          <w:szCs w:val="28"/>
          <w:lang w:val="en-US" w:eastAsia="zh-CN"/>
        </w:rPr>
        <w:t>要求提交纸质</w:t>
      </w:r>
      <w:r>
        <w:rPr>
          <w:rFonts w:hint="eastAsia" w:ascii="宋体" w:hAnsi="宋体" w:cs="宋体"/>
          <w:color w:val="000000"/>
          <w:sz w:val="22"/>
          <w:szCs w:val="28"/>
          <w:lang w:val="en-US" w:eastAsia="zh-CN"/>
        </w:rPr>
        <w:t>投标文件</w:t>
      </w:r>
      <w:r>
        <w:rPr>
          <w:rFonts w:hint="eastAsia" w:ascii="宋体" w:hAnsi="宋体" w:eastAsia="宋体" w:cs="宋体"/>
          <w:color w:val="000000"/>
          <w:sz w:val="22"/>
          <w:szCs w:val="28"/>
          <w:lang w:val="en-US" w:eastAsia="zh-CN"/>
        </w:rPr>
        <w:t>外，还需将</w:t>
      </w:r>
      <w:r>
        <w:rPr>
          <w:rFonts w:hint="eastAsia" w:ascii="宋体" w:hAnsi="宋体" w:cs="宋体"/>
          <w:color w:val="000000"/>
          <w:sz w:val="22"/>
          <w:szCs w:val="28"/>
          <w:lang w:val="en-US" w:eastAsia="zh-CN"/>
        </w:rPr>
        <w:t>投标文件</w:t>
      </w:r>
      <w:r>
        <w:rPr>
          <w:rFonts w:hint="eastAsia" w:ascii="宋体" w:hAnsi="宋体" w:eastAsia="宋体" w:cs="宋体"/>
          <w:color w:val="000000"/>
          <w:sz w:val="22"/>
          <w:szCs w:val="28"/>
          <w:lang w:val="en-US" w:eastAsia="zh-CN"/>
        </w:rPr>
        <w:t>按</w:t>
      </w:r>
      <w:r>
        <w:rPr>
          <w:rFonts w:hint="eastAsia" w:ascii="宋体" w:hAnsi="宋体" w:cs="宋体"/>
          <w:color w:val="000000"/>
          <w:sz w:val="22"/>
          <w:szCs w:val="28"/>
          <w:lang w:val="en-US" w:eastAsia="zh-CN"/>
        </w:rPr>
        <w:t>采购文件</w:t>
      </w:r>
      <w:r>
        <w:rPr>
          <w:rFonts w:hint="eastAsia" w:ascii="宋体" w:hAnsi="宋体" w:eastAsia="宋体" w:cs="宋体"/>
          <w:color w:val="000000"/>
          <w:sz w:val="22"/>
          <w:szCs w:val="28"/>
          <w:lang w:val="en-US" w:eastAsia="zh-CN"/>
        </w:rPr>
        <w:t>要求上传至政府采购云平台，否则为无效投标。</w:t>
      </w:r>
    </w:p>
    <w:p>
      <w:pPr>
        <w:pStyle w:val="19"/>
        <w:rPr>
          <w:rFonts w:hint="default" w:eastAsia="宋体"/>
          <w:lang w:val="en-US" w:eastAsia="zh-CN"/>
        </w:rPr>
      </w:pPr>
    </w:p>
    <w:p>
      <w:pPr>
        <w:pStyle w:val="7"/>
        <w:keepNext w:val="0"/>
        <w:keepLines w:val="0"/>
        <w:spacing w:line="240" w:lineRule="auto"/>
        <w:rPr>
          <w:rFonts w:hint="eastAsia" w:ascii="宋体" w:hAnsi="宋体" w:eastAsia="宋体" w:cs="宋体"/>
          <w:color w:val="000000"/>
        </w:rPr>
      </w:pPr>
      <w:bookmarkStart w:id="438" w:name="_Toc13274"/>
      <w:bookmarkStart w:id="439" w:name="_Toc144974527"/>
      <w:bookmarkStart w:id="440" w:name="_Toc246996203"/>
      <w:bookmarkStart w:id="441" w:name="_Toc1814"/>
      <w:bookmarkStart w:id="442" w:name="_Toc152042335"/>
      <w:bookmarkStart w:id="443" w:name="_Toc15431"/>
      <w:bookmarkStart w:id="444" w:name="_Toc246996946"/>
      <w:bookmarkStart w:id="445" w:name="_Toc7599"/>
      <w:bookmarkStart w:id="446" w:name="_Toc247085717"/>
      <w:bookmarkStart w:id="447" w:name="_Toc179632577"/>
      <w:bookmarkStart w:id="448" w:name="_Toc7113"/>
      <w:bookmarkStart w:id="449" w:name="_Toc152045559"/>
      <w:bookmarkStart w:id="450" w:name="_Toc453756922"/>
      <w:bookmarkStart w:id="451" w:name="_Toc14834"/>
      <w:r>
        <w:rPr>
          <w:rFonts w:hint="eastAsia" w:ascii="宋体" w:hAnsi="宋体" w:eastAsia="宋体" w:cs="宋体"/>
          <w:color w:val="000000"/>
        </w:rPr>
        <w:t>5. 开标</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8"/>
        <w:keepNext w:val="0"/>
        <w:keepLines w:val="0"/>
        <w:spacing w:line="240" w:lineRule="auto"/>
        <w:rPr>
          <w:rFonts w:hint="eastAsia" w:ascii="宋体" w:hAnsi="宋体" w:cs="宋体"/>
          <w:color w:val="000000"/>
        </w:rPr>
      </w:pPr>
      <w:bookmarkStart w:id="452" w:name="_Toc19849"/>
      <w:bookmarkStart w:id="453" w:name="_Toc152042336"/>
      <w:bookmarkStart w:id="454" w:name="_Toc26268"/>
      <w:bookmarkStart w:id="455" w:name="_Toc12207"/>
      <w:bookmarkStart w:id="456" w:name="_Toc12688"/>
      <w:bookmarkStart w:id="457" w:name="_Toc247085718"/>
      <w:bookmarkStart w:id="458" w:name="_Toc28164"/>
      <w:bookmarkStart w:id="459" w:name="_Toc179632578"/>
      <w:bookmarkStart w:id="460" w:name="_Toc144974528"/>
      <w:bookmarkStart w:id="461" w:name="_Toc11954"/>
      <w:bookmarkStart w:id="462" w:name="_Toc453756923"/>
      <w:bookmarkStart w:id="463" w:name="_Toc246996204"/>
      <w:bookmarkStart w:id="464" w:name="_Toc246996947"/>
      <w:bookmarkStart w:id="465" w:name="_Toc152045560"/>
      <w:r>
        <w:rPr>
          <w:rFonts w:hint="eastAsia" w:ascii="宋体" w:hAnsi="宋体" w:cs="宋体"/>
          <w:color w:val="000000"/>
        </w:rPr>
        <w:t>5.1 开标时间和地点</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采购人在本章第2.2.2项规定的投标截止时间（开标时间）和投标人须知前附表规定的地点公开开标，并邀请所有投标人的法定代表人或其委托代理人准时参加</w:t>
      </w:r>
      <w:r>
        <w:rPr>
          <w:rFonts w:hint="eastAsia" w:ascii="宋体" w:hAnsi="宋体" w:cs="宋体"/>
          <w:color w:val="000000"/>
          <w:sz w:val="22"/>
          <w:szCs w:val="28"/>
          <w:lang w:eastAsia="zh-CN"/>
        </w:rPr>
        <w:t>网络开标会议</w:t>
      </w:r>
      <w:r>
        <w:rPr>
          <w:rFonts w:hint="eastAsia" w:ascii="宋体" w:hAnsi="宋体" w:eastAsia="宋体" w:cs="宋体"/>
          <w:color w:val="000000"/>
          <w:sz w:val="22"/>
          <w:szCs w:val="28"/>
        </w:rPr>
        <w:t>。</w:t>
      </w:r>
    </w:p>
    <w:p>
      <w:pPr>
        <w:pStyle w:val="8"/>
        <w:keepNext w:val="0"/>
        <w:keepLines w:val="0"/>
        <w:spacing w:line="240" w:lineRule="auto"/>
        <w:rPr>
          <w:rFonts w:hint="eastAsia" w:ascii="宋体" w:hAnsi="宋体" w:cs="宋体"/>
          <w:color w:val="000000"/>
        </w:rPr>
      </w:pPr>
      <w:bookmarkStart w:id="466" w:name="_Toc246996948"/>
      <w:bookmarkStart w:id="467" w:name="_Toc247085719"/>
      <w:bookmarkStart w:id="468" w:name="_Toc6968"/>
      <w:bookmarkStart w:id="469" w:name="_Toc152045561"/>
      <w:bookmarkStart w:id="470" w:name="_Toc144974529"/>
      <w:bookmarkStart w:id="471" w:name="_Toc8542"/>
      <w:bookmarkStart w:id="472" w:name="_Toc3712"/>
      <w:bookmarkStart w:id="473" w:name="_Toc453756924"/>
      <w:bookmarkStart w:id="474" w:name="_Toc25866"/>
      <w:bookmarkStart w:id="475" w:name="_Toc246996205"/>
      <w:bookmarkStart w:id="476" w:name="_Toc152042337"/>
      <w:bookmarkStart w:id="477" w:name="_Toc10606"/>
      <w:bookmarkStart w:id="478" w:name="_Toc30941"/>
      <w:bookmarkStart w:id="479" w:name="_Toc179632579"/>
      <w:r>
        <w:rPr>
          <w:rFonts w:hint="eastAsia" w:ascii="宋体" w:hAnsi="宋体" w:cs="宋体"/>
          <w:color w:val="000000"/>
        </w:rPr>
        <w:t>5.2 开标程序</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主持人按下列程序进行开标：</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（1）宣布开标纪律；</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（2）公布在投标截止时间前递交投标文件的投标人名称；</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（3）宣布开标人、唱标人、记录人、监标人等有关人员姓名；</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（4）按照投标人须知前附表规定</w:t>
      </w:r>
      <w:r>
        <w:rPr>
          <w:rFonts w:hint="eastAsia" w:ascii="宋体" w:hAnsi="宋体" w:cs="宋体"/>
          <w:color w:val="000000"/>
          <w:sz w:val="22"/>
          <w:szCs w:val="28"/>
          <w:lang w:eastAsia="zh-CN"/>
        </w:rPr>
        <w:t>，投标单位远程解密</w:t>
      </w:r>
      <w:r>
        <w:rPr>
          <w:rFonts w:hint="eastAsia" w:ascii="宋体" w:hAnsi="宋体" w:eastAsia="宋体" w:cs="宋体"/>
          <w:color w:val="000000"/>
          <w:sz w:val="22"/>
          <w:szCs w:val="28"/>
        </w:rPr>
        <w:t>投标文件；</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5</w:t>
      </w:r>
      <w:r>
        <w:rPr>
          <w:rFonts w:hint="eastAsia" w:ascii="宋体" w:hAnsi="宋体" w:eastAsia="宋体" w:cs="宋体"/>
          <w:color w:val="000000"/>
          <w:sz w:val="22"/>
          <w:szCs w:val="28"/>
        </w:rPr>
        <w:t>）按照宣布的开标顺序当众开标，公布投标人名称、投标保证金的递交情况（若有）、投标报价、</w:t>
      </w:r>
      <w:r>
        <w:rPr>
          <w:rFonts w:hint="eastAsia" w:ascii="宋体" w:hAnsi="宋体" w:cs="宋体"/>
          <w:color w:val="000000"/>
          <w:sz w:val="22"/>
          <w:szCs w:val="28"/>
          <w:lang w:eastAsia="zh-CN"/>
        </w:rPr>
        <w:t>质量</w:t>
      </w:r>
      <w:r>
        <w:rPr>
          <w:rFonts w:hint="eastAsia" w:ascii="宋体" w:hAnsi="宋体" w:eastAsia="宋体" w:cs="宋体"/>
          <w:color w:val="000000"/>
          <w:sz w:val="22"/>
          <w:szCs w:val="28"/>
        </w:rPr>
        <w:t>标准、合同履行期限及其他内容，并记录在案；</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6</w:t>
      </w:r>
      <w:r>
        <w:rPr>
          <w:rFonts w:hint="eastAsia" w:ascii="宋体" w:hAnsi="宋体" w:eastAsia="宋体" w:cs="宋体"/>
          <w:color w:val="000000"/>
          <w:sz w:val="22"/>
          <w:szCs w:val="28"/>
        </w:rPr>
        <w:t>）规定采购预算的，公布采购预算；</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7</w:t>
      </w:r>
      <w:r>
        <w:rPr>
          <w:rFonts w:hint="eastAsia" w:ascii="宋体" w:hAnsi="宋体" w:eastAsia="宋体" w:cs="宋体"/>
          <w:color w:val="000000"/>
          <w:sz w:val="22"/>
          <w:szCs w:val="28"/>
        </w:rPr>
        <w:t>）投标人代表、采购人代表、监标人、记录人等有关人员在开标记录上签字确认；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8</w:t>
      </w:r>
      <w:r>
        <w:rPr>
          <w:rFonts w:hint="eastAsia" w:ascii="宋体" w:hAnsi="宋体" w:eastAsia="宋体" w:cs="宋体"/>
          <w:color w:val="000000"/>
          <w:sz w:val="22"/>
          <w:szCs w:val="28"/>
        </w:rPr>
        <w:t>）投标人若有异议应当当场提出；</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9</w:t>
      </w:r>
      <w:r>
        <w:rPr>
          <w:rFonts w:hint="eastAsia" w:ascii="宋体" w:hAnsi="宋体" w:eastAsia="宋体" w:cs="宋体"/>
          <w:color w:val="000000"/>
          <w:sz w:val="22"/>
          <w:szCs w:val="28"/>
        </w:rPr>
        <w:t>）开标结束。</w:t>
      </w:r>
    </w:p>
    <w:p>
      <w:pPr>
        <w:pStyle w:val="8"/>
        <w:keepNext w:val="0"/>
        <w:keepLines w:val="0"/>
        <w:spacing w:line="240" w:lineRule="auto"/>
        <w:rPr>
          <w:rFonts w:hint="eastAsia" w:ascii="宋体" w:hAnsi="宋体" w:cs="宋体"/>
          <w:color w:val="000000"/>
        </w:rPr>
      </w:pPr>
      <w:bookmarkStart w:id="480" w:name="_Toc23209"/>
      <w:bookmarkStart w:id="481" w:name="_Toc17499"/>
      <w:bookmarkStart w:id="482" w:name="_Toc10936"/>
      <w:bookmarkStart w:id="483" w:name="_Toc14108"/>
      <w:bookmarkStart w:id="484" w:name="_Toc453756925"/>
      <w:bookmarkStart w:id="485" w:name="_Toc26952"/>
      <w:bookmarkStart w:id="486" w:name="_Toc15426"/>
      <w:r>
        <w:rPr>
          <w:rFonts w:hint="eastAsia" w:ascii="宋体" w:hAnsi="宋体" w:cs="宋体"/>
          <w:color w:val="000000"/>
        </w:rPr>
        <w:t>5.3 开标异议</w:t>
      </w:r>
      <w:bookmarkEnd w:id="480"/>
      <w:bookmarkEnd w:id="481"/>
      <w:bookmarkEnd w:id="482"/>
      <w:bookmarkEnd w:id="483"/>
      <w:bookmarkEnd w:id="484"/>
      <w:bookmarkEnd w:id="485"/>
      <w:bookmarkEnd w:id="486"/>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投标人对开标有异议的，应当在开标现场提出，采购人当场作出答复，并制作记录。</w:t>
      </w:r>
    </w:p>
    <w:p>
      <w:pPr>
        <w:pStyle w:val="7"/>
        <w:keepNext w:val="0"/>
        <w:keepLines w:val="0"/>
        <w:spacing w:line="240" w:lineRule="auto"/>
        <w:rPr>
          <w:rFonts w:hint="eastAsia" w:ascii="宋体" w:hAnsi="宋体" w:eastAsia="宋体" w:cs="宋体"/>
          <w:color w:val="000000"/>
        </w:rPr>
      </w:pPr>
      <w:bookmarkStart w:id="487" w:name="_Toc3109"/>
      <w:bookmarkStart w:id="488" w:name="_Toc16754"/>
      <w:bookmarkStart w:id="489" w:name="_Toc3463"/>
      <w:bookmarkStart w:id="490" w:name="_Toc152042338"/>
      <w:bookmarkStart w:id="491" w:name="_Toc246996206"/>
      <w:bookmarkStart w:id="492" w:name="_Toc247085720"/>
      <w:bookmarkStart w:id="493" w:name="_Toc7502"/>
      <w:bookmarkStart w:id="494" w:name="_Toc12986"/>
      <w:bookmarkStart w:id="495" w:name="_Toc179632580"/>
      <w:bookmarkStart w:id="496" w:name="_Toc152045562"/>
      <w:bookmarkStart w:id="497" w:name="_Toc144974530"/>
      <w:bookmarkStart w:id="498" w:name="_Toc32578"/>
      <w:bookmarkStart w:id="499" w:name="_Toc246996949"/>
      <w:bookmarkStart w:id="500" w:name="_Toc453756926"/>
      <w:r>
        <w:rPr>
          <w:rFonts w:hint="eastAsia" w:ascii="宋体" w:hAnsi="宋体" w:eastAsia="宋体" w:cs="宋体"/>
          <w:color w:val="000000"/>
        </w:rPr>
        <w:t>6. 评标</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8"/>
        <w:keepNext w:val="0"/>
        <w:keepLines w:val="0"/>
        <w:spacing w:line="240" w:lineRule="auto"/>
        <w:rPr>
          <w:rFonts w:hint="eastAsia" w:ascii="宋体" w:hAnsi="宋体" w:cs="宋体"/>
          <w:color w:val="000000"/>
        </w:rPr>
      </w:pPr>
      <w:bookmarkStart w:id="501" w:name="_Toc15731"/>
      <w:bookmarkStart w:id="502" w:name="_Toc27039"/>
      <w:bookmarkStart w:id="503" w:name="_Toc30801"/>
      <w:bookmarkStart w:id="504" w:name="_Toc144974531"/>
      <w:bookmarkStart w:id="505" w:name="_Toc12262"/>
      <w:bookmarkStart w:id="506" w:name="_Toc25423"/>
      <w:bookmarkStart w:id="507" w:name="_Toc246996950"/>
      <w:bookmarkStart w:id="508" w:name="_Toc482"/>
      <w:bookmarkStart w:id="509" w:name="_Toc247085721"/>
      <w:bookmarkStart w:id="510" w:name="_Toc152042339"/>
      <w:bookmarkStart w:id="511" w:name="_Toc453756927"/>
      <w:bookmarkStart w:id="512" w:name="_Toc179632581"/>
      <w:bookmarkStart w:id="513" w:name="_Toc152045563"/>
      <w:bookmarkStart w:id="514" w:name="_Toc246996207"/>
      <w:r>
        <w:rPr>
          <w:rFonts w:hint="eastAsia" w:ascii="宋体" w:hAnsi="宋体" w:cs="宋体"/>
          <w:color w:val="000000"/>
        </w:rPr>
        <w:t>6.1 评标委员会</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6.1.1 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（1）投标人或投标人主要负责人的近亲属；</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（2）项目主管部门或者行政监督部门的人员；</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（3）与投标人有经济利益关系；</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（5）与投标人有其他利害关系。</w:t>
      </w:r>
    </w:p>
    <w:p>
      <w:pPr>
        <w:pStyle w:val="8"/>
        <w:keepNext w:val="0"/>
        <w:keepLines w:val="0"/>
        <w:spacing w:line="240" w:lineRule="auto"/>
        <w:rPr>
          <w:rFonts w:hint="eastAsia" w:ascii="宋体" w:hAnsi="宋体" w:cs="宋体"/>
          <w:color w:val="000000"/>
        </w:rPr>
      </w:pPr>
      <w:bookmarkStart w:id="515" w:name="_Toc4155"/>
      <w:bookmarkStart w:id="516" w:name="_Toc247085722"/>
      <w:bookmarkStart w:id="517" w:name="_Toc10126"/>
      <w:bookmarkStart w:id="518" w:name="_Toc6505"/>
      <w:bookmarkStart w:id="519" w:name="_Toc246996951"/>
      <w:bookmarkStart w:id="520" w:name="_Toc246996208"/>
      <w:bookmarkStart w:id="521" w:name="_Toc7789"/>
      <w:bookmarkStart w:id="522" w:name="_Toc453756928"/>
      <w:bookmarkStart w:id="523" w:name="_Toc144974532"/>
      <w:bookmarkStart w:id="524" w:name="_Toc14002"/>
      <w:bookmarkStart w:id="525" w:name="_Toc179632582"/>
      <w:bookmarkStart w:id="526" w:name="_Toc152042340"/>
      <w:bookmarkStart w:id="527" w:name="_Toc152045564"/>
      <w:bookmarkStart w:id="528" w:name="_Toc25120"/>
      <w:r>
        <w:rPr>
          <w:rFonts w:hint="eastAsia" w:ascii="宋体" w:hAnsi="宋体" w:cs="宋体"/>
          <w:color w:val="000000"/>
        </w:rPr>
        <w:t>6.2 评标原则</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评标活动遵循公平、公正、科学和择优的原则。</w:t>
      </w:r>
    </w:p>
    <w:p>
      <w:pPr>
        <w:pStyle w:val="8"/>
        <w:keepNext w:val="0"/>
        <w:keepLines w:val="0"/>
        <w:spacing w:line="240" w:lineRule="auto"/>
        <w:rPr>
          <w:rFonts w:hint="eastAsia" w:ascii="宋体" w:hAnsi="宋体" w:cs="宋体"/>
          <w:color w:val="000000"/>
        </w:rPr>
      </w:pPr>
      <w:bookmarkStart w:id="529" w:name="_Toc152042341"/>
      <w:bookmarkStart w:id="530" w:name="_Toc453756929"/>
      <w:bookmarkStart w:id="531" w:name="_Toc15017"/>
      <w:bookmarkStart w:id="532" w:name="_Toc247085723"/>
      <w:bookmarkStart w:id="533" w:name="_Toc21232"/>
      <w:bookmarkStart w:id="534" w:name="_Toc11964"/>
      <w:bookmarkStart w:id="535" w:name="_Toc179632583"/>
      <w:bookmarkStart w:id="536" w:name="_Toc246996952"/>
      <w:bookmarkStart w:id="537" w:name="_Toc29000"/>
      <w:bookmarkStart w:id="538" w:name="_Toc28627"/>
      <w:bookmarkStart w:id="539" w:name="_Toc246996209"/>
      <w:bookmarkStart w:id="540" w:name="_Toc152045565"/>
      <w:bookmarkStart w:id="541" w:name="_Toc31398"/>
      <w:bookmarkStart w:id="542" w:name="_Toc144974533"/>
      <w:r>
        <w:rPr>
          <w:rFonts w:hint="eastAsia" w:ascii="宋体" w:hAnsi="宋体" w:cs="宋体"/>
          <w:color w:val="000000"/>
        </w:rPr>
        <w:t>6.3 评标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评标委员会按照第三章“评标办法”规定的方法、评审因素、标准和程序对投标文件进行评审。第三章“评标办法”没有规定的方法、评审因素和标准，不作为评标依据。</w:t>
      </w:r>
    </w:p>
    <w:p>
      <w:pPr>
        <w:pStyle w:val="7"/>
        <w:keepNext w:val="0"/>
        <w:keepLines w:val="0"/>
        <w:spacing w:line="240" w:lineRule="auto"/>
        <w:rPr>
          <w:rFonts w:hint="eastAsia" w:ascii="宋体" w:hAnsi="宋体" w:eastAsia="宋体" w:cs="宋体"/>
          <w:color w:val="000000"/>
        </w:rPr>
      </w:pPr>
      <w:bookmarkStart w:id="543" w:name="_Toc13429"/>
      <w:bookmarkStart w:id="544" w:name="_Toc23118"/>
      <w:bookmarkStart w:id="545" w:name="_Toc453756930"/>
      <w:bookmarkStart w:id="546" w:name="_Toc144974534"/>
      <w:bookmarkStart w:id="547" w:name="_Toc152045566"/>
      <w:bookmarkStart w:id="548" w:name="_Toc15352"/>
      <w:bookmarkStart w:id="549" w:name="_Toc247085724"/>
      <w:bookmarkStart w:id="550" w:name="_Toc23289"/>
      <w:bookmarkStart w:id="551" w:name="_Toc19551"/>
      <w:bookmarkStart w:id="552" w:name="_Toc246996210"/>
      <w:bookmarkStart w:id="553" w:name="_Toc179632584"/>
      <w:bookmarkStart w:id="554" w:name="_Toc11800"/>
      <w:bookmarkStart w:id="555" w:name="_Toc246996953"/>
      <w:bookmarkStart w:id="556" w:name="_Toc152042342"/>
      <w:r>
        <w:rPr>
          <w:rFonts w:hint="eastAsia" w:ascii="宋体" w:hAnsi="宋体" w:eastAsia="宋体" w:cs="宋体"/>
          <w:color w:val="000000"/>
        </w:rPr>
        <w:t>7. 合同授予</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8"/>
        <w:keepNext w:val="0"/>
        <w:keepLines w:val="0"/>
        <w:spacing w:line="240" w:lineRule="auto"/>
        <w:rPr>
          <w:rFonts w:hint="eastAsia" w:ascii="宋体" w:hAnsi="宋体" w:cs="宋体"/>
          <w:color w:val="000000"/>
        </w:rPr>
      </w:pPr>
      <w:bookmarkStart w:id="557" w:name="_Toc179632585"/>
      <w:bookmarkStart w:id="558" w:name="_Toc246996954"/>
      <w:bookmarkStart w:id="559" w:name="_Toc246996211"/>
      <w:bookmarkStart w:id="560" w:name="_Toc152042343"/>
      <w:bookmarkStart w:id="561" w:name="_Toc25180"/>
      <w:bookmarkStart w:id="562" w:name="_Toc28095"/>
      <w:bookmarkStart w:id="563" w:name="_Toc152045567"/>
      <w:bookmarkStart w:id="564" w:name="_Toc7592"/>
      <w:bookmarkStart w:id="565" w:name="_Toc19650"/>
      <w:bookmarkStart w:id="566" w:name="_Toc5368"/>
      <w:bookmarkStart w:id="567" w:name="_Toc247085725"/>
      <w:bookmarkStart w:id="568" w:name="_Toc144974535"/>
      <w:bookmarkStart w:id="569" w:name="_Toc453756931"/>
      <w:bookmarkStart w:id="570" w:name="_Toc1670"/>
      <w:r>
        <w:rPr>
          <w:rFonts w:hint="eastAsia" w:ascii="宋体" w:hAnsi="宋体" w:cs="宋体"/>
          <w:color w:val="000000"/>
        </w:rPr>
        <w:t>7.1 定标方式</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除投标人须知前附表规定评标委员会直接确定中标人外，采购人依据评标委员会推荐的中标候选人确定中标人，评标委员会推荐中标候选人的人数见投标人须知前附表。</w:t>
      </w:r>
    </w:p>
    <w:p>
      <w:pPr>
        <w:pStyle w:val="8"/>
        <w:keepNext w:val="0"/>
        <w:keepLines w:val="0"/>
        <w:spacing w:line="240" w:lineRule="auto"/>
        <w:rPr>
          <w:rFonts w:hint="eastAsia" w:ascii="宋体" w:hAnsi="宋体" w:cs="宋体"/>
          <w:color w:val="000000"/>
        </w:rPr>
      </w:pPr>
      <w:bookmarkStart w:id="571" w:name="_Toc24245"/>
      <w:bookmarkStart w:id="572" w:name="_Toc19657"/>
      <w:bookmarkStart w:id="573" w:name="_Toc24559"/>
      <w:bookmarkStart w:id="574" w:name="_Toc10073"/>
      <w:bookmarkStart w:id="575" w:name="_Toc9462"/>
      <w:bookmarkStart w:id="576" w:name="_Toc6423"/>
      <w:bookmarkStart w:id="577" w:name="_Toc453756932"/>
      <w:r>
        <w:rPr>
          <w:rFonts w:hint="eastAsia" w:ascii="宋体" w:hAnsi="宋体" w:cs="宋体"/>
          <w:color w:val="000000"/>
        </w:rPr>
        <w:t>7.2 中标候选人公示</w:t>
      </w:r>
      <w:bookmarkEnd w:id="571"/>
      <w:bookmarkEnd w:id="572"/>
      <w:bookmarkEnd w:id="573"/>
      <w:bookmarkEnd w:id="574"/>
      <w:bookmarkEnd w:id="575"/>
      <w:bookmarkEnd w:id="576"/>
      <w:bookmarkEnd w:id="577"/>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采购人在投标人须知前附表规定的媒介公示中标候选人。</w:t>
      </w:r>
    </w:p>
    <w:p>
      <w:pPr>
        <w:pStyle w:val="8"/>
        <w:keepNext w:val="0"/>
        <w:keepLines w:val="0"/>
        <w:spacing w:line="240" w:lineRule="auto"/>
        <w:rPr>
          <w:rFonts w:hint="eastAsia" w:ascii="宋体" w:hAnsi="宋体" w:cs="宋体"/>
          <w:color w:val="000000"/>
        </w:rPr>
      </w:pPr>
      <w:bookmarkStart w:id="578" w:name="_Toc17285"/>
      <w:bookmarkStart w:id="579" w:name="_Toc152042344"/>
      <w:bookmarkStart w:id="580" w:name="_Toc9756"/>
      <w:bookmarkStart w:id="581" w:name="_Toc152045568"/>
      <w:bookmarkStart w:id="582" w:name="_Toc246996955"/>
      <w:bookmarkStart w:id="583" w:name="_Toc179632586"/>
      <w:bookmarkStart w:id="584" w:name="_Toc23867"/>
      <w:bookmarkStart w:id="585" w:name="_Toc247085726"/>
      <w:bookmarkStart w:id="586" w:name="_Toc453756933"/>
      <w:bookmarkStart w:id="587" w:name="_Toc144974536"/>
      <w:bookmarkStart w:id="588" w:name="_Toc7528"/>
      <w:bookmarkStart w:id="589" w:name="_Toc246996212"/>
      <w:bookmarkStart w:id="590" w:name="_Toc21019"/>
      <w:bookmarkStart w:id="591" w:name="_Toc16677"/>
      <w:r>
        <w:rPr>
          <w:rFonts w:hint="eastAsia" w:ascii="宋体" w:hAnsi="宋体" w:cs="宋体"/>
          <w:color w:val="000000"/>
        </w:rPr>
        <w:t>7.3 中标通知</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在本章第3.3款规定的投标有效期内，采购人以书面形式向中标人发出中标通知书，中标结果</w:t>
      </w:r>
      <w:r>
        <w:rPr>
          <w:rFonts w:hint="eastAsia" w:ascii="宋体" w:hAnsi="宋体" w:cs="宋体"/>
          <w:color w:val="000000"/>
          <w:sz w:val="22"/>
          <w:szCs w:val="28"/>
          <w:lang w:eastAsia="zh-CN"/>
        </w:rPr>
        <w:t>将不再</w:t>
      </w:r>
      <w:r>
        <w:rPr>
          <w:rFonts w:hint="eastAsia" w:ascii="宋体" w:hAnsi="宋体" w:eastAsia="宋体" w:cs="宋体"/>
          <w:color w:val="000000"/>
          <w:sz w:val="22"/>
          <w:szCs w:val="28"/>
        </w:rPr>
        <w:t>通知未中标的投标人</w:t>
      </w:r>
      <w:r>
        <w:rPr>
          <w:rFonts w:hint="eastAsia" w:ascii="宋体" w:hAnsi="宋体" w:cs="宋体"/>
          <w:color w:val="000000"/>
          <w:sz w:val="22"/>
          <w:szCs w:val="28"/>
          <w:lang w:eastAsia="zh-CN"/>
        </w:rPr>
        <w:t>，投标人可在招标公告发布的媒介查看中标候选人公示</w:t>
      </w:r>
      <w:r>
        <w:rPr>
          <w:rFonts w:hint="eastAsia" w:ascii="宋体" w:hAnsi="宋体" w:eastAsia="宋体" w:cs="宋体"/>
          <w:color w:val="000000"/>
          <w:sz w:val="22"/>
          <w:szCs w:val="28"/>
        </w:rPr>
        <w:t>。</w:t>
      </w:r>
    </w:p>
    <w:p>
      <w:pPr>
        <w:pStyle w:val="8"/>
        <w:keepNext w:val="0"/>
        <w:keepLines w:val="0"/>
        <w:spacing w:line="240" w:lineRule="auto"/>
        <w:rPr>
          <w:rFonts w:hint="eastAsia" w:ascii="宋体" w:hAnsi="宋体" w:cs="宋体"/>
          <w:color w:val="000000"/>
        </w:rPr>
      </w:pPr>
      <w:bookmarkStart w:id="592" w:name="_Toc25897"/>
      <w:bookmarkStart w:id="593" w:name="_Toc453756935"/>
      <w:bookmarkStart w:id="594" w:name="_Toc246996214"/>
      <w:bookmarkStart w:id="595" w:name="_Toc20075"/>
      <w:bookmarkStart w:id="596" w:name="_Toc10294"/>
      <w:bookmarkStart w:id="597" w:name="_Toc179632588"/>
      <w:bookmarkStart w:id="598" w:name="_Toc4471"/>
      <w:bookmarkStart w:id="599" w:name="_Toc152045570"/>
      <w:bookmarkStart w:id="600" w:name="_Toc152042346"/>
      <w:bookmarkStart w:id="601" w:name="_Toc21802"/>
      <w:bookmarkStart w:id="602" w:name="_Toc144974538"/>
      <w:bookmarkStart w:id="603" w:name="_Toc246996957"/>
      <w:bookmarkStart w:id="604" w:name="_Toc1260"/>
      <w:bookmarkStart w:id="605" w:name="_Toc247085728"/>
      <w:r>
        <w:rPr>
          <w:rFonts w:hint="eastAsia" w:ascii="宋体" w:hAnsi="宋体" w:cs="宋体"/>
          <w:color w:val="000000"/>
        </w:rPr>
        <w:t>7.</w:t>
      </w:r>
      <w:r>
        <w:rPr>
          <w:rFonts w:hint="eastAsia" w:ascii="宋体" w:hAnsi="宋体" w:cs="宋体"/>
          <w:color w:val="000000"/>
          <w:lang w:val="en-US" w:eastAsia="zh-CN"/>
        </w:rPr>
        <w:t>4</w:t>
      </w:r>
      <w:r>
        <w:rPr>
          <w:rFonts w:hint="eastAsia" w:ascii="宋体" w:hAnsi="宋体" w:cs="宋体"/>
          <w:color w:val="000000"/>
        </w:rPr>
        <w:t>签订合同</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7.5.1采购人和中标人应当自中标通知书发出之日起30天内，根据招标文件和中标人的投标文件订立书面合同。中标人无正当理由拒签合同的，采购人取消其中标资格；给采购人造成的损失，中标人还应当予以赔偿。</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7.5.2 发出中标通知书后，采购人无正当理由拒签合同的</w:t>
      </w:r>
      <w:r>
        <w:rPr>
          <w:rFonts w:hint="eastAsia" w:ascii="宋体" w:hAnsi="宋体" w:eastAsia="宋体" w:cs="宋体"/>
          <w:color w:val="000000"/>
          <w:sz w:val="22"/>
          <w:szCs w:val="28"/>
          <w:lang w:eastAsia="zh-CN"/>
        </w:rPr>
        <w:t>，取消其中标资格</w:t>
      </w:r>
      <w:r>
        <w:rPr>
          <w:rFonts w:hint="eastAsia" w:ascii="宋体" w:hAnsi="宋体" w:eastAsia="宋体" w:cs="宋体"/>
          <w:color w:val="000000"/>
          <w:sz w:val="22"/>
          <w:szCs w:val="28"/>
        </w:rPr>
        <w:t>；给中标人造成损失的，还应当赔偿损失。</w:t>
      </w:r>
    </w:p>
    <w:p>
      <w:pPr>
        <w:pStyle w:val="7"/>
        <w:keepNext w:val="0"/>
        <w:keepLines w:val="0"/>
        <w:spacing w:line="240" w:lineRule="auto"/>
        <w:rPr>
          <w:rFonts w:hint="eastAsia" w:ascii="宋体" w:hAnsi="宋体" w:eastAsia="宋体" w:cs="宋体"/>
          <w:color w:val="000000"/>
        </w:rPr>
      </w:pPr>
      <w:bookmarkStart w:id="606" w:name="_Toc421017857"/>
      <w:bookmarkStart w:id="607" w:name="_Toc30935"/>
      <w:bookmarkStart w:id="608" w:name="_Toc428007684"/>
      <w:bookmarkStart w:id="609" w:name="_Toc195921835"/>
      <w:bookmarkStart w:id="610" w:name="_Toc12340"/>
      <w:bookmarkStart w:id="611" w:name="_Toc10311"/>
      <w:bookmarkStart w:id="612" w:name="_Toc19643"/>
      <w:bookmarkStart w:id="613" w:name="_Toc4557"/>
      <w:bookmarkStart w:id="614" w:name="_Toc717"/>
    </w:p>
    <w:p>
      <w:pPr>
        <w:pStyle w:val="7"/>
        <w:keepNext w:val="0"/>
        <w:keepLines w:val="0"/>
        <w:spacing w:line="240" w:lineRule="auto"/>
        <w:rPr>
          <w:rFonts w:hint="eastAsia" w:ascii="宋体" w:hAnsi="宋体" w:eastAsia="宋体" w:cs="宋体"/>
          <w:color w:val="000000"/>
        </w:rPr>
      </w:pPr>
      <w:r>
        <w:rPr>
          <w:rFonts w:hint="eastAsia" w:ascii="宋体" w:hAnsi="宋体" w:eastAsia="宋体" w:cs="宋体"/>
          <w:color w:val="000000"/>
        </w:rPr>
        <w:t>8. 重新招标和不再招标</w:t>
      </w:r>
      <w:bookmarkEnd w:id="606"/>
      <w:bookmarkEnd w:id="607"/>
      <w:bookmarkEnd w:id="608"/>
      <w:bookmarkEnd w:id="609"/>
      <w:bookmarkEnd w:id="610"/>
      <w:bookmarkEnd w:id="611"/>
      <w:bookmarkEnd w:id="612"/>
      <w:bookmarkEnd w:id="613"/>
      <w:bookmarkEnd w:id="614"/>
    </w:p>
    <w:p>
      <w:pPr>
        <w:pStyle w:val="8"/>
        <w:keepNext w:val="0"/>
        <w:keepLines w:val="0"/>
        <w:spacing w:line="240" w:lineRule="auto"/>
        <w:rPr>
          <w:rFonts w:hint="eastAsia" w:ascii="宋体" w:hAnsi="宋体" w:cs="宋体"/>
          <w:color w:val="000000"/>
        </w:rPr>
      </w:pPr>
      <w:bookmarkStart w:id="615" w:name="_Toc23934"/>
      <w:bookmarkStart w:id="616" w:name="_Toc195921836"/>
      <w:bookmarkStart w:id="617" w:name="_Toc16410"/>
      <w:bookmarkStart w:id="618" w:name="_Toc6301"/>
      <w:bookmarkStart w:id="619" w:name="_Toc18827"/>
      <w:bookmarkStart w:id="620" w:name="_Toc3701"/>
      <w:bookmarkStart w:id="621" w:name="_Toc24905"/>
      <w:r>
        <w:rPr>
          <w:rFonts w:hint="eastAsia" w:ascii="宋体" w:hAnsi="宋体" w:cs="宋体"/>
          <w:color w:val="000000"/>
        </w:rPr>
        <w:t>8.1重新招标</w:t>
      </w:r>
      <w:bookmarkEnd w:id="615"/>
      <w:bookmarkEnd w:id="616"/>
      <w:bookmarkEnd w:id="617"/>
      <w:bookmarkEnd w:id="618"/>
      <w:bookmarkEnd w:id="619"/>
      <w:bookmarkEnd w:id="620"/>
      <w:bookmarkEnd w:id="621"/>
    </w:p>
    <w:p>
      <w:pPr>
        <w:pStyle w:val="8"/>
        <w:keepNext w:val="0"/>
        <w:keepLines w:val="0"/>
        <w:spacing w:line="240" w:lineRule="auto"/>
        <w:rPr>
          <w:rFonts w:hint="eastAsia" w:ascii="宋体" w:hAnsi="宋体" w:cs="宋体"/>
          <w:b w:val="0"/>
          <w:bCs w:val="0"/>
          <w:color w:val="000000"/>
          <w:sz w:val="21"/>
          <w:szCs w:val="24"/>
        </w:rPr>
      </w:pPr>
      <w:bookmarkStart w:id="622" w:name="_Toc5255"/>
      <w:bookmarkStart w:id="623" w:name="_Toc16591"/>
      <w:bookmarkStart w:id="624" w:name="_Toc18307"/>
      <w:bookmarkStart w:id="625" w:name="_Toc12725"/>
      <w:bookmarkStart w:id="626" w:name="_Toc4274"/>
      <w:bookmarkStart w:id="627" w:name="_Toc32065"/>
      <w:r>
        <w:rPr>
          <w:rFonts w:hint="eastAsia" w:ascii="宋体" w:hAnsi="宋体" w:cs="宋体"/>
          <w:b w:val="0"/>
          <w:bCs w:val="0"/>
          <w:color w:val="000000"/>
          <w:sz w:val="21"/>
          <w:szCs w:val="24"/>
        </w:rPr>
        <w:t>有下列情形之一的，</w:t>
      </w:r>
      <w:r>
        <w:rPr>
          <w:rFonts w:hint="eastAsia" w:ascii="宋体" w:hAnsi="宋体" w:cs="宋体"/>
          <w:b w:val="0"/>
          <w:bCs w:val="0"/>
          <w:color w:val="000000"/>
          <w:sz w:val="21"/>
          <w:szCs w:val="24"/>
          <w:lang w:eastAsia="zh-CN"/>
        </w:rPr>
        <w:t>采购人</w:t>
      </w:r>
      <w:r>
        <w:rPr>
          <w:rFonts w:hint="eastAsia" w:ascii="宋体" w:hAnsi="宋体" w:cs="宋体"/>
          <w:b w:val="0"/>
          <w:bCs w:val="0"/>
          <w:color w:val="000000"/>
          <w:sz w:val="21"/>
          <w:szCs w:val="24"/>
        </w:rPr>
        <w:t>将重新招标：</w:t>
      </w:r>
      <w:bookmarkEnd w:id="622"/>
      <w:bookmarkEnd w:id="623"/>
      <w:bookmarkEnd w:id="624"/>
      <w:bookmarkEnd w:id="625"/>
      <w:bookmarkEnd w:id="626"/>
      <w:bookmarkEnd w:id="627"/>
    </w:p>
    <w:p>
      <w:pPr>
        <w:pStyle w:val="8"/>
        <w:keepNext w:val="0"/>
        <w:keepLines w:val="0"/>
        <w:spacing w:line="240" w:lineRule="auto"/>
        <w:rPr>
          <w:rFonts w:hint="eastAsia" w:ascii="宋体" w:hAnsi="宋体" w:cs="宋体"/>
          <w:b w:val="0"/>
          <w:bCs w:val="0"/>
          <w:color w:val="000000"/>
          <w:sz w:val="21"/>
          <w:szCs w:val="24"/>
        </w:rPr>
      </w:pPr>
      <w:bookmarkStart w:id="628" w:name="_Toc26585"/>
      <w:bookmarkStart w:id="629" w:name="_Toc11226"/>
      <w:bookmarkStart w:id="630" w:name="_Toc8733"/>
      <w:bookmarkStart w:id="631" w:name="_Toc20176"/>
      <w:bookmarkStart w:id="632" w:name="_Toc3755"/>
      <w:bookmarkStart w:id="633" w:name="_Toc24365"/>
      <w:r>
        <w:rPr>
          <w:rFonts w:hint="eastAsia" w:ascii="宋体" w:hAnsi="宋体" w:cs="宋体"/>
          <w:b w:val="0"/>
          <w:bCs w:val="0"/>
          <w:color w:val="000000"/>
          <w:sz w:val="21"/>
          <w:szCs w:val="24"/>
        </w:rPr>
        <w:t>（1）投标截止时间止，投标人少于3个的；</w:t>
      </w:r>
      <w:bookmarkEnd w:id="628"/>
      <w:bookmarkEnd w:id="629"/>
      <w:bookmarkEnd w:id="630"/>
      <w:bookmarkEnd w:id="631"/>
      <w:bookmarkEnd w:id="632"/>
      <w:bookmarkEnd w:id="633"/>
    </w:p>
    <w:p>
      <w:pPr>
        <w:pStyle w:val="8"/>
        <w:keepNext w:val="0"/>
        <w:keepLines w:val="0"/>
        <w:spacing w:line="240" w:lineRule="auto"/>
        <w:rPr>
          <w:rFonts w:hint="eastAsia" w:ascii="宋体" w:hAnsi="宋体" w:cs="宋体"/>
          <w:b w:val="0"/>
          <w:bCs w:val="0"/>
          <w:color w:val="000000"/>
          <w:sz w:val="21"/>
          <w:szCs w:val="24"/>
        </w:rPr>
      </w:pPr>
      <w:bookmarkStart w:id="634" w:name="_Toc23765"/>
      <w:bookmarkStart w:id="635" w:name="_Toc18450"/>
      <w:bookmarkStart w:id="636" w:name="_Toc8359"/>
      <w:bookmarkStart w:id="637" w:name="_Toc5384"/>
      <w:bookmarkStart w:id="638" w:name="_Toc287"/>
      <w:bookmarkStart w:id="639" w:name="_Toc2633"/>
      <w:r>
        <w:rPr>
          <w:rFonts w:hint="eastAsia" w:ascii="宋体" w:hAnsi="宋体" w:cs="宋体"/>
          <w:b w:val="0"/>
          <w:bCs w:val="0"/>
          <w:color w:val="000000"/>
          <w:sz w:val="21"/>
          <w:szCs w:val="24"/>
        </w:rPr>
        <w:t>（2）经评标委员会评审后否决所有投标的。</w:t>
      </w:r>
      <w:bookmarkEnd w:id="634"/>
      <w:bookmarkEnd w:id="635"/>
      <w:bookmarkEnd w:id="636"/>
      <w:bookmarkEnd w:id="637"/>
      <w:bookmarkEnd w:id="638"/>
      <w:bookmarkEnd w:id="639"/>
    </w:p>
    <w:p>
      <w:pPr>
        <w:pStyle w:val="8"/>
        <w:keepNext w:val="0"/>
        <w:keepLines w:val="0"/>
        <w:spacing w:line="240" w:lineRule="auto"/>
        <w:rPr>
          <w:rFonts w:hint="eastAsia" w:ascii="宋体" w:hAnsi="宋体" w:cs="宋体"/>
          <w:color w:val="000000"/>
        </w:rPr>
      </w:pPr>
      <w:bookmarkStart w:id="640" w:name="_Toc5125"/>
      <w:bookmarkStart w:id="641" w:name="_Toc195921837"/>
      <w:bookmarkStart w:id="642" w:name="_Toc19560"/>
      <w:bookmarkStart w:id="643" w:name="_Toc11590"/>
      <w:bookmarkStart w:id="644" w:name="_Toc29655"/>
      <w:bookmarkStart w:id="645" w:name="_Toc3385"/>
      <w:bookmarkStart w:id="646" w:name="_Toc31665"/>
      <w:r>
        <w:rPr>
          <w:rFonts w:hint="eastAsia" w:ascii="宋体" w:hAnsi="宋体" w:cs="宋体"/>
          <w:color w:val="000000"/>
        </w:rPr>
        <w:t>8.2不再招标</w:t>
      </w:r>
      <w:bookmarkEnd w:id="640"/>
      <w:bookmarkEnd w:id="641"/>
      <w:bookmarkEnd w:id="642"/>
      <w:bookmarkEnd w:id="643"/>
      <w:bookmarkEnd w:id="644"/>
      <w:bookmarkEnd w:id="645"/>
      <w:bookmarkEnd w:id="646"/>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647" w:name="_Toc26476"/>
      <w:bookmarkStart w:id="648" w:name="_Toc23448"/>
      <w:bookmarkStart w:id="649" w:name="_Toc17899"/>
      <w:bookmarkStart w:id="650" w:name="_Toc6011"/>
      <w:bookmarkStart w:id="651" w:name="_Toc4173"/>
      <w:bookmarkStart w:id="652" w:name="_Toc22374"/>
      <w:r>
        <w:rPr>
          <w:rFonts w:hint="eastAsia" w:ascii="宋体" w:hAnsi="宋体" w:eastAsia="宋体" w:cs="宋体"/>
          <w:color w:val="000000"/>
          <w:sz w:val="22"/>
          <w:szCs w:val="28"/>
        </w:rPr>
        <w:t>重新招标后投标人仍少于3个或者所有投标被否决的，属于必须审批或核准的项目，经原审批或核准部门批准后不再进行招标。</w:t>
      </w:r>
      <w:bookmarkEnd w:id="647"/>
      <w:bookmarkEnd w:id="648"/>
      <w:bookmarkEnd w:id="649"/>
      <w:bookmarkEnd w:id="650"/>
      <w:bookmarkEnd w:id="651"/>
      <w:bookmarkEnd w:id="652"/>
    </w:p>
    <w:p>
      <w:pPr>
        <w:pStyle w:val="7"/>
        <w:keepNext w:val="0"/>
        <w:keepLines w:val="0"/>
        <w:spacing w:line="240" w:lineRule="auto"/>
        <w:rPr>
          <w:rFonts w:hint="eastAsia" w:ascii="宋体" w:hAnsi="宋体" w:eastAsia="宋体" w:cs="宋体"/>
          <w:color w:val="000000"/>
        </w:rPr>
      </w:pPr>
      <w:bookmarkStart w:id="653" w:name="_Toc24438"/>
      <w:bookmarkStart w:id="654" w:name="_Toc1173"/>
      <w:bookmarkStart w:id="655" w:name="_Toc17702"/>
      <w:bookmarkStart w:id="656" w:name="_Toc8720"/>
      <w:bookmarkStart w:id="657" w:name="_Toc453756936"/>
      <w:bookmarkStart w:id="658" w:name="_Toc14034"/>
      <w:bookmarkStart w:id="659" w:name="_Toc1766"/>
      <w:r>
        <w:rPr>
          <w:rFonts w:hint="eastAsia" w:ascii="宋体" w:hAnsi="宋体" w:eastAsia="宋体" w:cs="宋体"/>
          <w:color w:val="000000"/>
        </w:rPr>
        <w:t>9. 纪律和监督</w:t>
      </w:r>
      <w:bookmarkEnd w:id="653"/>
      <w:bookmarkEnd w:id="654"/>
      <w:bookmarkEnd w:id="655"/>
      <w:bookmarkEnd w:id="656"/>
      <w:bookmarkEnd w:id="657"/>
      <w:bookmarkEnd w:id="658"/>
      <w:bookmarkEnd w:id="659"/>
    </w:p>
    <w:p>
      <w:pPr>
        <w:pStyle w:val="8"/>
        <w:keepNext w:val="0"/>
        <w:keepLines w:val="0"/>
        <w:spacing w:line="240" w:lineRule="auto"/>
        <w:rPr>
          <w:rFonts w:hint="eastAsia" w:ascii="宋体" w:hAnsi="宋体" w:cs="宋体"/>
          <w:color w:val="000000"/>
        </w:rPr>
      </w:pPr>
      <w:bookmarkStart w:id="660" w:name="_Toc179632593"/>
      <w:bookmarkStart w:id="661" w:name="_Toc7212"/>
      <w:bookmarkStart w:id="662" w:name="_Toc29618"/>
      <w:bookmarkStart w:id="663" w:name="_Toc246996219"/>
      <w:bookmarkStart w:id="664" w:name="_Toc247085733"/>
      <w:bookmarkStart w:id="665" w:name="_Toc25245"/>
      <w:bookmarkStart w:id="666" w:name="_Toc152045575"/>
      <w:bookmarkStart w:id="667" w:name="_Toc144974543"/>
      <w:bookmarkStart w:id="668" w:name="_Toc32662"/>
      <w:bookmarkStart w:id="669" w:name="_Toc246996962"/>
      <w:bookmarkStart w:id="670" w:name="_Toc7057"/>
      <w:bookmarkStart w:id="671" w:name="_Toc453756937"/>
      <w:bookmarkStart w:id="672" w:name="_Toc152042351"/>
      <w:bookmarkStart w:id="673" w:name="_Toc296590983"/>
      <w:bookmarkStart w:id="674" w:name="_Toc1270"/>
      <w:r>
        <w:rPr>
          <w:rFonts w:hint="eastAsia" w:ascii="宋体" w:hAnsi="宋体" w:cs="宋体"/>
          <w:color w:val="000000"/>
        </w:rPr>
        <w:t>9.1 对</w:t>
      </w:r>
      <w:r>
        <w:rPr>
          <w:rFonts w:hint="eastAsia" w:ascii="宋体" w:hAnsi="宋体" w:cs="宋体"/>
          <w:color w:val="000000"/>
          <w:lang w:eastAsia="zh-CN"/>
        </w:rPr>
        <w:t>采购人</w:t>
      </w:r>
      <w:r>
        <w:rPr>
          <w:rFonts w:hint="eastAsia" w:ascii="宋体" w:hAnsi="宋体" w:cs="宋体"/>
          <w:color w:val="000000"/>
        </w:rPr>
        <w:t>的纪律要求</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Pr>
          <w:rFonts w:hint="eastAsia"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采购人不得</w:t>
      </w:r>
      <w:r>
        <w:rPr>
          <w:rFonts w:hint="eastAsia" w:ascii="宋体" w:hAnsi="宋体" w:cs="宋体"/>
          <w:color w:val="000000"/>
          <w:sz w:val="22"/>
          <w:szCs w:val="28"/>
          <w:lang w:eastAsia="zh-CN"/>
        </w:rPr>
        <w:t>泄露</w:t>
      </w:r>
      <w:r>
        <w:rPr>
          <w:rFonts w:hint="eastAsia" w:ascii="宋体" w:hAnsi="宋体" w:eastAsia="宋体" w:cs="宋体"/>
          <w:color w:val="000000"/>
          <w:sz w:val="22"/>
          <w:szCs w:val="28"/>
        </w:rPr>
        <w:t>招标投标活动中应当保密的情况和资料，不得与投标人串通损害国家利益、社会公共利益或者他人合法权益。</w:t>
      </w:r>
    </w:p>
    <w:p>
      <w:pPr>
        <w:pStyle w:val="8"/>
        <w:keepNext w:val="0"/>
        <w:keepLines w:val="0"/>
        <w:spacing w:line="240" w:lineRule="auto"/>
        <w:rPr>
          <w:rFonts w:hint="eastAsia" w:ascii="宋体" w:hAnsi="宋体" w:cs="宋体"/>
          <w:color w:val="000000"/>
        </w:rPr>
      </w:pPr>
      <w:bookmarkStart w:id="675" w:name="_Toc246996220"/>
      <w:bookmarkStart w:id="676" w:name="_Toc1493"/>
      <w:bookmarkStart w:id="677" w:name="_Toc144974544"/>
      <w:bookmarkStart w:id="678" w:name="_Toc246996963"/>
      <w:bookmarkStart w:id="679" w:name="_Toc27105"/>
      <w:bookmarkStart w:id="680" w:name="_Toc186"/>
      <w:bookmarkStart w:id="681" w:name="_Toc19333"/>
      <w:bookmarkStart w:id="682" w:name="_Toc453756938"/>
      <w:bookmarkStart w:id="683" w:name="_Toc152045576"/>
      <w:bookmarkStart w:id="684" w:name="_Toc152042352"/>
      <w:bookmarkStart w:id="685" w:name="_Toc9174"/>
      <w:bookmarkStart w:id="686" w:name="_Toc179632594"/>
      <w:bookmarkStart w:id="687" w:name="_Toc26867"/>
      <w:bookmarkStart w:id="688" w:name="_Toc247085734"/>
      <w:r>
        <w:rPr>
          <w:rFonts w:hint="eastAsia" w:ascii="宋体" w:hAnsi="宋体" w:cs="宋体"/>
          <w:color w:val="000000"/>
        </w:rPr>
        <w:t>9.2 对投标人的纪律要求</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8"/>
        <w:keepNext w:val="0"/>
        <w:keepLines w:val="0"/>
        <w:spacing w:line="240" w:lineRule="auto"/>
        <w:rPr>
          <w:rFonts w:hint="eastAsia" w:ascii="宋体" w:hAnsi="宋体" w:cs="宋体"/>
          <w:color w:val="000000"/>
        </w:rPr>
      </w:pPr>
      <w:bookmarkStart w:id="689" w:name="_Toc152045577"/>
      <w:bookmarkStart w:id="690" w:name="_Toc24208"/>
      <w:bookmarkStart w:id="691" w:name="_Toc24794"/>
      <w:bookmarkStart w:id="692" w:name="_Toc13579"/>
      <w:bookmarkStart w:id="693" w:name="_Toc246996964"/>
      <w:bookmarkStart w:id="694" w:name="_Toc27759"/>
      <w:bookmarkStart w:id="695" w:name="_Toc28711"/>
      <w:bookmarkStart w:id="696" w:name="_Toc152042353"/>
      <w:bookmarkStart w:id="697" w:name="_Toc7635"/>
      <w:bookmarkStart w:id="698" w:name="_Toc247085735"/>
      <w:bookmarkStart w:id="699" w:name="_Toc144974545"/>
      <w:bookmarkStart w:id="700" w:name="_Toc246996221"/>
      <w:bookmarkStart w:id="701" w:name="_Toc179632595"/>
      <w:bookmarkStart w:id="702" w:name="_Toc453756939"/>
      <w:r>
        <w:rPr>
          <w:rFonts w:hint="eastAsia" w:ascii="宋体" w:hAnsi="宋体" w:cs="宋体"/>
          <w:color w:val="000000"/>
        </w:rPr>
        <w:t>9.3 对评标委员会成员的纪律要求</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评标委员会成员不得收受他人的财物或者其他好处，不得向他人</w:t>
      </w:r>
      <w:r>
        <w:rPr>
          <w:rFonts w:hint="eastAsia" w:ascii="宋体" w:hAnsi="宋体" w:cs="宋体"/>
          <w:color w:val="000000"/>
          <w:sz w:val="22"/>
          <w:szCs w:val="28"/>
          <w:lang w:eastAsia="zh-CN"/>
        </w:rPr>
        <w:t>透露</w:t>
      </w:r>
      <w:r>
        <w:rPr>
          <w:rFonts w:hint="eastAsia" w:ascii="宋体" w:hAnsi="宋体" w:eastAsia="宋体" w:cs="宋体"/>
          <w:color w:val="000000"/>
          <w:sz w:val="22"/>
          <w:szCs w:val="28"/>
        </w:rPr>
        <w:t>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8"/>
        <w:keepNext w:val="0"/>
        <w:keepLines w:val="0"/>
        <w:spacing w:line="240" w:lineRule="auto"/>
        <w:rPr>
          <w:rFonts w:hint="eastAsia" w:ascii="宋体" w:hAnsi="宋体" w:cs="宋体"/>
          <w:color w:val="000000"/>
        </w:rPr>
      </w:pPr>
      <w:bookmarkStart w:id="703" w:name="_Toc20882"/>
      <w:bookmarkStart w:id="704" w:name="_Toc453756940"/>
      <w:bookmarkStart w:id="705" w:name="_Toc246996222"/>
      <w:bookmarkStart w:id="706" w:name="_Toc246996965"/>
      <w:bookmarkStart w:id="707" w:name="_Toc152045578"/>
      <w:bookmarkStart w:id="708" w:name="_Toc22498"/>
      <w:bookmarkStart w:id="709" w:name="_Toc247085736"/>
      <w:bookmarkStart w:id="710" w:name="_Toc24340"/>
      <w:bookmarkStart w:id="711" w:name="_Toc6766"/>
      <w:bookmarkStart w:id="712" w:name="_Toc32421"/>
      <w:bookmarkStart w:id="713" w:name="_Toc152042354"/>
      <w:bookmarkStart w:id="714" w:name="_Toc15435"/>
      <w:bookmarkStart w:id="715" w:name="_Toc179632596"/>
      <w:bookmarkStart w:id="716" w:name="_Toc144974546"/>
      <w:r>
        <w:rPr>
          <w:rFonts w:hint="eastAsia" w:ascii="宋体" w:hAnsi="宋体" w:cs="宋体"/>
          <w:color w:val="000000"/>
        </w:rPr>
        <w:t>9.4 对与评标活动有关的工作人员的纪律要求</w:t>
      </w:r>
      <w:bookmarkEnd w:id="703"/>
      <w:bookmarkEnd w:id="704"/>
      <w:bookmarkEnd w:id="705"/>
      <w:bookmarkEnd w:id="706"/>
      <w:bookmarkEnd w:id="707"/>
      <w:bookmarkEnd w:id="708"/>
      <w:bookmarkEnd w:id="709"/>
      <w:bookmarkEnd w:id="710"/>
      <w:bookmarkEnd w:id="711"/>
      <w:bookmarkEnd w:id="712"/>
      <w:bookmarkEnd w:id="713"/>
      <w:bookmarkEnd w:id="714"/>
      <w:bookmarkEnd w:id="715"/>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717" w:name="_Toc152042355"/>
      <w:r>
        <w:rPr>
          <w:rFonts w:hint="eastAsia" w:ascii="宋体" w:hAnsi="宋体" w:eastAsia="宋体" w:cs="宋体"/>
          <w:color w:val="000000"/>
          <w:sz w:val="22"/>
          <w:szCs w:val="28"/>
        </w:rPr>
        <w:t>与评标活动有关的工作人员不得收受他人的财物或者其他好处，不得向他人</w:t>
      </w:r>
      <w:r>
        <w:rPr>
          <w:rFonts w:hint="eastAsia" w:ascii="宋体" w:hAnsi="宋体" w:cs="宋体"/>
          <w:color w:val="000000"/>
          <w:sz w:val="22"/>
          <w:szCs w:val="28"/>
          <w:lang w:eastAsia="zh-CN"/>
        </w:rPr>
        <w:t>透露</w:t>
      </w:r>
      <w:r>
        <w:rPr>
          <w:rFonts w:hint="eastAsia" w:ascii="宋体" w:hAnsi="宋体" w:eastAsia="宋体" w:cs="宋体"/>
          <w:color w:val="000000"/>
          <w:sz w:val="22"/>
          <w:szCs w:val="28"/>
        </w:rPr>
        <w:t>对投标文件的评审和比较、中标候选人的推荐情况以及评标有关的其他情况。在评标活动中，与评标活动有关的工作人员不得擅离职守，影响评标程序正常进行。</w:t>
      </w:r>
      <w:bookmarkEnd w:id="717"/>
    </w:p>
    <w:p>
      <w:pPr>
        <w:pStyle w:val="8"/>
        <w:keepNext w:val="0"/>
        <w:keepLines w:val="0"/>
        <w:spacing w:line="240" w:lineRule="auto"/>
        <w:rPr>
          <w:rFonts w:hint="eastAsia" w:ascii="宋体" w:hAnsi="宋体" w:cs="宋体"/>
          <w:color w:val="000000"/>
        </w:rPr>
      </w:pPr>
      <w:bookmarkStart w:id="718" w:name="_Toc13578"/>
      <w:bookmarkStart w:id="719" w:name="_Toc152045579"/>
      <w:bookmarkStart w:id="720" w:name="_Toc247085737"/>
      <w:bookmarkStart w:id="721" w:name="_Toc246996223"/>
      <w:bookmarkStart w:id="722" w:name="_Toc22176"/>
      <w:bookmarkStart w:id="723" w:name="_Toc27883"/>
      <w:bookmarkStart w:id="724" w:name="_Toc246996966"/>
      <w:bookmarkStart w:id="725" w:name="_Toc179632597"/>
      <w:bookmarkStart w:id="726" w:name="_Toc453756941"/>
      <w:bookmarkStart w:id="727" w:name="_Toc152042356"/>
      <w:bookmarkStart w:id="728" w:name="_Toc2212"/>
      <w:bookmarkStart w:id="729" w:name="_Toc3745"/>
      <w:bookmarkStart w:id="730" w:name="_Toc11114"/>
      <w:r>
        <w:rPr>
          <w:rFonts w:hint="eastAsia" w:ascii="宋体" w:hAnsi="宋体" w:cs="宋体"/>
          <w:color w:val="000000"/>
        </w:rPr>
        <w:t>9.5 投诉</w:t>
      </w:r>
      <w:bookmarkEnd w:id="716"/>
      <w:bookmarkEnd w:id="718"/>
      <w:bookmarkEnd w:id="719"/>
      <w:bookmarkEnd w:id="720"/>
      <w:bookmarkEnd w:id="721"/>
      <w:bookmarkEnd w:id="722"/>
      <w:bookmarkEnd w:id="723"/>
      <w:bookmarkEnd w:id="724"/>
      <w:bookmarkEnd w:id="725"/>
      <w:bookmarkEnd w:id="726"/>
      <w:bookmarkEnd w:id="727"/>
      <w:bookmarkEnd w:id="728"/>
      <w:bookmarkEnd w:id="729"/>
      <w:bookmarkEnd w:id="730"/>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或者其他利害关系人认为招标投标活动中的招标文件和公示结果不符合法律、法规、规章规定的，应当依法在法定期限内向采购人提出异议，采购人应当在收到异议后在规定时间内作出答复。采购人不在规定时间内答复的或者投标人、其他利害关系人对答复有异议的，可就相关事宜向主管部门投诉。</w:t>
      </w:r>
    </w:p>
    <w:p>
      <w:pPr>
        <w:pStyle w:val="7"/>
        <w:keepNext w:val="0"/>
        <w:keepLines w:val="0"/>
        <w:spacing w:line="240" w:lineRule="auto"/>
        <w:rPr>
          <w:rFonts w:hint="eastAsia" w:ascii="宋体" w:hAnsi="宋体" w:eastAsia="宋体" w:cs="宋体"/>
          <w:color w:val="000000"/>
        </w:rPr>
      </w:pPr>
      <w:bookmarkStart w:id="731" w:name="_Toc152045580"/>
      <w:bookmarkStart w:id="732" w:name="_Toc152042357"/>
      <w:bookmarkStart w:id="733" w:name="_Toc144974547"/>
      <w:bookmarkStart w:id="734" w:name="_Toc453756942"/>
      <w:bookmarkStart w:id="735" w:name="_Toc27700"/>
      <w:bookmarkStart w:id="736" w:name="_Toc246996967"/>
      <w:bookmarkStart w:id="737" w:name="_Toc9458"/>
      <w:bookmarkStart w:id="738" w:name="_Toc179632598"/>
      <w:bookmarkStart w:id="739" w:name="_Toc21511"/>
      <w:bookmarkStart w:id="740" w:name="_Toc25777"/>
      <w:bookmarkStart w:id="741" w:name="_Toc7784"/>
      <w:bookmarkStart w:id="742" w:name="_Toc20381"/>
      <w:bookmarkStart w:id="743" w:name="_Toc246996224"/>
      <w:bookmarkStart w:id="744" w:name="_Toc247085738"/>
      <w:r>
        <w:rPr>
          <w:rFonts w:hint="eastAsia" w:ascii="宋体" w:hAnsi="宋体" w:eastAsia="宋体" w:cs="宋体"/>
          <w:color w:val="000000"/>
        </w:rPr>
        <w:t>10. 需要补充的其他内容</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需要补充的其他内容：见投标人须知前附表</w:t>
      </w:r>
    </w:p>
    <w:p>
      <w:pPr>
        <w:spacing w:line="400" w:lineRule="exact"/>
        <w:ind w:firstLine="420" w:firstLineChars="200"/>
        <w:rPr>
          <w:rFonts w:hint="eastAsia" w:ascii="宋体" w:hAnsi="宋体" w:cs="宋体"/>
          <w:color w:val="000000"/>
        </w:rPr>
      </w:pPr>
    </w:p>
    <w:p>
      <w:pPr>
        <w:pStyle w:val="6"/>
        <w:keepNext w:val="0"/>
        <w:keepLines w:val="0"/>
        <w:spacing w:line="240" w:lineRule="auto"/>
        <w:jc w:val="center"/>
        <w:rPr>
          <w:rFonts w:hint="eastAsia" w:ascii="宋体" w:hAnsi="宋体" w:cs="宋体"/>
          <w:color w:val="000000"/>
          <w:sz w:val="32"/>
          <w:szCs w:val="32"/>
        </w:rPr>
        <w:sectPr>
          <w:headerReference r:id="rId8" w:type="default"/>
          <w:footerReference r:id="rId9" w:type="default"/>
          <w:pgSz w:w="11906" w:h="16838"/>
          <w:pgMar w:top="1440" w:right="1106" w:bottom="1440" w:left="1800" w:header="851" w:footer="992" w:gutter="0"/>
          <w:pgNumType w:fmt="decimal"/>
          <w:cols w:space="720" w:num="1"/>
          <w:rtlGutter w:val="1"/>
          <w:docGrid w:type="lines" w:linePitch="312" w:charSpace="0"/>
        </w:sectPr>
      </w:pPr>
      <w:bookmarkStart w:id="745" w:name="_Toc152042375"/>
      <w:bookmarkStart w:id="746" w:name="_Toc247085756"/>
      <w:bookmarkStart w:id="747" w:name="_Toc144974565"/>
      <w:bookmarkStart w:id="748" w:name="_Toc246996241"/>
      <w:bookmarkStart w:id="749" w:name="_Toc246996984"/>
      <w:bookmarkStart w:id="750" w:name="_Toc30749"/>
      <w:bookmarkStart w:id="751" w:name="_Toc179632616"/>
      <w:bookmarkStart w:id="752" w:name="_Toc152045598"/>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000000"/>
          <w:sz w:val="44"/>
          <w:szCs w:val="44"/>
          <w:lang w:eastAsia="zh-CN"/>
        </w:rPr>
      </w:pPr>
      <w:bookmarkStart w:id="753" w:name="_Toc21572"/>
      <w:bookmarkStart w:id="754" w:name="_Toc11837"/>
      <w:r>
        <w:rPr>
          <w:rFonts w:hint="eastAsia" w:ascii="黑体" w:hAnsi="黑体" w:eastAsia="黑体" w:cs="黑体"/>
          <w:b/>
          <w:bCs/>
          <w:color w:val="000000"/>
          <w:sz w:val="44"/>
          <w:szCs w:val="44"/>
          <w:lang w:eastAsia="zh-CN"/>
        </w:rPr>
        <w:t>第三章 评标办法（综合评分法）</w:t>
      </w:r>
      <w:bookmarkEnd w:id="745"/>
      <w:bookmarkEnd w:id="746"/>
      <w:bookmarkEnd w:id="747"/>
      <w:bookmarkEnd w:id="748"/>
      <w:bookmarkEnd w:id="749"/>
      <w:bookmarkEnd w:id="750"/>
      <w:bookmarkEnd w:id="751"/>
      <w:bookmarkEnd w:id="752"/>
      <w:bookmarkEnd w:id="753"/>
      <w:bookmarkEnd w:id="754"/>
    </w:p>
    <w:p>
      <w:pPr>
        <w:pStyle w:val="87"/>
        <w:spacing w:before="100" w:after="100"/>
        <w:jc w:val="center"/>
        <w:rPr>
          <w:rFonts w:hint="eastAsia" w:ascii="宋体" w:hAnsi="宋体" w:cs="宋体"/>
          <w:bCs w:val="0"/>
          <w:color w:val="000000"/>
          <w:sz w:val="24"/>
        </w:rPr>
      </w:pPr>
      <w:bookmarkStart w:id="755" w:name="_Toc201487970"/>
      <w:bookmarkStart w:id="756" w:name="_Toc414897788"/>
      <w:bookmarkStart w:id="757" w:name="_Toc27816"/>
      <w:bookmarkStart w:id="758" w:name="_Toc202062701"/>
      <w:bookmarkStart w:id="759" w:name="_Toc10379"/>
      <w:bookmarkStart w:id="760" w:name="_Toc12190"/>
      <w:bookmarkStart w:id="761" w:name="_Toc22976"/>
      <w:bookmarkStart w:id="762" w:name="_Toc414891606"/>
      <w:bookmarkStart w:id="763" w:name="_Toc21541"/>
      <w:bookmarkStart w:id="764" w:name="_Toc201487348"/>
      <w:bookmarkStart w:id="765" w:name="_Toc20230"/>
      <w:bookmarkStart w:id="766" w:name="_Toc453756944"/>
      <w:bookmarkStart w:id="767" w:name="_Toc3624"/>
      <w:bookmarkStart w:id="768" w:name="_Toc428007688"/>
      <w:r>
        <w:rPr>
          <w:rFonts w:hint="eastAsia" w:ascii="宋体" w:hAnsi="宋体" w:cs="宋体"/>
          <w:bCs w:val="0"/>
          <w:color w:val="000000"/>
          <w:sz w:val="24"/>
        </w:rPr>
        <w:t>初步评审表</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tbl>
      <w:tblPr>
        <w:tblStyle w:val="44"/>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850"/>
        <w:gridCol w:w="1784"/>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477"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条款号</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评审因素</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27"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2.1.1</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形式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标准</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投标人名称</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center"/>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投标函签字盖章</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有法定代表人或其委托代理人签字并加盖单位</w:t>
            </w:r>
            <w:r>
              <w:rPr>
                <w:rFonts w:hint="eastAsia" w:ascii="宋体" w:hAnsi="宋体" w:cs="宋体"/>
                <w:color w:val="000000"/>
                <w:sz w:val="22"/>
                <w:szCs w:val="28"/>
                <w:lang w:eastAsia="zh-CN"/>
              </w:rPr>
              <w:t>公</w:t>
            </w:r>
            <w:r>
              <w:rPr>
                <w:rFonts w:hint="eastAsia" w:ascii="宋体" w:hAnsi="宋体" w:eastAsia="宋体" w:cs="宋体"/>
                <w:color w:val="000000"/>
                <w:sz w:val="22"/>
                <w:szCs w:val="28"/>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center"/>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投标文件格式</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符合第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center"/>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报价唯一</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2.1.2</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资格</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标准</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lang w:val="zh-CN"/>
              </w:rPr>
              <w:t>营业执照</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具有效营业执照副本；</w:t>
            </w:r>
            <w:r>
              <w:rPr>
                <w:rFonts w:hint="eastAsia" w:ascii="宋体" w:hAnsi="宋体" w:eastAsia="宋体" w:cs="宋体"/>
                <w:color w:val="000000"/>
                <w:sz w:val="22"/>
                <w:szCs w:val="28"/>
                <w:lang w:val="zh-CN"/>
              </w:rPr>
              <w:t>（</w:t>
            </w:r>
            <w:r>
              <w:rPr>
                <w:rFonts w:hint="eastAsia" w:ascii="宋体" w:hAnsi="宋体" w:eastAsia="宋体" w:cs="宋体"/>
                <w:color w:val="000000"/>
                <w:sz w:val="22"/>
                <w:szCs w:val="28"/>
              </w:rPr>
              <w:t>标书内附复印件加盖公章）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20" w:firstLineChars="100"/>
              <w:jc w:val="center"/>
              <w:textAlignment w:val="auto"/>
              <w:rPr>
                <w:rFonts w:hint="eastAsia" w:ascii="宋体" w:hAnsi="宋体" w:eastAsia="宋体" w:cs="宋体"/>
                <w:color w:val="000000"/>
                <w:sz w:val="22"/>
                <w:szCs w:val="28"/>
                <w:lang w:val="zh-CN"/>
              </w:rPr>
            </w:pPr>
            <w:r>
              <w:rPr>
                <w:rFonts w:hint="eastAsia" w:ascii="宋体" w:hAnsi="宋体" w:cs="宋体"/>
                <w:color w:val="000000"/>
                <w:sz w:val="22"/>
                <w:szCs w:val="28"/>
                <w:lang w:val="zh-CN"/>
              </w:rPr>
              <w:t>联合体协议书（如有）</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eastAsia="zh-CN"/>
              </w:rPr>
            </w:pPr>
            <w:r>
              <w:rPr>
                <w:rFonts w:hint="eastAsia" w:ascii="宋体" w:hAnsi="宋体" w:cs="宋体"/>
                <w:color w:val="000000"/>
                <w:sz w:val="22"/>
                <w:szCs w:val="28"/>
                <w:lang w:eastAsia="zh-CN"/>
              </w:rPr>
              <w:t>如是联合体投标，投标人提供</w:t>
            </w:r>
            <w:r>
              <w:rPr>
                <w:rFonts w:hint="eastAsia" w:ascii="宋体" w:hAnsi="宋体" w:cs="宋体"/>
                <w:color w:val="000000"/>
                <w:sz w:val="22"/>
                <w:szCs w:val="28"/>
                <w:lang w:val="zh-CN"/>
              </w:rPr>
              <w:t>联合体协议书，</w:t>
            </w:r>
            <w:r>
              <w:rPr>
                <w:rFonts w:hint="eastAsia" w:ascii="宋体" w:hAnsi="宋体" w:eastAsia="宋体" w:cs="宋体"/>
                <w:color w:val="000000"/>
                <w:sz w:val="22"/>
                <w:szCs w:val="28"/>
              </w:rPr>
              <w:t>有法定代表人或其委托代理人签字并加盖单位</w:t>
            </w:r>
            <w:r>
              <w:rPr>
                <w:rFonts w:hint="eastAsia" w:ascii="宋体" w:hAnsi="宋体" w:cs="宋体"/>
                <w:color w:val="000000"/>
                <w:sz w:val="22"/>
                <w:szCs w:val="28"/>
                <w:lang w:eastAsia="zh-CN"/>
              </w:rPr>
              <w:t>公</w:t>
            </w:r>
            <w:r>
              <w:rPr>
                <w:rFonts w:hint="eastAsia" w:ascii="宋体" w:hAnsi="宋体" w:eastAsia="宋体" w:cs="宋体"/>
                <w:color w:val="000000"/>
                <w:sz w:val="22"/>
                <w:szCs w:val="28"/>
              </w:rPr>
              <w:t>章</w:t>
            </w:r>
            <w:r>
              <w:rPr>
                <w:rFonts w:hint="eastAsia" w:ascii="宋体" w:hAnsi="宋体" w:cs="宋体"/>
                <w:color w:val="000000"/>
                <w:sz w:val="22"/>
                <w:szCs w:val="28"/>
                <w:lang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lang w:eastAsia="zh-CN"/>
              </w:rPr>
            </w:pPr>
            <w:r>
              <w:rPr>
                <w:rFonts w:hint="eastAsia" w:ascii="宋体" w:hAnsi="宋体" w:cs="宋体"/>
                <w:color w:val="000000"/>
                <w:sz w:val="22"/>
                <w:szCs w:val="28"/>
                <w:lang w:eastAsia="zh-CN"/>
              </w:rPr>
              <w:t>财务、社保及纳税要求</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en-US" w:eastAsia="zh-CN"/>
              </w:rPr>
            </w:pPr>
            <w:r>
              <w:rPr>
                <w:rFonts w:hint="eastAsia" w:ascii="宋体" w:hAnsi="宋体" w:cs="宋体"/>
                <w:color w:val="000000"/>
                <w:sz w:val="22"/>
                <w:szCs w:val="28"/>
                <w:lang w:val="zh-CN"/>
              </w:rPr>
              <w:t>投标单位</w:t>
            </w:r>
            <w:r>
              <w:rPr>
                <w:rFonts w:hint="eastAsia" w:ascii="宋体" w:hAnsi="宋体" w:eastAsia="宋体" w:cs="宋体"/>
                <w:color w:val="000000"/>
                <w:sz w:val="22"/>
                <w:szCs w:val="28"/>
                <w:lang w:val="zh-CN"/>
              </w:rPr>
              <w:t>应按照《长春市财政局关于加强政府采购信用体系建设简化供应商资格条件有关事项的通知》（长财采购〔2022〕2066号）文件要求</w:t>
            </w:r>
            <w:r>
              <w:rPr>
                <w:rFonts w:hint="eastAsia" w:ascii="宋体" w:hAnsi="宋体" w:eastAsia="宋体" w:cs="宋体"/>
                <w:color w:val="000000"/>
                <w:sz w:val="22"/>
                <w:szCs w:val="28"/>
                <w:lang w:val="zh-CN" w:eastAsia="zh-CN"/>
              </w:rPr>
              <w:t>，</w:t>
            </w:r>
            <w:r>
              <w:rPr>
                <w:rFonts w:hint="eastAsia" w:ascii="宋体" w:hAnsi="宋体" w:eastAsia="宋体" w:cs="宋体"/>
                <w:color w:val="000000"/>
                <w:sz w:val="22"/>
                <w:szCs w:val="28"/>
                <w:lang w:val="zh-CN"/>
              </w:rPr>
              <w:t>在</w:t>
            </w:r>
            <w:r>
              <w:rPr>
                <w:rFonts w:hint="eastAsia" w:ascii="宋体" w:hAnsi="宋体" w:eastAsia="宋体" w:cs="宋体"/>
                <w:color w:val="000000"/>
                <w:sz w:val="22"/>
                <w:szCs w:val="28"/>
                <w:lang w:val="zh-CN" w:eastAsia="zh-CN"/>
              </w:rPr>
              <w:t>投标</w:t>
            </w:r>
            <w:r>
              <w:rPr>
                <w:rFonts w:hint="eastAsia" w:ascii="宋体" w:hAnsi="宋体" w:eastAsia="宋体" w:cs="宋体"/>
                <w:color w:val="000000"/>
                <w:sz w:val="22"/>
                <w:szCs w:val="28"/>
                <w:lang w:val="zh-CN"/>
              </w:rPr>
              <w:t>文件中提交反映其财务状况、依法缴纳税收和社保保障资金情况的资格条件承诺函，并对资格条件承诺函有关内容的真实性、有效性、合法性负责</w:t>
            </w:r>
            <w:r>
              <w:rPr>
                <w:rFonts w:hint="eastAsia" w:ascii="宋体" w:hAnsi="宋体" w:eastAsia="宋体" w:cs="宋体"/>
                <w:color w:val="000000"/>
                <w:sz w:val="22"/>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3"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信誉</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lang w:val="en-US" w:eastAsia="zh-CN"/>
              </w:rPr>
              <w:t>不接受信用中国网站被列入失信被执行人、重大税收违法案件当事人名单、中国政府采购网被列入政府采购严重违法失信行为记录名单的投标人参与投标（详见财库[2016]125号文件）；投标人、法定代表人在中国裁判文书网（http://wenshu.court.gov.cn）无行贿犯罪记录</w:t>
            </w:r>
            <w:r>
              <w:rPr>
                <w:rFonts w:hint="eastAsia" w:ascii="宋体" w:hAnsi="宋体" w:eastAsia="宋体" w:cs="宋体"/>
                <w:color w:val="000000"/>
                <w:sz w:val="22"/>
                <w:szCs w:val="28"/>
                <w:highlight w:val="none"/>
              </w:rPr>
              <w:t>。提供相关网页截图。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lang w:val="zh-CN"/>
              </w:rPr>
            </w:pPr>
            <w:r>
              <w:rPr>
                <w:rFonts w:hint="eastAsia" w:ascii="宋体" w:hAnsi="宋体" w:eastAsia="宋体" w:cs="宋体"/>
                <w:color w:val="000000"/>
                <w:sz w:val="22"/>
                <w:szCs w:val="28"/>
                <w:lang w:val="zh-CN"/>
              </w:rPr>
              <w:t>不存在禁止投标的情形</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zh-CN"/>
              </w:rPr>
            </w:pPr>
            <w:r>
              <w:rPr>
                <w:rFonts w:hint="eastAsia" w:ascii="宋体" w:hAnsi="宋体" w:eastAsia="宋体" w:cs="宋体"/>
                <w:color w:val="000000"/>
                <w:sz w:val="22"/>
                <w:szCs w:val="28"/>
                <w:lang w:val="zh-CN"/>
              </w:rPr>
              <w:t>1.不存在第二章“投标人须知”第1.4.</w:t>
            </w:r>
            <w:r>
              <w:rPr>
                <w:rFonts w:hint="eastAsia" w:ascii="宋体" w:hAnsi="宋体" w:eastAsia="宋体" w:cs="宋体"/>
                <w:color w:val="000000"/>
                <w:sz w:val="22"/>
                <w:szCs w:val="28"/>
                <w:lang w:val="en-US" w:eastAsia="zh-CN"/>
              </w:rPr>
              <w:t>1</w:t>
            </w:r>
            <w:r>
              <w:rPr>
                <w:rFonts w:hint="eastAsia" w:ascii="宋体" w:hAnsi="宋体" w:eastAsia="宋体" w:cs="宋体"/>
                <w:color w:val="000000"/>
                <w:sz w:val="22"/>
                <w:szCs w:val="28"/>
                <w:lang w:val="zh-CN"/>
              </w:rPr>
              <w:t>项规定的不允许情形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en-US" w:eastAsia="zh-CN"/>
              </w:rPr>
            </w:pPr>
            <w:r>
              <w:rPr>
                <w:rFonts w:hint="eastAsia" w:ascii="宋体" w:hAnsi="宋体" w:cs="宋体"/>
                <w:color w:val="000000"/>
                <w:sz w:val="22"/>
                <w:szCs w:val="28"/>
                <w:lang w:val="en-US" w:eastAsia="zh-CN"/>
              </w:rPr>
              <w:t>2.</w:t>
            </w:r>
            <w:r>
              <w:rPr>
                <w:rFonts w:hint="eastAsia" w:ascii="宋体" w:hAnsi="宋体" w:eastAsia="宋体" w:cs="宋体"/>
                <w:color w:val="000000"/>
                <w:sz w:val="22"/>
                <w:szCs w:val="28"/>
                <w:lang w:val="en-US" w:eastAsia="zh-CN"/>
              </w:rPr>
              <w:t>拒绝列入政府取消投标资格记录期间的企业或个人参与本次政府采购活动；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zh-CN" w:eastAsia="zh-CN"/>
              </w:rPr>
            </w:pPr>
            <w:r>
              <w:rPr>
                <w:rFonts w:hint="eastAsia" w:ascii="宋体" w:hAnsi="宋体" w:cs="宋体"/>
                <w:color w:val="000000"/>
                <w:sz w:val="22"/>
                <w:szCs w:val="28"/>
                <w:lang w:val="en-US" w:eastAsia="zh-CN"/>
              </w:rPr>
              <w:t>3.</w:t>
            </w:r>
            <w:r>
              <w:rPr>
                <w:rFonts w:hint="eastAsia" w:ascii="宋体" w:hAnsi="宋体" w:eastAsia="宋体" w:cs="宋体"/>
                <w:color w:val="000000"/>
                <w:sz w:val="22"/>
                <w:szCs w:val="28"/>
                <w:lang w:val="en-US" w:eastAsia="zh-CN"/>
              </w:rPr>
              <w:t>参加政府采购活动前三年内在经营活动中没有重大违法记录的书面声明；</w:t>
            </w:r>
            <w:r>
              <w:rPr>
                <w:rFonts w:hint="eastAsia" w:ascii="宋体" w:hAnsi="宋体" w:eastAsia="宋体" w:cs="宋体"/>
                <w:color w:val="000000"/>
                <w:sz w:val="22"/>
                <w:szCs w:val="28"/>
                <w:lang w:val="zh-CN"/>
              </w:rPr>
              <w:t>投标文件内附由法定代表人或其委托代理人签字并加盖投标单位公章的承诺书</w:t>
            </w:r>
            <w:r>
              <w:rPr>
                <w:rFonts w:hint="eastAsia" w:ascii="宋体" w:hAnsi="宋体" w:cs="宋体"/>
                <w:color w:val="000000"/>
                <w:sz w:val="22"/>
                <w:szCs w:val="28"/>
                <w:lang w:val="zh-CN"/>
              </w:rPr>
              <w:t>，</w:t>
            </w:r>
            <w:r>
              <w:rPr>
                <w:rFonts w:hint="eastAsia" w:ascii="宋体" w:hAnsi="宋体" w:eastAsia="宋体" w:cs="宋体"/>
                <w:color w:val="000000"/>
                <w:sz w:val="22"/>
                <w:szCs w:val="28"/>
                <w:lang w:val="zh-CN"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2.1.3</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响应性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标准</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投标报价</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cs="宋体"/>
                <w:color w:val="000000"/>
                <w:sz w:val="22"/>
                <w:szCs w:val="28"/>
                <w:highlight w:val="none"/>
                <w:lang w:eastAsia="zh-CN"/>
              </w:rPr>
              <w:t>不允许超过最高投标限价</w:t>
            </w:r>
            <w:r>
              <w:rPr>
                <w:rFonts w:hint="eastAsia" w:ascii="宋体" w:hAnsi="宋体" w:eastAsia="宋体" w:cs="宋体"/>
                <w:color w:val="000000"/>
                <w:sz w:val="22"/>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center"/>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投标内容</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eastAsia="zh-CN"/>
              </w:rPr>
            </w:pPr>
            <w:r>
              <w:rPr>
                <w:rFonts w:hint="eastAsia" w:ascii="宋体" w:hAnsi="宋体" w:eastAsia="宋体" w:cs="宋体"/>
                <w:color w:val="000000"/>
                <w:sz w:val="22"/>
                <w:szCs w:val="28"/>
              </w:rPr>
              <w:t>符合</w:t>
            </w:r>
            <w:r>
              <w:rPr>
                <w:rFonts w:hint="eastAsia" w:ascii="宋体" w:hAnsi="宋体" w:cs="宋体"/>
                <w:color w:val="000000"/>
                <w:sz w:val="22"/>
                <w:szCs w:val="28"/>
                <w:lang w:eastAsia="zh-CN"/>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合同履行期限</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000000"/>
                <w:sz w:val="22"/>
                <w:szCs w:val="28"/>
              </w:rPr>
            </w:pPr>
            <w:r>
              <w:rPr>
                <w:rFonts w:hint="eastAsia" w:ascii="宋体" w:hAnsi="宋体" w:cs="宋体"/>
                <w:color w:val="000000"/>
                <w:sz w:val="22"/>
                <w:szCs w:val="28"/>
                <w:lang w:eastAsia="zh-CN"/>
              </w:rPr>
              <w:t>服务</w:t>
            </w:r>
            <w:r>
              <w:rPr>
                <w:rFonts w:hint="eastAsia" w:ascii="宋体" w:hAnsi="宋体" w:eastAsia="宋体" w:cs="宋体"/>
                <w:color w:val="000000"/>
                <w:sz w:val="22"/>
                <w:szCs w:val="28"/>
              </w:rPr>
              <w:t>标准</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eastAsia="zh-CN"/>
              </w:rPr>
            </w:pPr>
            <w:r>
              <w:rPr>
                <w:rFonts w:hint="eastAsia" w:ascii="宋体" w:hAnsi="宋体" w:eastAsia="宋体" w:cs="宋体"/>
                <w:color w:val="000000"/>
                <w:sz w:val="22"/>
                <w:szCs w:val="28"/>
                <w:lang w:val="en-US" w:eastAsia="zh-CN"/>
              </w:rPr>
              <w:t>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投标有效期</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eastAsia="zh-CN"/>
              </w:rPr>
            </w:pPr>
            <w:r>
              <w:rPr>
                <w:rFonts w:hint="eastAsia" w:ascii="宋体" w:hAnsi="宋体" w:eastAsia="宋体" w:cs="宋体"/>
                <w:color w:val="000000"/>
                <w:sz w:val="22"/>
                <w:szCs w:val="28"/>
              </w:rPr>
              <w:t>投标截止之日起90日历天</w:t>
            </w:r>
            <w:r>
              <w:rPr>
                <w:rFonts w:hint="eastAsia" w:ascii="宋体" w:hAnsi="宋体" w:cs="宋体"/>
                <w:color w:val="000000"/>
                <w:sz w:val="22"/>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其他要求</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满足招标文件的</w:t>
            </w:r>
            <w:r>
              <w:rPr>
                <w:rFonts w:hint="eastAsia" w:ascii="宋体" w:hAnsi="宋体" w:cs="宋体"/>
                <w:color w:val="000000"/>
                <w:sz w:val="22"/>
                <w:szCs w:val="28"/>
                <w:lang w:val="en-US" w:eastAsia="zh-CN"/>
              </w:rPr>
              <w:t>第五章</w:t>
            </w:r>
            <w:r>
              <w:rPr>
                <w:rFonts w:hint="eastAsia" w:ascii="宋体" w:hAnsi="宋体" w:eastAsia="宋体" w:cs="宋体"/>
                <w:color w:val="000000"/>
                <w:sz w:val="22"/>
                <w:szCs w:val="28"/>
              </w:rPr>
              <w:t>采购需求</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提供法定代表人或其授权委托人签字并加盖公章的承诺书，承诺书格式自拟</w:t>
            </w:r>
            <w:r>
              <w:rPr>
                <w:rFonts w:hint="eastAsia" w:ascii="宋体" w:hAnsi="宋体" w:eastAsia="宋体" w:cs="宋体"/>
                <w:color w:val="000000"/>
                <w:sz w:val="22"/>
                <w:szCs w:val="28"/>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lang w:val="zh-CN"/>
        </w:rPr>
      </w:pPr>
      <w:r>
        <w:rPr>
          <w:rFonts w:hint="eastAsia" w:ascii="宋体" w:hAnsi="宋体" w:eastAsia="宋体" w:cs="宋体"/>
          <w:color w:val="000000"/>
          <w:sz w:val="22"/>
          <w:szCs w:val="28"/>
        </w:rPr>
        <w:t>注</w:t>
      </w:r>
      <w:r>
        <w:rPr>
          <w:rFonts w:hint="eastAsia" w:ascii="宋体" w:hAnsi="宋体" w:eastAsia="宋体" w:cs="宋体"/>
          <w:color w:val="000000"/>
          <w:sz w:val="22"/>
          <w:szCs w:val="28"/>
          <w:lang w:val="zh-CN"/>
        </w:rPr>
        <w:t>：（1）上述内容中有一项不合格，则</w:t>
      </w:r>
      <w:r>
        <w:rPr>
          <w:rFonts w:hint="eastAsia" w:ascii="宋体" w:hAnsi="宋体" w:eastAsia="宋体" w:cs="宋体"/>
          <w:color w:val="000000"/>
          <w:sz w:val="22"/>
          <w:szCs w:val="28"/>
        </w:rPr>
        <w:t>初步</w:t>
      </w:r>
      <w:r>
        <w:rPr>
          <w:rFonts w:hint="eastAsia" w:ascii="宋体" w:hAnsi="宋体" w:eastAsia="宋体" w:cs="宋体"/>
          <w:color w:val="000000"/>
          <w:sz w:val="22"/>
          <w:szCs w:val="28"/>
          <w:lang w:val="zh-CN"/>
        </w:rPr>
        <w:t>评审不合格，投标按废标处理，不进入后期评审。每项审查内容合格打“√”，不合格打“×”。评审结论写“合格”或“不合格”。不合格须注明原因。</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1"/>
          <w:szCs w:val="21"/>
          <w:lang w:val="zh-CN"/>
        </w:rPr>
      </w:pPr>
      <w:r>
        <w:rPr>
          <w:rFonts w:hint="eastAsia" w:ascii="宋体" w:hAnsi="宋体" w:eastAsia="宋体" w:cs="宋体"/>
          <w:color w:val="000000"/>
          <w:sz w:val="22"/>
          <w:szCs w:val="28"/>
          <w:lang w:val="zh-CN"/>
        </w:rPr>
        <w:t>（2）投标人所提供的所有证件均需在有效期内且注册单位名称与投标人的名称一致，如企业名称发生变更，需提供主管部门出具的变更证明材料。</w:t>
      </w:r>
    </w:p>
    <w:p>
      <w:pPr>
        <w:pStyle w:val="87"/>
        <w:jc w:val="both"/>
        <w:rPr>
          <w:rFonts w:hint="eastAsia" w:ascii="宋体" w:hAnsi="宋体" w:cs="宋体"/>
          <w:b w:val="0"/>
          <w:bCs w:val="0"/>
          <w:color w:val="000000"/>
          <w:sz w:val="24"/>
        </w:rPr>
      </w:pPr>
    </w:p>
    <w:p>
      <w:pPr>
        <w:pStyle w:val="87"/>
        <w:jc w:val="both"/>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jc w:val="both"/>
        <w:rPr>
          <w:rFonts w:hint="eastAsia" w:ascii="宋体" w:hAnsi="宋体" w:cs="宋体"/>
          <w:b w:val="0"/>
          <w:bCs w:val="0"/>
          <w:color w:val="000000"/>
          <w:sz w:val="24"/>
        </w:rPr>
      </w:pPr>
    </w:p>
    <w:p>
      <w:pPr>
        <w:pStyle w:val="87"/>
        <w:jc w:val="center"/>
        <w:rPr>
          <w:rFonts w:hint="eastAsia" w:ascii="宋体" w:hAnsi="宋体" w:cs="宋体"/>
          <w:b w:val="0"/>
          <w:bCs w:val="0"/>
          <w:color w:val="000000"/>
          <w:sz w:val="24"/>
        </w:rPr>
      </w:pPr>
    </w:p>
    <w:p>
      <w:pPr>
        <w:pStyle w:val="87"/>
        <w:spacing w:before="100" w:after="100"/>
        <w:jc w:val="center"/>
        <w:rPr>
          <w:rFonts w:hint="eastAsia" w:ascii="宋体" w:hAnsi="宋体" w:eastAsia="宋体" w:cs="宋体"/>
          <w:bCs w:val="0"/>
          <w:color w:val="000000"/>
          <w:sz w:val="24"/>
        </w:rPr>
      </w:pPr>
      <w:bookmarkStart w:id="769" w:name="_Toc5933"/>
      <w:bookmarkStart w:id="770" w:name="_Toc14063"/>
      <w:bookmarkStart w:id="771" w:name="_Toc4375"/>
      <w:bookmarkStart w:id="772" w:name="_Toc31949"/>
      <w:bookmarkStart w:id="773" w:name="_Toc24574"/>
      <w:bookmarkStart w:id="774" w:name="_Toc428007689"/>
      <w:bookmarkStart w:id="775" w:name="_Toc453756945"/>
      <w:bookmarkStart w:id="776" w:name="_Toc8432"/>
      <w:bookmarkStart w:id="777" w:name="_Toc26893"/>
      <w:r>
        <w:rPr>
          <w:rFonts w:hint="eastAsia" w:ascii="宋体" w:hAnsi="宋体" w:eastAsia="宋体" w:cs="宋体"/>
          <w:bCs w:val="0"/>
          <w:color w:val="000000"/>
          <w:sz w:val="24"/>
        </w:rPr>
        <w:t>详细评审表</w:t>
      </w:r>
      <w:bookmarkEnd w:id="769"/>
      <w:bookmarkEnd w:id="770"/>
      <w:bookmarkEnd w:id="771"/>
      <w:bookmarkEnd w:id="772"/>
      <w:bookmarkEnd w:id="773"/>
      <w:bookmarkEnd w:id="774"/>
      <w:bookmarkEnd w:id="775"/>
      <w:bookmarkEnd w:id="776"/>
      <w:bookmarkEnd w:id="777"/>
    </w:p>
    <w:tbl>
      <w:tblPr>
        <w:tblStyle w:val="44"/>
        <w:tblpPr w:leftFromText="180" w:rightFromText="180" w:vertAnchor="text" w:horzAnchor="page" w:tblpX="1146" w:tblpY="420"/>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924"/>
        <w:gridCol w:w="1581"/>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条款号</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条款内容</w:t>
            </w:r>
          </w:p>
        </w:tc>
        <w:tc>
          <w:tcPr>
            <w:tcW w:w="5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2.2.1</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分值构成</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(总分100分</w:t>
            </w:r>
            <w:r>
              <w:rPr>
                <w:rFonts w:hint="eastAsia" w:ascii="宋体" w:hAnsi="宋体" w:cs="宋体"/>
                <w:color w:val="000000"/>
                <w:sz w:val="22"/>
                <w:szCs w:val="28"/>
                <w:highlight w:val="none"/>
                <w:lang w:eastAsia="zh-CN"/>
              </w:rPr>
              <w:t>）</w:t>
            </w:r>
          </w:p>
        </w:tc>
        <w:tc>
          <w:tcPr>
            <w:tcW w:w="5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lang w:val="en-US" w:eastAsia="zh-CN"/>
              </w:rPr>
              <w:t>技术</w:t>
            </w:r>
            <w:r>
              <w:rPr>
                <w:rFonts w:hint="eastAsia" w:ascii="宋体" w:hAnsi="宋体" w:cs="宋体"/>
                <w:color w:val="000000"/>
                <w:sz w:val="22"/>
                <w:szCs w:val="28"/>
                <w:highlight w:val="none"/>
                <w:lang w:val="zh-CN"/>
              </w:rPr>
              <w:t>部分</w:t>
            </w: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60</w:t>
            </w:r>
            <w:r>
              <w:rPr>
                <w:rFonts w:hint="eastAsia" w:ascii="宋体" w:hAnsi="宋体" w:eastAsia="宋体" w:cs="宋体"/>
                <w:color w:val="000000"/>
                <w:sz w:val="22"/>
                <w:szCs w:val="28"/>
                <w:highlight w:val="none"/>
              </w:rPr>
              <w:t xml:space="preserve">分        </w:t>
            </w:r>
            <w:r>
              <w:rPr>
                <w:rFonts w:hint="eastAsia" w:ascii="宋体" w:hAnsi="宋体" w:cs="宋体"/>
                <w:color w:val="000000"/>
                <w:sz w:val="22"/>
                <w:szCs w:val="28"/>
                <w:highlight w:val="none"/>
                <w:lang w:val="en-US" w:eastAsia="zh-CN"/>
              </w:rPr>
              <w:t xml:space="preserve">  商务</w:t>
            </w:r>
            <w:r>
              <w:rPr>
                <w:rFonts w:hint="eastAsia" w:ascii="宋体" w:hAnsi="宋体" w:cs="宋体"/>
                <w:color w:val="000000"/>
                <w:sz w:val="22"/>
                <w:szCs w:val="28"/>
                <w:highlight w:val="none"/>
                <w:lang w:val="zh-CN"/>
              </w:rPr>
              <w:t>部分</w:t>
            </w: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30</w:t>
            </w:r>
            <w:r>
              <w:rPr>
                <w:rFonts w:hint="eastAsia" w:ascii="宋体" w:hAnsi="宋体" w:eastAsia="宋体" w:cs="宋体"/>
                <w:color w:val="000000"/>
                <w:sz w:val="22"/>
                <w:szCs w:val="28"/>
                <w:highlight w:val="none"/>
              </w:rPr>
              <w:t>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w:t>
            </w:r>
            <w:r>
              <w:rPr>
                <w:rFonts w:hint="eastAsia" w:ascii="宋体" w:hAnsi="宋体" w:cs="宋体"/>
                <w:color w:val="000000"/>
                <w:sz w:val="22"/>
                <w:szCs w:val="28"/>
                <w:highlight w:val="none"/>
                <w:lang w:val="zh-CN"/>
              </w:rPr>
              <w:t>部分</w:t>
            </w: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 xml:space="preserve">分        </w:t>
            </w:r>
            <w:r>
              <w:rPr>
                <w:rFonts w:hint="eastAsia" w:ascii="宋体" w:hAnsi="宋体" w:cs="宋体"/>
                <w:color w:val="000000"/>
                <w:sz w:val="22"/>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0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2.2.2</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评标基准价计算方法</w:t>
            </w:r>
          </w:p>
        </w:tc>
        <w:tc>
          <w:tcPr>
            <w:tcW w:w="5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评标基准价的确定及评分规定：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评标基准价为所有经过评审后的有效投标人的最低投标报价。当投标人的投标报价等于评标基准价时，得满分</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2.2.3</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计算公式</w:t>
            </w:r>
          </w:p>
        </w:tc>
        <w:tc>
          <w:tcPr>
            <w:tcW w:w="5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投标报价得分=（评标基准价/投标报价）*基准分值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投标报价得分均保留小数点后两位，第三位四舍五入。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0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条款号</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评分因素</w:t>
            </w:r>
          </w:p>
        </w:tc>
        <w:tc>
          <w:tcPr>
            <w:tcW w:w="5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14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w:t>
            </w:r>
            <w:r>
              <w:rPr>
                <w:rFonts w:hint="eastAsia" w:ascii="宋体" w:hAnsi="宋体" w:cs="宋体"/>
                <w:color w:val="000000"/>
                <w:sz w:val="22"/>
                <w:szCs w:val="28"/>
                <w:highlight w:val="none"/>
                <w:lang w:val="zh-CN"/>
              </w:rPr>
              <w:t>部分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lang w:eastAsia="zh-CN"/>
              </w:rPr>
              <w:t>（</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 xml:space="preserve">分 </w:t>
            </w:r>
            <w:r>
              <w:rPr>
                <w:rFonts w:hint="eastAsia" w:ascii="宋体" w:hAnsi="宋体" w:eastAsia="宋体" w:cs="宋体"/>
                <w:color w:val="000000"/>
                <w:sz w:val="22"/>
                <w:szCs w:val="28"/>
                <w:highlight w:val="none"/>
                <w:lang w:eastAsia="zh-CN"/>
              </w:rPr>
              <w:t>）</w:t>
            </w:r>
            <w:r>
              <w:rPr>
                <w:rFonts w:hint="eastAsia" w:ascii="宋体" w:hAnsi="宋体" w:eastAsia="宋体" w:cs="宋体"/>
                <w:color w:val="000000"/>
                <w:sz w:val="22"/>
                <w:szCs w:val="28"/>
                <w:highlight w:val="none"/>
              </w:rPr>
              <w:t xml:space="preserve"> </w:t>
            </w:r>
          </w:p>
        </w:tc>
        <w:tc>
          <w:tcPr>
            <w:tcW w:w="92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2.2.4（1）</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投标报价（</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分）</w:t>
            </w:r>
          </w:p>
        </w:tc>
        <w:tc>
          <w:tcPr>
            <w:tcW w:w="573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评标基准价的确定及评分规定：评标基准价为所有经过评审后的有效投标人的最低投标报价。当投标人的投标报价等于评标基准价时，得满分</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rPr>
              <w:t>投标报价得分=（评标基准价/投标报价）*</w:t>
            </w:r>
            <w:r>
              <w:rPr>
                <w:rFonts w:hint="eastAsia" w:ascii="宋体" w:hAnsi="宋体" w:cs="宋体"/>
                <w:color w:val="000000"/>
                <w:sz w:val="22"/>
                <w:szCs w:val="28"/>
                <w:highlight w:val="none"/>
                <w:lang w:val="en-US" w:eastAsia="zh-CN"/>
              </w:rPr>
              <w:t>10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投标报价得分均保留小数点后两位，第三位四舍五入。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14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lang w:val="en-US" w:eastAsia="zh-CN"/>
              </w:rPr>
              <w:t>商务</w:t>
            </w:r>
            <w:r>
              <w:rPr>
                <w:rFonts w:hint="eastAsia" w:ascii="宋体" w:hAnsi="宋体" w:cs="宋体"/>
                <w:color w:val="000000"/>
                <w:sz w:val="22"/>
                <w:szCs w:val="28"/>
                <w:highlight w:val="none"/>
                <w:lang w:val="zh-CN"/>
              </w:rPr>
              <w:t>部分</w:t>
            </w: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30</w:t>
            </w:r>
            <w:r>
              <w:rPr>
                <w:rFonts w:hint="eastAsia" w:ascii="宋体" w:hAnsi="宋体" w:eastAsia="宋体" w:cs="宋体"/>
                <w:color w:val="000000"/>
                <w:sz w:val="22"/>
                <w:szCs w:val="28"/>
                <w:highlight w:val="none"/>
              </w:rPr>
              <w:t>分）</w:t>
            </w:r>
          </w:p>
        </w:tc>
        <w:tc>
          <w:tcPr>
            <w:tcW w:w="92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2.2.4 (2)</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cs="宋体"/>
                <w:color w:val="000000"/>
                <w:sz w:val="22"/>
                <w:szCs w:val="28"/>
                <w:highlight w:val="none"/>
                <w:lang w:val="en-US" w:eastAsia="zh-CN"/>
              </w:rPr>
              <w:t>企业</w:t>
            </w:r>
            <w:r>
              <w:rPr>
                <w:rFonts w:hint="eastAsia" w:ascii="宋体" w:hAnsi="宋体" w:eastAsia="宋体" w:cs="宋体"/>
                <w:color w:val="000000"/>
                <w:sz w:val="22"/>
                <w:szCs w:val="28"/>
                <w:highlight w:val="none"/>
              </w:rPr>
              <w:t>业绩（</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分）</w:t>
            </w:r>
          </w:p>
        </w:tc>
        <w:tc>
          <w:tcPr>
            <w:tcW w:w="5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提供递交响应文件截止日前</w:t>
            </w:r>
            <w:r>
              <w:rPr>
                <w:rFonts w:hint="eastAsia" w:ascii="宋体" w:hAnsi="宋体" w:cs="宋体"/>
                <w:color w:val="000000"/>
                <w:sz w:val="22"/>
                <w:szCs w:val="28"/>
                <w:highlight w:val="none"/>
                <w:lang w:eastAsia="zh-CN"/>
              </w:rPr>
              <w:t>三</w:t>
            </w:r>
            <w:r>
              <w:rPr>
                <w:rFonts w:hint="eastAsia" w:ascii="宋体" w:hAnsi="宋体" w:eastAsia="宋体" w:cs="宋体"/>
                <w:color w:val="000000"/>
                <w:sz w:val="22"/>
                <w:szCs w:val="28"/>
                <w:highlight w:val="none"/>
              </w:rPr>
              <w:t>年内类似项目业绩，每提供一项得</w:t>
            </w:r>
            <w:r>
              <w:rPr>
                <w:rFonts w:hint="eastAsia" w:ascii="宋体" w:hAnsi="宋体" w:cs="宋体"/>
                <w:color w:val="000000"/>
                <w:sz w:val="22"/>
                <w:szCs w:val="28"/>
                <w:highlight w:val="none"/>
                <w:lang w:val="en-US" w:eastAsia="zh-CN"/>
              </w:rPr>
              <w:t>2</w:t>
            </w:r>
            <w:r>
              <w:rPr>
                <w:rFonts w:hint="eastAsia" w:ascii="宋体" w:hAnsi="宋体" w:eastAsia="宋体" w:cs="宋体"/>
                <w:color w:val="000000"/>
                <w:sz w:val="22"/>
                <w:szCs w:val="28"/>
                <w:highlight w:val="none"/>
              </w:rPr>
              <w:t>分，满分</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分。（以响应文件中加盖供应商公章的合同</w:t>
            </w:r>
            <w:r>
              <w:rPr>
                <w:rFonts w:hint="eastAsia" w:ascii="宋体" w:hAnsi="宋体" w:cs="宋体"/>
                <w:color w:val="000000"/>
                <w:sz w:val="22"/>
                <w:szCs w:val="28"/>
                <w:highlight w:val="none"/>
                <w:lang w:eastAsia="zh-CN"/>
              </w:rPr>
              <w:t>或中标通知书</w:t>
            </w:r>
            <w:r>
              <w:rPr>
                <w:rFonts w:hint="eastAsia" w:ascii="宋体" w:hAnsi="宋体" w:eastAsia="宋体" w:cs="宋体"/>
                <w:color w:val="000000"/>
                <w:sz w:val="22"/>
                <w:szCs w:val="28"/>
                <w:highlight w:val="none"/>
              </w:rPr>
              <w:t>复印件为评分依据）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p>
        </w:tc>
        <w:tc>
          <w:tcPr>
            <w:tcW w:w="92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2.2.4（</w:t>
            </w:r>
            <w:r>
              <w:rPr>
                <w:rFonts w:hint="eastAsia" w:ascii="宋体" w:hAnsi="宋体" w:cs="宋体"/>
                <w:color w:val="000000"/>
                <w:sz w:val="22"/>
                <w:szCs w:val="28"/>
                <w:highlight w:val="none"/>
                <w:lang w:val="en-US" w:eastAsia="zh-CN"/>
              </w:rPr>
              <w:t>2</w:t>
            </w:r>
            <w:r>
              <w:rPr>
                <w:rFonts w:hint="eastAsia" w:ascii="宋体" w:hAnsi="宋体" w:eastAsia="宋体" w:cs="宋体"/>
                <w:color w:val="000000"/>
                <w:sz w:val="22"/>
                <w:szCs w:val="28"/>
                <w:highlight w:val="none"/>
              </w:rPr>
              <w:t>）</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eastAsia="zh-CN"/>
              </w:rPr>
            </w:pPr>
            <w:r>
              <w:rPr>
                <w:rFonts w:hint="eastAsia" w:ascii="宋体" w:hAnsi="宋体" w:cs="宋体"/>
                <w:color w:val="000000"/>
                <w:sz w:val="22"/>
                <w:szCs w:val="28"/>
                <w:highlight w:val="none"/>
                <w:lang w:val="en-US" w:eastAsia="zh-CN"/>
              </w:rPr>
              <w:t>项目负责人</w:t>
            </w:r>
            <w:r>
              <w:rPr>
                <w:rFonts w:hint="eastAsia" w:ascii="宋体" w:hAnsi="宋体" w:cs="宋体"/>
                <w:color w:val="000000"/>
                <w:sz w:val="22"/>
                <w:szCs w:val="28"/>
                <w:highlight w:val="none"/>
                <w:lang w:eastAsia="zh-CN"/>
              </w:rPr>
              <w:t>（</w:t>
            </w:r>
            <w:r>
              <w:rPr>
                <w:rFonts w:hint="eastAsia" w:ascii="宋体" w:hAnsi="宋体" w:cs="宋体"/>
                <w:color w:val="000000"/>
                <w:sz w:val="22"/>
                <w:szCs w:val="28"/>
                <w:highlight w:val="none"/>
                <w:lang w:val="en-US" w:eastAsia="zh-CN"/>
              </w:rPr>
              <w:t>3分</w:t>
            </w:r>
            <w:r>
              <w:rPr>
                <w:rFonts w:hint="eastAsia" w:ascii="宋体" w:hAnsi="宋体" w:cs="宋体"/>
                <w:color w:val="000000"/>
                <w:sz w:val="22"/>
                <w:szCs w:val="28"/>
                <w:highlight w:val="none"/>
                <w:lang w:eastAsia="zh-CN"/>
              </w:rPr>
              <w:t>）</w:t>
            </w:r>
          </w:p>
        </w:tc>
        <w:tc>
          <w:tcPr>
            <w:tcW w:w="5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投标人拟派本项目</w:t>
            </w:r>
            <w:r>
              <w:rPr>
                <w:rFonts w:hint="eastAsia" w:ascii="宋体" w:hAnsi="宋体" w:eastAsia="宋体" w:cs="宋体"/>
                <w:color w:val="000000"/>
                <w:sz w:val="22"/>
                <w:szCs w:val="28"/>
                <w:highlight w:val="none"/>
                <w:lang w:val="en-US" w:eastAsia="zh-CN"/>
              </w:rPr>
              <w:t>负责人</w:t>
            </w:r>
            <w:r>
              <w:rPr>
                <w:rFonts w:hint="eastAsia" w:ascii="宋体" w:hAnsi="宋体" w:eastAsia="宋体" w:cs="宋体"/>
                <w:color w:val="000000"/>
                <w:sz w:val="22"/>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1</w:t>
            </w:r>
            <w:r>
              <w:rPr>
                <w:rFonts w:hint="eastAsia" w:ascii="宋体" w:hAnsi="宋体" w:eastAsia="宋体" w:cs="宋体"/>
                <w:color w:val="000000"/>
                <w:sz w:val="22"/>
                <w:szCs w:val="28"/>
                <w:highlight w:val="none"/>
                <w:lang w:val="en-US" w:eastAsia="zh-CN"/>
              </w:rPr>
              <w:t>.</w:t>
            </w:r>
            <w:r>
              <w:rPr>
                <w:rFonts w:hint="eastAsia" w:ascii="宋体" w:hAnsi="宋体" w:eastAsia="宋体" w:cs="宋体"/>
                <w:color w:val="000000"/>
                <w:sz w:val="22"/>
                <w:szCs w:val="28"/>
                <w:highlight w:val="none"/>
                <w:lang w:val="zh-CN"/>
              </w:rPr>
              <w:t>提供项目</w:t>
            </w:r>
            <w:r>
              <w:rPr>
                <w:rFonts w:hint="eastAsia" w:ascii="宋体" w:hAnsi="宋体" w:eastAsia="宋体" w:cs="宋体"/>
                <w:color w:val="000000"/>
                <w:sz w:val="22"/>
                <w:szCs w:val="28"/>
                <w:highlight w:val="none"/>
                <w:lang w:val="zh-CN" w:eastAsia="zh-CN"/>
              </w:rPr>
              <w:t>负责人的</w:t>
            </w:r>
            <w:r>
              <w:rPr>
                <w:rFonts w:hint="eastAsia" w:ascii="宋体" w:hAnsi="宋体" w:eastAsia="宋体" w:cs="宋体"/>
                <w:color w:val="000000"/>
                <w:sz w:val="22"/>
                <w:szCs w:val="28"/>
                <w:highlight w:val="none"/>
              </w:rPr>
              <w:t>高级职称证书</w:t>
            </w:r>
            <w:r>
              <w:rPr>
                <w:rFonts w:hint="eastAsia" w:ascii="宋体" w:hAnsi="宋体" w:eastAsia="宋体" w:cs="宋体"/>
                <w:color w:val="000000"/>
                <w:sz w:val="22"/>
                <w:szCs w:val="28"/>
                <w:highlight w:val="none"/>
                <w:lang w:val="zh-CN"/>
              </w:rPr>
              <w:t>复印件并加盖公章得</w:t>
            </w:r>
            <w:r>
              <w:rPr>
                <w:rFonts w:hint="eastAsia" w:ascii="宋体" w:hAnsi="宋体" w:eastAsia="宋体" w:cs="宋体"/>
                <w:color w:val="000000"/>
                <w:sz w:val="22"/>
                <w:szCs w:val="28"/>
                <w:highlight w:val="none"/>
                <w:lang w:val="en-US" w:eastAsia="zh-CN"/>
              </w:rPr>
              <w:t>1.5</w:t>
            </w:r>
            <w:r>
              <w:rPr>
                <w:rFonts w:hint="eastAsia" w:ascii="宋体" w:hAnsi="宋体" w:eastAsia="宋体" w:cs="宋体"/>
                <w:color w:val="000000"/>
                <w:sz w:val="22"/>
                <w:szCs w:val="28"/>
                <w:highlight w:val="none"/>
                <w:lang w:val="zh-CN"/>
              </w:rPr>
              <w:t>分，不提供不得分</w:t>
            </w:r>
            <w:r>
              <w:rPr>
                <w:rFonts w:hint="eastAsia" w:ascii="宋体" w:hAnsi="宋体" w:eastAsia="宋体" w:cs="宋体"/>
                <w:color w:val="000000"/>
                <w:sz w:val="22"/>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w:t>
            </w:r>
            <w:r>
              <w:rPr>
                <w:rFonts w:hint="eastAsia" w:ascii="宋体" w:hAnsi="宋体" w:eastAsia="宋体" w:cs="宋体"/>
                <w:color w:val="000000"/>
                <w:sz w:val="22"/>
                <w:szCs w:val="28"/>
                <w:highlight w:val="none"/>
                <w:lang w:val="en-US" w:eastAsia="zh-CN"/>
              </w:rPr>
              <w:t>.</w:t>
            </w:r>
            <w:r>
              <w:rPr>
                <w:rFonts w:hint="eastAsia" w:ascii="宋体" w:hAnsi="宋体" w:eastAsia="宋体" w:cs="宋体"/>
                <w:color w:val="000000"/>
                <w:sz w:val="22"/>
                <w:szCs w:val="28"/>
                <w:highlight w:val="none"/>
                <w:lang w:val="zh-CN" w:eastAsia="zh-CN"/>
              </w:rPr>
              <w:t>提供项目负责人的</w:t>
            </w:r>
            <w:r>
              <w:rPr>
                <w:rFonts w:hint="eastAsia" w:ascii="宋体" w:hAnsi="宋体" w:eastAsia="宋体" w:cs="宋体"/>
                <w:color w:val="000000"/>
                <w:sz w:val="22"/>
                <w:szCs w:val="28"/>
                <w:highlight w:val="none"/>
                <w:lang w:val="en-US" w:eastAsia="zh-CN"/>
              </w:rPr>
              <w:t>类业绩</w:t>
            </w:r>
            <w:r>
              <w:rPr>
                <w:rFonts w:hint="eastAsia" w:ascii="宋体" w:hAnsi="宋体" w:eastAsia="宋体" w:cs="宋体"/>
                <w:color w:val="000000"/>
                <w:sz w:val="22"/>
                <w:szCs w:val="28"/>
                <w:highlight w:val="none"/>
                <w:lang w:val="zh-CN" w:eastAsia="zh-CN"/>
              </w:rPr>
              <w:t>复的合同或中标通知书复印件并加盖公章得</w:t>
            </w:r>
            <w:r>
              <w:rPr>
                <w:rFonts w:hint="eastAsia" w:ascii="宋体" w:hAnsi="宋体" w:eastAsia="宋体" w:cs="宋体"/>
                <w:color w:val="000000"/>
                <w:sz w:val="22"/>
                <w:szCs w:val="28"/>
                <w:highlight w:val="none"/>
                <w:lang w:val="en-US" w:eastAsia="zh-CN"/>
              </w:rPr>
              <w:t>1.5</w:t>
            </w:r>
            <w:r>
              <w:rPr>
                <w:rFonts w:hint="eastAsia" w:ascii="宋体" w:hAnsi="宋体" w:eastAsia="宋体" w:cs="宋体"/>
                <w:color w:val="000000"/>
                <w:sz w:val="22"/>
                <w:szCs w:val="28"/>
                <w:highlight w:val="none"/>
                <w:lang w:val="zh-CN"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p>
        </w:tc>
        <w:tc>
          <w:tcPr>
            <w:tcW w:w="92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2.2.4（</w:t>
            </w:r>
            <w:r>
              <w:rPr>
                <w:rFonts w:hint="eastAsia" w:ascii="宋体" w:hAnsi="宋体" w:cs="宋体"/>
                <w:color w:val="000000"/>
                <w:sz w:val="22"/>
                <w:szCs w:val="28"/>
                <w:highlight w:val="none"/>
                <w:lang w:val="en-US" w:eastAsia="zh-CN"/>
              </w:rPr>
              <w:t>2</w:t>
            </w:r>
            <w:r>
              <w:rPr>
                <w:rFonts w:hint="eastAsia" w:ascii="宋体" w:hAnsi="宋体" w:eastAsia="宋体" w:cs="宋体"/>
                <w:color w:val="000000"/>
                <w:sz w:val="22"/>
                <w:szCs w:val="28"/>
                <w:highlight w:val="none"/>
              </w:rPr>
              <w:t>）</w:t>
            </w:r>
          </w:p>
        </w:tc>
        <w:tc>
          <w:tcPr>
            <w:tcW w:w="15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eastAsia="zh-CN"/>
              </w:rPr>
            </w:pPr>
            <w:r>
              <w:rPr>
                <w:rFonts w:hint="eastAsia" w:ascii="宋体" w:hAnsi="宋体" w:cs="宋体"/>
                <w:color w:val="000000"/>
                <w:sz w:val="22"/>
                <w:szCs w:val="28"/>
                <w:highlight w:val="none"/>
                <w:lang w:val="en-US" w:eastAsia="zh-CN"/>
              </w:rPr>
              <w:t>项目</w:t>
            </w:r>
            <w:r>
              <w:rPr>
                <w:rFonts w:hint="eastAsia" w:ascii="宋体" w:hAnsi="宋体" w:eastAsia="宋体" w:cs="宋体"/>
                <w:color w:val="000000"/>
                <w:sz w:val="22"/>
                <w:szCs w:val="28"/>
                <w:highlight w:val="none"/>
                <w:lang w:val="en-US" w:eastAsia="zh-CN"/>
              </w:rPr>
              <w:t>其他</w:t>
            </w:r>
            <w:r>
              <w:rPr>
                <w:rFonts w:hint="eastAsia" w:ascii="宋体" w:hAnsi="宋体" w:eastAsia="宋体" w:cs="宋体"/>
                <w:color w:val="000000"/>
                <w:sz w:val="22"/>
                <w:szCs w:val="28"/>
                <w:highlight w:val="none"/>
                <w:lang w:eastAsia="zh-CN"/>
              </w:rPr>
              <w:t>人员配置情况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color w:val="000000"/>
                <w:sz w:val="22"/>
                <w:szCs w:val="28"/>
                <w:highlight w:val="none"/>
                <w:lang w:val="en-US" w:eastAsia="zh-CN"/>
              </w:rPr>
            </w:pPr>
            <w:r>
              <w:rPr>
                <w:rFonts w:hint="eastAsia" w:ascii="宋体" w:hAnsi="宋体" w:cs="宋体"/>
                <w:color w:val="000000"/>
                <w:sz w:val="22"/>
                <w:szCs w:val="28"/>
                <w:highlight w:val="none"/>
                <w:lang w:val="en-US" w:eastAsia="zh-CN"/>
              </w:rPr>
              <w:t>（7</w:t>
            </w:r>
            <w:r>
              <w:rPr>
                <w:rFonts w:hint="eastAsia" w:ascii="宋体" w:hAnsi="宋体" w:eastAsia="宋体" w:cs="宋体"/>
                <w:color w:val="000000"/>
                <w:sz w:val="22"/>
                <w:szCs w:val="28"/>
                <w:highlight w:val="none"/>
                <w:lang w:eastAsia="zh-CN"/>
              </w:rPr>
              <w:t>分）</w:t>
            </w:r>
          </w:p>
        </w:tc>
        <w:tc>
          <w:tcPr>
            <w:tcW w:w="5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000000"/>
                <w:sz w:val="22"/>
                <w:szCs w:val="28"/>
                <w:highlight w:val="none"/>
                <w:lang w:val="en-US" w:eastAsia="zh-CN"/>
              </w:rPr>
            </w:pPr>
            <w:r>
              <w:rPr>
                <w:rFonts w:hint="eastAsia" w:ascii="宋体" w:hAnsi="宋体" w:eastAsia="宋体" w:cs="宋体"/>
                <w:color w:val="000000"/>
                <w:sz w:val="22"/>
                <w:szCs w:val="28"/>
                <w:highlight w:val="none"/>
              </w:rPr>
              <w:t>投标人拟派本项目</w:t>
            </w:r>
            <w:r>
              <w:rPr>
                <w:rFonts w:hint="eastAsia" w:ascii="宋体" w:hAnsi="宋体" w:cs="宋体"/>
                <w:color w:val="000000"/>
                <w:sz w:val="22"/>
                <w:szCs w:val="28"/>
                <w:highlight w:val="none"/>
                <w:lang w:val="en-US" w:eastAsia="zh-CN"/>
              </w:rPr>
              <w:t>其他人员</w:t>
            </w:r>
            <w:r>
              <w:rPr>
                <w:rFonts w:hint="eastAsia" w:ascii="宋体" w:hAnsi="宋体" w:eastAsia="宋体" w:cs="宋体"/>
                <w:color w:val="000000"/>
                <w:sz w:val="22"/>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cs="宋体"/>
                <w:color w:val="000000"/>
                <w:sz w:val="22"/>
                <w:szCs w:val="28"/>
                <w:highlight w:val="none"/>
                <w:lang w:val="en-US" w:eastAsia="zh-CN"/>
              </w:rPr>
              <w:t>1.</w:t>
            </w:r>
            <w:r>
              <w:rPr>
                <w:rFonts w:hint="eastAsia" w:ascii="宋体" w:hAnsi="宋体" w:eastAsia="宋体" w:cs="宋体"/>
                <w:color w:val="000000"/>
                <w:sz w:val="22"/>
                <w:szCs w:val="28"/>
                <w:highlight w:val="none"/>
                <w:lang w:val="zh-CN"/>
              </w:rPr>
              <w:t>具有</w:t>
            </w:r>
            <w:r>
              <w:rPr>
                <w:rFonts w:hint="eastAsia" w:ascii="宋体" w:hAnsi="宋体" w:cs="宋体"/>
                <w:color w:val="000000"/>
                <w:sz w:val="22"/>
                <w:szCs w:val="28"/>
                <w:highlight w:val="none"/>
                <w:lang w:val="en-US" w:eastAsia="zh-CN"/>
              </w:rPr>
              <w:t>高</w:t>
            </w:r>
            <w:r>
              <w:rPr>
                <w:rFonts w:hint="eastAsia" w:ascii="宋体" w:hAnsi="宋体" w:eastAsia="宋体" w:cs="宋体"/>
                <w:color w:val="000000"/>
                <w:sz w:val="22"/>
                <w:szCs w:val="28"/>
                <w:highlight w:val="none"/>
                <w:lang w:val="zh-CN"/>
              </w:rPr>
              <w:t>级上工程师职称格</w:t>
            </w:r>
            <w:r>
              <w:rPr>
                <w:rFonts w:hint="eastAsia" w:ascii="宋体" w:hAnsi="宋体" w:eastAsia="宋体" w:cs="宋体"/>
                <w:color w:val="000000"/>
                <w:sz w:val="22"/>
                <w:szCs w:val="28"/>
                <w:highlight w:val="none"/>
                <w:lang w:val="zh-CN" w:eastAsia="zh-CN"/>
              </w:rPr>
              <w:t>的，每提供1名得</w:t>
            </w:r>
            <w:r>
              <w:rPr>
                <w:rFonts w:hint="eastAsia" w:ascii="宋体" w:hAnsi="宋体" w:cs="宋体"/>
                <w:color w:val="000000"/>
                <w:sz w:val="22"/>
                <w:szCs w:val="28"/>
                <w:highlight w:val="none"/>
                <w:lang w:val="en-US" w:eastAsia="zh-CN"/>
              </w:rPr>
              <w:t>0.5</w:t>
            </w:r>
            <w:r>
              <w:rPr>
                <w:rFonts w:hint="eastAsia" w:ascii="宋体" w:hAnsi="宋体" w:eastAsia="宋体" w:cs="宋体"/>
                <w:color w:val="000000"/>
                <w:sz w:val="22"/>
                <w:szCs w:val="28"/>
                <w:highlight w:val="none"/>
                <w:lang w:val="zh-CN" w:eastAsia="zh-CN"/>
              </w:rPr>
              <w:t>分，最高得</w:t>
            </w:r>
            <w:r>
              <w:rPr>
                <w:rFonts w:hint="eastAsia" w:ascii="宋体" w:hAnsi="宋体" w:cs="宋体"/>
                <w:color w:val="000000"/>
                <w:sz w:val="22"/>
                <w:szCs w:val="28"/>
                <w:highlight w:val="none"/>
                <w:lang w:val="en-US" w:eastAsia="zh-CN"/>
              </w:rPr>
              <w:t>4</w:t>
            </w:r>
            <w:r>
              <w:rPr>
                <w:rFonts w:hint="eastAsia" w:ascii="宋体" w:hAnsi="宋体" w:eastAsia="宋体" w:cs="宋体"/>
                <w:color w:val="000000"/>
                <w:sz w:val="22"/>
                <w:szCs w:val="28"/>
                <w:highlight w:val="none"/>
                <w:lang w:val="zh-CN" w:eastAsia="zh-CN"/>
              </w:rPr>
              <w:t>分</w:t>
            </w:r>
            <w:r>
              <w:rPr>
                <w:rFonts w:hint="eastAsia" w:ascii="宋体" w:hAnsi="宋体" w:cs="宋体"/>
                <w:color w:val="000000"/>
                <w:sz w:val="22"/>
                <w:szCs w:val="28"/>
                <w:highlight w:val="none"/>
                <w:lang w:val="zh-CN"/>
              </w:rPr>
              <w:t>，不提供不得分；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2"/>
                <w:szCs w:val="28"/>
                <w:highlight w:val="none"/>
                <w:lang w:val="en-US" w:eastAsia="zh-CN"/>
              </w:rPr>
            </w:pPr>
            <w:r>
              <w:rPr>
                <w:rFonts w:hint="eastAsia" w:ascii="宋体" w:hAnsi="宋体" w:cs="宋体"/>
                <w:color w:val="000000"/>
                <w:sz w:val="22"/>
                <w:szCs w:val="28"/>
                <w:highlight w:val="none"/>
                <w:lang w:val="en-US" w:eastAsia="zh-CN"/>
              </w:rPr>
              <w:t>2.</w:t>
            </w:r>
            <w:r>
              <w:rPr>
                <w:rFonts w:hint="eastAsia" w:ascii="宋体" w:hAnsi="宋体" w:eastAsia="宋体" w:cs="宋体"/>
                <w:color w:val="000000"/>
                <w:sz w:val="22"/>
                <w:szCs w:val="28"/>
                <w:highlight w:val="none"/>
                <w:lang w:val="zh-CN"/>
              </w:rPr>
              <w:t>具有</w:t>
            </w:r>
            <w:r>
              <w:rPr>
                <w:rFonts w:hint="eastAsia" w:ascii="宋体" w:hAnsi="宋体" w:eastAsia="宋体" w:cs="宋体"/>
                <w:color w:val="000000"/>
                <w:sz w:val="22"/>
                <w:szCs w:val="28"/>
                <w:highlight w:val="none"/>
                <w:lang w:val="zh-CN" w:eastAsia="zh-CN"/>
              </w:rPr>
              <w:t>二级及以上人力资源管理师资格的，每提供1名得</w:t>
            </w:r>
            <w:r>
              <w:rPr>
                <w:rFonts w:hint="eastAsia" w:ascii="宋体" w:hAnsi="宋体" w:cs="宋体"/>
                <w:color w:val="000000"/>
                <w:sz w:val="22"/>
                <w:szCs w:val="28"/>
                <w:highlight w:val="none"/>
                <w:lang w:val="en-US" w:eastAsia="zh-CN"/>
              </w:rPr>
              <w:t>1.5</w:t>
            </w:r>
            <w:r>
              <w:rPr>
                <w:rFonts w:hint="eastAsia" w:ascii="宋体" w:hAnsi="宋体" w:eastAsia="宋体" w:cs="宋体"/>
                <w:color w:val="000000"/>
                <w:sz w:val="22"/>
                <w:szCs w:val="28"/>
                <w:highlight w:val="none"/>
                <w:lang w:val="zh-CN" w:eastAsia="zh-CN"/>
              </w:rPr>
              <w:t>分，最高得</w:t>
            </w:r>
            <w:r>
              <w:rPr>
                <w:rFonts w:hint="eastAsia" w:ascii="宋体" w:hAnsi="宋体" w:cs="宋体"/>
                <w:color w:val="000000"/>
                <w:sz w:val="22"/>
                <w:szCs w:val="28"/>
                <w:highlight w:val="none"/>
                <w:lang w:val="en-US" w:eastAsia="zh-CN"/>
              </w:rPr>
              <w:t>3</w:t>
            </w:r>
            <w:r>
              <w:rPr>
                <w:rFonts w:hint="eastAsia" w:ascii="宋体" w:hAnsi="宋体" w:eastAsia="宋体" w:cs="宋体"/>
                <w:color w:val="000000"/>
                <w:sz w:val="22"/>
                <w:szCs w:val="28"/>
                <w:highlight w:val="none"/>
                <w:lang w:val="zh-CN" w:eastAsia="zh-CN"/>
              </w:rPr>
              <w:t>分，不提供不得分；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投标文件内附相应人员职称证书或</w:t>
            </w:r>
            <w:r>
              <w:rPr>
                <w:rFonts w:hint="eastAsia" w:ascii="宋体" w:hAnsi="宋体" w:eastAsia="宋体" w:cs="宋体"/>
                <w:color w:val="000000"/>
                <w:sz w:val="22"/>
                <w:szCs w:val="28"/>
                <w:highlight w:val="none"/>
                <w:lang w:val="zh-CN" w:eastAsia="zh-CN"/>
              </w:rPr>
              <w:t>资格</w:t>
            </w:r>
            <w:r>
              <w:rPr>
                <w:rFonts w:hint="eastAsia" w:ascii="宋体" w:hAnsi="宋体" w:eastAsia="宋体" w:cs="宋体"/>
                <w:color w:val="000000"/>
                <w:sz w:val="22"/>
                <w:szCs w:val="28"/>
                <w:highlight w:val="none"/>
              </w:rPr>
              <w:t>证书复印件加盖投 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p>
        </w:tc>
        <w:tc>
          <w:tcPr>
            <w:tcW w:w="92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2.2.4（</w:t>
            </w:r>
            <w:r>
              <w:rPr>
                <w:rFonts w:hint="eastAsia" w:ascii="宋体" w:hAnsi="宋体" w:cs="宋体"/>
                <w:color w:val="000000"/>
                <w:sz w:val="22"/>
                <w:szCs w:val="28"/>
                <w:highlight w:val="none"/>
                <w:lang w:val="en-US" w:eastAsia="zh-CN"/>
              </w:rPr>
              <w:t>2</w:t>
            </w:r>
            <w:r>
              <w:rPr>
                <w:rFonts w:hint="eastAsia" w:ascii="宋体" w:hAnsi="宋体" w:eastAsia="宋体" w:cs="宋体"/>
                <w:color w:val="000000"/>
                <w:sz w:val="22"/>
                <w:szCs w:val="28"/>
                <w:highlight w:val="none"/>
              </w:rPr>
              <w:t>）</w:t>
            </w: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Cs/>
                <w:szCs w:val="21"/>
              </w:rPr>
            </w:pPr>
            <w:r>
              <w:rPr>
                <w:rFonts w:hint="eastAsia" w:ascii="宋体" w:hAnsi="宋体" w:cs="宋体"/>
                <w:color w:val="000000"/>
                <w:sz w:val="22"/>
                <w:szCs w:val="28"/>
                <w:highlight w:val="none"/>
                <w:lang w:val="zh-CN"/>
              </w:rPr>
              <w:t>优惠条件（</w:t>
            </w:r>
            <w:r>
              <w:rPr>
                <w:rFonts w:hint="eastAsia" w:ascii="宋体" w:hAnsi="宋体" w:cs="宋体"/>
                <w:color w:val="000000"/>
                <w:sz w:val="22"/>
                <w:szCs w:val="28"/>
                <w:highlight w:val="none"/>
                <w:lang w:val="en-US" w:eastAsia="zh-CN"/>
              </w:rPr>
              <w:t>5</w:t>
            </w:r>
            <w:r>
              <w:rPr>
                <w:rFonts w:hint="eastAsia" w:ascii="宋体" w:hAnsi="宋体" w:cs="宋体"/>
                <w:color w:val="000000"/>
                <w:sz w:val="22"/>
                <w:szCs w:val="28"/>
                <w:highlight w:val="none"/>
                <w:lang w:val="zh-CN"/>
              </w:rPr>
              <w:t>分）</w:t>
            </w:r>
          </w:p>
        </w:tc>
        <w:tc>
          <w:tcPr>
            <w:tcW w:w="57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lang w:val="zh-CN"/>
              </w:rPr>
            </w:pPr>
            <w:r>
              <w:rPr>
                <w:rFonts w:hint="eastAsia" w:ascii="宋体" w:hAnsi="宋体" w:eastAsia="宋体" w:cs="宋体"/>
                <w:b w:val="0"/>
                <w:bCs w:val="0"/>
                <w:color w:val="000000"/>
                <w:sz w:val="22"/>
                <w:szCs w:val="28"/>
                <w:highlight w:val="none"/>
                <w:lang w:val="zh-CN" w:eastAsia="zh-CN"/>
              </w:rPr>
              <w:t>对投标人</w:t>
            </w:r>
            <w:r>
              <w:rPr>
                <w:rFonts w:hint="eastAsia" w:ascii="宋体" w:hAnsi="宋体" w:eastAsia="宋体" w:cs="宋体"/>
                <w:b w:val="0"/>
                <w:bCs w:val="0"/>
                <w:color w:val="000000"/>
                <w:sz w:val="22"/>
                <w:szCs w:val="28"/>
                <w:highlight w:val="none"/>
                <w:lang w:val="en-US" w:eastAsia="zh-CN"/>
              </w:rPr>
              <w:t>提报</w:t>
            </w:r>
            <w:r>
              <w:rPr>
                <w:rFonts w:hint="eastAsia" w:ascii="宋体" w:hAnsi="宋体" w:eastAsia="宋体" w:cs="宋体"/>
                <w:b w:val="0"/>
                <w:bCs w:val="0"/>
                <w:color w:val="000000"/>
                <w:sz w:val="22"/>
                <w:szCs w:val="28"/>
                <w:highlight w:val="none"/>
                <w:lang w:val="zh-CN" w:eastAsia="zh-CN"/>
              </w:rPr>
              <w:t>的可以接受的合理优惠条件进行综合评价，综合评价优得</w:t>
            </w:r>
            <w:r>
              <w:rPr>
                <w:rFonts w:hint="eastAsia" w:ascii="宋体" w:hAnsi="宋体" w:eastAsia="宋体" w:cs="宋体"/>
                <w:b w:val="0"/>
                <w:bCs w:val="0"/>
                <w:color w:val="000000"/>
                <w:sz w:val="22"/>
                <w:szCs w:val="28"/>
                <w:highlight w:val="none"/>
                <w:lang w:val="en-US" w:eastAsia="zh-CN"/>
              </w:rPr>
              <w:t>5</w:t>
            </w:r>
            <w:r>
              <w:rPr>
                <w:rFonts w:hint="eastAsia" w:ascii="宋体" w:hAnsi="宋体" w:eastAsia="宋体" w:cs="宋体"/>
                <w:b w:val="0"/>
                <w:bCs w:val="0"/>
                <w:color w:val="000000"/>
                <w:sz w:val="22"/>
                <w:szCs w:val="28"/>
                <w:highlight w:val="none"/>
                <w:lang w:val="zh-CN" w:eastAsia="zh-CN"/>
              </w:rPr>
              <w:t>分，良得</w:t>
            </w:r>
            <w:r>
              <w:rPr>
                <w:rFonts w:hint="eastAsia" w:ascii="宋体" w:hAnsi="宋体" w:eastAsia="宋体" w:cs="宋体"/>
                <w:b w:val="0"/>
                <w:bCs w:val="0"/>
                <w:color w:val="000000"/>
                <w:sz w:val="22"/>
                <w:szCs w:val="28"/>
                <w:highlight w:val="none"/>
                <w:lang w:val="en-US" w:eastAsia="zh-CN"/>
              </w:rPr>
              <w:t>4</w:t>
            </w:r>
            <w:r>
              <w:rPr>
                <w:rFonts w:hint="eastAsia" w:ascii="宋体" w:hAnsi="宋体" w:eastAsia="宋体" w:cs="宋体"/>
                <w:b w:val="0"/>
                <w:bCs w:val="0"/>
                <w:color w:val="000000"/>
                <w:sz w:val="22"/>
                <w:szCs w:val="28"/>
                <w:highlight w:val="none"/>
                <w:lang w:val="zh-CN" w:eastAsia="zh-CN"/>
              </w:rPr>
              <w:t>分，一般得</w:t>
            </w:r>
            <w:r>
              <w:rPr>
                <w:rFonts w:hint="eastAsia" w:ascii="宋体" w:hAnsi="宋体" w:eastAsia="宋体" w:cs="宋体"/>
                <w:b w:val="0"/>
                <w:bCs w:val="0"/>
                <w:color w:val="000000"/>
                <w:sz w:val="22"/>
                <w:szCs w:val="28"/>
                <w:highlight w:val="none"/>
                <w:lang w:val="en-US" w:eastAsia="zh-CN"/>
              </w:rPr>
              <w:t>2</w:t>
            </w:r>
            <w:r>
              <w:rPr>
                <w:rFonts w:hint="eastAsia" w:ascii="宋体" w:hAnsi="宋体" w:eastAsia="宋体" w:cs="宋体"/>
                <w:b w:val="0"/>
                <w:bCs w:val="0"/>
                <w:color w:val="000000"/>
                <w:sz w:val="22"/>
                <w:szCs w:val="28"/>
                <w:highlight w:val="none"/>
                <w:lang w:val="zh-CN" w:eastAsia="zh-CN"/>
              </w:rPr>
              <w:t>分，</w:t>
            </w:r>
            <w:r>
              <w:rPr>
                <w:rFonts w:hint="eastAsia" w:ascii="宋体" w:hAnsi="宋体" w:eastAsia="宋体" w:cs="宋体"/>
                <w:b w:val="0"/>
                <w:bCs w:val="0"/>
                <w:color w:val="000000"/>
                <w:sz w:val="22"/>
                <w:szCs w:val="28"/>
                <w:highlight w:val="none"/>
                <w:lang w:val="en-US" w:eastAsia="zh-CN"/>
              </w:rPr>
              <w:t>差得1分，</w:t>
            </w:r>
            <w:r>
              <w:rPr>
                <w:rFonts w:hint="eastAsia" w:ascii="宋体" w:hAnsi="宋体" w:eastAsia="宋体" w:cs="宋体"/>
                <w:b w:val="0"/>
                <w:bCs w:val="0"/>
                <w:color w:val="000000"/>
                <w:sz w:val="22"/>
                <w:szCs w:val="28"/>
                <w:highlight w:val="none"/>
                <w:lang w:val="zh-CN" w:eastAsia="zh-CN"/>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highlight w:val="none"/>
              </w:rPr>
            </w:pPr>
          </w:p>
        </w:tc>
        <w:tc>
          <w:tcPr>
            <w:tcW w:w="92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2.2.4（</w:t>
            </w:r>
            <w:r>
              <w:rPr>
                <w:rFonts w:hint="eastAsia" w:ascii="宋体" w:hAnsi="宋体" w:cs="宋体"/>
                <w:color w:val="000000"/>
                <w:sz w:val="22"/>
                <w:szCs w:val="28"/>
                <w:highlight w:val="none"/>
                <w:lang w:val="en-US" w:eastAsia="zh-CN"/>
              </w:rPr>
              <w:t>2</w:t>
            </w:r>
            <w:r>
              <w:rPr>
                <w:rFonts w:hint="eastAsia" w:ascii="宋体" w:hAnsi="宋体" w:eastAsia="宋体" w:cs="宋体"/>
                <w:color w:val="000000"/>
                <w:sz w:val="22"/>
                <w:szCs w:val="28"/>
                <w:highlight w:val="none"/>
              </w:rPr>
              <w:t>）</w:t>
            </w: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2"/>
                <w:szCs w:val="28"/>
                <w:highlight w:val="none"/>
                <w:lang w:eastAsia="zh-CN"/>
              </w:rPr>
            </w:pPr>
            <w:r>
              <w:rPr>
                <w:rFonts w:hint="eastAsia" w:ascii="宋体" w:hAnsi="宋体" w:eastAsia="宋体" w:cs="宋体"/>
                <w:color w:val="000000"/>
                <w:sz w:val="22"/>
                <w:szCs w:val="28"/>
                <w:highlight w:val="none"/>
                <w:lang w:eastAsia="zh-CN"/>
              </w:rPr>
              <w:t>服务承诺（</w:t>
            </w:r>
            <w:r>
              <w:rPr>
                <w:rFonts w:hint="eastAsia" w:ascii="宋体" w:hAnsi="宋体" w:eastAsia="宋体" w:cs="宋体"/>
                <w:color w:val="000000"/>
                <w:sz w:val="22"/>
                <w:szCs w:val="28"/>
                <w:highlight w:val="none"/>
                <w:lang w:val="en-US" w:eastAsia="zh-CN"/>
              </w:rPr>
              <w:t>5</w:t>
            </w:r>
            <w:r>
              <w:rPr>
                <w:rFonts w:hint="eastAsia" w:ascii="宋体" w:hAnsi="宋体" w:eastAsia="宋体" w:cs="宋体"/>
                <w:color w:val="000000"/>
                <w:sz w:val="22"/>
                <w:szCs w:val="28"/>
                <w:highlight w:val="none"/>
                <w:lang w:eastAsia="zh-CN"/>
              </w:rPr>
              <w:t>分）</w:t>
            </w:r>
          </w:p>
        </w:tc>
        <w:tc>
          <w:tcPr>
            <w:tcW w:w="573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rPr>
                <w:rFonts w:hint="eastAsia" w:ascii="宋体" w:hAnsi="宋体" w:eastAsia="宋体" w:cs="宋体"/>
                <w:color w:val="000000"/>
                <w:sz w:val="22"/>
                <w:szCs w:val="28"/>
                <w:highlight w:val="none"/>
              </w:rPr>
            </w:pPr>
            <w:r>
              <w:rPr>
                <w:rFonts w:hint="eastAsia" w:ascii="宋体" w:hAnsi="宋体" w:cs="宋体"/>
                <w:color w:val="000000"/>
                <w:sz w:val="22"/>
                <w:szCs w:val="28"/>
                <w:highlight w:val="none"/>
                <w:lang w:val="en-US" w:eastAsia="zh-CN"/>
              </w:rPr>
              <w:t>1.</w:t>
            </w:r>
            <w:r>
              <w:rPr>
                <w:rFonts w:hint="eastAsia" w:ascii="宋体" w:hAnsi="宋体" w:eastAsia="宋体" w:cs="宋体"/>
                <w:color w:val="000000"/>
                <w:sz w:val="22"/>
                <w:szCs w:val="28"/>
                <w:highlight w:val="none"/>
              </w:rPr>
              <w:t>售后服务计划：应能提供快捷、周到、规范的服务，在接到维修及技术服务要求后应在1小时之内</w:t>
            </w:r>
            <w:r>
              <w:rPr>
                <w:rFonts w:hint="eastAsia" w:ascii="宋体" w:hAnsi="宋体" w:cs="宋体"/>
                <w:color w:val="000000"/>
                <w:sz w:val="22"/>
                <w:szCs w:val="28"/>
                <w:highlight w:val="none"/>
                <w:lang w:eastAsia="zh-CN"/>
              </w:rPr>
              <w:t>做出</w:t>
            </w:r>
            <w:r>
              <w:rPr>
                <w:rFonts w:hint="eastAsia" w:ascii="宋体" w:hAnsi="宋体" w:eastAsia="宋体" w:cs="宋体"/>
                <w:color w:val="000000"/>
                <w:sz w:val="22"/>
                <w:szCs w:val="28"/>
                <w:highlight w:val="none"/>
              </w:rPr>
              <w:t>响应得2分，2小时之内</w:t>
            </w:r>
            <w:r>
              <w:rPr>
                <w:rFonts w:hint="eastAsia" w:ascii="宋体" w:hAnsi="宋体" w:cs="宋体"/>
                <w:color w:val="000000"/>
                <w:sz w:val="22"/>
                <w:szCs w:val="28"/>
                <w:highlight w:val="none"/>
                <w:lang w:eastAsia="zh-CN"/>
              </w:rPr>
              <w:t>做出</w:t>
            </w:r>
            <w:r>
              <w:rPr>
                <w:rFonts w:hint="eastAsia" w:ascii="宋体" w:hAnsi="宋体" w:eastAsia="宋体" w:cs="宋体"/>
                <w:color w:val="000000"/>
                <w:sz w:val="22"/>
                <w:szCs w:val="28"/>
                <w:highlight w:val="none"/>
              </w:rPr>
              <w:t>响应得1分；</w:t>
            </w:r>
          </w:p>
          <w:p>
            <w:pPr>
              <w:numPr>
                <w:ilvl w:val="0"/>
                <w:numId w:val="0"/>
              </w:numPr>
              <w:spacing w:line="400" w:lineRule="exact"/>
              <w:rPr>
                <w:rFonts w:hint="eastAsia" w:ascii="宋体" w:hAnsi="宋体" w:eastAsia="宋体" w:cs="宋体"/>
                <w:color w:val="000000"/>
                <w:sz w:val="22"/>
                <w:szCs w:val="28"/>
                <w:highlight w:val="none"/>
              </w:rPr>
            </w:pPr>
            <w:r>
              <w:rPr>
                <w:rFonts w:hint="eastAsia" w:ascii="宋体" w:hAnsi="宋体" w:cs="宋体"/>
                <w:color w:val="000000"/>
                <w:sz w:val="22"/>
                <w:szCs w:val="28"/>
                <w:highlight w:val="none"/>
                <w:lang w:val="en-US" w:eastAsia="zh-CN"/>
              </w:rPr>
              <w:t>2.</w:t>
            </w:r>
            <w:r>
              <w:rPr>
                <w:rFonts w:hint="eastAsia" w:ascii="宋体" w:hAnsi="宋体" w:eastAsia="宋体" w:cs="宋体"/>
                <w:color w:val="000000"/>
                <w:sz w:val="22"/>
                <w:szCs w:val="28"/>
                <w:highlight w:val="none"/>
              </w:rPr>
              <w:t>在接到用户报修后2小时内，技术人员到达用户现场提供系统服务的得2分，4小时内技术人员到达用户现场提供系统服务的得1分。</w:t>
            </w:r>
          </w:p>
          <w:p>
            <w:pPr>
              <w:numPr>
                <w:ilvl w:val="0"/>
                <w:numId w:val="0"/>
              </w:numPr>
              <w:spacing w:line="400" w:lineRule="exact"/>
              <w:rPr>
                <w:rFonts w:hint="eastAsia" w:ascii="宋体" w:hAnsi="宋体" w:cs="宋体"/>
                <w:color w:val="000000"/>
                <w:sz w:val="22"/>
                <w:szCs w:val="28"/>
                <w:highlight w:val="none"/>
                <w:lang w:eastAsia="zh-CN"/>
              </w:rPr>
            </w:pPr>
            <w:r>
              <w:rPr>
                <w:rFonts w:hint="eastAsia" w:ascii="宋体" w:hAnsi="宋体" w:cs="宋体"/>
                <w:color w:val="000000"/>
                <w:sz w:val="22"/>
                <w:szCs w:val="28"/>
                <w:highlight w:val="none"/>
                <w:lang w:val="en-US" w:eastAsia="zh-CN"/>
              </w:rPr>
              <w:t>3.</w:t>
            </w:r>
            <w:r>
              <w:rPr>
                <w:rFonts w:hint="eastAsia" w:ascii="宋体" w:hAnsi="宋体" w:eastAsia="宋体" w:cs="宋体"/>
                <w:color w:val="000000"/>
                <w:sz w:val="22"/>
                <w:szCs w:val="28"/>
                <w:highlight w:val="none"/>
              </w:rPr>
              <w:t>为保证售后服务的稳定性、及时性，要求投标人有专业</w:t>
            </w:r>
            <w:r>
              <w:rPr>
                <w:rFonts w:hint="eastAsia" w:ascii="宋体" w:hAnsi="宋体" w:cs="宋体"/>
                <w:color w:val="000000"/>
                <w:sz w:val="22"/>
                <w:szCs w:val="28"/>
                <w:highlight w:val="none"/>
                <w:lang w:eastAsia="zh-CN"/>
              </w:rPr>
              <w:t>的售后</w:t>
            </w:r>
            <w:r>
              <w:rPr>
                <w:rFonts w:hint="eastAsia" w:ascii="宋体" w:hAnsi="宋体" w:cs="宋体"/>
                <w:color w:val="000000"/>
                <w:sz w:val="22"/>
                <w:szCs w:val="28"/>
                <w:highlight w:val="none"/>
                <w:lang w:val="en-US" w:eastAsia="zh-CN"/>
              </w:rPr>
              <w:t>团队</w:t>
            </w:r>
            <w:r>
              <w:rPr>
                <w:rFonts w:hint="eastAsia" w:ascii="宋体" w:hAnsi="宋体" w:cs="宋体"/>
                <w:color w:val="000000"/>
                <w:sz w:val="22"/>
                <w:szCs w:val="28"/>
                <w:highlight w:val="none"/>
                <w:lang w:eastAsia="zh-CN"/>
              </w:rPr>
              <w:t>得</w:t>
            </w:r>
            <w:r>
              <w:rPr>
                <w:rFonts w:hint="eastAsia" w:ascii="宋体" w:hAnsi="宋体" w:cs="宋体"/>
                <w:color w:val="000000"/>
                <w:sz w:val="22"/>
                <w:szCs w:val="28"/>
                <w:highlight w:val="none"/>
                <w:lang w:val="en-US" w:eastAsia="zh-CN"/>
              </w:rPr>
              <w:t>1</w:t>
            </w:r>
            <w:r>
              <w:rPr>
                <w:rFonts w:hint="eastAsia" w:ascii="宋体" w:hAnsi="宋体" w:cs="宋体"/>
                <w:color w:val="000000"/>
                <w:sz w:val="22"/>
                <w:szCs w:val="28"/>
                <w:highlight w:val="none"/>
                <w:lang w:eastAsia="zh-CN"/>
              </w:rPr>
              <w:t>分。</w:t>
            </w:r>
          </w:p>
          <w:p>
            <w:pPr>
              <w:numPr>
                <w:ilvl w:val="0"/>
                <w:numId w:val="0"/>
              </w:numPr>
              <w:spacing w:line="400" w:lineRule="exact"/>
              <w:rPr>
                <w:rFonts w:hint="eastAsia"/>
              </w:rPr>
            </w:pPr>
            <w:r>
              <w:rPr>
                <w:rFonts w:hint="eastAsia" w:ascii="宋体" w:hAnsi="宋体" w:cs="宋体"/>
                <w:color w:val="000000"/>
                <w:sz w:val="22"/>
                <w:szCs w:val="28"/>
                <w:highlight w:val="none"/>
                <w:lang w:eastAsia="zh-CN"/>
              </w:rPr>
              <w:t>投标文件内附</w:t>
            </w:r>
            <w:r>
              <w:rPr>
                <w:rFonts w:hint="eastAsia" w:ascii="宋体" w:hAnsi="宋体" w:cs="宋体"/>
                <w:color w:val="000000"/>
                <w:sz w:val="22"/>
                <w:szCs w:val="28"/>
                <w:highlight w:val="none"/>
                <w:lang w:val="en-US" w:eastAsia="zh-CN"/>
              </w:rPr>
              <w:t>服务承诺书</w:t>
            </w:r>
            <w:r>
              <w:rPr>
                <w:rFonts w:hint="eastAsia" w:ascii="宋体" w:hAnsi="宋体" w:cs="宋体"/>
                <w:color w:val="000000"/>
                <w:sz w:val="22"/>
                <w:szCs w:val="28"/>
                <w:highlight w:val="no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4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lang w:val="en-US" w:eastAsia="zh-CN"/>
              </w:rPr>
              <w:t>技术</w:t>
            </w:r>
            <w:r>
              <w:rPr>
                <w:rFonts w:hint="eastAsia" w:ascii="宋体" w:hAnsi="宋体" w:cs="宋体"/>
                <w:color w:val="000000"/>
                <w:sz w:val="22"/>
                <w:szCs w:val="28"/>
                <w:highlight w:val="none"/>
                <w:lang w:val="zh-CN"/>
              </w:rPr>
              <w:t>部分</w:t>
            </w: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60</w:t>
            </w:r>
            <w:r>
              <w:rPr>
                <w:rFonts w:hint="eastAsia" w:ascii="宋体" w:hAnsi="宋体" w:eastAsia="宋体" w:cs="宋体"/>
                <w:color w:val="000000"/>
                <w:sz w:val="22"/>
                <w:szCs w:val="28"/>
                <w:highlight w:val="none"/>
              </w:rPr>
              <w:t>分</w:t>
            </w:r>
            <w:r>
              <w:rPr>
                <w:rFonts w:hint="eastAsia" w:ascii="宋体" w:hAnsi="宋体" w:cs="宋体"/>
                <w:color w:val="000000"/>
                <w:sz w:val="22"/>
                <w:szCs w:val="28"/>
                <w:highlight w:val="none"/>
                <w:lang w:eastAsia="zh-CN"/>
              </w:rPr>
              <w:t>）</w:t>
            </w:r>
          </w:p>
        </w:tc>
        <w:tc>
          <w:tcPr>
            <w:tcW w:w="924"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2.2.4 (</w:t>
            </w:r>
            <w:r>
              <w:rPr>
                <w:rFonts w:hint="eastAsia" w:ascii="宋体" w:hAnsi="宋体" w:cs="宋体"/>
                <w:color w:val="000000"/>
                <w:sz w:val="22"/>
                <w:szCs w:val="28"/>
                <w:highlight w:val="none"/>
                <w:lang w:val="en-US" w:eastAsia="zh-CN"/>
              </w:rPr>
              <w:t>3</w:t>
            </w:r>
            <w:r>
              <w:rPr>
                <w:rFonts w:hint="eastAsia" w:ascii="宋体" w:hAnsi="宋体" w:eastAsia="宋体" w:cs="宋体"/>
                <w:color w:val="000000"/>
                <w:sz w:val="22"/>
                <w:szCs w:val="28"/>
                <w:highlight w:val="none"/>
              </w:rPr>
              <w:t>)</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运营服务方案</w:t>
            </w:r>
            <w:r>
              <w:rPr>
                <w:rFonts w:hint="eastAsia" w:ascii="宋体" w:hAnsi="宋体" w:eastAsia="宋体" w:cs="宋体"/>
                <w:color w:val="000000"/>
                <w:sz w:val="22"/>
                <w:szCs w:val="28"/>
                <w:highlight w:val="none"/>
              </w:rPr>
              <w:t>（</w:t>
            </w:r>
            <w:r>
              <w:rPr>
                <w:rFonts w:hint="eastAsia" w:ascii="宋体" w:hAnsi="宋体" w:eastAsia="宋体" w:cs="宋体"/>
                <w:color w:val="000000"/>
                <w:sz w:val="22"/>
                <w:szCs w:val="28"/>
                <w:highlight w:val="none"/>
                <w:lang w:val="en-US" w:eastAsia="zh-CN"/>
              </w:rPr>
              <w:t>10</w:t>
            </w:r>
            <w:r>
              <w:rPr>
                <w:rFonts w:hint="eastAsia" w:ascii="宋体" w:hAnsi="宋体" w:eastAsia="宋体" w:cs="宋体"/>
                <w:color w:val="000000"/>
                <w:sz w:val="22"/>
                <w:szCs w:val="28"/>
                <w:highlight w:val="none"/>
              </w:rPr>
              <w:t>分）</w:t>
            </w:r>
          </w:p>
        </w:tc>
        <w:tc>
          <w:tcPr>
            <w:tcW w:w="5730"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根据国家示范项目要求和资金使用要求，结合项目特点和实际业务需求，对运营方案进行综合评审。方案逻辑清晰、业务完整可行性高得10分，方案详细得</w:t>
            </w:r>
            <w:r>
              <w:rPr>
                <w:rFonts w:hint="eastAsia" w:ascii="宋体" w:hAnsi="宋体" w:cs="宋体"/>
                <w:color w:val="000000"/>
                <w:sz w:val="22"/>
                <w:szCs w:val="28"/>
                <w:highlight w:val="none"/>
                <w:lang w:val="en-US" w:eastAsia="zh-CN"/>
              </w:rPr>
              <w:t>8分</w:t>
            </w:r>
            <w:r>
              <w:rPr>
                <w:rFonts w:hint="eastAsia" w:ascii="宋体" w:hAnsi="宋体" w:cs="宋体"/>
                <w:color w:val="000000"/>
                <w:sz w:val="22"/>
                <w:szCs w:val="28"/>
                <w:highlight w:val="none"/>
                <w:lang w:eastAsia="zh-CN"/>
              </w:rPr>
              <w:t>，</w:t>
            </w:r>
            <w:r>
              <w:rPr>
                <w:rFonts w:hint="eastAsia" w:ascii="宋体" w:hAnsi="宋体" w:eastAsia="宋体" w:cs="宋体"/>
                <w:color w:val="000000"/>
                <w:sz w:val="22"/>
                <w:szCs w:val="28"/>
                <w:highlight w:val="none"/>
              </w:rPr>
              <w:t>方案合理得</w:t>
            </w:r>
            <w:r>
              <w:rPr>
                <w:rFonts w:hint="eastAsia" w:ascii="宋体" w:hAnsi="宋体" w:cs="宋体"/>
                <w:color w:val="000000"/>
                <w:sz w:val="22"/>
                <w:szCs w:val="28"/>
                <w:highlight w:val="none"/>
                <w:lang w:val="en-US" w:eastAsia="zh-CN"/>
              </w:rPr>
              <w:t>6分，</w:t>
            </w:r>
            <w:r>
              <w:rPr>
                <w:rFonts w:hint="eastAsia" w:ascii="宋体" w:hAnsi="宋体" w:eastAsia="宋体" w:cs="宋体"/>
                <w:color w:val="000000"/>
                <w:sz w:val="22"/>
                <w:szCs w:val="28"/>
                <w:highlight w:val="none"/>
              </w:rPr>
              <w:t>方案描述一般得4分，方案描述简单，无针对性得</w:t>
            </w:r>
            <w:r>
              <w:rPr>
                <w:rFonts w:hint="eastAsia" w:ascii="宋体" w:hAnsi="宋体" w:cs="宋体"/>
                <w:color w:val="000000"/>
                <w:sz w:val="22"/>
                <w:szCs w:val="28"/>
                <w:highlight w:val="none"/>
                <w:lang w:val="en-US" w:eastAsia="zh-CN"/>
              </w:rPr>
              <w:t>2</w:t>
            </w:r>
            <w:r>
              <w:rPr>
                <w:rFonts w:hint="eastAsia" w:ascii="宋体" w:hAnsi="宋体" w:eastAsia="宋体" w:cs="宋体"/>
                <w:color w:val="000000"/>
                <w:sz w:val="22"/>
                <w:szCs w:val="28"/>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p>
        </w:tc>
        <w:tc>
          <w:tcPr>
            <w:tcW w:w="9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特色培训服务方案</w:t>
            </w:r>
            <w:r>
              <w:rPr>
                <w:rFonts w:hint="eastAsia" w:ascii="宋体" w:hAnsi="宋体"/>
                <w:bCs/>
                <w:szCs w:val="21"/>
              </w:rPr>
              <w:t>（</w:t>
            </w:r>
            <w:r>
              <w:rPr>
                <w:rFonts w:hint="eastAsia" w:ascii="宋体" w:hAnsi="宋体"/>
                <w:bCs/>
                <w:szCs w:val="21"/>
                <w:lang w:val="en-US" w:eastAsia="zh-CN"/>
              </w:rPr>
              <w:t>5</w:t>
            </w:r>
            <w:r>
              <w:rPr>
                <w:rFonts w:hint="eastAsia" w:ascii="宋体" w:hAnsi="宋体"/>
                <w:bCs/>
                <w:szCs w:val="21"/>
              </w:rPr>
              <w:t>分）</w:t>
            </w:r>
          </w:p>
        </w:tc>
        <w:tc>
          <w:tcPr>
            <w:tcW w:w="5730"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根据项目特点和实际业务需求，对重点群体就业能力提升部分特色培训支撑服务方案进行综合评审。方案逻辑清晰、业务完整可行性高得</w:t>
            </w:r>
            <w:r>
              <w:rPr>
                <w:rFonts w:hint="eastAsia" w:ascii="宋体" w:hAnsi="宋体" w:cs="宋体"/>
                <w:color w:val="000000"/>
                <w:sz w:val="22"/>
                <w:szCs w:val="28"/>
                <w:highlight w:val="none"/>
                <w:lang w:val="en-US" w:eastAsia="zh-CN"/>
              </w:rPr>
              <w:t>5</w:t>
            </w:r>
            <w:r>
              <w:rPr>
                <w:rFonts w:hint="eastAsia" w:ascii="宋体" w:hAnsi="宋体" w:eastAsia="宋体" w:cs="宋体"/>
                <w:color w:val="000000"/>
                <w:sz w:val="22"/>
                <w:szCs w:val="28"/>
                <w:highlight w:val="none"/>
              </w:rPr>
              <w:t>分，方案详细得</w:t>
            </w:r>
            <w:r>
              <w:rPr>
                <w:rFonts w:hint="eastAsia" w:ascii="宋体" w:hAnsi="宋体" w:cs="宋体"/>
                <w:color w:val="000000"/>
                <w:sz w:val="22"/>
                <w:szCs w:val="28"/>
                <w:highlight w:val="none"/>
                <w:lang w:val="en-US" w:eastAsia="zh-CN"/>
              </w:rPr>
              <w:t>4分</w:t>
            </w:r>
            <w:r>
              <w:rPr>
                <w:rFonts w:hint="eastAsia" w:ascii="宋体" w:hAnsi="宋体" w:cs="宋体"/>
                <w:color w:val="000000"/>
                <w:sz w:val="22"/>
                <w:szCs w:val="28"/>
                <w:highlight w:val="none"/>
                <w:lang w:eastAsia="zh-CN"/>
              </w:rPr>
              <w:t>，</w:t>
            </w:r>
            <w:r>
              <w:rPr>
                <w:rFonts w:hint="eastAsia" w:ascii="宋体" w:hAnsi="宋体" w:eastAsia="宋体" w:cs="宋体"/>
                <w:color w:val="000000"/>
                <w:sz w:val="22"/>
                <w:szCs w:val="28"/>
                <w:highlight w:val="none"/>
              </w:rPr>
              <w:t>方案合理得</w:t>
            </w:r>
            <w:r>
              <w:rPr>
                <w:rFonts w:hint="eastAsia" w:ascii="宋体" w:hAnsi="宋体" w:cs="宋体"/>
                <w:color w:val="000000"/>
                <w:sz w:val="22"/>
                <w:szCs w:val="28"/>
                <w:highlight w:val="none"/>
                <w:lang w:val="en-US" w:eastAsia="zh-CN"/>
              </w:rPr>
              <w:t>3分，</w:t>
            </w:r>
            <w:r>
              <w:rPr>
                <w:rFonts w:hint="eastAsia" w:ascii="宋体" w:hAnsi="宋体" w:eastAsia="宋体" w:cs="宋体"/>
                <w:color w:val="000000"/>
                <w:sz w:val="22"/>
                <w:szCs w:val="28"/>
                <w:highlight w:val="none"/>
              </w:rPr>
              <w:t>方案描述一般得</w:t>
            </w:r>
            <w:r>
              <w:rPr>
                <w:rFonts w:hint="eastAsia" w:ascii="宋体" w:hAnsi="宋体" w:cs="宋体"/>
                <w:color w:val="000000"/>
                <w:sz w:val="22"/>
                <w:szCs w:val="28"/>
                <w:highlight w:val="none"/>
                <w:lang w:val="en-US" w:eastAsia="zh-CN"/>
              </w:rPr>
              <w:t>2</w:t>
            </w:r>
            <w:r>
              <w:rPr>
                <w:rFonts w:hint="eastAsia" w:ascii="宋体" w:hAnsi="宋体" w:eastAsia="宋体" w:cs="宋体"/>
                <w:color w:val="000000"/>
                <w:sz w:val="22"/>
                <w:szCs w:val="28"/>
                <w:highlight w:val="none"/>
              </w:rPr>
              <w:t>分，方案描述简单，无针对性得</w:t>
            </w:r>
            <w:r>
              <w:rPr>
                <w:rFonts w:hint="eastAsia" w:ascii="宋体" w:hAnsi="宋体" w:cs="宋体"/>
                <w:color w:val="000000"/>
                <w:sz w:val="22"/>
                <w:szCs w:val="28"/>
                <w:highlight w:val="none"/>
                <w:lang w:val="en-US" w:eastAsia="zh-CN"/>
              </w:rPr>
              <w:t>1</w:t>
            </w:r>
            <w:r>
              <w:rPr>
                <w:rFonts w:hint="eastAsia" w:ascii="宋体" w:hAnsi="宋体" w:eastAsia="宋体" w:cs="宋体"/>
                <w:color w:val="000000"/>
                <w:sz w:val="22"/>
                <w:szCs w:val="28"/>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p>
        </w:tc>
        <w:tc>
          <w:tcPr>
            <w:tcW w:w="9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重点群体服务方案（5分）</w:t>
            </w:r>
          </w:p>
        </w:tc>
        <w:tc>
          <w:tcPr>
            <w:tcW w:w="5730"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根据项目特点和实际技术要求，对重点群体就业能力提升部分重点群体服务方案进行综合评审。方案逻辑清晰、业务完整可行性高得</w:t>
            </w:r>
            <w:r>
              <w:rPr>
                <w:rFonts w:hint="eastAsia" w:ascii="宋体" w:hAnsi="宋体" w:eastAsia="宋体" w:cs="宋体"/>
                <w:color w:val="000000"/>
                <w:sz w:val="22"/>
                <w:szCs w:val="28"/>
                <w:highlight w:val="none"/>
                <w:lang w:val="en-US" w:eastAsia="zh-CN"/>
              </w:rPr>
              <w:t>5</w:t>
            </w:r>
            <w:r>
              <w:rPr>
                <w:rFonts w:hint="eastAsia" w:ascii="宋体" w:hAnsi="宋体" w:eastAsia="宋体" w:cs="宋体"/>
                <w:color w:val="000000"/>
                <w:sz w:val="22"/>
                <w:szCs w:val="28"/>
                <w:highlight w:val="none"/>
              </w:rPr>
              <w:t>分，方案详细得</w:t>
            </w:r>
            <w:r>
              <w:rPr>
                <w:rFonts w:hint="eastAsia" w:ascii="宋体" w:hAnsi="宋体" w:eastAsia="宋体" w:cs="宋体"/>
                <w:color w:val="000000"/>
                <w:sz w:val="22"/>
                <w:szCs w:val="28"/>
                <w:highlight w:val="none"/>
                <w:lang w:val="en-US" w:eastAsia="zh-CN"/>
              </w:rPr>
              <w:t>4分</w:t>
            </w:r>
            <w:r>
              <w:rPr>
                <w:rFonts w:hint="eastAsia" w:ascii="宋体" w:hAnsi="宋体" w:eastAsia="宋体" w:cs="宋体"/>
                <w:color w:val="000000"/>
                <w:sz w:val="22"/>
                <w:szCs w:val="28"/>
                <w:highlight w:val="none"/>
                <w:lang w:eastAsia="zh-CN"/>
              </w:rPr>
              <w:t>，</w:t>
            </w:r>
            <w:r>
              <w:rPr>
                <w:rFonts w:hint="eastAsia" w:ascii="宋体" w:hAnsi="宋体" w:eastAsia="宋体" w:cs="宋体"/>
                <w:color w:val="000000"/>
                <w:sz w:val="22"/>
                <w:szCs w:val="28"/>
                <w:highlight w:val="none"/>
              </w:rPr>
              <w:t>方案合理得</w:t>
            </w:r>
            <w:r>
              <w:rPr>
                <w:rFonts w:hint="eastAsia" w:ascii="宋体" w:hAnsi="宋体" w:eastAsia="宋体" w:cs="宋体"/>
                <w:color w:val="000000"/>
                <w:sz w:val="22"/>
                <w:szCs w:val="28"/>
                <w:highlight w:val="none"/>
                <w:lang w:val="en-US" w:eastAsia="zh-CN"/>
              </w:rPr>
              <w:t>3分，</w:t>
            </w:r>
            <w:r>
              <w:rPr>
                <w:rFonts w:hint="eastAsia" w:ascii="宋体" w:hAnsi="宋体" w:eastAsia="宋体" w:cs="宋体"/>
                <w:color w:val="000000"/>
                <w:sz w:val="22"/>
                <w:szCs w:val="28"/>
                <w:highlight w:val="none"/>
              </w:rPr>
              <w:t>方案描述一般得</w:t>
            </w:r>
            <w:r>
              <w:rPr>
                <w:rFonts w:hint="eastAsia" w:ascii="宋体" w:hAnsi="宋体" w:eastAsia="宋体" w:cs="宋体"/>
                <w:color w:val="000000"/>
                <w:sz w:val="22"/>
                <w:szCs w:val="28"/>
                <w:highlight w:val="none"/>
                <w:lang w:val="en-US" w:eastAsia="zh-CN"/>
              </w:rPr>
              <w:t>2</w:t>
            </w:r>
            <w:r>
              <w:rPr>
                <w:rFonts w:hint="eastAsia" w:ascii="宋体" w:hAnsi="宋体" w:eastAsia="宋体" w:cs="宋体"/>
                <w:color w:val="000000"/>
                <w:sz w:val="22"/>
                <w:szCs w:val="28"/>
                <w:highlight w:val="none"/>
              </w:rPr>
              <w:t>分，方案描述简单，无针对性得</w:t>
            </w:r>
            <w:r>
              <w:rPr>
                <w:rFonts w:hint="eastAsia" w:ascii="宋体" w:hAnsi="宋体" w:eastAsia="宋体" w:cs="宋体"/>
                <w:color w:val="000000"/>
                <w:sz w:val="22"/>
                <w:szCs w:val="28"/>
                <w:highlight w:val="none"/>
                <w:lang w:val="en-US" w:eastAsia="zh-CN"/>
              </w:rPr>
              <w:t>1</w:t>
            </w:r>
            <w:r>
              <w:rPr>
                <w:rFonts w:hint="eastAsia" w:ascii="宋体" w:hAnsi="宋体" w:eastAsia="宋体" w:cs="宋体"/>
                <w:color w:val="000000"/>
                <w:sz w:val="22"/>
                <w:szCs w:val="28"/>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p>
        </w:tc>
        <w:tc>
          <w:tcPr>
            <w:tcW w:w="9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大学生就业服务方案（5分）</w:t>
            </w:r>
          </w:p>
        </w:tc>
        <w:tc>
          <w:tcPr>
            <w:tcW w:w="5730"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根据全市大学生就业和服务能力现状，结合项目特点和实际就业需要，对大学生就业服务方案进行综合评审，维度覆盖完整，服务措施齐全，理念和技术手段先进、合理、可行性高，方案描述详尽、逻辑完整、针对性强得5分，方案详细得</w:t>
            </w:r>
            <w:r>
              <w:rPr>
                <w:rFonts w:hint="eastAsia" w:ascii="宋体" w:hAnsi="宋体" w:eastAsia="宋体" w:cs="宋体"/>
                <w:color w:val="000000"/>
                <w:sz w:val="22"/>
                <w:szCs w:val="28"/>
                <w:highlight w:val="none"/>
                <w:lang w:val="en-US" w:eastAsia="zh-CN"/>
              </w:rPr>
              <w:t>4分</w:t>
            </w:r>
            <w:r>
              <w:rPr>
                <w:rFonts w:hint="eastAsia" w:ascii="宋体" w:hAnsi="宋体" w:eastAsia="宋体" w:cs="宋体"/>
                <w:color w:val="000000"/>
                <w:sz w:val="22"/>
                <w:szCs w:val="28"/>
                <w:highlight w:val="none"/>
                <w:lang w:eastAsia="zh-CN"/>
              </w:rPr>
              <w:t>，</w:t>
            </w:r>
            <w:r>
              <w:rPr>
                <w:rFonts w:hint="eastAsia" w:ascii="宋体" w:hAnsi="宋体" w:eastAsia="宋体" w:cs="宋体"/>
                <w:color w:val="000000"/>
                <w:sz w:val="22"/>
                <w:szCs w:val="28"/>
                <w:highlight w:val="none"/>
              </w:rPr>
              <w:t>方案合理得</w:t>
            </w:r>
            <w:r>
              <w:rPr>
                <w:rFonts w:hint="eastAsia" w:ascii="宋体" w:hAnsi="宋体" w:eastAsia="宋体" w:cs="宋体"/>
                <w:color w:val="000000"/>
                <w:sz w:val="22"/>
                <w:szCs w:val="28"/>
                <w:highlight w:val="none"/>
                <w:lang w:val="en-US" w:eastAsia="zh-CN"/>
              </w:rPr>
              <w:t>3分，</w:t>
            </w:r>
            <w:r>
              <w:rPr>
                <w:rFonts w:hint="eastAsia" w:ascii="宋体" w:hAnsi="宋体" w:eastAsia="宋体" w:cs="宋体"/>
                <w:color w:val="000000"/>
                <w:sz w:val="22"/>
                <w:szCs w:val="28"/>
                <w:highlight w:val="none"/>
              </w:rPr>
              <w:t>方案描述一般得</w:t>
            </w:r>
            <w:r>
              <w:rPr>
                <w:rFonts w:hint="eastAsia" w:ascii="宋体" w:hAnsi="宋体" w:eastAsia="宋体" w:cs="宋体"/>
                <w:color w:val="000000"/>
                <w:sz w:val="22"/>
                <w:szCs w:val="28"/>
                <w:highlight w:val="none"/>
                <w:lang w:val="en-US" w:eastAsia="zh-CN"/>
              </w:rPr>
              <w:t>2</w:t>
            </w:r>
            <w:r>
              <w:rPr>
                <w:rFonts w:hint="eastAsia" w:ascii="宋体" w:hAnsi="宋体" w:eastAsia="宋体" w:cs="宋体"/>
                <w:color w:val="000000"/>
                <w:sz w:val="22"/>
                <w:szCs w:val="28"/>
                <w:highlight w:val="none"/>
              </w:rPr>
              <w:t>分，方案描述简单，无针对性得</w:t>
            </w:r>
            <w:r>
              <w:rPr>
                <w:rFonts w:hint="eastAsia" w:ascii="宋体" w:hAnsi="宋体" w:eastAsia="宋体" w:cs="宋体"/>
                <w:color w:val="000000"/>
                <w:sz w:val="22"/>
                <w:szCs w:val="28"/>
                <w:highlight w:val="none"/>
                <w:lang w:val="en-US" w:eastAsia="zh-CN"/>
              </w:rPr>
              <w:t>1</w:t>
            </w:r>
            <w:r>
              <w:rPr>
                <w:rFonts w:hint="eastAsia" w:ascii="宋体" w:hAnsi="宋体" w:eastAsia="宋体" w:cs="宋体"/>
                <w:color w:val="000000"/>
                <w:sz w:val="22"/>
                <w:szCs w:val="28"/>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p>
        </w:tc>
        <w:tc>
          <w:tcPr>
            <w:tcW w:w="9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大学生创业服务方案（5分）</w:t>
            </w:r>
          </w:p>
        </w:tc>
        <w:tc>
          <w:tcPr>
            <w:tcW w:w="5730"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根据全市大学生创业和公共服务能力现状，结合项目特点和实际创业服务需要，对大学生创业服务方案进行综合评审，维度覆盖完整，服务措施齐全，理念和技术手段先进、合理、可行性高，方案描述详尽、逻辑完整、针对性强得5分，方案详细得</w:t>
            </w:r>
            <w:r>
              <w:rPr>
                <w:rFonts w:hint="eastAsia" w:ascii="宋体" w:hAnsi="宋体" w:eastAsia="宋体" w:cs="宋体"/>
                <w:color w:val="000000"/>
                <w:sz w:val="22"/>
                <w:szCs w:val="28"/>
                <w:highlight w:val="none"/>
                <w:lang w:val="en-US" w:eastAsia="zh-CN"/>
              </w:rPr>
              <w:t>4分</w:t>
            </w:r>
            <w:r>
              <w:rPr>
                <w:rFonts w:hint="eastAsia" w:ascii="宋体" w:hAnsi="宋体" w:eastAsia="宋体" w:cs="宋体"/>
                <w:color w:val="000000"/>
                <w:sz w:val="22"/>
                <w:szCs w:val="28"/>
                <w:highlight w:val="none"/>
                <w:lang w:eastAsia="zh-CN"/>
              </w:rPr>
              <w:t>，</w:t>
            </w:r>
            <w:r>
              <w:rPr>
                <w:rFonts w:hint="eastAsia" w:ascii="宋体" w:hAnsi="宋体" w:eastAsia="宋体" w:cs="宋体"/>
                <w:color w:val="000000"/>
                <w:sz w:val="22"/>
                <w:szCs w:val="28"/>
                <w:highlight w:val="none"/>
              </w:rPr>
              <w:t>方案合理得</w:t>
            </w:r>
            <w:r>
              <w:rPr>
                <w:rFonts w:hint="eastAsia" w:ascii="宋体" w:hAnsi="宋体" w:eastAsia="宋体" w:cs="宋体"/>
                <w:color w:val="000000"/>
                <w:sz w:val="22"/>
                <w:szCs w:val="28"/>
                <w:highlight w:val="none"/>
                <w:lang w:val="en-US" w:eastAsia="zh-CN"/>
              </w:rPr>
              <w:t>3分，</w:t>
            </w:r>
            <w:r>
              <w:rPr>
                <w:rFonts w:hint="eastAsia" w:ascii="宋体" w:hAnsi="宋体" w:eastAsia="宋体" w:cs="宋体"/>
                <w:color w:val="000000"/>
                <w:sz w:val="22"/>
                <w:szCs w:val="28"/>
                <w:highlight w:val="none"/>
              </w:rPr>
              <w:t>方案描述一般得</w:t>
            </w:r>
            <w:r>
              <w:rPr>
                <w:rFonts w:hint="eastAsia" w:ascii="宋体" w:hAnsi="宋体" w:eastAsia="宋体" w:cs="宋体"/>
                <w:color w:val="000000"/>
                <w:sz w:val="22"/>
                <w:szCs w:val="28"/>
                <w:highlight w:val="none"/>
                <w:lang w:val="en-US" w:eastAsia="zh-CN"/>
              </w:rPr>
              <w:t>2</w:t>
            </w:r>
            <w:r>
              <w:rPr>
                <w:rFonts w:hint="eastAsia" w:ascii="宋体" w:hAnsi="宋体" w:eastAsia="宋体" w:cs="宋体"/>
                <w:color w:val="000000"/>
                <w:sz w:val="22"/>
                <w:szCs w:val="28"/>
                <w:highlight w:val="none"/>
              </w:rPr>
              <w:t>分，方案描述简单，无针对性得</w:t>
            </w:r>
            <w:r>
              <w:rPr>
                <w:rFonts w:hint="eastAsia" w:ascii="宋体" w:hAnsi="宋体" w:eastAsia="宋体" w:cs="宋体"/>
                <w:color w:val="000000"/>
                <w:sz w:val="22"/>
                <w:szCs w:val="28"/>
                <w:highlight w:val="none"/>
                <w:lang w:val="en-US" w:eastAsia="zh-CN"/>
              </w:rPr>
              <w:t>1</w:t>
            </w:r>
            <w:r>
              <w:rPr>
                <w:rFonts w:hint="eastAsia" w:ascii="宋体" w:hAnsi="宋体" w:eastAsia="宋体" w:cs="宋体"/>
                <w:color w:val="000000"/>
                <w:sz w:val="22"/>
                <w:szCs w:val="28"/>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p>
        </w:tc>
        <w:tc>
          <w:tcPr>
            <w:tcW w:w="9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大数据平台服务方案（5分）</w:t>
            </w:r>
          </w:p>
        </w:tc>
        <w:tc>
          <w:tcPr>
            <w:tcW w:w="5730"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根据公共就业服务需要，结合项目特点和实际数据现状，对大数据整合与分析服务方案进行综合评审，架构清晰、设计合理，方案描述详尽、逻辑完整、维度覆盖全，理念和技术手段先进、合理，方案描述详尽、逻辑完整、针对性强</w:t>
            </w:r>
            <w:r>
              <w:rPr>
                <w:rFonts w:hint="eastAsia" w:ascii="宋体" w:hAnsi="宋体" w:cs="宋体"/>
                <w:color w:val="000000"/>
                <w:sz w:val="22"/>
                <w:szCs w:val="28"/>
                <w:highlight w:val="none"/>
                <w:lang w:eastAsia="zh-CN"/>
              </w:rPr>
              <w:t>得</w:t>
            </w:r>
            <w:r>
              <w:rPr>
                <w:rFonts w:hint="eastAsia" w:ascii="宋体" w:hAnsi="宋体" w:eastAsia="宋体" w:cs="宋体"/>
                <w:color w:val="000000"/>
                <w:sz w:val="22"/>
                <w:szCs w:val="28"/>
                <w:highlight w:val="none"/>
              </w:rPr>
              <w:t>5分，方案详细得4分，方案合理得3分，方案描述一般得2分，方案描述简单，无针对性得1分，未提供不得分。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9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智慧化服务方案（5分）</w:t>
            </w:r>
          </w:p>
        </w:tc>
        <w:tc>
          <w:tcPr>
            <w:tcW w:w="573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lang w:val="zh-CN"/>
              </w:rPr>
            </w:pPr>
            <w:r>
              <w:rPr>
                <w:rFonts w:hint="eastAsia" w:ascii="宋体" w:hAnsi="宋体" w:eastAsia="宋体" w:cs="宋体"/>
                <w:color w:val="000000"/>
                <w:sz w:val="22"/>
                <w:szCs w:val="28"/>
                <w:highlight w:val="none"/>
                <w:lang w:val="zh-CN"/>
              </w:rPr>
              <w:t>根据项目特点和市场实际业务需要，对新型零工及劳务市场智慧化服务方案进行综合评审，架构清晰、设计合理，方案描述详尽、逻辑完整、维度覆盖全，理念和技术手段先进、合理，方案描述详尽、逻辑完整、针对性强得</w:t>
            </w:r>
            <w:r>
              <w:rPr>
                <w:rFonts w:hint="eastAsia" w:ascii="宋体" w:hAnsi="宋体" w:cs="宋体"/>
                <w:color w:val="000000"/>
                <w:sz w:val="22"/>
                <w:szCs w:val="28"/>
                <w:highlight w:val="none"/>
                <w:lang w:val="en-US" w:eastAsia="zh-CN"/>
              </w:rPr>
              <w:t>5</w:t>
            </w:r>
            <w:r>
              <w:rPr>
                <w:rFonts w:hint="eastAsia" w:ascii="宋体" w:hAnsi="宋体" w:eastAsia="宋体" w:cs="宋体"/>
                <w:color w:val="000000"/>
                <w:sz w:val="22"/>
                <w:szCs w:val="28"/>
                <w:highlight w:val="none"/>
                <w:lang w:val="zh-CN"/>
              </w:rPr>
              <w:t>分，方案详细得4分，方案合理得3分，方案描述一般得2分，方案描述简单，无针对性得1分，未提供不得分。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9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网络服务能力（</w:t>
            </w:r>
            <w:r>
              <w:rPr>
                <w:rFonts w:hint="eastAsia" w:ascii="宋体" w:hAnsi="宋体" w:cs="宋体"/>
                <w:color w:val="000000"/>
                <w:sz w:val="22"/>
                <w:szCs w:val="28"/>
                <w:highlight w:val="none"/>
                <w:lang w:val="en-US" w:eastAsia="zh-CN"/>
              </w:rPr>
              <w:t>5</w:t>
            </w:r>
            <w:r>
              <w:rPr>
                <w:rFonts w:hint="eastAsia" w:ascii="宋体" w:hAnsi="宋体" w:eastAsia="宋体" w:cs="宋体"/>
                <w:color w:val="000000"/>
                <w:sz w:val="22"/>
                <w:szCs w:val="28"/>
                <w:highlight w:val="none"/>
                <w:lang w:val="en-US" w:eastAsia="zh-CN"/>
              </w:rPr>
              <w:t>分）</w:t>
            </w:r>
          </w:p>
        </w:tc>
        <w:tc>
          <w:tcPr>
            <w:tcW w:w="573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lang w:val="zh-CN"/>
              </w:rPr>
            </w:pPr>
            <w:r>
              <w:rPr>
                <w:rFonts w:hint="eastAsia" w:ascii="宋体" w:hAnsi="宋体" w:eastAsia="宋体" w:cs="宋体"/>
                <w:color w:val="000000"/>
                <w:sz w:val="22"/>
                <w:szCs w:val="28"/>
                <w:highlight w:val="none"/>
                <w:lang w:val="zh-CN" w:eastAsia="zh-CN"/>
              </w:rPr>
              <w:t>由评委根据投标人提供的网络服务能力</w:t>
            </w:r>
            <w:r>
              <w:rPr>
                <w:rFonts w:hint="eastAsia" w:ascii="宋体" w:hAnsi="宋体" w:cs="宋体"/>
                <w:color w:val="000000"/>
                <w:sz w:val="22"/>
                <w:szCs w:val="28"/>
                <w:highlight w:val="none"/>
                <w:lang w:val="zh-CN" w:eastAsia="zh-CN"/>
              </w:rPr>
              <w:t>作</w:t>
            </w:r>
            <w:r>
              <w:rPr>
                <w:rFonts w:hint="eastAsia" w:ascii="宋体" w:hAnsi="宋体" w:eastAsia="宋体" w:cs="宋体"/>
                <w:color w:val="000000"/>
                <w:sz w:val="22"/>
                <w:szCs w:val="28"/>
                <w:highlight w:val="none"/>
                <w:lang w:val="zh-CN" w:eastAsia="zh-CN"/>
              </w:rPr>
              <w:t>打分。方案全面可操作性强、有市县区三级网络服务能力得</w:t>
            </w:r>
            <w:r>
              <w:rPr>
                <w:rFonts w:hint="eastAsia" w:ascii="宋体" w:hAnsi="宋体" w:cs="宋体"/>
                <w:color w:val="000000"/>
                <w:sz w:val="22"/>
                <w:szCs w:val="28"/>
                <w:highlight w:val="none"/>
                <w:lang w:val="en-US" w:eastAsia="zh-CN"/>
              </w:rPr>
              <w:t>5</w:t>
            </w:r>
            <w:r>
              <w:rPr>
                <w:rFonts w:hint="eastAsia" w:ascii="宋体" w:hAnsi="宋体" w:eastAsia="宋体" w:cs="宋体"/>
                <w:color w:val="000000"/>
                <w:sz w:val="22"/>
                <w:szCs w:val="28"/>
                <w:highlight w:val="none"/>
                <w:lang w:val="zh-CN"/>
              </w:rPr>
              <w:t>分</w:t>
            </w:r>
            <w:r>
              <w:rPr>
                <w:rFonts w:hint="eastAsia" w:ascii="宋体" w:hAnsi="宋体" w:eastAsia="宋体" w:cs="宋体"/>
                <w:color w:val="000000"/>
                <w:sz w:val="22"/>
                <w:szCs w:val="28"/>
                <w:highlight w:val="none"/>
                <w:lang w:val="zh-CN" w:eastAsia="zh-CN"/>
              </w:rPr>
              <w:t>；方案合理，定位基本准确、有一定针对性得</w:t>
            </w:r>
            <w:r>
              <w:rPr>
                <w:rFonts w:hint="eastAsia" w:ascii="宋体" w:hAnsi="宋体" w:cs="宋体"/>
                <w:color w:val="000000"/>
                <w:sz w:val="22"/>
                <w:szCs w:val="28"/>
                <w:highlight w:val="none"/>
                <w:lang w:val="en-US" w:eastAsia="zh-CN"/>
              </w:rPr>
              <w:t>4</w:t>
            </w:r>
            <w:r>
              <w:rPr>
                <w:rFonts w:hint="eastAsia" w:ascii="宋体" w:hAnsi="宋体" w:eastAsia="宋体" w:cs="宋体"/>
                <w:color w:val="000000"/>
                <w:sz w:val="22"/>
                <w:szCs w:val="28"/>
                <w:highlight w:val="none"/>
                <w:lang w:val="zh-CN"/>
              </w:rPr>
              <w:t>分，方案合理得3分</w:t>
            </w:r>
            <w:r>
              <w:rPr>
                <w:rFonts w:hint="eastAsia" w:ascii="宋体" w:hAnsi="宋体" w:cs="宋体"/>
                <w:color w:val="000000"/>
                <w:sz w:val="22"/>
                <w:szCs w:val="28"/>
                <w:highlight w:val="none"/>
                <w:lang w:val="zh-CN"/>
              </w:rPr>
              <w:t>，</w:t>
            </w:r>
            <w:r>
              <w:rPr>
                <w:rFonts w:hint="eastAsia" w:ascii="宋体" w:hAnsi="宋体" w:eastAsia="宋体" w:cs="宋体"/>
                <w:color w:val="000000"/>
                <w:sz w:val="22"/>
                <w:szCs w:val="28"/>
                <w:highlight w:val="none"/>
                <w:lang w:val="zh-CN"/>
              </w:rPr>
              <w:t>方案描述一般得2分，</w:t>
            </w:r>
            <w:r>
              <w:rPr>
                <w:rFonts w:hint="eastAsia" w:ascii="宋体" w:hAnsi="宋体" w:eastAsia="宋体" w:cs="宋体"/>
                <w:color w:val="000000"/>
                <w:sz w:val="22"/>
                <w:szCs w:val="28"/>
                <w:highlight w:val="none"/>
                <w:lang w:val="zh-CN" w:eastAsia="zh-CN"/>
              </w:rPr>
              <w:t>缺项得</w:t>
            </w:r>
            <w:r>
              <w:rPr>
                <w:rFonts w:hint="eastAsia" w:ascii="宋体" w:hAnsi="宋体" w:cs="宋体"/>
                <w:color w:val="000000"/>
                <w:sz w:val="22"/>
                <w:szCs w:val="28"/>
                <w:highlight w:val="none"/>
                <w:lang w:val="en-US" w:eastAsia="zh-CN"/>
              </w:rPr>
              <w:t>1</w:t>
            </w:r>
            <w:r>
              <w:rPr>
                <w:rFonts w:hint="eastAsia" w:ascii="宋体" w:hAnsi="宋体" w:eastAsia="宋体" w:cs="宋体"/>
                <w:color w:val="000000"/>
                <w:sz w:val="22"/>
                <w:szCs w:val="28"/>
                <w:highlight w:val="none"/>
                <w:lang w:val="zh-CN" w:eastAsia="zh-CN"/>
              </w:rPr>
              <w:t>分；无此项内容的得</w:t>
            </w:r>
            <w:r>
              <w:rPr>
                <w:rFonts w:hint="eastAsia" w:ascii="宋体" w:hAnsi="宋体" w:cs="宋体"/>
                <w:color w:val="000000"/>
                <w:sz w:val="22"/>
                <w:szCs w:val="28"/>
                <w:highlight w:val="none"/>
                <w:lang w:val="en-US" w:eastAsia="zh-CN"/>
              </w:rPr>
              <w:t>0</w:t>
            </w:r>
            <w:r>
              <w:rPr>
                <w:rFonts w:hint="eastAsia" w:ascii="宋体" w:hAnsi="宋体" w:eastAsia="宋体" w:cs="宋体"/>
                <w:color w:val="000000"/>
                <w:sz w:val="22"/>
                <w:szCs w:val="28"/>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9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安全防护服务方案</w:t>
            </w:r>
            <w:r>
              <w:rPr>
                <w:rFonts w:hint="eastAsia" w:ascii="宋体" w:hAnsi="宋体"/>
                <w:bCs/>
                <w:szCs w:val="21"/>
              </w:rPr>
              <w:t>（</w:t>
            </w:r>
            <w:r>
              <w:rPr>
                <w:rFonts w:hint="eastAsia" w:ascii="宋体" w:hAnsi="宋体"/>
                <w:bCs/>
                <w:szCs w:val="21"/>
                <w:lang w:val="en-US" w:eastAsia="zh-CN"/>
              </w:rPr>
              <w:t>10</w:t>
            </w:r>
            <w:r>
              <w:rPr>
                <w:rFonts w:hint="eastAsia" w:ascii="宋体" w:hAnsi="宋体"/>
                <w:bCs/>
                <w:szCs w:val="21"/>
              </w:rPr>
              <w:t>分）</w:t>
            </w:r>
          </w:p>
        </w:tc>
        <w:tc>
          <w:tcPr>
            <w:tcW w:w="573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lang w:val="zh-CN"/>
              </w:rPr>
            </w:pPr>
            <w:r>
              <w:rPr>
                <w:rFonts w:hint="eastAsia" w:ascii="宋体" w:hAnsi="宋体" w:eastAsia="宋体" w:cs="宋体"/>
                <w:color w:val="000000"/>
                <w:sz w:val="22"/>
                <w:szCs w:val="28"/>
                <w:highlight w:val="none"/>
                <w:lang w:val="zh-CN"/>
              </w:rPr>
              <w:t>根据项目特点和实际情况，对安全防护方案进行综合评审，方案逻辑清晰、</w:t>
            </w:r>
            <w:bookmarkStart w:id="1044" w:name="_GoBack"/>
            <w:bookmarkEnd w:id="1044"/>
            <w:r>
              <w:rPr>
                <w:rFonts w:hint="eastAsia" w:ascii="宋体" w:hAnsi="宋体" w:eastAsia="宋体" w:cs="宋体"/>
                <w:color w:val="000000"/>
                <w:sz w:val="22"/>
                <w:szCs w:val="28"/>
                <w:highlight w:val="none"/>
                <w:lang w:val="zh-CN"/>
              </w:rPr>
              <w:t>业务完整可行性高得10分，方案详细得</w:t>
            </w:r>
            <w:r>
              <w:rPr>
                <w:rFonts w:hint="eastAsia" w:ascii="宋体" w:hAnsi="宋体" w:eastAsia="宋体" w:cs="宋体"/>
                <w:color w:val="000000"/>
                <w:sz w:val="22"/>
                <w:szCs w:val="28"/>
                <w:highlight w:val="none"/>
                <w:lang w:val="zh-CN" w:eastAsia="zh-CN"/>
              </w:rPr>
              <w:t>8分，</w:t>
            </w:r>
            <w:r>
              <w:rPr>
                <w:rFonts w:hint="eastAsia" w:ascii="宋体" w:hAnsi="宋体" w:eastAsia="宋体" w:cs="宋体"/>
                <w:color w:val="000000"/>
                <w:sz w:val="22"/>
                <w:szCs w:val="28"/>
                <w:highlight w:val="none"/>
                <w:lang w:val="zh-CN"/>
              </w:rPr>
              <w:t>方案合理得</w:t>
            </w:r>
            <w:r>
              <w:rPr>
                <w:rFonts w:hint="eastAsia" w:ascii="宋体" w:hAnsi="宋体" w:eastAsia="宋体" w:cs="宋体"/>
                <w:color w:val="000000"/>
                <w:sz w:val="22"/>
                <w:szCs w:val="28"/>
                <w:highlight w:val="none"/>
                <w:lang w:val="zh-CN" w:eastAsia="zh-CN"/>
              </w:rPr>
              <w:t>6分，</w:t>
            </w:r>
            <w:r>
              <w:rPr>
                <w:rFonts w:hint="eastAsia" w:ascii="宋体" w:hAnsi="宋体" w:eastAsia="宋体" w:cs="宋体"/>
                <w:color w:val="000000"/>
                <w:sz w:val="22"/>
                <w:szCs w:val="28"/>
                <w:highlight w:val="none"/>
                <w:lang w:val="zh-CN"/>
              </w:rPr>
              <w:t>方案描述一般得4分，方案描述简单，无针对性得</w:t>
            </w:r>
            <w:r>
              <w:rPr>
                <w:rFonts w:hint="eastAsia" w:ascii="宋体" w:hAnsi="宋体" w:eastAsia="宋体" w:cs="宋体"/>
                <w:color w:val="000000"/>
                <w:sz w:val="22"/>
                <w:szCs w:val="28"/>
                <w:highlight w:val="none"/>
                <w:lang w:val="zh-CN" w:eastAsia="zh-CN"/>
              </w:rPr>
              <w:t>2</w:t>
            </w:r>
            <w:r>
              <w:rPr>
                <w:rFonts w:hint="eastAsia" w:ascii="宋体" w:hAnsi="宋体" w:eastAsia="宋体" w:cs="宋体"/>
                <w:color w:val="000000"/>
                <w:sz w:val="22"/>
                <w:szCs w:val="28"/>
                <w:highlight w:val="none"/>
                <w:lang w:val="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11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9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公共人力资源数字化基础支撑服务方案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lang w:val="en-US" w:eastAsia="zh-CN"/>
              </w:rPr>
              <w:t>（5分）</w:t>
            </w:r>
          </w:p>
        </w:tc>
        <w:tc>
          <w:tcPr>
            <w:tcW w:w="573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2"/>
                <w:szCs w:val="28"/>
                <w:highlight w:val="none"/>
                <w:lang w:val="zh-CN"/>
              </w:rPr>
            </w:pPr>
            <w:r>
              <w:rPr>
                <w:rFonts w:hint="eastAsia" w:ascii="宋体" w:hAnsi="宋体" w:eastAsia="宋体" w:cs="宋体"/>
                <w:color w:val="000000"/>
                <w:sz w:val="22"/>
                <w:szCs w:val="28"/>
                <w:highlight w:val="none"/>
                <w:lang w:val="zh-CN"/>
              </w:rPr>
              <w:t>根据项目特点和实际业务需要，对数字化基础支撑方案进行综合评审，方案逻辑清晰、业务完整可行性高得</w:t>
            </w:r>
            <w:r>
              <w:rPr>
                <w:rFonts w:hint="eastAsia" w:ascii="宋体" w:hAnsi="宋体" w:eastAsia="宋体" w:cs="宋体"/>
                <w:color w:val="000000"/>
                <w:sz w:val="22"/>
                <w:szCs w:val="28"/>
                <w:highlight w:val="none"/>
                <w:lang w:val="zh-CN" w:eastAsia="zh-CN"/>
              </w:rPr>
              <w:t>5</w:t>
            </w:r>
            <w:r>
              <w:rPr>
                <w:rFonts w:hint="eastAsia" w:ascii="宋体" w:hAnsi="宋体" w:eastAsia="宋体" w:cs="宋体"/>
                <w:color w:val="000000"/>
                <w:sz w:val="22"/>
                <w:szCs w:val="28"/>
                <w:highlight w:val="none"/>
                <w:lang w:val="zh-CN"/>
              </w:rPr>
              <w:t>分，方案详细得</w:t>
            </w:r>
            <w:r>
              <w:rPr>
                <w:rFonts w:hint="eastAsia" w:ascii="宋体" w:hAnsi="宋体" w:eastAsia="宋体" w:cs="宋体"/>
                <w:color w:val="000000"/>
                <w:sz w:val="22"/>
                <w:szCs w:val="28"/>
                <w:highlight w:val="none"/>
                <w:lang w:val="zh-CN" w:eastAsia="zh-CN"/>
              </w:rPr>
              <w:t>4分，</w:t>
            </w:r>
            <w:r>
              <w:rPr>
                <w:rFonts w:hint="eastAsia" w:ascii="宋体" w:hAnsi="宋体" w:eastAsia="宋体" w:cs="宋体"/>
                <w:color w:val="000000"/>
                <w:sz w:val="22"/>
                <w:szCs w:val="28"/>
                <w:highlight w:val="none"/>
                <w:lang w:val="zh-CN"/>
              </w:rPr>
              <w:t>方案合理得</w:t>
            </w:r>
            <w:r>
              <w:rPr>
                <w:rFonts w:hint="eastAsia" w:ascii="宋体" w:hAnsi="宋体" w:eastAsia="宋体" w:cs="宋体"/>
                <w:color w:val="000000"/>
                <w:sz w:val="22"/>
                <w:szCs w:val="28"/>
                <w:highlight w:val="none"/>
                <w:lang w:val="zh-CN" w:eastAsia="zh-CN"/>
              </w:rPr>
              <w:t>3分，</w:t>
            </w:r>
            <w:r>
              <w:rPr>
                <w:rFonts w:hint="eastAsia" w:ascii="宋体" w:hAnsi="宋体" w:eastAsia="宋体" w:cs="宋体"/>
                <w:color w:val="000000"/>
                <w:sz w:val="22"/>
                <w:szCs w:val="28"/>
                <w:highlight w:val="none"/>
                <w:lang w:val="zh-CN"/>
              </w:rPr>
              <w:t>方案描述一般得</w:t>
            </w:r>
            <w:r>
              <w:rPr>
                <w:rFonts w:hint="eastAsia" w:ascii="宋体" w:hAnsi="宋体" w:eastAsia="宋体" w:cs="宋体"/>
                <w:color w:val="000000"/>
                <w:sz w:val="22"/>
                <w:szCs w:val="28"/>
                <w:highlight w:val="none"/>
                <w:lang w:val="zh-CN" w:eastAsia="zh-CN"/>
              </w:rPr>
              <w:t>2</w:t>
            </w:r>
            <w:r>
              <w:rPr>
                <w:rFonts w:hint="eastAsia" w:ascii="宋体" w:hAnsi="宋体" w:eastAsia="宋体" w:cs="宋体"/>
                <w:color w:val="000000"/>
                <w:sz w:val="22"/>
                <w:szCs w:val="28"/>
                <w:highlight w:val="none"/>
                <w:lang w:val="zh-CN"/>
              </w:rPr>
              <w:t>分，方案描述简单，无针对性得</w:t>
            </w:r>
            <w:r>
              <w:rPr>
                <w:rFonts w:hint="eastAsia" w:ascii="宋体" w:hAnsi="宋体" w:eastAsia="宋体" w:cs="宋体"/>
                <w:color w:val="000000"/>
                <w:sz w:val="22"/>
                <w:szCs w:val="28"/>
                <w:highlight w:val="none"/>
                <w:lang w:val="zh-CN" w:eastAsia="zh-CN"/>
              </w:rPr>
              <w:t>1</w:t>
            </w:r>
            <w:r>
              <w:rPr>
                <w:rFonts w:hint="eastAsia" w:ascii="宋体" w:hAnsi="宋体" w:eastAsia="宋体" w:cs="宋体"/>
                <w:color w:val="000000"/>
                <w:sz w:val="22"/>
                <w:szCs w:val="28"/>
                <w:highlight w:val="none"/>
                <w:lang w:val="zh-CN"/>
              </w:rPr>
              <w:t>分，未提供不得分。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lang w:val="en-US" w:eastAsia="zh-CN"/>
        </w:rPr>
        <w:t>1、评标方法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本次评标采用综合评分法。综合评分法，是指投标文件满足招标文件全部实质性要求，且按照评审因素的量化指标评审得分最高的投标人为中标候选人的评标方法。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w:t>
      </w:r>
      <w:r>
        <w:rPr>
          <w:rFonts w:hint="eastAsia" w:ascii="宋体" w:hAnsi="宋体" w:cs="宋体"/>
          <w:color w:val="000000"/>
          <w:sz w:val="22"/>
          <w:szCs w:val="28"/>
          <w:lang w:val="en-US" w:eastAsia="zh-CN"/>
        </w:rPr>
        <w:t>技术部分</w:t>
      </w:r>
      <w:r>
        <w:rPr>
          <w:rFonts w:hint="eastAsia" w:ascii="宋体" w:hAnsi="宋体" w:eastAsia="宋体" w:cs="宋体"/>
          <w:color w:val="000000"/>
          <w:sz w:val="22"/>
          <w:szCs w:val="28"/>
        </w:rPr>
        <w:t>评分高的优先；</w:t>
      </w:r>
      <w:r>
        <w:rPr>
          <w:rFonts w:hint="eastAsia" w:ascii="宋体" w:hAnsi="宋体" w:cs="宋体"/>
          <w:color w:val="000000"/>
          <w:sz w:val="22"/>
          <w:szCs w:val="28"/>
          <w:lang w:val="en-US" w:eastAsia="zh-CN"/>
        </w:rPr>
        <w:t>技术部分</w:t>
      </w:r>
      <w:r>
        <w:rPr>
          <w:rFonts w:hint="eastAsia" w:ascii="宋体" w:hAnsi="宋体" w:eastAsia="宋体" w:cs="宋体"/>
          <w:color w:val="000000"/>
          <w:sz w:val="22"/>
          <w:szCs w:val="28"/>
        </w:rPr>
        <w:t>评分也相等的，由采购人采用随机抽取的方式确定中标候选人排序。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2、评审标准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2.1初步评审标准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2.1.1形式评审标准：见初步评审表；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2.1.2资格评审标准：见初步评审表；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2.1.3响应性评审标准：见初步评审表。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2.2分值构成与评分标准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2.2.1分值构成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（1）投标报价：见详细评审表；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w:t>
      </w:r>
      <w:r>
        <w:rPr>
          <w:rFonts w:hint="eastAsia" w:ascii="宋体" w:hAnsi="宋体" w:cs="宋体"/>
          <w:color w:val="000000"/>
          <w:sz w:val="22"/>
          <w:szCs w:val="28"/>
          <w:lang w:eastAsia="zh-CN"/>
        </w:rPr>
        <w:t>商务部分</w:t>
      </w:r>
      <w:r>
        <w:rPr>
          <w:rFonts w:hint="eastAsia" w:ascii="宋体" w:hAnsi="宋体" w:eastAsia="宋体" w:cs="宋体"/>
          <w:color w:val="000000"/>
          <w:sz w:val="22"/>
          <w:szCs w:val="28"/>
        </w:rPr>
        <w:t>：见详细评审表；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w:t>
      </w:r>
      <w:r>
        <w:rPr>
          <w:rFonts w:hint="eastAsia" w:ascii="宋体" w:hAnsi="宋体" w:cs="宋体"/>
          <w:color w:val="000000"/>
          <w:sz w:val="22"/>
          <w:szCs w:val="28"/>
          <w:lang w:eastAsia="zh-CN"/>
        </w:rPr>
        <w:t>技术部分</w:t>
      </w:r>
      <w:r>
        <w:rPr>
          <w:rFonts w:hint="eastAsia" w:ascii="宋体" w:hAnsi="宋体" w:eastAsia="宋体" w:cs="宋体"/>
          <w:color w:val="000000"/>
          <w:sz w:val="22"/>
          <w:szCs w:val="28"/>
        </w:rPr>
        <w:t>：见详细评审表；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2.2.2评标基准价计算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评标基准价计算方法：见详细评审表。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2.2.3投标报价的偏差率计算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投标报价的偏差率计算公式：见详细评审表。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2.2.4评分标准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（1）投标报价评分标准：见详细评审表；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w:t>
      </w:r>
      <w:r>
        <w:rPr>
          <w:rFonts w:hint="eastAsia" w:ascii="宋体" w:hAnsi="宋体" w:eastAsia="宋体" w:cs="宋体"/>
          <w:color w:val="000000"/>
          <w:sz w:val="22"/>
          <w:szCs w:val="28"/>
          <w:lang w:eastAsia="zh-CN"/>
        </w:rPr>
        <w:t>商务部分</w:t>
      </w:r>
      <w:r>
        <w:rPr>
          <w:rFonts w:hint="eastAsia" w:ascii="宋体" w:hAnsi="宋体" w:eastAsia="宋体" w:cs="宋体"/>
          <w:color w:val="000000"/>
          <w:sz w:val="22"/>
          <w:szCs w:val="28"/>
        </w:rPr>
        <w:t>：见详细评审表；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w:t>
      </w:r>
      <w:r>
        <w:rPr>
          <w:rFonts w:hint="eastAsia" w:ascii="宋体" w:hAnsi="宋体" w:eastAsia="宋体" w:cs="宋体"/>
          <w:color w:val="000000"/>
          <w:sz w:val="22"/>
          <w:szCs w:val="28"/>
          <w:lang w:eastAsia="zh-CN"/>
        </w:rPr>
        <w:t>技术部分</w:t>
      </w:r>
      <w:r>
        <w:rPr>
          <w:rFonts w:hint="eastAsia" w:ascii="宋体" w:hAnsi="宋体" w:eastAsia="宋体" w:cs="宋体"/>
          <w:color w:val="000000"/>
          <w:sz w:val="22"/>
          <w:szCs w:val="28"/>
        </w:rPr>
        <w:t>：见详细评审表；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3、评标程序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3.1初步评审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3.1.1评标委员会依据本章第2.1款规定的标准对投标文件进行初步评审。有一项不符合评审标准的，作废标处理。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3.1.2投标人有以下情形之一的，其投标将被否决：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（1）投标文件未经投标单位盖章和单位法定代表人或其授权代理人签字；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（2）投标联合体没有提交共同投标协议；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（3）投标人不符合国家或者招标文件规定的资格条件；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（4）同一投标人提交两个以上不同的投标文件或者投标报价，但招标文件要求提交备选投标的除外；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（5）投标报价低于“成本价格”或者高于最高投标限价；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（6）投标文件没有对招标文件的实质性要求和条件作出响应；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（7）投标人被记录有严重失信行为造成严重社会影响的；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（8）投标人有串通投标、弄虚作假、行贿等违法行为。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3.1.3投标报价有算术错误的，评标委员会按以下原则对投标报价进行修正，修正的价格经投标人书面确认后具有约束力。投标人不接受修正价格的，其投标将被否决。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3.2详细评审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3.2.1评标委员会按本章第2.2款规定的量化因素和分值进行打分，并计算出综合评估得分。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（1）按本章第2.2.4（1）目规定的评审因素和分值对投标报价计算出得分A；</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（2）按本章第2.2.4（2）目规定的评审因素和分值对</w:t>
      </w:r>
      <w:r>
        <w:rPr>
          <w:rFonts w:hint="eastAsia" w:ascii="宋体" w:hAnsi="宋体" w:eastAsia="宋体" w:cs="宋体"/>
          <w:color w:val="000000"/>
          <w:sz w:val="22"/>
          <w:szCs w:val="28"/>
          <w:lang w:eastAsia="zh-CN"/>
        </w:rPr>
        <w:t>商务部分</w:t>
      </w:r>
      <w:r>
        <w:rPr>
          <w:rFonts w:hint="eastAsia" w:ascii="宋体" w:hAnsi="宋体" w:eastAsia="宋体" w:cs="宋体"/>
          <w:color w:val="000000"/>
          <w:sz w:val="22"/>
          <w:szCs w:val="28"/>
        </w:rPr>
        <w:t>计算出得分B；</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（3）按本章第2.2.4（3）目规定的评审因素和分值对</w:t>
      </w:r>
      <w:r>
        <w:rPr>
          <w:rFonts w:hint="eastAsia" w:ascii="宋体" w:hAnsi="宋体" w:eastAsia="宋体" w:cs="宋体"/>
          <w:color w:val="000000"/>
          <w:sz w:val="22"/>
          <w:szCs w:val="28"/>
          <w:lang w:eastAsia="zh-CN"/>
        </w:rPr>
        <w:t>技术部分</w:t>
      </w:r>
      <w:r>
        <w:rPr>
          <w:rFonts w:hint="eastAsia" w:ascii="宋体" w:hAnsi="宋体" w:eastAsia="宋体" w:cs="宋体"/>
          <w:color w:val="000000"/>
          <w:sz w:val="22"/>
          <w:szCs w:val="28"/>
        </w:rPr>
        <w:t>计算出得分C；</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3.2.2评分分值计算保留小数点后两位，小数点后第三位“四舍五入”。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3.2.3投标人得分=A+B+C。</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3.2.4评标委员会发现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合理说明或者不能提供相应证明材料的，由评标委员会认定该投标人以低于成本报价竞标，其投标将被否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3.3投标文件的澄清和补正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3.3.1在评标过程中，评标委员会可以书面形式要求投标人对所提交投标文件中不明确的内容进行书面澄清或说明，或者对细微偏差进行补正。评标委员会不接受投标人主动提出的澄清、说明或补正。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3.3.2澄清、说明和补正不得改变投标文件的实质性内容（算术性错误修正的除外）。投标人的书面澄清、说明和补正属于投标文件的组成部分。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3.3.3评标委员会对投标人提交的澄清、说明或补正有疑问的，可以要求投标人进一步澄清、说明或补正，直至满足评标委员会的要求。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3.4评标结果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3.4.1除第二章“投标人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3.4.2评标委员会完成评标后，应当向采购人提交书面评标报告。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4、有下列情形之一的，视为投标人相互串通投标：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（1）投标人之间协商投标报价等投标文件的实质性内容的；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（2）投标人之间约定中标人的；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（3）投标人之间约定部分投标人放弃投标或者中标的；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（4）属于同一集团、协会、商会等组织成员的投标人按照该组织要求投标的；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（5）投标人之间为谋取中标或者排斥特定投标人而采取的其他联合行动的；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（6）不同投标人的投标文件由同一单位或者个人编制的；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（7）不同投标人委托同一单位或者个人办理投标事宜的；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（8）不同投标人的投标文件载明的项目管理成员为同一人的；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（9）不同投标人的投标文件异常一致或者投标报价呈规律性差异的；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（10）不同投标人的投标文件相互混装的；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（11）不同投标人的投标保证金从同一单位或者个人的账户转出的；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bookmarkStart w:id="778" w:name="_Toc1672"/>
      <w:bookmarkStart w:id="779" w:name="_Toc246996995"/>
      <w:bookmarkStart w:id="780" w:name="_Toc247085767"/>
      <w:bookmarkStart w:id="781" w:name="_Toc3593"/>
      <w:bookmarkStart w:id="782" w:name="_Toc1055"/>
      <w:bookmarkStart w:id="783" w:name="_Toc16258"/>
      <w:bookmarkStart w:id="784" w:name="_Toc179632627"/>
      <w:bookmarkStart w:id="785" w:name="_Toc246996252"/>
      <w:bookmarkStart w:id="786" w:name="_Toc152042387"/>
      <w:bookmarkStart w:id="787" w:name="_Toc144974577"/>
      <w:bookmarkStart w:id="788" w:name="_Toc152045609"/>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6"/>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kern w:val="2"/>
          <w:sz w:val="44"/>
          <w:szCs w:val="44"/>
          <w:lang w:val="en-US" w:eastAsia="zh-CN" w:bidi="ar-SA"/>
        </w:rPr>
      </w:pPr>
      <w:r>
        <w:rPr>
          <w:rFonts w:hint="eastAsia" w:ascii="黑体" w:hAnsi="黑体" w:eastAsia="黑体" w:cs="黑体"/>
          <w:b/>
          <w:bCs/>
          <w:color w:val="000000"/>
          <w:kern w:val="2"/>
          <w:sz w:val="44"/>
          <w:szCs w:val="44"/>
          <w:lang w:val="en-US" w:eastAsia="zh-CN" w:bidi="ar-SA"/>
        </w:rPr>
        <w:t>第四章 合同条款及格式</w:t>
      </w:r>
      <w:bookmarkEnd w:id="778"/>
      <w:bookmarkEnd w:id="779"/>
      <w:bookmarkEnd w:id="780"/>
      <w:bookmarkEnd w:id="781"/>
      <w:bookmarkEnd w:id="782"/>
      <w:bookmarkEnd w:id="783"/>
      <w:bookmarkEnd w:id="784"/>
      <w:bookmarkEnd w:id="785"/>
      <w:bookmarkEnd w:id="786"/>
      <w:bookmarkEnd w:id="787"/>
      <w:bookmarkEnd w:id="788"/>
      <w:r>
        <w:rPr>
          <w:rFonts w:hint="eastAsia" w:ascii="黑体" w:hAnsi="黑体" w:eastAsia="黑体" w:cs="黑体"/>
          <w:b/>
          <w:bCs/>
          <w:color w:val="000000"/>
          <w:kern w:val="2"/>
          <w:sz w:val="44"/>
          <w:szCs w:val="44"/>
          <w:lang w:val="en-US" w:eastAsia="zh-CN" w:bidi="ar-SA"/>
        </w:rPr>
        <w:t xml:space="preserve"> </w:t>
      </w:r>
    </w:p>
    <w:p>
      <w:pPr>
        <w:spacing w:before="243" w:line="225" w:lineRule="auto"/>
        <w:jc w:val="center"/>
        <w:outlineLvl w:val="1"/>
        <w:rPr>
          <w:rFonts w:hint="eastAsia" w:ascii="宋体" w:hAnsi="宋体" w:eastAsia="宋体" w:cs="宋体"/>
          <w:sz w:val="24"/>
          <w:szCs w:val="24"/>
          <w:highlight w:val="none"/>
        </w:rPr>
      </w:pPr>
      <w:bookmarkStart w:id="789" w:name="_Toc144974855"/>
      <w:bookmarkStart w:id="790" w:name="_Toc247085872"/>
      <w:bookmarkStart w:id="791" w:name="_Toc8759"/>
      <w:bookmarkStart w:id="792" w:name="_Toc9282"/>
      <w:bookmarkStart w:id="793" w:name="_Toc246996354"/>
      <w:bookmarkStart w:id="794" w:name="_Toc152042575"/>
      <w:bookmarkStart w:id="795" w:name="_Toc13094"/>
      <w:bookmarkStart w:id="796" w:name="_Toc246997097"/>
      <w:bookmarkStart w:id="797" w:name="_Toc152045786"/>
      <w:bookmarkStart w:id="798" w:name="_Toc179632806"/>
      <w:r>
        <w:rPr>
          <w:rFonts w:hint="eastAsia" w:ascii="宋体" w:hAnsi="宋体" w:eastAsia="宋体" w:cs="宋体"/>
          <w:spacing w:val="11"/>
          <w:sz w:val="24"/>
          <w:szCs w:val="24"/>
          <w:highlight w:val="none"/>
          <w:lang w:val="en-US" w:eastAsia="zh-CN"/>
        </w:rPr>
        <w:t>参考</w:t>
      </w:r>
      <w:r>
        <w:rPr>
          <w:rFonts w:hint="eastAsia" w:ascii="宋体" w:hAnsi="宋体" w:eastAsia="宋体" w:cs="宋体"/>
          <w:spacing w:val="11"/>
          <w:sz w:val="24"/>
          <w:szCs w:val="24"/>
          <w:highlight w:val="none"/>
        </w:rPr>
        <w:t>政</w:t>
      </w:r>
      <w:r>
        <w:rPr>
          <w:rFonts w:hint="eastAsia" w:ascii="宋体" w:hAnsi="宋体" w:eastAsia="宋体" w:cs="宋体"/>
          <w:spacing w:val="10"/>
          <w:sz w:val="24"/>
          <w:szCs w:val="24"/>
          <w:highlight w:val="none"/>
        </w:rPr>
        <w:t>府采购合同条款及格式</w:t>
      </w:r>
    </w:p>
    <w:p>
      <w:pPr>
        <w:spacing w:line="137" w:lineRule="exact"/>
        <w:rPr>
          <w:rFonts w:hint="eastAsia" w:ascii="宋体" w:hAnsi="宋体" w:eastAsia="宋体" w:cs="宋体"/>
          <w:sz w:val="24"/>
          <w:szCs w:val="24"/>
          <w:highlight w:val="none"/>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cs="Arial"/>
          <w:color w:val="000000"/>
          <w:kern w:val="0"/>
          <w:sz w:val="24"/>
          <w:szCs w:val="24"/>
        </w:rPr>
      </w:pPr>
      <w:r>
        <w:rPr>
          <w:rFonts w:hint="default" w:ascii="Arial" w:hAnsi="Arial" w:eastAsia="宋体" w:cs="Arial"/>
          <w:snapToGrid/>
          <w:color w:val="000000"/>
          <w:kern w:val="0"/>
          <w:sz w:val="24"/>
          <w:szCs w:val="24"/>
          <w:lang w:val="en-US" w:eastAsia="zh-CN"/>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cs="Arial"/>
          <w:color w:val="000000"/>
          <w:kern w:val="0"/>
          <w:sz w:val="24"/>
          <w:szCs w:val="24"/>
        </w:rPr>
      </w:pPr>
      <w:r>
        <w:rPr>
          <w:rFonts w:hint="default" w:ascii="Arial" w:hAnsi="Arial" w:eastAsia="宋体" w:cs="Arial"/>
          <w:snapToGrid/>
          <w:color w:val="000000"/>
          <w:kern w:val="0"/>
          <w:sz w:val="24"/>
          <w:szCs w:val="24"/>
          <w:lang w:val="en-US" w:eastAsia="zh-CN"/>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r>
        <w:rPr>
          <w:rFonts w:hint="default" w:ascii="Arial" w:hAnsi="Arial" w:eastAsia="宋体" w:cs="Arial"/>
          <w:snapToGrid/>
          <w:color w:val="000000"/>
          <w:kern w:val="0"/>
          <w:sz w:val="24"/>
          <w:szCs w:val="24"/>
          <w:lang w:val="en-US" w:eastAsia="zh-CN"/>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pPr>
        <w:pStyle w:val="6"/>
        <w:numPr>
          <w:ilvl w:val="0"/>
          <w:numId w:val="0"/>
        </w:numPr>
        <w:spacing w:before="0" w:after="0" w:line="300" w:lineRule="auto"/>
        <w:ind w:left="0" w:leftChars="0" w:firstLine="0" w:firstLineChars="0"/>
        <w:jc w:val="center"/>
        <w:rPr>
          <w:rFonts w:hint="eastAsia" w:ascii="黑体" w:hAnsi="黑体" w:eastAsia="黑体" w:cs="黑体"/>
          <w:b/>
          <w:bCs/>
          <w:color w:val="000000"/>
          <w:kern w:val="2"/>
          <w:sz w:val="44"/>
          <w:szCs w:val="44"/>
          <w:lang w:val="en-US" w:eastAsia="zh-CN" w:bidi="ar-SA"/>
        </w:rPr>
      </w:pPr>
      <w:r>
        <w:rPr>
          <w:rFonts w:hint="eastAsia" w:ascii="黑体" w:hAnsi="黑体" w:eastAsia="黑体" w:cs="黑体"/>
          <w:b/>
          <w:bCs/>
          <w:color w:val="000000"/>
          <w:kern w:val="2"/>
          <w:sz w:val="44"/>
          <w:szCs w:val="44"/>
          <w:lang w:val="en-US" w:eastAsia="zh-CN" w:bidi="ar-SA"/>
        </w:rPr>
        <w:t>第五章 采购需求</w:t>
      </w:r>
    </w:p>
    <w:p>
      <w:pPr>
        <w:numPr>
          <w:ilvl w:val="0"/>
          <w:numId w:val="1"/>
        </w:numPr>
        <w:ind w:firstLine="480"/>
        <w:outlineLvl w:val="0"/>
        <w:rPr>
          <w:rFonts w:hint="eastAsia" w:ascii="宋体" w:hAnsi="宋体" w:eastAsia="宋体" w:cs="宋体"/>
          <w:b/>
          <w:bCs/>
          <w:lang w:val="en-US" w:eastAsia="zh-CN"/>
        </w:rPr>
      </w:pPr>
      <w:bookmarkStart w:id="799" w:name="_Toc24050"/>
      <w:bookmarkStart w:id="800" w:name="_Hlk110794247"/>
      <w:bookmarkStart w:id="801" w:name="_Toc15595"/>
      <w:bookmarkStart w:id="802" w:name="_Toc110714638"/>
      <w:r>
        <w:rPr>
          <w:rFonts w:hint="eastAsia" w:ascii="宋体" w:hAnsi="宋体" w:eastAsia="宋体" w:cs="宋体"/>
          <w:b/>
          <w:bCs/>
          <w:lang w:val="en-US" w:eastAsia="zh-CN"/>
        </w:rPr>
        <w:t>项目概况</w:t>
      </w:r>
      <w:bookmarkEnd w:id="799"/>
    </w:p>
    <w:p>
      <w:pPr>
        <w:shd w:val="clear"/>
        <w:rPr>
          <w:rFonts w:hint="eastAsia" w:ascii="宋体" w:hAnsi="宋体" w:eastAsia="宋体" w:cs="宋体"/>
          <w:lang w:val="en-US" w:eastAsia="zh-CN"/>
        </w:rPr>
      </w:pPr>
      <w:r>
        <w:rPr>
          <w:rFonts w:hint="eastAsia" w:ascii="宋体" w:hAnsi="宋体" w:eastAsia="宋体" w:cs="宋体"/>
          <w:lang w:val="en-US" w:eastAsia="zh-CN"/>
        </w:rPr>
        <w:t>为贯彻落实党中央、国务院实施就业优先战略的决策部署，促进高质量充分就业，健全就业公共服务体系，推动服务质量和水平全面提升，国家人社部和财政部实施公共就业服务能力提升示范项目。2022年6月，长春市申报了“2022年公共就业服务能力提升示范项目”。同年10月24日，经过竞争性评审并公示通过，财政部、人社部确定了长春市作为首批“公共就业服务能力提升示范项目”实施城市之一。本项目以就业链服务产业链为基础，推动实现就业链赋能产业链，产业链拓展就业链，将就业与产业的关系由被动型转为主动型。紧紧围绕长春市“六城联动”发展战略，集聚优势资源，突出特色产业，贯通对接产业、行业、企业、职业、专业要素，形成以汽车产业公共实训基地、重点群体就业创业服务体系、公共就业服务基础保障工程、职业技能培训服务体系建设为引领的“四位一体”综合性公共就业服务体系，促进结构性就业矛盾有效缓解，公共就业服务能力显著提升、人力资源素质明显改善、职业技能培训普惠高效，市场配置功能更加成熟完善，劳动者幸福感和获得感明显增强，实现更高质量更加充分就业。</w:t>
      </w:r>
    </w:p>
    <w:p>
      <w:pPr>
        <w:pStyle w:val="19"/>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本项目资金预算为</w:t>
      </w:r>
      <w:r>
        <w:rPr>
          <w:rFonts w:hint="eastAsia" w:ascii="宋体" w:hAnsi="宋体" w:cs="宋体"/>
          <w:color w:val="auto"/>
          <w:lang w:val="en-US" w:eastAsia="zh-CN"/>
        </w:rPr>
        <w:t>7317.28</w:t>
      </w:r>
      <w:r>
        <w:rPr>
          <w:rFonts w:hint="eastAsia" w:ascii="宋体" w:hAnsi="宋体" w:eastAsia="宋体" w:cs="宋体"/>
          <w:color w:val="auto"/>
          <w:lang w:val="en-US" w:eastAsia="zh-CN"/>
        </w:rPr>
        <w:t>万元，</w:t>
      </w:r>
      <w:r>
        <w:rPr>
          <w:rFonts w:hint="eastAsia" w:ascii="宋体" w:hAnsi="宋体" w:cs="宋体"/>
          <w:color w:val="auto"/>
          <w:highlight w:val="none"/>
          <w:lang w:val="en-US" w:eastAsia="zh-CN"/>
        </w:rPr>
        <w:t>合同签订之日起3年</w:t>
      </w:r>
      <w:r>
        <w:rPr>
          <w:rFonts w:hint="eastAsia" w:ascii="宋体" w:hAnsi="宋体" w:eastAsia="宋体" w:cs="宋体"/>
          <w:color w:val="auto"/>
          <w:lang w:val="en-US" w:eastAsia="zh-CN"/>
        </w:rPr>
        <w:t>。</w:t>
      </w:r>
    </w:p>
    <w:p>
      <w:pPr>
        <w:numPr>
          <w:ilvl w:val="0"/>
          <w:numId w:val="1"/>
        </w:numPr>
        <w:ind w:firstLine="480"/>
        <w:outlineLvl w:val="0"/>
        <w:rPr>
          <w:rFonts w:hint="eastAsia" w:ascii="宋体" w:hAnsi="宋体" w:eastAsia="宋体" w:cs="宋体"/>
          <w:b/>
          <w:bCs/>
          <w:lang w:val="en-US" w:eastAsia="zh-CN"/>
        </w:rPr>
      </w:pPr>
      <w:bookmarkStart w:id="803" w:name="_Toc23664"/>
      <w:r>
        <w:rPr>
          <w:rFonts w:hint="eastAsia" w:ascii="宋体" w:hAnsi="宋体" w:eastAsia="宋体" w:cs="宋体"/>
          <w:b/>
          <w:bCs/>
          <w:lang w:val="en-US" w:eastAsia="zh-CN"/>
        </w:rPr>
        <w:t>采购需求一览表</w:t>
      </w:r>
      <w:bookmarkEnd w:id="803"/>
    </w:p>
    <w:tbl>
      <w:tblPr>
        <w:tblStyle w:val="44"/>
        <w:tblpPr w:leftFromText="180" w:rightFromText="180" w:vertAnchor="text" w:horzAnchor="page" w:tblpXSpec="center" w:tblpY="180"/>
        <w:tblOverlap w:val="never"/>
        <w:tblW w:w="94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2"/>
        <w:gridCol w:w="2052"/>
        <w:gridCol w:w="1067"/>
        <w:gridCol w:w="990"/>
        <w:gridCol w:w="4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205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服务内容</w:t>
            </w:r>
          </w:p>
        </w:tc>
        <w:tc>
          <w:tcPr>
            <w:tcW w:w="1067"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数量</w:t>
            </w:r>
          </w:p>
        </w:tc>
        <w:tc>
          <w:tcPr>
            <w:tcW w:w="99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单位</w:t>
            </w:r>
          </w:p>
        </w:tc>
        <w:tc>
          <w:tcPr>
            <w:tcW w:w="460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要求/备注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20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应用功能服务</w:t>
            </w:r>
          </w:p>
        </w:tc>
        <w:tc>
          <w:tcPr>
            <w:tcW w:w="10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1</w:t>
            </w:r>
          </w:p>
        </w:tc>
        <w:tc>
          <w:tcPr>
            <w:tcW w:w="9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项</w:t>
            </w:r>
          </w:p>
        </w:tc>
        <w:tc>
          <w:tcPr>
            <w:tcW w:w="46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包括</w:t>
            </w:r>
            <w:r>
              <w:rPr>
                <w:rFonts w:hint="eastAsia" w:ascii="宋体" w:hAnsi="宋体" w:eastAsia="宋体" w:cs="宋体"/>
                <w:bCs/>
                <w:color w:val="auto"/>
                <w:kern w:val="0"/>
                <w:sz w:val="24"/>
                <w:szCs w:val="24"/>
              </w:rPr>
              <w:t>重点群体就业能力提升、大学生智慧化就业服务基地、大学生多元化创业服务基地、公共服务平台及大数据支撑、四级公共就业服务体系</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零工驿站等内容相关的应用功能服务。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p>
        </w:tc>
        <w:tc>
          <w:tcPr>
            <w:tcW w:w="205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基础支撑服务</w:t>
            </w:r>
          </w:p>
        </w:tc>
        <w:tc>
          <w:tcPr>
            <w:tcW w:w="1067"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99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项</w:t>
            </w:r>
          </w:p>
        </w:tc>
        <w:tc>
          <w:tcPr>
            <w:tcW w:w="4603" w:type="dxa"/>
            <w:vAlign w:val="center"/>
          </w:tcPr>
          <w:p>
            <w:pPr>
              <w:pStyle w:val="19"/>
              <w:keepNext w:val="0"/>
              <w:keepLines w:val="0"/>
              <w:pageBreakBefore w:val="0"/>
              <w:widowControl w:val="0"/>
              <w:kinsoku/>
              <w:wordWrap/>
              <w:overflowPunct/>
              <w:topLinePunct w:val="0"/>
              <w:autoSpaceDE/>
              <w:autoSpaceDN/>
              <w:bidi w:val="0"/>
              <w:adjustRightInd/>
              <w:spacing w:after="0"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包括</w:t>
            </w:r>
            <w:r>
              <w:rPr>
                <w:rFonts w:hint="eastAsia" w:ascii="宋体" w:hAnsi="宋体" w:eastAsia="宋体" w:cs="宋体"/>
                <w:color w:val="auto"/>
                <w:sz w:val="24"/>
                <w:szCs w:val="24"/>
              </w:rPr>
              <w:t>市级互联网+人力资源市场服务提升、县区级互联网+人力资源市场服务提升、四级联动基层就业专员服务、大学生就业信息化综合服务、大学生就业综合展示服务、大学生就业培训服务、大学生就业信息化场景服务、大学生创业信息化场景服务、大学生创业孵化服务、大学生就业和创业服务基地等</w:t>
            </w:r>
            <w:r>
              <w:rPr>
                <w:rFonts w:hint="eastAsia" w:ascii="宋体" w:hAnsi="宋体" w:cs="宋体"/>
                <w:bCs/>
                <w:color w:val="auto"/>
                <w:kern w:val="0"/>
                <w:sz w:val="24"/>
                <w:szCs w:val="24"/>
                <w:lang w:val="en-US" w:eastAsia="zh-CN"/>
              </w:rPr>
              <w:t>内容相关的基础支撑服务。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color w:val="auto"/>
                <w:kern w:val="0"/>
                <w:sz w:val="24"/>
                <w:szCs w:val="24"/>
                <w:lang w:val="en-US" w:eastAsia="zh-CN"/>
              </w:rPr>
            </w:pPr>
            <w:bookmarkStart w:id="804" w:name="_Toc517859652"/>
            <w:bookmarkStart w:id="805" w:name="_Toc511889433"/>
            <w:bookmarkStart w:id="806" w:name="_Toc511894511"/>
            <w:bookmarkStart w:id="807" w:name="_Toc494561955"/>
            <w:r>
              <w:rPr>
                <w:rFonts w:hint="eastAsia" w:ascii="宋体" w:hAnsi="宋体" w:cs="宋体"/>
                <w:bCs/>
                <w:color w:val="auto"/>
                <w:kern w:val="0"/>
                <w:sz w:val="24"/>
                <w:szCs w:val="24"/>
                <w:lang w:val="en-US" w:eastAsia="zh-CN"/>
              </w:rPr>
              <w:t>3</w:t>
            </w:r>
          </w:p>
        </w:tc>
        <w:tc>
          <w:tcPr>
            <w:tcW w:w="205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基础设施资源及支撑软件资源服务</w:t>
            </w:r>
          </w:p>
        </w:tc>
        <w:tc>
          <w:tcPr>
            <w:tcW w:w="1067"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1</w:t>
            </w:r>
          </w:p>
        </w:tc>
        <w:tc>
          <w:tcPr>
            <w:tcW w:w="99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项</w:t>
            </w:r>
          </w:p>
        </w:tc>
        <w:tc>
          <w:tcPr>
            <w:tcW w:w="4603" w:type="dxa"/>
            <w:vAlign w:val="center"/>
          </w:tcPr>
          <w:p>
            <w:pPr>
              <w:pStyle w:val="19"/>
              <w:keepNext w:val="0"/>
              <w:keepLines w:val="0"/>
              <w:pageBreakBefore w:val="0"/>
              <w:widowControl w:val="0"/>
              <w:kinsoku/>
              <w:wordWrap/>
              <w:overflowPunct/>
              <w:topLinePunct w:val="0"/>
              <w:autoSpaceDE/>
              <w:autoSpaceDN/>
              <w:bidi w:val="0"/>
              <w:adjustRightInd/>
              <w:spacing w:after="0" w:line="240" w:lineRule="auto"/>
              <w:ind w:firstLine="0" w:firstLineChars="0"/>
              <w:jc w:val="both"/>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包括</w:t>
            </w:r>
            <w:r>
              <w:rPr>
                <w:rFonts w:hint="eastAsia" w:ascii="宋体" w:hAnsi="宋体" w:cs="宋体"/>
                <w:bCs/>
                <w:color w:val="auto"/>
                <w:kern w:val="0"/>
                <w:sz w:val="24"/>
                <w:szCs w:val="24"/>
                <w:lang w:val="en-US" w:eastAsia="zh-CN"/>
              </w:rPr>
              <w:t>人社</w:t>
            </w:r>
            <w:r>
              <w:rPr>
                <w:rFonts w:hint="eastAsia" w:ascii="宋体" w:hAnsi="宋体" w:eastAsia="宋体" w:cs="宋体"/>
                <w:bCs/>
                <w:color w:val="auto"/>
                <w:kern w:val="0"/>
                <w:sz w:val="24"/>
                <w:szCs w:val="24"/>
              </w:rPr>
              <w:t>云服务、</w:t>
            </w:r>
            <w:r>
              <w:rPr>
                <w:rFonts w:hint="eastAsia" w:ascii="宋体" w:hAnsi="宋体" w:cs="宋体"/>
                <w:bCs/>
                <w:color w:val="auto"/>
                <w:kern w:val="0"/>
                <w:sz w:val="24"/>
                <w:szCs w:val="24"/>
                <w:lang w:val="en-US" w:eastAsia="zh-CN"/>
              </w:rPr>
              <w:t>人社</w:t>
            </w:r>
            <w:r>
              <w:rPr>
                <w:rFonts w:hint="eastAsia" w:ascii="宋体" w:hAnsi="宋体" w:eastAsia="宋体" w:cs="宋体"/>
                <w:bCs/>
                <w:color w:val="auto"/>
                <w:kern w:val="0"/>
                <w:sz w:val="24"/>
                <w:szCs w:val="24"/>
              </w:rPr>
              <w:t>云配套服务，同时需要提供具备金保云平台级网络安全等级保护能力环境，提供金保云平台级密码应用安全评估能力环境，提供密码服务包括国密密码云服务、安全认证服务、协同签名服务、签名验签服务、国密VPN服务，提供服务实施和运行保障服务包括云平台的资源监测、资源配置、资源优化、服务监控、事件处理、运维流程、日常巡检、备份恢复、灾备管理、应急预案管理、服务质量监督和报告等。</w:t>
            </w:r>
          </w:p>
        </w:tc>
      </w:tr>
    </w:tbl>
    <w:p>
      <w:pPr>
        <w:numPr>
          <w:ilvl w:val="0"/>
          <w:numId w:val="1"/>
        </w:numPr>
        <w:ind w:firstLine="480"/>
        <w:outlineLvl w:val="0"/>
        <w:rPr>
          <w:rFonts w:hint="eastAsia" w:ascii="宋体" w:hAnsi="宋体" w:eastAsia="宋体" w:cs="宋体"/>
          <w:b/>
          <w:bCs/>
          <w:lang w:val="en-US" w:eastAsia="zh-CN"/>
        </w:rPr>
      </w:pPr>
      <w:bookmarkStart w:id="808" w:name="_Toc26708"/>
      <w:r>
        <w:rPr>
          <w:rFonts w:hint="eastAsia" w:ascii="宋体" w:hAnsi="宋体" w:eastAsia="宋体" w:cs="宋体"/>
          <w:b/>
          <w:bCs/>
          <w:lang w:val="en-US" w:eastAsia="zh-CN"/>
        </w:rPr>
        <w:t>技术服务要求</w:t>
      </w:r>
      <w:bookmarkEnd w:id="804"/>
      <w:bookmarkEnd w:id="805"/>
      <w:bookmarkEnd w:id="806"/>
      <w:bookmarkEnd w:id="807"/>
      <w:bookmarkEnd w:id="808"/>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w:t>
      </w:r>
      <w:r>
        <w:rPr>
          <w:rFonts w:hint="eastAsia" w:ascii="宋体" w:hAnsi="宋体" w:eastAsia="宋体" w:cs="宋体"/>
          <w:color w:val="000000" w:themeColor="text1"/>
          <w:sz w:val="24"/>
          <w:lang w:val="zh-CN"/>
          <w14:textFill>
            <w14:solidFill>
              <w14:schemeClr w14:val="tx1"/>
            </w14:solidFill>
          </w14:textFill>
        </w:rPr>
        <w:t>本部分内容均为实质性要求，供应商的投标（响应）必须完全满足或者正偏离，且</w:t>
      </w:r>
      <w:r>
        <w:rPr>
          <w:rFonts w:hint="eastAsia" w:ascii="宋体" w:hAnsi="宋体" w:eastAsia="宋体" w:cs="宋体"/>
          <w:color w:val="000000" w:themeColor="text1"/>
          <w:sz w:val="24"/>
          <w14:textFill>
            <w14:solidFill>
              <w14:schemeClr w14:val="tx1"/>
            </w14:solidFill>
          </w14:textFill>
        </w:rPr>
        <w:t>应在投标（响应）文件《技术服务条款偏离表》中对本部分所有条款逐条说明响应或偏离情况，否则按照投标（响应）无效处理。</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提供长春市就业链与产业链协同发展示范项目应用功能服务、基础支撑服务、基础设施资源及支撑软件资源服务、其他服务，为长春市</w:t>
      </w:r>
      <w:r>
        <w:rPr>
          <w:rFonts w:hint="eastAsia" w:ascii="宋体" w:hAnsi="宋体" w:cs="宋体"/>
          <w:color w:val="000000" w:themeColor="text1"/>
          <w:sz w:val="24"/>
          <w:highlight w:val="none"/>
          <w:lang w:val="en-US" w:eastAsia="zh-CN"/>
          <w14:textFill>
            <w14:solidFill>
              <w14:schemeClr w14:val="tx1"/>
            </w14:solidFill>
          </w14:textFill>
        </w:rPr>
        <w:t>近470</w:t>
      </w:r>
      <w:r>
        <w:rPr>
          <w:rFonts w:hint="eastAsia" w:ascii="宋体" w:hAnsi="宋体" w:eastAsia="宋体" w:cs="宋体"/>
          <w:color w:val="000000" w:themeColor="text1"/>
          <w:sz w:val="24"/>
          <w:highlight w:val="none"/>
          <w:lang w:val="en-US" w:eastAsia="zh-CN"/>
          <w14:textFill>
            <w14:solidFill>
              <w14:schemeClr w14:val="tx1"/>
            </w14:solidFill>
          </w14:textFill>
        </w:rPr>
        <w:t>万</w:t>
      </w:r>
      <w:r>
        <w:rPr>
          <w:rFonts w:hint="eastAsia" w:ascii="宋体" w:hAnsi="宋体" w:cs="宋体"/>
          <w:color w:val="000000" w:themeColor="text1"/>
          <w:sz w:val="24"/>
          <w:highlight w:val="none"/>
          <w:lang w:val="en-US" w:eastAsia="zh-CN"/>
          <w14:textFill>
            <w14:solidFill>
              <w14:schemeClr w14:val="tx1"/>
            </w14:solidFill>
          </w14:textFill>
        </w:rPr>
        <w:t>劳动人口</w:t>
      </w:r>
      <w:r>
        <w:rPr>
          <w:rFonts w:hint="eastAsia" w:ascii="宋体" w:hAnsi="宋体" w:eastAsia="宋体" w:cs="宋体"/>
          <w:color w:val="000000" w:themeColor="text1"/>
          <w:sz w:val="24"/>
          <w:highlight w:val="none"/>
          <w:lang w:val="en-US" w:eastAsia="zh-CN"/>
          <w14:textFill>
            <w14:solidFill>
              <w14:schemeClr w14:val="tx1"/>
            </w14:solidFill>
          </w14:textFill>
        </w:rPr>
        <w:t>提供公共就业服务：提高重点群体的就业能力、职技能力，为服务对象提供培训服务1万人次以上；全面提升高校毕业生就业创业服务能力，服务高校学生30万人次以上，确保每年留</w:t>
      </w:r>
      <w:r>
        <w:rPr>
          <w:rFonts w:hint="eastAsia" w:ascii="宋体" w:hAnsi="宋体" w:cs="宋体"/>
          <w:color w:val="000000" w:themeColor="text1"/>
          <w:sz w:val="24"/>
          <w:highlight w:val="none"/>
          <w:lang w:val="en-US" w:eastAsia="zh-CN"/>
          <w14:textFill>
            <w14:solidFill>
              <w14:schemeClr w14:val="tx1"/>
            </w14:solidFill>
          </w14:textFill>
        </w:rPr>
        <w:t>（来）</w:t>
      </w:r>
      <w:r>
        <w:rPr>
          <w:rFonts w:hint="eastAsia" w:ascii="宋体" w:hAnsi="宋体" w:eastAsia="宋体" w:cs="宋体"/>
          <w:color w:val="000000" w:themeColor="text1"/>
          <w:sz w:val="24"/>
          <w:highlight w:val="none"/>
          <w:lang w:val="en-US" w:eastAsia="zh-CN"/>
          <w14:textFill>
            <w14:solidFill>
              <w14:schemeClr w14:val="tx1"/>
            </w14:solidFill>
          </w14:textFill>
        </w:rPr>
        <w:t>长就业创业高校毕业生10万人，为人才兴市、人才强市夯实基础。公共就业服务能力</w:t>
      </w:r>
      <w:r>
        <w:rPr>
          <w:rFonts w:hint="eastAsia" w:ascii="宋体" w:hAnsi="宋体" w:cs="宋体"/>
          <w:color w:val="000000" w:themeColor="text1"/>
          <w:sz w:val="24"/>
          <w:highlight w:val="none"/>
          <w:lang w:val="en-US" w:eastAsia="zh-CN"/>
          <w14:textFill>
            <w14:solidFill>
              <w14:schemeClr w14:val="tx1"/>
            </w14:solidFill>
          </w14:textFill>
        </w:rPr>
        <w:t>得到极大</w:t>
      </w:r>
      <w:r>
        <w:rPr>
          <w:rFonts w:hint="eastAsia" w:ascii="宋体" w:hAnsi="宋体" w:eastAsia="宋体" w:cs="宋体"/>
          <w:color w:val="000000" w:themeColor="text1"/>
          <w:sz w:val="24"/>
          <w:highlight w:val="none"/>
          <w:lang w:val="en-US" w:eastAsia="zh-CN"/>
          <w14:textFill>
            <w14:solidFill>
              <w14:schemeClr w14:val="tx1"/>
            </w14:solidFill>
          </w14:textFill>
        </w:rPr>
        <w:t>提升，高质量充分就业成为新常态。公共就业全覆盖，平台点击量达到100万人次、城镇新就业规模13万人</w:t>
      </w:r>
      <w:r>
        <w:rPr>
          <w:rFonts w:hint="eastAsia" w:ascii="宋体" w:hAnsi="宋体" w:cs="宋体"/>
          <w:color w:val="000000" w:themeColor="text1"/>
          <w:sz w:val="24"/>
          <w:highlight w:val="none"/>
          <w:lang w:val="en-US" w:eastAsia="zh-CN"/>
          <w14:textFill>
            <w14:solidFill>
              <w14:schemeClr w14:val="tx1"/>
            </w14:solidFill>
          </w14:textFill>
        </w:rPr>
        <w:t>以上</w:t>
      </w:r>
      <w:r>
        <w:rPr>
          <w:rFonts w:hint="eastAsia" w:ascii="宋体" w:hAnsi="宋体" w:eastAsia="宋体" w:cs="宋体"/>
          <w:color w:val="000000" w:themeColor="text1"/>
          <w:sz w:val="24"/>
          <w:highlight w:val="none"/>
          <w:lang w:val="en-US" w:eastAsia="zh-CN"/>
          <w14:textFill>
            <w14:solidFill>
              <w14:schemeClr w14:val="tx1"/>
            </w14:solidFill>
          </w14:textFill>
        </w:rPr>
        <w:t>、服务困难就业群体2万人</w:t>
      </w:r>
      <w:r>
        <w:rPr>
          <w:rFonts w:hint="eastAsia" w:ascii="宋体" w:hAnsi="宋体" w:cs="宋体"/>
          <w:color w:val="000000" w:themeColor="text1"/>
          <w:sz w:val="24"/>
          <w:highlight w:val="none"/>
          <w:lang w:val="en-US" w:eastAsia="zh-CN"/>
          <w14:textFill>
            <w14:solidFill>
              <w14:schemeClr w14:val="tx1"/>
            </w14:solidFill>
          </w14:textFill>
        </w:rPr>
        <w:t>次以上</w:t>
      </w:r>
      <w:r>
        <w:rPr>
          <w:rFonts w:hint="eastAsia" w:ascii="宋体" w:hAnsi="宋体" w:eastAsia="宋体" w:cs="宋体"/>
          <w:color w:val="000000" w:themeColor="text1"/>
          <w:sz w:val="24"/>
          <w:highlight w:val="none"/>
          <w:lang w:val="en-US" w:eastAsia="zh-CN"/>
          <w14:textFill>
            <w14:solidFill>
              <w14:schemeClr w14:val="tx1"/>
            </w14:solidFill>
          </w14:textFill>
        </w:rPr>
        <w:t>。人力资源配置更加高效，登记失业人员帮扶率、困难就业人员帮扶率、公共就业服务满意度</w:t>
      </w:r>
      <w:r>
        <w:rPr>
          <w:rFonts w:hint="eastAsia" w:ascii="宋体" w:hAnsi="宋体" w:cs="宋体"/>
          <w:color w:val="000000" w:themeColor="text1"/>
          <w:sz w:val="24"/>
          <w:highlight w:val="none"/>
          <w:lang w:val="en-US" w:eastAsia="zh-CN"/>
          <w14:textFill>
            <w14:solidFill>
              <w14:schemeClr w14:val="tx1"/>
            </w14:solidFill>
          </w14:textFill>
        </w:rPr>
        <w:t>达到</w:t>
      </w:r>
      <w:r>
        <w:rPr>
          <w:rFonts w:hint="eastAsia" w:ascii="宋体" w:hAnsi="宋体" w:eastAsia="宋体" w:cs="宋体"/>
          <w:color w:val="000000" w:themeColor="text1"/>
          <w:sz w:val="24"/>
          <w:highlight w:val="none"/>
          <w:lang w:val="en-US" w:eastAsia="zh-CN"/>
          <w14:textFill>
            <w14:solidFill>
              <w14:schemeClr w14:val="tx1"/>
            </w14:solidFill>
          </w14:textFill>
        </w:rPr>
        <w:t>95%；就业扶持政策经办服务满意度、职业技能培训满意度达到100%。其中支撑软件及设施设备须符合/满足国产化要求，整体服务最低要求如下：</w:t>
      </w:r>
    </w:p>
    <w:p>
      <w:pPr>
        <w:keepNext w:val="0"/>
        <w:keepLines w:val="0"/>
        <w:pageBreakBefore w:val="0"/>
        <w:widowControl w:val="0"/>
        <w:kinsoku/>
        <w:wordWrap/>
        <w:overflowPunct/>
        <w:topLinePunct w:val="0"/>
        <w:autoSpaceDE/>
        <w:autoSpaceDN/>
        <w:bidi w:val="0"/>
        <w:adjustRightInd/>
        <w:snapToGrid/>
        <w:ind w:left="0" w:leftChars="0"/>
        <w:textAlignment w:val="auto"/>
        <w:outlineLvl w:val="1"/>
        <w:rPr>
          <w:rFonts w:hint="eastAsia" w:ascii="宋体" w:hAnsi="宋体" w:eastAsia="宋体" w:cs="宋体"/>
          <w:b/>
          <w:bCs/>
          <w:lang w:val="en-US" w:eastAsia="zh-CN"/>
        </w:rPr>
      </w:pPr>
      <w:bookmarkStart w:id="809" w:name="_Toc21245"/>
      <w:r>
        <w:rPr>
          <w:rFonts w:hint="eastAsia" w:ascii="宋体" w:hAnsi="宋体" w:eastAsia="宋体" w:cs="宋体"/>
          <w:b/>
          <w:bCs/>
          <w:lang w:val="en-US" w:eastAsia="zh-CN"/>
        </w:rPr>
        <w:t>（一）应用功能服务</w:t>
      </w:r>
      <w:bookmarkEnd w:id="809"/>
    </w:p>
    <w:p>
      <w:pPr>
        <w:rPr>
          <w:rFonts w:hint="eastAsia" w:ascii="宋体" w:hAnsi="宋体" w:eastAsia="宋体" w:cs="宋体"/>
          <w:lang w:val="en-US" w:eastAsia="zh-CN"/>
        </w:rPr>
      </w:pPr>
      <w:r>
        <w:rPr>
          <w:rFonts w:hint="eastAsia" w:ascii="宋体" w:hAnsi="宋体" w:eastAsia="宋体" w:cs="宋体"/>
          <w:lang w:val="en-US" w:eastAsia="zh-CN"/>
        </w:rPr>
        <w:t>为长春市就业链与产业链协同发展示范项目提供应用功能服务，包括重点群体就业能力提升项目应用功能服务、大学生智慧化就业服务基地项目应用功能服务、大学生多元化创业服务基地应用功能服务、公共服务平台及大数据支撑及四级公共就业服务体系应用功能服务。</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rPr>
      </w:pPr>
      <w:bookmarkStart w:id="810" w:name="_Toc15026"/>
      <w:r>
        <w:rPr>
          <w:rFonts w:hint="eastAsia" w:ascii="宋体" w:hAnsi="宋体" w:eastAsia="宋体" w:cs="宋体"/>
          <w:sz w:val="24"/>
          <w:szCs w:val="24"/>
          <w:lang w:val="en-US" w:eastAsia="zh-CN"/>
        </w:rPr>
        <w:t>1、</w:t>
      </w:r>
      <w:r>
        <w:rPr>
          <w:rFonts w:hint="eastAsia" w:ascii="宋体" w:hAnsi="宋体" w:eastAsia="宋体" w:cs="宋体"/>
          <w:sz w:val="24"/>
          <w:szCs w:val="24"/>
        </w:rPr>
        <w:t>系统建设要求</w:t>
      </w:r>
      <w:bookmarkEnd w:id="810"/>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重点群体就业能力提升项目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特色培训支撑系统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建设特色培训支撑系统，为培训学员提供培训指导、培训报名、直播课堂、在线考试、培训考勤和补贴申报等服务；为中小企业搭建并提供标准化的学习资源和学习平台、开展企业培训；为人社部门工作人员提供内部培训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①职业与技能培训管理系统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职业与技能培训专区为各培训机构提供服务，可在平台注册店铺，在线宣传与招生。为第三方培训机构提供机构信息管理、培训课程管理、培训资源管理、培训题库管理、培训业务申报等服务。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机构信息管理包括机构信息网上备案、培训资质网上备案、企业宣传册管理等功能。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培训课程管理包括培训课程管理、教师信息管理、培训班级管理、培训学员管理、培训课程发布、课程直播管理等功能。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培训资源管理包括课程编制管理、课程发布管理、培训课件管理、培训视频管理、教学资源查询等功能。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培训题库管理包括题库管理、试卷管理、考试评分管理、教学服务跟踪管理等功能。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培训业务申报包括培训动态发布、培训需求采集、培训补贴申报、培训结业申报等功能。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②在线培训与教育管理系统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整合各类培训资源，并依托长春市公共服务平台提供在线培训与教育服务，实现线上线下全渠道的培训便捷服务，为学员提供直播课堂、考试辅导、培训报名、导师风采、名企名校、校训动态、信息发布、培训云课堂小程序等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③职业测评与指导管理系统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接入人社部职业测评系统，为求职者、失业人员或需要进行工作晋升的人员提供职业测评，并根据测评结果推荐职业指导师，对其进行就业及再就业指导和针对性工作培训推荐。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④创业指导与培训管理系统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针对农村劳动力、高校毕业生、高新技术人才进行创业引导、指导与培训。为广大市民播报创业帮扶与就业帮助信息，为有发展前景的创业人员提供更好的机会，为有就业困难的人员提供就业机会，防止失业、返贫现象的发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⑤就业创业服务管理系统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为培训人员提供就业创业服务，实现特色培训支撑系统与省就业信息管理系统与市级招聘平台的业务联动。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创业服务区包括创业资讯发布、创业服务分析、创业项目分布、创业补贴管理、创业服务地图、创业孵化基地/园区分布情况等功能。就业服务区包括就业咨询服务、求职地图、就业资讯发布、就业服务分析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重点群体服务系统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制定重点群体服务任务工单管理、农民工就业创业智慧服务、高校毕业生就业创业智慧服务、退役军人就业创业智慧服务、脱贫人口就业创业智慧服务、就业困难群体就业创业智慧服务、灵活用工群体就业创业智慧服务、创业担保贷款服务等，通过主动服务、人工帮扶、职业指导、培训推荐等方式为重点群体人员提供专业化和个性化的主动服务，实现重点群体服务工作闭环管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①就业创业智慧帮扶管理系统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支持重点群体服务任务工单管理、农民工就业创业智慧服务、高校毕业生就业创业智慧服务、退役军人就业创业智慧服务、脱贫人口就业创业智慧服务、就业困难群体就业创业智慧服务、重点用工企业就业创业智慧服务等，实现重点群体帮扶工作闭环管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②“就业帮”移动终端系统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就业帮”移动终端作为重点群体服务的移动终端，通过制定帮扶任务为农民工、高校毕业生、退役军人、脱贫人口、就业困难人员、灵活用工群体等提供主动服务。提供用户登录、任务工单、主动服务、领导视图、日常办公和消息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③创业担保贷款服务管理系统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建设创业担保贷款服务管理系统，实现创业担保贷款资格网上申请、信息共享、部门联动和限时办结，实现市、县级经办部门工作联网审核，实现整个贷款贴息资格审核过程“无缝衔接”。主要包括：申贷受理上报、贷款复核审核、担保信息管理、银行放贷管理、还款管理、代偿管理、司法管理、不良信息管理等。</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大学生智慧化就业服务基地项目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大学生就业信息化综合服务系统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建设大学生就业信息化综合服务系统，为大学生提供就业指导、政策答疑、业务咨询等服务。梳理就业政策，紧跟产业热点，通过视频播放、立式宣传、互动宣传等方式宣传我市就业政策。</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①采集服务信息管理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采集业务办理、排队、评价（人工服务窗口16个）等数据及人才大市场就业及创业人员出入（采集出入口3个）等信息。主要功能包括业务办理信息采集、排叫号信息采集、服务评价信息采集、人才大市场出入信息采集。包括业务办理信息采集、排叫号信息采集、服务评价信息采集、人才大市场出入信息采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②对接就业数据管理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全面构建人社、税务、法院、民政等就业相关数据的交换策略，实现大学生就业人才政策、企业信息、招聘岗位查询、企业诚信等一站式自助服务功能。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大学生就业培训服务系统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满足长春人才大市场线下常规招聘需求，对现有展厅管理系统进行升级，更新服务内容，增加时代科技元素，提高招聘的服务能力和水平。通过大学生就业培训服务系统与智慧求职招聘服务系统、公共服务平台实现数据互通互联，实时发布全市各培训机构最新培训活动信息及各类就业、培训专题会展信息，增强大学生对长春整体公共就业服务体系的了解，明确个人就业方向和行业发展前景，进一步实现大学生在长充分就业、高质量就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①人才招聘数据采集管理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通过对接长春市智慧招聘服务系统，采集个人求职登记信息和企业招聘信息，对数据进行清洗后初始化到企业信息库和求职人员信息库，求职人员符合人才标准的同步到人才（大学生）信息库；提供人才招聘网关键字段数据采集清洗方案及长春市人社局信息化运维服务单位支持证明，确保完成企业登记信息和招聘信息数据动态采集。同时，对接就业供需精准服务平台，根据企业招聘信息及求职人员信息，定向推荐匹配相关信息给企业和个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②人才市场展厅系统升级</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对现有人才市场展厅管理系统进行功能升级，支持企业通过人才服务小程序、人才服务港、人才大市场自助设备和人才大市场工作人员四种渠道完成企业订展和招聘岗位发布，招聘信息可以在人才服务小程序、人才服务港和人才市场展位三端进行发布。包括综合服务管理、内容发布管理、人才市场展位管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大学生多元化创业服务基地项目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大学生创业孵化服务系统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提供大学生信息化创业孵化间，给创业者提供便利条件，为初始创业者提供共享服务空间、经营场地、政策指导、资金申请、技术鉴定、咨询策划、项目顾问、人才培训等多类型的创业服务，满足大学生在长创业阶段性缺乏孵化场所过渡期使用，并选拔符合条件有意愿在长创业的优秀高校毕业生创业项目团队进行孵化。</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①创业孵化管理系统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创业孵化企业管理，支持企业入驻审核、创业活动管理、会议室管理等创业孵化企业管理。具体将通过孵化管理、园区管理、物业服务管理、统计分析等应用支撑实现基地智能化综合管理，全面提升基地综合管理水平。</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②创业孵化服务系统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创业孵化企业服务系统，基于就业众包、培训众智、创业众筹、人才众评等创新思维和模式，提供专业化入孵申请、双创活动等创新创业服务，促进人力资源服务业行业聚集发展和产业链延伸，推进人力资源服务业发展及转型升级。包括入孵申请、政策资讯、双创活动、企业中心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公共服务平台及大数据支撑项目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“就在长春”公共服务平台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采用统一域名、统一认证体系的方式整合长春人才网、长春就业创业网、长春职业技能培训管理系统（网站）、长春人事考试网相关服务内容，以统一标准的形式，为劳动者、企业、人力资源服务机构等各类服务对象提供统一的登录入口及服务。该平台支持PC端和微信端两种服务渠道，面向社会公众提供基于互联网的就业和人才服务，覆盖个人和单位网上业务申报、服务精准推送、信息查询等多种就业创业和人才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①公共服务统一门户系统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公共服务统一门户系统建设内容包括门户运营管理系统、统一门户网站、统一门户微信小程序应用三部分，为各渠道公共服务应用提供统一的公共服务和后台管理，以统一的标准、统一的认证方式、统一的登录入口实现长春人才网、长春就业创业网、长春职业技能培训管理系统、长春人事考试网相关服务内容统一管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门户运营管理包括系统管理、内容发布管理、门户管理、资源推送管理、用户管理等功能。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统一门户网站包括首页、政策法规、服务专区、操作指南等功能。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统一门户微信小程序包括注册认证、扫码找工作、首页、找工作、找人才、发现、个人中心、单位中心、个人政务服务等功能。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②智慧求职招聘服务系统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依托公共服务统一门户系统为总入口，全面整合长春人才网和长春就业创业网服务内容，通过搭建求职招聘网站和求职招聘微信小程序，为企业和求职者提供开放式、交互性对接服务，让求职者在市场智能搜寻，企业根据岗位要求智能筛选，实现人岗最佳匹配。</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求职招聘网站包括首页、找工作、招人才、招聘会、就业商城、直播间、就业地图、个人中心、单位中心等功能。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运营管理包括个人简历管理、单位招聘管理、招聘会管理、在线直播管理、数据统计分析、网站内容管理、组织权限管理等功能。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③就业人才政策申报系统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依托公共服务统一门户系统为总入口，建设就业人才政策申报系统，通过与长春市业务经办系统、吉林省人社相关系统对接，为个人和单位提供网上业务办理服务，并提供各个业务申报进度和结果查询。</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个人政务服务包括就业创业证查询核验、就业创业证申请、就业登记、失业登记、创业孵化基地查询、招聘会查询、招聘岗位查询、自主创业补贴申请、毕业生求职创业补贴申请、就业困难人员申请、公益性岗位申请、个人创业担保贷款申请、创业导师查询、离校未就业高校毕业生登记、高校毕业生灵活就业社保补贴申请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cs="宋体"/>
          <w:sz w:val="24"/>
          <w:szCs w:val="24"/>
          <w:lang w:eastAsia="zh-CN"/>
        </w:rPr>
        <w:t>政务</w:t>
      </w:r>
      <w:r>
        <w:rPr>
          <w:rFonts w:hint="eastAsia" w:ascii="宋体" w:hAnsi="宋体" w:eastAsia="宋体" w:cs="宋体"/>
          <w:sz w:val="24"/>
          <w:szCs w:val="24"/>
        </w:rPr>
        <w:t>服务包括单位就业登记、公益性岗位开发申请、公益性岗位人员录用、公益性岗位社保补贴申请、公益性岗位补贴申请、企业吸纳高校毕业生奖励补贴申请、企业吸纳就业困难人员社保补贴申请、创业孵化</w:t>
      </w:r>
      <w:r>
        <w:rPr>
          <w:rFonts w:hint="eastAsia" w:ascii="宋体" w:hAnsi="宋体" w:cs="宋体"/>
          <w:sz w:val="24"/>
          <w:szCs w:val="24"/>
          <w:lang w:eastAsia="zh-CN"/>
        </w:rPr>
        <w:t>示范</w:t>
      </w:r>
      <w:r>
        <w:rPr>
          <w:rFonts w:hint="eastAsia" w:ascii="宋体" w:hAnsi="宋体" w:eastAsia="宋体" w:cs="宋体"/>
          <w:sz w:val="24"/>
          <w:szCs w:val="24"/>
        </w:rPr>
        <w:t>基地申请、就业见习单位（基地）申请、就业见习人员录用、就业见习补贴申领等功能。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大数据应用支撑平台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通过汇聚全市就业数据、人社内部数据、其他政府部门数据，形成长春市全口径就业创业信息资源库。依托长春市人社局大数据平台支撑公共就业服务能力提升项目相关的数据整合、数据存储、数据处理和数据服务等基础能力，并通过接口或数据传输等方式为“96885吉人在线”长春分理系统大数据应用场景建设提供能力支撑。</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①大数据平台升级改造</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改造现有大数据平台，依托人社大数据平台对就业信息资源库进行数据标准和开发规范管理，提供就业多源数据的采集、存储、分析、可视化、治理等基础功能支撑，一站式解决数据治理难题，全面提升数据服务能力。按照数据类别及就业数据统计分析相关需求生成待用数据视图，为实现数据业务查询的快速响应、数据BI报表的实时统计、数据API接口的实时达到做好准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②就业数据汇聚管理系统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基于长春市集中统一的人力资源数据库在数据核验、数据分析、数据画像等方面提供能力支撑，针对重点人群、重点用工企业要充分释放人力资源大数据的聚合价值和规模效应，做到智能感知、精准匹配，用数据为服务效能提升赋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主要包括：数据源管理、任务主机管理、代码集管理、ETL任务开发管理、数据校验、批量集成管理、任务调度中心等功能。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③就业供需精准服务系统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基于横向联通、纵向贯通的数据汇聚能力，通过数据挖掘，构建智能、精准的供需匹配机制，形成人员特性的精准画像，针对不同类型的劳动力自动感知就业需求，针对用人单位精准推送人才，通过多元化渠道为高校毕业生、失业人员、就业困难人员、就业援助对象等推送精准服务，实现从“人找服务”到“服务找人”的转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主要包括：画像体系管理、画像流程管理、画像任务管理、画像结果管理、画像行为管理、画像接口管理、推荐场景管理、推荐结果查询等。</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“96885吉人在线”长春分理系统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依托省“96885吉人在线”服务平台，加强长春市业务梳理、分理、落实、信息对接上传、监测等工作，构建失业动态监测、服务监测体系，打造全市公共就业服务指挥“一盘棋”模式，实现“一管到底”的扁平化管控方式，构建就业失业动态监测、预警监测处置、人力资源市场供求分析等专项主题，实现就业形势一图统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①智慧就业领导驾驶舱</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基于就业业务数据，从企业失业动态监测、重点群体就业帮扶、就业资金支出情况等方面对当前的就失业现状以及就业保障情况进行呈现，形成就业工作运行管理的“驾驶舱”，构建整体高效的政务运行体系、全域智慧的协同治理体系、优质便捷的公共服务体系、智能科学的决策指挥体系，推进就业服务向精细化、主动化、多元化进行发展。包括就业全景分析、业务主题展示和综合主题展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就业全景分析包括就业总体情况分析、就业热力地图分析、城镇新增就业信息分析、就业困难人员信息分析、城镇登记失业人员信息分析、离校未就业高校毕业生分析、农村劳动力转移情况分析、创业服务情况分析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业务主题展示包括城镇就业再就业情况分析、城镇登记失业人员情况分析、就业困难人员就业情况分析、农村劳动力转移就业情况分析、离校未就业高校毕业生就业服务情况等功能。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综合主题展示包括零工市场、就业驿站、重点人群分析等功能。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②就业失业动态监测系统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建立企业用工动态监测体系，支持通过主题分析和自定义分析对监测企业当期新增就业人数、增加原因及对应人数明细，新减就业人数、减少类型及对应人数明细等企业岗位变化情况实施动态监测，把握经济形势变化对就业失业影响，有针对性地采取预警和调控应急措施。包括大数据算法管理子系统和主题分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大数据算法管理子系统包括算法管理平台、算法可视化平台和算法模型管理。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主题分析包括企业在职人员异常变动分析和失业形势预测分析。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③失业预警处置管理系统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基于预警预测数据，构建预警规则，从事件发生预警通知、事件流程全程监控、处置过程线上调度、事件结果实时反馈等环节实现事件全流程在线闭环处置。系统包括主题分析、监测预警、事件调度、系统管理等功能模块。</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④人力资源供求分析系统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根据智能求职招聘服务系统、大学生就业创业信息化综合服务系统、四级联动公共就业服务平台掌握的人力资源相关数据开展市场供求分析，建立就业求职专项分析、智能职位分析、职位薪酬分析等专项主题，从就业求职人员学历情况、人员结构、人员流动等维度分析人才市场就业求职数据并统计展示，为政府决策提供数据支撑。</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市场供求分析包括招应聘条件供求分析、行业需求情况分析、各产业劳动力需求情况分析、供求总体情况分析、用人单位需求情况分析、求职人员构成情况分析、各类职业供求情况分析等功能。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企业用工监测包括企业名单汇总查询、企业用工汇总表打印、从业人员按行业类别划分、从业人员按产业类别划分、从业人员按企业规模划分、从业人员按登记注册类型划分、从业人员按地区划分、企业招工情况统计表、招工企业按行业划分、招工企业按企业规模划分、招工企业按登记注册类型划分、招工企业按地区划分、缺工企业按行业类别划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⑤四级联动指挥调度系统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依托人力资源大数据分析，支持基层工作人员全面掌握长春市劳动力资源情况，动态跟踪本地劳动力的就业状况、就业需求等信息，支持各级管理人员及时监控本部门及下属部门的各项工作进度，随时调度和查询获取工作成果数据，快速形成统计报表报告。主要包括业务监控预警、应急处置管理、任务调度管理、任务调度主题分析等功能模块。</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四级公共就业服务体系项目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互联网+人力资源市场服务提升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提升完善智能招聘服务功能。以满足市级和17个区县级人力资源市场信息化、智能化招聘需求，通过运行线上线下一体化招聘服务平台等业务系统，满足业务联动、智能匹配、高效便捷的就业服务需求，提高招聘求职效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①智能招聘展位系统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将智能招聘展位系统嵌入到现场招聘摊位设备中，用人单位和求职者均无需携带任何纸质材料完成招聘求职，从而实现了无纸化招聘。提供单位登录、企业中心、企业招聘、简历管理、面试管理、企业信息、招聘统计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②招聘自助服务终端系统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依托自助服务一体机，实现自助查询、自助办事等服务。提供用户注册、用户登录、招聘会、找工作、简历管理、附近网点、用户中心、文章管理等功能。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③招聘大厅信息展示系统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联动线下市级和区县级人力资源市场招聘大厅显示大屏，滚动展示当前招聘会信息、企业信息、企业岗位信息等。</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公共就业服务四级平台智慧化服务提升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建设四级联动智慧化公共就业支撑管理系统，支持市级和17个区县级人力资源市场业务贯通、任务贯通和数据贯通，实现工作目标及任务快速分解、上传下达。通过对接智慧招聘服务系统，实现线上线下求职招聘数据一体化管理，通过对接“96885吉人在线”长春分理系统，实现人力资源数据供求分析主题建设，支持求职情况、招聘情况、求人倍率等数据可视化分析展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①智慧化公共就业服务支撑管理系统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支持对招聘展位、自助终端、市场大厅系统信息管理，实现就业工作网络化、数据化、智能化，使企业用工信息不断线、劳动者求职渠道不受阻、就业全天候服务。系统提供平台系统管理、会员单位管理、职业指导管理、求职招聘管理、招聘会管理、网上业务审核、日常运营管理、服务监控管理、数据上报管理、人力资源服务机构管理等模块。</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②直播带岗数字化运营系统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运用线上线下组合模式，通过对接主流短视频平台，达到直播精准推送，快速匹配提高信息传播效率，对后续数据统计分析管理提供有效运营工具。包括直播间管理、直播公告管理、直播岗位管理、匹配岗位管理、投递情况管理、直播信息审核、直播信息发布、录播视频发布、对接三方视频平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③远程面试系统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用于评估候选人技能和能力的工具，帮助雇主快速筛选出最有潜力的候选人，并为面试官提供面试过程记录。包括面试前准备、面试中管理、面试后管理等功能模块。</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面试前准备包括面试数据管理、面试官信息管理、工作人员信息管理、评分要素管理等功能。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面试中管理包括面试签到、面试评分、面试管理等功能。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面试后管理包括面试成绩管理、面试评价管理、面试数据分析、面试数据备份等功能。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（6）零工驿站</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零活用工求职招聘</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围绕“建设好阵地、使用好平台、发挥好效用”目标，坚持以政府政策指导方针为核心纽带，主动出击，调动一切资源，展开多方联动。通过线上线下的劳动人口摸底普查，掌握辖区劳动力信息，以点带面、形成各乡镇甚至各村之间进行线上、线下联动，打造就业劳务信息服务多维度信息池，结合平台功能精准匹配、定期推送、靶向职介，形成“招工·就业”信息直通车</w:t>
      </w:r>
      <w:r>
        <w:rPr>
          <w:rFonts w:hint="eastAsia" w:ascii="宋体" w:hAnsi="宋体" w:eastAsia="宋体" w:cs="宋体"/>
          <w:sz w:val="24"/>
          <w:szCs w:val="24"/>
          <w:lang w:eastAsia="zh-CN"/>
        </w:rPr>
        <w:t>。</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①用工缺工登记</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用工缺工信息线上和线下同步采集、一体发布、动态更新。运用移动通信定位、就业大数据运算等技术为服务对象科学建模、精准画像，通过对企业用工缺工登记数据进行分析，定期发布零工岗位工资指导价位、市场紧缺职业（工种）等信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用工主体认证</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根据用工基本信息核查用工主体要素，可绑定第三方平台授权。</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用工缺工管理</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包括信息发布管理、上架/下架、条件设置、地图关联、信息委托、紧急缺工、用工置顶、智能刷新、短信推广等功能。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申请及推荐</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包括人才库、人才标签、面试邀请、收藏及关注、申请回复、推荐管理、智能匹配等功能。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管理后台</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包括主体审核、用工信息审核、面试结果跟踪、紧急缺工推荐、增值服务配置、用工条件配置、推荐指标配置等。</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②就业普查（劳动力摸底）</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生成就业信息登记码，适配目前市面主流手机扫描二维码即可直接进行劳务就业登记及信息采集，随时随地可以进行相应的操作，更利于系统推广。由工作人员进行系统管理后台对重点帮扶人员、初级技能型人员等需要协助的特殊失业人群进行职业介绍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劳动力登记</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包括属地分配、信息采集码、劳动力信息采集、就创业需求、培训需求、赴外/返乡状态、职业推荐、匹配指标、定向推荐查询、职介信息推送、结果跟踪等功能。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管理后台</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包括劳动力统计分析、属地分析、就创业对接、培训对接、属地配置、服务网点、职介指标配置等功能。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③劳务用工合同网签</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打通劳务用工就业最后一环，提供劳务合同网络在线签订功能。高效、智能、可靠、安全地助力企业及个人用户实现身份认证、在线电子签署、全链路区块链存证、在线申请一键出证、全方位法律保障等服务。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身份验证</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包括用工主体验证、劳务主体验证。</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合同管理</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本地文件发起、模版文件发起、合同填写控件、个人签章验证、个人签章定位签属、企业签章验证、企业签章定位签属、文件状态标签、批量导出/下载、批量撤销/提醒、水印设置、创建合同模版、模版权限设置、定义签章范围、共享/复制模版、合同签发统计、分类筛选、数据导出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印章管理</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包括电子印章生成、区块链存证、企业/个人切换申请、信息验证流程、区块链存证等功能。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前台应用</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包括基础信息管理、组织层级管理、员工授权管理、CA/印章管理、业务管理等功能。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管理后台</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查询企业信息、查看企业详情、导出企业信息、查询个人信息、查看个人详情、个人信息导出、管理证书、查看账号签章、管理各接入平台合同模板、查看/下载合同、查看签署记录、导出合同数据、接口权限设置、禁用/启用接入平台、行为数据统计、合同数据统计等、前台操作日志、后台操作日志、文件签署日志、接口调用日志、用户管理、角色管理、配置管理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④零工（家政服务）小程序</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利用手机微信小程序的用户覆盖面广、便利性高的特点，打造零工找活小程序，提供招工找活便捷信息发布渠道、供需对接平台。进入小程序的同时精准定位招工找活主体所在区域，智能推荐就近需求。通过授权可直接获取手机号等用户信息，降低注册门槛，快速招工找活。</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市场零散工包括：水暖；搬家运货；清洗家电；家电修理；空调维修；开荒保洁；监控安防；塑钢门窗保温阳台；电工、瓦工、木工、水暖、力工等。</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家政类服务包括：母婴类：产后护理月（嫂、催乳、满月汗蒸）；育婴育儿（住家育婴、日工育婴：小儿推拿、早教）；养老护理：家庭助理；陪护照护（住家照护、日工照护）；保洁类：家庭清洁（日常保洁、深度保洁、开荒保洁）；家居保养（家电清洗、整理收纳）；其他：家政产品销售（育婴类、养老类护具辅具）；兼职家教；其他上门服务（上门助浴、上门助餐）。</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账号注册</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小程序获取手机号或微信隐私信息，授权确认后将进入角色选择页。</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承诺制进平台</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强制浏览平台进驻承诺文件，阅读并同意后进驻平台进行后续操作。</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用户实名认证</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对接用户实名认证体系，企业身份认证包含：企业四要素、法人三要素；个人身份认证包括：OCR用户证照识别、人脸活体识别、公安远程身份核验、运营商三要素。</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我要招工</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人员搜索、地图找人、列表找人、服务网点、匹配推荐、拨打电话、我的工单、工单发布、邀请记录、在线洽谈、合同签订、工单确认、工单取消、用工评价、企业实名认证、我的工单、我的评价、权益保障、退出登录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我要找活</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工单搜索、地图找活、列表找活、服务网点、在线抢单、分享岗位、拨打电话、我的工单、邀请我的、在线沟通、协议签订、工单反馈、找活评价、个人实名认证、完善资料、退出登录、我的评价、权益保障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灵活用工结算平台</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灵活用工结算平台包括线上接单结算及商业保险接入。</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在小程序中企业可以自行选择线上结算或者线下结算，即时到账在双方用工结束并评价完成后钱立马到账。同时平台支持余额免费提现至微信或银行卡。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企业可以在用工前为零工投保，随买随保，解决了劳动双方的顾虑，保障灵活就业者的合法权益减少经济损失和用工双方劳务纠纷。</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①灵活用工结算</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个人进入小程序获取手机号并登录账号进入工作管理，个人在同意申请邀请或企业在同意申请后，需在规定时间及规定位置进行考勤打卡，打卡完成后由企业确认或提出异议，企业确认后个人可在收入明细中查看平台结算明细。个人可针对该条雇佣关系结束后，进行满意度评价。</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企业进入小程序获取手机号并登录账号，提交信息后系统根据薪资规则生成缴费订单。企业根据申请或邀请同意的人员进行日历排班设置，企业在打卡管理中对考勤人员的信息进行确认，根据系统规则进行清算。企业可针对该条雇佣关系结束后，进行满意度评价。</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个人用户</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包括个人身份认证、发布名片、我的申请、收到邀请、排班信息、考勤定位打卡、收款信息配置、收入明细、评价记录、举报中心等功能。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企业用户</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包括企业身份认证、发布招工、发布急单、我的邀请、收到申请、人员排班、考勤记录、订单管理、工价计算器、在线结算、支出明细、评价记录、举报中心。</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管理后台</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包括统计分析、个人用户管理、企业用户管理、考勤管理、订单管理、急单管理、评价管理、信用管理、举报管理、配置管理等功能。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②商业用工保险</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系统接入第三方保险功能，企业可以在用工前为零工投保，零工或企业在出工前购买工伤保险时可以选择一天或者多天，随买随保，解决了劳动双方的顾虑，保障灵活就业者的合法权益减少经济损失和用工双方劳务纠纷，在一定程度上促进社会稳定。</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个人用户</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包括保险购入、已生效保险列表、查阅保险条款、保障申请等功能。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企业用户</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包括接入商业险种、选定保险周期、确认保险对象、签署并购买、生效中的保单、保单中止/转移、查阅保险条款、保障申请等功能。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管理后台</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包括查看保险记录、购买日志、查看保障申请记录、跟进保障结果、配置管理等功能。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人力资源服务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①劳务派遣服务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劳务派遣服务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包括员工招募流程、入职体检流程、用工登记流程。</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平台对接</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包括保险缴纳、工资发放、工伤申报。</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信息采集</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提供劳动争议风险防范方案，提供专业的争议处理建议并协助处理。</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微软雅黑" w:hAnsi="微软雅黑" w:eastAsia="微软雅黑" w:cs="微软雅黑"/>
          <w:sz w:val="24"/>
          <w:szCs w:val="24"/>
          <w:lang w:val="en-US" w:eastAsia="zh-CN"/>
        </w:rPr>
        <w:t>②</w:t>
      </w:r>
      <w:r>
        <w:rPr>
          <w:rFonts w:hint="eastAsia" w:ascii="宋体" w:hAnsi="宋体" w:eastAsia="宋体" w:cs="宋体"/>
          <w:sz w:val="24"/>
          <w:szCs w:val="24"/>
        </w:rPr>
        <w:t>人力资源外包服务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服务项目与劳务派遣服务基本相同，用工法律主体变更为人力资源外包公司</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微软雅黑" w:hAnsi="微软雅黑" w:eastAsia="微软雅黑" w:cs="微软雅黑"/>
          <w:sz w:val="24"/>
          <w:szCs w:val="24"/>
          <w:lang w:val="en-US" w:eastAsia="zh-CN"/>
        </w:rPr>
        <w:t>③</w:t>
      </w:r>
      <w:r>
        <w:rPr>
          <w:rFonts w:hint="eastAsia" w:ascii="宋体" w:hAnsi="宋体" w:eastAsia="宋体" w:cs="宋体"/>
          <w:sz w:val="24"/>
          <w:szCs w:val="24"/>
        </w:rPr>
        <w:t>劳动事务代理服务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包括单位信息管理、人员信息管理、就业信息管理、缴费核定管理、个税管理、财务管理、社保管理的信息展示。</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微软雅黑" w:hAnsi="微软雅黑" w:eastAsia="微软雅黑" w:cs="微软雅黑"/>
          <w:sz w:val="24"/>
          <w:szCs w:val="24"/>
          <w:lang w:val="en-US" w:eastAsia="zh-CN"/>
        </w:rPr>
        <w:t>④</w:t>
      </w:r>
      <w:r>
        <w:rPr>
          <w:rFonts w:hint="eastAsia" w:ascii="宋体" w:hAnsi="宋体" w:eastAsia="宋体" w:cs="宋体"/>
          <w:sz w:val="24"/>
          <w:szCs w:val="24"/>
        </w:rPr>
        <w:t>共享用工服务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员工富余单位与缺工单位之间进行劳动力余缺调剂，将员工富余单位的员工在一定期间内出借至缺工单位工作，员工与原用人单位之间的劳动关系和社保关系不变，仍由原单位对该员工承担劳动法上义务的用工模式。</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包括发布信息、员工调剂、权益保障、包括提醒功能、跟踪反馈、统计分析。</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商业辅助服务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包括法律顾问服务、政策咨询、税务代理服务、会计代理服务、商务服务、中小企业服务、税务筹划的信息展示。</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零工数据展示系统</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以劳动者（人）为核心，以劳务用工、灵活用工、共享用工等为主要展示场景，以图形为主要展现形式，形象、直观地表达数据蕴含的信息和规律，展现全景、全貌，识别、诊断其中可能存在的风险并采取有效措施规避。通过对零工小程序、用工结算平台等应用数据、零工驿站智能设备应用及AI人脸摄像头分析信息接入，形成可视化的零工驿站大数据分析系统，配合数据展示终端机，对零工驿站及零工平台服务工作成效进行直观图形化展示。</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微软雅黑" w:hAnsi="微软雅黑" w:eastAsia="微软雅黑" w:cs="微软雅黑"/>
          <w:sz w:val="24"/>
          <w:szCs w:val="24"/>
          <w:lang w:val="en-US" w:eastAsia="zh-CN"/>
        </w:rPr>
        <w:t>①</w:t>
      </w:r>
      <w:r>
        <w:rPr>
          <w:rFonts w:hint="eastAsia" w:ascii="宋体" w:hAnsi="宋体" w:eastAsia="宋体" w:cs="宋体"/>
          <w:sz w:val="24"/>
          <w:szCs w:val="24"/>
        </w:rPr>
        <w:t>灵活用工</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包括零工总数、本月灵活用工人数、招工岗位趋势、闲置零工趋势、撮合趋势、招工企业趋势、缺工岗位趋势、零工从业行业分布、招工行业分布、零工性别分布、热门岗位分布、零工年龄分布、空缺岗位分布等数据信息。</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微软雅黑" w:hAnsi="微软雅黑" w:eastAsia="微软雅黑" w:cs="微软雅黑"/>
          <w:sz w:val="24"/>
          <w:szCs w:val="24"/>
          <w:lang w:val="en-US" w:eastAsia="zh-CN"/>
        </w:rPr>
        <w:t>②</w:t>
      </w:r>
      <w:r>
        <w:rPr>
          <w:rFonts w:hint="eastAsia" w:ascii="宋体" w:hAnsi="宋体" w:eastAsia="宋体" w:cs="宋体"/>
          <w:sz w:val="24"/>
          <w:szCs w:val="24"/>
        </w:rPr>
        <w:t>人力资源服务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通过招工单位数分析、热门职位分析、学历层次分析、年龄层次分析、达成意向量分析等数据信息。</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sz w:val="24"/>
          <w:szCs w:val="24"/>
        </w:rPr>
      </w:pPr>
      <w:r>
        <w:rPr>
          <w:rFonts w:hint="eastAsia" w:ascii="微软雅黑" w:hAnsi="微软雅黑" w:eastAsia="微软雅黑" w:cs="微软雅黑"/>
          <w:sz w:val="24"/>
          <w:szCs w:val="24"/>
          <w:lang w:val="en-US" w:eastAsia="zh-CN"/>
        </w:rPr>
        <w:t>③</w:t>
      </w:r>
      <w:r>
        <w:rPr>
          <w:rFonts w:hint="eastAsia" w:ascii="宋体" w:hAnsi="宋体" w:eastAsia="宋体" w:cs="宋体"/>
          <w:sz w:val="24"/>
          <w:szCs w:val="24"/>
        </w:rPr>
        <w:t>劳动力地图</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pPr>
      <w:r>
        <w:rPr>
          <w:rFonts w:hint="eastAsia" w:ascii="宋体" w:hAnsi="宋体" w:eastAsia="宋体" w:cs="宋体"/>
          <w:sz w:val="24"/>
          <w:szCs w:val="24"/>
        </w:rPr>
        <w:t>通过劳动力总数、职介匹配趋势、劳动力岗位趋势、就创业需求分析、培训需求分析、赴外/返乡分析、劳动力性别分布、8类群体服务情况、供求关系分析等数据信息。</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11" w:name="_Toc21616"/>
      <w:r>
        <w:rPr>
          <w:rFonts w:hint="eastAsia" w:ascii="宋体" w:hAnsi="宋体" w:eastAsia="宋体" w:cs="宋体"/>
          <w:sz w:val="24"/>
          <w:szCs w:val="24"/>
          <w:lang w:val="en-US" w:eastAsia="zh-CN"/>
        </w:rPr>
        <w:t>2、主要技术路线要求</w:t>
      </w:r>
      <w:bookmarkEnd w:id="811"/>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遵循人社部LEAF6平台、金保工程及省相关标准规范和技术路线</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基于SOA架构进行应用系统服务化设计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采用参数化、组件化设计思想进行系统设计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基于J2EE标准的B/S/S三层体系架构进行系统设计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基于web服务的接口实现，满足标准和开放要求。</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采用XML技术实现标准数据交换</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采用分布式技术进行设计</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12" w:name="_Toc31955"/>
      <w:r>
        <w:rPr>
          <w:rFonts w:hint="eastAsia" w:ascii="宋体" w:hAnsi="宋体" w:eastAsia="宋体" w:cs="宋体"/>
          <w:sz w:val="24"/>
          <w:szCs w:val="24"/>
          <w:lang w:val="en-US" w:eastAsia="zh-CN"/>
        </w:rPr>
        <w:t>3、性能要求</w:t>
      </w:r>
      <w:bookmarkEnd w:id="812"/>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在系统方案设计中，须充分考虑就业业务的特殊性和复杂性，确保系统的总体性能满足要求，不发生长时间业务中断、阻塞、死锁等情况。须全面贯彻面向性能的设计原则，技术方案将采用相应的技术保证整个系统高效运行，采用行业领先的技术架构使系统拥有高可用、集群和负载均衡能力，并制定系统优化策略和方案，保障本项目各应用系统运行中达到高性能、高可靠的目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交互类业务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交互类业务是指平时工作中在系统中进行的业务处理，如录入、修改或删除一条记录、发布一条信息等操作。</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平均响应时间：小于3秒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峰值响应时间：10秒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批量前台经办业务数据导入（不能超过2000条）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查询类业务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查询业务由于受到查询的复杂程度、查询的数据量大小等因素的影响，需要根据具体情况而定，在此给出一个参考范围。</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简单查询平均响应时间：2秒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复杂查询平均响应时间：5秒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视频播放平均响应时间：5秒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交易接口服务（数据交换）</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单条记录交易接口平均响应时间：3秒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多条记录（100条）交易接口平均响应时间：5秒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大数据量、批处理业务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批量交易指一次完成多笔业务处理的交易，如批量扣缴等。由于批量交易的数据量不确定，需要根据具体的情况确定响应时间，如会计核算等业务处理。该类业务具有处理复杂、操作数据量大、处理时间长的特点，具体的响应时间视提交数据量、业务处理量而定。</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13" w:name="_Toc10822"/>
      <w:r>
        <w:rPr>
          <w:rFonts w:hint="eastAsia" w:ascii="宋体" w:hAnsi="宋体" w:eastAsia="宋体" w:cs="宋体"/>
          <w:sz w:val="24"/>
          <w:szCs w:val="24"/>
          <w:lang w:val="en-US" w:eastAsia="zh-CN"/>
        </w:rPr>
        <w:t>4、等保测评要求</w:t>
      </w:r>
      <w:bookmarkEnd w:id="813"/>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中标人需协助用户根据服务采购及国家要求，依据网络安全等级保护3.0标准体系的具体要求对于本项目涉及的测评对象进行定级备案，配合平台的定级、专家评审、主管部门审批、公安机关备案审查等工作。</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根据公安部《信息安全技术 网络安全等级保护基本要求》（GB/T22239-2019）和《信息安全技术 网络安全等级保护安全设计技术要求》（GB/T25070-2019）等相关标准规范要求，针对项目中的业务系统、数据中心的硬件、网络和软件，提供网络安全等级保护服务，并出具《网络安全等级保测评报告》，进而加强系统安全防护能力，消除安全隐患。</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14" w:name="_Toc22465"/>
      <w:r>
        <w:rPr>
          <w:rFonts w:hint="eastAsia" w:ascii="宋体" w:hAnsi="宋体" w:eastAsia="宋体" w:cs="宋体"/>
          <w:sz w:val="24"/>
          <w:szCs w:val="24"/>
          <w:lang w:val="en-US" w:eastAsia="zh-CN"/>
        </w:rPr>
        <w:t>5、项目实施要求</w:t>
      </w:r>
      <w:bookmarkEnd w:id="814"/>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（1）为有效保障本项目的顺利实施，供应商应按照招标文件要求派驻足够的、能够满足现场开发服务且具备熟练解决问题的管理和技术人员驻现场进行项目实施。在项目验收前，提供不少于</w:t>
      </w:r>
      <w:r>
        <w:rPr>
          <w:rFonts w:hint="eastAsia" w:ascii="宋体" w:hAnsi="宋体" w:eastAsia="宋体" w:cs="宋体"/>
          <w:sz w:val="24"/>
          <w:szCs w:val="24"/>
          <w:lang w:val="en-US" w:eastAsia="zh-CN"/>
        </w:rPr>
        <w:t>60</w:t>
      </w:r>
      <w:r>
        <w:rPr>
          <w:rFonts w:hint="eastAsia" w:ascii="宋体" w:hAnsi="宋体" w:eastAsia="宋体" w:cs="宋体"/>
          <w:sz w:val="24"/>
          <w:szCs w:val="24"/>
        </w:rPr>
        <w:t>人现场驻场服务。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2）供应商须成立专门工作小组，保持与用户的联系，随时交流系统的应用情况，为用户解决遇到的问题，保证系统能够长期安全、可靠、高效运行。项目试运行期间，中标人需指定参与软件开发与实施的技术人员在现场监测软件运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3）供应商在项目建设过程中必须服从用户和监理的管理，并针对本项目提供人员配置管理计划，包括组织结构、项目负责人、组成人员及职责分工。项目组成员必须包括满足项目建设要求的设计人员、开发人员、测试人员、系统推广人员、系统运维人员、配置管理人员、安全管理人员以及项目质量管理人员。开发人员、测试人员、系统推广人员以及项目质量管理人员不能交叉兼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4）供应商应保证所有人员到位并保持稳定。如因特殊情况发生任何人员变更，须将变更人及其工作影响、替换人资历等情况以书面材料报告审查。因人员变更所造成的任何不良后果，须由供应商承担一切责任。</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5）供应商在项目实施过程中必须按照软件工程规范以及采购人的质量管理要求，提交详细的过程管控文档。供应商在项目实施过程中提交的文档一律采用书面形式（同时提交相应的电子文档），提交的技术文档必须附上本单位的质量审核记录。</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15" w:name="_Toc28869"/>
      <w:r>
        <w:rPr>
          <w:rFonts w:hint="eastAsia" w:ascii="宋体" w:hAnsi="宋体" w:eastAsia="宋体" w:cs="宋体"/>
          <w:sz w:val="24"/>
          <w:szCs w:val="24"/>
          <w:lang w:val="en-US" w:eastAsia="zh-CN"/>
        </w:rPr>
        <w:t>6、进度管理要求</w:t>
      </w:r>
      <w:bookmarkEnd w:id="815"/>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供应商在投标响应文件中详细提出项目进度计划表，最终的计划进度表由采购人、供应商协商认可，但时间进度不能超过招标文件中的工期要求。</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16" w:name="_Toc14478"/>
      <w:r>
        <w:rPr>
          <w:rFonts w:hint="eastAsia" w:ascii="宋体" w:hAnsi="宋体" w:eastAsia="宋体" w:cs="宋体"/>
          <w:sz w:val="24"/>
          <w:szCs w:val="24"/>
          <w:lang w:val="en-US" w:eastAsia="zh-CN"/>
        </w:rPr>
        <w:t>7、质量管理要求</w:t>
      </w:r>
      <w:bookmarkEnd w:id="816"/>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供应商必须按照软件质量管理和质量保证体系，提出具体措施，确保应用软件开发 质量，建立科学的项目管理体系，按照 ISO9001 标准的开发规范进行项目实施，确保项目所形成的文档与软件开发成果的一致性。</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软件开发需符合国家有关软件开发技术规范、软件文档管理和软件验收标准的要求。同时需要遵循国家电子政务标准规范。</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17" w:name="_Toc807"/>
      <w:r>
        <w:rPr>
          <w:rFonts w:hint="eastAsia" w:ascii="宋体" w:hAnsi="宋体" w:eastAsia="宋体" w:cs="宋体"/>
          <w:sz w:val="24"/>
          <w:szCs w:val="24"/>
          <w:lang w:val="en-US" w:eastAsia="zh-CN"/>
        </w:rPr>
        <w:t>8、风险管理要求</w:t>
      </w:r>
      <w:bookmarkEnd w:id="817"/>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供应商应充分认识到本项目风险管理的重要性，在投标响应文件中必须识别分析项目中的所有各类业务和技术风险因素，并采取相应的对策，</w:t>
      </w:r>
      <w:r>
        <w:rPr>
          <w:rFonts w:hint="eastAsia" w:ascii="宋体" w:hAnsi="宋体" w:cs="宋体"/>
          <w:sz w:val="24"/>
          <w:szCs w:val="24"/>
          <w:lang w:eastAsia="zh-CN"/>
        </w:rPr>
        <w:t>制定</w:t>
      </w:r>
      <w:r>
        <w:rPr>
          <w:rFonts w:hint="eastAsia" w:ascii="宋体" w:hAnsi="宋体" w:eastAsia="宋体" w:cs="宋体"/>
          <w:sz w:val="24"/>
          <w:szCs w:val="24"/>
        </w:rPr>
        <w:t>相应的保障措施和应急预案，力求将风险降至最低。</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18" w:name="_Toc28207"/>
      <w:r>
        <w:rPr>
          <w:rFonts w:hint="eastAsia" w:ascii="宋体" w:hAnsi="宋体" w:eastAsia="宋体" w:cs="宋体"/>
          <w:sz w:val="24"/>
          <w:szCs w:val="24"/>
          <w:lang w:val="en-US" w:eastAsia="zh-CN"/>
        </w:rPr>
        <w:t>9、项目培训要求</w:t>
      </w:r>
      <w:bookmarkEnd w:id="818"/>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（1）供应商须针对本项目涉及的所有用户制定详细的培训计划，提供多样化培训方式，编写印刷培训资料，提供高质量的培训服务，确保参加培训的人员</w:t>
      </w:r>
      <w:r>
        <w:rPr>
          <w:rFonts w:hint="eastAsia" w:ascii="宋体" w:hAnsi="宋体" w:cs="宋体"/>
          <w:sz w:val="24"/>
          <w:szCs w:val="24"/>
          <w:lang w:eastAsia="zh-CN"/>
        </w:rPr>
        <w:t>能够</w:t>
      </w:r>
      <w:r>
        <w:rPr>
          <w:rFonts w:hint="eastAsia" w:ascii="宋体" w:hAnsi="宋体" w:eastAsia="宋体" w:cs="宋体"/>
          <w:sz w:val="24"/>
          <w:szCs w:val="24"/>
        </w:rPr>
        <w:t>胜任相应的系统操作。</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（2）供应商所有培训书面资料或电子文档用中文书写，授课形式为中文。</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19" w:name="_Toc31374"/>
      <w:r>
        <w:rPr>
          <w:rFonts w:hint="eastAsia" w:ascii="宋体" w:hAnsi="宋体" w:eastAsia="宋体" w:cs="宋体"/>
          <w:sz w:val="24"/>
          <w:szCs w:val="24"/>
          <w:lang w:val="en-US" w:eastAsia="zh-CN"/>
        </w:rPr>
        <w:t>10、文档交付要求</w:t>
      </w:r>
      <w:bookmarkEnd w:id="819"/>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（1）系统开发应严格按照国家软件工程规范进行，供应商必须根据开发进度及时提供有关文档。</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（2）供应商最终提供的软件产品应包括各种相关的软件系统、各阶段开发文档、运行稳定可靠的本系统安装程序、注释清晰明了的能够编译生成目前正在运行的应用程序的源代码等。</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（3）所有的技术文件必须用中文书写。</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20" w:name="_Toc9019"/>
      <w:r>
        <w:rPr>
          <w:rFonts w:hint="eastAsia" w:ascii="宋体" w:hAnsi="宋体" w:eastAsia="宋体" w:cs="宋体"/>
          <w:sz w:val="24"/>
          <w:szCs w:val="24"/>
          <w:lang w:val="en-US" w:eastAsia="zh-CN"/>
        </w:rPr>
        <w:t>11、售后服务要求</w:t>
      </w:r>
      <w:bookmarkEnd w:id="820"/>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在服务期内，提供不少于5人驻场服务。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服务期内供应商应提供驻场服务、电话热线、网站、邮件等多种方式的维护服务。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服务期内供应商应提供7×24（每周7天，每天24小时）的驻场服务、电话热线服务。发生系统故障时，供应商接到采购人通知应立即响应，技术人员必须在30分钟内到达现场，8小时内处理完毕。</w:t>
      </w: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4"/>
          <w:szCs w:val="24"/>
          <w:lang w:val="en-US" w:eastAsia="zh-CN"/>
        </w:rPr>
      </w:pPr>
      <w:bookmarkStart w:id="821" w:name="_Toc23880"/>
      <w:r>
        <w:rPr>
          <w:rFonts w:hint="eastAsia" w:ascii="宋体" w:hAnsi="宋体" w:eastAsia="宋体" w:cs="宋体"/>
          <w:sz w:val="24"/>
          <w:szCs w:val="24"/>
          <w:lang w:val="en-US" w:eastAsia="zh-CN"/>
        </w:rPr>
        <w:t>12、其他要求</w:t>
      </w:r>
      <w:bookmarkEnd w:id="821"/>
    </w:p>
    <w:p>
      <w:pPr>
        <w:spacing w:line="360" w:lineRule="auto"/>
        <w:ind w:firstLine="480" w:firstLineChars="200"/>
        <w:rPr>
          <w:rFonts w:ascii="宋体" w:hAnsi="宋体" w:cs="宋体"/>
          <w:sz w:val="24"/>
          <w:szCs w:val="24"/>
        </w:rPr>
      </w:pPr>
      <w:r>
        <w:rPr>
          <w:rFonts w:hint="eastAsia" w:ascii="宋体" w:hAnsi="宋体" w:cs="宋体"/>
          <w:sz w:val="24"/>
          <w:szCs w:val="24"/>
        </w:rPr>
        <w:t>以上应用系统建设还应满足以下要求：</w:t>
      </w:r>
    </w:p>
    <w:p>
      <w:pPr>
        <w:numPr>
          <w:ilvl w:val="0"/>
          <w:numId w:val="0"/>
        </w:numPr>
        <w:snapToGrid w:val="0"/>
        <w:spacing w:line="360" w:lineRule="auto"/>
        <w:ind w:firstLine="480" w:firstLineChars="200"/>
        <w:rPr>
          <w:rFonts w:ascii="宋体" w:hAnsi="宋体" w:cs="宋体"/>
          <w:color w:val="000000"/>
          <w:sz w:val="24"/>
          <w:szCs w:val="24"/>
        </w:rPr>
      </w:pPr>
      <w:r>
        <w:rPr>
          <w:rFonts w:ascii="宋体" w:hAnsi="宋体" w:eastAsia="宋体" w:cs="宋体"/>
          <w:b w:val="0"/>
          <w:color w:val="000000"/>
          <w:kern w:val="2"/>
          <w:sz w:val="24"/>
          <w:szCs w:val="24"/>
          <w:lang w:val="en-US" w:eastAsia="zh-CN" w:bidi="ar-SA"/>
        </w:rPr>
        <w:t>（1）</w:t>
      </w:r>
      <w:r>
        <w:rPr>
          <w:rFonts w:hint="eastAsia" w:ascii="宋体" w:hAnsi="宋体" w:cs="宋体"/>
          <w:color w:val="000000"/>
          <w:sz w:val="24"/>
          <w:szCs w:val="24"/>
        </w:rPr>
        <w:t>各应用系统需求包括但不限于以上内容，承建单位在中标后还需要根据各应用系统实际使用的业务科室需求进行适当调整。</w:t>
      </w:r>
    </w:p>
    <w:p>
      <w:pPr>
        <w:numPr>
          <w:ilvl w:val="0"/>
          <w:numId w:val="0"/>
        </w:numPr>
        <w:snapToGrid w:val="0"/>
        <w:spacing w:line="360" w:lineRule="auto"/>
        <w:ind w:firstLine="480" w:firstLineChars="200"/>
        <w:rPr>
          <w:rFonts w:ascii="宋体" w:hAnsi="宋体" w:cs="宋体"/>
          <w:color w:val="000000"/>
          <w:sz w:val="24"/>
          <w:szCs w:val="24"/>
        </w:rPr>
      </w:pPr>
      <w:r>
        <w:rPr>
          <w:rFonts w:ascii="宋体" w:hAnsi="宋体" w:eastAsia="宋体" w:cs="宋体"/>
          <w:b w:val="0"/>
          <w:color w:val="000000"/>
          <w:kern w:val="2"/>
          <w:sz w:val="24"/>
          <w:szCs w:val="24"/>
          <w:lang w:val="en-US" w:eastAsia="zh-CN" w:bidi="ar-SA"/>
        </w:rPr>
        <w:t>（2）</w:t>
      </w:r>
      <w:r>
        <w:rPr>
          <w:rFonts w:hint="eastAsia" w:ascii="宋体" w:hAnsi="宋体" w:cs="宋体"/>
          <w:color w:val="000000"/>
          <w:sz w:val="24"/>
          <w:szCs w:val="24"/>
        </w:rPr>
        <w:t>中标单位需严格按照项目监理单位的各项管理要求进行招标项目的管理和实施。</w:t>
      </w:r>
    </w:p>
    <w:p>
      <w:pPr>
        <w:numPr>
          <w:ilvl w:val="0"/>
          <w:numId w:val="0"/>
        </w:numPr>
        <w:snapToGrid w:val="0"/>
        <w:spacing w:line="360" w:lineRule="auto"/>
        <w:ind w:firstLine="480" w:firstLineChars="200"/>
        <w:rPr>
          <w:rFonts w:ascii="宋体" w:hAnsi="宋体" w:cs="宋体"/>
          <w:color w:val="000000"/>
          <w:sz w:val="24"/>
          <w:szCs w:val="24"/>
        </w:rPr>
      </w:pPr>
      <w:r>
        <w:rPr>
          <w:rFonts w:ascii="宋体" w:hAnsi="宋体" w:eastAsia="宋体" w:cs="宋体"/>
          <w:b w:val="0"/>
          <w:color w:val="000000"/>
          <w:kern w:val="2"/>
          <w:sz w:val="24"/>
          <w:szCs w:val="24"/>
          <w:lang w:val="en-US" w:eastAsia="zh-CN" w:bidi="ar-SA"/>
        </w:rPr>
        <w:t>（3）</w:t>
      </w:r>
      <w:r>
        <w:rPr>
          <w:rFonts w:hint="eastAsia" w:ascii="宋体" w:hAnsi="宋体" w:cs="宋体"/>
          <w:color w:val="000000"/>
          <w:sz w:val="24"/>
          <w:szCs w:val="24"/>
        </w:rPr>
        <w:t>各应用系统在上线试运行前，</w:t>
      </w:r>
      <w:r>
        <w:rPr>
          <w:rFonts w:hint="eastAsia" w:ascii="宋体" w:hAnsi="宋体" w:cs="宋体"/>
          <w:color w:val="000000"/>
          <w:sz w:val="24"/>
          <w:szCs w:val="24"/>
          <w:lang w:val="en-US" w:eastAsia="zh-CN"/>
        </w:rPr>
        <w:t>根据实际需要</w:t>
      </w:r>
      <w:r>
        <w:rPr>
          <w:rFonts w:hint="eastAsia" w:ascii="宋体" w:hAnsi="宋体" w:cs="宋体"/>
          <w:color w:val="000000"/>
          <w:sz w:val="24"/>
          <w:szCs w:val="24"/>
        </w:rPr>
        <w:t>与吉林人社现有相关平台实现</w:t>
      </w:r>
      <w:r>
        <w:rPr>
          <w:rFonts w:hint="eastAsia" w:ascii="宋体" w:hAnsi="宋体" w:cs="宋体"/>
          <w:color w:val="000000"/>
          <w:sz w:val="24"/>
          <w:szCs w:val="24"/>
          <w:lang w:val="en-US" w:eastAsia="zh-CN"/>
        </w:rPr>
        <w:t>必要的</w:t>
      </w:r>
      <w:r>
        <w:rPr>
          <w:rFonts w:hint="eastAsia" w:ascii="宋体" w:hAnsi="宋体" w:cs="宋体"/>
          <w:color w:val="000000"/>
          <w:sz w:val="24"/>
          <w:szCs w:val="24"/>
        </w:rPr>
        <w:t>技术对接。</w:t>
      </w:r>
    </w:p>
    <w:p>
      <w:pPr>
        <w:numPr>
          <w:ilvl w:val="0"/>
          <w:numId w:val="0"/>
        </w:numPr>
        <w:snapToGrid w:val="0"/>
        <w:spacing w:line="360" w:lineRule="auto"/>
        <w:ind w:firstLine="480" w:firstLineChars="200"/>
        <w:rPr>
          <w:rFonts w:ascii="宋体" w:hAnsi="宋体" w:eastAsia="宋体" w:cs="宋体"/>
          <w:b w:val="0"/>
          <w:color w:val="000000"/>
          <w:kern w:val="2"/>
          <w:sz w:val="24"/>
          <w:szCs w:val="24"/>
          <w:lang w:val="en-US" w:eastAsia="zh-CN" w:bidi="ar-SA"/>
        </w:rPr>
      </w:pPr>
      <w:r>
        <w:rPr>
          <w:rFonts w:ascii="宋体" w:hAnsi="宋体" w:eastAsia="宋体" w:cs="宋体"/>
          <w:b w:val="0"/>
          <w:color w:val="000000"/>
          <w:kern w:val="2"/>
          <w:sz w:val="24"/>
          <w:szCs w:val="24"/>
          <w:lang w:val="en-US" w:eastAsia="zh-CN" w:bidi="ar-SA"/>
        </w:rPr>
        <w:t>（4）</w:t>
      </w:r>
      <w:r>
        <w:rPr>
          <w:rFonts w:hint="eastAsia" w:ascii="宋体" w:hAnsi="宋体" w:eastAsia="宋体" w:cs="宋体"/>
          <w:b w:val="0"/>
          <w:color w:val="000000"/>
          <w:kern w:val="2"/>
          <w:sz w:val="24"/>
          <w:szCs w:val="24"/>
          <w:lang w:val="en-US" w:eastAsia="zh-CN" w:bidi="ar-SA"/>
        </w:rPr>
        <w:t>各应用系统设计还应预留应用接口，满足日后</w:t>
      </w:r>
      <w:r>
        <w:rPr>
          <w:rFonts w:hint="eastAsia" w:ascii="宋体" w:hAnsi="宋体" w:cs="宋体"/>
          <w:b w:val="0"/>
          <w:color w:val="000000"/>
          <w:kern w:val="2"/>
          <w:sz w:val="24"/>
          <w:szCs w:val="24"/>
          <w:lang w:val="en-US" w:eastAsia="zh-CN" w:bidi="ar-SA"/>
        </w:rPr>
        <w:t>外部</w:t>
      </w:r>
      <w:r>
        <w:rPr>
          <w:rFonts w:hint="eastAsia" w:ascii="宋体" w:hAnsi="宋体" w:eastAsia="宋体" w:cs="宋体"/>
          <w:b w:val="0"/>
          <w:color w:val="000000"/>
          <w:kern w:val="2"/>
          <w:sz w:val="24"/>
          <w:szCs w:val="24"/>
          <w:lang w:val="en-US" w:eastAsia="zh-CN" w:bidi="ar-SA"/>
        </w:rPr>
        <w:t>系统接入的要求。</w:t>
      </w:r>
    </w:p>
    <w:p>
      <w:pPr>
        <w:numPr>
          <w:ilvl w:val="0"/>
          <w:numId w:val="0"/>
        </w:numPr>
        <w:snapToGrid w:val="0"/>
        <w:spacing w:line="360" w:lineRule="auto"/>
        <w:ind w:firstLine="480" w:firstLineChars="200"/>
        <w:rPr>
          <w:rFonts w:hint="eastAsia" w:ascii="宋体" w:hAnsi="宋体" w:eastAsia="宋体" w:cs="宋体"/>
          <w:b w:val="0"/>
          <w:color w:val="000000"/>
          <w:kern w:val="2"/>
          <w:sz w:val="24"/>
          <w:szCs w:val="24"/>
          <w:lang w:val="en-US" w:eastAsia="zh-CN" w:bidi="ar-SA"/>
        </w:rPr>
      </w:pPr>
      <w:r>
        <w:rPr>
          <w:rFonts w:hint="default" w:ascii="宋体" w:hAnsi="宋体" w:eastAsia="宋体" w:cs="宋体"/>
          <w:b w:val="0"/>
          <w:color w:val="000000"/>
          <w:kern w:val="2"/>
          <w:sz w:val="24"/>
          <w:szCs w:val="24"/>
          <w:lang w:val="en-US" w:eastAsia="zh-CN" w:bidi="ar-SA"/>
        </w:rPr>
        <w:t>（5）</w:t>
      </w:r>
      <w:r>
        <w:rPr>
          <w:rFonts w:hint="eastAsia" w:ascii="宋体" w:hAnsi="宋体" w:eastAsia="宋体" w:cs="宋体"/>
          <w:b w:val="0"/>
          <w:color w:val="000000"/>
          <w:kern w:val="2"/>
          <w:sz w:val="24"/>
          <w:szCs w:val="24"/>
          <w:lang w:val="en-US" w:eastAsia="zh-CN" w:bidi="ar-SA"/>
        </w:rPr>
        <w:t>各应用系统设计还应根据实际需要预留大数据应用接口，满足日后接入大数据应用平台等系统的要求，实现长春人社相关业务的大数据应用需求。</w:t>
      </w:r>
    </w:p>
    <w:p>
      <w:pPr>
        <w:numPr>
          <w:ilvl w:val="0"/>
          <w:numId w:val="0"/>
        </w:numPr>
        <w:snapToGrid w:val="0"/>
        <w:spacing w:line="360" w:lineRule="auto"/>
        <w:ind w:firstLine="480" w:firstLineChars="200"/>
        <w:rPr>
          <w:rFonts w:hint="eastAsia" w:ascii="宋体" w:hAnsi="宋体" w:eastAsia="宋体" w:cs="宋体"/>
          <w:b/>
          <w:bCs/>
          <w:lang w:val="en-US" w:eastAsia="zh-CN"/>
        </w:rPr>
      </w:pPr>
      <w:r>
        <w:rPr>
          <w:rFonts w:hint="default" w:ascii="宋体" w:hAnsi="宋体" w:eastAsia="宋体" w:cs="宋体"/>
          <w:b w:val="0"/>
          <w:color w:val="000000"/>
          <w:kern w:val="2"/>
          <w:sz w:val="24"/>
          <w:szCs w:val="24"/>
          <w:lang w:val="en-US" w:eastAsia="zh-CN" w:bidi="ar-SA"/>
        </w:rPr>
        <w:t>（</w:t>
      </w:r>
      <w:r>
        <w:rPr>
          <w:rFonts w:hint="eastAsia" w:ascii="宋体" w:hAnsi="宋体" w:eastAsia="宋体" w:cs="宋体"/>
          <w:b w:val="0"/>
          <w:color w:val="000000"/>
          <w:kern w:val="2"/>
          <w:sz w:val="24"/>
          <w:szCs w:val="24"/>
          <w:lang w:val="en-US" w:eastAsia="zh-CN" w:bidi="ar-SA"/>
        </w:rPr>
        <w:t>6</w:t>
      </w:r>
      <w:r>
        <w:rPr>
          <w:rFonts w:hint="default" w:ascii="宋体" w:hAnsi="宋体" w:eastAsia="宋体" w:cs="宋体"/>
          <w:b w:val="0"/>
          <w:color w:val="000000"/>
          <w:kern w:val="2"/>
          <w:sz w:val="24"/>
          <w:szCs w:val="24"/>
          <w:lang w:val="en-US" w:eastAsia="zh-CN" w:bidi="ar-SA"/>
        </w:rPr>
        <w:t>）</w:t>
      </w:r>
      <w:r>
        <w:rPr>
          <w:rFonts w:hint="eastAsia" w:ascii="宋体" w:hAnsi="宋体" w:eastAsia="宋体" w:cs="宋体"/>
          <w:b w:val="0"/>
          <w:color w:val="000000"/>
          <w:kern w:val="2"/>
          <w:sz w:val="24"/>
          <w:szCs w:val="24"/>
          <w:lang w:val="en-US" w:eastAsia="zh-CN" w:bidi="ar-SA"/>
        </w:rPr>
        <w:t>在服务期内需要根据管理部门实际要求完成</w:t>
      </w:r>
      <w:r>
        <w:rPr>
          <w:rFonts w:hint="eastAsia" w:ascii="宋体" w:hAnsi="宋体" w:eastAsia="宋体" w:cs="宋体"/>
          <w:b w:val="0"/>
          <w:color w:val="000000"/>
          <w:kern w:val="2"/>
          <w:sz w:val="24"/>
          <w:szCs w:val="24"/>
          <w:lang w:val="en-US" w:eastAsia="en-US" w:bidi="ar-SA"/>
        </w:rPr>
        <w:t>网络</w:t>
      </w:r>
      <w:r>
        <w:rPr>
          <w:rFonts w:hint="eastAsia" w:ascii="宋体" w:hAnsi="宋体" w:eastAsia="宋体" w:cs="宋体"/>
          <w:b w:val="0"/>
          <w:color w:val="000000"/>
          <w:kern w:val="2"/>
          <w:sz w:val="24"/>
          <w:szCs w:val="24"/>
          <w:lang w:val="en-US" w:eastAsia="zh-CN" w:bidi="ar-SA"/>
        </w:rPr>
        <w:t>安全等级保护测评和密码应用安全评估相应内容。</w:t>
      </w:r>
      <w:bookmarkStart w:id="822" w:name="_Toc31376"/>
    </w:p>
    <w:p>
      <w:pPr>
        <w:keepNext w:val="0"/>
        <w:keepLines w:val="0"/>
        <w:pageBreakBefore w:val="0"/>
        <w:widowControl w:val="0"/>
        <w:kinsoku/>
        <w:wordWrap/>
        <w:overflowPunct/>
        <w:topLinePunct w:val="0"/>
        <w:autoSpaceDE/>
        <w:autoSpaceDN/>
        <w:bidi w:val="0"/>
        <w:adjustRightInd/>
        <w:snapToGrid/>
        <w:ind w:left="0" w:leftChars="0"/>
        <w:textAlignment w:val="auto"/>
        <w:outlineLvl w:val="1"/>
        <w:rPr>
          <w:rFonts w:hint="eastAsia" w:ascii="宋体" w:hAnsi="宋体" w:eastAsia="宋体" w:cs="宋体"/>
          <w:b/>
          <w:bCs/>
          <w:lang w:val="en-US" w:eastAsia="zh-CN"/>
        </w:rPr>
      </w:pPr>
      <w:r>
        <w:rPr>
          <w:rFonts w:hint="eastAsia" w:ascii="宋体" w:hAnsi="宋体" w:eastAsia="宋体" w:cs="宋体"/>
          <w:b/>
          <w:bCs/>
          <w:lang w:val="en-US" w:eastAsia="zh-CN"/>
        </w:rPr>
        <w:t>（二）基础支撑服务</w:t>
      </w:r>
      <w:bookmarkEnd w:id="8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为长春市就业链与产业链协同发展示范项目提供基础保障和能力输出，满足业务办理、业务查询、业务展示、数据分析等经办需求，根据人力资源市场实际特点，每年提供高水平、专业化长期稳定的技术人员，保障市场高效、稳定运行，做到服务质量提档升级。提供大学生就业基地和大学生创业基地基础服务运行保障服务。搭建四级联动基层就业专员服务网络体系，实现指标项任务上传下达，及时监控和掌握工作进度等。</w:t>
      </w:r>
      <w:r>
        <w:rPr>
          <w:rFonts w:hint="eastAsia" w:ascii="宋体" w:hAnsi="宋体" w:cs="宋体"/>
          <w:highlight w:val="none"/>
          <w:lang w:val="en-US" w:eastAsia="zh-CN"/>
        </w:rPr>
        <w:t>其中支撑软件及设施设备须符合/满足国产化要求，整体服务最低要求如下：</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大学生就业创业服务基础支撑服务</w:t>
      </w:r>
    </w:p>
    <w:tbl>
      <w:tblPr>
        <w:tblStyle w:val="44"/>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0"/>
        <w:gridCol w:w="1185"/>
        <w:gridCol w:w="1485"/>
        <w:gridCol w:w="5375"/>
        <w:gridCol w:w="630"/>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40"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185"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服务内容</w:t>
            </w:r>
          </w:p>
        </w:tc>
        <w:tc>
          <w:tcPr>
            <w:tcW w:w="1485"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5375"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技术要求</w:t>
            </w:r>
          </w:p>
        </w:tc>
        <w:tc>
          <w:tcPr>
            <w:tcW w:w="630"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93"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大学生就业信息化综合服务</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自助终端机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查询、制单、证卡核验等；控制面板：电源输入、电源开关、网络输入；内置音箱：音响输出功率2*5W，双声道，立体声，防磁音箱；工作功率：400-500W，待机功率：200-300W；工作环境：温度-15-65℃，湿度30%-90%；外形结构：全钢不低于1.0mm模具制造，表面金属烤漆，内部构件全部电镀；显示屏不低于22</w:t>
            </w:r>
            <w:r>
              <w:rPr>
                <w:rFonts w:hint="eastAsia" w:ascii="宋体" w:hAnsi="宋体" w:cs="宋体"/>
                <w:i w:val="0"/>
                <w:iCs w:val="0"/>
                <w:color w:val="auto"/>
                <w:kern w:val="0"/>
                <w:sz w:val="24"/>
                <w:szCs w:val="24"/>
                <w:u w:val="none"/>
                <w:lang w:val="en-US" w:eastAsia="zh-CN" w:bidi="ar"/>
              </w:rPr>
              <w:t>英寸</w:t>
            </w:r>
            <w:r>
              <w:rPr>
                <w:rFonts w:hint="eastAsia" w:ascii="宋体" w:hAnsi="宋体" w:eastAsia="宋体" w:cs="宋体"/>
                <w:i w:val="0"/>
                <w:iCs w:val="0"/>
                <w:color w:val="auto"/>
                <w:kern w:val="0"/>
                <w:sz w:val="24"/>
                <w:szCs w:val="24"/>
                <w:u w:val="none"/>
                <w:lang w:val="en-US" w:eastAsia="zh-CN" w:bidi="ar"/>
              </w:rPr>
              <w:t>液晶显示器；触摸屏红外防爆触摸屏，单点触摸≥6000万次；基本模块 全钢材质、金属烤漆(颜色可选</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，防锈防水防腐蚀；外设应支持打印机、读卡器、身份阅读器、金属键盘、摄像头、扫描仪等设备连接。</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自助终端软件定制开发</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自助服务对接软件系统，查询服务程序定制开发。</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立式广告机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机采用一体设计，外部无任何可见内部功能模块连接线；整机采用全金属外壳设计，边角采用弧形设计，表面无尖锐边缘或凸起；整机屏幕边缘采用金属圆角包边防护，整机背板采用金属材质，有效屏蔽内部电路器件辐射；防潮耐盐雾蚀锈，适应多种环境；整机屏幕采用不小于55英寸液晶显示器；整机采用UHD超高清LED液晶屏，显示比例16:9，分辨率不低于2160×1920；整机支持蓝牙Bluetooth 4.0及以上标准；Wi-Fi制式支持IEEE 802.11 a/b/g/n。</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双屏一体机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整机屏幕由两台不低于80英寸 UHD超高清LED 液晶屏组成，下边框宽度≤9mm，屏占比（有效显示面积/整机外观尺寸）≥92%；屏幕缝隙（主副屏开机后显示画面之间的距离）≤30mm；整机屏幕色域覆盖率（NTSC）≥ 100%；具备独立物理按键，通过轻按按键实现节能熄屏/唤醒，长按按键实现关机；整机采用左右双侧边栏虚拟按键设计，通过侧边栏可调用音量+/-、亮度+/-、批注、主页；内置无线传屏接收端，无需外接接收部件，无线传屏发射器与整机匹配后即可实现传屏功能，将外部电脑的屏幕画面通过无线方式传输到整机上显示；整机内置无线网络模块，PC模块无任何外接或转接天线、网卡可同时实现Wi-Fi无线上网连接和AP无线热点发射；整机顶部可放置摄像头，可拍摄照片，外置摄像头对角线视场角≥120度，支持远程巡课应用；整机内置非独立外扩展的阵列麦克风，麦克风拾音孔数量≥6个，拾音角度180度，拾音距离可达8m；外接电脑设备连接整机且触摸信号连通时，外接电脑设备可直接读取整机侧置USB接口的移动存储设备数据，连接整机侧置USB接口的翻页笔、无线键鼠外接设备可直接使用于外接电脑，无需重复部署；外接电脑设备通过HDMI线投送画面至整机时，再连接TypeB USB线至整机触控输出接口，即可直接调用整机的摄像头、内置麦克风、内置扬声器，在外接电脑即可拍摄教室画面；支持侧置Type-C接口，通过Type-C接口实现音视频输入，外接电脑设备通过标准TypeC线连接至整机TypeC口，即可把外接电脑设备画面投到整机上，同时在整机上操作画面，可实现触摸电脑的操作，无需再连接触控USB线；外接电脑设备通过标准TypeC线连接至整机TypeC口，可直接调用整机内置的摄像头、麦克风、扬声器，在外接电脑即可拍摄教室画面；支持通道自动跳转功能，如整机处于正常使用状态，HDMI信号接入时，能自动识别并切换到对应的HDMI信号源通道，且断开后能回到上一通道，自动跳转前支持选择确认，待确认后再跳转；支持通道记忆功能，开机默认回到最近一次关机时的显示通道；支持外接信号输入时自动唤醒功能，整机处于关机通电状态，外接电脑显示信号通过HDMI传输线连接至整机时，整机可智能识别外接电脑设备信号输入并自动开机；在任意信号源通道下，支持十指长按屏幕5秒和遥控器两种方式实现触摸锁定及解锁，触摸锁定时整机无法被触控操作；具备智能手势识别功能，在任意信号源通道下可识别五指上、下、左、右方向手势滑动并调用相应功能，支持将各手势滑动方向自定义设置为无操作、熄屏、批注、桌面、半屏模式；整机内置专业硬件自检维护工具（非第三方工具），支持对触摸框、PC模块进行检测，并针对不同模块给出问题原因提示；整机副屏内置HDMI OUT接口，支持将内置PC、外部HDMI通道输入的画面通过HDMI OUT接口输出至外接显示设备；整机支持蓝牙Bluetooth 4.2标准，能连接外部蓝牙音箱播放音频，也能接收外部手机通过蓝牙发送的文件；具备摄像头工作指示灯，摄像头运行时，有指示灯提示；支持课堂简易录播（轻录播）功能，录制屏幕及整机半径4米内课堂现场音频，辅助教师课后教学研究；支持将自定义图片设置为开机画面；支持护眼模式，可通过触摸菜单按键启用护眼模式；支持对任意通道进行批注，同时支持手势识别调出板擦工具擦除批注内容，可根据手与屏幕的接触面积自动调整板擦工具的大小；支持课件上下页联动放映，一边屏幕放映当前课件页面，另外一边屏幕放映课件上一页面，方便展示更多课件内容。</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嵌入式底座</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现场定制双屏一体机底座、金属材质</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广告机软件上传系统</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云终端平台支持手机、电脑、移动终端等多种方式资源上传。</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17寸排队机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全无线收发通信、内置双天线发射、信号稳定；液晶显示屏：17 寸A规液晶显示屏、分辨率1280*1024，对比度：3000:1；触摸屏：17 寸红外触摸屏，高灵敏度，响应速度快；热敏打印机：高速热敏打印机（纸宽8CM）、噪音低、打印速度快、自动切纸；PC 控制主机：D525 工控主板，CPU：双核 1.8，2G内存，32G 固态硬盘，经久耐用，低功耗，超稳定；语音系统：内置音响和功放，也可以外接功放音箱；产品尺寸：宽 450×高 1467×厚 530（mm）；排队机柜：采用一级冷轧钢，外表面进口汽车金属；烤漆，流线型、人性化设计，防磁，防静电，防锈；预留二代证口位、二维码口位、可选装并支持定制。</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呼叫器</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触摸屏不低于 6 点电容式触摸；显示：LCD 屏 10.1"高清屏；分辨率 800*1280，对比度 800亮度 250cd/m2，屏幕比例 16：10；网络：WiFi802.11b/g/n，蓝牙 4.0；以太网外接 RJ45 转换盒(可选功能）；接口：TF card TF 卡(支持最大 32GB)；SD 卡 （支持最大 32GB）；USB 2.0 Host；RJ45 RJ45；Micro USB Micro USB OTG 耳机 3.5mm 立体声耳机输出；HDMI HDMI output；电源插孔 DC 电源输入；麦克风支持；喇叭 2*1W。</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显示条屏</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尺寸780*173*38mm，内置无线模块，含吊挂配件。</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综合屏</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用途：窗口屏/综合等候屏；显示：可显示文字，图片，视频，叫号信息，远程发布；配置：内置安卓网络主板；挂件：含壁挂架；尺寸：1255*727*54mm。</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评价器</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触摸屏 10 点电容式触摸；显示：LCD 屏 10.1"高清 IPS 屏；分辨率 800*1280，对比度 800；亮度 250cd/m2，屏幕比例 16：10；网络：WiFi802.11b/g/n，蓝牙 4.0；以太网外接 RJ45 转换盒(可选功能）；接口：SD 卡 （支持最大 32GB）；USB 2.0 Host； RJ45 RJ45；摄像头 前置 200W；耳机 3.5mm 立体声耳机输出；HDMI HDMI output；电源插孔 DC 电源输入；麦克风支持；喇叭 2*1W；中英文等多语言OSD 操作。</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排队、评价系统定制开发</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定制排队、评价系统软件</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含远程技术支持、安装现场支持。</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智能机器人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移动速度不低于0.3 m/s，定位精度不低于±5cm，激光雷达扫描半径不低于25m，导航方式激光雷达、超声波、视觉避障（三位一体）；机器人具有粒度分析报告、CMA消毒检测报告（报告中包含对空气消毒效果鉴定和物体表面消毒效果实验），满足工业级产品标准，货物（锂电池）具有空运、海运鉴定书、MSDS报告、锂电池的UN38.3的检测报告；机器人配备10.1寸高清显示屏，屏幕上能直观展示的消毒任务和消毒日志；也可以屏幕触控发送指令进行消毒；产品可通过手机APP查看机器人工作状态、网络情况下支持异地远程遥控消毒；自主定位：机器人可在部署地图范围内任何地点开机启动，人为推动不超出所建地图范围，机器人可自主执行消毒任务和低电量回充；机器人端设置界面带辅助定位功能；水箱容积：不小于27L；消毒喷头：四孔喷头和蘑菇喷头两种喷头可选；雾化高度：雾化高度可调节；消毒液：可使用次氯酸等多种消毒液雾化消毒；机器人可以做广告宣传，支持待机动画轮播，宣传图片可远程切换；机器人自带一键检测功能，方便用户使用、检查问题；机器人支持即时中英文版本切换，用户使用无困扰；在用户当地有服务公司机构，及时提供上门服务。</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安检门</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显示屏规格 前后7寸LCD屏；运输重量 小于90KG；功耗 ＜30W；工作温度 -10℃─55℃；工作湿度 ＜95%，无冷凝；测温精度 ±0.5℃；外接电源 187V～242V，50/60Hz；工作频率 根据安装环境自行调节；外形尺寸 (mm)2287(高</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x916(宽</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x666(深</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；通道尺寸(mm)2005(高</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x730(宽</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x600(深</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；输出接口 1个RJ45网口、1个2路报警输出；非接触测温：可对通过安检门的人员进行脸部温度测试 并进行人员准确匹配，温度精度：±0.5℃，搭配黑体精度 可达±0.3℃；人体温度初筛：可通过安全温度阈值设置，超过该阈值，可联动安检门本地声光报警，进行防疫初筛；联网功能：可以单机联网，通过web端进行参数配置；也可以搭配平台进行客流数据、报警数据的汇聚应用；金属检测：可检测到1个回形针大小的金属，有效进行违规物品核验；门体显示：采用前后双7寸液晶屏显示，用于客流和报警数据及人体温度展示，前后显示界面可进行切换；多区位报警功能：人体不同位置的多个金属通过安检门时会同时报警，并可以指示多个金属的位置，最多支持18区位。每个区域255级灵敏度等级调节；模块化组件设计：运输、维护方便快捷；具有飞物报警功能：金属物体从门中间抛过也会准确报警；超低探测高度：离地3cm以上的金属物体进入检测区域均可报警；开机自诊断功能：开机时对系统进行自检，并显示检测结果。</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安检门底座</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专用安检门底座。</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大学生就业综合展示服务</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广告机软件上传系统</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云终端平台支持手机、电脑、移动终端等多种方式资源上传。</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立式广告机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机采用一体设计，外部无任何可见内部功能模块连接线；整机采用全金属外壳设计，边角采用弧形设计，表面无尖锐边缘或凸起；整机屏幕边缘采用金属圆角包边防护，整机背板采用金属材质，有效屏蔽内部电路器件辐射；防潮耐盐雾蚀锈，适应多种环境；整机屏幕采用不小于55英寸液晶显示器；整机采用UHD超高清LED液晶屏，显示比例16:9，分辨率不低于2160×1920；整机支持蓝牙Bluetooth 4.0及以上标准；Wi-Fi制式支持IEEE 802.11 a/b/g/n。</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LED显示屏</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物理点间距≤1.83mm；模组尺寸(mm) ≥320*160；刷新率≥3840Hz；白平衡亮度≥600cd/㎡；对比度≥4000:1；亮度均匀性≥97%；平整度≤0.2mm。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连续工作时间：7×24小时不间断，LED平均无故障工作时间MTBF≥10万小时，故障平均修复时间MTTR不超过3分钟，系统可用度≥99.9%。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LED显示单元抗震等级能够承受10级震动烈度。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LED显示单元对地漏电流≤0.1mA(交流有效值）。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显示单元具备去蓝光护眼功能，开启护眼模式后，蓝光量可下降30%，减弱蓝光对观看人员的眼睛进行有效保护，去除100%紫外线。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显示单元的色彩还原准确性指标ΔE≤0.9。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投标产品其视网膜蓝光危害（蓝光加权辐射亮度LB）应≤0.78W∙m^(-2)∙〖sr〗^(-1)。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断电10次，每次间隔5S恢复通电，模组显示正常，功能正常。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系统配电柜：至少支持20KW配电。采用高质量，高可靠性的工业级控制器。配电系统包含PLC远程智能控制系统，可执行远程开关机操作，具备过压、过流、欠压、短路、断路及漏电保护措施。内设控制电路保险装置，对电路实施全方位监控、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10.具有大屏支架并提供大屏支架工程安装服务。</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平米</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视频处理器服务器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最大带载至少1048万像素，最宽至少可达16384像素，最高至少6000像素，尺寸可灵活设置；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支持视频源任意切换，可根据显示屏分辨率对输入图像进行拼接、缩放；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支持至少6画面显示，位置、大小可自由调节支持多窗口，可自由设定窗口大小和位置，并支持窗口叠加；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支持至少16种预置模式，可根据需求随时加载保存的预置参数；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支持亮度和色温调节；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支持低亮高灰；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最大输入分辨率不低于4096*2160@60Hz，支持分辨率任意设置；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支持丰富的数字信号接口，至少包括3路HDMI、2路DVI、1路DP、1路3.5mm音频输入输出接口；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至少具有USB2.0*2个，用于电脑调试和设备间任意级联；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至少具有16个千兆输出网口。</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视频线缆</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HDMI 线缆-20m</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大学生留长专题宣传片</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制作涵盖宣传长春、基地介绍、百万大学生留长工程介绍和服务成果等内容的大学生留长专题宣传片，提升大学生在长就业意愿。</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线阵主扩声音箱</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1.音箱类型为二分频线性阵列全频音箱。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2.功率≥500W，阻抗：8Ω，频率范围：70Hz-20kHz，最大声压级≥127dB。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3.灵敏度SPL（1W/1M）≥100dB (1M/1W )，低频扬声器：8" x 2，高频扬声器：75mm（3"）压缩驱动器*1。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4.水平覆盖角(-6dB)≥90°，垂直覆盖角(-6dB)≥10°。</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线阵次低频音箱</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1.音箱类型为低频音箱，低频扬声器单元18" x 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2.功率≥600W，阻抗：8Ω。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3.频率范围：40Hz-400Hz，灵敏度SPL（1W/1M）≥100dB (1M/1W)，最大声压级≥128dB。</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舞台返听音箱</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1.阻抗：8Ω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2.频响：等同或优于60Hz-20KHz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3.额定功率≥300W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4.灵敏度：98dB/W/M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5.水平覆盖角≥80°，垂直覆盖角≥60°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6.高音：1.4"压缩高音单元×1；低音：10"低音×1</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线阵列音箱田子架</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产品尺寸：700*620*50mm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产品重量：9.8KG（不含U型扣重量）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1.标配长度：6米；包含：葫芦架1套。承重：2T。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2.材质：国标G80级锰钢；外壳：加厚合金钢。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3.表面处理：淬火工艺+镀锌；颜色：黄色+红色。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4.链条破断应力：≥800Mpa。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5.刹车系统：双重干式；轴承：滚针轴承。</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专业功放</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1.双通道大功率专业数字功放。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2.功放具有直流、短路、过载、过热保护。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3.具备信号、功率、温度等压限功能。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4.灵敏度支持1V/2V，可选择切换。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5.输出功率*（1KHz/THD≤1％）：立体声8Ω：≥2*700W；立体声4Ω：≥2*1200W；立体声2Ω：≥2*1800W；桥接16Ω：≥1400W；桥接8Ω：≥2400W；桥接4Ω：≥3600W.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6.电压增益 (@1KHz) 等同或优于37.5dB；输入阻抗 ≤ 10K Ω 非平衡、20KΩ 平衡；THD+N(@1/8功率下） ≤0.01％；信噪比 (A计权</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 ≥102dB。</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无线话筒</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1.频率指标：等同或优于530-580MHz，640-690MHz，调制方式：宽带FM，频道数目：≥200个频道。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2.配套有≥1台接收主机和≥2个无线手持话筒。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3.采用UHF超高频段双真分集接收，并采用PLL锁相环多信道频率合成技术。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4.接收机指标：采用自动选讯接收方式，灵敏度:≥12dB μV</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80dBS/N)，频率响应:等同或优于50Hz-16.5kHz。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5.发射机指标：音头采用动圈式麦克风；手持麦克风内置螺旋天线。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6.输出功率:≥30mW。</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数字调音台</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1.≥7英寸高清触摸屏，分辨率等同或优于1024×600；数字编码器以及专用按键构成的操作面板。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2.≥20路输入：≥12路话筒模拟输入；≥2组立体声输入（≥4个输入）；≥2路S/PDIF数字输入；≥2路USB立体声播放，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3.≥12路输出：≥2路MAINLR母线输出；≥4路AUX辅助输出；≥2路MONITORLR监听输出；≥2路AES/EBU输出；≥2路S/PDIF数字输出；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4.内置USB录音、播放功能，支持APE\MP3\FLAC\WAV音频格式；USB声卡支持多轨录音及播放；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5.≥8个DCA编组、≥8个静音编组，输入输出、效果器通道均可编入；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6.每路输入通道具有≥6段参量均衡器、压缩器、噪声门、极性、延时器；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7.每路输出通道具有≥8段参量均衡器、31段图示均衡器、高低通滤波器、压限器、延时器；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8.输入内置自适应陷波反馈抑制算法、自动混音；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9.延时、合唱、混响、变调等多种效果器类型；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10.支持≥255组场景预设，可导入USB存储，便于备份调用；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11.内置：正弦波、白/粉噪声信号发生器；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12.独特的Link连接功能，可进行相邻通道绑定设置；防碰、误操作面板锁；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13.通道名自定义。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14.支持操作系统全功能控制软件。</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音频处理器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3.输出通道支持≥12段参量均衡，≥31段图示均衡、延时器、分频器、高低通滤波器、限幅器。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4.高性能专业DSP处理器，支持≥32bit/48kHz的声音，支持输入通道48V幻象供电。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5.具有2英寸IPS真彩显示屏，支持显示设备网络信息、实时电平、通道静音状态。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8.支持断电自动保护记忆功能。支持通道拷贝、粘贴、联控功能。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9.≥8个场景预设，支持场景信息导入、场景信息导出。</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会议系统主机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1.设备具有音频时钟同步传输技术，音频延时小于5ms。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2.内置高性能DSP处理器，具有音频矩阵、啸叫抑制、EQ、音量、延时器等调节功能。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4.支持≥16通道角色分离输出模式，可使有线或无线单元根据ID号独立输出，最大支持128路有线单元或无线单元独立音频输出，并支持通过录音软件实现每个单元独立录音</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语音转写设备对接实现角色分离。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5.支持≥16通道同传输出模式，可使同传音频根据通道号独立输出，可供录音或监听设备使用。且输出通道数量，可通过外部设备扩展。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6.支持≥16通道相控输出模式，内置≥nx16音频矩阵处理器，实现≥16通道分组输出功能。可使任意输入源（包括所有输入源和在线话筒），按任意音量比例，输出到任意通道。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7.会议主机采用TCP/IP网络协议，且同时支持C/S、B/S架构，可供PC软件或浏览器控制。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8.通过WEB控制音频矩阵参数（包括EQ、音量、延时器、话筒灵敏度等）、输出模式切换、开关话筒同步、中英俄法四种语言切换、控制角色分离主机。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9.超大系统容量，系统最大支持4096台有线会议单元和300台无线会议单元。系统最大发言数量为16个有线话筒和8个无线话筒。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10.支持环形手拉手功能，确保在其中的一条网线断开或者单元出问题时，会议能继续正常进行。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11.具有支持中、英、俄、法文多种语言任意切换显示。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12.PC软件可查看在线无线单元的电池电量、WiFi信号等信息状态；支持一键关闭所有无线单元、单独关闭某个无线单元。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13.支持同声传译功能，系统最大可同时传输63+1的有线同声传译。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14.具有消防报警联动触发接口，提供火灾报警信息。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15.具有1路RS-485接口，支持一台摄像机实现摄像跟踪，支持PELCO-D、VISCA控制协议。配合摄像跟踪主机达到多路视频自动跟踪功能。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16.≥四种话筒管理模式:FIFO（先进先出）、NORMAL（普通模式）、VOICE（声控模式）、APPLY（申请模式）。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17.系统具有发起会议签到、表决、选举、评级、满意度、自定义等功能。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18.具有≥4.3英寸全彩触摸屏，可实现对参数设置或查看，进行任意触摸操作。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19.强大的编ID功能，可对有线单元、无线单元、译员机、角色分离主机进行编ID。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20.具备USB录音功能，可录制和播放会议记录。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21.支持≥10段 EQ调节功能，≥16路多功能输出通道与≥2路LINEOUT输出通道都具有≥10段 EQ调节功能。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22.支持AP信道扫描，监测现场的无线信道使用情况，支持信道自动或手动配置最佳信道，支持AP名称在线显示列表。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23.支持触摸屏幕输入注册码进行主机注册。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24.支持对接语音转写服务器，实现语音转写功能。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25.会议主机具备设置主机或从机功能，当主机出现故障时，可自动切换至从机运行，实现双备份功能。</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会议话筒处理器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6.支持话筒同时开麦数量≥16个有线单元+≥8个无线单元。</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会议话筒</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1.采用心型指向性驻极体麦克风，要求内部具有DSP音频处理，没有“噗噗”的低频冲击声，内部具有反馈抑制功能，可有效地防止啸叫。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2.采用≥128位AES加密技术，支持 WPA/WPA2 无线安全技术。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3.支持触摸按键签到功能。具备优先权功能，可关闭正在发言的所有代表话筒。具有声控功能。具有发言计时和定时发言功能。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4.具备TYPE-C口，可进行升级程序和在线充电，内置容量锂电池，电池容量≥4800mAh，可持续≥15小时发言。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5.支持后台≥5段EQ调节功能。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6.咪杆长度：380mm（黑色）。</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会议话筒</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1.采用心型指向性驻极体麦克风，要求内部具有DSP音频处理；内部具有反馈抑制功能。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2.采用≥128位AES加密技术，支持 WPA/WPA2 无线安全技术.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3.支持触摸按键签到功能。具有声控功能。具有发言计时和定时发言功能。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4.具备TYPE-C口，可进行升级程序和在线充电，内置容量锂电池，电池容量≥4800mAh，可持续≥15小时发言。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5.支持后台≥5段EQ调节功能。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6.咪杆长度：380mm（黑色）。</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发射器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1.遵从Wi-Fi 6协议标准（IEEE 802.11ax），向下兼容802.11a/b/g/n/ac/Wave2，支持MU-MIMO，允许AP同时接收多个终端发送数据，整机最大传输速率可达1.601Gbps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2.支持OFDMA空间复用技术和1024QAM调制解调算法。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3.支持中文SSID，可指定最长包含≥31个字符的SSID，也可以使用中英文混合的SSID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4.支持WPA3安全协议。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5.支持等同或优于80/160MHz的高带宽频段。</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充电箱</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1.充电箱具有≥10个USB接口，支持使用USB线充电，提供5V/9V供电。一端连接充电器一端连接会议单元</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支持18W快充。支持同时插满所有USB接口。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2.根据设备的耐受电流大小充电器会自动匹配合适的电流大小给设备充电，同时有过流保护功能。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3.智能自动电路保护，所有USB插口均具有短路保护功能和自恢复功能。</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交换机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8个百兆端口支持PoE+供电，符合IEEE 802.3af/at标准，单端口PoE功率可达30W，整机最大PoE输出功率为125W。</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电源管理器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4.具有一路及以上USB输出接口。</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变压器</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1．具备≥2路输入、≥2路输出，工业标准接线端子。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2．隔离静噪抗干扰器，消除“嗡”音和“嗞”音“超大电流声”。</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联排操作台</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弧形双屏显示四人位弧形操作台，1.2米/工作位，总长4联 6.4米，箱体深度600 台面深度900，台面高度 750mm,  整体冷轧钢板 整体1.2mm, 门1.0mm.  台面25 mm 厚度防火板， 侧板木烤漆  背部铝型材。板材：箱体为优质冷轧钢板，板材厚度立</w:t>
            </w:r>
            <w:r>
              <w:rPr>
                <w:rFonts w:hint="eastAsia" w:ascii="宋体" w:hAnsi="宋体" w:cs="宋体"/>
                <w:i w:val="0"/>
                <w:iCs w:val="0"/>
                <w:color w:val="auto"/>
                <w:kern w:val="0"/>
                <w:sz w:val="24"/>
                <w:szCs w:val="24"/>
                <w:u w:val="none"/>
                <w:lang w:val="en-US" w:eastAsia="zh-CN" w:bidi="ar"/>
              </w:rPr>
              <w:t>梁</w:t>
            </w:r>
            <w:r>
              <w:rPr>
                <w:rFonts w:hint="eastAsia" w:ascii="宋体" w:hAnsi="宋体" w:eastAsia="宋体" w:cs="宋体"/>
                <w:i w:val="0"/>
                <w:iCs w:val="0"/>
                <w:color w:val="auto"/>
                <w:kern w:val="0"/>
                <w:sz w:val="24"/>
                <w:szCs w:val="24"/>
                <w:u w:val="none"/>
                <w:lang w:val="en-US" w:eastAsia="zh-CN" w:bidi="ar"/>
              </w:rPr>
              <w:t>1.2，框架1.0，门板1.0，箱体内配有主机托盘.台面为E1级环保中纤板，侧板为双层环保烤漆工艺，表面光亮无毛刺，后背为1.5厚氧化铝型材，可安装液晶显示器支架，实现显示器悬浮。含配套人体工程椅、办公柜。</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演讲桌</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尺寸（长*宽*高/mm）：770*500*1160 ；材质：E1级环保型700kg/立方中密板纤维板基材，进口实木胡桃木皮贴面、封边 ；表面使用美国胡桃木皮，厚道为0.6以上实木封边；台面光亮平整，油漆无颗粒、气泡、渣点，颜色均匀，木皮纹理自然。</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多功能地插</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开启式8位地插；采用黄铜材质；底盒尺寸：190*120*65mm；面板尺寸：200*130mm；模块数量：8个。包括5孔电源插座*2；网络*2；HDMI*2；VGA*1；音频*1。</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  PAR灯</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1.采用61×3W LED光源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2.具备25°透镜角度，1-25Hz/s的频闪速度，具有调光功能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3.具有RGBW混色功能，3200-7200K色温调节功能。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4.具有主从自走自动同步功能，具有控台正常控制自走永久同步，具有声控功能。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5.具有过温保护功能，支持NTC温度控测，当LED工作过热时，降低LED的输出功率。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6.具备DMX512接口，支持RDM协议，具有程序在线更新功能。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7.支持DMX控制通道数量为4/6/8通道。</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  面板会议灯</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1.采用630颗2835/0.5W LED暖白+冷白光源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2.具有调光功能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3.具有3200-6500K色温调节功能，CRI≥95，TLCI≥95。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4.具有NTC温度控测功能。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5.具备DMX512接口，支持RDM协议，具有程序在线更新功能，可单独色温手动调选。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6.支持DMX控制通道数量为2/6/7通道。</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固焦静音LED成像灯</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1.采用COB白光200W LED 3200K光源。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2.具备19°光学角度，具有调光、手动调焦功能。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3.具有3000k色温，Ra≥90显色指数。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4.具有散热功能，采用风向引流与温度监控技术</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根据灯具</w:t>
            </w:r>
            <w:r>
              <w:rPr>
                <w:rFonts w:hint="eastAsia" w:ascii="宋体" w:hAnsi="宋体" w:cs="宋体"/>
                <w:i w:val="0"/>
                <w:iCs w:val="0"/>
                <w:color w:val="auto"/>
                <w:kern w:val="0"/>
                <w:sz w:val="24"/>
                <w:szCs w:val="24"/>
                <w:u w:val="none"/>
                <w:lang w:val="en-US" w:eastAsia="zh-CN" w:bidi="ar"/>
              </w:rPr>
              <w:t>不同</w:t>
            </w:r>
            <w:r>
              <w:rPr>
                <w:rFonts w:hint="eastAsia" w:ascii="宋体" w:hAnsi="宋体" w:eastAsia="宋体" w:cs="宋体"/>
                <w:i w:val="0"/>
                <w:iCs w:val="0"/>
                <w:color w:val="auto"/>
                <w:kern w:val="0"/>
                <w:sz w:val="24"/>
                <w:szCs w:val="24"/>
                <w:u w:val="none"/>
                <w:lang w:val="en-US" w:eastAsia="zh-CN" w:bidi="ar"/>
              </w:rPr>
              <w:t>位置的温度高低，自动驱动灯具里面</w:t>
            </w:r>
            <w:r>
              <w:rPr>
                <w:rFonts w:hint="eastAsia" w:ascii="宋体" w:hAnsi="宋体" w:cs="宋体"/>
                <w:i w:val="0"/>
                <w:iCs w:val="0"/>
                <w:color w:val="auto"/>
                <w:kern w:val="0"/>
                <w:sz w:val="24"/>
                <w:szCs w:val="24"/>
                <w:u w:val="none"/>
                <w:lang w:val="en-US" w:eastAsia="zh-CN" w:bidi="ar"/>
              </w:rPr>
              <w:t>不同</w:t>
            </w:r>
            <w:r>
              <w:rPr>
                <w:rFonts w:hint="eastAsia" w:ascii="宋体" w:hAnsi="宋体" w:eastAsia="宋体" w:cs="宋体"/>
                <w:i w:val="0"/>
                <w:iCs w:val="0"/>
                <w:color w:val="auto"/>
                <w:kern w:val="0"/>
                <w:sz w:val="24"/>
                <w:szCs w:val="24"/>
                <w:u w:val="none"/>
                <w:lang w:val="en-US" w:eastAsia="zh-CN" w:bidi="ar"/>
              </w:rPr>
              <w:t>部位的冷却风扇，对灯具部件进行有效的冷却。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5.具备DMX512接口，支持RDM协议，通过DMX数据线升级。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6.支持DMX控制通道数量为2通道。</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摇头图案染色三合一灯</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1.采用280W LED光源，8500K色温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2.灯具色片盘由≥13种颜色+1个白光组成，具有双向彩虹效果，速度可调，任意定位功能。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3.固定图案盘由≥13个固定图案+1个白光组成，带图案抖动</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单向流水，速度可调，任意定位功能。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4.旋转图案盘由≥9个可旋转图案+1个白光，每个图案具有正反旋转，抖动及流水效果。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5.具有1个八面旋转棱镜和1个排镜，棱镜正反向旋转，速度可调。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6.具有双片式频闪功能，频率为0.5-14次/S，具有同步、异步、随机频闪方式，速度可调。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7.具有1个独立的雾化片，光斑柔和自然。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8.支持水平方向540°/630°旋转，垂直方向270°旋转，解析度为8Bit/16Bit。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9.具备3°-12°光束角度</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 染色模式的光束角度为15°-32°。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10.具有DMX控制通道数量为16和23通道。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11.具有散热功能，采用风向引流与温度监控技术</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根据灯具</w:t>
            </w:r>
            <w:r>
              <w:rPr>
                <w:rFonts w:hint="eastAsia" w:ascii="宋体" w:hAnsi="宋体" w:cs="宋体"/>
                <w:i w:val="0"/>
                <w:iCs w:val="0"/>
                <w:color w:val="auto"/>
                <w:kern w:val="0"/>
                <w:sz w:val="24"/>
                <w:szCs w:val="24"/>
                <w:u w:val="none"/>
                <w:lang w:val="en-US" w:eastAsia="zh-CN" w:bidi="ar"/>
              </w:rPr>
              <w:t>不同</w:t>
            </w:r>
            <w:r>
              <w:rPr>
                <w:rFonts w:hint="eastAsia" w:ascii="宋体" w:hAnsi="宋体" w:eastAsia="宋体" w:cs="宋体"/>
                <w:i w:val="0"/>
                <w:iCs w:val="0"/>
                <w:color w:val="auto"/>
                <w:kern w:val="0"/>
                <w:sz w:val="24"/>
                <w:szCs w:val="24"/>
                <w:u w:val="none"/>
                <w:lang w:val="en-US" w:eastAsia="zh-CN" w:bidi="ar"/>
              </w:rPr>
              <w:t>位置的温度高低，自动驱动灯具里面</w:t>
            </w:r>
            <w:r>
              <w:rPr>
                <w:rFonts w:hint="eastAsia" w:ascii="宋体" w:hAnsi="宋体" w:cs="宋体"/>
                <w:i w:val="0"/>
                <w:iCs w:val="0"/>
                <w:color w:val="auto"/>
                <w:kern w:val="0"/>
                <w:sz w:val="24"/>
                <w:szCs w:val="24"/>
                <w:u w:val="none"/>
                <w:lang w:val="en-US" w:eastAsia="zh-CN" w:bidi="ar"/>
              </w:rPr>
              <w:t>不同</w:t>
            </w:r>
            <w:r>
              <w:rPr>
                <w:rFonts w:hint="eastAsia" w:ascii="宋体" w:hAnsi="宋体" w:eastAsia="宋体" w:cs="宋体"/>
                <w:i w:val="0"/>
                <w:iCs w:val="0"/>
                <w:color w:val="auto"/>
                <w:kern w:val="0"/>
                <w:sz w:val="24"/>
                <w:szCs w:val="24"/>
                <w:u w:val="none"/>
                <w:lang w:val="en-US" w:eastAsia="zh-CN" w:bidi="ar"/>
              </w:rPr>
              <w:t>部位的冷却风扇，对灯具部件进行有效的冷却。</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DMX专业控制台</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1.具备1024个DMX512 通道数；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2.具备96台电脑灯的配接数量；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3.支持电脑灯重新配接地址码，支持灯具水平垂直交换，支持灯具通道反相输出；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4.支持灯具通道滑步模式切换，支持40主通道+40微调通道控制，支持R20灯库；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5.具备60个可保存的场景，具备10个可同时运行的场景，具备600步场景的总步数；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6.具备淡入、淡出、LTP滑步场景时间控制；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7.支持推杆启动场景并进行调光，支持互锁场景，支持点控场景；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8.具备图形生成器，每个场景可存储5个图形；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9.具备10个可同时运行图形数量；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10.具备全局、重演、灯具主控推杆；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11.支持立即黑场；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12.支持转盘调整通道数值，支持推杆调整通道数值，支持推杆调光；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13.支持FAT32格式U盘读取。</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信号放大器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1.支持DMX512公母接口输入。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2.支持输入输出光电隔离。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3.支持8路独立放大驱动输出。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4.具备信号放大整形功能，延长信号传输距离。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5.具备增强数据总线接入设备数量的能力。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6.具备独立的LED信号指示。</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电源直通箱</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1.具备过载与短路双重保护高分断空气开关。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2.具备12路×4kW功率输出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3.支持A.B.C三相工作指示灯。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4.支持两脚和三脚万能用插座。</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双雾化薄雾烟机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1.具备3200cuft/min烟雾输出量；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2.具备0 Min预热时间；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3.具有2L油桶容积；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4.具备24h/L耗油量；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5.支持DMX512、遥控控制方式；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6.支持DMX控制通道数量为2通道。</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大学生就业培训服务</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自助查询机软件对接</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定制查询机与业务系统对接。</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自助查询机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55寸卧式自助查询一体机，多点触控、人机交互、智能查询、高清显示，触摸查询，展览互动，便捷服务一步到位；集查询、互动、管理、展览等功能于一体，可搭配多种软件；指尖互动，不低于0.01秒灵敏反应。</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广告机软件上传系统</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云终端平台支持手机、电脑、移动终端等多种方式资源上传。</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立式广告机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机采用一体设计，外部无任何可见内部功能模块连接线；整机采用全金属外壳设计，边角采用弧形设计，表面无尖锐边缘或凸起；整机屏幕边缘采用金属圆角包边防护，整机背板采用金属材质，有效屏蔽内部电路器件辐射；防潮耐盐雾蚀锈，适应多种环境；整机屏幕采用不小于55英寸液晶显示器；整机采用UHD超高清LED液晶屏，显示比例16:9，分辨率不低于2160×1920；整机支持蓝牙Bluetooth 4.0及以上标准；Wi-Fi制式支持IEEE 802.11 a/b/g/n。</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绿箱视频编辑系统</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与直播一体机实现视频在线编辑、绿箱抠图虚拟背景等功能。</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直播带岗三端开发</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带岗直播功能接入人才服务小程序、人才服务港，支持在人才服务小程序、人才服务港和人才大市场线下三端同步进行直播。</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直播一体机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桌面型直播一体机，5.6英寸屏幕支持最大90°旋转，竖屏横屏灵活开播；可添加文字题词功能，在屏幕任何位置可移动，滚动播放，文字大小，文字颜色，滚动速度可调节，产品特点功能更清晰；直播一体机自带圆形美颜补光灯，支持7种不同颜色自由切换，光线充足；具有智能背景、镜头特写、绿幕抠图、直播题词，一机集合多种功能，一人一机即可完成直播；支持预存直播设置，开机即可直播；内置不低于2000万超清像素，支持双摄+AF自动聚焦，可在直播时切换任意镜头，方便介绍产品等内容，可同时接入多个摄像头画面；支持视频录制，直播时可将直播画面录制储存到本地硬盘，随时回看直播，轻松复盘；支持绿幕区抠图切换虚拟背景，支持图片幻灯片背景；直播画面可创建第三层画面，前景贴片功能。</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远程面试功能定制开发</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与面试终端一体机共同实现面试接入、终端连接功能。</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远程面试三端开发</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远程面试功能对接人才服务小程序和人才服务港，企业和求职者可以选择通过人才服务小程序、人才服务港和远程面试系统三种渠道进行远程面试。</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面试终端一体机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寸触控屏幕，4K超高清显示，自动优化运动图像，有效解决画面抖动、重影；支持双指唤醒悬浮菜单功能；支持USB3.0、HDMI、Type-C接口；支持蓝牙5.0；外置TF卡槽接口；内置1200W摄像头，8阵列麦克风，2*15W音箱；兼容各种远程视频平台、会议平台。</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1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大学生就业信息化场景服务</w:t>
            </w: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UR实景拍摄</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全貌UR实景拍摄，以长春市7个区俯视图全貌为基础，不同区域UR实景拍摄和拼接，包含无人机费用。</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企业宏观UR实景拍摄，包括各个角度。</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特殊地点UR实景拍摄，例如工厂内部，重要地点等。</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UI设计</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系统介绍及操作流程介绍UI；系统操作指引UI；模型展示功能UI及背景效果；流程操作指引提示UI。</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UI逻辑</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UI逻辑实现描述。</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UI界面</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VR大屏版本UI制作；VR头盔版本3DUI制作。</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双端适配</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制作双版本。VR大屏端和VR头盔，均需适配。</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第一视角游览</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特定场景内，模拟第一视角，1:1还原进行游览。</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快速场景跳转</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利用小地图或便捷菜单界面，实现不同坝体、模块场景下的跳转。</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服务器对接</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包含服务器部署对接，联网相关功能。</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介绍功能</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10个企业和厂区的相关介绍逻辑开发。</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其他交互功能</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包括不限于公司宣传视频，招聘信息查询，厂区实景查询，工资待遇介绍等。</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系统测试</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系统测试，功能测试。</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环境部署</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现场环境部署。</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现场素材采集</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现场进行拍摄、扫描采集素材。</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相关媒体资料制作</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根据模块制作相关媒体或图文资料。</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需求分析</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需求整理，确认，编写脚本，开发方案等。</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项目管理</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项目管理。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VR场景建模</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无人机扫描建模；建筑场景建模；特定环境建模，例如厂区街道、设备、绿植等。</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VR场景搭建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工厂整体场景搭建，楼房、建筑、外立面等；内部场景搭建，工厂内部、宿舍、车间等；环境场景搭建，街道、公共设施、绿植等。</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VR交互动画</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企业内游览交互动画，例如车辆、切换，设备运行、交互等动画；特效动画及其他涉及动画制作的制作。</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w:t>
            </w:r>
            <w:r>
              <w:rPr>
                <w:rFonts w:hint="eastAsia" w:ascii="宋体" w:hAnsi="宋体" w:cs="宋体"/>
                <w:i w:val="0"/>
                <w:iCs w:val="0"/>
                <w:color w:val="auto"/>
                <w:kern w:val="0"/>
                <w:sz w:val="24"/>
                <w:szCs w:val="24"/>
                <w:u w:val="none"/>
                <w:lang w:val="en-US" w:eastAsia="zh-CN" w:bidi="ar"/>
              </w:rPr>
              <w:t>烘焙</w:t>
            </w:r>
            <w:r>
              <w:rPr>
                <w:rFonts w:hint="eastAsia" w:ascii="宋体" w:hAnsi="宋体" w:eastAsia="宋体" w:cs="宋体"/>
                <w:i w:val="0"/>
                <w:iCs w:val="0"/>
                <w:color w:val="auto"/>
                <w:kern w:val="0"/>
                <w:sz w:val="24"/>
                <w:szCs w:val="24"/>
                <w:u w:val="none"/>
                <w:lang w:val="en-US" w:eastAsia="zh-CN" w:bidi="ar"/>
              </w:rPr>
              <w:t>渲染</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灯光，</w:t>
            </w:r>
            <w:r>
              <w:rPr>
                <w:rFonts w:hint="eastAsia" w:ascii="宋体" w:hAnsi="宋体" w:cs="宋体"/>
                <w:i w:val="0"/>
                <w:iCs w:val="0"/>
                <w:color w:val="auto"/>
                <w:kern w:val="0"/>
                <w:sz w:val="24"/>
                <w:szCs w:val="24"/>
                <w:u w:val="none"/>
                <w:lang w:val="en-US" w:eastAsia="zh-CN" w:bidi="ar"/>
              </w:rPr>
              <w:t>烘焙</w:t>
            </w:r>
            <w:r>
              <w:rPr>
                <w:rFonts w:hint="eastAsia" w:ascii="宋体" w:hAnsi="宋体" w:eastAsia="宋体" w:cs="宋体"/>
                <w:i w:val="0"/>
                <w:iCs w:val="0"/>
                <w:color w:val="auto"/>
                <w:kern w:val="0"/>
                <w:sz w:val="24"/>
                <w:szCs w:val="24"/>
                <w:u w:val="none"/>
                <w:lang w:val="en-US" w:eastAsia="zh-CN" w:bidi="ar"/>
              </w:rPr>
              <w:t>，以白天太阳光为主体场景。</w:t>
            </w: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虚拟现实内容管理服务器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1.规格：19英寸工业标准2U机架式、塔式互换服务器；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2.处理器：颗数≥两颗，内核数≥10核，线程数≥20线，核心频率≥2.40 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3.内存：配置2条32GB/DDR4/2933MHz/ECC/REG/2RANK；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4.硬盘：≥10个SATA/SAS/SSD硬盘扩展位，配置 2块 SSD/960GB/SATA 6Gb/2.5寸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5.扩展插槽：提供不少于 6个 PCI-E3.0标准插槽；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6.外部接口：USB2.0接口：2个（后部2个）USB3.0接口：3个 （前部2个，内部1个）VGA接口：1个（后部1个）管理网口：1个（后部1个）；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7.网卡：≥2个千兆网口；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8.配件：配置机器上架导轨套件；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9.电源：配置600W电源模块；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10.安全模块：指纹加密识别模块，开机密码保护，提高服务器运维和管理信息安全，采用生物指纹识别及公、私钥加密等多重安全机制保证数据安全。</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虚拟现实显示设备同步操纵控制器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1.规格：19英寸工业标准2U机架式、塔式互换服务器；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2.处理器：颗数≥两颗，内核数≥10核，线程数≥20线，核心频率≥2.40 GHz</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3.内存：配置2条32GB/DDR4/2933MHz/ECC/REG/2RANK；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4.硬盘：≥10个SATA/SAS/SSD硬盘扩展位，配置 2块 SSD/960GB/SATA 6Gb/2.5寸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5.扩展插槽：提供不少于 6个 PCI-E3.0标准插槽；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6.外部接口：USB2.0接口：2个（后部2个）USB3.0接口：3个 （前部2个，内部1个）VGA接口：1个（后部1个）管理网口：1个（后部1个）；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7.网卡：≥2个千兆网口；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8.配件：配置机器上架导轨套件；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9.电源：配置600W电源模块；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10.安全模块：指纹加密识别模块，开机密码保护，提高服务器运维和管理信息安全，采用生物指纹识别及公、私钥加密等多重安全机制保证数据安全。</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虚拟现实显示设备一体柜</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1.支持屏幕包边尺寸：宽≥6720，高≥2400；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2.机柜尺寸</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≥700x629x2650；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3.支持内嵌显示器框架，方便使用者小屏幕操作使用；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4.采用奥氏体不锈钢拉丝材料，黑色无指纹高档包边，板材面平整光滑，内外结构均匀，强度高；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5.采用钢琴烤漆工艺，三遍底漆+面漆组合，水砂纸和磨布抛光，抗裂，耐磨防刮，耐腐蚀， 防水易清洁，边框保护效果更好；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6.专业机械设计结构，需采用一体化结构设计，经久耐用，可现场快速安装；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7.机柜易于维护，兼容性强，需方便后续拓展升级；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8.独特对流散热布局造型，配合高性能散热器，消除聚热，需具有强大对流散热性能；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9.专业的找平校准机制，确保安装大幅面屏幕的平整性，精确度更高；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10.集成化程度更高，内部布线安全科学，对产品安全及维护提供了强大的保障。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11.满足触屏控制器、场景管理器等设备存储安放，需具有3D眼镜存储功能；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12.具备键盘、鼠标等设备收纳、操作功能。</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VR场景管理器软件</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1.支持输出端口的任意映射功能，可设置任意两个输出口间的像素间隔，间隔可设置正值和负值，实现边缘补偿、叠加带生成和创意显示的要求，间隔设置范围横向和纵向大于2048；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2.可完全自定义各输出接口像素的起始位置和高度，即允许设置每个输出口切割总体画面的任意一块，设置精度达到逐像素；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3.支持输入信号裁切及局部显示，可以通过软件以像素为单位精确设置对图像切边、局部放大等操作；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4.可设置输出信号的有效区域，设置后所有窗口仅能在有效区域内漫游，支持非标准分辨率输出；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5.可设置输入和输出添加标识，可设置输出任意颜色的测试图像，测试色彩可完全自定义；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可设置输入接口任意自定义分辨率，可对时钟频率、输入图像同步的所有参数进行精确设置，设置自定义分辨率及详细参数和在线修改设备EDID无需通过第三方软件调用直接设置，可直接设置与大屏相适应的点对点分辨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7.不必附加任何硬件即可通过软件直接查看当前任意输入的实际输入信号的精确分辨率及接口属性信息，支持故障检测功能，并通过颜色标识当前输入接口是否有实际信号输入；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8.单台设备支持对多组屏同时控制，不同组分辨率可不相同；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9.支持平板电脑端控制，任意窗口的新建、缩放、拖动、漫游等操作，可查看可调用模式；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10.具备2D和3D同时显示的效果功能，可在一块屏幕上提供两个视角进行观看，实现一边播放2D的PPT、文档等材料，另一边播放3D的VR效果内容；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11.工作站场景管理模块软件必须与场景管理器实现无缝对接融合；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12.提供场景管理软件著作权证书复印件。</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虚拟现实桥接软件</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1.提供中国计算机软件著作权登记证书复印件；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2.为了应对复杂的虚拟现实沉浸式环境，软件需采用“1拖N”多通道集群渲染同步技术，支持单台计算机、多台计算机2种方式同步输出多台显示器（多个屏幕）的高分辨率画面；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3.为了体验更多的虚拟现实沉浸式环境内容，软件需支持Unity和Unreal开发的内容适配到VR沉浸式环境；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为了减少多硬件系统之间的适配难度和成本，软件需支持大部分VR沉浸式环境硬件系统，如LED大屏、多通道交互显示系统、洞穴式Cave交互显示系统、立体显示器等。支持不同环境内容的快速移植，无需二次开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需支持对VR沉浸式环境参数的配置，提供对渲染机IP、渲染机屏幕分辨率、渲染机屏幕宽高和位置、追踪系统IP、追踪系统交互设备等参数的配置。提供追踪数据监控和验证功能，可实时显示眼镜和手柄的追踪位置和旋转状态，以及手柄按键状态。提供网络状态监控和验证功能，可实时显示多台渲染机之间以及追踪系统的网络连接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6.为了省去在软件启动后频繁地选择配置文件和项目案例，软件需支持配置文件和案例内容的</w:t>
            </w:r>
            <w:r>
              <w:rPr>
                <w:rFonts w:hint="eastAsia" w:ascii="宋体" w:hAnsi="宋体" w:cs="宋体"/>
                <w:i w:val="0"/>
                <w:iCs w:val="0"/>
                <w:color w:val="auto"/>
                <w:kern w:val="0"/>
                <w:sz w:val="24"/>
                <w:szCs w:val="24"/>
                <w:u w:val="none"/>
                <w:lang w:val="en-US" w:eastAsia="zh-CN" w:bidi="ar"/>
              </w:rPr>
              <w:t>历史记录</w:t>
            </w:r>
            <w:r>
              <w:rPr>
                <w:rFonts w:hint="eastAsia" w:ascii="宋体" w:hAnsi="宋体" w:eastAsia="宋体" w:cs="宋体"/>
                <w:i w:val="0"/>
                <w:iCs w:val="0"/>
                <w:color w:val="auto"/>
                <w:kern w:val="0"/>
                <w:sz w:val="24"/>
                <w:szCs w:val="24"/>
                <w:u w:val="none"/>
                <w:lang w:val="en-US" w:eastAsia="zh-CN" w:bidi="ar"/>
              </w:rPr>
              <w:t>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7.为了方便多通道环境部署，避免用户在渲染机上繁琐地拷贝配置文件和项目案例，软件需支持主控端一键分发配置文件和案例内容，并体现分发进度；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8.为了方便入门学习，软件需有开发示例Demo，Demo需包含场景跳转、VR手柄摇杆进行场景漫游、UI交互、物体抓取、双手旋转物体、双手缩放物体、VR手柄按键进行人物瞬移等功能；</w:t>
            </w:r>
            <w:r>
              <w:rPr>
                <w:rFonts w:hint="eastAsia" w:ascii="宋体" w:hAnsi="宋体" w:eastAsia="宋体" w:cs="宋体"/>
                <w:i w:val="0"/>
                <w:iCs w:val="0"/>
                <w:color w:val="auto"/>
                <w:kern w:val="0"/>
                <w:sz w:val="24"/>
                <w:szCs w:val="24"/>
                <w:u w:val="none"/>
                <w:lang w:val="en-US" w:eastAsia="zh-CN" w:bidi="ar"/>
              </w:rPr>
              <w:br w:type="textWrapping"/>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VR内容管理平台</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1.提供中国计算机软件著作权登记证书复印件；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2.平台需支持web端、移动端、PC端、VR端访问；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3.平台客户端需具备在线更新功能，方便我方即时体验最新版本功能；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4.平台客户端支持在PC和VR两种模式间自由切换，简化操作流程；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5.平台客户端需支持在线内容添加和删除，方便对内容进行统一管理；平台客户端支持在不去除头盔或手柄硬件设备的情况下进行内容案例的切换；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6.平台客户端需具备应急处理功能：在网络中断的情况下，恢复网络后支持断点续传；</w:t>
            </w:r>
            <w:r>
              <w:rPr>
                <w:rFonts w:hint="eastAsia" w:ascii="宋体" w:hAnsi="宋体" w:eastAsia="宋体" w:cs="宋体"/>
                <w:i w:val="0"/>
                <w:iCs w:val="0"/>
                <w:color w:val="auto"/>
                <w:kern w:val="0"/>
                <w:sz w:val="24"/>
                <w:szCs w:val="24"/>
                <w:u w:val="none"/>
                <w:lang w:val="en-US" w:eastAsia="zh-CN" w:bidi="ar"/>
              </w:rPr>
              <w:br w:type="textWrapping"/>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虚拟现实头戴显示设备</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1.外观尺寸：≤300mm*113mm*190mm；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2.净重：≤340g；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3.RAM：≥8GB，ROM：≥512GB；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4.屏幕：单屏≥2.89寸，Fast LCD液晶双显示屏；双眼分辨率≥4320*2160；刷新率：72/90Hz；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5.瞳距：需支持58-72mm范围内IPD瞳距连续调节；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6.电池容量：≥5500mAh；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7.需支持PC有线串流和无线串流。</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工作站</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1.CPU:  内核数≥12核，线程数≥20线，核心频率≥3.60 GHz；</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2.内存：16GB DDR4 2933 DIMM；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3.硬盘：1TB+256GB SSD；</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1.屏幕尺寸：21.5英寸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2.屏幕比例：16:9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3.分辨率：1920*1080 。</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推流软件</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1.正版软件；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2.软件需支持VR内容推流至移动端，在网络条件满足的情况下，与PC端VR体验相同；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3.支持调整串流清晰度，清晰度包含高清、标清、流畅3个选项；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4.支持在软件主界面显示硬件配置、Steam软件、SteamVR安装的状态信息；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5.支持在头盔端自动检索出所有已安装服务端设备的主机名称，用户通过手柄可以选择其中一个连接或者断开连接；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6.支持软件环境自检，若电脑端未安装Steam或SteamVR，软件会以红色字提示未检测到。若安装，则显示“已安装”；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7.支持硬件环境自检，若电脑显卡为GTX 1060或以下型号，软件会提示配置偏低，无法满足串流条件。若硬件配置符合要求，则显示“性能强劲，可满足串流要求”；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8.支持设置音频播放渠道：仅PC、仅一体机、PC和一体机。若选择仅一体机，软件需支持禁用PC音频并弹出系统音频对话框；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9.支持在头盔内切换串流模式，串流模式包含有线串流、无线串流；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10.支持在局域网内独立连接和断开。</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节点</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交换机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1.传输速率：10Mbps/100Mbps/1000Mbps；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2.端口数量：8口；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3.网络标准：IEEE 802.3 、IEEE 802.3u、IEEE 802.3ab、IEEE 802.3x；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4.传输模式：参数纠错全双工/半双工自适应。</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大学生创业信息化场景服务</w:t>
            </w: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创业综合实训平台</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创业综合实训平台旨在提供系统化的创业教育实践教学解决方案，以实训为抓手，以信息化为手段，唤醒创业意识，激发创业热情，培育创业素质，提高青年学生的就业能力和科学创业能力。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学生通过软件学习创业心理学、创业讲堂、创业准备等创业知识，撰写创业计划书，进入公司注册，投入到创业实战中。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功能模块及具体要求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1.创业基础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平台能为大学生提供创业基础资料，包括创业起步、创业故事、创业资金、创业筹备等栏目，具体包括创业项目、商业模式、公司选址、创业知识、创业书籍、创业成功故事、创业感悟、80后创业、创业经验、大学生创业、创业视频、创业融资、创业投资、风险投资、创业贷款、营销策划、战略发展、加盟指南、店铺经营、连锁知识、骗术识别、企业点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创业起步：创业项目、商业模式、公司选址、创业知识、创业书籍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创业故事：创业成功故事、创业感悟、80后创业、创业经验、大学生创业、创业视频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创业资金：创业融资、创业投资、风险投资、创业贷款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创业筹备：营销策划、战略发展、加盟指南、店铺经营、连锁知识、骗术识别、企业点评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2.创业测评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创业测评包括创业九型人格测试、创业角色测试、创业性格评测、创业智商测试等，对大学生的综合素质进行综合评测。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3.创业计划书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创业计划书的内容主要包括：摘要、公司简介、市场分析、竞争分析、产品服务、市场营销、财务计划、风险分析、内部管理等方面。所有参训学生针对同一个商业环境制订创业计划，并在</w:t>
            </w:r>
            <w:r>
              <w:rPr>
                <w:rFonts w:hint="eastAsia" w:ascii="宋体" w:hAnsi="宋体" w:cs="宋体"/>
                <w:i w:val="0"/>
                <w:iCs w:val="0"/>
                <w:color w:val="auto"/>
                <w:kern w:val="0"/>
                <w:sz w:val="24"/>
                <w:szCs w:val="24"/>
                <w:u w:val="none"/>
                <w:lang w:val="en-US" w:eastAsia="zh-CN" w:bidi="ar"/>
              </w:rPr>
              <w:t>后面的</w:t>
            </w:r>
            <w:r>
              <w:rPr>
                <w:rFonts w:hint="eastAsia" w:ascii="宋体" w:hAnsi="宋体" w:eastAsia="宋体" w:cs="宋体"/>
                <w:i w:val="0"/>
                <w:iCs w:val="0"/>
                <w:color w:val="auto"/>
                <w:kern w:val="0"/>
                <w:sz w:val="24"/>
                <w:szCs w:val="24"/>
                <w:u w:val="none"/>
                <w:lang w:val="en-US" w:eastAsia="zh-CN" w:bidi="ar"/>
              </w:rPr>
              <w:t>运营管理中，系统自动生成实际对比报表，学生可根据实际完成的情况进行对比总结，以检验 创业计划书撰写的可行性与合理性。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4.公司注册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完成了创业计划书后，参加训练的学生需要独立完成公司注册审批流程的所有工作。本部分包括国家相关部门实际注册公司的要求与流程，包括工商、税务、银行、会计师事务所、质量技术监督局、</w:t>
            </w:r>
            <w:r>
              <w:rPr>
                <w:rFonts w:hint="eastAsia" w:ascii="宋体" w:hAnsi="宋体" w:cs="宋体"/>
                <w:i w:val="0"/>
                <w:iCs w:val="0"/>
                <w:color w:val="auto"/>
                <w:kern w:val="0"/>
                <w:sz w:val="24"/>
                <w:szCs w:val="24"/>
                <w:u w:val="none"/>
                <w:lang w:val="en-US" w:eastAsia="zh-CN" w:bidi="ar"/>
              </w:rPr>
              <w:t>人力资源和社会保障局</w:t>
            </w:r>
            <w:r>
              <w:rPr>
                <w:rFonts w:hint="eastAsia" w:ascii="宋体" w:hAnsi="宋体" w:eastAsia="宋体" w:cs="宋体"/>
                <w:i w:val="0"/>
                <w:iCs w:val="0"/>
                <w:color w:val="auto"/>
                <w:kern w:val="0"/>
                <w:sz w:val="24"/>
                <w:szCs w:val="24"/>
                <w:u w:val="none"/>
                <w:lang w:val="en-US" w:eastAsia="zh-CN" w:bidi="ar"/>
              </w:rPr>
              <w:t>等机构部门，并按照流程完成相关环节的模拟操作。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5.创业实战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创业实战环节要通过对一家新创业企业的运营管理，来完整体验企业的初创、成长、发展、成熟、衰退等阶段，即企业发展的整个生命周期。并通过与其他学生组成公司的竞争与合作，完成企业运营管理的各项决策，努力提升企业绩效，并最终实现创业计划书的规划与经营目标。</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创业管理全景体验系统</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司注册管理全景体验系统主要采用虚拟现实技术，让体验者作为公司负责人来往于工商行政审批中心、银行、企业办公室进行名称核准、注册资料递交、领取营业执照、刻章、银行开户、签订委托银行代扣缴税费基金协议、社保开户等一系列创建公司的流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功能模块及具体要求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体验场景：工商行政审批中心（包括：工商窗口、国地税窗口、刻章区、社保窗口）、银行、企业办公室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体验流程：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1.电话咨询：打电话向行政审批中心咨询公司注册的流程和所需资料；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2.公司名称核准：网上下载《公司名称预先核准申请书》，前往行政审批中心工商窗口与工作人员进行沟通并递交资料，进行公司名称核准流程；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3.收到核准书：时间跳转到3天后，收到名称核准通知书；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4.递交注册公司资料：前往行政审批中心工商窗口与工作人员进行沟通并递交公司注册相关资料；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5.领取营业执照并刻章：时间跳转到6天后，前往行政审批中心工商窗口与工作人员进行沟通并领取营业执照，同时前往刻章区刻章；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6.银行开户：前往银行，与工作人员进行沟通并递交开户资料，开户成功后领取银行开户许可证和信用代码证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7.签订委托银行代扣缴税费基金协议：前往行政审批中心国地税窗口领取《委托银行代扣缴税费基金协议书》，前往银行填写协议书并加盖公章，再次前往行政审批中心国地税窗口递交协议书；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8.社保开户：前往行政审批中心社保窗口与工作人员进行沟通并填写《社会保险登记证》。</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虚拟现实头戴显示设备</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1.外观尺寸：≤300mm*113mm*190mm；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2.净重：≤340g；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3.RAM：≥8GB，ROM：≥512GB；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4.屏幕：单屏≥2.89寸，Fast LCD液晶双显示屏；双眼分辨率≥4320*2160；刷新率：72/90Hz；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5.瞳距：需支持58-72mm范围内IPD瞳距连续调节；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6.电池容量：≥5500mAh；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7.需支持PC有线串流和无线串流。</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工作站</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1.CPU:  内核数≥12核，线程数≥20线，核心频率≥3.60 GHz；</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2.内存：16GB DDR4 2933 DIMM；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3.硬盘：1TB+256GB SSD；</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1.屏幕尺寸：21.5英寸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2.屏幕比例：16:9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3.分辨率：1920*1080 。</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推流软件</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1.正版软件；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2.软件需支持VR内容推流至移动端，在网络条件满足的情况下，与PC端VR体验相同；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3.支持调整串流清晰度，清晰度包含高清、标清、流畅3个选项；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4.支持在软件主界面显示硬件配置、Steam软件、SteamVR安装的状态信息；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5.支持在头盔端自动检索出所有已安装服务端设备的主机名称，用户通过手柄可以选择其中一个连接或者断开连接；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6.支持软件环境自检，若电脑端未安装Steam或SteamVR，软件会以红色字提示未检测到。若安装，则显示“已安装”；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7.支持硬件环境自检，若电脑显卡为GTX 1060或以下型号，软件会提示配置偏低，无法满足串流条件。若硬件配置符合要求，则显示“性能强劲，可满足串流要求”；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8.支持设置音频播放渠道：仅PC、仅一体机、PC和一体机。若选择仅一体机，软件需支持禁用PC音频并弹出系统音频对话框；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9.支持在头盔内切换串流模式，串流模式包含有线串流、无线串流；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10.支持在局域网内独立连接和断开。</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节点</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86寸交互式触控一体机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防眩光、防划伤：多媒体交互一体机具备防眩光和防划伤钢化玻璃（透过率≥93%，光泽度（AG）面80±15，雾度5%-14%，表面硬度≥7H），符合防眩光和防划伤钢化玻璃的相关要求；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2.视频动态无残影：通过智能消除残影的方法，视频动态无残影现象；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3.产品音箱：前置音箱，喇叭规格为15W。产品采用前置式悬浮音响设计，其声音达到100时，在150平方米范围中，通过任意倾听，声音效果均清晰响亮；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4.防护等级：依据GB4208-2008标准的要求对产品进行测试，产品满足IP65等级防固体异物、粉尘和防水要求；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5.降噪设计：一体机整体在常规使用下，噪音等级≤18.5dB(A)；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6.具有提高画面质量显示技术，有效提高色彩显示效果，提高显示逼真度；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7.触摸一体机可根据外界环境光和输入信号变化调整背光灯管亮度，实现优良画质和节电功能，达到在不同光照环境下的最佳显示效果，可减轻视觉疲劳，有效保护视力；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8.触摸一体机具备高清电视处理技术；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9.设备厂家具备红外触摸装置及显示设备的技术能力，具有过热保护电路及电源系统技术；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配套86寸移动支架。</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视频矩阵</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1.支持≥4个HDMI输入接口，≥4个HDMI输出接口。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2.支持HDMI 1.4标准，支持HDCP1.4标准。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3.最大输入输出分辨率可达3840x2160@30Hz。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4.控制接口：≥1×网口、≥1×RS 232.≥1×IR IN、≥1×USB UPDATE。</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交换机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1.传输速率：10Mbps/100Mbps/1000Mbps；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2.端口数量：8口；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3.网络标准：IEEE 802.3 、IEEE 802.3u、IEEE 802.3ab、IEEE 802.3x；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4.传输模式：参数纠错全双工/半双工自适应。</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定制工作站、显示器、切换器、交换机、机柜</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专业音箱</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1.阻抗：8Ω；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2.频响：等同或优于50Hz~20KHz；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3.额定功率≥350W；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4.灵敏度≥99dB/W/M；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5.水平覆盖角≥80°，垂直覆盖角≥60°；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6.高音：1.7"压缩高音单元×1；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7.低音：12"低音×1。</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专业功放</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1.1U机箱设计，采用D类数字功放设计方案。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2.标准XLR输入接口，和LINK输出口。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3.电源采用开关电源技术，效率高，有效的抑制电源谐波。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4.内置智能削峰限幅器，支持开机软启动，防止开机时向电网吸收大电流，干扰其它用电设备。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6.输出功率：立体声@8Ω：≥500W×2；立体声@4Ω：≥850W×2；桥接@8Ω：≥1700W。</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无线话筒</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1.频率指标：等同或优于530-580MHz，640-690MHz，调制方式：宽带FM，频道数目：≥200个频道。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2.配套有≥1台接收主机和≥2个无线手持话筒。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3.采用UHF超高频段双真分集接收，并采用PLL锁相环多信道频率合成技术。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4.接收机指标：采用自动选讯接收方式，灵敏度:≥12dB μV</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80dBS/N)，频率响应:等同或优于50Hz-16.5kHz。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5.发射机指标：音头采用动圈式麦克风；手持麦克风内置螺旋天线。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6.输出功率:≥30mW。</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数字调音台</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1.具有≥8路数字增益话放通道、≥2路高阻单声通道、≥2组立体声输入通道，话筒输入接口带48V幻象电源。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2.具有≥1组立体主输出通道、≥4路AUX辅助输出通道、≥1路TRS监听输出通道。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3.具有≥8路DCA编组、≥8路静音编组，输入输出、效果器通道均可编入。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4.具有≥2路USB播放通道，支持USB录音、播放功能，支持APE\MP3\FLAC\WAV无损音频格式。内置≥4G的媒体空间，可导入音乐文件或导出录音文件。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5.具有≥1个7英寸高清触摸屏，支持≥1024×600分辨率。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6.具有≥4个内置效果器，设备自带有经典混响、大房间混响等效果。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7.内置自适应陷波反馈抑制算法。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8.具有≥30组场景预设，可导入USB存储，便于备份调用。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9.具有Link连接功能，可进行相邻通道绑定设置。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10.具有≥1路网络接口，支持主流操作系统进行远程控制。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11.具有防误触碰、误操作面板锁。</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音频处理器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3.输出通道支持≥12段参量均衡，≥31段图示均衡、延时器、分频器、高低通滤波器、限幅器。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4.高性能专业DSP处理器，支持≥32bit/48kHz的声音，支持输入通道48V幻象供电。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5.具有2英寸IPS真彩显示屏，支持显示设备网络信息、实时电平、通道静音状态。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8.支持断电自动保护记忆功能。支持通道拷贝、粘贴、联控功能。管理控制软件可工作在XP/Windows7、8、10等系统环境下。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9.≥8个场景预设，支持场景信息导入、场景信息导出。</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网络中控主机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1.采用SMT全贴片式生产工艺，高度集成处理芯片，系统运行稳定、流畅。内置32位Cortex-A8 ARM架构内嵌式处理器，处理速度高达720MHz。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2.支持红外控制、RS-232、RS-422、RS-485、UDP、TCP、telnet、http、MQTT以及SNMP等多种协议，兼容性强，可对接第三方设备。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3.主机具备不少于4.3英寸触摸彩屏、≥8路独立可编程串口、≥8路独立可编程IR红外发射口、≥8路数字I/0控制口、≥8路弱电继电器控制接口、≥1个NET网络控制接口、≥1路TF卡接口。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5.支持信号预览。用户可通过控制端查看会议摄像机画面并根据会议画面对设备进行调整，同时可查看多路画面。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6.支持双机热备份。当中控主机出现故障时，备用中控主机自动承担服务，从而保证系统在不需要人工干预的情况下能正常运行。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7.支持触发联动。中控主机可根据传感器采集数据和预设数据进行比对，从而自动控制空调或加湿器等设备，使环境维持在舒适的温湿度范围内。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8.支持互联网控制。中控主机在连接互联网的情况下，用户可操作手机或平板等移动端通过互联网实现对中控主机远程控制。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9.支持语音控制。中控主机可搭配语音控制软件或支持对接主机的第三方语音音箱，通过将语音转换成中控指令，实现对周边设备控制或场景调用。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11.支持定时控制。用户可预先设置定时控制任务，到达指定时间后，中控主机自动执行控制任务。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12.支持视频矩阵可视化控制。用户可通过控制端实时预览、拖动并切换矩阵视频信号，支持设置触碰和投放触发切换方式。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14.支持电脑远程控制。当中控主机和电脑在同一局域网情况下，用户可通过控制端APP实时对电脑远程桌面控制并查看电脑工作状态。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15.对接云会务系统。用户通过手机APP或WEB端预约会议室时，可设置情景类型以及开始/结束时间。会议开始前，系统会自动调用场景，场景内所有设备联动启动或切换；会议结束后设备自动关闭。</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网络中控系统逻辑处理内嵌软件</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1.软件内嵌于中央控制系统主机设备，实现系统控制逻辑、处理等功能。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2.主要包括硬件逻辑模块、软件逻辑模块、红外代码管理、编译、下载、监视等。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3.编程软件支持添加与实际工程对应硬件的逻辑模块。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4.实现串口代码数据、IR红外数据、继电器、I/O数据等的代码转发、逻辑算法处理等编程功能。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5.支持界面设计软件实现中控控制界面的制作及编辑，支持互锁模式，支持3D按键等灵活的按键设计模块。</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控制器</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1.具有≥8路自动、手动电源控制器，内置8个20A继电器，最大负载能力4400W/单路；配合中控主机使用，用于控制灯光、电动投影幕、电动窗帘等会议室周边设备。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2.每路继电器都有三连接点的接线柱</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具有常开与常闭的功能。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3.具有复位按键，支持恢复到出厂的默认设置。具有1路网络接口，支持通过网络实现远程控制。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4.具有设备运行状态指示灯及8个继电器的开关状态指示灯。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5.具有键盘锁（LOCK）功能。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6.机器具备ID识别，通过中控主机网络控制多台时，可通过ID识别。</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安卓平板电脑</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.cpu：</w:t>
            </w:r>
            <w:r>
              <w:rPr>
                <w:rFonts w:hint="eastAsia" w:ascii="宋体" w:hAnsi="宋体" w:cs="宋体"/>
                <w:i w:val="0"/>
                <w:iCs w:val="0"/>
                <w:color w:val="auto"/>
                <w:kern w:val="0"/>
                <w:sz w:val="24"/>
                <w:szCs w:val="24"/>
                <w:u w:val="none"/>
                <w:lang w:val="en-US" w:eastAsia="zh-CN" w:bidi="ar"/>
              </w:rPr>
              <w:t>≥4个2.0Ghz +4个1.7Ghz</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.运行内存：4G；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.存储容量：64G；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.屏幕尺寸：10英寸；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.分辨率：1920x1200；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.无线：支持wifi 5g信号、千兆网；</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无线路由器</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增强版双千兆路由器 1200M高速双频wifi 无线穿墙 路由 5G双频智能无线路由</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98寸交互式触控一体机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防眩光、防划伤：多媒体交互一体机具备防眩光和防划伤钢化玻璃（透过率≥93%，光泽度（AG）面80±15，雾度5%-14%，表面硬度≥7H），符合防眩光和防划伤钢化玻璃的相关要求；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2.视频动态无残影：通过智能消除残影的方法，视频动态无残影现象；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3.产品音箱：前置音箱，喇叭规格为15W。产品采用前置式悬浮音响设计，其声音达到100时，在150平方米范围中，通过任意倾听，声音效果均清晰响亮；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4.防护等级：依据GB4208-2008标准的要求对产品进行测试，产品满足IP65等级防固体异物、粉尘和防水要求；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5.降噪设计：一体机整体在常规使用下，噪音等级≤18.5dB(A)；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6.具有提高画面质量显示技术，有效提高色彩显示效果，提高显示逼真度；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7.触摸一体机可根据外界环境光和输入信号变化调整背光灯管亮度，实现优良画质和节电功能，达到在不同光照环境下的最佳显示效果，可减轻视觉疲劳，有效保护视力；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8.触摸一体机具备高清电视处理技术；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9.设备厂家具备红外触摸装置及显示设备的技术能力，具有过热保护电路及电源系统技术；</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激光投影机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采用ALPD纯激光光源</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光源不含Hg（不接受混合光源），光源激光安全等级满足CLASS1级。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DLP投影技术，单机物理分辨率1920×1080。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画面投射比≤0.25：投影80吋16:9标准画面距离：镜头到画面距离≤42CM，避免了光线刺眼、阴影干扰等问题。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调焦方式：支持电动聚焦功能，调焦精度高，轻松实现清晰画面，同时避免调整聚焦时碰触机身，使机身位移。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对比度≥500000:1，使画面过渡更真实，投射出更加通透和锐利的画面。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色域：符合REC.709标准，色彩显示更真实。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亮度≥5300流明。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整机能效比≥12流明/瓦，整机能效等级达到1级；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整机外壳防护等级通过IP5X等级防尘试验，光源系统通过IP6X等级试验，有效避免灰尘进入光学系统，减少后期维护。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梯形矫正：支持自动梯形校正，垂直梯形校正±30°。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支持3D功能：多种3D模式，支持DLP link3D，支持3D课堂。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散热系统：采用铜管液冷散热技术。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正常模式非节能模式下光源寿命≥25000小时：在整个寿命期内色彩饱和度和亮度衰减幅度很小，使用成本低。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14、全密闭光源设计：采用光源光机一体化设计和光源密封设计，保证安全使用激光的同时防止灰尘入侵，从而延长投影机使用寿命。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照度均匀性≥85%。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 功耗：功耗≤340W，待机功耗＜0.5W。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 超低噪音：噪音≤32dB，即使在安静的环境下亦不会受噪音困扰。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 控制方式：支持无线遥控器，网络RJ45和RS-232控制。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接口丰富：输入：HDMI*2; RGB*2; Video(RCA)*1; S-Video*1; Audio in(L/R)--RCA*1; Audio in（mini jack,3.5mm）*1; MIC*1输出：RBG*1（与RGB in 2共用）；Audio*1（3.5mini jack）；控制：USB-B*1；RS232*1；RJ45*1。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 平均无故障时间大于等于100000小时。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 镜头居中设计：重心居中，长时间吊装不会位移。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 支持智能（ECO）模式：智能省电开启，系统若持续 5 分钟无输入，且无任何操作，则自动转入节能模式，此时电流为正常模式的 80% 左右，以达到节能目的；若持续 10分钟无输入，则由节能模式转入光源关闭模式；若持续 15 分钟无输入，系统将转入待机状态。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 支持开机PIN鉴别码功能：方便鉴别机器真伪。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 多种功能：支持自动黑屏，一键静音，自动信号搜索，DICOM模式，高海拔模式，面板按键锁定，无信号自动休眠。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厂家资质要求：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1、激光投影机生产厂商通过IECQ QC 080000有害物质过程管理体系认证，提供有效期内认证证书复印件。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2、激光投影机制造厂商通过质量管理体系认证、环境管理体系认证、职业健康管理体系认证，提供有效的认证证书复印件。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3、激光投影机通过中国环境标志产品认证（十环认证），提供有效期内认证证书复印件。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4、激光投影机生产厂商通过售后服务评价体系认证，达到五星级标准提供认证证书复印件。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5、激光投影机生产厂商为国家高新技术企业，提供证书复印件。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6、激光投影机生产企业具有产品相关的发明专利，提供专利证书复印件。提供10项得1分，提供20项及以上得2分，提供10项以下或不提供不得分。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7、激光投影机通过显示设备显示性能和视觉健康认证，提供有效的认证证书复印件。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8、激光投影机为国内生产的原厂品牌，非OEM产品。</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抗光幕</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1.100英寸臻彩电动抗光幕；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2.比例：0.672916667；</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3.增益：1.1；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4.幕布材质 PET；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5.投影面积：2230mm*1250mm。</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互联矩阵互动软件</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定制触摸屏幕与大屏幕互动</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大屏幕显示屏</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1.90英寸120Hz高刷4K液晶屏幕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2.屏幕尺寸：90英寸，分辨率：3840*2160；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3.能效等级：三级；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4.内置音箱。</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互动屏</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22寸LED液晶屏幕，多点触控、智能手势、高清显示、查询软件、无线WIFI</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1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大学生创业孵化服务</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广告机软件上传系统</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云终端平台支持手机、电脑、移动终端等多种方式资源上传。</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立式广告机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机采用一体设计，外部无任何可见内部功能模块连接线；整机采用全金属外壳设计，边角采用弧形设计，表面无尖锐边缘或凸起；整机屏幕边缘采用金属圆角包边防护，整机背板采用金属材质，有效屏蔽内部电路器件辐射；防潮耐盐雾蚀锈，适应多种环境；整机屏幕采用不小于55英寸液晶显示器；整机采用UHD超高清LED液晶屏，显示比例16:9，分辨率不低于2160×1920；整机支持蓝牙Bluetooth 4.0及以上标准；Wi-Fi制式支持IEEE 802.11 a/b/g/n。</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对讲机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1.信道通量：16；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2.功率输出：1W（低功）4W（高功）；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3.频率：403-480MHz；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4.电源：7.5V；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5.标配电池：1750mAh。</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红外球型网络摄像机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全景相机：焦距为4.0mm±5%；特写相机：电动变焦镜头，短焦：4.8mm±5% 长焦：120.0mm±5%。全景支持手动±5°可调。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全景相机：红外补光灯开启时，可识别距设备30m处的人体轮廓；特写相机：红外补光灯开启时，可识别距设备150m处的人体轮廓。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全景相机至少支持2688x 1520、30帧／秒，特写相机至少支持2688x 1520、30帧／秒。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全景相机：彩色最低照度≤0.0005 lx；特写相机：彩色最低照度：≤0.001 lx。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网络摄像机内置至少2个GPU芯片、至少8GB eMMC芯片，至少具有1个RJ45接口、1个音频输入接口、l个音频输出接口、1个报警输入接口、l个报警输出接口、1个RS485接口、1个TF卡槽， 支持POE供电。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对出现在监控场景内的两眼瞳距不小于20像素的人脸进行检测；全景相机：可同时对出现在图片中的至少200个人脸目标进行检测；特写相机：可同时对出现在图片中的至少8个人脸目标进行检测；全景相机：可同时捕获人脸和人体，并对人脸和人体进行关联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支持越界入侵检测，支持越界入侵检测，可通过浏览器对检测线段进行设置， 并可对穿行过检测线段的机动车、非机动车、行人等目标进行分类抓拍，并支持报警上传及联动报警输出。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设备应支持人流量统计、人员密度检测功能，。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设备可对设定区域的机动车、二轮车、三轮车、行人进行分类跟踪，可设定持续跟踪时间，可自动变倍。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设备支持全景相机和特写相机联动跟踪功能，在跟踪模式下，被跟踪目标始终显示在特写相机画面中央；可对设定区域的机动车、二轮车、三轮车、行人进行分类跟踪，可设定持续跟踪时间，可自动变倍。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设备支持全景相机和特写相机自动或手动标定方式，能进行全景相机画面与特写相机画面中所有坐标数据的关联。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可通过一个IP地址同时显示全景相机和特写相机的实况画面。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红外灯开启时，设备可根据被摄物的距离自动调节红外光功率密度。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在设定的侦测区域内</w:t>
            </w:r>
            <w:r>
              <w:rPr>
                <w:rFonts w:hint="eastAsia" w:ascii="宋体" w:hAnsi="宋体" w:cs="宋体"/>
                <w:i w:val="0"/>
                <w:iCs w:val="0"/>
                <w:color w:val="auto"/>
                <w:kern w:val="0"/>
                <w:sz w:val="24"/>
                <w:szCs w:val="24"/>
                <w:u w:val="none"/>
                <w:lang w:val="en-US" w:eastAsia="zh-CN" w:bidi="ar"/>
              </w:rPr>
              <w:t>有</w:t>
            </w:r>
            <w:r>
              <w:rPr>
                <w:rFonts w:hint="eastAsia" w:ascii="宋体" w:hAnsi="宋体" w:eastAsia="宋体" w:cs="宋体"/>
                <w:i w:val="0"/>
                <w:iCs w:val="0"/>
                <w:color w:val="auto"/>
                <w:kern w:val="0"/>
                <w:sz w:val="24"/>
                <w:szCs w:val="24"/>
                <w:u w:val="none"/>
                <w:lang w:val="en-US" w:eastAsia="zh-CN" w:bidi="ar"/>
              </w:rPr>
              <w:t>目标移动时，可在客户端给出报警提示，可同时支持至少18*22个区域移动侦测。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设备可通过内置扬声器播放语音，支持智能行为分析</w:t>
            </w:r>
            <w:r>
              <w:rPr>
                <w:rFonts w:hint="eastAsia" w:ascii="宋体" w:hAnsi="宋体" w:cs="宋体"/>
                <w:i w:val="0"/>
                <w:iCs w:val="0"/>
                <w:color w:val="auto"/>
                <w:kern w:val="0"/>
                <w:sz w:val="24"/>
                <w:szCs w:val="24"/>
                <w:u w:val="none"/>
                <w:lang w:val="en-US" w:eastAsia="zh-CN" w:bidi="ar"/>
              </w:rPr>
              <w:t>触发</w:t>
            </w:r>
            <w:r>
              <w:rPr>
                <w:rFonts w:hint="eastAsia" w:ascii="宋体" w:hAnsi="宋体" w:eastAsia="宋体" w:cs="宋体"/>
                <w:i w:val="0"/>
                <w:iCs w:val="0"/>
                <w:color w:val="auto"/>
                <w:kern w:val="0"/>
                <w:sz w:val="24"/>
                <w:szCs w:val="24"/>
                <w:u w:val="none"/>
                <w:lang w:val="en-US" w:eastAsia="zh-CN" w:bidi="ar"/>
              </w:rPr>
              <w:t>后联动声音报警和白光灯闪烁报警，可对声音报警次数。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 设备应内置多条警戒音频文件可选，并支持警戒音频文件上传。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 具有双向语音对讲和单向语音广播功能，。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 具有至少8行字符显示，字体可设置为32×32像素、48×48像素、64×64像素、72×72像素、96×96像素、128×128像素等模式，字体颜色、描边、背景、空心等样式可设置；可以叠加图片格式的OSD ，可以通过RS485接口叠加OSD，。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在浏览器下，设备在视频遮挡、存储器满、网络断开、IP冲突时，可给出报警提示，。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 电源电压工作范围DC12V±35%范围，工作温度范围-40~70℃，至少支持IP67的要求。</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智能枪型网络摄像机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1、网络摄像机至少内置1个GPU芯片</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1个拾音器</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1个扬声器，1个RJ45接口、1个音频输入接口、1个音频输出接口、1个SD卡槽、1个报警输入接口、1个报警输出接口，支持POE供电，。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2、设备可对距离设备至少15m处的声音进行采集，并可通过客户端软件进行播放。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3、电源电压在DC12V±35%范围内变化时，设备应能正常工作。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4、最低照度：彩色≤0.0005lux，黑色≤0.0001 lux。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5、内置红外和暖光补光灯，红外补光距离至少80米，暖光补光距离至少30米。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6、设备至少支持2688×1520, 30帧/s。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7、具有宽动态自动切换设置选项，在环境亮度变化时，可自动进行关闭/开启切换。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8、具有双向语音对讲和单向语音广播功能，。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9、可对监控区域内出现的单辆自行车、电瓶车、三轮车、机动车及行人进行抓拍。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10、可对经过设定区域的行人进行人脸检测和人脸跟踪，当检测到人脸后，可抓拍人脸图片，抓拍图片数量可设，可设置抓拍人脸小图。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11、支持人脸优选，具有效果优先或速度优先设置选项。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设备可添加并绑定设备所在网段网关的MAC地址，当其它终端设备访问设备时，若使用正确的网关MAC地址即设备绑定的MAC地址则可以正常访问设备，当使用错误的网关MAC地址即不是设备绑定的MAC地址则不能访问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13、至少支持IP67。</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接入交换机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端口：至少具有26个千兆电（RJ45）和2个千兆Combo；其中至少24个千兆电口支持POE供电；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交换容量：≥56Gbps；包转发率：≥41.7Mpps；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支持标准：IEEE802.3、IEEE802.3u、IEEE802.3z、IEEE802.3ab、IEEE802.3x、IEEE802.3af、IEEE802.3at、IEEE802.3az；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POE供电模式支持IEEE802.3AF、IEEE802.3AT标准；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整机最大供电功率：≥370W；端口最大供电功率：≥30W。</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汇聚交换机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1、交换容量≥598Gbps、包转发率≥222Mpps；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2、接口要求：至少具有24个10/100/1000光口（其中至少4个千兆Combo口），4个万兆光接口；配置冗余电源、冗余风扇；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3、支持L2～L4包过滤功能，提供基于源MAC地址、目的MAC地址、源IP地址、目的IP地址、端口、协议、IP ToS、802.1P优先级、VLAN ID、SVLAN ID、VLAN范围等过滤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4、支持静态路由、RIP、OSPF、BGP、IS-IS等路由协议；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5、支持MAC地址自动学习和老化，支持静态、动态和黑洞MAC地址表项；MAC地址≥32K；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6、支持端口聚合，最多支持124个聚合组，每个聚合组最大支持8个端口聚合；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7、VLAN特性 最大VLAN数(不是VLAN ID)≥4094；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8、支持IGMP Snooping、Proxy、Filter和Fast Leave；支持跨组播VLAN复制；支持三层组播协议PIM-SM和PIM-DM；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9、支持STP、RSTP、MSTP；支持BPDU保护、跟保护、环路保护和BPDU Tunnel；支持跨设备链路聚合；支持G.8032、R-link、VRRP，50ms级保护倒换；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10、支持端口镜像和远程端口；支持SNMP；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11、工作环境：工作温度：-5~55℃；相对湿度：（10~90）%（无凝结）。</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SFP光模块</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千兆10公里LC单模双纤模块</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平台一体机</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支持≥48个SATA磁盘通道数。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支持写入256路4Mbps视频流的同时，转发256路4Mbps视频流并回放128路4Mbps视频流。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支持≥1000台设备接入，≥2000路通道接入，≥2000路云端设备通道接入。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支持mp4、avi格式的视频预览。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具有电源、风扇、电池、接口卡模块，支持磁盘、电源、风扇、电池的在线热插拔。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支持BBU电池模块。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支持JBOD、RAID5、RAID0、RAID1、RAID10、RAID6、RAID50，RAID阵列即建即用。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支持多个网口设置同一IP地址，实现数据链路冗余，当其中任意一条或多条链路失效，不影响数据存储。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支持主BIOS及备BIOS，主BIOS故障时可从备BIOS启动。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支持手机、PAD移动客户端访问，支持预览/回放/下载/本地录像/抓拍/PTZ等功能，可兼容iOS、Andriod系统。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支持智能前端接入（越界检测、区域入侵、人脸检测、音频检测、虚焦检测、场景变更、智能跟踪、徘徊检测、物品遗留、人员聚集等），并可进行丰富的报警联动动作。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支持客户端抓图：普通抓图、连续抓图、全部抓图，数字放大情况下抓图支持放大区域与原始画面抓图后拼接。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支持多种告警联动动作，支持告警联动录像、实况、告警输出开关量、预置位、邮件、蜂鸣器、联动告警上墙、联动声音告警。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单屏支持分屏模式配置1/3/4/5/6/7/8/9/16/25/36/64分屏模式。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支持接入各类IPC（鱼眼摄像机、客流量统计摄像机、人脸摄像机、卡口、出入口、行为分析相机等）、NVR、编码器等编码设备、解码设备、报警主机，网络键盘、门禁系统、云端设备。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 支持接入SATA硬盘(1/2/3/4/5/6/8/10/12/14TB)、SAS硬盘和SSD硬盘。支持不同品牌（希捷、西数、东芝）不同类型磁盘混插。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 支持当RAID阵列中的一块硬盘拔掉后，X分钟（1～120可动态设置）之内再插上，该硬盘能恢复到原有RAID中，仅做增量数据恢复，RAID阵列在秒级时间内自动恢复正常。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 支持掉电后BBU电池继续进行供电，在缓存中的数据不丢失，可通过数码管显示缓存数据的保存进度，可查看断电前1s的视频录像。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支持数码管、指示灯、蜂鸣器告警、邮件告警、SNMPTrap、短信等告警方式对IP冲突、网口降速、电源故障、风扇故障、电池故障及RAID故障、磁盘故障、降级RAID无热备盘等进行告警。</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监控级SATA硬盘</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6T,3.5寸</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SATA</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核心交换机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8个槽位，包含2个引擎槽位和6个业务槽位</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新一代高性能引擎成交换网板，全面适配EB/DA/FA/FB系列板卡</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通用电源模块（可以冗余，交流，600W）适配电源线规格：10A 国标 直头</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EB系列24端口千兆以太网光口(SFP,LC)+12端口千兆以太网电口复用(RJ45)+4端口万兆以太网光口(SFP+,LC)</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32端口万兆以太网光口(SFP+,LC)+4端口40G以太网光接口板(QSFP+,MPO)</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接入交换机</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弱三层接入交换机，48个10/100/1000M自适应电口，4个1G/10G SFP+光口，固化交流电源和风扇</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千兆SFP光模块</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光模块-SFP 1G BIDI光模块-TX1310/RX1550-工业级，3km，LC</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万兆SFP光模块</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光模块-SFP 10G BIDI光模块-MM850工业级，1km，LC</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无线AP</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802.11ax双路双频通用级放装型无线接入点；整机最大支持4条空间流，整机最高接入速率2.97Gbps，可支持802.11a/b/g/n/ac和802.11ax工作，胖/瘦模式切换、802.3af供电和本地供电；射频设计：三射频，整机支持6条空间流，Radio1：2.4GHz/5GHz，2条流：2×2，MU-MIMO</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，Radio2：5GHz，2条流：2×2，MU-MIMO，Radio3：2.4GHz/5GHz，2条流：2×2，MU-MIMO 固化业务接口。</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接入交换机（POE）</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网管交换机，24个10/100/1000Base-T以太网端口; 2个 100/1000 Base-X SFP光口：POE</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无线控制器</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AC分层配置，分层控制管理，可良好适应大型网络部署；支持集中转发、本地转发，依需切换更灵活；AP间负载均衡，STA无线带宽动态分配，优先引导5G频段，让网络通畅运转；内置Portal，支持802.1x认证、web认证、微信认证、短信认证、无感知认证；支持WIS云统一管理，智能调优，让运维更轻松；6个10/100/1000Base-T自适应以太网接口，其中编号1接口可同时作为MGMT接口使用；2对光电复用接口，作为电接口使用时，支持10/100/1000Base-T自适应；最大可配置AP数：2048；最大可管理AP数：448；最大可管理用户数：7168；802.11转发性能：8Gbps；配置不低于50个无线接入点管理许可。</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单模光纤</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12芯室内单模光纤</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250米</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w:t>
            </w:r>
            <w:r>
              <w:rPr>
                <w:rFonts w:hint="eastAsia" w:ascii="宋体" w:hAnsi="宋体" w:cs="宋体"/>
                <w:i w:val="0"/>
                <w:iCs w:val="0"/>
                <w:color w:val="auto"/>
                <w:kern w:val="0"/>
                <w:sz w:val="24"/>
                <w:szCs w:val="24"/>
                <w:u w:val="none"/>
                <w:lang w:val="en-US" w:eastAsia="zh-CN" w:bidi="ar"/>
              </w:rPr>
              <w:t>网络</w:t>
            </w:r>
            <w:r>
              <w:rPr>
                <w:rFonts w:hint="eastAsia" w:ascii="宋体" w:hAnsi="宋体" w:eastAsia="宋体" w:cs="宋体"/>
                <w:i w:val="0"/>
                <w:iCs w:val="0"/>
                <w:color w:val="auto"/>
                <w:kern w:val="0"/>
                <w:sz w:val="24"/>
                <w:szCs w:val="24"/>
                <w:u w:val="none"/>
                <w:lang w:val="en-US" w:eastAsia="zh-CN" w:bidi="ar"/>
              </w:rPr>
              <w:t>线缆</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六类非屏蔽网络线缆 305米/箱</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双口六类网络面板</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六类非屏蔽双口网络面板100个</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六类网络模块</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六类非屏蔽模块100个</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六类配线架</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六类非屏蔽网络配线架，24口满配</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网络跳线</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六类非屏蔽2米网络成品跳线100条</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ODF光纤箱</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48口 FC接口法兰 ODF光纤配线箱</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ODF光纤盒</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12口 FC接口法兰 ODF光纤配线箱</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光纤跳线</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FC-LC单模 3米光纤跳线50对</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弱电电线</w:t>
            </w:r>
          </w:p>
        </w:tc>
        <w:tc>
          <w:tcPr>
            <w:tcW w:w="53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3芯 4平方阻燃电线100米</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11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运维服务</w:t>
            </w: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桌面会议运维服务</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配置运维人员4名，服务内容为：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1）负责对电脑、打印机、扫描仪等硬件设备进行定期维护和保养，例如清洁设备内部、更换损坏的零件、升级硬件配置等；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2）负责对电脑上的软件进行安装和升级，确保软件的版本是最新的、功能是完整的，同时对软件进行配置和优化，以提高软件的性能和稳定性；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3）负责对电脑上的操作系统进行维护和更新，包括定期清理系统垃圾、卸载无用软件、更新系统补丁等操作；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4）负责通讯终端的管理，包括网络电话，视频会议终端等设备的安装及管理；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5）负责会议支持保障、各项视频直播会议支持保障、接待信息化参观演示等维护工作；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6）负责音-视频疑难问题分析解决，不定期提供音、视频软件的升级安装包，解决运行过程中出现的故障及可能得隐患。</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网络运维服务</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配置运维人员2名，服务内容为：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1）对基础网设备，如交换机、路由器等运行提供维护服务，包括设备新加、变更、下架的运维服务；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2）对网络系统终端提供维护服务，包括新增、撤销、变更网络线路；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3）修正网络设备的应用软件系统问题，梳理分析故障，将相关版本升级、性能优化等工作；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4）修正网络设备的硬件日常故障、对性能异常的设备提供可行性解决方案；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5）对基础网络设备进行日常巡检等服务，记录所有网络设备的运行状态；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6）对核心网络提供网络参数配置、性能优化、版本升级等服务；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7）提供内置软件的升级服务，梳理出系统中存在的漏洞，检测其可能引发的问题及解决；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8）每月提供对核心网络设备深度巡检等服务，包括提供各项指标的巡检报告；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9）提供各类网络设备固件的升级包和配置方案，解决设备可能带来的运行隐患。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10）提供产品的各类硬件原生问题，如电路缺陷更换、硬件电压不稳定等问题。</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安全运维服务</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配置运维人员2名，服务内容为：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1）对信息安全设备，如防火墙、入侵检测等运行提供维护服务，包括设备新加、变更、下架的运维服务；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2）修正信息安全设备的应用软件系统问题，梳理分析故障，将相关版本升级、性能优化等工作；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3）修正信息安全设备的硬件日常故障、对性能异常的设备提供可行性解决方案；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4）对全流量安全威胁分析系统分析平台主节点引擎、探针进行维修、维护；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5）提升数据传输安全性与保密性，进行相应设备的风险评估与漏洞扫描，重要数据与重要系统日志的备份；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6）提供内置软件的升级服务，排除按约定提供设备健康状态的深度巡检及保养服务，并提供相应的报告；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7）每月提供安全防护报告，对相应设备进行深度巡检，制定应急预案与演练计划，排除可能的隐患。</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安防运维服务</w:t>
            </w:r>
          </w:p>
        </w:tc>
        <w:tc>
          <w:tcPr>
            <w:tcW w:w="53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配置运维人员1名，服务内容为：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1）提供前端设备的日常维护，包括防护罩、镜头、云台等设备的故障检测与排除；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2）提供监控中心设备的日常维护，包括显示设备、硬件录像机、供电设备的故障检测与排除；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3）提供对门禁报警系统运行状态检查，对发生的软硬件故障分析处理；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4）对视频、报警、门禁等监控系统提供日常设备巡检，并记录运行状态检查；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5）对视频、报警、门禁等监控系统的疑难故障进行处理；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6）提供问题部件的现场更换服务，按约定每月提供设备健康巡检及深度保养服务；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7）摄像头、LED屏等设备的维修、更换，摄像头定期保养。</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4"/>
                <w:szCs w:val="24"/>
                <w:u w:val="none"/>
              </w:rPr>
            </w:pPr>
          </w:p>
        </w:tc>
        <w:tc>
          <w:tcPr>
            <w:tcW w:w="11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14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53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4"/>
                <w:szCs w:val="24"/>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c>
          <w:tcPr>
            <w:tcW w:w="6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4"/>
                <w:szCs w:val="24"/>
                <w:u w:val="none"/>
              </w:rPr>
            </w:pPr>
          </w:p>
        </w:tc>
      </w:tr>
    </w:tbl>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2、四级公共就业服务体系基础支撑服务</w:t>
      </w:r>
    </w:p>
    <w:tbl>
      <w:tblPr>
        <w:tblStyle w:val="44"/>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0"/>
        <w:gridCol w:w="1223"/>
        <w:gridCol w:w="1500"/>
        <w:gridCol w:w="5283"/>
        <w:gridCol w:w="66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4" w:hRule="atLeast"/>
          <w:jc w:val="center"/>
        </w:trPr>
        <w:tc>
          <w:tcPr>
            <w:tcW w:w="810"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bookmarkStart w:id="823" w:name="_Toc18785"/>
            <w:r>
              <w:rPr>
                <w:rFonts w:hint="eastAsia" w:ascii="宋体" w:hAnsi="宋体" w:eastAsia="宋体" w:cs="宋体"/>
                <w:b/>
                <w:bCs/>
                <w:i w:val="0"/>
                <w:iCs w:val="0"/>
                <w:color w:val="000000"/>
                <w:kern w:val="0"/>
                <w:sz w:val="24"/>
                <w:szCs w:val="24"/>
                <w:u w:val="none"/>
                <w:lang w:val="en-US" w:eastAsia="zh-CN" w:bidi="ar"/>
              </w:rPr>
              <w:t>序号</w:t>
            </w:r>
          </w:p>
        </w:tc>
        <w:tc>
          <w:tcPr>
            <w:tcW w:w="1223"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1500"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5283"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c>
          <w:tcPr>
            <w:tcW w:w="660"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64" w:type="dxa"/>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市级互联网+人力资源市场服务提升</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求职交互终端</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1、处理器：≥1.8GHz，4核心；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2、运行内存：≥4G；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3、存储内存：≥64G；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4、显示屏：尺寸 ≥15寸，显示分辨率1920*1080；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5、触摸屏：电容式触摸屏，最大支持10点触摸；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6、操作系统：定制化Android9或以上操作系统；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7、安装方式：嵌入式安装。</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展位信息发布终端</w:t>
            </w:r>
          </w:p>
        </w:tc>
        <w:tc>
          <w:tcPr>
            <w:tcW w:w="5283" w:type="dxa"/>
            <w:shd w:val="clear" w:color="auto" w:fill="auto"/>
            <w:vAlign w:val="center"/>
          </w:tcPr>
          <w:p>
            <w:pPr>
              <w:keepNext w:val="0"/>
              <w:keepLines w:val="0"/>
              <w:widowControl/>
              <w:suppressLineNumbers w:val="0"/>
              <w:jc w:val="both"/>
              <w:textAlignment w:val="center"/>
              <w:rPr>
                <w:rStyle w:val="145"/>
                <w:lang w:val="en-US" w:eastAsia="zh-CN" w:bidi="ar"/>
              </w:rPr>
            </w:pPr>
            <w:r>
              <w:rPr>
                <w:rStyle w:val="145"/>
                <w:lang w:val="en-US" w:eastAsia="zh-CN" w:bidi="ar"/>
              </w:rPr>
              <w:t>1、显示参数：≥49 inch，1920×1080@60Hz，≥350cd/m2；</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2、CPU：Cortex-A17，4核，主频≥1.6 GHz；</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3、存储参数：内存2G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内置存储16G；</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4、网络：有线、无线WIFI；</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5、音视频接口：HDMI IN × 1, LINE IN支持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LINE OUT支持；</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6、网络接口：LAN × 1；</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7、数据传输接口：USB 2.0 × 2, TF Card × 1, 蓝牙（BT 4.0）；</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8、电源：100~240VAC  50/60 ± 3Hz；</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9、支持通过CS端、BS端、手机、平板移动端、设备本地等多重管理；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10、管理系统支持素材管理功能：添加素材、修改素材、删除素材、审核素材、素材预览，下载素材素材模糊搜索，素材精确搜索，替</w:t>
            </w:r>
            <w:r>
              <w:rPr>
                <w:rFonts w:hint="eastAsia" w:ascii="宋体" w:hAnsi="宋体" w:cs="宋体"/>
                <w:i w:val="0"/>
                <w:iCs w:val="0"/>
                <w:color w:val="000000"/>
                <w:kern w:val="0"/>
                <w:sz w:val="24"/>
                <w:szCs w:val="24"/>
                <w:u w:val="none"/>
                <w:lang w:val="en-US" w:eastAsia="zh-CN" w:bidi="ar"/>
              </w:rPr>
              <w:t>换</w:t>
            </w:r>
            <w:r>
              <w:rPr>
                <w:rFonts w:hint="eastAsia" w:ascii="宋体" w:hAnsi="宋体" w:eastAsia="宋体" w:cs="宋体"/>
                <w:i w:val="0"/>
                <w:iCs w:val="0"/>
                <w:color w:val="000000"/>
                <w:kern w:val="0"/>
                <w:sz w:val="24"/>
                <w:szCs w:val="24"/>
                <w:u w:val="none"/>
                <w:lang w:val="en-US" w:eastAsia="zh-CN" w:bidi="ar"/>
              </w:rPr>
              <w:t>素材；</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11、支持素材类型：图片bmp、jpg、png、动画（gif）、音频（mp3、wav、wma）、视频rm、rmvb、asf、avi、mpg、3gp、mov、mkv、wmv、flv、mp4、文本（txt）、PDF、Word、PPT、Excel、网页静态：htm</w:t>
            </w:r>
            <w:r>
              <w:rPr>
                <w:rFonts w:hint="eastAsia" w:ascii="宋体" w:hAnsi="宋体" w:cs="宋体"/>
                <w:i w:val="0"/>
                <w:iCs w:val="0"/>
                <w:color w:val="000000"/>
                <w:kern w:val="0"/>
                <w:sz w:val="24"/>
                <w:szCs w:val="24"/>
                <w:u w:val="none"/>
                <w:lang w:val="en-US" w:eastAsia="zh-CN" w:bidi="ar"/>
              </w:rPr>
              <w:t>l</w:t>
            </w:r>
            <w:r>
              <w:rPr>
                <w:rFonts w:hint="eastAsia" w:ascii="宋体" w:hAnsi="宋体" w:eastAsia="宋体" w:cs="宋体"/>
                <w:i w:val="0"/>
                <w:iCs w:val="0"/>
                <w:color w:val="000000"/>
                <w:kern w:val="0"/>
                <w:sz w:val="24"/>
                <w:szCs w:val="24"/>
                <w:u w:val="none"/>
                <w:lang w:val="en-US" w:eastAsia="zh-CN" w:bidi="ar"/>
              </w:rPr>
              <w:t>/htm:；动态：URL、APP、网络摄像机（IPC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、URL图片、流媒体服务器（过流媒体的取流链接）、通用数据（弹图、叫号、抓拍）、数据源（支持实时动态更新的图片、视频、文字）；</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12、管理系统支持节目管理功能，新建节目，修改节目（名称、分辨率、属性、描述口），删除节目，复制节目（复制节目模板和完全复制两种），节目预览，审核节日（通过、未通过），隐藏锁定窗口；</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13、支持的节目分辨率：1920*1080、1080*1920、2160*3840、3840*2160、支持自定义分辨率（自定义分辨率最大支持3840*3840）；</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15、支持窗口大小/坐标自定义设置，支持窗口对齐，窗口自动吸附，支持节目窗口按实际尺寸显示和窗口尺寸显示；支持在线文本编辑；支持窗口锁定/解锁、窗口隐藏/显示 、窗口置顶/置底；支持实时预览节目制作效果，可视化显示；</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16、支持按日播放，按周播放，轮播，自定义播放（年365天自定义播放），垫片日程；支持日程按终端组和按终端方式发布，支持定时发布和预发布功能；</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17、安全功能：硬件设备出厂都为未激活状态到客户现场都</w:t>
            </w:r>
            <w:r>
              <w:rPr>
                <w:rFonts w:hint="eastAsia" w:ascii="宋体" w:hAnsi="宋体" w:cs="宋体"/>
                <w:i w:val="0"/>
                <w:iCs w:val="0"/>
                <w:color w:val="000000"/>
                <w:kern w:val="0"/>
                <w:sz w:val="24"/>
                <w:szCs w:val="24"/>
                <w:u w:val="none"/>
                <w:lang w:val="en-US" w:eastAsia="zh-CN" w:bidi="ar"/>
              </w:rPr>
              <w:t>必须</w:t>
            </w:r>
            <w:r>
              <w:rPr>
                <w:rFonts w:hint="eastAsia" w:ascii="宋体" w:hAnsi="宋体" w:eastAsia="宋体" w:cs="宋体"/>
                <w:i w:val="0"/>
                <w:iCs w:val="0"/>
                <w:color w:val="000000"/>
                <w:kern w:val="0"/>
                <w:sz w:val="24"/>
                <w:szCs w:val="24"/>
                <w:u w:val="none"/>
                <w:lang w:val="en-US" w:eastAsia="zh-CN" w:bidi="ar"/>
              </w:rPr>
              <w:t>设置初始密码才能使用信息发布功能；制作终端的播放内容时，需要经过三层审核（素材审核、节目审核、日程审核），可通过设置专人进行终端播放内容审核权限，未审核通过的内容不能发布到终端进行播放，保障节目内容的安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18、支持终端管理功能：添加终端（一个服务器可关联1000个终端），删除终端，修改终端（名称、特征码、分组、描述）终端分组管理；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终端支持功能：定时开关机设置（支持按周、按日配置，每天至少可配置8组策略），时段音量设置（支持按日、按周配置，每人至少可配置8组策略），终端亮度设置，默认音量设置，开机logo设置，终端关联服务器，垫片日程开关、终端密码修改温度保护、终端adb调试、时区设置、SADP开关、附加组件信息（显示SADP、SDK、本地升级、遥控器配对的软件版本号）、终端网络设置、通道关联；终端开机，终端关机，终端重启，终端升级，终端播放，停止播放，</w:t>
            </w:r>
            <w:r>
              <w:rPr>
                <w:rFonts w:hint="eastAsia" w:ascii="宋体" w:hAnsi="宋体" w:cs="宋体"/>
                <w:i w:val="0"/>
                <w:iCs w:val="0"/>
                <w:color w:val="000000"/>
                <w:kern w:val="0"/>
                <w:sz w:val="24"/>
                <w:szCs w:val="24"/>
                <w:u w:val="none"/>
                <w:lang w:val="en-US" w:eastAsia="zh-CN" w:bidi="ar"/>
              </w:rPr>
              <w:t>查看</w:t>
            </w:r>
            <w:r>
              <w:rPr>
                <w:rFonts w:hint="eastAsia" w:ascii="宋体" w:hAnsi="宋体" w:eastAsia="宋体" w:cs="宋体"/>
                <w:i w:val="0"/>
                <w:iCs w:val="0"/>
                <w:color w:val="000000"/>
                <w:kern w:val="0"/>
                <w:sz w:val="24"/>
                <w:szCs w:val="24"/>
                <w:u w:val="none"/>
                <w:lang w:val="en-US" w:eastAsia="zh-CN" w:bidi="ar"/>
              </w:rPr>
              <w:t>终端日程，终端截屏，定时开关机生效，定时开关机失效，定时音量生效，定时音量失效，插播节目或素材，插播文字消息，停止插播，显示发布进度，隐藏发布进度，恢复默认参数、终端远程升级；</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20、服务器支持端口配置，支持服务器数据存储路径配置，支持开机自启动配置，支持恢复默认参数功能，具备看门狗功能；</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21、支持设置系统显示方向，包括0度、90度、180度、270度、360度；</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22、支持联屏播放，支持图片和视频进行联屏播放；并且支持联屏组对联屏下的所有终端进行统一控制，支持的联屏组控制操作包括开关机（休眠）、重启、停止播放开始播放、音量调节、停止插播、</w:t>
            </w:r>
            <w:r>
              <w:rPr>
                <w:rFonts w:hint="eastAsia" w:ascii="宋体" w:hAnsi="宋体" w:cs="宋体"/>
                <w:i w:val="0"/>
                <w:iCs w:val="0"/>
                <w:color w:val="000000"/>
                <w:kern w:val="0"/>
                <w:sz w:val="24"/>
                <w:szCs w:val="24"/>
                <w:u w:val="none"/>
                <w:lang w:val="en-US" w:eastAsia="zh-CN" w:bidi="ar"/>
              </w:rPr>
              <w:t>清空</w:t>
            </w:r>
            <w:r>
              <w:rPr>
                <w:rFonts w:hint="eastAsia" w:ascii="宋体" w:hAnsi="宋体" w:eastAsia="宋体" w:cs="宋体"/>
                <w:i w:val="0"/>
                <w:iCs w:val="0"/>
                <w:color w:val="000000"/>
                <w:kern w:val="0"/>
                <w:sz w:val="24"/>
                <w:szCs w:val="24"/>
                <w:u w:val="none"/>
                <w:lang w:val="en-US" w:eastAsia="zh-CN" w:bidi="ar"/>
              </w:rPr>
              <w:t>播放内容、定时开关机、定时音量、ntp校时、亮度，在同一局域网内同一发布的内容，屏幕的播放进度都能够保持一致；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23、产品满足emc电磁兼容测试，静电放电抗扰度试验应符合GBT17626.2-2018的要求</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浪涌（冲击）抗扰度试验应符合GBT17626.5-2019的要求；满足高低温工作试验、正弦振动试验和包装机械冲击试验；</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自助服务一体机</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1、主板：主机CPU：双核，频率≥1.8GHz；网络：100M/1000M自适应以太网卡；（双网口）；</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2、无线网络：WIFI、3G；</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3、硬盘：≥500G，SATA接口，≥64G固态硬盘；</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4、内存：≥4G，DDR3显示模块；</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5、液晶屏：19寸，最大分辨率≥1440×900，可视角度≥80度，亮度≥250cd/平方米，画面响应时间≥5ms；</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6、触摸屏：19寸，单点触摸，红外触摸屏，触摸精度≤1.5mm，响应时间≤16ms，防尘、防污，触摸无偏移；</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7、广告液晶：≥19寸，分辨率≥1920×1080，亮度≥250cd/平方米，可视角度≥150度，画面响应时间≥5ms，支持模拟RGB及数字dvi-d接口输入模块；</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8、密码键盘：16键金属加密键盘，符合国密标准，防水、防尘；</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9、社保卡读写终端：接触式IC读写终端，符合ISO7816规范，识别各类mem</w:t>
            </w:r>
            <w:r>
              <w:rPr>
                <w:rFonts w:hint="eastAsia" w:ascii="宋体" w:hAnsi="宋体" w:cs="宋体"/>
                <w:i w:val="0"/>
                <w:iCs w:val="0"/>
                <w:color w:val="000000"/>
                <w:kern w:val="0"/>
                <w:sz w:val="24"/>
                <w:szCs w:val="24"/>
                <w:u w:val="none"/>
                <w:lang w:val="en-US" w:eastAsia="zh-CN" w:bidi="ar"/>
              </w:rPr>
              <w:t>o</w:t>
            </w:r>
            <w:r>
              <w:rPr>
                <w:rFonts w:hint="eastAsia" w:ascii="宋体" w:hAnsi="宋体" w:eastAsia="宋体" w:cs="宋体"/>
                <w:i w:val="0"/>
                <w:iCs w:val="0"/>
                <w:color w:val="000000"/>
                <w:kern w:val="0"/>
                <w:sz w:val="24"/>
                <w:szCs w:val="24"/>
                <w:u w:val="none"/>
                <w:lang w:val="en-US" w:eastAsia="zh-CN" w:bidi="ar"/>
              </w:rPr>
              <w:t>ry卡、CPU卡，符合《社会保障卡读写终端规范》（中华人民共和国人力资源和社会保障行业标准LD/T 33-2015）；</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10、身份证阅读器：二代身份证阅读器，符合公安部《GA450-2003台式居民身份证阅读器通用技术要求》行业标准，兼容ISO14443（TypeB）标准；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11、摄像头：像素≥100万像素（物理像素），分辨率640×480，帧频≥30fps，自动对焦；</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12、激光打印机：黑白激光打印机，最大打印幅面：A4，打印速度≥24ppm，最高分辨率≥1200dpi。能够扩展打印纸盒，最少≥150页；</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13、喇叭：高清音响；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14、机柜：大堂式机柜，采用优质钢材制造，主体部分钢材厚度≥1.5mm，表面进行喷涂处理，防尘、防爆、耐磨、防锈、防磁、防静电。</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招聘信息展示大屏</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1、像素间距≤2.0mm；像素密度≥250000；显示区域≥28㎡；</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2、像素构成：SMD1515黑灯；</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3、显示单元采用压铸铝箱，箱体和电源无风扇，防尘、静音设计；单元箱体为所投品牌整机出货，所有材料均满足无铅环保制程要求， 整机经过各项安全和可靠性测试；</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4、PWM高清高阶驱动芯片；</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5、白平衡亮度≥800cd/㎡；</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6、色温可调范围：1000k~13000K，调节步长100K，并可自定义色温值；</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7、对比度≥10000:1；</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8、视角：水平视角≥170°，垂直视角≥170°；</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9、刷新频率≥3840HZ；</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10、换帧频率：50&amp;60HZ；</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11、亮度均匀性≥99%，产品采用喷墨技术，防眩光，表面墨色一致性和散热性更好；</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12、色度均匀性：偏差在±0.002Cx,Cy 之内；</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13、像素中心距偏差≤1%；</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14、平整度：≤0.1mm；</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峰值功耗≤480W/㎡；平均功耗≤200W/㎡，具有智能（黑屏）节电功能；黑屏节电40%以上；16.灰度：16bit，具有电源温度控制系统，提供电源实时温度监控，超出设定温度自动报警，防止过温失效，除湿设计，屏体长时间没有使用，屏体自动切入除湿模式；</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17、低亮高灰效果：100%亮度时，16bit灰度；20%亮度时，14bit 灰度；</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18、屏幕噪音≤5dB；</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19、PCB焊盘采用OSP工艺处理，保证单模块安装的稳定性和抗氧化性；</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20、采用先进的消隐电路设计，无“毛毛虫”、“鬼影”现象；</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21、逐点色度和亮度校正功能，具有模块亮度色度校正，校正数据可保存及回读；</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22、MTBF≥100000小时，MTTR≤5分钟，满足7*24小时工作；</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23、电源功率因素≥0.95；转换效率≥0.86；                                                                                               24.高防火能力，线材低烟无卤，内部线材与塑胶件满足V-1阻燃等级要求；PCB满足V-0阻燃等级要求，并且产品满足BS476-7表面燃烧测试1级；</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25、产品屏幕蓝光视网膜危害通过低蓝光等级检测，产品在电压240V，50Hz和稳定室温25℃±5℃，测试距离为20cm情况下蓝光无害；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26、产品通过光生物安全检测，在正常使用条件下，对人体不造成任何光生物辐射危害。</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智能数据分析展示设备</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1、显示：不少于4台65inch显示终端，1920×1080@60Hz，≥350cd/m2；</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2、CPU：Cortex-A17，4核，主频≥1.6 GHz；</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3、存储参数：内存≥2G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内置存储≥16G；</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4、网络：有线、无线WIFI；</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5、音视频接口：HDMI IN×1,LINE IN支持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LINE OUT支持；</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6、网络接口：LAN×1；</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7、数据传输接口：USB 2.0×2, TF Card×1, 蓝牙（BT4.0）；</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8、电源：100~240VAC  50/60±3Hz；</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9、支持通过CS端、BS端、手机、平板移动端、设备本地等多重管理；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10、管理系统支持素材管理功能：添加素材、修改素材、删除素材、审核素材、素材预览，下载</w:t>
            </w:r>
            <w:r>
              <w:rPr>
                <w:rFonts w:hint="eastAsia" w:ascii="宋体" w:hAnsi="宋体" w:cs="宋体"/>
                <w:i w:val="0"/>
                <w:iCs w:val="0"/>
                <w:color w:val="000000"/>
                <w:kern w:val="0"/>
                <w:sz w:val="24"/>
                <w:szCs w:val="24"/>
                <w:u w:val="none"/>
                <w:lang w:val="en-US" w:eastAsia="zh-CN" w:bidi="ar"/>
              </w:rPr>
              <w:t>素材</w:t>
            </w:r>
            <w:r>
              <w:rPr>
                <w:rFonts w:hint="eastAsia" w:ascii="宋体" w:hAnsi="宋体" w:eastAsia="宋体" w:cs="宋体"/>
                <w:i w:val="0"/>
                <w:iCs w:val="0"/>
                <w:color w:val="000000"/>
                <w:kern w:val="0"/>
                <w:sz w:val="24"/>
                <w:szCs w:val="24"/>
                <w:u w:val="none"/>
                <w:lang w:val="en-US" w:eastAsia="zh-CN" w:bidi="ar"/>
              </w:rPr>
              <w:t>模糊搜索，素材精确搜索，替</w:t>
            </w:r>
            <w:r>
              <w:rPr>
                <w:rFonts w:hint="eastAsia" w:ascii="宋体" w:hAnsi="宋体" w:cs="宋体"/>
                <w:i w:val="0"/>
                <w:iCs w:val="0"/>
                <w:color w:val="000000"/>
                <w:kern w:val="0"/>
                <w:sz w:val="24"/>
                <w:szCs w:val="24"/>
                <w:u w:val="none"/>
                <w:lang w:val="en-US" w:eastAsia="zh-CN" w:bidi="ar"/>
              </w:rPr>
              <w:t>换</w:t>
            </w:r>
            <w:r>
              <w:rPr>
                <w:rFonts w:hint="eastAsia" w:ascii="宋体" w:hAnsi="宋体" w:eastAsia="宋体" w:cs="宋体"/>
                <w:i w:val="0"/>
                <w:iCs w:val="0"/>
                <w:color w:val="000000"/>
                <w:kern w:val="0"/>
                <w:sz w:val="24"/>
                <w:szCs w:val="24"/>
                <w:u w:val="none"/>
                <w:lang w:val="en-US" w:eastAsia="zh-CN" w:bidi="ar"/>
              </w:rPr>
              <w:t>素材；</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素材类型：图片bmp、jpg、png、动画（gif）、音频（mp3、wav、wma）、视频rm、rmvb、asf、avi、mpg、3gp、mov、mkv、wmv、flv、mp4、文本（txt）、PDF、Word、PPT、Excel、网页静态：html/htm:；动态：URL、APP、网络摄像机（IP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、URL图片、流媒体服务器（过流媒体的取流链接）、通用数据（弹图、叫号、抓拍）、数据源（支持实时动态更新的图片、视频、文字）；</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12、管理系统支持节目管理功能，新建节目，修改节目（名称、分辨率、属性、描述口），删除节目，复制节目（复制节目模板和完全复制两种），节目预览，审核节日（通过、未通过），隐藏锁定窗口；</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13、支持的节目分辨率：1920*1080、1080*1920、2160*3840、3840*2160、支持自定义分辨率（自定义分辨率最大支持3840*3840）；</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15、支持窗口大小/坐标自定义设置，支持窗口对齐，窗口自动吸附，支持节目窗口按实际尺寸显示和窗口尺寸显示；支持在线文本编辑；支持窗口锁定/解锁、窗口隐藏/显示 、窗口置顶/置底；支持实时预览节目制作效果，可视化显示；</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16、支持按日播放，按周播放，轮播，自定义播放（年365天自定义播放），垫片日程；支持日程按终端组和按终端方式发布，支持定时发布和预发布功能；</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17、安全功能：硬件设备出厂都为未激活状态到客户现场都</w:t>
            </w:r>
            <w:r>
              <w:rPr>
                <w:rFonts w:hint="eastAsia" w:ascii="宋体" w:hAnsi="宋体" w:cs="宋体"/>
                <w:i w:val="0"/>
                <w:iCs w:val="0"/>
                <w:color w:val="000000"/>
                <w:kern w:val="0"/>
                <w:sz w:val="24"/>
                <w:szCs w:val="24"/>
                <w:u w:val="none"/>
                <w:lang w:val="en-US" w:eastAsia="zh-CN" w:bidi="ar"/>
              </w:rPr>
              <w:t>必须</w:t>
            </w:r>
            <w:r>
              <w:rPr>
                <w:rFonts w:hint="eastAsia" w:ascii="宋体" w:hAnsi="宋体" w:eastAsia="宋体" w:cs="宋体"/>
                <w:i w:val="0"/>
                <w:iCs w:val="0"/>
                <w:color w:val="000000"/>
                <w:kern w:val="0"/>
                <w:sz w:val="24"/>
                <w:szCs w:val="24"/>
                <w:u w:val="none"/>
                <w:lang w:val="en-US" w:eastAsia="zh-CN" w:bidi="ar"/>
              </w:rPr>
              <w:t>设置初始密码才能使用信息发布功能；制作终端的播放内容时，需要经过三层审核（素材审核、节目审核、日程审核），可通过设置专人进行终端播放内容审核权限，未审核通过的内容不能发布到终端进行播放，保障节目内容的安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18、支持终端管理功能：添加终端（一个服务器可关联1000个终端），删除终端，修改终端（名称、特征码、分组、描述）终端分组管理；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终端支持功能：定时开关机设置（支持按周、按日配置，每天至少可配置8组策略），时段音量设置（支持按日、按周配置，每人至少可配置8组策略），终端亮度设置，默认音量设置，开机logo设置，终端关联服务器，垫片日程开关、终端密码修改温度保护、终端adb调试、时区设置、SADP开关、附加组件信息（显示SADP、SDK、本地升级、遥控器配对的软件版本号）、终端网络设置、通道关联；终端开机，终端关机，终端重启，终端升级，终端播放，停止播放，</w:t>
            </w:r>
            <w:r>
              <w:rPr>
                <w:rFonts w:hint="eastAsia" w:ascii="宋体" w:hAnsi="宋体" w:cs="宋体"/>
                <w:i w:val="0"/>
                <w:iCs w:val="0"/>
                <w:color w:val="000000"/>
                <w:kern w:val="0"/>
                <w:sz w:val="24"/>
                <w:szCs w:val="24"/>
                <w:u w:val="none"/>
                <w:lang w:val="en-US" w:eastAsia="zh-CN" w:bidi="ar"/>
              </w:rPr>
              <w:t>查看</w:t>
            </w:r>
            <w:r>
              <w:rPr>
                <w:rFonts w:hint="eastAsia" w:ascii="宋体" w:hAnsi="宋体" w:eastAsia="宋体" w:cs="宋体"/>
                <w:i w:val="0"/>
                <w:iCs w:val="0"/>
                <w:color w:val="000000"/>
                <w:kern w:val="0"/>
                <w:sz w:val="24"/>
                <w:szCs w:val="24"/>
                <w:u w:val="none"/>
                <w:lang w:val="en-US" w:eastAsia="zh-CN" w:bidi="ar"/>
              </w:rPr>
              <w:t>终端日程，终端截屏，定时开关机生效，定时开关机失效，定时音量生效，定时音量失效，插播节目或素材，插播文字消息，停止插播，显示发布进度，隐藏发布进度，恢复默认参数、终端远程升级；</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20、服务器支持端口配置，支持服务器数据存储路径配置，支持开机自启动配置，支持恢复默认参数功能，具备看门狗功能；</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21、支持设置系统显示方向，包括0度、90度、180度、270度、360度；</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22、支持联屏播放，支持图片和视频进行联屏播放；并且支持联屏组对联屏下的所有终端进行统一控制，支持的联屏组控制操作包括开关机（休眠）、重启、停止播放开始播放、音量调节、停止插播、</w:t>
            </w:r>
            <w:r>
              <w:rPr>
                <w:rFonts w:hint="eastAsia" w:ascii="宋体" w:hAnsi="宋体" w:cs="宋体"/>
                <w:i w:val="0"/>
                <w:iCs w:val="0"/>
                <w:color w:val="000000"/>
                <w:kern w:val="0"/>
                <w:sz w:val="24"/>
                <w:szCs w:val="24"/>
                <w:u w:val="none"/>
                <w:lang w:val="en-US" w:eastAsia="zh-CN" w:bidi="ar"/>
              </w:rPr>
              <w:t>清空</w:t>
            </w:r>
            <w:r>
              <w:rPr>
                <w:rFonts w:hint="eastAsia" w:ascii="宋体" w:hAnsi="宋体" w:eastAsia="宋体" w:cs="宋体"/>
                <w:i w:val="0"/>
                <w:iCs w:val="0"/>
                <w:color w:val="000000"/>
                <w:kern w:val="0"/>
                <w:sz w:val="24"/>
                <w:szCs w:val="24"/>
                <w:u w:val="none"/>
                <w:lang w:val="en-US" w:eastAsia="zh-CN" w:bidi="ar"/>
              </w:rPr>
              <w:t>播放内容、定时开关机、定时音量、ntp校时、亮度，在同一局域网内同一发布的内容，屏幕的播放进度都能够保持一致；</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23、素材、节目、日程支持私有属性和共享属性两种可选；</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安全功能：锁屏策略：终端具备自动锁屏功能，不输入锁屏密码不能退出播放界面；保护策略：当信息发布软件被非解锁操作后退出到后台运行时，保护机制快速将信息发布软件强制到前台运行，确保正常播放内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25、产品满足emc电磁兼容测试，静电放电抗扰度试验应符合GBT17626.2-2018的要求</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浪涌（冲击）抗扰度试验应符合GBT17626.5-2019的要求；满足高低温工作试验、正弦振动试验和包装机械冲击试验；</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定制就业服务接待台</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1、免漆板主体结构，台面镶嵌大理石台面；</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2、材料：基材采用优质环保板免漆板，甲醛释放量符合E0级环保标准。采用杉木芯免漆生态板；</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3、封边条：选用优质品牌PVC封边条（2mm厚）；</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4、板材厚度说明：台面、台脚板厚度≥25mm，拉板厚度≥16mm；</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5、五金配件：三节导轨、阻尼铰链；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6、说明：材料干燥处理，坚固耐用、防变形及开裂。具有防火阻燃、耐高温、抗老化特性，同时具有耐酸碱、不易褪色等特性。</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自助填单台</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1、免漆板主体结构，整体式设计安装便捷；</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2、材料：基材采用优质环保板免漆板，甲醛释放量符合E1级环保标准。采用杉木芯免漆生态板，铝合金封边，双层封板中空式结构；</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3、封边条：选用优质品牌铝合金封边条；</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4、板材厚度说明：台面、台脚整体板厚度≥40mm，拉板厚度≥6mm；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5、材料干燥处理，防变形及开裂。具有防火阻燃、耐高温、抗老化特性，同时具有耐酸碱、不易褪色特性。</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展位隔断</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1、免漆板主体结构，整体式设计，尺寸：宽度1.65米，深度1.8米，高度不低于1.5米；</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2、材料：基材采用优质环保板免漆板，甲醛释放量符合E0级环保标准。采用杉木芯免漆生态板，铝合金封边，双层封板中空式结构；</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3、封边条：选用优质品牌铝合金封边条；</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4、板材厚度说明：台面、台脚整体板厚度≥40mm，拉板厚度≥6mm；</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5、五金配件：三节导轨、阻尼铰链；</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6、预留内部走线位，预留3个86型标准面板安装位；</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7、预装展位信息展示系统</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8、材料干燥处理，坚固耐用、防变形及开裂。具有防火阻燃、耐高温、抗老化特性，同时具有耐酸碱、不易褪色等特性；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9、甲醛释放量需符合GB18584-2001(室内装饰装修材料木家具中有害物质限量要求）。</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定制展位桌</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1、采用三聚氰胺中纤板，通过甲醛释放量符合E0级环保标准材料，台面密度中密，厚度≥40mm，尺寸：长1.2米，宽0.6米，高度不低于80厘米；</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2、材料干燥处理、坚固耐用、防变形及开裂，具有防火阻燃、耐高温、抗老化特性，同时具有耐酸碱、不易褪色等特性；</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3、封边条：选用木质封边条；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4、设备安装要求，预开嵌入式IC卡读写器孔位及嵌入式交互设备孔位。</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定制工作椅</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1、坐高65厘米或以上；椅子材质为木质或金属，承重好，耐磨、耐脏、耐氧化；</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2、面料：国产优质高密度纳米网布，透气，耐磨，耐脏，耐脏，耐氧化；</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3、扶手：扶手和椅身衔接处金属衔接，具有稳固性，同时带有金属亮泽；</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4、固定弓架脚，采用优质钢铸，电镀钢脚，光泽亮丽，抗压抗摔不变形。</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5、配置2张。</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便携一体机（双屏）</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功能：具备视频切换，调音，虚拟演播，录制，字幕，慢动作回放，延时播出，视频电话，PPT源文件导入，网络直播推流功能；2、支持4路视频电话互动功能，可支持场外安卓、苹果、笔记本等终端设备一键与导播互动；硬件参数：3、CPU：interI9酷睿八核，主频≥2.5G，内存：≥32GB，系统硬盘：≥480G(SSD固态硬盘</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；4、网络：板载 Intel 双口千兆网络接口；显卡：NVIDIA显存≥12GB；电源：≥600W；5、存储硬盘：≥2T，5400转，机械硬盘；6、授权注册：加密狗授权；7、安装环境系统：Windows 10操作系统；8、输入：≥4路4K HDMI或SDI。</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虚拟演播系统</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1、8K（4320p29.97、4320p25）4K（2160p25、2160p29.97、2160p30、2160p50、2160p59.94、2160p60）1080（1080p25、1080p29.97、1080p30、1080p50、1080p59.94、1080p60 ）SD标清（480p29.97 576p25）视频输入；9、NVDIA图形加速，必须支持NVENC编码同时录像支持6路，具备多通道录制，支持硬压卡硬件压缩，画面支持16:9/9:16，任意比例创建工程兵进行节目制作，导播通道支持无限添加，支持名称自定义功能；2、支持VR2:1辨率，3840*1920；3、拉流，推流，录制，监看，切换同时支持2:1；4、支持无限导入媒体视频文件，视频可形成播出列表，视频可自动播放；5、支持图片或图片文件夹幻灯片方式播出，幻灯片播出时间、切换效果可自定义设置，效果包含（淡入淡出，左飞、右飞等）；6、支持本地MP3原文件导入，可在播出导播内容时加入伴奏音乐，支持网址直接输入；7、支持4路视频电话互动功能，互动无需APP，可支持场外安卓、苹果、笔记本等终端设备一键与导播互动；8、支持全IP化工程制作，系统支持NDI、SRT、RTSP、RTMP、HTTP等网络流输入，可接收NDI摄像机、电脑NDI信号、手机NDIcam（安卓苹果都可以）还可以接收手机实时拍摄的来自公网IP的影音图像，实现全IP化的工作流程，支持对云台摄像机PTZ控制，且每个信号源可设定预置位；9、支持慢动作功能，慢动作可精确到毫秒，最大支持4路实时信号同时回放，可无限创建回放视频的入点与出点，支持搭配慢动作专业键盘，所有慢动作工作可在专业慢动作键盘上完成，大大减少操作者的难度；支持广播级延时播出，最大支持120秒的延时播出，为现场应急所使用，防止直播过程中出现意外发生；10、系统支持本地桌面信号捕捉，可任意选择电脑的任意程序或者桌面；支持导入PPT原文件功能，导入后自动生成播出单，支持PageUP、PageDown快捷键，可绑定幻灯笔，支持幻灯笔上下手动翻页；11、系统具备多套字幕模板，字幕边缘无锯齿，无抖动，可自定义字体、颜色、大小等。字幕模板包含种类（体育、广播、导播、人名条等），系统支持4路DSK下游键，一键快速叠加字幕，字幕移入效果支持淡入淡出、左飞、右飞等；12、支持时钟倒计时，正计时；13、系统支持达芬奇调色，无论是媒体、图片、实时信号都可以调节颜色；支持虚拟演播室功能，系统支持GPU色键，抠像无锯齿，无溢色，效果自然，动作无拖尾；14、用户可定制场景，每个场景可设立四个预置位，可设置不同角度，定制场景包含（广播、慕课、舞台等）；15、系统支持rtmp编码直播功能，码流、分辨率可自定义，最大同时输出3个平台；16、系统支持PGM录制与资源录制，PGM录制与资源录制可同时开启，资源录制最大支持6路，支持硬压采集卡。</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4K摄像机</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1、SONY 830W像素CMOS图像传感器，最高分辨率支持4K@60fps，输出帧率≥60帧/秒；2、光学变焦镜头，变焦倍数≥12倍；3、81°广角镜头：可采集超宽视觉图像，使场景视野更宽广。配置水平视角约81°，垂直视角60°的超广角镜头，不需另外配置特有广角镜头；4、高清输出接口：支持HDMI、USB 3.0、LAN，可同时输出4K视频。支持MJPG、H264、YUY2、NV12四种编码格式，同时兼容USB2.0；HDMI 1.4接口满足业界各种终端无缝连接。LAN口可传输图像、音频的同时支持软件性能升级和管理，支持POE供电；5、图像自动聚焦技术：提供自动白平衡（AWB）、自动曝光（AE</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、自动聚焦（AF</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功能，完全自动适应环境，图像自动调节；6、支持平移/俯仰/缩放机制：配备高精度定位云台，提供≥±0.1度高精确定位，移动迅速，拍摄方位扩展至81度广角；7、多种音视频压缩标准：LAN接口支持H.265/H.264视频压缩；USB3.0接口支持MJPG、H264、YUY2、NV12 ；A-IN接口支持AAC、MP3、G.711A音频压缩编码；8、音频输入接口：支持8000、16000、32000、44100、48000采样频率，支持AAC、MP3、G.711A音频编码；9、多种网络协议：支持ONVIF、GB/T28181、RTSP、RTMP协议；支持RTMP推送模式，轻松链接流媒体服务器(Wowza、FMS)；支持RTP组播模式，支持网络全命令VISCA控制协议；10、控制接口：RS422（兼容RS485）输出、RS232输入\输出；RS232支持级联；11、多种控制协议：支持VISCA、PELCO-D、PELCO-P协议，支持自动识别协议；12、多预置位：支持多达255个预置位(遥控器设置调用为10个</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麦克风</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发射器：1、振荡器类型：晶控PLL合成器，载波频率：A：638.000MHZ-667.700MHZ，B：668.000MHZ-697.700MHZ；2、信噪比≥60dB或更高；3、电源：3.0V直流（两枚AA尺寸电池）；4、频响：40Hz至18KHz；5、工作温度：0℃-50℃；6、天线：可拆装SMA天线；接收器：1、振荡器类型：晶控PLL合成器；载波频率：A：638.000MHZ-667.700MHZ B：668.000MHZ-697.700MHZ；2、音频输出接口：3.5mm直径微型插孔；3、耳机输出电平：150mV/16Ω；4、信噪比：≥60dB或更高；5、频响：40Hz至18KHz；6、电源：3.0V直流（两枚AA尺寸电池）；7、工作温度：0℃-50℃；8、天线：可拆装SMA天线”发射器。</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一拖四无线主机</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1、载波频率范围</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610-850 MHz；2、通道数：≥800个；3、振荡方式：PLL相位锁定频率合成；4、</w:t>
            </w:r>
            <w:r>
              <w:rPr>
                <w:rFonts w:hint="eastAsia" w:ascii="宋体" w:hAnsi="宋体" w:cs="宋体"/>
                <w:i w:val="0"/>
                <w:iCs w:val="0"/>
                <w:color w:val="000000"/>
                <w:sz w:val="24"/>
                <w:szCs w:val="24"/>
                <w:u w:val="none"/>
                <w:lang w:eastAsia="zh-CN"/>
              </w:rPr>
              <w:t>接收距离</w:t>
            </w:r>
            <w:r>
              <w:rPr>
                <w:rFonts w:hint="eastAsia" w:ascii="宋体" w:hAnsi="宋体" w:eastAsia="宋体" w:cs="宋体"/>
                <w:i w:val="0"/>
                <w:iCs w:val="0"/>
                <w:color w:val="000000"/>
                <w:sz w:val="24"/>
                <w:szCs w:val="24"/>
                <w:u w:val="none"/>
              </w:rPr>
              <w:t>：空旷场所可视距离≥100米；5、频率稳定度：± 0.005%，PLL 锁相回路频率控制；6、调制方式：FM 调频；7、额定频偏：±25kHz，S/N：95dB(A)，T.H.D：&lt;0.5% @ 1KHz；8、音频输出电平：XLR(BALANCE)-16dBV MIXED -10dBV，频率响应：70 Hz -18 kHz；9、静音控制模式：数字导频识别静噪及射频强度双重控制；10、工作环境温度：-10°C to 45°C。</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采用UHF频段PLL频率振荡方式及一键式红外线对频技术；2.具备射频干扰屏蔽功能，抗手机干扰；3.内置多频点共用技术支持，有效避开干扰；4.液晶屏显示内容为：通道、频率、话筒开关、电池电量接收机显示频率等相关信息；5.外置式天线；6.话筒拾音距离最远为30CM；7.话筒充电电池，待机时O耗电，待机时间超1个月。</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调音台</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1、功能描述：6路调音台；2：IO接口：≥2个话筒 ≥6个线路输入，2个单声道，2个立体声。</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外置USB声卡，24bit44.1-192kHz，≥2路输入，≥2路输出；2、1路立体声的前置放大输入支持MIC或乐器输入，带增益旋钮，自带48V供电幻象电源，可以开关；3、立体声耳机监听输出，带调节旋钮；4、2个平衡TRS接口的模拟输出预置音量控制旋钮；5、顶置硬件监听按钮，可直接监听到声卡输入的声音；6、支持的采样率：44.1/48K/88.2K/96K/176.4/192KhZ；7、USB2.0传输及USB供电；8、支持Direct sound，WDMand ASIO2.0；9、支持的电脑系统：Windows7/8/10；10、支持全双工录音和回放。</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无线蓝牙耳机</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1、通讯方式：支持蓝牙4.0及蓝牙5.0；2、双声道，头戴式耳机。</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1、LED影视灯含灯罩*2个2、60*90柔光箱*1个3、Φ65球型柔光罩*1个4、摄影灯架（钢管）*2个5、环形直播灯*1个6、折叠直播灯架*1个</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绿布/支架</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1、背景布：3*6M 绿布，棉材质2、横杆背景架，尺寸3M*3M</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户内KT板定制</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户内党建、就业政策、产业园区介绍等宣传幅面。1、使用符合国标材料，保证2年内不起泡，不褪色；2、含平面设计、生产加工、安装，打印分别率≥300DPI；3、数量：≥80cm*60cm 15个；≥120cm*85cm 15个，≥200cm*120cm 5个。</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户内亚克力定制</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户内党建、就业政策、产业园区介绍等宣传幅面。1、使用符合国标材料，保证2年内不起泡，不褪色；2、含平面设计、生产加工、安装；3、数量：≥80cm*60cm 15个；≥120cm*85cm 15个，≥200cm*120cm 5个。</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休息区域桌椅配套</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1、一桌四椅，E1级防火板材质；2、桌子尺寸120*60*75cm，桌面2.5cm厚度；3、桌脚：40*40方管，材质金属；4、配置2套。</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单摆速通门</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单机芯，两边道</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户外防水，可以直接露天使用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直流无刷电机免维护，全新数字定位，电子防撞机芯</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具有故障自检和报警提示功能，方便用户维护及使用</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灯光指示：高亮度通行灯状态指示，指引通行</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报警提示功能：非法通行或冲闸时，自动发出报警提示</w:t>
            </w:r>
            <w:r>
              <w:rPr>
                <w:rFonts w:hint="eastAsia" w:ascii="宋体" w:hAnsi="宋体" w:cs="宋体"/>
                <w:i w:val="0"/>
                <w:iCs w:val="0"/>
                <w:color w:val="000000"/>
                <w:sz w:val="24"/>
                <w:szCs w:val="24"/>
                <w:u w:val="none"/>
                <w:lang w:eastAsia="zh-CN"/>
              </w:rPr>
              <w:t>；无人值守</w:t>
            </w:r>
            <w:r>
              <w:rPr>
                <w:rFonts w:hint="eastAsia" w:ascii="宋体" w:hAnsi="宋体" w:eastAsia="宋体" w:cs="宋体"/>
                <w:i w:val="0"/>
                <w:iCs w:val="0"/>
                <w:color w:val="000000"/>
                <w:sz w:val="24"/>
                <w:szCs w:val="24"/>
                <w:u w:val="none"/>
              </w:rPr>
              <w:t>：断电摆臂自动常开，通电自动复位（阻挡通行）</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可外接任何控制设备输出的控制信号或按钮或遥控，实现单双向控制通行</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自动复位功能</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每摆动90度，并检测人和物体通过后，即自动复位，或在规定的时间 内(延时多档可调</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未通行时，系统将自动取消此次通行的权限而回归初始位</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防反转功能</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在摆臂复位的过程中，如发生外力逆转摆臂，摆臂即自动启动反推力且发出报警，待外力消失后则自动回到零位恢复通行</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自动保护功能：当外力阻止摆臂正常运动时，且外力连续不断，系统将自动检测20秒后自动保护并进入休眠状态。当下一次合法信号输入时，闸机将自动恢复正常</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多级防撞缓冲功能：非法通行或冲闸时，摆臂缓冲相应角度且启动即时反推力，同时启动报警，在实现人性化防伤害的同时也大大减少了因经常或连续冲撞而产生的机械损坏</w:t>
            </w:r>
            <w:r>
              <w:rPr>
                <w:rFonts w:hint="eastAsia" w:ascii="宋体" w:hAnsi="宋体" w:cs="宋体"/>
                <w:i w:val="0"/>
                <w:iCs w:val="0"/>
                <w:color w:val="000000"/>
                <w:sz w:val="24"/>
                <w:szCs w:val="24"/>
                <w:u w:val="none"/>
                <w:lang w:eastAsia="zh-CN"/>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双摆速通门</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双机芯，用于中间道</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户外防水，可以直接露天使用</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直流无刷电机免维护，全新数字定位，电子防撞机芯</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具有故障自检和报警提示功能，方便用户维护及使用</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灯光指示：高亮度通行灯状态指示，指引通行</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报警提示功能：非法通行或冲闸时，自动发出报警提示</w:t>
            </w:r>
            <w:r>
              <w:rPr>
                <w:rFonts w:hint="eastAsia" w:ascii="宋体" w:hAnsi="宋体" w:cs="宋体"/>
                <w:i w:val="0"/>
                <w:iCs w:val="0"/>
                <w:color w:val="000000"/>
                <w:sz w:val="24"/>
                <w:szCs w:val="24"/>
                <w:u w:val="none"/>
                <w:lang w:eastAsia="zh-CN"/>
              </w:rPr>
              <w:t>；无人值守</w:t>
            </w:r>
            <w:r>
              <w:rPr>
                <w:rFonts w:hint="eastAsia" w:ascii="宋体" w:hAnsi="宋体" w:eastAsia="宋体" w:cs="宋体"/>
                <w:i w:val="0"/>
                <w:iCs w:val="0"/>
                <w:color w:val="000000"/>
                <w:sz w:val="24"/>
                <w:szCs w:val="24"/>
                <w:u w:val="none"/>
              </w:rPr>
              <w:t>：断电摆臂自动常开，通电自动复位（阻挡通行）</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可外接任何控制设备输出的控制信号或按钮或遥控，实现单双向控制通行</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自动复位功能</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每摆动90度，并检测人和物体通过后，即自动复位，或在规定的时间 内(延时多档可调</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未通行时，系统将自动取消此次通行的权限而回归初始位</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防反转功能</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在摆臂复位的过程中，如发生外力逆转摆臂，摆臂即自动启动反推力且发出报警，待外力消失后则自动回到零位恢复通行</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自动保护功能：当外力阻止摆臂正常运动时，且外力连续不断，系统将自动检测20秒后自动保护并进入休眠状态。当下一次合法信号输入时，闸机将自动恢复正常</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多级防撞缓冲功能：非法通行或冲闸时，摆臂缓冲相应角度且启动即时反推力，同时启动报警，在实现人性化防伤害的同时也大大减少了因经常或连续冲撞而产生的机械损坏</w:t>
            </w:r>
            <w:r>
              <w:rPr>
                <w:rFonts w:hint="eastAsia" w:ascii="宋体" w:hAnsi="宋体" w:cs="宋体"/>
                <w:i w:val="0"/>
                <w:iCs w:val="0"/>
                <w:color w:val="000000"/>
                <w:sz w:val="24"/>
                <w:szCs w:val="24"/>
                <w:u w:val="none"/>
                <w:lang w:eastAsia="zh-CN"/>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安防一体机</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具备管理、存储、解码、转发功能，可管理2000路视频通道</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存储Linux嵌入式操作系统，全中文WEB管理界面</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可对硬盘录像机、交通主机、集中存储、云存储、文件存储、流媒体、智能分析、转码服务等后端设备进行管理</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支持通过前置面板接入24块硬盘，支持监控盘和企业级硬盘，可对接入平台的视频及图片进行存储，标配一块4T企业级硬盘</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支持NTP时间同步功能设置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采用可视化管理，在WEB界面上可以对磁盘、RAID组等进行配置操作和状态监控</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支持GB/T 28181协议，可支持并发接入前端摄像机视频或支持给上级平台转发摄像机视频</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支持GA/T 1400协议，可支持接入前端的人车图片，并可以将人车图片转发给上级平台</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自带2个HDMI解码输出口，支持2屏共4路1080P解码输出</w:t>
            </w:r>
            <w:r>
              <w:rPr>
                <w:rFonts w:hint="eastAsia" w:ascii="宋体" w:hAnsi="宋体" w:cs="宋体"/>
                <w:i w:val="0"/>
                <w:iCs w:val="0"/>
                <w:color w:val="000000"/>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软件功能：提供视频监控、设备管理、权限管理、报警管理、电子地图、人员管理、车辆管理、门禁管理、简易AR实景、考勤管理、访客管理、客流统计、智能巡查等业务，并负责对系统拓扑、用户角色、监控设备、报警设备、服务器进行集中配置管理，具备音频视频切换显示、录像存储归档回放、权限分配用户认证、报警联动策略、设备资源管理及任务计划等功能。支持流媒体转发，最大限度利用现有网络资源，节约网络带宽，减轻多路回放时对设备端的压力，实现海量数据的接入和分发；自带文件存储空间，用于存储人脸及车辆等设备的图片。</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人脸识别终端</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8寸LCD大屏显示</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内置mic、扬声器，支持双向语音对讲</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屏幕分辨率1280*800</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1/2.8" 2MP CMOS高清宽动态双摄像头</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支持2万个用户、2万张人脸、10万张卡、2万个密码</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支持戴口罩人脸识别开门，识别准确率≥97%</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支持不戴口罩报警，不戴口罩提醒等多种逻辑组合开门设置</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支持IC卡扇区加密功能，产品安全级别更强大</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支持临时密码功能，访客下发临时密码使用后马上失效</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支持防拆、闯入、门开启超时报警并且反馈后端平台</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人脸识别距离0.3m～2.0m，身高范围0.9m～2.0m</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支持刷卡/远程/密码/二维码/人脸识别开门模式，支持组合开门模式设置</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多种接口类型：报警2入1出，1路485，1个USB接口，1路网口，韦根接口1入1出，1路开门按钮，1路门磁检测，1路门锁控制</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支持多用户开门，实时监控，多重认证，刷卡拍照，WEB配置，防潜回，防拆报警，胁迫报警，门开启超时报警，闯入报警，非法卡超次报警，报警联动，陌生人抓拍</w:t>
            </w:r>
            <w:r>
              <w:rPr>
                <w:rFonts w:hint="eastAsia" w:ascii="宋体" w:hAnsi="宋体" w:cs="宋体"/>
                <w:i w:val="0"/>
                <w:iCs w:val="0"/>
                <w:color w:val="000000"/>
                <w:sz w:val="24"/>
                <w:szCs w:val="24"/>
                <w:u w:val="none"/>
                <w:lang w:eastAsia="zh-CN"/>
              </w:rPr>
              <w:t>。</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二代身份证读卡器模组</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1、可读取二/三代居民身份证、港澳台居民居住证、外国人永久居留身份证的信息；2、兼容ISO 14443-A标准，可识别Mifare卡和CPU卡序列号；3、通信接口：USB2.0接口；4、工作电压：DC 5V；5、工作电流：0.3A（Max）。</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户内KT板定制</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户内党建、就业政策、产业园区介绍等宣传幅面。1、使用符合国标材料，保证2年内不起泡，不褪色；2、含平面设计、生产加工、安装，打印分别率≥300DPI；3、数量：≥80cm*60cm 15个；≥120cm*85cm 15个，≥200cm*120cm 5个。</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户内亚克力定制</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户内党建、就业政策、产业园区介绍等宣传幅面1、使用符合国标材料，保证2年内不起泡，不褪色；2、含平面设计、生产加工、安装；3、数量：≥80cm*60cm 15个；≥120cm*85cm 15个，≥200cm*120cm 5个。</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功能展示区配套桌椅</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1、一桌四椅，E1级防火板材质；2、桌子尺寸120*60*75cm，桌面2.5cm厚度；3、桌脚：40*40方管，材质金属；4、配置2套。</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施工辅助耗材及人工费用</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电力所需2.5平方BVR电线（红）、2.5平方BVR电线（黑）、2.5平方BVR电线（黄/绿）、二三插座、绝缘套管、底盒、金属软管等辅材；2、网络所需光纤收发器、24口六类非屏配线架、封闭式金属理线架、六类网线、单模光缆、单模千兆光纤跳线、ODF机架式</w:t>
            </w:r>
            <w:r>
              <w:rPr>
                <w:rFonts w:hint="eastAsia" w:ascii="宋体" w:hAnsi="宋体" w:cs="宋体"/>
                <w:i w:val="0"/>
                <w:iCs w:val="0"/>
                <w:color w:val="000000"/>
                <w:sz w:val="24"/>
                <w:szCs w:val="24"/>
                <w:u w:val="none"/>
                <w:lang w:eastAsia="zh-CN"/>
              </w:rPr>
              <w:t>光缆配线架</w:t>
            </w:r>
            <w:r>
              <w:rPr>
                <w:rFonts w:hint="eastAsia" w:ascii="宋体" w:hAnsi="宋体" w:eastAsia="宋体" w:cs="宋体"/>
                <w:i w:val="0"/>
                <w:iCs w:val="0"/>
                <w:color w:val="000000"/>
                <w:sz w:val="24"/>
                <w:szCs w:val="24"/>
                <w:u w:val="none"/>
              </w:rPr>
              <w:t>、穿线管等辅材；3、线缆敷设、地面开凿、复原，设备调试及所需辅材；4、招聘展位设计、施工及部分墙面修复及地面修复；5、就业服务接待台设计施工及部分墙面修复及地面修复；6、大屏显示区、功能展示区设计及安装、调试；7、速通门施工、安装、调试及地面修复；8、视频直播室设计施工及部分墙面及地面修复。</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县级互联网+人力资源市场服务提升</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求职交互设备</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1、处理器：主频≥1.2GHz，4核心；</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2、运行内存：≥2G；</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3、存储内存：≥32G；</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4、显示屏：尺寸 ≥13寸，显示分辨率1920*1080；</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5、触摸屏：电容式触摸屏，最多支持10点触摸；</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6、安装方式：嵌入式安装。</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展位信息发布终端</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1、显示参数：≥32inch，1920×1080@60Hz，≥350cd/m2；</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2、CPU：Corte</w:t>
            </w:r>
            <w:r>
              <w:rPr>
                <w:rFonts w:hint="eastAsia" w:ascii="宋体" w:hAnsi="宋体" w:cs="宋体"/>
                <w:i w:val="0"/>
                <w:iCs w:val="0"/>
                <w:color w:val="000000"/>
                <w:kern w:val="0"/>
                <w:sz w:val="24"/>
                <w:szCs w:val="24"/>
                <w:u w:val="none"/>
                <w:lang w:val="en-US" w:eastAsia="zh-CN" w:bidi="ar"/>
              </w:rPr>
              <w:t>x</w:t>
            </w:r>
            <w:r>
              <w:rPr>
                <w:rFonts w:hint="eastAsia" w:ascii="宋体" w:hAnsi="宋体" w:eastAsia="宋体" w:cs="宋体"/>
                <w:i w:val="0"/>
                <w:iCs w:val="0"/>
                <w:color w:val="000000"/>
                <w:kern w:val="0"/>
                <w:sz w:val="24"/>
                <w:szCs w:val="24"/>
                <w:u w:val="none"/>
                <w:lang w:val="en-US" w:eastAsia="zh-CN" w:bidi="ar"/>
              </w:rPr>
              <w:t>架构，4核，主频≥1.3 GHz；</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3、存储参数：内存2G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内置存储16G；</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4、网络：有线、无线WIFI；</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5、音视频接口：HDMI IN × 1, LINE IN支持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LINE OUT支持；</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6、网络接口：LAN × 1；</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7、数据传输接口：USB 2.0 × 2, TF Card × 1, 蓝牙（BT 4.0）；</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8、电源：100~240VAC  50/60 ± 3Hz；</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9、支持通过CS端、BS端、手机、平板移动端、设备本地等多重管理；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10、管理系统支持素材管理功能：添加素材、修改素材、删除素材、审核素材、素材预览，下载</w:t>
            </w:r>
            <w:r>
              <w:rPr>
                <w:rFonts w:hint="eastAsia" w:ascii="宋体" w:hAnsi="宋体" w:cs="宋体"/>
                <w:i w:val="0"/>
                <w:iCs w:val="0"/>
                <w:color w:val="000000"/>
                <w:kern w:val="0"/>
                <w:sz w:val="24"/>
                <w:szCs w:val="24"/>
                <w:u w:val="none"/>
                <w:lang w:val="en-US" w:eastAsia="zh-CN" w:bidi="ar"/>
              </w:rPr>
              <w:t>素材</w:t>
            </w:r>
            <w:r>
              <w:rPr>
                <w:rFonts w:hint="eastAsia" w:ascii="宋体" w:hAnsi="宋体" w:eastAsia="宋体" w:cs="宋体"/>
                <w:i w:val="0"/>
                <w:iCs w:val="0"/>
                <w:color w:val="000000"/>
                <w:kern w:val="0"/>
                <w:sz w:val="24"/>
                <w:szCs w:val="24"/>
                <w:u w:val="none"/>
                <w:lang w:val="en-US" w:eastAsia="zh-CN" w:bidi="ar"/>
              </w:rPr>
              <w:t>模糊搜索，素材精确搜索，替</w:t>
            </w:r>
            <w:r>
              <w:rPr>
                <w:rFonts w:hint="eastAsia" w:ascii="宋体" w:hAnsi="宋体" w:cs="宋体"/>
                <w:i w:val="0"/>
                <w:iCs w:val="0"/>
                <w:color w:val="000000"/>
                <w:kern w:val="0"/>
                <w:sz w:val="24"/>
                <w:szCs w:val="24"/>
                <w:u w:val="none"/>
                <w:lang w:val="en-US" w:eastAsia="zh-CN" w:bidi="ar"/>
              </w:rPr>
              <w:t>换</w:t>
            </w:r>
            <w:r>
              <w:rPr>
                <w:rFonts w:hint="eastAsia" w:ascii="宋体" w:hAnsi="宋体" w:eastAsia="宋体" w:cs="宋体"/>
                <w:i w:val="0"/>
                <w:iCs w:val="0"/>
                <w:color w:val="000000"/>
                <w:kern w:val="0"/>
                <w:sz w:val="24"/>
                <w:szCs w:val="24"/>
                <w:u w:val="none"/>
                <w:lang w:val="en-US" w:eastAsia="zh-CN" w:bidi="ar"/>
              </w:rPr>
              <w:t>素材；</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素材类型：图片bmp、jpg、png、动画（gif）、音频（mp3、wav、wma）、视频rm、rmvb、asf、avi、mpg、3gp、mov、mkv、wmv、flv、mp4、文本（txt）、PDF、Word、PPT、Excel、网页静态：html/htm:；动态：URL、APP、网络摄像机（IP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、URL图片、流媒体服务器（过流媒体的取流链接）、通用数据（弹图、叫号、抓拍）、数据源（支持实时动态更新的图片、视频、文字）；</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12、管理系统支持节目管理功能，新建节目，修改节目（名称、分辨率、属性、描述口），删除节目，复制节目（复制节目模板和完全复制两种），节目预览，审核节日（通过、未通过），隐藏锁定窗口；</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13、支持的节目分辨率：1920*1080、1080*1920、2160*3840、3840*2160、支持自定义分辨率（自定义分辨率最大支持3840*3840）：</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15、支持窗口大小/坐标自定义设置，支持窗口对齐，窗口自动吸附，支持节目窗口按实际尺寸显示和窗口尺寸显示；支持在线文本编辑；支持窗口锁定/解锁、窗口隐藏/显示 、窗口置顶/置底；支持实时预览节目制作效果，可视化显示；</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16、支持按日播放，按周播放，轮播，自定义播放（年365天自定义播放），垫片日程；支持日程按终端组和按终端方式发布，支持定时发布和预发布功能；</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17、安全功能：硬件设备出厂都为未激活状态到客户现场都</w:t>
            </w:r>
            <w:r>
              <w:rPr>
                <w:rFonts w:hint="eastAsia" w:ascii="宋体" w:hAnsi="宋体" w:cs="宋体"/>
                <w:i w:val="0"/>
                <w:iCs w:val="0"/>
                <w:color w:val="000000"/>
                <w:kern w:val="0"/>
                <w:sz w:val="24"/>
                <w:szCs w:val="24"/>
                <w:u w:val="none"/>
                <w:lang w:val="en-US" w:eastAsia="zh-CN" w:bidi="ar"/>
              </w:rPr>
              <w:t>必须</w:t>
            </w:r>
            <w:r>
              <w:rPr>
                <w:rFonts w:hint="eastAsia" w:ascii="宋体" w:hAnsi="宋体" w:eastAsia="宋体" w:cs="宋体"/>
                <w:i w:val="0"/>
                <w:iCs w:val="0"/>
                <w:color w:val="000000"/>
                <w:kern w:val="0"/>
                <w:sz w:val="24"/>
                <w:szCs w:val="24"/>
                <w:u w:val="none"/>
                <w:lang w:val="en-US" w:eastAsia="zh-CN" w:bidi="ar"/>
              </w:rPr>
              <w:t>设置初始密码才能使用信息发布功能；制作终端的播放内容时，需要经过三层审核（素材审核、节目审核、日程审核），可通过设置专人进行终端播放内容审核权限，未审核通过的内容不能发布到终端进行播放，保障节目内容的安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18、支持终端管理功能：添加终端（一个服务器可关联1000个终端），删除终端，修改终端（名称、特征码、分组、描述）终端分组管理；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终端支持功能：定时开关机设置（支持按周、按日配置，每天至少可配置8组策略），时段音量设置（支持按日、按周配置，每人至少可配置8组策略），终端亮度设置，默认音量设置，开机logo设置，终端关联服务器，垫片日程开关、终端密码修改温度保护、终端adb调试、时区设置、SADP开关、附加组件信息（显示SADP、SDK、本地升级、遥控器配对的软件版本号）、终端网络设置、通道关联；终端开机，终端关机，终端重启，终端升级，终端播放，停止播放，</w:t>
            </w:r>
            <w:r>
              <w:rPr>
                <w:rFonts w:hint="eastAsia" w:ascii="宋体" w:hAnsi="宋体" w:cs="宋体"/>
                <w:i w:val="0"/>
                <w:iCs w:val="0"/>
                <w:color w:val="000000"/>
                <w:kern w:val="0"/>
                <w:sz w:val="24"/>
                <w:szCs w:val="24"/>
                <w:u w:val="none"/>
                <w:lang w:val="en-US" w:eastAsia="zh-CN" w:bidi="ar"/>
              </w:rPr>
              <w:t>查看</w:t>
            </w:r>
            <w:r>
              <w:rPr>
                <w:rFonts w:hint="eastAsia" w:ascii="宋体" w:hAnsi="宋体" w:eastAsia="宋体" w:cs="宋体"/>
                <w:i w:val="0"/>
                <w:iCs w:val="0"/>
                <w:color w:val="000000"/>
                <w:kern w:val="0"/>
                <w:sz w:val="24"/>
                <w:szCs w:val="24"/>
                <w:u w:val="none"/>
                <w:lang w:val="en-US" w:eastAsia="zh-CN" w:bidi="ar"/>
              </w:rPr>
              <w:t>终端日程，终端截屏，定时开关机生效，定时开关机失效，定时音量生效，定时音量失效，插播节目或素材，插播文字消息，停止插播，显示发布进度，隐藏发布进度，恢复默认参数、终端远程升级；</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20、服务器支持端口配置，支持服务器数据存储路径配置，支持开机自启动配置，支持恢复默认参数功能，具备看门狗功能；</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21、支持设置系统显示方向，包括0度、90度、180度、270度、360度；</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22、支持联屏播放，支持图片和视频进行联屏播放；并且支持联屏组对联屏下的所有终端进行统一控制，支持的联屏组控制操作包括开关机（休眠）、重启、停止播放开始播放、音量调节、停止插播、</w:t>
            </w:r>
            <w:r>
              <w:rPr>
                <w:rFonts w:hint="eastAsia" w:ascii="宋体" w:hAnsi="宋体" w:cs="宋体"/>
                <w:i w:val="0"/>
                <w:iCs w:val="0"/>
                <w:color w:val="000000"/>
                <w:kern w:val="0"/>
                <w:sz w:val="24"/>
                <w:szCs w:val="24"/>
                <w:u w:val="none"/>
                <w:lang w:val="en-US" w:eastAsia="zh-CN" w:bidi="ar"/>
              </w:rPr>
              <w:t>清空</w:t>
            </w:r>
            <w:r>
              <w:rPr>
                <w:rFonts w:hint="eastAsia" w:ascii="宋体" w:hAnsi="宋体" w:eastAsia="宋体" w:cs="宋体"/>
                <w:i w:val="0"/>
                <w:iCs w:val="0"/>
                <w:color w:val="000000"/>
                <w:kern w:val="0"/>
                <w:sz w:val="24"/>
                <w:szCs w:val="24"/>
                <w:u w:val="none"/>
                <w:lang w:val="en-US" w:eastAsia="zh-CN" w:bidi="ar"/>
              </w:rPr>
              <w:t>播放内容、定时开关机、定时音量、ntp校时、亮度，在同一局域网内同一发布的内容，屏幕的播放进度都能够保持一致；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23、产品满足emc电磁兼容测试，静电放电抗扰度试验应符合GBT17626.2-2018的要求</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浪涌（冲击）抗扰度试验应符合GBT17626.5-2019的要求；满足高低温工作试验、正弦振动试验和包装机械冲击试验；</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自助服务一体机</w:t>
            </w:r>
          </w:p>
        </w:tc>
        <w:tc>
          <w:tcPr>
            <w:tcW w:w="5283"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1、主板：主机CPU：双核，频率≥1.8GHz；网络：100M/1000M自适应以太网卡；（双网口）；</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2、无线网络：WIFI、3G；</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3、硬盘：≥500G，SATA接口，≥64G固态硬盘；</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4、内存：≥4G，DDR3显示模块；</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5、液晶屏：19寸，最大分辨率≥1440×900，可视角度≥80度，亮度≥250cd/平方米，画面响应时间≥5ms；</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6、触摸屏：19寸，单点触摸，红外触摸屏，触摸精度≤1.5mm，响应时间≤16ms，防尘、防污，触摸无偏移；</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7、广告液晶：≥19寸，分辨率≥1920×1080，亮度≥250cd/平方米，可视角度≥150度，画面响应时间≥5ms，支持模拟RGB及数字dvi-d接口输入模块；</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8、密码键盘：16键金属加密键盘，符合国密标准，防水、防尘；</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9、社保卡读写终端：接触式IC读写终端，符合ISO7816规范，识别各类mem</w:t>
            </w:r>
            <w:r>
              <w:rPr>
                <w:rFonts w:hint="eastAsia" w:ascii="宋体" w:hAnsi="宋体" w:cs="宋体"/>
                <w:i w:val="0"/>
                <w:iCs w:val="0"/>
                <w:color w:val="000000"/>
                <w:kern w:val="0"/>
                <w:sz w:val="24"/>
                <w:szCs w:val="24"/>
                <w:u w:val="none"/>
                <w:lang w:val="en-US" w:eastAsia="zh-CN" w:bidi="ar"/>
              </w:rPr>
              <w:t>o</w:t>
            </w:r>
            <w:r>
              <w:rPr>
                <w:rFonts w:hint="eastAsia" w:ascii="宋体" w:hAnsi="宋体" w:eastAsia="宋体" w:cs="宋体"/>
                <w:i w:val="0"/>
                <w:iCs w:val="0"/>
                <w:color w:val="000000"/>
                <w:kern w:val="0"/>
                <w:sz w:val="24"/>
                <w:szCs w:val="24"/>
                <w:u w:val="none"/>
                <w:lang w:val="en-US" w:eastAsia="zh-CN" w:bidi="ar"/>
              </w:rPr>
              <w:t>ry卡、CPU卡，符合《社会保障卡读写终端规范》（中华人民共和国人力资源和社会保障行业标准LD/T 33-2015）；</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10、身份证阅读器：二代身份证阅读器，符合公安部《GA450-2003台式居民身份证阅读器通用技术要求》行业标准，兼容ISO14443（TypeB）标准；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11、摄像头：像素≥100万像素（物理像素），分辨率640×480，帧频≥30fps，自动对焦；</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12、激光打印机：黑白激光打印机，最大打印幅面：A4，打印速度≥24ppm，最高分辨率≥1200dpi。能够扩展打印纸盒，最少≥150页；</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13、喇叭：高清音响；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14、机柜：大堂式机柜，采用优质钢材制造，主体部分钢材厚度≥1.5mm，表面进行喷涂处理，防尘、防爆、耐磨、防锈、防磁、防静电。</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展位隔断</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免漆板主体结构，整体式设计，尺寸：宽度1.65米，深度1.8米，高度不低于1.5米；2、材料：基材采用优质环保板免漆板，甲醛释放量符合E0级环保标准。采用杉木芯免漆生态板，铝合金封边，双层封板中空式结构；3、封边条：选用优质品牌铝合金封边条；4、板材厚度说明：台面、台脚整体板厚度≥40mm，拉板厚度≥6mm；5、五金配件：三节导轨、阻尼铰链；6、预留内部走线位，预留3个86型标准面板安装位；7、预装展位信息展示系统；8、材料干燥处理，坚固耐用、防变形及开裂。具有防火阻燃、耐高温、抗老化特性，同时具有耐酸碱、不易褪色等特性；9、甲醛释放量需符合GB18584-2001(室内装饰装修材料木家具中有害物质限量要求）。</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定制展位桌</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采用三聚氰胺中纤板，通过甲醛释放量符合E0级环保标准材料，台面密度中密，厚度≥40mm，尺寸：长1.2米，宽0.6米，高度不低于80厘米；2、材料干燥处理、坚固耐用、防变形及开裂，具有防火阻燃、耐高温、抗老化特性，同时具有耐酸碱、不易褪色等特性；3、封边条：选用木质封边条；4、设备安装要求，预开嵌入式IC卡读写器孔位及嵌入式交互设备孔位。</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定制工作椅</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坐高65厘米或以上；椅子材质为木质或金属，承重好，耐磨、耐脏、耐氧化；面料：国产优质高密度纳米网布，透气，耐磨，耐脏，耐脏，耐氧化；扶手：扶手和椅身衔接处金属衔接，具有稳固性，同时带有金属亮泽；固定弓架脚，采用优质钢铸，电镀钢脚，光泽亮丽，抗压抗摔不变形，配置2张。</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17个区县级人力资源市场施工、辅材、安装调试</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电力所需2.5平方BVR电线（红）、2.5平方BVR电线（黑）、2.5平方BVR电线（黄/绿）、二三插座、绝缘套管、底盒、金属软管等辅材；网络所需AP、交换机等辅材及施工、调试；线缆敷设、地面开凿、复原，设备调试及所需辅材；招聘展位设计、施工及部分墙面修复及地面修复。</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市级互联网+人力资源市场服务</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无纸化求职交互服务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配置服务人员1名，服务内容为：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1）提供信息系统集成服务，实现求职交互设备、智能招聘展位系统、智慧就业服务平台、自助服务终端系统数据互联互通；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2）提供网络管理服务，保障设备平稳运行，满足日常就业业务开展；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3）提供桌面的管理与维护服务，定时自动开关机，自动还原系统，防止因不同参展企业操作导致桌面凌乱，影响使用；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4）提供数据中心安全服务，重要数据加密处理，防止企业使用时窃取数据。</w:t>
            </w:r>
          </w:p>
        </w:tc>
        <w:tc>
          <w:tcPr>
            <w:tcW w:w="66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企业招工信息发布展示服务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配置服务人员1名，服务内容为：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用户的就业场景和需求，提供专属定制的展示解决方案服务，可根据现有标准UI和数据源进行调整，根据不同的招聘需求进行不同的调整，实现数据的高效可视化和管理，帮助用户在人力资源市场就业服务中获得更多的优势。</w:t>
            </w:r>
          </w:p>
        </w:tc>
        <w:tc>
          <w:tcPr>
            <w:tcW w:w="6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6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自助服务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配置服务人员1名，服务内容为：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1）提供信息系统集成服务，实现求职交互设备、智能招聘展位系统、智慧就业服务平台、自助服务终端系统数据互联互通；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2）提供网络管理服务，保障设备平稳运行，满足日常就业业务开展；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3）提供桌面的管理与维护服务，定时自动开关机，自动还原系统，防止因不同求职人员操作导致桌面凌乱，影响使用；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4）提供数据中心安全服务，重要数据加密处理，防止求职人员使用时窃取数据。</w:t>
            </w:r>
          </w:p>
        </w:tc>
        <w:tc>
          <w:tcPr>
            <w:tcW w:w="6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6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招聘信息展示服务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配置服务人员1名，服务内容为：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1）高效处理和利用数据，根据就业行业场景，定制数据内容展示，进行实时数据更新和监控，为企业和政府机构就业业务发展提供重要的决策因素；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于用户的就业场景和需求，提供专属定制的大屏解决方案，可根据现有标准UI和数据源进行调整，根据不同的招聘需求进行不同的调整，实现数据的高效可视化和管理，帮助用户在人力资源市场就业服务中获得更多的优势。</w:t>
            </w:r>
          </w:p>
        </w:tc>
        <w:tc>
          <w:tcPr>
            <w:tcW w:w="6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6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智能数据分析展示服务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配置服务人员1名，服务内容为：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1）提供可视化大屏定制运维服务，为管理者和用户提供多维度的关键数据展示，让数据可视化更直观，为用户提供有效的决策数据参考；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2）在服务管理的过程工作中，定期进行工作的总结和汇报，需要采集不同科室信息，整合运维事件数据和运维问题数据、就业业务可用性数据等，通过各类可视化的图表工具展示；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基于用户的就业场景和需求，提供专属定制的大屏解决方案，并根据现有标准UI和数据源进行调整，根据不同的招聘需求进行不同的调整，同时集成完善公共就业服务体系建设的软件系统数据，统一进行展示，实现数据的高效可视化和管理，帮助用户在人力资源市场就业服务中获得更多的优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4）除现有服务的可视化外，可根据用户需求提供第三方系统的可视化服务。</w:t>
            </w:r>
          </w:p>
        </w:tc>
        <w:tc>
          <w:tcPr>
            <w:tcW w:w="6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6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县级互联网+人力资源市场服务</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无纸化求职交互服务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配置服务人员2名，服务内容为：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1）提供信息系统集成服务，实现求职交互设备、智能招聘展位系统、智慧就业服务平台、自助服务终端系统数据互联互通；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2）提供网络管理服务，保障设备平稳运行，满足日常就业业务开展；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3）提供桌面的管理与维护服务，定时自动开关机，自动还原系统，防止因不同参展企业操作导致桌面凌乱，影响使用；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4）提供数据中心安全服务，重要数据加密处理，防止企业使用时窃取数据。</w:t>
            </w:r>
          </w:p>
        </w:tc>
        <w:tc>
          <w:tcPr>
            <w:tcW w:w="66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企业招工信息发布展示服务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配置服务人员2名，服务内容为：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用户的就业场景和需求，提供专属定制的展示解决方案服务，可根据现有标准UI和数据源进行调整，根据不同的招聘需求进行不同的调整，实现数据的高效可视化和管理，帮助用户在人力资源市场就业服务中获得更多的优势。</w:t>
            </w:r>
          </w:p>
        </w:tc>
        <w:tc>
          <w:tcPr>
            <w:tcW w:w="6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6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自助服务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配置服务人员2名，服务内容为：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1）提供信息系统集成服务，实现求职交互设备、智能招聘展位系统、智慧就业服务平台、自助服务终端系统数据互联互通；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2）提供网络管理服务，保障设备平稳运行，满足日常就业业务开展；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3）提供桌面的管理与维护服务，定时自动开关机，自动还原系统，防止因不同求职人员操作导致桌面凌乱，影响使用；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4）提供数据中心安全服务，重要数据加密处理，防止求职人员使用时窃取数据。</w:t>
            </w:r>
          </w:p>
        </w:tc>
        <w:tc>
          <w:tcPr>
            <w:tcW w:w="6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6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四级联动基层就业专员服务</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四级联动基层就业专员服务</w:t>
            </w:r>
          </w:p>
        </w:tc>
        <w:tc>
          <w:tcPr>
            <w:tcW w:w="5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配置服务人员17名，服务内容为：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搭建基层就业服务专员服务网络。以社区干部及其他基层工作人员为基础，搭建基层就业服务专员服务体系，收集社区干部及其他基层工作人员信息，完成基层工作人员开通小程序账号、实名认证和服务区域绑定，帮助基层工作人员通过小程序工具开展公共就业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2）开展公共就业服务平台支持。对基层就业服务人员使用公共就业服务平台开展就业活动、就业工作分解及任务下发等工作进行培训、答疑等技术支持。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3）协助开展重点人群就业服务。根据长春市各区发展特色及需求，策划及制订有效、针对性强、可执行的四级联动公共就业运营服务计划，通过四级联动的运作机制、智能工具提升基层服务平台人员能力。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展用工企业招聘撮合服务。根据企业在平台发布的委托招聘的服务订单需求，定期跟踪订单的响应情况、推荐候选人简历情况、人选入职到岗情况、入职员工稳定性情况等，确保入驻服务平台的企业的委托招聘需求能及时</w:t>
            </w:r>
            <w:r>
              <w:rPr>
                <w:rFonts w:hint="eastAsia" w:ascii="宋体" w:hAnsi="宋体" w:cs="宋体"/>
                <w:i w:val="0"/>
                <w:iCs w:val="0"/>
                <w:color w:val="000000"/>
                <w:kern w:val="0"/>
                <w:sz w:val="24"/>
                <w:szCs w:val="24"/>
                <w:u w:val="none"/>
                <w:lang w:val="en-US" w:eastAsia="zh-CN" w:bidi="ar"/>
              </w:rPr>
              <w:t>地</w:t>
            </w:r>
            <w:r>
              <w:rPr>
                <w:rFonts w:hint="eastAsia" w:ascii="宋体" w:hAnsi="宋体" w:eastAsia="宋体" w:cs="宋体"/>
                <w:i w:val="0"/>
                <w:iCs w:val="0"/>
                <w:color w:val="000000"/>
                <w:kern w:val="0"/>
                <w:sz w:val="24"/>
                <w:szCs w:val="24"/>
                <w:u w:val="none"/>
                <w:lang w:val="en-US" w:eastAsia="zh-CN" w:bidi="ar"/>
              </w:rPr>
              <w:t>响应，保障本地企业用工需求，体现平台服务价值。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展人力资源赋能服务。摸清人才数据，建立人力资源数据库；加强重点企业调查分析形成企业画像；精准人岗撮合，深化人才服务，实现从精准匹配——联系求职者和企业洽谈——预约面试——面试情况——是否撮合入职等场景全程跟踪服务、全程服务记录；通过直播带岗对外宣传，加强人才引流；管理人员可及时监控和掌握工作进度，调度和查询获取工作成果数据，快速形成统计报表报告，为基层工作人员提质减负增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6）人力资源市场招聘会运营。支持协助各人力资源市场招聘会运营专员定期开展日常招聘会，面向本地失业人员、高校毕业生、退役军人等开展大型专场招聘会，线上线下结合，现场招聘会和网络招聘会联动。</w:t>
            </w:r>
          </w:p>
        </w:tc>
        <w:tc>
          <w:tcPr>
            <w:tcW w:w="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bookmarkEnd w:id="823"/>
    </w:tbl>
    <w:p>
      <w:pPr>
        <w:keepNext w:val="0"/>
        <w:keepLines w:val="0"/>
        <w:pageBreakBefore w:val="0"/>
        <w:widowControl w:val="0"/>
        <w:kinsoku/>
        <w:wordWrap/>
        <w:overflowPunct/>
        <w:topLinePunct w:val="0"/>
        <w:autoSpaceDE/>
        <w:autoSpaceDN/>
        <w:bidi w:val="0"/>
        <w:adjustRightInd/>
        <w:snapToGrid/>
        <w:ind w:left="0" w:leftChars="0"/>
        <w:textAlignment w:val="auto"/>
        <w:outlineLvl w:val="1"/>
        <w:rPr>
          <w:rFonts w:hint="eastAsia" w:ascii="宋体" w:hAnsi="宋体" w:eastAsia="宋体" w:cs="宋体"/>
          <w:b/>
          <w:bCs/>
          <w:lang w:val="en-US" w:eastAsia="zh-CN"/>
        </w:rPr>
      </w:pPr>
      <w:bookmarkStart w:id="824" w:name="_Toc15596"/>
      <w:bookmarkStart w:id="825" w:name="_Toc3623"/>
      <w:r>
        <w:rPr>
          <w:rFonts w:hint="eastAsia" w:ascii="宋体" w:hAnsi="宋体" w:eastAsia="宋体" w:cs="宋体"/>
          <w:b/>
          <w:bCs/>
          <w:lang w:val="en-US" w:eastAsia="zh-CN"/>
        </w:rPr>
        <w:t>（三）基础设施资源及支撑软件资源服务</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长春市就业链与产业链协同发展示范项目提供人社云服务，包括云平台、机房资源服务、网络资源服务、计算资源服务和存储资源服务、网络支撑资源服务、国产化安全防护服务、安全扫描服务、网站防护服务、近线数据备份服务、密码和认证支撑服务、软件支撑服务、数据安全防护服务、终端安全服务、软件服务智能保障服务等</w:t>
      </w:r>
      <w:r>
        <w:rPr>
          <w:rFonts w:hint="eastAsia" w:ascii="宋体" w:hAnsi="宋体" w:cs="宋体"/>
          <w:lang w:val="en-US" w:eastAsia="zh-CN"/>
        </w:rPr>
        <w:t>，</w:t>
      </w:r>
      <w:r>
        <w:rPr>
          <w:rFonts w:hint="eastAsia" w:ascii="宋体" w:hAnsi="宋体" w:eastAsia="宋体" w:cs="宋体"/>
          <w:b w:val="0"/>
          <w:color w:val="000000"/>
          <w:kern w:val="2"/>
          <w:sz w:val="24"/>
          <w:szCs w:val="24"/>
          <w:lang w:val="en-US" w:eastAsia="zh-CN" w:bidi="ar-SA"/>
        </w:rPr>
        <w:t>在服务期内需要根据管理部门实际要求完成</w:t>
      </w:r>
      <w:r>
        <w:rPr>
          <w:rFonts w:hint="eastAsia" w:ascii="宋体" w:hAnsi="宋体" w:eastAsia="宋体" w:cs="宋体"/>
          <w:b w:val="0"/>
          <w:color w:val="000000"/>
          <w:kern w:val="2"/>
          <w:sz w:val="24"/>
          <w:szCs w:val="24"/>
          <w:lang w:val="en-US" w:eastAsia="en-US" w:bidi="ar-SA"/>
        </w:rPr>
        <w:t>网络</w:t>
      </w:r>
      <w:r>
        <w:rPr>
          <w:rFonts w:hint="eastAsia" w:ascii="宋体" w:hAnsi="宋体" w:eastAsia="宋体" w:cs="宋体"/>
          <w:b w:val="0"/>
          <w:color w:val="000000"/>
          <w:kern w:val="2"/>
          <w:sz w:val="24"/>
          <w:szCs w:val="24"/>
          <w:lang w:val="en-US" w:eastAsia="zh-CN" w:bidi="ar-SA"/>
        </w:rPr>
        <w:t>安全等级保护测评和密码应用安全评估相应内容</w:t>
      </w:r>
      <w:r>
        <w:rPr>
          <w:rFonts w:hint="eastAsia" w:ascii="宋体" w:hAnsi="宋体" w:eastAsia="宋体" w:cs="宋体"/>
          <w:lang w:val="en-US" w:eastAsia="zh-CN"/>
        </w:rPr>
        <w:t>。其中支撑软件及设施设备须符合/满足国产化要求，本服务中所涉及全部软硬件（包括但不限于计算、存储、支撑软件、安全设施、网络设备、云网络资源等）需要在服务期间提供全部所需用户使用授权，本项服务所涉及的全部软硬件设备在服务期间不再收取任何额外费用，服务所需虚机数量根据应用服务部署及应用实际需要进行调整，所涉及软硬件安装部署物理位置可根据用户实际需要调整，整体服务最低要求如下：</w:t>
      </w:r>
    </w:p>
    <w:tbl>
      <w:tblPr>
        <w:tblStyle w:val="44"/>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58"/>
        <w:gridCol w:w="1509"/>
        <w:gridCol w:w="5331"/>
        <w:gridCol w:w="66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9ED3A3" w:themeFill="background1" w:themeFillShade="D8"/>
            <w:vAlign w:val="center"/>
          </w:tcPr>
          <w:p>
            <w:pPr>
              <w:widowControl/>
              <w:jc w:val="center"/>
              <w:textAlignment w:val="center"/>
              <w:rPr>
                <w:rFonts w:ascii="宋体" w:hAnsi="宋体" w:cs="宋体"/>
                <w:b/>
                <w:bCs/>
                <w:color w:val="000000"/>
                <w:sz w:val="24"/>
              </w:rPr>
            </w:pPr>
            <w:r>
              <w:rPr>
                <w:rStyle w:val="145"/>
                <w:rFonts w:hint="default"/>
                <w:lang w:bidi="ar"/>
              </w:rPr>
              <w:t>序号</w:t>
            </w:r>
          </w:p>
        </w:tc>
        <w:tc>
          <w:tcPr>
            <w:tcW w:w="1358" w:type="dxa"/>
            <w:shd w:val="clear" w:color="auto" w:fill="9ED3A3" w:themeFill="background1" w:themeFillShade="D8"/>
            <w:vAlign w:val="center"/>
          </w:tcPr>
          <w:p>
            <w:pPr>
              <w:widowControl/>
              <w:jc w:val="center"/>
              <w:textAlignment w:val="center"/>
              <w:rPr>
                <w:rFonts w:ascii="宋体" w:hAnsi="宋体" w:cs="宋体"/>
                <w:b/>
                <w:bCs/>
                <w:color w:val="000000"/>
                <w:sz w:val="24"/>
              </w:rPr>
            </w:pPr>
            <w:r>
              <w:rPr>
                <w:rStyle w:val="145"/>
                <w:rFonts w:hint="default"/>
                <w:lang w:bidi="ar"/>
              </w:rPr>
              <w:t>服务内容</w:t>
            </w:r>
          </w:p>
        </w:tc>
        <w:tc>
          <w:tcPr>
            <w:tcW w:w="1509" w:type="dxa"/>
            <w:shd w:val="clear" w:color="auto" w:fill="9ED3A3" w:themeFill="background1" w:themeFillShade="D8"/>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分项明细</w:t>
            </w:r>
          </w:p>
        </w:tc>
        <w:tc>
          <w:tcPr>
            <w:tcW w:w="5331" w:type="dxa"/>
            <w:shd w:val="clear" w:color="auto" w:fill="9ED3A3" w:themeFill="background1" w:themeFillShade="D8"/>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技术参数及配置</w:t>
            </w:r>
          </w:p>
        </w:tc>
        <w:tc>
          <w:tcPr>
            <w:tcW w:w="666" w:type="dxa"/>
            <w:shd w:val="clear" w:color="auto" w:fill="9ED3A3" w:themeFill="background1" w:themeFillShade="D8"/>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667" w:type="dxa"/>
            <w:shd w:val="clear" w:color="auto" w:fill="9ED3A3" w:themeFill="background1" w:themeFillShade="D8"/>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0" w:right="-204" w:rightChars="-97" w:firstLine="0" w:firstLineChars="0"/>
              <w:jc w:val="right"/>
              <w:textAlignment w:val="center"/>
              <w:rPr>
                <w:rFonts w:ascii="宋体" w:hAnsi="宋体" w:cs="宋体"/>
                <w:color w:val="000000"/>
                <w:sz w:val="24"/>
              </w:rPr>
            </w:pPr>
          </w:p>
        </w:tc>
        <w:tc>
          <w:tcPr>
            <w:tcW w:w="1358" w:type="dxa"/>
            <w:shd w:val="clear" w:color="auto" w:fill="auto"/>
            <w:noWrap/>
            <w:vAlign w:val="center"/>
          </w:tcPr>
          <w:p>
            <w:pPr>
              <w:widowControl/>
              <w:jc w:val="center"/>
              <w:rPr>
                <w:rFonts w:ascii="宋体" w:hAnsi="宋体" w:cs="宋体"/>
                <w:color w:val="000000"/>
                <w:sz w:val="24"/>
              </w:rPr>
            </w:pPr>
            <w:r>
              <w:rPr>
                <w:rFonts w:hint="eastAsia" w:ascii="宋体" w:hAnsi="宋体" w:cs="宋体"/>
                <w:color w:val="000000"/>
                <w:sz w:val="24"/>
              </w:rPr>
              <w:t>网络资源服务</w:t>
            </w: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金保专线服务</w:t>
            </w:r>
          </w:p>
        </w:tc>
        <w:tc>
          <w:tcPr>
            <w:tcW w:w="5331" w:type="dxa"/>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延伸人社“金保专线”覆盖面，将“金保专线”铺设至双阳区、农安县、九台区、榆树市、德惠市、公主岭市下设街（乡、镇）就业部门，共计129条专线，其中包含39个街道和90个乡镇，每条专线带宽不少于10M，网络满足三级等保要求，服务期限为3年。</w:t>
            </w:r>
          </w:p>
          <w:p>
            <w:pPr>
              <w:pStyle w:val="2"/>
              <w:ind w:left="0" w:leftChars="0" w:firstLine="0" w:firstLineChars="0"/>
              <w:jc w:val="left"/>
              <w:rPr>
                <w:rFonts w:hint="eastAsia" w:ascii="宋体" w:hAnsi="宋体" w:cs="宋体"/>
                <w:color w:val="000000"/>
                <w:kern w:val="0"/>
                <w:sz w:val="24"/>
                <w:lang w:bidi="ar"/>
              </w:rPr>
            </w:pPr>
            <w:r>
              <w:rPr>
                <w:rFonts w:hint="eastAsia" w:ascii="宋体" w:hAnsi="宋体" w:cs="宋体"/>
                <w:color w:val="000000"/>
                <w:kern w:val="0"/>
                <w:sz w:val="24"/>
                <w:lang w:bidi="ar"/>
              </w:rPr>
              <w:t>满足金保专线</w:t>
            </w:r>
            <w:r>
              <w:rPr>
                <w:rFonts w:hint="eastAsia" w:ascii="宋体" w:hAnsi="宋体" w:cs="宋体"/>
                <w:color w:val="000000"/>
                <w:kern w:val="0"/>
                <w:sz w:val="24"/>
                <w:lang w:val="en-US" w:eastAsia="zh-CN" w:bidi="ar"/>
              </w:rPr>
              <w:t>需求应</w:t>
            </w:r>
            <w:r>
              <w:rPr>
                <w:rFonts w:hint="eastAsia" w:ascii="宋体" w:hAnsi="宋体" w:cs="宋体"/>
                <w:color w:val="000000"/>
                <w:kern w:val="0"/>
                <w:sz w:val="24"/>
                <w:lang w:bidi="ar"/>
              </w:rPr>
              <w:t>配置如下</w:t>
            </w:r>
            <w:r>
              <w:rPr>
                <w:rFonts w:hint="eastAsia" w:ascii="宋体" w:hAnsi="宋体" w:cs="宋体"/>
                <w:color w:val="000000"/>
                <w:kern w:val="0"/>
                <w:sz w:val="24"/>
                <w:lang w:val="en-US" w:eastAsia="zh-CN" w:bidi="ar"/>
              </w:rPr>
              <w:t>设备</w:t>
            </w:r>
            <w:r>
              <w:rPr>
                <w:rFonts w:hint="eastAsia" w:ascii="宋体" w:hAnsi="宋体" w:cs="宋体"/>
                <w:color w:val="000000"/>
                <w:kern w:val="0"/>
                <w:sz w:val="24"/>
                <w:lang w:bidi="ar"/>
              </w:rPr>
              <w:t>：</w:t>
            </w:r>
          </w:p>
          <w:p>
            <w:pPr>
              <w:pStyle w:val="2"/>
              <w:numPr>
                <w:ilvl w:val="0"/>
                <w:numId w:val="4"/>
              </w:numPr>
              <w:ind w:left="0" w:leftChars="0" w:firstLine="0" w:firstLineChars="0"/>
              <w:jc w:val="left"/>
              <w:rPr>
                <w:rFonts w:hint="eastAsia" w:ascii="宋体" w:hAnsi="宋体" w:cs="宋体"/>
                <w:color w:val="000000"/>
                <w:kern w:val="0"/>
                <w:sz w:val="24"/>
                <w:lang w:bidi="ar"/>
              </w:rPr>
            </w:pPr>
            <w:r>
              <w:rPr>
                <w:rFonts w:hint="eastAsia" w:ascii="宋体" w:hAnsi="宋体" w:cs="宋体"/>
                <w:color w:val="000000"/>
                <w:kern w:val="0"/>
                <w:sz w:val="24"/>
                <w:lang w:bidi="ar"/>
              </w:rPr>
              <w:t>出口交换机（2台）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10/100/1000Base-T自适应以太网端口不少于48个，万兆SFP+口不少于</w:t>
            </w:r>
            <w:r>
              <w:rPr>
                <w:rFonts w:ascii="宋体" w:hAnsi="宋体" w:cs="宋体"/>
                <w:color w:val="000000"/>
                <w:kern w:val="0"/>
                <w:sz w:val="24"/>
                <w:lang w:bidi="ar"/>
              </w:rPr>
              <w:t>4</w:t>
            </w:r>
            <w:r>
              <w:rPr>
                <w:rFonts w:hint="eastAsia" w:ascii="宋体" w:hAnsi="宋体" w:cs="宋体"/>
                <w:color w:val="000000"/>
                <w:kern w:val="0"/>
                <w:sz w:val="24"/>
                <w:lang w:bidi="ar"/>
              </w:rPr>
              <w:t>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2、路由器（1台）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整机交换容量不少于 135Gbps， 整机转发性能 不少于150Mpps ，IP</w:t>
            </w:r>
            <w:r>
              <w:rPr>
                <w:rFonts w:hint="eastAsia" w:ascii="宋体" w:hAnsi="宋体" w:cs="宋体"/>
                <w:color w:val="000000"/>
                <w:kern w:val="0"/>
                <w:sz w:val="24"/>
                <w:lang w:val="en-US" w:eastAsia="zh-CN" w:bidi="ar"/>
              </w:rPr>
              <w:t>S</w:t>
            </w:r>
            <w:r>
              <w:rPr>
                <w:rFonts w:hint="eastAsia" w:ascii="宋体" w:hAnsi="宋体" w:cs="宋体"/>
                <w:color w:val="000000"/>
                <w:kern w:val="0"/>
                <w:sz w:val="24"/>
                <w:lang w:bidi="ar"/>
              </w:rPr>
              <w:t>ec吞吐量4.8Gbps固定端口不少于3GE（Combo）+ 2SFP+。</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3、48口千兆交换机（万兆上行）（4台）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10/100/1000BASE-T电口不少于24个</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支持1G/10G BASE-X SFP+端口不少于4个。</w:t>
            </w:r>
          </w:p>
          <w:p>
            <w:pPr>
              <w:numPr>
                <w:ilvl w:val="0"/>
                <w:numId w:val="0"/>
              </w:numPr>
              <w:jc w:val="left"/>
              <w:rPr>
                <w:rFonts w:hint="eastAsia" w:eastAsia="宋体"/>
                <w:lang w:val="en-US" w:eastAsia="zh-CN"/>
              </w:rPr>
            </w:pPr>
            <w:r>
              <w:rPr>
                <w:rFonts w:hint="eastAsia" w:ascii="宋体" w:hAnsi="宋体" w:eastAsia="宋体" w:cs="宋体"/>
                <w:color w:val="000000"/>
                <w:kern w:val="0"/>
                <w:sz w:val="24"/>
                <w:szCs w:val="24"/>
                <w:lang w:val="en-US" w:eastAsia="zh-CN" w:bidi="ar"/>
              </w:rPr>
              <w:t>4、边界智能安全网关（129台）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（1）硬件架构：国产化CPU；</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（2）接口要求：千兆光接口≥1个、千兆电口接口≥4个， USB≥1个， CON口≥1个。</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（3）性能要求：整机吞吐≥1Gbps，并发≥30万，HTTP每秒新建≥15000。</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（4）高可靠性：需具备HA能力，支持主备模式，双主模式，其中A双主模式支持路由、透明和旁路等多种模式部署。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（5）部署模式：支持部署方式为路由模式、透明（网桥）模式、混合模式。</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（6）应用识别：支持4000种以上应用识别库。</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（7）用户认证：支持口令认证、短信认证等。</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（8）路由功能：需支持IPv4以及IPv6路由能力，需要支持OSFP、BGP、RIP、ISIS等路由协议。</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（9）安全策略：支持基于应用的安全策略，支持Web UI进行安全策略导入导出操作，支持对策略命中统计；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（10）VPN功能：需支持IPSec VPN\SSL VPN\L2TP VPN\GRE VPN等VPN技术，支持IP</w:t>
            </w:r>
            <w:r>
              <w:rPr>
                <w:rFonts w:hint="eastAsia" w:ascii="宋体" w:hAnsi="宋体" w:cs="宋体"/>
                <w:color w:val="000000"/>
                <w:kern w:val="0"/>
                <w:sz w:val="24"/>
                <w:szCs w:val="24"/>
                <w:lang w:val="en-US" w:eastAsia="zh-CN" w:bidi="ar"/>
              </w:rPr>
              <w:t>S</w:t>
            </w:r>
            <w:r>
              <w:rPr>
                <w:rFonts w:hint="eastAsia" w:ascii="宋体" w:hAnsi="宋体" w:eastAsia="宋体" w:cs="宋体"/>
                <w:color w:val="000000"/>
                <w:kern w:val="0"/>
                <w:sz w:val="24"/>
                <w:szCs w:val="24"/>
                <w:lang w:val="en-US" w:eastAsia="zh-CN" w:bidi="ar"/>
              </w:rPr>
              <w:t>ec VPN智能选路，根据隧道质量调度流量；</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（11）攻击防护：支持多种攻击防护，包括不限于ICMP Flood、UDP Flood攻击、SYN Flood攻击、WinNuke攻击、IP地址欺骗（IP Spoofing）攻击、地址扫描与端口扫描攻击、Ping of Death攻击、Teardrop攻击防护、Smurf攻击、Fraggle攻击、Land攻击；</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（12）IPS：支持攻击检测和防御，特征库支持网络实时更新；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（13）病毒过滤：支持基于流的病毒过滤，支持压缩病毒文件的扫描，支持不少于5层压缩文件的解压查杀；</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（14）网页访问控制：支持URL黑白名单。</w:t>
            </w:r>
          </w:p>
        </w:tc>
        <w:tc>
          <w:tcPr>
            <w:tcW w:w="666" w:type="dxa"/>
            <w:shd w:val="clear" w:color="auto" w:fill="auto"/>
            <w:noWrap/>
            <w:vAlign w:val="center"/>
          </w:tcPr>
          <w:p>
            <w:pPr>
              <w:widowControl/>
              <w:jc w:val="center"/>
              <w:rPr>
                <w:rFonts w:ascii="宋体" w:hAnsi="宋体" w:cs="宋体"/>
                <w:color w:val="000000"/>
                <w:sz w:val="24"/>
              </w:rPr>
            </w:pPr>
            <w:r>
              <w:rPr>
                <w:rFonts w:hint="eastAsia" w:ascii="宋体" w:hAnsi="宋体" w:cs="宋体"/>
                <w:color w:val="000000"/>
                <w:sz w:val="24"/>
              </w:rPr>
              <w:t>项</w:t>
            </w:r>
          </w:p>
        </w:tc>
        <w:tc>
          <w:tcPr>
            <w:tcW w:w="667" w:type="dxa"/>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3" w:type="dxa"/>
            <w:shd w:val="clear" w:color="auto" w:fill="auto"/>
            <w:noWrap/>
            <w:vAlign w:val="center"/>
          </w:tcPr>
          <w:p>
            <w:pPr>
              <w:pStyle w:val="117"/>
              <w:widowControl/>
              <w:numPr>
                <w:ilvl w:val="0"/>
                <w:numId w:val="3"/>
              </w:numPr>
              <w:snapToGrid w:val="0"/>
              <w:ind w:right="-460" w:rightChars="-219" w:firstLineChars="0"/>
              <w:jc w:val="center"/>
              <w:textAlignment w:val="center"/>
              <w:rPr>
                <w:rFonts w:ascii="宋体" w:hAnsi="宋体" w:cs="宋体"/>
                <w:color w:val="000000"/>
                <w:kern w:val="0"/>
                <w:sz w:val="24"/>
                <w:lang w:bidi="ar"/>
              </w:rPr>
            </w:pPr>
          </w:p>
        </w:tc>
        <w:tc>
          <w:tcPr>
            <w:tcW w:w="1358" w:type="dxa"/>
            <w:vMerge w:val="restart"/>
            <w:shd w:val="clear" w:color="auto" w:fill="auto"/>
            <w:noWrap/>
            <w:vAlign w:val="center"/>
          </w:tcPr>
          <w:p>
            <w:pPr>
              <w:widowControl/>
              <w:jc w:val="center"/>
              <w:rPr>
                <w:rFonts w:ascii="宋体" w:hAnsi="宋体" w:cs="宋体"/>
                <w:color w:val="000000"/>
                <w:sz w:val="24"/>
              </w:rPr>
            </w:pPr>
            <w:r>
              <w:rPr>
                <w:rFonts w:hint="eastAsia" w:ascii="宋体" w:hAnsi="宋体" w:cs="宋体"/>
                <w:color w:val="000000"/>
                <w:sz w:val="24"/>
              </w:rPr>
              <w:t>计算及存储资源服务</w:t>
            </w:r>
          </w:p>
        </w:tc>
        <w:tc>
          <w:tcPr>
            <w:tcW w:w="1509" w:type="dxa"/>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计算资源服务</w:t>
            </w:r>
          </w:p>
        </w:tc>
        <w:tc>
          <w:tcPr>
            <w:tcW w:w="5331" w:type="dxa"/>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1、服务配置：按需新建国产化私有云服务，云计算资源池V</w:t>
            </w:r>
            <w:r>
              <w:rPr>
                <w:rFonts w:ascii="宋体" w:hAnsi="宋体" w:cs="宋体"/>
                <w:color w:val="000000"/>
                <w:kern w:val="0"/>
                <w:sz w:val="24"/>
                <w:lang w:bidi="ar"/>
              </w:rPr>
              <w:t>CPU</w:t>
            </w:r>
            <w:r>
              <w:rPr>
                <w:rFonts w:hint="eastAsia" w:ascii="宋体" w:hAnsi="宋体" w:cs="宋体"/>
                <w:color w:val="000000"/>
                <w:kern w:val="0"/>
                <w:sz w:val="24"/>
                <w:lang w:bidi="ar"/>
              </w:rPr>
              <w:t>不少于</w:t>
            </w:r>
            <w:r>
              <w:rPr>
                <w:rFonts w:hint="eastAsia" w:ascii="宋体" w:hAnsi="宋体" w:cs="宋体"/>
                <w:color w:val="000000"/>
                <w:kern w:val="0"/>
                <w:sz w:val="24"/>
                <w:lang w:val="en-US" w:eastAsia="zh-CN" w:bidi="ar"/>
              </w:rPr>
              <w:t>330</w:t>
            </w:r>
            <w:r>
              <w:rPr>
                <w:rFonts w:hint="eastAsia" w:ascii="宋体" w:hAnsi="宋体" w:cs="宋体"/>
                <w:color w:val="000000"/>
                <w:kern w:val="0"/>
                <w:sz w:val="24"/>
                <w:lang w:bidi="ar"/>
              </w:rPr>
              <w:t>核、内存不少于1</w:t>
            </w:r>
            <w:r>
              <w:rPr>
                <w:rFonts w:hint="eastAsia" w:ascii="宋体" w:hAnsi="宋体" w:cs="宋体"/>
                <w:color w:val="000000"/>
                <w:kern w:val="0"/>
                <w:sz w:val="24"/>
                <w:lang w:val="en-US" w:eastAsia="zh-CN" w:bidi="ar"/>
              </w:rPr>
              <w:t>60</w:t>
            </w:r>
            <w:r>
              <w:rPr>
                <w:rFonts w:ascii="宋体" w:hAnsi="宋体" w:cs="宋体"/>
                <w:color w:val="000000"/>
                <w:kern w:val="0"/>
                <w:sz w:val="24"/>
                <w:lang w:bidi="ar"/>
              </w:rPr>
              <w:t>0GB</w:t>
            </w:r>
            <w:r>
              <w:rPr>
                <w:rFonts w:hint="eastAsia" w:ascii="宋体" w:hAnsi="宋体" w:cs="宋体"/>
                <w:color w:val="000000"/>
                <w:kern w:val="0"/>
                <w:sz w:val="24"/>
                <w:lang w:bidi="ar"/>
              </w:rPr>
              <w:t>，裸金属国产化数据库服务器不少于</w:t>
            </w:r>
            <w:r>
              <w:rPr>
                <w:rFonts w:ascii="宋体" w:hAnsi="宋体" w:cs="宋体"/>
                <w:color w:val="000000"/>
                <w:kern w:val="0"/>
                <w:sz w:val="24"/>
                <w:lang w:bidi="ar"/>
              </w:rPr>
              <w:t>3</w:t>
            </w:r>
            <w:r>
              <w:rPr>
                <w:rFonts w:hint="eastAsia" w:ascii="宋体" w:hAnsi="宋体" w:cs="宋体"/>
                <w:color w:val="000000"/>
                <w:kern w:val="0"/>
                <w:sz w:val="24"/>
                <w:lang w:bidi="ar"/>
              </w:rPr>
              <w:t>台</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基础支撑服务器不少于1台</w:t>
            </w:r>
            <w:r>
              <w:rPr>
                <w:rFonts w:hint="eastAsia" w:ascii="宋体" w:hAnsi="宋体" w:cs="宋体"/>
                <w:color w:val="000000"/>
                <w:kern w:val="0"/>
                <w:sz w:val="24"/>
                <w:lang w:bidi="ar"/>
              </w:rPr>
              <w:t>；</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2、安全要求：满足等保2</w:t>
            </w:r>
            <w:r>
              <w:rPr>
                <w:rFonts w:ascii="宋体" w:hAnsi="宋体" w:cs="宋体"/>
                <w:color w:val="000000"/>
                <w:kern w:val="0"/>
                <w:sz w:val="24"/>
                <w:lang w:bidi="ar"/>
              </w:rPr>
              <w:t>.0</w:t>
            </w:r>
            <w:r>
              <w:rPr>
                <w:rFonts w:hint="eastAsia" w:ascii="宋体" w:hAnsi="宋体" w:cs="宋体"/>
                <w:color w:val="000000"/>
                <w:kern w:val="0"/>
                <w:sz w:val="24"/>
                <w:lang w:bidi="ar"/>
              </w:rPr>
              <w:t>三级要求，满足密评要求；</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3、云计算宿主机配置：国产化C</w:t>
            </w:r>
            <w:r>
              <w:rPr>
                <w:rFonts w:ascii="宋体" w:hAnsi="宋体" w:cs="宋体"/>
                <w:color w:val="000000"/>
                <w:kern w:val="0"/>
                <w:sz w:val="24"/>
                <w:lang w:bidi="ar"/>
              </w:rPr>
              <w:t>PU</w:t>
            </w:r>
            <w:r>
              <w:rPr>
                <w:rFonts w:hint="eastAsia" w:ascii="宋体" w:hAnsi="宋体" w:cs="宋体"/>
                <w:color w:val="000000"/>
                <w:kern w:val="0"/>
                <w:sz w:val="24"/>
                <w:lang w:bidi="ar"/>
              </w:rPr>
              <w:t>不少于2颗物理核，处理器配置不少于</w:t>
            </w:r>
            <w:r>
              <w:rPr>
                <w:rFonts w:ascii="宋体" w:hAnsi="宋体" w:cs="宋体"/>
                <w:color w:val="000000"/>
                <w:kern w:val="0"/>
                <w:sz w:val="24"/>
                <w:lang w:bidi="ar"/>
              </w:rPr>
              <w:t>48</w:t>
            </w:r>
            <w:r>
              <w:rPr>
                <w:rFonts w:hint="eastAsia" w:ascii="宋体" w:hAnsi="宋体" w:cs="宋体"/>
                <w:color w:val="000000"/>
                <w:kern w:val="0"/>
                <w:sz w:val="24"/>
                <w:lang w:bidi="ar"/>
              </w:rPr>
              <w:t>线程、2</w:t>
            </w:r>
            <w:r>
              <w:rPr>
                <w:rFonts w:ascii="宋体" w:hAnsi="宋体" w:cs="宋体"/>
                <w:color w:val="000000"/>
                <w:kern w:val="0"/>
                <w:sz w:val="24"/>
                <w:lang w:bidi="ar"/>
              </w:rPr>
              <w:t>.0GH</w:t>
            </w:r>
            <w:r>
              <w:rPr>
                <w:rFonts w:hint="eastAsia" w:ascii="宋体" w:hAnsi="宋体" w:cs="宋体"/>
                <w:color w:val="000000"/>
                <w:kern w:val="0"/>
                <w:sz w:val="24"/>
                <w:lang w:bidi="ar"/>
              </w:rPr>
              <w:t>z，RAID卡(含cache 含掉电保护模块</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，Raid卡(链路支持12G，不少于4G cache，提供掉电保护</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，双端口10GE网卡（含模块）不少于2块；</w:t>
            </w:r>
          </w:p>
          <w:p>
            <w:pPr>
              <w:widowControl/>
              <w:jc w:val="left"/>
              <w:textAlignment w:val="center"/>
              <w:rPr>
                <w:rFonts w:hint="eastAsia" w:ascii="宋体" w:hAnsi="宋体" w:cs="宋体"/>
                <w:color w:val="000000"/>
                <w:kern w:val="0"/>
                <w:sz w:val="24"/>
                <w:lang w:bidi="ar"/>
              </w:rPr>
            </w:pPr>
            <w:r>
              <w:rPr>
                <w:rFonts w:ascii="宋体" w:hAnsi="宋体" w:cs="宋体"/>
                <w:color w:val="000000"/>
                <w:kern w:val="0"/>
                <w:sz w:val="24"/>
                <w:lang w:bidi="ar"/>
              </w:rPr>
              <w:t>4</w:t>
            </w:r>
            <w:r>
              <w:rPr>
                <w:rFonts w:hint="eastAsia" w:ascii="宋体" w:hAnsi="宋体" w:cs="宋体"/>
                <w:color w:val="000000"/>
                <w:kern w:val="0"/>
                <w:sz w:val="24"/>
                <w:lang w:bidi="ar"/>
              </w:rPr>
              <w:t>、裸金属国产化数据库服务器配置：国产化C</w:t>
            </w:r>
            <w:r>
              <w:rPr>
                <w:rFonts w:ascii="宋体" w:hAnsi="宋体" w:cs="宋体"/>
                <w:color w:val="000000"/>
                <w:kern w:val="0"/>
                <w:sz w:val="24"/>
                <w:lang w:bidi="ar"/>
              </w:rPr>
              <w:t>PU</w:t>
            </w:r>
            <w:r>
              <w:rPr>
                <w:rFonts w:hint="eastAsia" w:ascii="宋体" w:hAnsi="宋体" w:cs="宋体"/>
                <w:color w:val="000000"/>
                <w:kern w:val="0"/>
                <w:sz w:val="24"/>
                <w:lang w:bidi="ar"/>
              </w:rPr>
              <w:t>不少于2颗物理核，处理器配置不少于</w:t>
            </w:r>
            <w:r>
              <w:rPr>
                <w:rFonts w:ascii="宋体" w:hAnsi="宋体" w:cs="宋体"/>
                <w:color w:val="000000"/>
                <w:kern w:val="0"/>
                <w:sz w:val="24"/>
                <w:lang w:bidi="ar"/>
              </w:rPr>
              <w:t>48</w:t>
            </w:r>
            <w:r>
              <w:rPr>
                <w:rFonts w:hint="eastAsia" w:ascii="宋体" w:hAnsi="宋体" w:cs="宋体"/>
                <w:color w:val="000000"/>
                <w:kern w:val="0"/>
                <w:sz w:val="24"/>
                <w:lang w:bidi="ar"/>
              </w:rPr>
              <w:t>线程、2</w:t>
            </w:r>
            <w:r>
              <w:rPr>
                <w:rFonts w:ascii="宋体" w:hAnsi="宋体" w:cs="宋体"/>
                <w:color w:val="000000"/>
                <w:kern w:val="0"/>
                <w:sz w:val="24"/>
                <w:lang w:bidi="ar"/>
              </w:rPr>
              <w:t>.0GH</w:t>
            </w:r>
            <w:r>
              <w:rPr>
                <w:rFonts w:hint="eastAsia" w:ascii="宋体" w:hAnsi="宋体" w:cs="宋体"/>
                <w:color w:val="000000"/>
                <w:kern w:val="0"/>
                <w:sz w:val="24"/>
                <w:lang w:bidi="ar"/>
              </w:rPr>
              <w:t>z，RAID卡(含cache 含掉电保护模块</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，Raid卡(链路支持12G，不少于4G cache，提供掉电保护</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，双端口10GE网卡（含模块）不少于2块；</w:t>
            </w:r>
          </w:p>
          <w:p>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5、管理服务器：节点不少于3台，国产化CPU不少于2颗物理核，</w:t>
            </w:r>
            <w:r>
              <w:rPr>
                <w:rFonts w:hint="eastAsia" w:ascii="宋体" w:hAnsi="宋体" w:eastAsia="宋体" w:cs="宋体"/>
                <w:color w:val="000000"/>
                <w:kern w:val="0"/>
                <w:sz w:val="24"/>
                <w:lang w:bidi="ar"/>
              </w:rPr>
              <w:t>处理器配置不少于</w:t>
            </w:r>
            <w:r>
              <w:rPr>
                <w:rFonts w:hint="eastAsia" w:ascii="宋体" w:hAnsi="宋体" w:eastAsia="宋体" w:cs="宋体"/>
                <w:color w:val="000000"/>
                <w:kern w:val="0"/>
                <w:sz w:val="24"/>
                <w:lang w:val="en-US" w:eastAsia="zh-CN" w:bidi="ar"/>
              </w:rPr>
              <w:t>32</w:t>
            </w:r>
            <w:r>
              <w:rPr>
                <w:rFonts w:hint="eastAsia" w:ascii="宋体" w:hAnsi="宋体" w:eastAsia="宋体" w:cs="宋体"/>
                <w:color w:val="000000"/>
                <w:kern w:val="0"/>
                <w:sz w:val="24"/>
                <w:lang w:bidi="ar"/>
              </w:rPr>
              <w:t>线程、2</w:t>
            </w:r>
            <w:r>
              <w:rPr>
                <w:rFonts w:ascii="宋体" w:hAnsi="宋体" w:eastAsia="宋体" w:cs="宋体"/>
                <w:color w:val="000000"/>
                <w:kern w:val="0"/>
                <w:sz w:val="24"/>
                <w:lang w:bidi="ar"/>
              </w:rPr>
              <w:t>.0GH</w:t>
            </w:r>
            <w:r>
              <w:rPr>
                <w:rFonts w:hint="eastAsia" w:ascii="宋体" w:hAnsi="宋体" w:eastAsia="宋体" w:cs="宋体"/>
                <w:color w:val="000000"/>
                <w:kern w:val="0"/>
                <w:sz w:val="24"/>
                <w:lang w:bidi="ar"/>
              </w:rPr>
              <w:t>z，</w:t>
            </w:r>
            <w:r>
              <w:rPr>
                <w:rFonts w:hint="eastAsia" w:ascii="宋体" w:hAnsi="宋体" w:eastAsia="宋体" w:cs="宋体"/>
                <w:color w:val="000000"/>
                <w:kern w:val="0"/>
                <w:sz w:val="24"/>
                <w:lang w:val="en-US" w:eastAsia="zh-CN" w:bidi="ar"/>
              </w:rPr>
              <w:t>内存不小于512GB；系统盘1.8TB不小于2块；数据盘960GB不少于1块（SATA SSD，5年DWPD≥3）；数据盘8TB不小于2块（6Gbps sata,7200rpm）；RAID卡(含cache 含掉电保护模块</w:t>
            </w:r>
            <w:r>
              <w:rPr>
                <w:rFonts w:hint="eastAsia" w:ascii="宋体" w:hAnsi="宋体" w:cs="宋体"/>
                <w:color w:val="000000"/>
                <w:kern w:val="0"/>
                <w:sz w:val="24"/>
                <w:lang w:val="en-US" w:eastAsia="zh-CN" w:bidi="ar"/>
              </w:rPr>
              <w:t>）</w:t>
            </w:r>
            <w:r>
              <w:rPr>
                <w:rFonts w:hint="eastAsia" w:ascii="宋体" w:hAnsi="宋体" w:eastAsia="宋体" w:cs="宋体"/>
                <w:color w:val="000000"/>
                <w:kern w:val="0"/>
                <w:sz w:val="24"/>
                <w:lang w:val="en-US" w:eastAsia="zh-CN" w:bidi="ar"/>
              </w:rPr>
              <w:t>：Raid卡(链路支持12G，不低于4G cache，提供掉电保护</w:t>
            </w:r>
            <w:r>
              <w:rPr>
                <w:rFonts w:hint="eastAsia" w:ascii="宋体" w:hAnsi="宋体" w:cs="宋体"/>
                <w:color w:val="000000"/>
                <w:kern w:val="0"/>
                <w:sz w:val="24"/>
                <w:lang w:val="en-US" w:eastAsia="zh-CN" w:bidi="ar"/>
              </w:rPr>
              <w:t>）</w:t>
            </w:r>
            <w:r>
              <w:rPr>
                <w:rFonts w:hint="eastAsia" w:ascii="宋体" w:hAnsi="宋体" w:eastAsia="宋体" w:cs="宋体"/>
                <w:color w:val="000000"/>
                <w:kern w:val="0"/>
                <w:sz w:val="24"/>
                <w:lang w:val="en-US" w:eastAsia="zh-CN" w:bidi="ar"/>
              </w:rPr>
              <w:t>；双端口10GE网卡（含模块）不</w:t>
            </w:r>
            <w:r>
              <w:rPr>
                <w:rFonts w:hint="eastAsia" w:ascii="宋体" w:hAnsi="宋体" w:eastAsia="宋体" w:cs="宋体"/>
                <w:color w:val="000000"/>
                <w:kern w:val="0"/>
                <w:sz w:val="24"/>
                <w:lang w:bidi="ar"/>
              </w:rPr>
              <w:t>少</w:t>
            </w:r>
            <w:r>
              <w:rPr>
                <w:rFonts w:hint="eastAsia" w:ascii="宋体" w:hAnsi="宋体" w:eastAsia="宋体" w:cs="宋体"/>
                <w:color w:val="000000"/>
                <w:kern w:val="0"/>
                <w:sz w:val="24"/>
                <w:lang w:val="en-US" w:eastAsia="zh-CN" w:bidi="ar"/>
              </w:rPr>
              <w:t>于2块。</w:t>
            </w:r>
          </w:p>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6</w:t>
            </w:r>
            <w:r>
              <w:rPr>
                <w:rFonts w:hint="eastAsia" w:ascii="宋体" w:hAnsi="宋体" w:eastAsia="宋体" w:cs="宋体"/>
                <w:color w:val="000000"/>
                <w:kern w:val="0"/>
                <w:sz w:val="24"/>
                <w:lang w:bidi="ar"/>
              </w:rPr>
              <w:t>、基础支撑服务器要求：国产化C</w:t>
            </w:r>
            <w:r>
              <w:rPr>
                <w:rFonts w:ascii="宋体" w:hAnsi="宋体" w:eastAsia="宋体" w:cs="宋体"/>
                <w:color w:val="000000"/>
                <w:kern w:val="0"/>
                <w:sz w:val="24"/>
                <w:lang w:bidi="ar"/>
              </w:rPr>
              <w:t>PU</w:t>
            </w:r>
            <w:r>
              <w:rPr>
                <w:rFonts w:hint="eastAsia" w:ascii="宋体" w:hAnsi="宋体" w:eastAsia="宋体" w:cs="宋体"/>
                <w:color w:val="000000"/>
                <w:kern w:val="0"/>
                <w:sz w:val="24"/>
                <w:lang w:bidi="ar"/>
              </w:rPr>
              <w:t>不少于2颗物理核，内存不少于32G，S</w:t>
            </w:r>
            <w:r>
              <w:rPr>
                <w:rFonts w:ascii="宋体" w:hAnsi="宋体" w:eastAsia="宋体" w:cs="宋体"/>
                <w:color w:val="000000"/>
                <w:kern w:val="0"/>
                <w:sz w:val="24"/>
                <w:lang w:bidi="ar"/>
              </w:rPr>
              <w:t>SD</w:t>
            </w:r>
            <w:r>
              <w:rPr>
                <w:rFonts w:hint="eastAsia" w:ascii="宋体" w:hAnsi="宋体" w:eastAsia="宋体" w:cs="宋体"/>
                <w:color w:val="000000"/>
                <w:kern w:val="0"/>
                <w:sz w:val="24"/>
                <w:lang w:bidi="ar"/>
              </w:rPr>
              <w:t>硬盘容量不少于</w:t>
            </w:r>
            <w:r>
              <w:rPr>
                <w:rFonts w:ascii="宋体" w:hAnsi="宋体" w:eastAsia="宋体" w:cs="宋体"/>
                <w:color w:val="000000"/>
                <w:kern w:val="0"/>
                <w:sz w:val="24"/>
                <w:lang w:bidi="ar"/>
              </w:rPr>
              <w:t>2880</w:t>
            </w:r>
            <w:r>
              <w:rPr>
                <w:rFonts w:hint="eastAsia" w:ascii="宋体" w:hAnsi="宋体" w:eastAsia="宋体" w:cs="宋体"/>
                <w:color w:val="000000"/>
                <w:kern w:val="0"/>
                <w:sz w:val="24"/>
                <w:lang w:bidi="ar"/>
              </w:rPr>
              <w:t>G，网络：双口千兆RJ45网卡不少于2块；双口10G多模块光纤网卡（含模块）不少于2块；</w:t>
            </w:r>
          </w:p>
          <w:p>
            <w:pPr>
              <w:widowControl/>
              <w:jc w:val="left"/>
              <w:textAlignment w:val="center"/>
              <w:rPr>
                <w:rFonts w:ascii="宋体" w:hAnsi="宋体" w:eastAsia="宋体" w:cs="宋体"/>
                <w:color w:val="000000"/>
                <w:kern w:val="0"/>
                <w:sz w:val="24"/>
                <w:lang w:bidi="ar"/>
              </w:rPr>
            </w:pPr>
            <w:r>
              <w:rPr>
                <w:rFonts w:hint="eastAsia" w:ascii="宋体" w:hAnsi="宋体" w:cs="宋体"/>
                <w:color w:val="000000"/>
                <w:kern w:val="0"/>
                <w:sz w:val="24"/>
                <w:lang w:val="en-US" w:eastAsia="zh-CN" w:bidi="ar"/>
              </w:rPr>
              <w:t>7</w:t>
            </w:r>
            <w:r>
              <w:rPr>
                <w:rFonts w:hint="eastAsia" w:ascii="宋体" w:hAnsi="宋体" w:eastAsia="宋体" w:cs="宋体"/>
                <w:color w:val="000000"/>
                <w:kern w:val="0"/>
                <w:sz w:val="24"/>
                <w:lang w:bidi="ar"/>
              </w:rPr>
              <w:t>、授权数要求，裸金属授权不少于</w:t>
            </w:r>
            <w:r>
              <w:rPr>
                <w:rFonts w:ascii="宋体" w:hAnsi="宋体" w:eastAsia="宋体" w:cs="宋体"/>
                <w:color w:val="000000"/>
                <w:kern w:val="0"/>
                <w:sz w:val="24"/>
                <w:lang w:bidi="ar"/>
              </w:rPr>
              <w:t>3</w:t>
            </w:r>
            <w:r>
              <w:rPr>
                <w:rFonts w:hint="eastAsia" w:ascii="宋体" w:hAnsi="宋体" w:eastAsia="宋体" w:cs="宋体"/>
                <w:color w:val="000000"/>
                <w:kern w:val="0"/>
                <w:sz w:val="24"/>
                <w:lang w:bidi="ar"/>
              </w:rPr>
              <w:t>节点，云计算节点授权不少于</w:t>
            </w:r>
            <w:r>
              <w:rPr>
                <w:rFonts w:ascii="宋体" w:hAnsi="宋体" w:eastAsia="宋体" w:cs="宋体"/>
                <w:color w:val="000000"/>
                <w:kern w:val="0"/>
                <w:sz w:val="24"/>
                <w:lang w:bidi="ar"/>
              </w:rPr>
              <w:t>8</w:t>
            </w:r>
            <w:r>
              <w:rPr>
                <w:rFonts w:hint="eastAsia" w:ascii="宋体" w:hAnsi="宋体" w:eastAsia="宋体" w:cs="宋体"/>
                <w:color w:val="000000"/>
                <w:kern w:val="0"/>
                <w:sz w:val="24"/>
                <w:lang w:bidi="ar"/>
              </w:rPr>
              <w:t xml:space="preserve">物理核； </w:t>
            </w:r>
          </w:p>
          <w:p>
            <w:pPr>
              <w:widowControl/>
              <w:jc w:val="left"/>
              <w:textAlignment w:val="center"/>
              <w:rPr>
                <w:lang w:bidi="ar"/>
              </w:rPr>
            </w:pPr>
            <w:r>
              <w:rPr>
                <w:rFonts w:hint="eastAsia" w:ascii="宋体" w:hAnsi="宋体" w:cs="宋体"/>
                <w:color w:val="000000"/>
                <w:kern w:val="0"/>
                <w:sz w:val="24"/>
                <w:lang w:val="en-US" w:eastAsia="zh-CN" w:bidi="ar"/>
              </w:rPr>
              <w:t>8</w:t>
            </w:r>
            <w:r>
              <w:rPr>
                <w:rFonts w:hint="eastAsia" w:ascii="宋体" w:hAnsi="宋体" w:eastAsia="宋体" w:cs="宋体"/>
                <w:color w:val="000000"/>
                <w:kern w:val="0"/>
                <w:sz w:val="24"/>
                <w:lang w:bidi="ar"/>
              </w:rPr>
              <w:t>、资源池至少可开通1</w:t>
            </w:r>
            <w:r>
              <w:rPr>
                <w:rFonts w:ascii="宋体" w:hAnsi="宋体" w:eastAsia="宋体" w:cs="宋体"/>
                <w:color w:val="000000"/>
                <w:kern w:val="0"/>
                <w:sz w:val="24"/>
                <w:lang w:bidi="ar"/>
              </w:rPr>
              <w:t>47</w:t>
            </w:r>
            <w:r>
              <w:rPr>
                <w:rFonts w:hint="eastAsia" w:ascii="宋体" w:hAnsi="宋体" w:eastAsia="宋体" w:cs="宋体"/>
                <w:color w:val="000000"/>
                <w:kern w:val="0"/>
                <w:sz w:val="24"/>
                <w:lang w:bidi="ar"/>
              </w:rPr>
              <w:t>台配置为2CVcpu 6GB的云主机。</w:t>
            </w:r>
          </w:p>
        </w:tc>
        <w:tc>
          <w:tcPr>
            <w:tcW w:w="666" w:type="dxa"/>
            <w:shd w:val="clear" w:color="auto" w:fill="auto"/>
            <w:noWrap/>
            <w:vAlign w:val="center"/>
          </w:tcPr>
          <w:p>
            <w:pPr>
              <w:widowControl/>
              <w:jc w:val="center"/>
              <w:rPr>
                <w:rFonts w:ascii="宋体" w:hAnsi="宋体" w:cs="宋体"/>
                <w:color w:val="000000"/>
                <w:sz w:val="24"/>
              </w:rPr>
            </w:pPr>
            <w:r>
              <w:rPr>
                <w:rFonts w:hint="eastAsia" w:ascii="宋体" w:hAnsi="宋体" w:cs="宋体"/>
                <w:color w:val="000000"/>
                <w:sz w:val="24"/>
              </w:rPr>
              <w:t>套</w:t>
            </w:r>
          </w:p>
        </w:tc>
        <w:tc>
          <w:tcPr>
            <w:tcW w:w="667" w:type="dxa"/>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3" w:type="dxa"/>
            <w:shd w:val="clear" w:color="auto" w:fill="auto"/>
            <w:noWrap/>
            <w:vAlign w:val="center"/>
          </w:tcPr>
          <w:p>
            <w:pPr>
              <w:pStyle w:val="117"/>
              <w:widowControl/>
              <w:numPr>
                <w:ilvl w:val="0"/>
                <w:numId w:val="3"/>
              </w:numPr>
              <w:snapToGrid w:val="0"/>
              <w:ind w:right="-460" w:rightChars="-219" w:firstLineChars="0"/>
              <w:jc w:val="center"/>
              <w:textAlignment w:val="center"/>
              <w:rPr>
                <w:rFonts w:ascii="宋体" w:hAnsi="宋体" w:cs="宋体"/>
                <w:color w:val="000000"/>
                <w:kern w:val="0"/>
                <w:sz w:val="24"/>
                <w:lang w:bidi="ar"/>
              </w:rPr>
            </w:pPr>
          </w:p>
        </w:tc>
        <w:tc>
          <w:tcPr>
            <w:tcW w:w="1358" w:type="dxa"/>
            <w:vMerge w:val="continue"/>
            <w:shd w:val="clear" w:color="auto" w:fill="auto"/>
            <w:noWrap/>
            <w:vAlign w:val="center"/>
          </w:tcPr>
          <w:p>
            <w:pPr>
              <w:widowControl/>
              <w:jc w:val="center"/>
              <w:rPr>
                <w:rFonts w:hint="eastAsia" w:ascii="宋体" w:hAnsi="宋体" w:cs="宋体"/>
                <w:color w:val="000000"/>
                <w:sz w:val="24"/>
              </w:rPr>
            </w:pPr>
          </w:p>
        </w:tc>
        <w:tc>
          <w:tcPr>
            <w:tcW w:w="1509" w:type="dxa"/>
            <w:shd w:val="clear" w:color="auto" w:fill="auto"/>
            <w:noWrap/>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网络接入设备服务</w:t>
            </w:r>
          </w:p>
        </w:tc>
        <w:tc>
          <w:tcPr>
            <w:tcW w:w="5331" w:type="dxa"/>
            <w:shd w:val="clear" w:color="auto" w:fill="auto"/>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网络服务：</w:t>
            </w:r>
          </w:p>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1）专线接入交换服务，数据中心级交换设备，</w:t>
            </w:r>
            <w:r>
              <w:rPr>
                <w:rFonts w:ascii="宋体" w:hAnsi="宋体" w:eastAsia="宋体" w:cs="宋体"/>
                <w:color w:val="000000"/>
                <w:kern w:val="0"/>
                <w:sz w:val="24"/>
                <w:lang w:bidi="ar"/>
              </w:rPr>
              <w:t xml:space="preserve"> 10GE端口</w:t>
            </w:r>
            <w:r>
              <w:rPr>
                <w:rFonts w:hint="eastAsia" w:ascii="宋体" w:hAnsi="宋体" w:eastAsia="宋体" w:cs="宋体"/>
                <w:color w:val="000000"/>
                <w:kern w:val="0"/>
                <w:sz w:val="24"/>
                <w:lang w:bidi="ar"/>
              </w:rPr>
              <w:t>不少于</w:t>
            </w:r>
            <w:r>
              <w:rPr>
                <w:rFonts w:ascii="宋体" w:hAnsi="宋体" w:eastAsia="宋体" w:cs="宋体"/>
                <w:color w:val="000000"/>
                <w:kern w:val="0"/>
                <w:sz w:val="24"/>
                <w:lang w:bidi="ar"/>
              </w:rPr>
              <w:t>96个</w:t>
            </w:r>
            <w:r>
              <w:rPr>
                <w:rFonts w:hint="eastAsia" w:ascii="宋体" w:hAnsi="宋体" w:eastAsia="宋体" w:cs="宋体"/>
                <w:color w:val="000000"/>
                <w:kern w:val="0"/>
                <w:sz w:val="24"/>
                <w:lang w:bidi="ar"/>
              </w:rPr>
              <w:t>（满配模块）</w:t>
            </w:r>
            <w:r>
              <w:rPr>
                <w:rFonts w:ascii="宋体" w:hAnsi="宋体" w:eastAsia="宋体" w:cs="宋体"/>
                <w:color w:val="000000"/>
                <w:kern w:val="0"/>
                <w:sz w:val="24"/>
                <w:lang w:bidi="ar"/>
              </w:rPr>
              <w:t>， 40GE端口</w:t>
            </w:r>
            <w:r>
              <w:rPr>
                <w:rFonts w:hint="eastAsia" w:ascii="宋体" w:hAnsi="宋体" w:eastAsia="宋体" w:cs="宋体"/>
                <w:color w:val="000000"/>
                <w:kern w:val="0"/>
                <w:sz w:val="24"/>
                <w:lang w:bidi="ar"/>
              </w:rPr>
              <w:t>不少于</w:t>
            </w:r>
            <w:r>
              <w:rPr>
                <w:rFonts w:ascii="宋体" w:hAnsi="宋体" w:eastAsia="宋体" w:cs="宋体"/>
                <w:color w:val="000000"/>
                <w:kern w:val="0"/>
                <w:sz w:val="24"/>
                <w:lang w:bidi="ar"/>
              </w:rPr>
              <w:t>8个</w:t>
            </w:r>
            <w:r>
              <w:rPr>
                <w:rFonts w:hint="eastAsia" w:ascii="宋体" w:hAnsi="宋体" w:eastAsia="宋体" w:cs="宋体"/>
                <w:color w:val="000000"/>
                <w:kern w:val="0"/>
                <w:sz w:val="24"/>
                <w:lang w:bidi="ar"/>
              </w:rPr>
              <w:t>（满配模块）；</w:t>
            </w:r>
          </w:p>
          <w:p>
            <w:pPr>
              <w:widowControl/>
              <w:jc w:val="left"/>
              <w:textAlignment w:val="center"/>
              <w:rPr>
                <w:rFonts w:ascii="宋体" w:hAnsi="宋体" w:eastAsia="宋体" w:cs="宋体"/>
                <w:color w:val="000000"/>
                <w:kern w:val="0"/>
                <w:sz w:val="24"/>
                <w:lang w:bidi="ar"/>
              </w:rPr>
            </w:pPr>
            <w:r>
              <w:rPr>
                <w:rFonts w:ascii="宋体" w:hAnsi="宋体" w:eastAsia="宋体" w:cs="宋体"/>
                <w:color w:val="000000"/>
                <w:kern w:val="0"/>
                <w:sz w:val="24"/>
                <w:lang w:bidi="ar"/>
              </w:rPr>
              <w:t>2</w:t>
            </w:r>
            <w:r>
              <w:rPr>
                <w:rFonts w:hint="eastAsia" w:ascii="宋体" w:hAnsi="宋体" w:eastAsia="宋体" w:cs="宋体"/>
                <w:color w:val="000000"/>
                <w:kern w:val="0"/>
                <w:sz w:val="24"/>
                <w:lang w:bidi="ar"/>
              </w:rPr>
              <w:t>）业务接入交换服务，数据中心级交换设备，</w:t>
            </w:r>
            <w:r>
              <w:rPr>
                <w:rFonts w:ascii="宋体" w:hAnsi="宋体" w:eastAsia="宋体" w:cs="宋体"/>
                <w:color w:val="000000"/>
                <w:kern w:val="0"/>
                <w:sz w:val="24"/>
                <w:lang w:bidi="ar"/>
              </w:rPr>
              <w:t xml:space="preserve"> 10GE端口</w:t>
            </w:r>
            <w:r>
              <w:rPr>
                <w:rFonts w:hint="eastAsia" w:ascii="宋体" w:hAnsi="宋体" w:eastAsia="宋体" w:cs="宋体"/>
                <w:color w:val="000000"/>
                <w:kern w:val="0"/>
                <w:sz w:val="24"/>
                <w:lang w:bidi="ar"/>
              </w:rPr>
              <w:t>不少于1</w:t>
            </w:r>
            <w:r>
              <w:rPr>
                <w:rFonts w:ascii="宋体" w:hAnsi="宋体" w:eastAsia="宋体" w:cs="宋体"/>
                <w:color w:val="000000"/>
                <w:kern w:val="0"/>
                <w:sz w:val="24"/>
                <w:lang w:bidi="ar"/>
              </w:rPr>
              <w:t>92</w:t>
            </w:r>
            <w:r>
              <w:rPr>
                <w:rFonts w:hint="eastAsia" w:ascii="宋体" w:hAnsi="宋体" w:eastAsia="宋体" w:cs="宋体"/>
                <w:color w:val="000000"/>
                <w:kern w:val="0"/>
                <w:sz w:val="24"/>
                <w:lang w:bidi="ar"/>
              </w:rPr>
              <w:t>个（满配模块）</w:t>
            </w:r>
            <w:r>
              <w:rPr>
                <w:rFonts w:ascii="宋体" w:hAnsi="宋体" w:eastAsia="宋体" w:cs="宋体"/>
                <w:color w:val="000000"/>
                <w:kern w:val="0"/>
                <w:sz w:val="24"/>
                <w:lang w:bidi="ar"/>
              </w:rPr>
              <w:t>， 40GE端口</w:t>
            </w:r>
            <w:r>
              <w:rPr>
                <w:rFonts w:hint="eastAsia" w:ascii="宋体" w:hAnsi="宋体" w:eastAsia="宋体" w:cs="宋体"/>
                <w:color w:val="000000"/>
                <w:kern w:val="0"/>
                <w:sz w:val="24"/>
                <w:lang w:bidi="ar"/>
              </w:rPr>
              <w:t>不少于</w:t>
            </w:r>
            <w:r>
              <w:rPr>
                <w:rFonts w:ascii="宋体" w:hAnsi="宋体" w:eastAsia="宋体" w:cs="宋体"/>
                <w:color w:val="000000"/>
                <w:kern w:val="0"/>
                <w:sz w:val="24"/>
                <w:lang w:bidi="ar"/>
              </w:rPr>
              <w:t>16</w:t>
            </w:r>
            <w:r>
              <w:rPr>
                <w:rFonts w:hint="eastAsia" w:ascii="宋体" w:hAnsi="宋体" w:eastAsia="宋体" w:cs="宋体"/>
                <w:color w:val="000000"/>
                <w:kern w:val="0"/>
                <w:sz w:val="24"/>
                <w:lang w:bidi="ar"/>
              </w:rPr>
              <w:t>个（满配模块）；</w:t>
            </w:r>
          </w:p>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3）密码接入交换服务，</w:t>
            </w:r>
            <w:r>
              <w:rPr>
                <w:rFonts w:ascii="宋体" w:hAnsi="宋体" w:eastAsia="宋体" w:cs="宋体"/>
                <w:color w:val="000000"/>
                <w:kern w:val="0"/>
                <w:sz w:val="24"/>
                <w:lang w:bidi="ar"/>
              </w:rPr>
              <w:t>10GE端口</w:t>
            </w:r>
            <w:r>
              <w:rPr>
                <w:rFonts w:hint="eastAsia" w:ascii="宋体" w:hAnsi="宋体" w:eastAsia="宋体" w:cs="宋体"/>
                <w:color w:val="000000"/>
                <w:kern w:val="0"/>
                <w:sz w:val="24"/>
                <w:lang w:bidi="ar"/>
              </w:rPr>
              <w:t>不少于</w:t>
            </w:r>
            <w:r>
              <w:rPr>
                <w:rFonts w:ascii="宋体" w:hAnsi="宋体" w:eastAsia="宋体" w:cs="宋体"/>
                <w:color w:val="000000"/>
                <w:kern w:val="0"/>
                <w:sz w:val="24"/>
                <w:lang w:bidi="ar"/>
              </w:rPr>
              <w:t>96个</w:t>
            </w:r>
            <w:r>
              <w:rPr>
                <w:rFonts w:hint="eastAsia" w:ascii="宋体" w:hAnsi="宋体" w:eastAsia="宋体" w:cs="宋体"/>
                <w:color w:val="000000"/>
                <w:kern w:val="0"/>
                <w:sz w:val="24"/>
                <w:lang w:bidi="ar"/>
              </w:rPr>
              <w:t>（满配模块）</w:t>
            </w:r>
            <w:r>
              <w:rPr>
                <w:rFonts w:ascii="宋体" w:hAnsi="宋体" w:eastAsia="宋体" w:cs="宋体"/>
                <w:color w:val="000000"/>
                <w:kern w:val="0"/>
                <w:sz w:val="24"/>
                <w:lang w:bidi="ar"/>
              </w:rPr>
              <w:t>， 40GE端口</w:t>
            </w:r>
            <w:r>
              <w:rPr>
                <w:rFonts w:hint="eastAsia" w:ascii="宋体" w:hAnsi="宋体" w:eastAsia="宋体" w:cs="宋体"/>
                <w:color w:val="000000"/>
                <w:kern w:val="0"/>
                <w:sz w:val="24"/>
                <w:lang w:bidi="ar"/>
              </w:rPr>
              <w:t>不少于</w:t>
            </w:r>
            <w:r>
              <w:rPr>
                <w:rFonts w:ascii="宋体" w:hAnsi="宋体" w:eastAsia="宋体" w:cs="宋体"/>
                <w:color w:val="000000"/>
                <w:kern w:val="0"/>
                <w:sz w:val="24"/>
                <w:lang w:bidi="ar"/>
              </w:rPr>
              <w:t>8个</w:t>
            </w:r>
            <w:r>
              <w:rPr>
                <w:rFonts w:hint="eastAsia" w:ascii="宋体" w:hAnsi="宋体" w:eastAsia="宋体" w:cs="宋体"/>
                <w:color w:val="000000"/>
                <w:kern w:val="0"/>
                <w:sz w:val="24"/>
                <w:lang w:bidi="ar"/>
              </w:rPr>
              <w:t>（满配模块）；</w:t>
            </w:r>
          </w:p>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4）管理接入交换服务，</w:t>
            </w:r>
            <w:r>
              <w:rPr>
                <w:rFonts w:ascii="宋体" w:hAnsi="宋体" w:eastAsia="宋体" w:cs="宋体"/>
                <w:color w:val="000000"/>
                <w:kern w:val="0"/>
                <w:sz w:val="24"/>
                <w:lang w:bidi="ar"/>
              </w:rPr>
              <w:t>GE电口</w:t>
            </w:r>
            <w:r>
              <w:rPr>
                <w:rFonts w:hint="eastAsia" w:ascii="宋体" w:hAnsi="宋体" w:eastAsia="宋体" w:cs="宋体"/>
                <w:color w:val="000000"/>
                <w:kern w:val="0"/>
                <w:sz w:val="24"/>
                <w:lang w:bidi="ar"/>
              </w:rPr>
              <w:t>不少于</w:t>
            </w:r>
            <w:r>
              <w:rPr>
                <w:rFonts w:ascii="宋体" w:hAnsi="宋体" w:eastAsia="宋体" w:cs="宋体"/>
                <w:color w:val="000000"/>
                <w:kern w:val="0"/>
                <w:sz w:val="24"/>
                <w:lang w:bidi="ar"/>
              </w:rPr>
              <w:t>96个，8个10GE端口</w:t>
            </w:r>
            <w:r>
              <w:rPr>
                <w:rFonts w:hint="eastAsia" w:ascii="宋体" w:hAnsi="宋体" w:eastAsia="宋体" w:cs="宋体"/>
                <w:color w:val="000000"/>
                <w:kern w:val="0"/>
                <w:sz w:val="24"/>
                <w:lang w:bidi="ar"/>
              </w:rPr>
              <w:t>；</w:t>
            </w:r>
          </w:p>
          <w:p>
            <w:pPr>
              <w:widowControl/>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bidi="ar"/>
              </w:rPr>
              <w:t>5）核心交换服务，</w:t>
            </w:r>
            <w:r>
              <w:rPr>
                <w:rFonts w:ascii="宋体" w:hAnsi="宋体" w:eastAsia="宋体" w:cs="宋体"/>
                <w:color w:val="000000"/>
                <w:kern w:val="0"/>
                <w:sz w:val="24"/>
                <w:lang w:bidi="ar"/>
              </w:rPr>
              <w:t>10GE端口</w:t>
            </w:r>
            <w:r>
              <w:rPr>
                <w:rFonts w:hint="eastAsia" w:ascii="宋体" w:hAnsi="宋体" w:eastAsia="宋体" w:cs="宋体"/>
                <w:color w:val="000000"/>
                <w:kern w:val="0"/>
                <w:sz w:val="24"/>
                <w:lang w:bidi="ar"/>
              </w:rPr>
              <w:t>不少于</w:t>
            </w:r>
            <w:r>
              <w:rPr>
                <w:rFonts w:ascii="宋体" w:hAnsi="宋体" w:eastAsia="宋体" w:cs="宋体"/>
                <w:color w:val="000000"/>
                <w:kern w:val="0"/>
                <w:sz w:val="24"/>
                <w:lang w:bidi="ar"/>
              </w:rPr>
              <w:t>192个</w:t>
            </w:r>
            <w:r>
              <w:rPr>
                <w:rFonts w:hint="eastAsia" w:ascii="宋体" w:hAnsi="宋体" w:eastAsia="宋体" w:cs="宋体"/>
                <w:color w:val="000000"/>
                <w:kern w:val="0"/>
                <w:sz w:val="24"/>
                <w:lang w:bidi="ar"/>
              </w:rPr>
              <w:t>（配置</w:t>
            </w:r>
            <w:r>
              <w:rPr>
                <w:rFonts w:ascii="宋体" w:hAnsi="宋体" w:eastAsia="宋体" w:cs="宋体"/>
                <w:color w:val="000000"/>
                <w:kern w:val="0"/>
                <w:sz w:val="24"/>
                <w:lang w:bidi="ar"/>
              </w:rPr>
              <w:t>10G 多模模块</w:t>
            </w:r>
            <w:r>
              <w:rPr>
                <w:rFonts w:hint="eastAsia" w:ascii="宋体" w:hAnsi="宋体" w:eastAsia="宋体" w:cs="宋体"/>
                <w:color w:val="000000"/>
                <w:kern w:val="0"/>
                <w:sz w:val="24"/>
                <w:lang w:bidi="ar"/>
              </w:rPr>
              <w:t>不少于8</w:t>
            </w:r>
            <w:r>
              <w:rPr>
                <w:rFonts w:ascii="宋体" w:hAnsi="宋体" w:eastAsia="宋体" w:cs="宋体"/>
                <w:color w:val="000000"/>
                <w:kern w:val="0"/>
                <w:sz w:val="24"/>
                <w:lang w:bidi="ar"/>
              </w:rPr>
              <w:t>0</w:t>
            </w:r>
            <w:r>
              <w:rPr>
                <w:rFonts w:hint="eastAsia" w:ascii="宋体" w:hAnsi="宋体" w:eastAsia="宋体" w:cs="宋体"/>
                <w:color w:val="000000"/>
                <w:kern w:val="0"/>
                <w:sz w:val="24"/>
                <w:lang w:bidi="ar"/>
              </w:rPr>
              <w:t>个、</w:t>
            </w:r>
            <w:r>
              <w:rPr>
                <w:rFonts w:ascii="宋体" w:hAnsi="宋体" w:eastAsia="宋体" w:cs="宋体"/>
                <w:color w:val="000000"/>
                <w:kern w:val="0"/>
                <w:sz w:val="24"/>
                <w:lang w:bidi="ar"/>
              </w:rPr>
              <w:t>10G 单模模块</w:t>
            </w:r>
            <w:r>
              <w:rPr>
                <w:rFonts w:hint="eastAsia" w:ascii="宋体" w:hAnsi="宋体" w:eastAsia="宋体" w:cs="宋体"/>
                <w:color w:val="000000"/>
                <w:kern w:val="0"/>
                <w:sz w:val="24"/>
                <w:lang w:bidi="ar"/>
              </w:rPr>
              <w:t>不少于1</w:t>
            </w:r>
            <w:r>
              <w:rPr>
                <w:rFonts w:ascii="宋体" w:hAnsi="宋体" w:eastAsia="宋体" w:cs="宋体"/>
                <w:color w:val="000000"/>
                <w:kern w:val="0"/>
                <w:sz w:val="24"/>
                <w:lang w:bidi="ar"/>
              </w:rPr>
              <w:t>6</w:t>
            </w:r>
            <w:r>
              <w:rPr>
                <w:rFonts w:hint="eastAsia" w:ascii="宋体" w:hAnsi="宋体" w:eastAsia="宋体" w:cs="宋体"/>
                <w:color w:val="000000"/>
                <w:kern w:val="0"/>
                <w:sz w:val="24"/>
                <w:lang w:bidi="ar"/>
              </w:rPr>
              <w:t>个），</w:t>
            </w:r>
            <w:r>
              <w:rPr>
                <w:rFonts w:ascii="宋体" w:hAnsi="宋体" w:eastAsia="宋体" w:cs="宋体"/>
                <w:color w:val="000000"/>
                <w:kern w:val="0"/>
                <w:sz w:val="24"/>
                <w:lang w:bidi="ar"/>
              </w:rPr>
              <w:t>40GE光接口</w:t>
            </w:r>
            <w:r>
              <w:rPr>
                <w:rFonts w:hint="eastAsia" w:ascii="宋体" w:hAnsi="宋体" w:eastAsia="宋体" w:cs="宋体"/>
                <w:color w:val="000000"/>
                <w:kern w:val="0"/>
                <w:sz w:val="24"/>
                <w:lang w:bidi="ar"/>
              </w:rPr>
              <w:t>不少于1</w:t>
            </w:r>
            <w:r>
              <w:rPr>
                <w:rFonts w:ascii="宋体" w:hAnsi="宋体" w:eastAsia="宋体" w:cs="宋体"/>
                <w:color w:val="000000"/>
                <w:kern w:val="0"/>
                <w:sz w:val="24"/>
                <w:lang w:bidi="ar"/>
              </w:rPr>
              <w:t>44</w:t>
            </w:r>
            <w:r>
              <w:rPr>
                <w:rFonts w:hint="eastAsia" w:ascii="宋体" w:hAnsi="宋体" w:eastAsia="宋体" w:cs="宋体"/>
                <w:color w:val="000000"/>
                <w:kern w:val="0"/>
                <w:sz w:val="24"/>
                <w:lang w:bidi="ar"/>
              </w:rPr>
              <w:t>个（配置</w:t>
            </w:r>
            <w:r>
              <w:rPr>
                <w:rFonts w:ascii="宋体" w:hAnsi="宋体" w:eastAsia="宋体" w:cs="宋体"/>
                <w:color w:val="000000"/>
                <w:kern w:val="0"/>
                <w:sz w:val="24"/>
                <w:lang w:bidi="ar"/>
              </w:rPr>
              <w:t>40G 多模模块</w:t>
            </w:r>
            <w:r>
              <w:rPr>
                <w:rFonts w:hint="eastAsia" w:ascii="宋体" w:hAnsi="宋体" w:eastAsia="宋体" w:cs="宋体"/>
                <w:color w:val="000000"/>
                <w:kern w:val="0"/>
                <w:sz w:val="24"/>
                <w:lang w:bidi="ar"/>
              </w:rPr>
              <w:t>不少于6</w:t>
            </w:r>
            <w:r>
              <w:rPr>
                <w:rFonts w:ascii="宋体" w:hAnsi="宋体" w:eastAsia="宋体" w:cs="宋体"/>
                <w:color w:val="000000"/>
                <w:kern w:val="0"/>
                <w:sz w:val="24"/>
                <w:lang w:bidi="ar"/>
              </w:rPr>
              <w:t>4</w:t>
            </w:r>
            <w:r>
              <w:rPr>
                <w:rFonts w:hint="eastAsia" w:ascii="宋体" w:hAnsi="宋体" w:eastAsia="宋体" w:cs="宋体"/>
                <w:color w:val="000000"/>
                <w:kern w:val="0"/>
                <w:sz w:val="24"/>
                <w:lang w:bidi="ar"/>
              </w:rPr>
              <w:t>个、</w:t>
            </w:r>
            <w:r>
              <w:rPr>
                <w:rFonts w:ascii="宋体" w:hAnsi="宋体" w:eastAsia="宋体" w:cs="宋体"/>
                <w:color w:val="000000"/>
                <w:kern w:val="0"/>
                <w:sz w:val="24"/>
                <w:lang w:bidi="ar"/>
              </w:rPr>
              <w:t>40G 单模模块</w:t>
            </w:r>
            <w:r>
              <w:rPr>
                <w:rFonts w:hint="eastAsia" w:ascii="宋体" w:hAnsi="宋体" w:eastAsia="宋体" w:cs="宋体"/>
                <w:color w:val="000000"/>
                <w:kern w:val="0"/>
                <w:sz w:val="24"/>
                <w:lang w:bidi="ar"/>
              </w:rPr>
              <w:t>不少于8个），配置</w:t>
            </w:r>
            <w:r>
              <w:rPr>
                <w:rFonts w:ascii="宋体" w:hAnsi="宋体" w:eastAsia="宋体" w:cs="宋体"/>
                <w:color w:val="000000"/>
                <w:kern w:val="0"/>
                <w:sz w:val="24"/>
                <w:lang w:bidi="ar"/>
              </w:rPr>
              <w:t>光转电口模块</w:t>
            </w:r>
            <w:r>
              <w:rPr>
                <w:rFonts w:hint="eastAsia" w:ascii="宋体" w:hAnsi="宋体" w:eastAsia="宋体" w:cs="宋体"/>
                <w:color w:val="000000"/>
                <w:kern w:val="0"/>
                <w:sz w:val="24"/>
                <w:lang w:bidi="ar"/>
              </w:rPr>
              <w:t>不少于2</w:t>
            </w:r>
            <w:r>
              <w:rPr>
                <w:rFonts w:ascii="宋体" w:hAnsi="宋体" w:eastAsia="宋体" w:cs="宋体"/>
                <w:color w:val="000000"/>
                <w:kern w:val="0"/>
                <w:sz w:val="24"/>
                <w:lang w:bidi="ar"/>
              </w:rPr>
              <w:t>0</w:t>
            </w:r>
            <w:r>
              <w:rPr>
                <w:rFonts w:hint="eastAsia" w:ascii="宋体" w:hAnsi="宋体" w:eastAsia="宋体" w:cs="宋体"/>
                <w:color w:val="000000"/>
                <w:kern w:val="0"/>
                <w:sz w:val="24"/>
                <w:lang w:bidi="ar"/>
              </w:rPr>
              <w:t>个。</w:t>
            </w:r>
          </w:p>
        </w:tc>
        <w:tc>
          <w:tcPr>
            <w:tcW w:w="666" w:type="dxa"/>
            <w:shd w:val="clear" w:color="auto" w:fill="auto"/>
            <w:noWrap/>
            <w:vAlign w:val="center"/>
          </w:tcPr>
          <w:p>
            <w:pPr>
              <w:widowControl/>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套</w:t>
            </w:r>
          </w:p>
        </w:tc>
        <w:tc>
          <w:tcPr>
            <w:tcW w:w="667" w:type="dxa"/>
            <w:shd w:val="clear" w:color="auto" w:fill="auto"/>
            <w:vAlign w:val="center"/>
          </w:tcPr>
          <w:p>
            <w:pPr>
              <w:widowControl/>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3" w:type="dxa"/>
            <w:shd w:val="clear" w:color="auto" w:fill="auto"/>
            <w:noWrap/>
            <w:vAlign w:val="center"/>
          </w:tcPr>
          <w:p>
            <w:pPr>
              <w:pStyle w:val="117"/>
              <w:widowControl/>
              <w:numPr>
                <w:ilvl w:val="0"/>
                <w:numId w:val="3"/>
              </w:numPr>
              <w:snapToGrid w:val="0"/>
              <w:ind w:right="-460" w:rightChars="-219" w:firstLineChars="0"/>
              <w:jc w:val="center"/>
              <w:textAlignment w:val="center"/>
              <w:rPr>
                <w:rFonts w:ascii="宋体" w:hAnsi="宋体" w:cs="宋体"/>
                <w:color w:val="000000"/>
                <w:kern w:val="0"/>
                <w:sz w:val="24"/>
                <w:lang w:bidi="ar"/>
              </w:rPr>
            </w:pPr>
          </w:p>
        </w:tc>
        <w:tc>
          <w:tcPr>
            <w:tcW w:w="1358" w:type="dxa"/>
            <w:vMerge w:val="continue"/>
            <w:shd w:val="clear" w:color="auto" w:fill="auto"/>
            <w:noWrap/>
            <w:vAlign w:val="center"/>
          </w:tcPr>
          <w:p>
            <w:pPr>
              <w:widowControl/>
              <w:jc w:val="center"/>
              <w:rPr>
                <w:rFonts w:hint="eastAsia" w:ascii="宋体" w:hAnsi="宋体" w:cs="宋体"/>
                <w:color w:val="000000"/>
                <w:sz w:val="24"/>
              </w:rPr>
            </w:pPr>
          </w:p>
        </w:tc>
        <w:tc>
          <w:tcPr>
            <w:tcW w:w="1509" w:type="dxa"/>
            <w:shd w:val="clear" w:color="auto" w:fill="auto"/>
            <w:noWrap/>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云平台管理软件服务</w:t>
            </w:r>
          </w:p>
        </w:tc>
        <w:tc>
          <w:tcPr>
            <w:tcW w:w="5331" w:type="dxa"/>
            <w:shd w:val="clear" w:color="auto" w:fill="auto"/>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云计算功能要求：</w:t>
            </w:r>
          </w:p>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1）支持创建云服务器，创建时可选择实例规格、操作系统、系统盘、数据盘、专有网络、安全组、弹性公网IP以及设置云服务器的实例名称、登录密码；</w:t>
            </w:r>
          </w:p>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2）绑定/解绑弹性公网IP，支持绑定、解绑IPV6带宽；</w:t>
            </w:r>
          </w:p>
          <w:p>
            <w:pPr>
              <w:widowControl/>
              <w:jc w:val="left"/>
              <w:textAlignment w:val="center"/>
              <w:rPr>
                <w:rFonts w:ascii="宋体" w:hAnsi="宋体" w:eastAsia="宋体" w:cs="宋体"/>
                <w:color w:val="000000"/>
                <w:kern w:val="0"/>
                <w:sz w:val="24"/>
                <w:lang w:bidi="ar"/>
              </w:rPr>
            </w:pPr>
            <w:r>
              <w:rPr>
                <w:rFonts w:ascii="宋体" w:hAnsi="宋体" w:eastAsia="宋体" w:cs="宋体"/>
                <w:color w:val="000000"/>
                <w:kern w:val="0"/>
                <w:sz w:val="24"/>
                <w:lang w:bidi="ar"/>
              </w:rPr>
              <w:t>3</w:t>
            </w:r>
            <w:r>
              <w:rPr>
                <w:rFonts w:hint="eastAsia" w:ascii="宋体" w:hAnsi="宋体" w:eastAsia="宋体" w:cs="宋体"/>
                <w:color w:val="000000"/>
                <w:kern w:val="0"/>
                <w:sz w:val="24"/>
                <w:lang w:bidi="ar"/>
              </w:rPr>
              <w:t>）支持对已开通的云服务器进行变更规格操作，支持进行升配；</w:t>
            </w:r>
          </w:p>
          <w:p>
            <w:pPr>
              <w:widowControl/>
              <w:jc w:val="left"/>
              <w:textAlignment w:val="center"/>
              <w:rPr>
                <w:rFonts w:ascii="宋体" w:hAnsi="宋体" w:eastAsia="宋体" w:cs="宋体"/>
                <w:color w:val="000000"/>
                <w:kern w:val="0"/>
                <w:sz w:val="24"/>
                <w:lang w:bidi="ar"/>
              </w:rPr>
            </w:pPr>
            <w:r>
              <w:rPr>
                <w:rFonts w:ascii="宋体" w:hAnsi="宋体" w:eastAsia="宋体" w:cs="宋体"/>
                <w:color w:val="000000"/>
                <w:kern w:val="0"/>
                <w:sz w:val="24"/>
                <w:lang w:bidi="ar"/>
              </w:rPr>
              <w:t>4</w:t>
            </w:r>
            <w:r>
              <w:rPr>
                <w:rFonts w:hint="eastAsia" w:ascii="宋体" w:hAnsi="宋体" w:eastAsia="宋体" w:cs="宋体"/>
                <w:color w:val="000000"/>
                <w:kern w:val="0"/>
                <w:sz w:val="24"/>
                <w:lang w:bidi="ar"/>
              </w:rPr>
              <w:t>）支持通过云平台管理界面对弹性云主机的生命周期管理，包括开机、关机、重启、删除、远程访问、修改主机名称、重置密码、更改安全组、手动迁移、更改主机规格等；</w:t>
            </w:r>
          </w:p>
          <w:p>
            <w:pPr>
              <w:widowControl/>
              <w:jc w:val="left"/>
              <w:textAlignment w:val="center"/>
              <w:rPr>
                <w:rFonts w:hint="eastAsia" w:ascii="宋体" w:hAnsi="宋体" w:eastAsia="宋体" w:cs="宋体"/>
                <w:color w:val="000000"/>
                <w:kern w:val="0"/>
                <w:sz w:val="24"/>
                <w:lang w:val="en-US" w:eastAsia="zh-CN" w:bidi="ar"/>
              </w:rPr>
            </w:pPr>
            <w:r>
              <w:rPr>
                <w:rFonts w:ascii="宋体" w:hAnsi="宋体" w:eastAsia="宋体" w:cs="宋体"/>
                <w:color w:val="000000"/>
                <w:kern w:val="0"/>
                <w:sz w:val="24"/>
                <w:lang w:bidi="ar"/>
              </w:rPr>
              <w:t>5</w:t>
            </w:r>
            <w:r>
              <w:rPr>
                <w:rFonts w:hint="eastAsia" w:ascii="宋体" w:hAnsi="宋体" w:eastAsia="宋体" w:cs="宋体"/>
                <w:color w:val="000000"/>
                <w:kern w:val="0"/>
                <w:sz w:val="24"/>
                <w:lang w:bidi="ar"/>
              </w:rPr>
              <w:t>）支持查看单台云主机的详情信息，包括基本信息、挂载云盘信息、绑定的网卡信息、关联的安全组信息、弹性公网IP信息、IPv6带宽信息、监控以及操作日志；</w:t>
            </w:r>
          </w:p>
        </w:tc>
        <w:tc>
          <w:tcPr>
            <w:tcW w:w="666" w:type="dxa"/>
            <w:shd w:val="clear" w:color="auto" w:fill="auto"/>
            <w:noWrap/>
            <w:vAlign w:val="center"/>
          </w:tcPr>
          <w:p>
            <w:pPr>
              <w:widowControl/>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套</w:t>
            </w:r>
          </w:p>
        </w:tc>
        <w:tc>
          <w:tcPr>
            <w:tcW w:w="667" w:type="dxa"/>
            <w:shd w:val="clear" w:color="auto" w:fill="auto"/>
            <w:vAlign w:val="center"/>
          </w:tcPr>
          <w:p>
            <w:pPr>
              <w:widowControl/>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13" w:type="dxa"/>
            <w:vMerge w:val="restart"/>
            <w:shd w:val="clear" w:color="auto" w:fill="auto"/>
            <w:noWrap/>
            <w:vAlign w:val="center"/>
          </w:tcPr>
          <w:p>
            <w:pPr>
              <w:pStyle w:val="117"/>
              <w:widowControl/>
              <w:numPr>
                <w:ilvl w:val="0"/>
                <w:numId w:val="3"/>
              </w:numPr>
              <w:snapToGrid w:val="0"/>
              <w:ind w:right="-460" w:rightChars="-219" w:firstLineChars="0"/>
              <w:jc w:val="center"/>
              <w:textAlignment w:val="center"/>
              <w:rPr>
                <w:rFonts w:ascii="宋体" w:hAnsi="宋体" w:cs="宋体"/>
                <w:color w:val="000000"/>
                <w:kern w:val="0"/>
                <w:sz w:val="24"/>
                <w:lang w:bidi="ar"/>
              </w:rPr>
            </w:pP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vMerge w:val="restart"/>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存储资源服务</w:t>
            </w:r>
          </w:p>
        </w:tc>
        <w:tc>
          <w:tcPr>
            <w:tcW w:w="5331" w:type="dxa"/>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1、提供国产化应用存储空间，可用容量不少于5</w:t>
            </w:r>
            <w:r>
              <w:rPr>
                <w:rFonts w:ascii="宋体" w:hAnsi="宋体" w:cs="宋体"/>
                <w:color w:val="000000"/>
                <w:kern w:val="0"/>
                <w:sz w:val="24"/>
                <w:lang w:bidi="ar"/>
              </w:rPr>
              <w:t>6TB</w:t>
            </w:r>
            <w:r>
              <w:rPr>
                <w:rFonts w:hint="eastAsia" w:ascii="宋体" w:hAnsi="宋体" w:cs="宋体"/>
                <w:color w:val="000000"/>
                <w:kern w:val="0"/>
                <w:sz w:val="24"/>
                <w:lang w:bidi="ar"/>
              </w:rPr>
              <w:t>；</w:t>
            </w:r>
          </w:p>
          <w:p>
            <w:pPr>
              <w:pStyle w:val="2"/>
              <w:ind w:left="0" w:leftChars="0" w:firstLine="0" w:firstLineChars="0"/>
              <w:jc w:val="left"/>
              <w:rPr>
                <w:rFonts w:hint="default" w:eastAsia="宋体"/>
                <w:lang w:val="en-US" w:eastAsia="zh-CN"/>
              </w:rPr>
            </w:pPr>
            <w:r>
              <w:rPr>
                <w:rFonts w:hint="eastAsia" w:ascii="宋体" w:hAnsi="宋体" w:cs="宋体"/>
                <w:color w:val="000000"/>
                <w:kern w:val="0"/>
                <w:sz w:val="24"/>
                <w:lang w:val="en-US" w:eastAsia="zh-CN" w:bidi="ar"/>
              </w:rPr>
              <w:t>2、存储节点不少于2台；</w:t>
            </w:r>
          </w:p>
          <w:p>
            <w:pPr>
              <w:pStyle w:val="117"/>
              <w:widowControl/>
              <w:ind w:firstLine="0" w:firstLineChars="0"/>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、存储服务物理节点要求：</w:t>
            </w:r>
          </w:p>
          <w:p>
            <w:pPr>
              <w:pStyle w:val="117"/>
              <w:widowControl/>
              <w:ind w:firstLine="0" w:firstLineChars="0"/>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1）双控64G缓存；</w:t>
            </w:r>
          </w:p>
          <w:p>
            <w:pPr>
              <w:pStyle w:val="117"/>
              <w:widowControl/>
              <w:numPr>
                <w:ilvl w:val="0"/>
                <w:numId w:val="5"/>
              </w:numPr>
              <w:ind w:firstLineChars="0"/>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不少于</w:t>
            </w:r>
            <w:r>
              <w:rPr>
                <w:rFonts w:hint="eastAsia" w:ascii="宋体" w:hAnsi="宋体" w:cs="宋体"/>
                <w:color w:val="000000"/>
                <w:kern w:val="0"/>
                <w:sz w:val="24"/>
                <w:lang w:bidi="ar"/>
              </w:rPr>
              <w:t>2个12Gb SAS3.0 4X 磁盘通道；</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3）冗余风扇；</w:t>
            </w:r>
          </w:p>
          <w:p>
            <w:pPr>
              <w:pStyle w:val="117"/>
              <w:widowControl/>
              <w:ind w:firstLine="0" w:firstLineChars="0"/>
              <w:jc w:val="left"/>
              <w:textAlignment w:val="center"/>
              <w:rPr>
                <w:rFonts w:ascii="宋体" w:hAnsi="宋体" w:cs="宋体"/>
                <w:color w:val="000000"/>
                <w:kern w:val="0"/>
                <w:sz w:val="24"/>
                <w:lang w:bidi="ar"/>
              </w:rPr>
            </w:pPr>
            <w:r>
              <w:rPr>
                <w:rFonts w:ascii="宋体" w:hAnsi="宋体" w:cs="宋体"/>
                <w:color w:val="000000"/>
                <w:kern w:val="0"/>
                <w:sz w:val="24"/>
                <w:lang w:bidi="ar"/>
              </w:rPr>
              <w:t>4</w:t>
            </w:r>
            <w:r>
              <w:rPr>
                <w:rFonts w:hint="eastAsia" w:ascii="宋体" w:hAnsi="宋体" w:cs="宋体"/>
                <w:color w:val="000000"/>
                <w:kern w:val="0"/>
                <w:sz w:val="24"/>
                <w:lang w:bidi="ar"/>
              </w:rPr>
              <w:t>）支持RAID 0/1/5/6/10/50/60等RAID级别；</w:t>
            </w:r>
          </w:p>
          <w:p>
            <w:pPr>
              <w:pStyle w:val="117"/>
              <w:widowControl/>
              <w:ind w:firstLine="0" w:firstLineChars="0"/>
              <w:jc w:val="left"/>
              <w:textAlignment w:val="center"/>
              <w:rPr>
                <w:rFonts w:ascii="宋体" w:hAnsi="宋体" w:cs="宋体"/>
                <w:color w:val="000000"/>
                <w:kern w:val="0"/>
                <w:sz w:val="24"/>
                <w:lang w:bidi="ar"/>
              </w:rPr>
            </w:pPr>
            <w:r>
              <w:rPr>
                <w:rFonts w:ascii="宋体" w:hAnsi="宋体" w:cs="宋体"/>
                <w:color w:val="000000"/>
                <w:kern w:val="0"/>
                <w:sz w:val="24"/>
                <w:lang w:bidi="ar"/>
              </w:rPr>
              <w:t>5</w:t>
            </w:r>
            <w:r>
              <w:rPr>
                <w:rFonts w:hint="eastAsia" w:ascii="宋体" w:hAnsi="宋体" w:cs="宋体"/>
                <w:color w:val="000000"/>
                <w:kern w:val="0"/>
                <w:sz w:val="24"/>
                <w:lang w:bidi="ar"/>
              </w:rPr>
              <w:t>）支持智能日志导出功能；</w:t>
            </w:r>
          </w:p>
          <w:p>
            <w:pPr>
              <w:pStyle w:val="117"/>
              <w:widowControl/>
              <w:ind w:firstLine="0" w:firstLineChars="0"/>
              <w:jc w:val="left"/>
              <w:textAlignment w:val="center"/>
              <w:rPr>
                <w:rFonts w:ascii="宋体" w:hAnsi="宋体" w:cs="宋体"/>
                <w:color w:val="000000"/>
                <w:kern w:val="0"/>
                <w:sz w:val="24"/>
                <w:lang w:bidi="ar"/>
              </w:rPr>
            </w:pPr>
            <w:r>
              <w:rPr>
                <w:rFonts w:ascii="宋体" w:hAnsi="宋体" w:cs="宋体"/>
                <w:color w:val="000000"/>
                <w:kern w:val="0"/>
                <w:sz w:val="24"/>
                <w:lang w:bidi="ar"/>
              </w:rPr>
              <w:t>6</w:t>
            </w:r>
            <w:r>
              <w:rPr>
                <w:rFonts w:hint="eastAsia" w:ascii="宋体" w:hAnsi="宋体" w:cs="宋体"/>
                <w:color w:val="000000"/>
                <w:kern w:val="0"/>
                <w:sz w:val="24"/>
                <w:lang w:bidi="ar"/>
              </w:rPr>
              <w:t>）配置NAS及配置SAN、NAS快照功能；</w:t>
            </w:r>
          </w:p>
          <w:p>
            <w:pPr>
              <w:pStyle w:val="117"/>
              <w:widowControl/>
              <w:ind w:firstLine="0" w:firstLineChars="0"/>
              <w:jc w:val="left"/>
              <w:textAlignment w:val="center"/>
              <w:rPr>
                <w:rFonts w:ascii="宋体" w:hAnsi="宋体" w:cs="宋体"/>
                <w:color w:val="000000"/>
                <w:kern w:val="0"/>
                <w:sz w:val="24"/>
                <w:lang w:bidi="ar"/>
              </w:rPr>
            </w:pPr>
            <w:r>
              <w:rPr>
                <w:rFonts w:ascii="宋体" w:hAnsi="宋体" w:cs="宋体"/>
                <w:color w:val="000000"/>
                <w:kern w:val="0"/>
                <w:sz w:val="24"/>
                <w:lang w:bidi="ar"/>
              </w:rPr>
              <w:t>7</w:t>
            </w:r>
            <w:r>
              <w:rPr>
                <w:rFonts w:hint="eastAsia" w:ascii="宋体" w:hAnsi="宋体" w:cs="宋体"/>
                <w:color w:val="000000"/>
                <w:kern w:val="0"/>
                <w:sz w:val="24"/>
                <w:lang w:bidi="ar"/>
              </w:rPr>
              <w:t>）配置自动精简功能；</w:t>
            </w:r>
          </w:p>
          <w:p>
            <w:pPr>
              <w:pStyle w:val="117"/>
              <w:widowControl/>
              <w:ind w:firstLine="0" w:firstLineChars="0"/>
              <w:jc w:val="left"/>
              <w:textAlignment w:val="center"/>
              <w:rPr>
                <w:rFonts w:ascii="宋体" w:hAnsi="宋体" w:cs="宋体"/>
                <w:color w:val="000000"/>
                <w:kern w:val="0"/>
                <w:sz w:val="24"/>
                <w:lang w:bidi="ar"/>
              </w:rPr>
            </w:pPr>
            <w:r>
              <w:rPr>
                <w:rFonts w:ascii="宋体" w:hAnsi="宋体" w:cs="宋体"/>
                <w:color w:val="000000"/>
                <w:kern w:val="0"/>
                <w:sz w:val="24"/>
                <w:lang w:bidi="ar"/>
              </w:rPr>
              <w:t>8</w:t>
            </w:r>
            <w:r>
              <w:rPr>
                <w:rFonts w:hint="eastAsia" w:ascii="宋体" w:hAnsi="宋体" w:cs="宋体"/>
                <w:color w:val="000000"/>
                <w:kern w:val="0"/>
                <w:sz w:val="24"/>
                <w:lang w:bidi="ar"/>
              </w:rPr>
              <w:t>）配置SSD读写缓存加速功能；</w:t>
            </w:r>
          </w:p>
          <w:p>
            <w:pPr>
              <w:pStyle w:val="117"/>
              <w:widowControl/>
              <w:ind w:firstLine="0" w:firstLineChars="0"/>
              <w:jc w:val="left"/>
              <w:textAlignment w:val="center"/>
              <w:rPr>
                <w:rFonts w:hint="eastAsia" w:ascii="宋体" w:hAnsi="宋体" w:cs="宋体"/>
                <w:color w:val="000000"/>
                <w:kern w:val="0"/>
                <w:sz w:val="24"/>
                <w:lang w:bidi="ar"/>
              </w:rPr>
            </w:pPr>
            <w:r>
              <w:rPr>
                <w:rFonts w:ascii="宋体" w:hAnsi="宋体" w:cs="宋体"/>
                <w:color w:val="000000"/>
                <w:kern w:val="0"/>
                <w:sz w:val="24"/>
                <w:lang w:bidi="ar"/>
              </w:rPr>
              <w:t>9</w:t>
            </w:r>
            <w:r>
              <w:rPr>
                <w:rFonts w:hint="eastAsia" w:ascii="宋体" w:hAnsi="宋体" w:cs="宋体"/>
                <w:color w:val="000000"/>
                <w:kern w:val="0"/>
                <w:sz w:val="24"/>
                <w:lang w:bidi="ar"/>
              </w:rPr>
              <w:t>）8TB 硬盘</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7200转</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不少于1</w:t>
            </w:r>
            <w:r>
              <w:rPr>
                <w:rFonts w:ascii="宋体" w:hAnsi="宋体" w:cs="宋体"/>
                <w:color w:val="000000"/>
                <w:kern w:val="0"/>
                <w:sz w:val="24"/>
                <w:lang w:bidi="ar"/>
              </w:rPr>
              <w:t>0</w:t>
            </w:r>
            <w:r>
              <w:rPr>
                <w:rFonts w:hint="eastAsia" w:ascii="宋体" w:hAnsi="宋体" w:cs="宋体"/>
                <w:color w:val="000000"/>
                <w:kern w:val="0"/>
                <w:sz w:val="24"/>
                <w:lang w:bidi="ar"/>
              </w:rPr>
              <w:t>块。</w:t>
            </w:r>
          </w:p>
        </w:tc>
        <w:tc>
          <w:tcPr>
            <w:tcW w:w="666" w:type="dxa"/>
            <w:shd w:val="clear" w:color="auto" w:fill="auto"/>
            <w:noWrap/>
            <w:vAlign w:val="center"/>
          </w:tcPr>
          <w:p>
            <w:pPr>
              <w:widowControl/>
              <w:rPr>
                <w:rFonts w:ascii="宋体" w:hAnsi="宋体" w:cs="宋体"/>
                <w:color w:val="000000"/>
                <w:kern w:val="0"/>
                <w:sz w:val="24"/>
                <w:lang w:bidi="ar"/>
              </w:rPr>
            </w:pPr>
            <w:r>
              <w:rPr>
                <w:rFonts w:hint="eastAsia" w:ascii="宋体" w:hAnsi="宋体" w:cs="宋体"/>
                <w:color w:val="000000"/>
                <w:kern w:val="0"/>
                <w:sz w:val="24"/>
                <w:lang w:bidi="ar"/>
              </w:rPr>
              <w:t>项</w:t>
            </w:r>
          </w:p>
        </w:tc>
        <w:tc>
          <w:tcPr>
            <w:tcW w:w="667" w:type="dxa"/>
            <w:shd w:val="clear" w:color="auto" w:fill="auto"/>
            <w:vAlign w:val="center"/>
          </w:tcPr>
          <w:p>
            <w:pPr>
              <w:widowControl/>
              <w:rPr>
                <w:rFonts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13" w:type="dxa"/>
            <w:vMerge w:val="continue"/>
            <w:shd w:val="clear" w:color="auto" w:fill="auto"/>
            <w:noWrap/>
            <w:vAlign w:val="center"/>
          </w:tcPr>
          <w:p>
            <w:pPr>
              <w:pStyle w:val="117"/>
              <w:widowControl/>
              <w:numPr>
                <w:ilvl w:val="0"/>
                <w:numId w:val="3"/>
              </w:numPr>
              <w:snapToGrid w:val="0"/>
              <w:ind w:right="-460" w:rightChars="-219" w:firstLineChars="0"/>
              <w:jc w:val="center"/>
              <w:textAlignment w:val="center"/>
              <w:rPr>
                <w:rFonts w:ascii="宋体" w:hAnsi="宋体" w:cs="宋体"/>
                <w:color w:val="000000"/>
                <w:kern w:val="0"/>
                <w:sz w:val="24"/>
                <w:lang w:bidi="ar"/>
              </w:rPr>
            </w:pP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vMerge w:val="continue"/>
            <w:shd w:val="clear" w:color="auto" w:fill="auto"/>
            <w:noWrap/>
            <w:vAlign w:val="center"/>
          </w:tcPr>
          <w:p>
            <w:pPr>
              <w:widowControl/>
              <w:textAlignment w:val="center"/>
              <w:rPr>
                <w:rFonts w:ascii="宋体" w:hAnsi="宋体" w:cs="宋体"/>
                <w:color w:val="000000"/>
                <w:kern w:val="0"/>
                <w:sz w:val="24"/>
                <w:lang w:bidi="ar"/>
              </w:rPr>
            </w:pPr>
          </w:p>
        </w:tc>
        <w:tc>
          <w:tcPr>
            <w:tcW w:w="5331" w:type="dxa"/>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1、提供数据库存储，可用容量不少于3</w:t>
            </w:r>
            <w:r>
              <w:rPr>
                <w:rFonts w:ascii="宋体" w:hAnsi="宋体" w:cs="宋体"/>
                <w:color w:val="000000"/>
                <w:kern w:val="0"/>
                <w:sz w:val="24"/>
                <w:lang w:bidi="ar"/>
              </w:rPr>
              <w:t>4TB</w:t>
            </w:r>
            <w:r>
              <w:rPr>
                <w:rFonts w:hint="eastAsia" w:ascii="宋体" w:hAnsi="宋体" w:cs="宋体"/>
                <w:color w:val="000000"/>
                <w:kern w:val="0"/>
                <w:sz w:val="24"/>
                <w:lang w:bidi="ar"/>
              </w:rPr>
              <w:t>；</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2、存储资源服务功能要求：</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支持云硬盘服务，可以通过云平台创建块存储空间，按需配置需要申请的磁盘名称、云盘大小、申请数量、磁盘类型；</w:t>
            </w:r>
          </w:p>
          <w:p>
            <w:pPr>
              <w:widowControl/>
              <w:jc w:val="left"/>
              <w:textAlignment w:val="center"/>
              <w:rPr>
                <w:rFonts w:ascii="宋体" w:hAnsi="宋体" w:cs="宋体"/>
                <w:color w:val="000000"/>
                <w:kern w:val="0"/>
                <w:sz w:val="24"/>
                <w:lang w:bidi="ar"/>
              </w:rPr>
            </w:pPr>
            <w:r>
              <w:rPr>
                <w:rFonts w:ascii="宋体" w:hAnsi="宋体" w:cs="宋体"/>
                <w:color w:val="000000"/>
                <w:kern w:val="0"/>
                <w:sz w:val="24"/>
                <w:lang w:bidi="ar"/>
              </w:rPr>
              <w:t>3</w:t>
            </w:r>
            <w:r>
              <w:rPr>
                <w:rFonts w:hint="eastAsia" w:ascii="宋体" w:hAnsi="宋体" w:cs="宋体"/>
                <w:color w:val="000000"/>
                <w:kern w:val="0"/>
                <w:sz w:val="24"/>
                <w:lang w:bidi="ar"/>
              </w:rPr>
              <w:t>、存储服务宿主机要求：</w:t>
            </w:r>
          </w:p>
          <w:p>
            <w:pPr>
              <w:widowControl/>
              <w:jc w:val="left"/>
              <w:textAlignment w:val="center"/>
              <w:rPr>
                <w:rFonts w:ascii="宋体" w:hAnsi="宋体" w:cs="宋体"/>
                <w:color w:val="000000"/>
                <w:kern w:val="0"/>
                <w:sz w:val="24"/>
                <w:lang w:bidi="ar"/>
              </w:rPr>
            </w:pPr>
            <w:r>
              <w:rPr>
                <w:rFonts w:ascii="宋体" w:hAnsi="宋体" w:cs="宋体"/>
                <w:color w:val="000000"/>
                <w:kern w:val="0"/>
                <w:sz w:val="24"/>
                <w:lang w:bidi="ar"/>
              </w:rPr>
              <w:t>1</w:t>
            </w:r>
            <w:r>
              <w:rPr>
                <w:rFonts w:hint="eastAsia" w:ascii="宋体" w:hAnsi="宋体" w:cs="宋体"/>
                <w:color w:val="000000"/>
                <w:kern w:val="0"/>
                <w:sz w:val="24"/>
                <w:lang w:bidi="ar"/>
              </w:rPr>
              <w:t>）国产化CPU不少于2颗物理核，处理器配置不少于48线程、2.0GHz</w:t>
            </w:r>
          </w:p>
          <w:p>
            <w:pPr>
              <w:widowControl/>
              <w:jc w:val="left"/>
              <w:textAlignment w:val="center"/>
              <w:rPr>
                <w:rFonts w:ascii="宋体" w:hAnsi="宋体" w:cs="宋体"/>
                <w:color w:val="000000"/>
                <w:kern w:val="0"/>
                <w:sz w:val="24"/>
                <w:lang w:bidi="ar"/>
              </w:rPr>
            </w:pPr>
            <w:r>
              <w:rPr>
                <w:rFonts w:ascii="宋体" w:hAnsi="宋体" w:cs="宋体"/>
                <w:color w:val="000000"/>
                <w:kern w:val="0"/>
                <w:sz w:val="24"/>
                <w:lang w:bidi="ar"/>
              </w:rPr>
              <w:t>2</w:t>
            </w:r>
            <w:r>
              <w:rPr>
                <w:rFonts w:hint="eastAsia" w:ascii="宋体" w:hAnsi="宋体" w:cs="宋体"/>
                <w:color w:val="000000"/>
                <w:kern w:val="0"/>
                <w:sz w:val="24"/>
                <w:lang w:bidi="ar"/>
              </w:rPr>
              <w:t>）RAID卡(含cache 含掉电保护模块</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，Raid卡(链路支持12G，不少于4G cache，提供掉电保护</w:t>
            </w:r>
            <w:r>
              <w:rPr>
                <w:rFonts w:hint="eastAsia" w:ascii="宋体" w:hAnsi="宋体" w:cs="宋体"/>
                <w:color w:val="000000"/>
                <w:kern w:val="0"/>
                <w:sz w:val="24"/>
                <w:lang w:eastAsia="zh-CN" w:bidi="ar"/>
              </w:rPr>
              <w:t>）</w:t>
            </w:r>
          </w:p>
          <w:p>
            <w:pPr>
              <w:widowControl/>
              <w:jc w:val="left"/>
              <w:textAlignment w:val="center"/>
              <w:rPr>
                <w:rFonts w:ascii="宋体" w:hAnsi="宋体" w:cs="宋体"/>
                <w:color w:val="000000"/>
                <w:kern w:val="0"/>
                <w:sz w:val="24"/>
                <w:lang w:bidi="ar"/>
              </w:rPr>
            </w:pPr>
            <w:r>
              <w:rPr>
                <w:rFonts w:ascii="宋体" w:hAnsi="宋体" w:cs="宋体"/>
                <w:color w:val="000000"/>
                <w:kern w:val="0"/>
                <w:sz w:val="24"/>
                <w:lang w:bidi="ar"/>
              </w:rPr>
              <w:t>3</w:t>
            </w:r>
            <w:r>
              <w:rPr>
                <w:rFonts w:hint="eastAsia" w:ascii="宋体" w:hAnsi="宋体" w:cs="宋体"/>
                <w:color w:val="000000"/>
                <w:kern w:val="0"/>
                <w:sz w:val="24"/>
                <w:lang w:bidi="ar"/>
              </w:rPr>
              <w:t>）双端口10GE网卡（含模块）不少于2块；</w:t>
            </w:r>
          </w:p>
          <w:p>
            <w:pPr>
              <w:widowControl/>
              <w:jc w:val="left"/>
              <w:textAlignment w:val="center"/>
              <w:rPr>
                <w:rFonts w:ascii="宋体" w:hAnsi="宋体" w:cs="宋体"/>
                <w:color w:val="000000"/>
                <w:kern w:val="0"/>
                <w:sz w:val="24"/>
                <w:lang w:bidi="ar"/>
              </w:rPr>
            </w:pPr>
            <w:r>
              <w:rPr>
                <w:rFonts w:ascii="宋体" w:hAnsi="宋体" w:cs="宋体"/>
                <w:color w:val="000000"/>
                <w:kern w:val="0"/>
                <w:sz w:val="24"/>
                <w:lang w:bidi="ar"/>
              </w:rPr>
              <w:t>4</w:t>
            </w:r>
            <w:r>
              <w:rPr>
                <w:rFonts w:hint="eastAsia" w:ascii="宋体" w:hAnsi="宋体" w:cs="宋体"/>
                <w:color w:val="000000"/>
                <w:kern w:val="0"/>
                <w:sz w:val="24"/>
                <w:lang w:bidi="ar"/>
              </w:rPr>
              <w:t>）系统盘960GB不少于2块（SATA SSD，5年DWPD≥1）；数据盘3.84TB不少于1</w:t>
            </w:r>
            <w:r>
              <w:rPr>
                <w:rFonts w:ascii="宋体" w:hAnsi="宋体" w:cs="宋体"/>
                <w:color w:val="000000"/>
                <w:kern w:val="0"/>
                <w:sz w:val="24"/>
                <w:lang w:bidi="ar"/>
              </w:rPr>
              <w:t>2</w:t>
            </w:r>
            <w:r>
              <w:rPr>
                <w:rFonts w:hint="eastAsia" w:ascii="宋体" w:hAnsi="宋体" w:cs="宋体"/>
                <w:color w:val="000000"/>
                <w:kern w:val="0"/>
                <w:sz w:val="24"/>
                <w:lang w:bidi="ar"/>
              </w:rPr>
              <w:t>块（PCIE NVMe SSD，5年DWPD≥1）</w:t>
            </w:r>
          </w:p>
        </w:tc>
        <w:tc>
          <w:tcPr>
            <w:tcW w:w="666" w:type="dxa"/>
            <w:shd w:val="clear" w:color="auto" w:fill="auto"/>
            <w:noWrap/>
            <w:vAlign w:val="center"/>
          </w:tcPr>
          <w:p>
            <w:pPr>
              <w:widowControl/>
              <w:rPr>
                <w:rFonts w:ascii="宋体" w:hAnsi="宋体" w:cs="宋体"/>
                <w:color w:val="000000"/>
                <w:kern w:val="0"/>
                <w:sz w:val="24"/>
                <w:lang w:bidi="ar"/>
              </w:rPr>
            </w:pPr>
            <w:r>
              <w:rPr>
                <w:rFonts w:hint="eastAsia" w:ascii="宋体" w:hAnsi="宋体" w:cs="宋体"/>
                <w:color w:val="000000"/>
                <w:kern w:val="0"/>
                <w:sz w:val="24"/>
                <w:lang w:bidi="ar"/>
              </w:rPr>
              <w:t>项</w:t>
            </w:r>
          </w:p>
        </w:tc>
        <w:tc>
          <w:tcPr>
            <w:tcW w:w="667" w:type="dxa"/>
            <w:shd w:val="clear" w:color="auto" w:fill="auto"/>
            <w:vAlign w:val="center"/>
          </w:tcPr>
          <w:p>
            <w:pPr>
              <w:widowControl/>
              <w:rPr>
                <w:rFonts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right="-460" w:rightChars="-219" w:firstLineChars="0"/>
              <w:jc w:val="center"/>
              <w:textAlignment w:val="center"/>
              <w:rPr>
                <w:rFonts w:ascii="宋体" w:hAnsi="宋体" w:cs="宋体"/>
                <w:color w:val="000000"/>
                <w:sz w:val="24"/>
              </w:rPr>
            </w:pPr>
          </w:p>
        </w:tc>
        <w:tc>
          <w:tcPr>
            <w:tcW w:w="1358" w:type="dxa"/>
            <w:shd w:val="clear" w:color="auto" w:fill="auto"/>
            <w:noWrap/>
            <w:vAlign w:val="center"/>
          </w:tcPr>
          <w:p>
            <w:pPr>
              <w:widowControl/>
              <w:jc w:val="center"/>
              <w:rPr>
                <w:rFonts w:ascii="宋体" w:hAnsi="宋体" w:cs="宋体"/>
                <w:color w:val="000000"/>
                <w:sz w:val="24"/>
              </w:rPr>
            </w:pPr>
            <w:r>
              <w:rPr>
                <w:rFonts w:hint="eastAsia" w:ascii="宋体" w:hAnsi="宋体" w:cs="宋体"/>
                <w:color w:val="000000"/>
                <w:sz w:val="24"/>
              </w:rPr>
              <w:t>灾备服务</w:t>
            </w: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存储资源服务</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近线数据备份服务，国产化CPU，提供核心数据备份与恢复服务，具备重复数据删除功能，可实现文件、操作系统、数据库、虚拟机的在线备份和恢复管理，可用容量不少于</w:t>
            </w:r>
            <w:r>
              <w:rPr>
                <w:rFonts w:ascii="宋体" w:hAnsi="宋体" w:cs="宋体"/>
                <w:color w:val="000000"/>
                <w:kern w:val="0"/>
                <w:sz w:val="24"/>
                <w:lang w:bidi="ar"/>
              </w:rPr>
              <w:t>40TB</w:t>
            </w:r>
            <w:r>
              <w:rPr>
                <w:rFonts w:hint="eastAsia" w:ascii="宋体" w:hAnsi="宋体" w:cs="宋体"/>
                <w:color w:val="000000"/>
                <w:kern w:val="0"/>
                <w:sz w:val="24"/>
                <w:lang w:bidi="ar"/>
              </w:rPr>
              <w:t>。</w:t>
            </w:r>
          </w:p>
        </w:tc>
        <w:tc>
          <w:tcPr>
            <w:tcW w:w="666" w:type="dxa"/>
            <w:shd w:val="clear" w:color="auto" w:fill="auto"/>
            <w:noWrap/>
            <w:vAlign w:val="center"/>
          </w:tcPr>
          <w:p>
            <w:pPr>
              <w:widowControl/>
              <w:jc w:val="center"/>
              <w:rPr>
                <w:rFonts w:ascii="宋体" w:hAnsi="宋体" w:cs="宋体"/>
                <w:color w:val="000000"/>
                <w:sz w:val="24"/>
              </w:rPr>
            </w:pPr>
            <w:r>
              <w:rPr>
                <w:rFonts w:hint="eastAsia" w:ascii="宋体" w:hAnsi="宋体" w:cs="宋体"/>
                <w:color w:val="000000"/>
                <w:sz w:val="24"/>
              </w:rPr>
              <w:t>套</w:t>
            </w:r>
          </w:p>
        </w:tc>
        <w:tc>
          <w:tcPr>
            <w:tcW w:w="667" w:type="dxa"/>
            <w:shd w:val="clear" w:color="auto" w:fill="auto"/>
            <w:vAlign w:val="center"/>
          </w:tcPr>
          <w:p>
            <w:pPr>
              <w:widowControl/>
              <w:jc w:val="center"/>
              <w:rPr>
                <w:rFonts w:ascii="宋体" w:hAnsi="宋体" w:cs="宋体"/>
                <w:color w:val="000000"/>
                <w:sz w:val="24"/>
              </w:rPr>
            </w:pPr>
            <w:r>
              <w:rPr>
                <w:rFonts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right="-460" w:rightChars="-219" w:firstLineChars="0"/>
              <w:jc w:val="center"/>
              <w:textAlignment w:val="center"/>
              <w:rPr>
                <w:rFonts w:ascii="宋体" w:hAnsi="宋体" w:cs="宋体"/>
                <w:color w:val="000000"/>
                <w:sz w:val="24"/>
              </w:rPr>
            </w:pPr>
          </w:p>
        </w:tc>
        <w:tc>
          <w:tcPr>
            <w:tcW w:w="1358"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机房资源服务</w:t>
            </w: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机房机柜服务</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highlight w:val="none"/>
                <w:lang w:bidi="ar"/>
              </w:rPr>
              <w:t>提供不少于15套机房标准机柜及相关配套服务满足云服务使用需求，同时须提供大学生就业创业支撑服务所需22套机柜服务。</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restart"/>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国产化安全防护服务</w:t>
            </w: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国产化防火墙系统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国产化CPU,2U</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管理口≥1个、HA口≥1个、千兆电口≥</w:t>
            </w:r>
            <w:r>
              <w:rPr>
                <w:rFonts w:ascii="宋体" w:hAnsi="宋体" w:cs="宋体"/>
                <w:color w:val="000000"/>
                <w:kern w:val="0"/>
                <w:sz w:val="24"/>
                <w:lang w:bidi="ar"/>
              </w:rPr>
              <w:t>8</w:t>
            </w:r>
            <w:r>
              <w:rPr>
                <w:rFonts w:hint="eastAsia" w:ascii="宋体" w:hAnsi="宋体" w:cs="宋体"/>
                <w:color w:val="000000"/>
                <w:kern w:val="0"/>
                <w:sz w:val="24"/>
                <w:lang w:bidi="ar"/>
              </w:rPr>
              <w:t>个、千兆光口≥8个（满配千兆多模模块）和万兆光口≥1</w:t>
            </w:r>
            <w:r>
              <w:rPr>
                <w:rFonts w:ascii="宋体" w:hAnsi="宋体" w:cs="宋体"/>
                <w:color w:val="000000"/>
                <w:kern w:val="0"/>
                <w:sz w:val="24"/>
                <w:lang w:bidi="ar"/>
              </w:rPr>
              <w:t>2</w:t>
            </w:r>
            <w:r>
              <w:rPr>
                <w:rFonts w:hint="eastAsia" w:ascii="宋体" w:hAnsi="宋体" w:cs="宋体"/>
                <w:color w:val="000000"/>
                <w:kern w:val="0"/>
                <w:sz w:val="24"/>
                <w:lang w:bidi="ar"/>
              </w:rPr>
              <w:t>个（满配万兆多模模块），32G内存，4T硬盘</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冗余电源</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2个扩展槽位</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网络层吞吐量(双向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IPv4不小于6</w:t>
            </w:r>
            <w:r>
              <w:rPr>
                <w:rFonts w:ascii="宋体" w:hAnsi="宋体" w:cs="宋体"/>
                <w:color w:val="000000"/>
                <w:kern w:val="0"/>
                <w:sz w:val="24"/>
                <w:lang w:bidi="ar"/>
              </w:rPr>
              <w:t>0000</w:t>
            </w:r>
            <w:r>
              <w:rPr>
                <w:rFonts w:hint="eastAsia" w:ascii="宋体" w:hAnsi="宋体" w:cs="宋体"/>
                <w:color w:val="000000"/>
                <w:kern w:val="0"/>
                <w:sz w:val="24"/>
                <w:lang w:bidi="ar"/>
              </w:rPr>
              <w:t>Mbps、IPv6不小于6</w:t>
            </w:r>
            <w:r>
              <w:rPr>
                <w:rFonts w:ascii="宋体" w:hAnsi="宋体" w:cs="宋体"/>
                <w:color w:val="000000"/>
                <w:kern w:val="0"/>
                <w:sz w:val="24"/>
                <w:lang w:bidi="ar"/>
              </w:rPr>
              <w:t>0000</w:t>
            </w:r>
            <w:r>
              <w:rPr>
                <w:rFonts w:hint="eastAsia" w:ascii="宋体" w:hAnsi="宋体" w:cs="宋体"/>
                <w:color w:val="000000"/>
                <w:kern w:val="0"/>
                <w:sz w:val="24"/>
                <w:lang w:bidi="ar"/>
              </w:rPr>
              <w:t>Mbps。 应用层吞吐量(单向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IPv4不小于2</w:t>
            </w:r>
            <w:r>
              <w:rPr>
                <w:rFonts w:ascii="宋体" w:hAnsi="宋体" w:cs="宋体"/>
                <w:color w:val="000000"/>
                <w:kern w:val="0"/>
                <w:sz w:val="24"/>
                <w:lang w:bidi="ar"/>
              </w:rPr>
              <w:t>0000</w:t>
            </w:r>
            <w:r>
              <w:rPr>
                <w:rFonts w:hint="eastAsia" w:ascii="宋体" w:hAnsi="宋体" w:cs="宋体"/>
                <w:color w:val="000000"/>
                <w:kern w:val="0"/>
                <w:sz w:val="24"/>
                <w:lang w:bidi="ar"/>
              </w:rPr>
              <w:t>Mbps、IPv6不小于2</w:t>
            </w:r>
            <w:r>
              <w:rPr>
                <w:rFonts w:ascii="宋体" w:hAnsi="宋体" w:cs="宋体"/>
                <w:color w:val="000000"/>
                <w:kern w:val="0"/>
                <w:sz w:val="24"/>
                <w:lang w:bidi="ar"/>
              </w:rPr>
              <w:t>0000</w:t>
            </w:r>
            <w:r>
              <w:rPr>
                <w:rFonts w:hint="eastAsia" w:ascii="宋体" w:hAnsi="宋体" w:cs="宋体"/>
                <w:color w:val="000000"/>
                <w:kern w:val="0"/>
                <w:sz w:val="24"/>
                <w:lang w:bidi="ar"/>
              </w:rPr>
              <w:t>Mbps。TCP新建连接速率：IPv4不小于30万/秒、IPv6不小于30万/秒。支持透明、路由、混合三种工作模式。支持静态路由，动态路由（OSPF、RIP、BGP、ISIS等），VLAN间路由，单臂路由，组播路由等。支持基于数据包的安全域、地址、用户及用户组、MAC、端口号、服务、域名等进行安全策略控制。</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国产化边界防护系统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国产化CPU,2U</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管理口≥1个HA口≥1个、千兆电口≥</w:t>
            </w:r>
            <w:r>
              <w:rPr>
                <w:rFonts w:ascii="宋体" w:hAnsi="宋体" w:cs="宋体"/>
                <w:color w:val="000000"/>
                <w:kern w:val="0"/>
                <w:sz w:val="24"/>
                <w:lang w:bidi="ar"/>
              </w:rPr>
              <w:t>8</w:t>
            </w:r>
            <w:r>
              <w:rPr>
                <w:rFonts w:hint="eastAsia" w:ascii="宋体" w:hAnsi="宋体" w:cs="宋体"/>
                <w:color w:val="000000"/>
                <w:kern w:val="0"/>
                <w:sz w:val="24"/>
                <w:lang w:bidi="ar"/>
              </w:rPr>
              <w:t>个、千兆光口≥</w:t>
            </w:r>
            <w:r>
              <w:rPr>
                <w:rFonts w:ascii="宋体" w:hAnsi="宋体" w:cs="宋体"/>
                <w:color w:val="000000"/>
                <w:kern w:val="0"/>
                <w:sz w:val="24"/>
                <w:lang w:bidi="ar"/>
              </w:rPr>
              <w:t>8</w:t>
            </w:r>
            <w:r>
              <w:rPr>
                <w:rFonts w:hint="eastAsia" w:ascii="宋体" w:hAnsi="宋体" w:cs="宋体"/>
                <w:color w:val="000000"/>
                <w:kern w:val="0"/>
                <w:sz w:val="24"/>
                <w:lang w:bidi="ar"/>
              </w:rPr>
              <w:t>个（满配千兆多模模块）和万兆光口≥</w:t>
            </w:r>
            <w:r>
              <w:rPr>
                <w:rFonts w:ascii="宋体" w:hAnsi="宋体" w:cs="宋体"/>
                <w:color w:val="000000"/>
                <w:kern w:val="0"/>
                <w:sz w:val="24"/>
                <w:lang w:bidi="ar"/>
              </w:rPr>
              <w:t>12</w:t>
            </w:r>
            <w:r>
              <w:rPr>
                <w:rFonts w:hint="eastAsia" w:ascii="宋体" w:hAnsi="宋体" w:cs="宋体"/>
                <w:color w:val="000000"/>
                <w:kern w:val="0"/>
                <w:sz w:val="24"/>
                <w:lang w:bidi="ar"/>
              </w:rPr>
              <w:t>个（满配万兆多模模块），32G内存，4T硬盘</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冗余电源</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2个扩展槽位</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网络层吞吐量(双向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：IPv4不小于6</w:t>
            </w:r>
            <w:r>
              <w:rPr>
                <w:rFonts w:ascii="宋体" w:hAnsi="宋体" w:cs="宋体"/>
                <w:color w:val="000000"/>
                <w:kern w:val="0"/>
                <w:sz w:val="24"/>
                <w:lang w:bidi="ar"/>
              </w:rPr>
              <w:t>0000</w:t>
            </w:r>
            <w:r>
              <w:rPr>
                <w:rFonts w:hint="eastAsia" w:ascii="宋体" w:hAnsi="宋体" w:cs="宋体"/>
                <w:color w:val="000000"/>
                <w:kern w:val="0"/>
                <w:sz w:val="24"/>
                <w:lang w:bidi="ar"/>
              </w:rPr>
              <w:t>Mbps、IPv6不小于6</w:t>
            </w:r>
            <w:r>
              <w:rPr>
                <w:rFonts w:ascii="宋体" w:hAnsi="宋体" w:cs="宋体"/>
                <w:color w:val="000000"/>
                <w:kern w:val="0"/>
                <w:sz w:val="24"/>
                <w:lang w:bidi="ar"/>
              </w:rPr>
              <w:t>0000</w:t>
            </w:r>
            <w:r>
              <w:rPr>
                <w:rFonts w:hint="eastAsia" w:ascii="宋体" w:hAnsi="宋体" w:cs="宋体"/>
                <w:color w:val="000000"/>
                <w:kern w:val="0"/>
                <w:sz w:val="24"/>
                <w:lang w:bidi="ar"/>
              </w:rPr>
              <w:t>Mbps。 应用层吞吐量(单向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IPv4不小于2</w:t>
            </w:r>
            <w:r>
              <w:rPr>
                <w:rFonts w:ascii="宋体" w:hAnsi="宋体" w:cs="宋体"/>
                <w:color w:val="000000"/>
                <w:kern w:val="0"/>
                <w:sz w:val="24"/>
                <w:lang w:bidi="ar"/>
              </w:rPr>
              <w:t>0000</w:t>
            </w:r>
            <w:r>
              <w:rPr>
                <w:rFonts w:hint="eastAsia" w:ascii="宋体" w:hAnsi="宋体" w:cs="宋体"/>
                <w:color w:val="000000"/>
                <w:kern w:val="0"/>
                <w:sz w:val="24"/>
                <w:lang w:bidi="ar"/>
              </w:rPr>
              <w:t>Mbps、IPv6不小于2</w:t>
            </w:r>
            <w:r>
              <w:rPr>
                <w:rFonts w:ascii="宋体" w:hAnsi="宋体" w:cs="宋体"/>
                <w:color w:val="000000"/>
                <w:kern w:val="0"/>
                <w:sz w:val="24"/>
                <w:lang w:bidi="ar"/>
              </w:rPr>
              <w:t>0000</w:t>
            </w:r>
            <w:r>
              <w:rPr>
                <w:rFonts w:hint="eastAsia" w:ascii="宋体" w:hAnsi="宋体" w:cs="宋体"/>
                <w:color w:val="000000"/>
                <w:kern w:val="0"/>
                <w:sz w:val="24"/>
                <w:lang w:bidi="ar"/>
              </w:rPr>
              <w:t>Mbps。TCP新建连接速率： IPv4不小于30万/秒、IPv6不小于30万/秒。支持透明、路由、混合三种工作模式。支持静态路由，动态路由（OSPF、RIP、BGP、ISIS等），VLAN间路由，单臂路由，组播路由等。支持基于数据包的安全域、地址、用户及用户组、MAC、端口号、服务、域名等进行安全策略控制。</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国产化网络审计系统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国产化CPU，内存≥32GB，管理口≥</w:t>
            </w:r>
            <w:r>
              <w:rPr>
                <w:rFonts w:ascii="宋体" w:hAnsi="宋体" w:cs="宋体"/>
                <w:color w:val="000000"/>
                <w:kern w:val="0"/>
                <w:sz w:val="24"/>
                <w:lang w:bidi="ar"/>
              </w:rPr>
              <w:t>1</w:t>
            </w:r>
            <w:r>
              <w:rPr>
                <w:rFonts w:hint="eastAsia" w:ascii="宋体" w:hAnsi="宋体" w:cs="宋体"/>
                <w:color w:val="000000"/>
                <w:kern w:val="0"/>
                <w:sz w:val="24"/>
                <w:lang w:bidi="ar"/>
              </w:rPr>
              <w:t>个、千兆电口≥</w:t>
            </w:r>
            <w:r>
              <w:rPr>
                <w:rFonts w:ascii="宋体" w:hAnsi="宋体" w:cs="宋体"/>
                <w:color w:val="000000"/>
                <w:kern w:val="0"/>
                <w:sz w:val="24"/>
                <w:lang w:bidi="ar"/>
              </w:rPr>
              <w:t>4</w:t>
            </w:r>
            <w:r>
              <w:rPr>
                <w:rFonts w:hint="eastAsia" w:ascii="宋体" w:hAnsi="宋体" w:cs="宋体"/>
                <w:color w:val="000000"/>
                <w:kern w:val="0"/>
                <w:sz w:val="24"/>
                <w:lang w:bidi="ar"/>
              </w:rPr>
              <w:t>个、千兆光口≥</w:t>
            </w:r>
            <w:r>
              <w:rPr>
                <w:rFonts w:ascii="宋体" w:hAnsi="宋体" w:cs="宋体"/>
                <w:color w:val="000000"/>
                <w:kern w:val="0"/>
                <w:sz w:val="24"/>
                <w:lang w:bidi="ar"/>
              </w:rPr>
              <w:t>4</w:t>
            </w:r>
            <w:r>
              <w:rPr>
                <w:rFonts w:hint="eastAsia" w:ascii="宋体" w:hAnsi="宋体" w:cs="宋体"/>
                <w:color w:val="000000"/>
                <w:kern w:val="0"/>
                <w:sz w:val="24"/>
                <w:lang w:bidi="ar"/>
              </w:rPr>
              <w:t>个、万兆光口≥</w:t>
            </w:r>
            <w:r>
              <w:rPr>
                <w:rFonts w:ascii="宋体" w:hAnsi="宋体" w:cs="宋体"/>
                <w:color w:val="000000"/>
                <w:kern w:val="0"/>
                <w:sz w:val="24"/>
                <w:lang w:bidi="ar"/>
              </w:rPr>
              <w:t>4</w:t>
            </w:r>
            <w:r>
              <w:rPr>
                <w:rFonts w:hint="eastAsia" w:ascii="宋体" w:hAnsi="宋体" w:cs="宋体"/>
                <w:color w:val="000000"/>
                <w:kern w:val="0"/>
                <w:sz w:val="24"/>
                <w:lang w:bidi="ar"/>
              </w:rPr>
              <w:t>个，抓包速率≥ 3Gbps，记录事件能力≥ 15000条/秒；审计网络行为进行解析、分析、记录、汇报，以帮助用户事前规划预防、事中实时监视、违规行为响应、事后报告、事故追踪溯源，加强内外部网络行为监管、促进设备</w:t>
            </w:r>
            <w:r>
              <w:rPr>
                <w:rFonts w:hint="eastAsia" w:ascii="宋体" w:hAnsi="宋体" w:cs="宋体"/>
                <w:color w:val="000000"/>
                <w:kern w:val="0"/>
                <w:sz w:val="24"/>
                <w:lang w:eastAsia="zh-CN" w:bidi="ar"/>
              </w:rPr>
              <w:t>正常运行</w:t>
            </w:r>
            <w:r>
              <w:rPr>
                <w:rFonts w:hint="eastAsia" w:ascii="宋体" w:hAnsi="宋体" w:cs="宋体"/>
                <w:color w:val="000000"/>
                <w:kern w:val="0"/>
                <w:sz w:val="24"/>
                <w:lang w:bidi="ar"/>
              </w:rPr>
              <w:t>。</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国产化数据库审计系统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国产化CPU,2U</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内存≥32G，千兆电口≥6个（1个管理，1个HA），千兆光口≥4个，万兆口≥2个（光口均自带多模光模块），冗余电源</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2个扩展槽位</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记录事件能力≥50000条/秒。通过对被各类人员和系统的数据库操作行为进行解析、分析、记录、汇报，以帮助用户事前规划预防、事中实时监视、违规行为响应、事后合规报告、事故追踪溯源，加强内外部网络行为监管、促进设备的</w:t>
            </w:r>
            <w:r>
              <w:rPr>
                <w:rFonts w:hint="eastAsia" w:ascii="宋体" w:hAnsi="宋体" w:cs="宋体"/>
                <w:color w:val="000000"/>
                <w:kern w:val="0"/>
                <w:sz w:val="24"/>
                <w:lang w:eastAsia="zh-CN" w:bidi="ar"/>
              </w:rPr>
              <w:t>正常运行</w:t>
            </w:r>
            <w:r>
              <w:rPr>
                <w:rFonts w:hint="eastAsia" w:ascii="宋体" w:hAnsi="宋体" w:cs="宋体"/>
                <w:color w:val="000000"/>
                <w:kern w:val="0"/>
                <w:sz w:val="24"/>
                <w:lang w:bidi="ar"/>
              </w:rPr>
              <w:t>。</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国产化入侵防御系统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国产化CPU</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内存≥32GB，管理口≥1个、HA口≥1个，千兆电≥</w:t>
            </w:r>
            <w:r>
              <w:rPr>
                <w:rFonts w:ascii="宋体" w:hAnsi="宋体" w:cs="宋体"/>
                <w:color w:val="000000"/>
                <w:kern w:val="0"/>
                <w:sz w:val="24"/>
                <w:lang w:bidi="ar"/>
              </w:rPr>
              <w:t>8</w:t>
            </w:r>
            <w:r>
              <w:rPr>
                <w:rFonts w:hint="eastAsia" w:ascii="宋体" w:hAnsi="宋体" w:cs="宋体"/>
                <w:color w:val="000000"/>
                <w:kern w:val="0"/>
                <w:sz w:val="24"/>
                <w:lang w:bidi="ar"/>
              </w:rPr>
              <w:t>个，千兆光口≥</w:t>
            </w:r>
            <w:r>
              <w:rPr>
                <w:rFonts w:ascii="宋体" w:hAnsi="宋体" w:cs="宋体"/>
                <w:color w:val="000000"/>
                <w:kern w:val="0"/>
                <w:sz w:val="24"/>
                <w:lang w:bidi="ar"/>
              </w:rPr>
              <w:t>8</w:t>
            </w:r>
            <w:r>
              <w:rPr>
                <w:rFonts w:hint="eastAsia" w:ascii="宋体" w:hAnsi="宋体" w:cs="宋体"/>
                <w:color w:val="000000"/>
                <w:kern w:val="0"/>
                <w:sz w:val="24"/>
                <w:lang w:bidi="ar"/>
              </w:rPr>
              <w:t>个，万兆光口≥</w:t>
            </w:r>
            <w:r>
              <w:rPr>
                <w:rFonts w:ascii="宋体" w:hAnsi="宋体" w:cs="宋体"/>
                <w:color w:val="000000"/>
                <w:kern w:val="0"/>
                <w:sz w:val="24"/>
                <w:lang w:bidi="ar"/>
              </w:rPr>
              <w:t>2</w:t>
            </w:r>
            <w:r>
              <w:rPr>
                <w:rFonts w:hint="eastAsia" w:ascii="宋体" w:hAnsi="宋体" w:cs="宋体"/>
                <w:color w:val="000000"/>
                <w:kern w:val="0"/>
                <w:sz w:val="24"/>
                <w:lang w:bidi="ar"/>
              </w:rPr>
              <w:t>个，满检速率</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33000Mbps，TCP最并发连接数</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800万；串行部署于网络关键路径，对深层攻击行为进行精确识别和实时阻断，主动而有效的保护网络安全，具备对威胁的精确检测能力，执行实时高效的自动化威胁防御，简单而有效</w:t>
            </w:r>
            <w:r>
              <w:rPr>
                <w:rFonts w:hint="eastAsia" w:ascii="宋体" w:hAnsi="宋体" w:cs="宋体"/>
                <w:color w:val="000000"/>
                <w:kern w:val="0"/>
                <w:sz w:val="24"/>
                <w:lang w:eastAsia="zh-CN" w:bidi="ar"/>
              </w:rPr>
              <w:t>地</w:t>
            </w:r>
            <w:r>
              <w:rPr>
                <w:rFonts w:hint="eastAsia" w:ascii="宋体" w:hAnsi="宋体" w:cs="宋体"/>
                <w:color w:val="000000"/>
                <w:kern w:val="0"/>
                <w:sz w:val="24"/>
                <w:lang w:bidi="ar"/>
              </w:rPr>
              <w:t>保护用户网络及业务免受深层威胁的侵害。</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国产化运维安全管理系统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国产化CPU</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内存≥32GB，管理口≥1个、千兆电口≥6个、千兆光口≥4个，万兆光口≥2个，字符并发不低于3</w:t>
            </w:r>
            <w:r>
              <w:rPr>
                <w:rFonts w:ascii="宋体" w:hAnsi="宋体" w:cs="宋体"/>
                <w:color w:val="000000"/>
                <w:kern w:val="0"/>
                <w:sz w:val="24"/>
                <w:lang w:bidi="ar"/>
              </w:rPr>
              <w:t>000</w:t>
            </w:r>
            <w:r>
              <w:rPr>
                <w:rFonts w:hint="eastAsia" w:ascii="宋体" w:hAnsi="宋体" w:cs="宋体"/>
                <w:color w:val="000000"/>
                <w:kern w:val="0"/>
                <w:sz w:val="24"/>
                <w:lang w:bidi="ar"/>
              </w:rPr>
              <w:t>，图形并发不低于1</w:t>
            </w:r>
            <w:r>
              <w:rPr>
                <w:rFonts w:ascii="宋体" w:hAnsi="宋体" w:cs="宋体"/>
                <w:color w:val="000000"/>
                <w:kern w:val="0"/>
                <w:sz w:val="24"/>
                <w:lang w:bidi="ar"/>
              </w:rPr>
              <w:t>500</w:t>
            </w:r>
            <w:r>
              <w:rPr>
                <w:rFonts w:hint="eastAsia" w:ascii="宋体" w:hAnsi="宋体" w:cs="宋体"/>
                <w:color w:val="000000"/>
                <w:kern w:val="0"/>
                <w:sz w:val="24"/>
                <w:lang w:bidi="ar"/>
              </w:rPr>
              <w:t>，主机/设备许可授权≥300个。要求支持双因子认证功能，并提供不少于2</w:t>
            </w:r>
            <w:r>
              <w:rPr>
                <w:rFonts w:ascii="宋体" w:hAnsi="宋体" w:cs="宋体"/>
                <w:color w:val="000000"/>
                <w:kern w:val="0"/>
                <w:sz w:val="24"/>
                <w:lang w:bidi="ar"/>
              </w:rPr>
              <w:t>0</w:t>
            </w:r>
            <w:r>
              <w:rPr>
                <w:rFonts w:hint="eastAsia" w:ascii="宋体" w:hAnsi="宋体" w:cs="宋体"/>
                <w:color w:val="000000"/>
                <w:kern w:val="0"/>
                <w:sz w:val="24"/>
                <w:lang w:bidi="ar"/>
              </w:rPr>
              <w:t>个U</w:t>
            </w:r>
            <w:r>
              <w:rPr>
                <w:rFonts w:ascii="宋体" w:hAnsi="宋体" w:cs="宋体"/>
                <w:color w:val="000000"/>
                <w:kern w:val="0"/>
                <w:sz w:val="24"/>
                <w:lang w:bidi="ar"/>
              </w:rPr>
              <w:t>SB</w:t>
            </w:r>
            <w:r>
              <w:rPr>
                <w:rFonts w:hint="eastAsia" w:ascii="宋体" w:hAnsi="宋体" w:cs="宋体"/>
                <w:color w:val="000000"/>
                <w:kern w:val="0"/>
                <w:sz w:val="24"/>
                <w:lang w:bidi="ar"/>
              </w:rPr>
              <w:t>key或动态口令卡，用于运维人员的双因子认证。</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国产化日志审计系统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国产化C</w:t>
            </w:r>
            <w:r>
              <w:rPr>
                <w:rFonts w:ascii="宋体" w:hAnsi="宋体" w:cs="宋体"/>
                <w:color w:val="000000"/>
                <w:kern w:val="0"/>
                <w:sz w:val="24"/>
                <w:lang w:bidi="ar"/>
              </w:rPr>
              <w:t>PU</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内存</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32GB，管理口≥1个、千兆电口≥</w:t>
            </w:r>
            <w:r>
              <w:rPr>
                <w:rFonts w:ascii="宋体" w:hAnsi="宋体" w:cs="宋体"/>
                <w:color w:val="000000"/>
                <w:kern w:val="0"/>
                <w:sz w:val="24"/>
                <w:lang w:bidi="ar"/>
              </w:rPr>
              <w:t>6</w:t>
            </w:r>
            <w:r>
              <w:rPr>
                <w:rFonts w:hint="eastAsia" w:ascii="宋体" w:hAnsi="宋体" w:cs="宋体"/>
                <w:color w:val="000000"/>
                <w:kern w:val="0"/>
                <w:sz w:val="24"/>
                <w:lang w:bidi="ar"/>
              </w:rPr>
              <w:t>个、千兆光口≥4个、万兆光口≥</w:t>
            </w:r>
            <w:r>
              <w:rPr>
                <w:rFonts w:ascii="宋体" w:hAnsi="宋体" w:cs="宋体"/>
                <w:color w:val="000000"/>
                <w:kern w:val="0"/>
                <w:sz w:val="24"/>
                <w:lang w:bidi="ar"/>
              </w:rPr>
              <w:t>2</w:t>
            </w:r>
            <w:r>
              <w:rPr>
                <w:rFonts w:hint="eastAsia" w:ascii="宋体" w:hAnsi="宋体" w:cs="宋体"/>
                <w:color w:val="000000"/>
                <w:kern w:val="0"/>
                <w:sz w:val="24"/>
                <w:lang w:bidi="ar"/>
              </w:rPr>
              <w:t>个，可以进行日志采集及日志分析，不少于100个日志源授权；支持对主流安全设备、网络设备、服务器、终端、数据库、中间件、大数据组件、应用系统等设备系统进行日志采集。</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主机安全防护系统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提供符合三级等保要求的主机（云服务器）安全软件，含平台及147个主机安全授权。</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安全扫描服务</w:t>
            </w: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国产化漏洞扫描系统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国产化CPU</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内存≥</w:t>
            </w:r>
            <w:r>
              <w:rPr>
                <w:rFonts w:ascii="宋体" w:hAnsi="宋体" w:cs="宋体"/>
                <w:color w:val="000000"/>
                <w:kern w:val="0"/>
                <w:sz w:val="24"/>
                <w:lang w:bidi="ar"/>
              </w:rPr>
              <w:t>16</w:t>
            </w:r>
            <w:r>
              <w:rPr>
                <w:rFonts w:hint="eastAsia" w:ascii="宋体" w:hAnsi="宋体" w:cs="宋体"/>
                <w:color w:val="000000"/>
                <w:kern w:val="0"/>
                <w:sz w:val="24"/>
                <w:lang w:bidi="ar"/>
              </w:rPr>
              <w:t>GB</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网络接口</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管理口≥1个、千兆电口≥</w:t>
            </w:r>
            <w:r>
              <w:rPr>
                <w:rFonts w:ascii="宋体" w:hAnsi="宋体" w:cs="宋体"/>
                <w:color w:val="000000"/>
                <w:kern w:val="0"/>
                <w:sz w:val="24"/>
                <w:lang w:bidi="ar"/>
              </w:rPr>
              <w:t>6</w:t>
            </w:r>
            <w:r>
              <w:rPr>
                <w:rFonts w:hint="eastAsia" w:ascii="宋体" w:hAnsi="宋体" w:cs="宋体"/>
                <w:color w:val="000000"/>
                <w:kern w:val="0"/>
                <w:sz w:val="24"/>
                <w:lang w:bidi="ar"/>
              </w:rPr>
              <w:t>个、千兆光口≥4个</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支持Web域名扫描、</w:t>
            </w:r>
            <w:r>
              <w:rPr>
                <w:rFonts w:hint="eastAsia" w:ascii="宋体" w:hAnsi="宋体" w:cs="宋体"/>
                <w:color w:val="000000"/>
                <w:kern w:val="0"/>
                <w:sz w:val="24"/>
                <w:lang w:eastAsia="zh-CN" w:bidi="ar"/>
              </w:rPr>
              <w:t>操作系统</w:t>
            </w:r>
            <w:r>
              <w:rPr>
                <w:rFonts w:hint="eastAsia" w:ascii="宋体" w:hAnsi="宋体" w:cs="宋体"/>
                <w:color w:val="000000"/>
                <w:kern w:val="0"/>
                <w:sz w:val="24"/>
                <w:lang w:bidi="ar"/>
              </w:rPr>
              <w:t>扫描等功能。</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网站防护服务</w:t>
            </w: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国产化WEB应用防护系统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国产化CPU,2U</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管理口≥1个、HA口≥1个、千兆电口≥</w:t>
            </w:r>
            <w:r>
              <w:rPr>
                <w:rFonts w:ascii="宋体" w:hAnsi="宋体" w:cs="宋体"/>
                <w:color w:val="000000"/>
                <w:kern w:val="0"/>
                <w:sz w:val="24"/>
                <w:lang w:bidi="ar"/>
              </w:rPr>
              <w:t>4</w:t>
            </w:r>
            <w:r>
              <w:rPr>
                <w:rFonts w:hint="eastAsia" w:ascii="宋体" w:hAnsi="宋体" w:cs="宋体"/>
                <w:color w:val="000000"/>
                <w:kern w:val="0"/>
                <w:sz w:val="24"/>
                <w:lang w:bidi="ar"/>
              </w:rPr>
              <w:t>个(带2组bypass)、4个千兆光口、4个万兆光口、2个扩展槽、内存≥32G、硬盘≥4T</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冗余电源</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HTTP吞吐量≥5Gbps、H</w:t>
            </w:r>
            <w:r>
              <w:rPr>
                <w:rFonts w:ascii="宋体" w:hAnsi="宋体" w:cs="宋体"/>
                <w:color w:val="000000"/>
                <w:kern w:val="0"/>
                <w:sz w:val="24"/>
                <w:lang w:bidi="ar"/>
              </w:rPr>
              <w:t>TTP</w:t>
            </w:r>
            <w:r>
              <w:rPr>
                <w:rFonts w:hint="eastAsia" w:ascii="宋体" w:hAnsi="宋体" w:cs="宋体"/>
                <w:color w:val="000000"/>
                <w:kern w:val="0"/>
                <w:sz w:val="24"/>
                <w:lang w:bidi="ar"/>
              </w:rPr>
              <w:t>最大请求速度≥3万/秒、 HTTP并发连接数≥1</w:t>
            </w:r>
            <w:r>
              <w:rPr>
                <w:rFonts w:ascii="宋体" w:hAnsi="宋体" w:cs="宋体"/>
                <w:color w:val="000000"/>
                <w:kern w:val="0"/>
                <w:sz w:val="24"/>
                <w:lang w:bidi="ar"/>
              </w:rPr>
              <w:t>000</w:t>
            </w:r>
            <w:r>
              <w:rPr>
                <w:rFonts w:hint="eastAsia" w:ascii="宋体" w:hAnsi="宋体" w:cs="宋体"/>
                <w:color w:val="000000"/>
                <w:kern w:val="0"/>
                <w:sz w:val="24"/>
                <w:lang w:bidi="ar"/>
              </w:rPr>
              <w:t>万，支持对H</w:t>
            </w:r>
            <w:r>
              <w:rPr>
                <w:rFonts w:ascii="宋体" w:hAnsi="宋体" w:cs="宋体"/>
                <w:color w:val="000000"/>
                <w:kern w:val="0"/>
                <w:sz w:val="24"/>
                <w:lang w:bidi="ar"/>
              </w:rPr>
              <w:t>TTP/HTTPS</w:t>
            </w:r>
            <w:r>
              <w:rPr>
                <w:rFonts w:hint="eastAsia" w:ascii="宋体" w:hAnsi="宋体" w:cs="宋体"/>
                <w:color w:val="000000"/>
                <w:kern w:val="0"/>
                <w:sz w:val="24"/>
                <w:lang w:bidi="ar"/>
              </w:rPr>
              <w:t>业务系统的安全防护，包括：SQL注入攻击防护、XSS攻击防护、SYN Flood攻击防护、爬虫防护等。</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kern w:val="0"/>
                <w:sz w:val="24"/>
                <w:lang w:bidi="ar"/>
              </w:rPr>
            </w:pPr>
          </w:p>
        </w:tc>
        <w:tc>
          <w:tcPr>
            <w:tcW w:w="1358" w:type="dxa"/>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highlight w:val="none"/>
                <w:lang w:bidi="ar"/>
              </w:rPr>
              <w:t>安全管理服务</w:t>
            </w:r>
          </w:p>
        </w:tc>
        <w:tc>
          <w:tcPr>
            <w:tcW w:w="1509" w:type="dxa"/>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安全管理系统</w:t>
            </w:r>
          </w:p>
        </w:tc>
        <w:tc>
          <w:tcPr>
            <w:tcW w:w="5331" w:type="dxa"/>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提供软件安全管理系统，内置数据库，即包含系统平台框架、资产管理、安全事件管理、基础关联分析、标准脆弱性管理、风险评估、首页、标准的报表模块、标准的响应管理模块、权限管理、知识管理、系统自身管理、内置1个本地事件采集器。要求提供网络拓扑、机架拓扑等功能，以及对网络设备、安全设备、主机服务器的可用性与性能监控功能。包括1个内置的本地性能采集器，用于采集各类设备及系统的性能信息，至少提供</w:t>
            </w:r>
            <w:r>
              <w:rPr>
                <w:rFonts w:ascii="宋体" w:hAnsi="宋体" w:cs="宋体"/>
                <w:color w:val="000000"/>
                <w:kern w:val="0"/>
                <w:sz w:val="24"/>
                <w:lang w:bidi="ar"/>
              </w:rPr>
              <w:t>50</w:t>
            </w:r>
            <w:r>
              <w:rPr>
                <w:rFonts w:hint="eastAsia" w:ascii="宋体" w:hAnsi="宋体" w:cs="宋体"/>
                <w:color w:val="000000"/>
                <w:kern w:val="0"/>
                <w:sz w:val="24"/>
                <w:lang w:bidi="ar"/>
              </w:rPr>
              <w:t>资产管理节点授权。</w:t>
            </w:r>
          </w:p>
        </w:tc>
        <w:tc>
          <w:tcPr>
            <w:tcW w:w="666" w:type="dxa"/>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密码和认证支撑服务</w:t>
            </w: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密码云服务平台</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支持国产化操作系统和国产化C</w:t>
            </w:r>
            <w:r>
              <w:rPr>
                <w:rFonts w:ascii="宋体" w:hAnsi="宋体" w:cs="宋体"/>
                <w:color w:val="000000"/>
                <w:kern w:val="0"/>
                <w:sz w:val="24"/>
                <w:lang w:bidi="ar"/>
              </w:rPr>
              <w:t>PU</w:t>
            </w:r>
            <w:r>
              <w:rPr>
                <w:rFonts w:hint="eastAsia" w:ascii="宋体" w:hAnsi="宋体" w:cs="宋体"/>
                <w:color w:val="000000"/>
                <w:kern w:val="0"/>
                <w:sz w:val="24"/>
                <w:lang w:bidi="ar"/>
              </w:rPr>
              <w:t>，支持构建密码设备资源组管理，支持构建密码设备资源池管理；产品具备商用密码产品认证证书。</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云服务器密码机系统</w:t>
            </w:r>
          </w:p>
        </w:tc>
        <w:tc>
          <w:tcPr>
            <w:tcW w:w="5331" w:type="dxa"/>
            <w:shd w:val="clear" w:color="auto" w:fill="auto"/>
            <w:vAlign w:val="center"/>
          </w:tcPr>
          <w:p>
            <w:pPr>
              <w:pStyle w:val="2"/>
              <w:ind w:left="0" w:leftChars="0" w:firstLine="0" w:firstLineChars="0"/>
              <w:jc w:val="left"/>
              <w:rPr>
                <w:lang w:bidi="ar"/>
              </w:rPr>
            </w:pPr>
            <w:r>
              <w:rPr>
                <w:rFonts w:hint="eastAsia" w:ascii="宋体" w:hAnsi="宋体" w:cs="宋体"/>
                <w:color w:val="000000"/>
                <w:kern w:val="0"/>
                <w:sz w:val="24"/>
                <w:lang w:bidi="ar"/>
              </w:rPr>
              <w:t>支持SM1、SM2、SM3、SM4等国产算法；网络接口：≥4个100/1000M 自适应网口</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双光口(万兆多模网卡</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主要性能参数：SM2产生28000对/秒 ；SM2签名100000次/秒；SM2 验签80000次/秒；SM4加密2000Mbps；SM4加密1000Mbps。</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签名验签系统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具备完善的身份鉴别机制，管理员通过管理界面可进行证书管理、应用管理、系统管理以及日志管理等管理操作；产品具备国家密码管理局颁发的商用密码产品认证证书。</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安全认证网关系统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支持多种认证方法，包括UKEY证书、协同签名、动态口令等；支持IPsec协议</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支持视图查看SSL加速状态、CPU使用率、内存使用率、并发连接数、新建连接数等；网络接口：≥3个1000M电口，≥1个万兆光口；SSL性能参数：每秒新建连接数≥2600，最大并发连接数≥28000，吞吐率≥340Mbps。</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highlight w:val="none"/>
              </w:rPr>
            </w:pPr>
          </w:p>
        </w:tc>
        <w:tc>
          <w:tcPr>
            <w:tcW w:w="1358" w:type="dxa"/>
            <w:vMerge w:val="continue"/>
            <w:shd w:val="clear" w:color="auto" w:fill="auto"/>
            <w:vAlign w:val="center"/>
          </w:tcPr>
          <w:p>
            <w:pPr>
              <w:widowControl/>
              <w:jc w:val="center"/>
              <w:rPr>
                <w:rFonts w:ascii="宋体" w:hAnsi="宋体" w:cs="宋体"/>
                <w:color w:val="000000"/>
                <w:sz w:val="24"/>
                <w:highlight w:val="none"/>
              </w:rPr>
            </w:pPr>
          </w:p>
        </w:tc>
        <w:tc>
          <w:tcPr>
            <w:tcW w:w="1509" w:type="dxa"/>
            <w:shd w:val="clear" w:color="auto" w:fill="auto"/>
            <w:vAlign w:val="center"/>
          </w:tcPr>
          <w:p>
            <w:pPr>
              <w:widowControl/>
              <w:jc w:val="center"/>
              <w:textAlignment w:val="center"/>
              <w:rPr>
                <w:rFonts w:ascii="宋体" w:hAnsi="宋体" w:cs="宋体"/>
                <w:color w:val="000000"/>
                <w:sz w:val="24"/>
                <w:highlight w:val="none"/>
              </w:rPr>
            </w:pPr>
            <w:r>
              <w:rPr>
                <w:rFonts w:ascii="宋体" w:hAnsi="宋体" w:cs="宋体"/>
                <w:color w:val="000000"/>
                <w:kern w:val="0"/>
                <w:sz w:val="24"/>
                <w:highlight w:val="none"/>
                <w:lang w:bidi="ar"/>
              </w:rPr>
              <w:t>IPsec/SSL VPN安全网</w:t>
            </w:r>
            <w:r>
              <w:rPr>
                <w:rFonts w:hint="eastAsia" w:ascii="宋体" w:hAnsi="宋体" w:cs="宋体"/>
                <w:color w:val="000000"/>
                <w:kern w:val="0"/>
                <w:sz w:val="24"/>
                <w:highlight w:val="none"/>
                <w:lang w:bidi="ar"/>
              </w:rPr>
              <w:t>关系统</w:t>
            </w:r>
          </w:p>
        </w:tc>
        <w:tc>
          <w:tcPr>
            <w:tcW w:w="5331" w:type="dxa"/>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支持国产密码算法：SM1、SM2、SM3、SM4等；网络接口千兆≥4个；SSL性能参数：每秒新建连接数≥1900、最大并发连接数≥8</w:t>
            </w:r>
            <w:r>
              <w:rPr>
                <w:rFonts w:ascii="宋体" w:hAnsi="宋体" w:cs="宋体"/>
                <w:color w:val="000000"/>
                <w:kern w:val="0"/>
                <w:sz w:val="24"/>
                <w:lang w:bidi="ar"/>
              </w:rPr>
              <w:t>00</w:t>
            </w:r>
            <w:r>
              <w:rPr>
                <w:rFonts w:hint="eastAsia" w:ascii="宋体" w:hAnsi="宋体" w:cs="宋体"/>
                <w:color w:val="000000"/>
                <w:kern w:val="0"/>
                <w:sz w:val="24"/>
                <w:lang w:bidi="ar"/>
              </w:rPr>
              <w:t>00、吞吐率≥5</w:t>
            </w:r>
            <w:r>
              <w:rPr>
                <w:rFonts w:ascii="宋体" w:hAnsi="宋体" w:cs="宋体"/>
                <w:color w:val="000000"/>
                <w:kern w:val="0"/>
                <w:sz w:val="24"/>
                <w:lang w:bidi="ar"/>
              </w:rPr>
              <w:t>0</w:t>
            </w:r>
            <w:r>
              <w:rPr>
                <w:rFonts w:hint="eastAsia" w:ascii="宋体" w:hAnsi="宋体" w:cs="宋体"/>
                <w:color w:val="000000"/>
                <w:kern w:val="0"/>
                <w:sz w:val="24"/>
                <w:lang w:bidi="ar"/>
              </w:rPr>
              <w:t>0Mbps；IPSec性能参数：IPSec隧道数≥6、IPSec加解密吞吐率≥9</w:t>
            </w:r>
            <w:r>
              <w:rPr>
                <w:rFonts w:ascii="宋体" w:hAnsi="宋体" w:cs="宋体"/>
                <w:color w:val="000000"/>
                <w:kern w:val="0"/>
                <w:sz w:val="24"/>
                <w:lang w:bidi="ar"/>
              </w:rPr>
              <w:t>0</w:t>
            </w:r>
            <w:r>
              <w:rPr>
                <w:rFonts w:hint="eastAsia" w:ascii="宋体" w:hAnsi="宋体" w:cs="宋体"/>
                <w:color w:val="000000"/>
                <w:kern w:val="0"/>
                <w:sz w:val="24"/>
                <w:lang w:bidi="ar"/>
              </w:rPr>
              <w:t>0Mbps。</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kern w:val="0"/>
                <w:sz w:val="24"/>
                <w:highlight w:val="none"/>
                <w:lang w:bidi="ar"/>
              </w:rPr>
            </w:pPr>
          </w:p>
        </w:tc>
        <w:tc>
          <w:tcPr>
            <w:tcW w:w="1358" w:type="dxa"/>
            <w:vMerge w:val="continue"/>
            <w:shd w:val="clear" w:color="auto" w:fill="auto"/>
            <w:vAlign w:val="center"/>
          </w:tcPr>
          <w:p>
            <w:pPr>
              <w:widowControl/>
              <w:jc w:val="center"/>
              <w:rPr>
                <w:rFonts w:ascii="宋体" w:hAnsi="宋体" w:cs="宋体"/>
                <w:color w:val="000000"/>
                <w:sz w:val="24"/>
                <w:highlight w:val="none"/>
              </w:rPr>
            </w:pPr>
          </w:p>
        </w:tc>
        <w:tc>
          <w:tcPr>
            <w:tcW w:w="1509" w:type="dxa"/>
            <w:shd w:val="clear" w:color="auto" w:fill="auto"/>
            <w:vAlign w:val="center"/>
          </w:tcPr>
          <w:p>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服务端设备国密双证书</w:t>
            </w:r>
            <w:r>
              <w:rPr>
                <w:rFonts w:hint="eastAsia" w:ascii="宋体" w:hAnsi="宋体" w:cs="宋体"/>
                <w:color w:val="000000"/>
                <w:kern w:val="0"/>
                <w:sz w:val="24"/>
                <w:highlight w:val="none"/>
                <w:lang w:bidi="ar"/>
              </w:rPr>
              <w:tab/>
            </w:r>
          </w:p>
        </w:tc>
        <w:tc>
          <w:tcPr>
            <w:tcW w:w="5331" w:type="dxa"/>
            <w:shd w:val="clear" w:color="auto" w:fill="auto"/>
            <w:vAlign w:val="center"/>
          </w:tcPr>
          <w:p>
            <w:pPr>
              <w:widowControl/>
              <w:jc w:val="left"/>
              <w:textAlignment w:val="center"/>
              <w:rPr>
                <w:rFonts w:ascii="宋体" w:hAnsi="宋体" w:cs="宋体"/>
                <w:color w:val="000000"/>
                <w:kern w:val="0"/>
                <w:sz w:val="24"/>
                <w:highlight w:val="green"/>
                <w:lang w:bidi="ar"/>
              </w:rPr>
            </w:pPr>
            <w:r>
              <w:rPr>
                <w:rFonts w:hint="eastAsia" w:ascii="宋体" w:hAnsi="宋体" w:cs="宋体"/>
                <w:color w:val="000000"/>
                <w:kern w:val="0"/>
                <w:sz w:val="24"/>
                <w:lang w:bidi="ar"/>
              </w:rPr>
              <w:t>签名证书1个及加密证书1个。</w:t>
            </w:r>
          </w:p>
        </w:tc>
        <w:tc>
          <w:tcPr>
            <w:tcW w:w="666" w:type="dxa"/>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highlight w:val="none"/>
              </w:rPr>
            </w:pPr>
          </w:p>
        </w:tc>
        <w:tc>
          <w:tcPr>
            <w:tcW w:w="1358" w:type="dxa"/>
            <w:vMerge w:val="continue"/>
            <w:shd w:val="clear" w:color="auto" w:fill="auto"/>
            <w:vAlign w:val="center"/>
          </w:tcPr>
          <w:p>
            <w:pPr>
              <w:widowControl/>
              <w:jc w:val="center"/>
              <w:rPr>
                <w:rFonts w:ascii="宋体" w:hAnsi="宋体" w:cs="宋体"/>
                <w:color w:val="000000"/>
                <w:sz w:val="24"/>
                <w:highlight w:val="none"/>
              </w:rPr>
            </w:pPr>
          </w:p>
        </w:tc>
        <w:tc>
          <w:tcPr>
            <w:tcW w:w="1509" w:type="dxa"/>
            <w:shd w:val="clear" w:color="auto" w:fill="auto"/>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协同签名系统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证书服务：支持连接第三方CA，为用户申请签发数字证书；身份认证：提供认证服务接口，支持基于数字证书的身份认证方式；数据签名：提供数据签名服务接口，支持业务系统发起签名请求，服务器与用户手机完成协同签名；网络接口：2*100/1000M 自适应网口；性能参数：SM2协同签名</w:t>
            </w:r>
            <w:r>
              <w:rPr>
                <w:rFonts w:ascii="宋体" w:hAnsi="宋体" w:cs="宋体"/>
                <w:color w:val="000000"/>
                <w:kern w:val="0"/>
                <w:sz w:val="24"/>
                <w:lang w:bidi="ar"/>
              </w:rPr>
              <w:t>2000</w:t>
            </w:r>
            <w:r>
              <w:rPr>
                <w:rFonts w:hint="eastAsia" w:ascii="宋体" w:hAnsi="宋体" w:cs="宋体"/>
                <w:color w:val="000000"/>
                <w:kern w:val="0"/>
                <w:sz w:val="24"/>
                <w:lang w:bidi="ar"/>
              </w:rPr>
              <w:t>TPS。</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智能密码钥匙</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支持多种类型的密钥、支持多个密钥的安全存储，支持证书的导入、导出、安全存储；支持高速对称算法，满足大数据实时高速加解密功能需求。</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SSL证书（10张/年）</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支持在客户端(浏览器</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和服务器端(网站</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之间建立—条加密通道，保证数据在传输过程中不被窃取或篡改。</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移动端个人证书（50张/年）</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标识个人用户网络身份；证书格式标准遵循x．509v3标准；支持标准的SM2商用密码算法。</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个人数字证书（50张/年）</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标识个人用户网络身份；证书格式标准遵循x．509v3标准；支持标准的SM2商用密码算法。</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国密浏览器</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支持国密算法的浏览器。</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软件支撑服务</w:t>
            </w: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国产操作系统服务</w:t>
            </w:r>
          </w:p>
        </w:tc>
        <w:tc>
          <w:tcPr>
            <w:tcW w:w="5331" w:type="dxa"/>
            <w:shd w:val="clear" w:color="auto" w:fill="auto"/>
            <w:vAlign w:val="center"/>
          </w:tcPr>
          <w:p>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国产化操作系统服务不少于1</w:t>
            </w:r>
            <w:r>
              <w:rPr>
                <w:rFonts w:ascii="宋体" w:hAnsi="宋体" w:cs="宋体"/>
                <w:color w:val="000000"/>
                <w:kern w:val="0"/>
                <w:sz w:val="24"/>
                <w:lang w:bidi="ar"/>
              </w:rPr>
              <w:t>54</w:t>
            </w:r>
            <w:r>
              <w:rPr>
                <w:rFonts w:hint="eastAsia" w:ascii="宋体" w:hAnsi="宋体" w:cs="宋体"/>
                <w:color w:val="000000"/>
                <w:kern w:val="0"/>
                <w:sz w:val="24"/>
                <w:lang w:bidi="ar"/>
              </w:rPr>
              <w:t>套</w:t>
            </w:r>
          </w:p>
        </w:tc>
        <w:tc>
          <w:tcPr>
            <w:tcW w:w="666" w:type="dxa"/>
            <w:shd w:val="clear" w:color="auto" w:fill="auto"/>
            <w:vAlign w:val="center"/>
          </w:tcPr>
          <w:p>
            <w:pPr>
              <w:widowControl/>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w:t>
            </w:r>
          </w:p>
        </w:tc>
        <w:tc>
          <w:tcPr>
            <w:tcW w:w="667" w:type="dxa"/>
            <w:shd w:val="clear" w:color="auto" w:fill="auto"/>
            <w:vAlign w:val="center"/>
          </w:tcPr>
          <w:p>
            <w:pPr>
              <w:widowControl/>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国产商业应用中间件</w:t>
            </w:r>
          </w:p>
        </w:tc>
        <w:tc>
          <w:tcPr>
            <w:tcW w:w="5331" w:type="dxa"/>
            <w:shd w:val="clear" w:color="auto" w:fill="auto"/>
            <w:vAlign w:val="center"/>
          </w:tcPr>
          <w:p>
            <w:pPr>
              <w:widowControl/>
              <w:jc w:val="left"/>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国产商业应用中间件不少于1</w:t>
            </w:r>
            <w:r>
              <w:rPr>
                <w:rFonts w:ascii="宋体" w:hAnsi="宋体" w:cs="宋体"/>
                <w:color w:val="000000"/>
                <w:kern w:val="0"/>
                <w:sz w:val="24"/>
                <w:lang w:bidi="ar"/>
              </w:rPr>
              <w:t>0</w:t>
            </w:r>
            <w:r>
              <w:rPr>
                <w:rFonts w:hint="eastAsia" w:ascii="宋体" w:hAnsi="宋体" w:cs="宋体"/>
                <w:color w:val="000000"/>
                <w:kern w:val="0"/>
                <w:sz w:val="24"/>
                <w:lang w:bidi="ar"/>
              </w:rPr>
              <w:t>套</w:t>
            </w:r>
          </w:p>
        </w:tc>
        <w:tc>
          <w:tcPr>
            <w:tcW w:w="666" w:type="dxa"/>
            <w:shd w:val="clear" w:color="auto" w:fill="auto"/>
            <w:vAlign w:val="center"/>
          </w:tcPr>
          <w:p>
            <w:pPr>
              <w:widowControl/>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w:t>
            </w:r>
          </w:p>
        </w:tc>
        <w:tc>
          <w:tcPr>
            <w:tcW w:w="667" w:type="dxa"/>
            <w:shd w:val="clear" w:color="auto" w:fill="auto"/>
            <w:vAlign w:val="center"/>
          </w:tcPr>
          <w:p>
            <w:pPr>
              <w:widowControl/>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数据同步软件</w:t>
            </w:r>
          </w:p>
        </w:tc>
        <w:tc>
          <w:tcPr>
            <w:tcW w:w="5331" w:type="dxa"/>
            <w:shd w:val="clear" w:color="auto" w:fill="auto"/>
            <w:vAlign w:val="center"/>
          </w:tcPr>
          <w:p>
            <w:pPr>
              <w:widowControl/>
              <w:jc w:val="both"/>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提供一套数据同步软件服务</w:t>
            </w:r>
          </w:p>
        </w:tc>
        <w:tc>
          <w:tcPr>
            <w:tcW w:w="666" w:type="dxa"/>
            <w:shd w:val="clear" w:color="auto" w:fill="auto"/>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套</w:t>
            </w:r>
          </w:p>
        </w:tc>
        <w:tc>
          <w:tcPr>
            <w:tcW w:w="667" w:type="dxa"/>
            <w:shd w:val="clear" w:color="auto" w:fill="auto"/>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国产商业数据库</w:t>
            </w:r>
          </w:p>
        </w:tc>
        <w:tc>
          <w:tcPr>
            <w:tcW w:w="5331" w:type="dxa"/>
            <w:shd w:val="clear" w:color="auto" w:fill="auto"/>
            <w:vAlign w:val="center"/>
          </w:tcPr>
          <w:p>
            <w:pPr>
              <w:widowControl/>
              <w:jc w:val="left"/>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国产商业数据库不少于</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个实例</w:t>
            </w:r>
          </w:p>
        </w:tc>
        <w:tc>
          <w:tcPr>
            <w:tcW w:w="666" w:type="dxa"/>
            <w:shd w:val="clear" w:color="auto" w:fill="auto"/>
            <w:vAlign w:val="center"/>
          </w:tcPr>
          <w:p>
            <w:pPr>
              <w:widowControl/>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w:t>
            </w:r>
          </w:p>
        </w:tc>
        <w:tc>
          <w:tcPr>
            <w:tcW w:w="667" w:type="dxa"/>
            <w:shd w:val="clear" w:color="auto" w:fill="auto"/>
            <w:vAlign w:val="center"/>
          </w:tcPr>
          <w:p>
            <w:pPr>
              <w:widowControl/>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数据安全防护服务</w:t>
            </w: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数据传输和存储加密服务</w:t>
            </w:r>
          </w:p>
        </w:tc>
        <w:tc>
          <w:tcPr>
            <w:tcW w:w="5331" w:type="dxa"/>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1．支持武汉达梦（包括MPP、单机、主备模式）、ORACLE（单机及RAC）、SQL SERVER、DB2、MySQL 、PostgreSQL、人大金仓等数据库。</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2．提供数据库初始化加密操作向导，加密任务建成后提供监测加密任务执行状态。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3．加密算法至少应支持AES128、AES192、AES256等国际密码算法，SM4国密算法</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4．支持以列、表两种细粒度的加密方式。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5．支持对加密资产写入的数据进行加密，实现密文状态存储。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6．无需修改应用系统代码，业务系统及数据库访问工具如PL/SQL、JDBC、ODBC等访问数据库时不受影响，实现透明加密。</w:t>
            </w:r>
            <w:r>
              <w:rPr>
                <w:rFonts w:hint="eastAsia" w:ascii="宋体" w:hAnsi="宋体" w:cs="宋体"/>
                <w:color w:val="000000"/>
                <w:kern w:val="0"/>
                <w:sz w:val="24"/>
                <w:lang w:bidi="ar"/>
              </w:rPr>
              <w:br w:type="textWrapping"/>
            </w:r>
            <w:r>
              <w:rPr>
                <w:rFonts w:ascii="宋体" w:hAnsi="宋体" w:cs="宋体"/>
                <w:color w:val="000000"/>
                <w:kern w:val="0"/>
                <w:sz w:val="24"/>
                <w:lang w:bidi="ar"/>
              </w:rPr>
              <w:t>7</w:t>
            </w:r>
            <w:r>
              <w:rPr>
                <w:rFonts w:hint="eastAsia" w:ascii="宋体" w:hAnsi="宋体" w:cs="宋体"/>
                <w:color w:val="000000"/>
                <w:kern w:val="0"/>
                <w:sz w:val="24"/>
                <w:lang w:bidi="ar"/>
              </w:rPr>
              <w:t>．支持基于身份的密文访问控制，身份要素至少包括应用程序名、IP地址、数据库账户等，根据用户权限进行数据库返回结果控制，只有拥有合法权限的数据库用户才可看到明文，无合法权限的用户返回经过加密的数据或禁止访问。</w:t>
            </w:r>
            <w:r>
              <w:rPr>
                <w:rFonts w:hint="eastAsia" w:ascii="宋体" w:hAnsi="宋体" w:cs="宋体"/>
                <w:color w:val="000000"/>
                <w:kern w:val="0"/>
                <w:sz w:val="24"/>
                <w:lang w:bidi="ar"/>
              </w:rPr>
              <w:br w:type="textWrapping"/>
            </w:r>
            <w:r>
              <w:rPr>
                <w:rFonts w:ascii="宋体" w:hAnsi="宋体" w:cs="宋体"/>
                <w:color w:val="000000"/>
                <w:kern w:val="0"/>
                <w:sz w:val="24"/>
                <w:lang w:bidi="ar"/>
              </w:rPr>
              <w:t>8</w:t>
            </w:r>
            <w:r>
              <w:rPr>
                <w:rFonts w:hint="eastAsia" w:ascii="宋体" w:hAnsi="宋体" w:cs="宋体"/>
                <w:color w:val="000000"/>
                <w:kern w:val="0"/>
                <w:sz w:val="24"/>
                <w:lang w:bidi="ar"/>
              </w:rPr>
              <w:t>．支持自定义加密访问管理方式，如业务系统提供明文访问模式；其他软件和对象提供明文及密文访问模式配置。</w:t>
            </w:r>
            <w:r>
              <w:rPr>
                <w:rFonts w:hint="eastAsia" w:ascii="宋体" w:hAnsi="宋体" w:cs="宋体"/>
                <w:color w:val="000000"/>
                <w:kern w:val="0"/>
                <w:sz w:val="24"/>
                <w:lang w:bidi="ar"/>
              </w:rPr>
              <w:br w:type="textWrapping"/>
            </w:r>
            <w:r>
              <w:rPr>
                <w:rFonts w:ascii="宋体" w:hAnsi="宋体" w:cs="宋体"/>
                <w:color w:val="000000"/>
                <w:kern w:val="0"/>
                <w:sz w:val="24"/>
                <w:lang w:bidi="ar"/>
              </w:rPr>
              <w:t>9</w:t>
            </w:r>
            <w:r>
              <w:rPr>
                <w:rFonts w:hint="eastAsia" w:ascii="宋体" w:hAnsi="宋体" w:cs="宋体"/>
                <w:color w:val="000000"/>
                <w:kern w:val="0"/>
                <w:sz w:val="24"/>
                <w:lang w:bidi="ar"/>
              </w:rPr>
              <w:t>．支持对加密后的密钥进行备份，防止密钥丢失带来的数据不可恢复问题。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0</w:t>
            </w:r>
            <w:r>
              <w:rPr>
                <w:rFonts w:hint="eastAsia" w:ascii="宋体" w:hAnsi="宋体" w:cs="宋体"/>
                <w:color w:val="000000"/>
                <w:kern w:val="0"/>
                <w:sz w:val="24"/>
                <w:lang w:bidi="ar"/>
              </w:rPr>
              <w:t>．记录所有加密任务，包括数据库名称、IP地址、端口号、实例名、数据库类型等，以支持资产的集中管理。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．支持根据数据库查看加密资产的信息，以表加密、列加密两个维度查询当前的加密资产，并记录所有加密的操作类型、操作结果、所用时长、操作账户。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2</w:t>
            </w:r>
            <w:r>
              <w:rPr>
                <w:rFonts w:hint="eastAsia" w:ascii="宋体" w:hAnsi="宋体" w:cs="宋体"/>
                <w:color w:val="000000"/>
                <w:kern w:val="0"/>
                <w:sz w:val="24"/>
                <w:lang w:bidi="ar"/>
              </w:rPr>
              <w:t>．从加密平台中删除被加密数据库时，强制删除时需通过数据库账号验证。</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3"/>
              </w:numPr>
              <w:snapToGrid w:val="0"/>
              <w:ind w:left="440" w:leftChars="0" w:right="-460" w:rightChars="-219" w:hanging="440" w:firstLineChars="0"/>
              <w:jc w:val="center"/>
              <w:textAlignment w:val="center"/>
              <w:rPr>
                <w:rFonts w:ascii="宋体" w:hAnsi="宋体" w:cs="宋体"/>
                <w:color w:val="000000"/>
                <w:sz w:val="24"/>
              </w:rPr>
            </w:pP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数据分级分类服务</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1．服务支持多种数据源，支持主流关系型数据库（Oracle，Mysql，sqlServer，DB2，PostgreSQL，informix，MariaDB）、国产数据库（DM，GaussDB，浪潮K-DB，HotDB，Gbase 8a、Cache）、大数据平台（hive，星环，Hbase，Greenplum）、云数据库（ODPS，阿里云RDS - MySQL，阿里云RDS - SQL server，阿里云RDS - PostgreSQL，阿里云RDS - MariaDB）、文件（txt、csv、xls、xlsx）。</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2．服务可提供行业适配的数据分类分级标准，支持用户自定义分类层级和内容、自定义分级数量和名称。</w:t>
            </w:r>
            <w:r>
              <w:rPr>
                <w:rFonts w:hint="eastAsia" w:ascii="宋体" w:hAnsi="宋体" w:cs="宋体"/>
                <w:color w:val="000000"/>
                <w:kern w:val="0"/>
                <w:sz w:val="24"/>
                <w:lang w:bidi="ar"/>
              </w:rPr>
              <w:br w:type="textWrapping"/>
            </w:r>
            <w:r>
              <w:rPr>
                <w:rFonts w:ascii="宋体" w:hAnsi="宋体" w:cs="宋体"/>
                <w:color w:val="000000"/>
                <w:kern w:val="0"/>
                <w:sz w:val="24"/>
                <w:lang w:bidi="ar"/>
              </w:rPr>
              <w:t>3</w:t>
            </w:r>
            <w:r>
              <w:rPr>
                <w:rFonts w:hint="eastAsia" w:ascii="宋体" w:hAnsi="宋体" w:cs="宋体"/>
                <w:color w:val="000000"/>
                <w:kern w:val="0"/>
                <w:sz w:val="24"/>
                <w:lang w:bidi="ar"/>
              </w:rPr>
              <w:t>．支持通过机器学习算法，自动梳理数据特征，并生成相应的数据发现规则。</w:t>
            </w:r>
            <w:r>
              <w:rPr>
                <w:rFonts w:hint="eastAsia" w:ascii="宋体" w:hAnsi="宋体" w:cs="宋体"/>
                <w:color w:val="000000"/>
                <w:kern w:val="0"/>
                <w:sz w:val="24"/>
                <w:lang w:bidi="ar"/>
              </w:rPr>
              <w:br w:type="textWrapping"/>
            </w:r>
            <w:r>
              <w:rPr>
                <w:rFonts w:ascii="宋体" w:hAnsi="宋体" w:cs="宋体"/>
                <w:color w:val="000000"/>
                <w:kern w:val="0"/>
                <w:sz w:val="24"/>
                <w:lang w:bidi="ar"/>
              </w:rPr>
              <w:t>4</w:t>
            </w:r>
            <w:r>
              <w:rPr>
                <w:rFonts w:hint="eastAsia" w:ascii="宋体" w:hAnsi="宋体" w:cs="宋体"/>
                <w:color w:val="000000"/>
                <w:kern w:val="0"/>
                <w:sz w:val="24"/>
                <w:lang w:bidi="ar"/>
              </w:rPr>
              <w:t>．支持手工新增、批量导入、数据源发现三种方式添加数据源，可根据业务部门划分归属，页面支持查看数据源的关联用户、角色、权限。</w:t>
            </w:r>
            <w:r>
              <w:rPr>
                <w:rFonts w:hint="eastAsia" w:ascii="宋体" w:hAnsi="宋体" w:cs="宋体"/>
                <w:color w:val="000000"/>
                <w:kern w:val="0"/>
                <w:sz w:val="24"/>
                <w:lang w:bidi="ar"/>
              </w:rPr>
              <w:br w:type="textWrapping"/>
            </w:r>
            <w:r>
              <w:rPr>
                <w:rFonts w:ascii="宋体" w:hAnsi="宋体" w:cs="宋体"/>
                <w:color w:val="000000"/>
                <w:kern w:val="0"/>
                <w:sz w:val="24"/>
                <w:lang w:bidi="ar"/>
              </w:rPr>
              <w:t>5</w:t>
            </w:r>
            <w:r>
              <w:rPr>
                <w:rFonts w:hint="eastAsia" w:ascii="宋体" w:hAnsi="宋体" w:cs="宋体"/>
                <w:color w:val="000000"/>
                <w:kern w:val="0"/>
                <w:sz w:val="24"/>
                <w:lang w:bidi="ar"/>
              </w:rPr>
              <w:t>．支持用户创建资产发现作业，支持按照schema或者表选择需要发现的数据范围。</w:t>
            </w:r>
            <w:r>
              <w:rPr>
                <w:rFonts w:hint="eastAsia" w:ascii="宋体" w:hAnsi="宋体" w:cs="宋体"/>
                <w:color w:val="000000"/>
                <w:kern w:val="0"/>
                <w:sz w:val="24"/>
                <w:lang w:bidi="ar"/>
              </w:rPr>
              <w:br w:type="textWrapping"/>
            </w:r>
            <w:r>
              <w:rPr>
                <w:rFonts w:ascii="宋体" w:hAnsi="宋体" w:cs="宋体"/>
                <w:color w:val="000000"/>
                <w:kern w:val="0"/>
                <w:sz w:val="24"/>
                <w:lang w:bidi="ar"/>
              </w:rPr>
              <w:t>6</w:t>
            </w:r>
            <w:r>
              <w:rPr>
                <w:rFonts w:hint="eastAsia" w:ascii="宋体" w:hAnsi="宋体" w:cs="宋体"/>
                <w:color w:val="000000"/>
                <w:kern w:val="0"/>
                <w:sz w:val="24"/>
                <w:lang w:bidi="ar"/>
              </w:rPr>
              <w:t>．支持自定义抽样行数范围、抽样行数（最小为10行）、输出命中率。</w:t>
            </w:r>
            <w:r>
              <w:rPr>
                <w:rFonts w:hint="eastAsia" w:ascii="宋体" w:hAnsi="宋体" w:cs="宋体"/>
                <w:color w:val="000000"/>
                <w:kern w:val="0"/>
                <w:sz w:val="24"/>
                <w:lang w:bidi="ar"/>
              </w:rPr>
              <w:br w:type="textWrapping"/>
            </w:r>
            <w:r>
              <w:rPr>
                <w:rFonts w:ascii="宋体" w:hAnsi="宋体" w:cs="宋体"/>
                <w:color w:val="000000"/>
                <w:kern w:val="0"/>
                <w:sz w:val="24"/>
                <w:lang w:bidi="ar"/>
              </w:rPr>
              <w:t>7</w:t>
            </w:r>
            <w:r>
              <w:rPr>
                <w:rFonts w:hint="eastAsia" w:ascii="宋体" w:hAnsi="宋体" w:cs="宋体"/>
                <w:color w:val="000000"/>
                <w:kern w:val="0"/>
                <w:sz w:val="24"/>
                <w:lang w:bidi="ar"/>
              </w:rPr>
              <w:t>．支持配置通过NLP技术对于字段注释进行分析，自动识别数据业务类型，并支持相似度基线配置。</w:t>
            </w:r>
            <w:r>
              <w:rPr>
                <w:rFonts w:hint="eastAsia" w:ascii="宋体" w:hAnsi="宋体" w:cs="宋体"/>
                <w:color w:val="000000"/>
                <w:kern w:val="0"/>
                <w:sz w:val="24"/>
                <w:lang w:bidi="ar"/>
              </w:rPr>
              <w:br w:type="textWrapping"/>
            </w:r>
            <w:r>
              <w:rPr>
                <w:rFonts w:ascii="宋体" w:hAnsi="宋体" w:cs="宋体"/>
                <w:color w:val="000000"/>
                <w:kern w:val="0"/>
                <w:sz w:val="24"/>
                <w:lang w:bidi="ar"/>
              </w:rPr>
              <w:t>8</w:t>
            </w:r>
            <w:r>
              <w:rPr>
                <w:rFonts w:hint="eastAsia" w:ascii="宋体" w:hAnsi="宋体" w:cs="宋体"/>
                <w:color w:val="000000"/>
                <w:kern w:val="0"/>
                <w:sz w:val="24"/>
                <w:lang w:bidi="ar"/>
              </w:rPr>
              <w:t>．支持通过列内容匹配、列注释匹配、列名称匹配、函数分析等方式对数据语义内容进行自动识别，识别字段代表的业务类型。</w:t>
            </w:r>
            <w:r>
              <w:rPr>
                <w:rFonts w:hint="eastAsia" w:ascii="宋体" w:hAnsi="宋体" w:cs="宋体"/>
                <w:color w:val="000000"/>
                <w:kern w:val="0"/>
                <w:sz w:val="24"/>
                <w:lang w:bidi="ar"/>
              </w:rPr>
              <w:br w:type="textWrapping"/>
            </w:r>
            <w:r>
              <w:rPr>
                <w:rFonts w:ascii="宋体" w:hAnsi="宋体" w:cs="宋体"/>
                <w:color w:val="000000"/>
                <w:kern w:val="0"/>
                <w:sz w:val="24"/>
                <w:lang w:bidi="ar"/>
              </w:rPr>
              <w:t>9</w:t>
            </w:r>
            <w:r>
              <w:rPr>
                <w:rFonts w:hint="eastAsia" w:ascii="宋体" w:hAnsi="宋体" w:cs="宋体"/>
                <w:color w:val="000000"/>
                <w:kern w:val="0"/>
                <w:sz w:val="24"/>
                <w:lang w:bidi="ar"/>
              </w:rPr>
              <w:t>．支持在业务类型识别的基础上，根据分类分级标准自动化完成数据的分类分级。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0</w:t>
            </w:r>
            <w:r>
              <w:rPr>
                <w:rFonts w:hint="eastAsia" w:ascii="宋体" w:hAnsi="宋体" w:cs="宋体"/>
                <w:color w:val="000000"/>
                <w:kern w:val="0"/>
                <w:sz w:val="24"/>
                <w:lang w:bidi="ar"/>
              </w:rPr>
              <w:t>．支持通过业务含义识别对多种敏感数据类型进行自动识别；支持用户自定义需要发现的敏感类型，并对识别结果进行确认。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．按照数据表内包含的敏感字段数量和敏感等级，提供敏感指数帮助用户快速确认表格敏感程度，支持查看表格包含的敏感字段信息。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2</w:t>
            </w:r>
            <w:r>
              <w:rPr>
                <w:rFonts w:hint="eastAsia" w:ascii="宋体" w:hAnsi="宋体" w:cs="宋体"/>
                <w:color w:val="000000"/>
                <w:kern w:val="0"/>
                <w:sz w:val="24"/>
                <w:lang w:bidi="ar"/>
              </w:rPr>
              <w:t>．支持以清单的形式资产发现的结果，包括字段业务类型、分类、分级、是否敏感等信息。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3</w:t>
            </w:r>
            <w:r>
              <w:rPr>
                <w:rFonts w:hint="eastAsia" w:ascii="宋体" w:hAnsi="宋体" w:cs="宋体"/>
                <w:color w:val="000000"/>
                <w:kern w:val="0"/>
                <w:sz w:val="24"/>
                <w:lang w:bidi="ar"/>
              </w:rPr>
              <w:t>．支持提供完整、直观、内容丰富的发现结果报告，包括数据统计信息，敏感数据统计、数据分类统计等；支持用户进行导出，格式为pdf。</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4</w:t>
            </w:r>
            <w:r>
              <w:rPr>
                <w:rFonts w:hint="eastAsia" w:ascii="宋体" w:hAnsi="宋体" w:cs="宋体"/>
                <w:color w:val="000000"/>
                <w:kern w:val="0"/>
                <w:sz w:val="24"/>
                <w:lang w:bidi="ar"/>
              </w:rPr>
              <w:t>．支持以分类分级目录形式查看数据资产的自动发现的结果和分类分级情况。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5</w:t>
            </w:r>
            <w:r>
              <w:rPr>
                <w:rFonts w:hint="eastAsia" w:ascii="宋体" w:hAnsi="宋体" w:cs="宋体"/>
                <w:color w:val="000000"/>
                <w:kern w:val="0"/>
                <w:sz w:val="24"/>
                <w:lang w:bidi="ar"/>
              </w:rPr>
              <w:t>．支持提供全部数据资产梳理及分类分级大屏，包括数据资产的盘点、数据分类分级概况、数据敏感分析、数据库差异分析等，同时支持大屏显示内容配置界面。</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2"/>
                <w:sz w:val="24"/>
                <w:szCs w:val="24"/>
                <w:lang w:val="en-US" w:eastAsia="zh-CN" w:bidi="ar-SA"/>
              </w:rPr>
              <w:t>3</w:t>
            </w:r>
            <w:r>
              <w:rPr>
                <w:rFonts w:hint="eastAsia" w:ascii="宋体" w:hAnsi="宋体" w:cs="宋体"/>
                <w:color w:val="000000"/>
                <w:kern w:val="2"/>
                <w:sz w:val="24"/>
                <w:szCs w:val="24"/>
                <w:lang w:val="en-US" w:eastAsia="zh-CN" w:bidi="ar-SA"/>
              </w:rPr>
              <w:t>7</w:t>
            </w: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数据全生命周期安全防护服务</w:t>
            </w:r>
          </w:p>
        </w:tc>
        <w:tc>
          <w:tcPr>
            <w:tcW w:w="5331" w:type="dxa"/>
            <w:shd w:val="clear" w:color="auto" w:fill="auto"/>
            <w:vAlign w:val="center"/>
          </w:tcPr>
          <w:p>
            <w:pPr>
              <w:widowControl/>
              <w:numPr>
                <w:ilvl w:val="0"/>
                <w:numId w:val="6"/>
              </w:numPr>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服务支持ORACLE、SQL SERVER、DB2、MySQL、PostgreSQL、informix、达梦、mongdb等主流数据库、国产化数据库、大数据平台、云数据库。</w:t>
            </w:r>
            <w:r>
              <w:rPr>
                <w:rFonts w:hint="eastAsia" w:ascii="宋体" w:hAnsi="宋体" w:cs="宋体"/>
                <w:color w:val="000000"/>
                <w:kern w:val="0"/>
                <w:sz w:val="24"/>
                <w:lang w:bidi="ar"/>
              </w:rPr>
              <w:br w:type="textWrapping"/>
            </w:r>
            <w:r>
              <w:rPr>
                <w:rFonts w:ascii="宋体" w:hAnsi="宋体" w:cs="宋体"/>
                <w:color w:val="000000"/>
                <w:kern w:val="0"/>
                <w:sz w:val="24"/>
                <w:lang w:bidi="ar"/>
              </w:rPr>
              <w:t>2</w:t>
            </w:r>
            <w:r>
              <w:rPr>
                <w:rFonts w:hint="eastAsia" w:ascii="宋体" w:hAnsi="宋体" w:cs="宋体"/>
                <w:color w:val="000000"/>
                <w:kern w:val="0"/>
                <w:sz w:val="24"/>
                <w:lang w:bidi="ar"/>
              </w:rPr>
              <w:t>．提供数据库运维工具免密登陆功能，数据库管理员在运维PC工具中无需输入数据库用户名密码即可登陆已授权访问的数据库，避免运维数据库用户和密码泄漏，保障账号安全。</w:t>
            </w:r>
          </w:p>
          <w:p>
            <w:pPr>
              <w:widowControl/>
              <w:numPr>
                <w:ilvl w:val="0"/>
                <w:numId w:val="6"/>
              </w:numPr>
              <w:ind w:left="0" w:leftChars="0" w:firstLine="0" w:firstLineChars="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通过账号托管功能，运维人员使用分配运维账号，运维用户与数据库用户及密码进行映射绑定，运维人员在不知道数据库真实密码的情况下，即可完成对数据库的运维和管理，全面保障数据库安全。</w:t>
            </w:r>
          </w:p>
          <w:p>
            <w:pPr>
              <w:widowControl/>
              <w:numPr>
                <w:ilvl w:val="0"/>
                <w:numId w:val="0"/>
              </w:numPr>
              <w:ind w:leftChars="0"/>
              <w:jc w:val="left"/>
              <w:textAlignment w:val="center"/>
              <w:rPr>
                <w:rFonts w:ascii="宋体" w:hAnsi="宋体" w:cs="宋体"/>
                <w:color w:val="000000"/>
                <w:sz w:val="24"/>
              </w:rPr>
            </w:pPr>
            <w:r>
              <w:rPr>
                <w:rFonts w:ascii="宋体" w:hAnsi="宋体" w:cs="宋体"/>
                <w:color w:val="000000"/>
                <w:kern w:val="0"/>
                <w:sz w:val="24"/>
                <w:lang w:bidi="ar"/>
              </w:rPr>
              <w:t>4</w:t>
            </w:r>
            <w:r>
              <w:rPr>
                <w:rFonts w:hint="eastAsia" w:ascii="宋体" w:hAnsi="宋体" w:cs="宋体"/>
                <w:color w:val="000000"/>
                <w:kern w:val="0"/>
                <w:sz w:val="24"/>
                <w:lang w:bidi="ar"/>
              </w:rPr>
              <w:t>．支持拦截指定对象的ALTER TABLE、ALTER TABLESPACE、DROP DATABASE、DROP TABLE、DROP TABLESPACE、DROP USER、TRUNCATE等高危操作行为，支持数据库权限变更行为管控。</w:t>
            </w:r>
            <w:r>
              <w:rPr>
                <w:rFonts w:hint="eastAsia" w:ascii="宋体" w:hAnsi="宋体" w:cs="宋体"/>
                <w:color w:val="000000"/>
                <w:kern w:val="0"/>
                <w:sz w:val="24"/>
                <w:lang w:bidi="ar"/>
              </w:rPr>
              <w:br w:type="textWrapping"/>
            </w:r>
            <w:r>
              <w:rPr>
                <w:rFonts w:ascii="宋体" w:hAnsi="宋体" w:cs="宋体"/>
                <w:color w:val="000000"/>
                <w:kern w:val="0"/>
                <w:sz w:val="24"/>
                <w:lang w:bidi="ar"/>
              </w:rPr>
              <w:t>5</w:t>
            </w:r>
            <w:r>
              <w:rPr>
                <w:rFonts w:hint="eastAsia" w:ascii="宋体" w:hAnsi="宋体" w:cs="宋体"/>
                <w:color w:val="000000"/>
                <w:kern w:val="0"/>
                <w:sz w:val="24"/>
                <w:lang w:bidi="ar"/>
              </w:rPr>
              <w:t>．支持账户访问频次控制，避免一定时间内的高频次访问，避免数据流失。</w:t>
            </w:r>
            <w:r>
              <w:rPr>
                <w:rFonts w:hint="eastAsia" w:ascii="宋体" w:hAnsi="宋体" w:cs="宋体"/>
                <w:color w:val="000000"/>
                <w:kern w:val="0"/>
                <w:sz w:val="24"/>
                <w:lang w:bidi="ar"/>
              </w:rPr>
              <w:br w:type="textWrapping"/>
            </w:r>
            <w:r>
              <w:rPr>
                <w:rFonts w:ascii="宋体" w:hAnsi="宋体" w:cs="宋体"/>
                <w:color w:val="000000"/>
                <w:kern w:val="0"/>
                <w:sz w:val="24"/>
                <w:lang w:bidi="ar"/>
              </w:rPr>
              <w:t>6</w:t>
            </w:r>
            <w:r>
              <w:rPr>
                <w:rFonts w:hint="eastAsia" w:ascii="宋体" w:hAnsi="宋体" w:cs="宋体"/>
                <w:color w:val="000000"/>
                <w:kern w:val="0"/>
                <w:sz w:val="24"/>
                <w:lang w:bidi="ar"/>
              </w:rPr>
              <w:t>．支持修改、删除等操作的行数控制，避免数据大量泄漏。</w:t>
            </w:r>
            <w:r>
              <w:rPr>
                <w:rFonts w:hint="eastAsia" w:ascii="宋体" w:hAnsi="宋体" w:cs="宋体"/>
                <w:color w:val="000000"/>
                <w:kern w:val="0"/>
                <w:sz w:val="24"/>
                <w:lang w:bidi="ar"/>
              </w:rPr>
              <w:br w:type="textWrapping"/>
            </w:r>
            <w:r>
              <w:rPr>
                <w:rFonts w:ascii="宋体" w:hAnsi="宋体" w:cs="宋体"/>
                <w:color w:val="000000"/>
                <w:kern w:val="0"/>
                <w:sz w:val="24"/>
                <w:lang w:bidi="ar"/>
              </w:rPr>
              <w:t>7</w:t>
            </w:r>
            <w:r>
              <w:rPr>
                <w:rFonts w:hint="eastAsia" w:ascii="宋体" w:hAnsi="宋体" w:cs="宋体"/>
                <w:color w:val="000000"/>
                <w:kern w:val="0"/>
                <w:sz w:val="24"/>
                <w:lang w:bidi="ar"/>
              </w:rPr>
              <w:t>．支持运维侧脱敏，针对不同运维人员返回对应的预授权结果，脱敏规则需要支持以下脱敏算法：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（1）放行：对于已授权用户，返回真实数据；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（2）返回空：对含有敏感表格或敏感列的数据结果返回为空值；</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（3）遮盖：全遮盖：默认以遮盖符‘*’替换敏感列的值；</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（4）部分遮盖：对敏感列的值进行分段，替换其中的一段或数段值。</w:t>
            </w:r>
            <w:r>
              <w:rPr>
                <w:rFonts w:hint="eastAsia" w:ascii="宋体" w:hAnsi="宋体" w:cs="宋体"/>
                <w:color w:val="000000"/>
                <w:kern w:val="0"/>
                <w:sz w:val="24"/>
                <w:lang w:bidi="ar"/>
              </w:rPr>
              <w:br w:type="textWrapping"/>
            </w:r>
            <w:r>
              <w:rPr>
                <w:rFonts w:ascii="宋体" w:hAnsi="宋体" w:cs="宋体"/>
                <w:color w:val="000000"/>
                <w:kern w:val="0"/>
                <w:sz w:val="24"/>
                <w:lang w:bidi="ar"/>
              </w:rPr>
              <w:t>8</w:t>
            </w:r>
            <w:r>
              <w:rPr>
                <w:rFonts w:hint="eastAsia" w:ascii="宋体" w:hAnsi="宋体" w:cs="宋体"/>
                <w:color w:val="000000"/>
                <w:kern w:val="0"/>
                <w:sz w:val="24"/>
                <w:lang w:bidi="ar"/>
              </w:rPr>
              <w:t>．至少支持SQL server、mysql数据库的误删除恢复，当使用DROP命令误删除敏感数据时，系统应及时记录操作的时间、数据库名称、操作类型、操作的对象类型、SCHEMA名称、对象名称、当前状态、使用的SQL语句等信息，并提供一键恢复的功能，辅助完成数据的快速恢复，以支持系统恢复正常。</w:t>
            </w:r>
            <w:r>
              <w:rPr>
                <w:rFonts w:hint="eastAsia" w:ascii="宋体" w:hAnsi="宋体" w:cs="宋体"/>
                <w:color w:val="000000"/>
                <w:kern w:val="0"/>
                <w:sz w:val="24"/>
                <w:lang w:bidi="ar"/>
              </w:rPr>
              <w:br w:type="textWrapping"/>
            </w:r>
            <w:r>
              <w:rPr>
                <w:rFonts w:ascii="宋体" w:hAnsi="宋体" w:cs="宋体"/>
                <w:color w:val="000000"/>
                <w:kern w:val="0"/>
                <w:sz w:val="24"/>
                <w:lang w:bidi="ar"/>
              </w:rPr>
              <w:t>9</w:t>
            </w:r>
            <w:r>
              <w:rPr>
                <w:rFonts w:hint="eastAsia" w:ascii="宋体" w:hAnsi="宋体" w:cs="宋体"/>
                <w:color w:val="000000"/>
                <w:kern w:val="0"/>
                <w:sz w:val="24"/>
                <w:lang w:bidi="ar"/>
              </w:rPr>
              <w:t>．该服务所用工具采用基于WEB界面的工单管理模式，而非授权码方式，通过工作流的方式对敏感表格和敏感SQL访问授权，形成逐级审批机制，只有当访问申请被工作流中的所有审核者审批通过时，才可在合理权限内访问数据库中的敏感资产，无需访问者进行二次输入，避免授权码泄漏带来的非法访问。</w:t>
            </w:r>
            <w:r>
              <w:rPr>
                <w:rFonts w:hint="eastAsia" w:ascii="宋体" w:hAnsi="宋体" w:cs="宋体"/>
                <w:color w:val="000000"/>
                <w:kern w:val="0"/>
                <w:sz w:val="24"/>
                <w:lang w:bidi="ar"/>
              </w:rPr>
              <w:br w:type="textWrapping"/>
            </w:r>
            <w:r>
              <w:rPr>
                <w:rFonts w:ascii="宋体" w:hAnsi="宋体" w:cs="宋体"/>
                <w:color w:val="000000"/>
                <w:kern w:val="0"/>
                <w:sz w:val="24"/>
                <w:lang w:bidi="ar"/>
              </w:rPr>
              <w:t>10</w:t>
            </w:r>
            <w:r>
              <w:rPr>
                <w:rFonts w:hint="eastAsia" w:ascii="宋体" w:hAnsi="宋体" w:cs="宋体"/>
                <w:color w:val="000000"/>
                <w:kern w:val="0"/>
                <w:sz w:val="24"/>
                <w:lang w:bidi="ar"/>
              </w:rPr>
              <w:t>．提供SQL命令（包括查询、新增、修改、删除等行为）的细粒度审计和分析，并详细记录管理用户的行为信息，包括事件ID、连接ID、规则名称、数据库主机、目标数据库名称、数据库实例名、客户端IP/端口、主机名、数据库用户名、物理地址、交换机端口、应用名称、应用用户、企业用户、命令类型、资产名称、执行时间、影响表数、错误号、审计级别、响应行为、风险级别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．能够以图形、列表等方式查看告警信息，以列表形式展现的告警信息应当包含告警时间、告警内容、告警等级、用户IP、数据库代理IP、事件等。</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38</w:t>
            </w:r>
          </w:p>
        </w:tc>
        <w:tc>
          <w:tcPr>
            <w:tcW w:w="1358" w:type="dxa"/>
            <w:vMerge w:val="continue"/>
            <w:shd w:val="clear" w:color="auto" w:fill="auto"/>
            <w:vAlign w:val="center"/>
          </w:tcPr>
          <w:p>
            <w:pPr>
              <w:widowControl/>
              <w:jc w:val="center"/>
              <w:rPr>
                <w:rFonts w:ascii="宋体" w:hAnsi="宋体" w:cs="宋体"/>
                <w:color w:val="000000"/>
                <w:sz w:val="24"/>
              </w:rPr>
            </w:pP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数据脱敏服务</w:t>
            </w:r>
          </w:p>
        </w:tc>
        <w:tc>
          <w:tcPr>
            <w:tcW w:w="5331" w:type="dxa"/>
            <w:shd w:val="clear" w:color="auto" w:fill="auto"/>
            <w:vAlign w:val="center"/>
          </w:tcPr>
          <w:p>
            <w:pPr>
              <w:widowControl/>
              <w:numPr>
                <w:ilvl w:val="0"/>
                <w:numId w:val="7"/>
              </w:numPr>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服务可提供中文操作界面工具，基于B/S架构web管理模式进行管理，</w:t>
            </w:r>
            <w:r>
              <w:rPr>
                <w:rFonts w:hint="eastAsia" w:ascii="宋体" w:hAnsi="宋体" w:cs="宋体"/>
                <w:color w:val="000000"/>
                <w:kern w:val="0"/>
                <w:sz w:val="24"/>
                <w:lang w:eastAsia="zh-CN" w:bidi="ar"/>
              </w:rPr>
              <w:t>无须安装任何</w:t>
            </w:r>
            <w:r>
              <w:rPr>
                <w:rFonts w:hint="eastAsia" w:ascii="宋体" w:hAnsi="宋体" w:cs="宋体"/>
                <w:color w:val="000000"/>
                <w:kern w:val="0"/>
                <w:sz w:val="24"/>
                <w:lang w:bidi="ar"/>
              </w:rPr>
              <w:t>客户端或者代理。可支持Linux、Windows、UNIX等操作系统。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2．支持丰富的数据源和目标，数据源、目标配置通过系统界面实现：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（1）、支持Oracle、DB2(包含AS400/UDB)、Sql Server、Sybase、Mysql、PostgreSQL、MariaDB、informix、人大金仓、达梦、Cache、Vertica关系型数据库。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（2）、支持MongoDB、南大通用Gbase 8a/8t/8s非关系型数据库脱敏；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（3）、支持Teradata、TiDB、GaussDB、SAP HANA数据</w:t>
            </w:r>
            <w:r>
              <w:rPr>
                <w:rFonts w:hint="eastAsia" w:ascii="宋体" w:hAnsi="宋体" w:cs="宋体"/>
                <w:color w:val="000000"/>
                <w:kern w:val="0"/>
                <w:sz w:val="24"/>
                <w:lang w:eastAsia="zh-CN" w:bidi="ar"/>
              </w:rPr>
              <w:t>库</w:t>
            </w:r>
            <w:r>
              <w:rPr>
                <w:rFonts w:hint="eastAsia" w:ascii="宋体" w:hAnsi="宋体" w:cs="宋体"/>
                <w:color w:val="000000"/>
                <w:kern w:val="0"/>
                <w:sz w:val="24"/>
                <w:lang w:bidi="ar"/>
              </w:rPr>
              <w:t>脱敏。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（4）、支持hive、impala、Hbase、ADS、RDS、ODPS（MaxCompute）大数据平台脱敏。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（5）、支持直接读取txt、csv、excel、xml、json文件、DICOM医疗影像文件、oracle dump（exp/expdp）、mysql dump（sql文件）文件进行脱敏。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3．支持源库到目标库脱敏（包含支持同库脱敏）、数据库到文件脱敏、文件到文件脱敏（包括FTP和SFTP方式）、文件到数据库脱敏。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4．支持主流关系型数据库：Oracle、DB2、SQL Server、Mysql四大库之间的异构脱敏；Hive与Oracle、Mysql之间的异构脱敏；Teradata与Oracle间的异构脱敏。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5．支持增量脱敏方式。支持数据库、文件的增量脱敏，及文件夹类型的定时/实时增量脱敏。</w:t>
            </w:r>
            <w:r>
              <w:rPr>
                <w:rFonts w:ascii="宋体" w:hAnsi="宋体" w:cs="宋体"/>
                <w:color w:val="000000"/>
                <w:kern w:val="0"/>
                <w:sz w:val="24"/>
                <w:lang w:bidi="ar"/>
              </w:rPr>
              <w:t>6</w:t>
            </w:r>
            <w:r>
              <w:rPr>
                <w:rFonts w:hint="eastAsia" w:ascii="宋体" w:hAnsi="宋体" w:cs="宋体"/>
                <w:color w:val="000000"/>
                <w:kern w:val="0"/>
                <w:sz w:val="24"/>
                <w:lang w:bidi="ar"/>
              </w:rPr>
              <w:t>．支持通过抽样的方式进行敏感数据发现，可自定义发现规则、抽样比例和匹配率，系统内置的发现规则包括：中文姓名、英文姓名、姓名拼音、韩文姓名、电话号码、邮箱、邮编、金额、日期、企业营业执照、组织机构代码证、银行卡号、军官证、港澳通行证、往来台湾通行证、护照、香港身份证、澳门身份证、税务登记证、身份证、组织机构名称、地址、IP地址、社会统一信用代码、开户许可证、医疗机构登记号、医师资格证书、医师职业证书、证券代码、证券名称、基金名称、基金代码、车牌号码、车架号等。</w:t>
            </w:r>
          </w:p>
          <w:p>
            <w:pPr>
              <w:widowControl/>
              <w:numPr>
                <w:ilvl w:val="0"/>
                <w:numId w:val="0"/>
              </w:numPr>
              <w:jc w:val="left"/>
              <w:textAlignment w:val="center"/>
              <w:rPr>
                <w:rFonts w:ascii="宋体" w:hAnsi="宋体" w:cs="宋体"/>
                <w:color w:val="000000"/>
                <w:sz w:val="24"/>
              </w:rPr>
            </w:pPr>
            <w:r>
              <w:rPr>
                <w:rFonts w:ascii="宋体" w:hAnsi="宋体" w:cs="宋体"/>
                <w:color w:val="000000"/>
                <w:kern w:val="0"/>
                <w:sz w:val="24"/>
                <w:lang w:bidi="ar"/>
              </w:rPr>
              <w:t>7</w:t>
            </w:r>
            <w:r>
              <w:rPr>
                <w:rFonts w:hint="eastAsia" w:ascii="宋体" w:hAnsi="宋体" w:cs="宋体"/>
                <w:color w:val="000000"/>
                <w:kern w:val="0"/>
                <w:sz w:val="24"/>
                <w:lang w:bidi="ar"/>
              </w:rPr>
              <w:t>．支持混合类型的敏感数据发现：一个字段多种敏感类型、一个数据单元内包含多种敏感类型。</w:t>
            </w:r>
            <w:r>
              <w:rPr>
                <w:rFonts w:hint="eastAsia" w:ascii="宋体" w:hAnsi="宋体" w:cs="宋体"/>
                <w:color w:val="000000"/>
                <w:kern w:val="0"/>
                <w:sz w:val="24"/>
                <w:lang w:bidi="ar"/>
              </w:rPr>
              <w:br w:type="textWrapping"/>
            </w:r>
            <w:r>
              <w:rPr>
                <w:rFonts w:ascii="宋体" w:hAnsi="宋体" w:cs="宋体"/>
                <w:color w:val="000000"/>
                <w:kern w:val="0"/>
                <w:sz w:val="24"/>
                <w:lang w:bidi="ar"/>
              </w:rPr>
              <w:t>8</w:t>
            </w:r>
            <w:r>
              <w:rPr>
                <w:rFonts w:hint="eastAsia" w:ascii="宋体" w:hAnsi="宋体" w:cs="宋体"/>
                <w:color w:val="000000"/>
                <w:kern w:val="0"/>
                <w:sz w:val="24"/>
                <w:lang w:bidi="ar"/>
              </w:rPr>
              <w:t>．支持针对单个字段手动设置敏感类型。</w:t>
            </w:r>
            <w:r>
              <w:rPr>
                <w:rFonts w:hint="eastAsia" w:ascii="宋体" w:hAnsi="宋体" w:cs="宋体"/>
                <w:color w:val="000000"/>
                <w:kern w:val="0"/>
                <w:sz w:val="24"/>
                <w:lang w:bidi="ar"/>
              </w:rPr>
              <w:br w:type="textWrapping"/>
            </w:r>
            <w:r>
              <w:rPr>
                <w:rFonts w:ascii="宋体" w:hAnsi="宋体" w:cs="宋体"/>
                <w:color w:val="000000"/>
                <w:kern w:val="0"/>
                <w:sz w:val="24"/>
                <w:lang w:bidi="ar"/>
              </w:rPr>
              <w:t>9</w:t>
            </w:r>
            <w:r>
              <w:rPr>
                <w:rFonts w:hint="eastAsia" w:ascii="宋体" w:hAnsi="宋体" w:cs="宋体"/>
                <w:color w:val="000000"/>
                <w:kern w:val="0"/>
                <w:sz w:val="24"/>
                <w:lang w:bidi="ar"/>
              </w:rPr>
              <w:t>．可自定义增加脱敏规则，提供SHA1加密、MD5加密、AES加密、RSA加密、随机映射、固定映射、替换、截断、截取，以及保留、取整、范围内浮动、比例内浮动等各种脱敏算法。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0</w:t>
            </w:r>
            <w:r>
              <w:rPr>
                <w:rFonts w:hint="eastAsia" w:ascii="宋体" w:hAnsi="宋体" w:cs="宋体"/>
                <w:color w:val="000000"/>
                <w:kern w:val="0"/>
                <w:sz w:val="24"/>
                <w:lang w:bidi="ar"/>
              </w:rPr>
              <w:t>．支持数据脱敏后保持原有数据特征、关联性、一致性（同一库、不同库）。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．能够自动检测源数据库DDL变动，自动同步变化的对象。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2</w:t>
            </w:r>
            <w:r>
              <w:rPr>
                <w:rFonts w:hint="eastAsia" w:ascii="宋体" w:hAnsi="宋体" w:cs="宋体"/>
                <w:color w:val="000000"/>
                <w:kern w:val="0"/>
                <w:sz w:val="24"/>
                <w:lang w:bidi="ar"/>
              </w:rPr>
              <w:t>．支持表(包含分区表、簇表、索引组织表、队列表、压缩表、嵌套表</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、主键、外键、索引（包含分区索引、位图索引、函数索引、压缩索引）、约束、视图、同义词、序列、队列、DBlink、自定义类型、存储过程、函数、触发器、包等数据库对象脱敏后在目标库中自动创建。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3</w:t>
            </w:r>
            <w:r>
              <w:rPr>
                <w:rFonts w:hint="eastAsia" w:ascii="宋体" w:hAnsi="宋体" w:cs="宋体"/>
                <w:color w:val="000000"/>
                <w:kern w:val="0"/>
                <w:sz w:val="24"/>
                <w:lang w:bidi="ar"/>
              </w:rPr>
              <w:t>．支持脱敏作业定时调度，可在指定时间自动运行；支持作业分段运行管理，可配置运行时段和暂停时段。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4</w:t>
            </w:r>
            <w:r>
              <w:rPr>
                <w:rFonts w:hint="eastAsia" w:ascii="宋体" w:hAnsi="宋体" w:cs="宋体"/>
                <w:color w:val="000000"/>
                <w:kern w:val="0"/>
                <w:sz w:val="24"/>
                <w:lang w:bidi="ar"/>
              </w:rPr>
              <w:t>．脱敏作业运行状态可视化展现，包含脱敏作业状态、效率（如：10000行/s）、容量效率（如300MB/s）、进度条、当前脱敏操作等监控指标。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5</w:t>
            </w:r>
            <w:r>
              <w:rPr>
                <w:rFonts w:hint="eastAsia" w:ascii="宋体" w:hAnsi="宋体" w:cs="宋体"/>
                <w:color w:val="000000"/>
                <w:kern w:val="0"/>
                <w:sz w:val="24"/>
                <w:lang w:bidi="ar"/>
              </w:rPr>
              <w:t>．有精细脱敏作业阶段，如对于库到库的脱敏至少包含预处理、数据库对象同步、脱敏数据同步、索引创建、约束启用等不同阶段。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w:t>
            </w:r>
            <w:r>
              <w:rPr>
                <w:rFonts w:ascii="宋体" w:hAnsi="宋体" w:cs="宋体"/>
                <w:color w:val="000000"/>
                <w:kern w:val="0"/>
                <w:sz w:val="24"/>
                <w:lang w:bidi="ar"/>
              </w:rPr>
              <w:t>6.</w:t>
            </w:r>
            <w:r>
              <w:rPr>
                <w:rFonts w:hint="eastAsia" w:ascii="宋体" w:hAnsi="宋体" w:cs="宋体"/>
                <w:color w:val="000000"/>
                <w:kern w:val="0"/>
                <w:sz w:val="24"/>
                <w:lang w:bidi="ar"/>
              </w:rPr>
              <w:t>支持对脱敏作业的预演，在长时间作业前，完成各类检查，包含权限检查，空间检查。字符集检查，硬件性能检查。</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0"/>
              </w:numPr>
              <w:snapToGrid w:val="0"/>
              <w:ind w:leftChars="0" w:right="-460" w:rightChars="-219" w:firstLine="240" w:firstLineChars="100"/>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39</w:t>
            </w:r>
          </w:p>
        </w:tc>
        <w:tc>
          <w:tcPr>
            <w:tcW w:w="1358"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终端安全服务</w:t>
            </w:r>
          </w:p>
        </w:tc>
        <w:tc>
          <w:tcPr>
            <w:tcW w:w="15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终端安全服务</w:t>
            </w:r>
          </w:p>
        </w:tc>
        <w:tc>
          <w:tcPr>
            <w:tcW w:w="5331" w:type="dxa"/>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1、管理中心部署：支持在X86和国产化系统中安装，内置数据库，采用Web方式进行管理。</w:t>
            </w:r>
            <w:r>
              <w:rPr>
                <w:rFonts w:hint="eastAsia" w:ascii="宋体" w:hAnsi="宋体" w:cs="宋体"/>
                <w:color w:val="000000"/>
                <w:kern w:val="0"/>
                <w:sz w:val="24"/>
                <w:lang w:bidi="ar"/>
              </w:rPr>
              <w:br w:type="textWrapping"/>
            </w:r>
            <w:r>
              <w:rPr>
                <w:rFonts w:ascii="宋体" w:hAnsi="宋体" w:cs="宋体"/>
                <w:color w:val="000000"/>
                <w:kern w:val="0"/>
                <w:sz w:val="24"/>
                <w:lang w:bidi="ar"/>
              </w:rPr>
              <w:t>2</w:t>
            </w:r>
            <w:r>
              <w:rPr>
                <w:rFonts w:hint="eastAsia" w:ascii="宋体" w:hAnsi="宋体" w:cs="宋体"/>
                <w:color w:val="000000"/>
                <w:kern w:val="0"/>
                <w:sz w:val="24"/>
                <w:lang w:bidi="ar"/>
              </w:rPr>
              <w:t>、终端支持安装在Windows 系统，包括：Windows XP_SP3及以上、Windows 7、Windows 8.1、Windows 10、Windows 11、Windows Server 2003、Windows Server 2008、Windows Server 2008 R2、Windows Server 2012、Windows Server 2012 R2、Windows Server 2016、Windows Server 2019、Windows Server 2022；</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并且支持安装在国产化操作系统中做终端安全防护。</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3、支持对终端的非法外联行为进行监控和告警，一旦发现终端发生非法外联行为，即可根据设定动作进行响应，直至非法外联行为</w:t>
            </w:r>
            <w:r>
              <w:rPr>
                <w:rFonts w:hint="eastAsia" w:ascii="宋体" w:hAnsi="宋体" w:cs="宋体"/>
                <w:color w:val="000000"/>
                <w:kern w:val="0"/>
                <w:sz w:val="24"/>
                <w:lang w:eastAsia="zh-CN" w:bidi="ar"/>
              </w:rPr>
              <w:t>终止</w:t>
            </w:r>
            <w:r>
              <w:rPr>
                <w:rFonts w:hint="eastAsia" w:ascii="宋体" w:hAnsi="宋体" w:cs="宋体"/>
                <w:color w:val="000000"/>
                <w:kern w:val="0"/>
                <w:sz w:val="24"/>
                <w:lang w:bidi="ar"/>
              </w:rPr>
              <w:t>后才会解除。</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4、支持IP、端口、协议、连入、连出任意元素形成基于黑名单的网络访问控制，防止安全威胁扩散。</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5、支持检测到口令爆破行为时，自动封禁远端IP，封禁时间支持自定义。</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6、支持对Webshell后门（含ASP、ASPX、PHP、JSP等）进行扫描检测。</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7、支持对终端的异常登录行为进行检测包括：新增用户、删除用户、修改用户名、用户提权等。</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8、支持检测系统命令是否被篡改，并记录篡改后的hash, 路径、篡改系统命令的危害和安全建议，并提供隔离和信任操作。</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9、支持检测具有反弹Shell特征的进程和脚本执行。</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0</w:t>
            </w:r>
            <w:r>
              <w:rPr>
                <w:rFonts w:hint="eastAsia" w:ascii="宋体" w:hAnsi="宋体" w:cs="宋体"/>
                <w:color w:val="000000"/>
                <w:kern w:val="0"/>
                <w:sz w:val="24"/>
                <w:lang w:bidi="ar"/>
              </w:rPr>
              <w:t>、支持基于行为的疑似挖矿检测。</w:t>
            </w:r>
          </w:p>
          <w:p>
            <w:pPr>
              <w:pStyle w:val="2"/>
              <w:ind w:left="0" w:leftChars="0" w:firstLine="0" w:firstLineChars="0"/>
              <w:jc w:val="left"/>
              <w:rPr>
                <w:lang w:bidi="ar"/>
              </w:rPr>
            </w:pPr>
            <w:r>
              <w:rPr>
                <w:rFonts w:hint="eastAsia" w:ascii="宋体" w:hAnsi="宋体" w:cs="宋体"/>
                <w:color w:val="000000"/>
                <w:kern w:val="0"/>
                <w:sz w:val="24"/>
                <w:lang w:bidi="ar"/>
              </w:rPr>
              <w:t>1</w:t>
            </w:r>
            <w:r>
              <w:rPr>
                <w:rFonts w:ascii="宋体" w:hAnsi="宋体" w:cs="宋体"/>
                <w:color w:val="000000"/>
                <w:kern w:val="0"/>
                <w:sz w:val="24"/>
                <w:lang w:bidi="ar"/>
              </w:rPr>
              <w:t>1</w:t>
            </w:r>
            <w:r>
              <w:rPr>
                <w:rFonts w:hint="eastAsia" w:ascii="宋体" w:hAnsi="宋体" w:cs="宋体"/>
                <w:color w:val="000000"/>
                <w:kern w:val="0"/>
                <w:sz w:val="24"/>
                <w:lang w:bidi="ar"/>
              </w:rPr>
              <w:t>、支持病毒防护，支持对发现的病毒执行删除、记录、隔离动作。支持设置查杀时间：按每天、每周、每月固定时间查杀。</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0"/>
              </w:numPr>
              <w:snapToGrid w:val="0"/>
              <w:ind w:leftChars="0" w:right="-460" w:rightChars="-219" w:firstLine="240" w:firstLineChars="100"/>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40</w:t>
            </w:r>
          </w:p>
        </w:tc>
        <w:tc>
          <w:tcPr>
            <w:tcW w:w="1358" w:type="dxa"/>
            <w:vMerge w:val="restart"/>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机房支撑要求（无偿满足）</w:t>
            </w: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供配电及UPS系统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须满足实际需要，包括但不限于市电配电柜1台，100KVAUPS主机1台，并设置UPS配电柜1台，UPS配电列头柜1台，后备时间按照60KVA负荷持续运行</w:t>
            </w:r>
            <w:r>
              <w:rPr>
                <w:rFonts w:ascii="宋体" w:hAnsi="宋体" w:cs="宋体"/>
                <w:color w:val="000000"/>
                <w:kern w:val="0"/>
                <w:sz w:val="24"/>
                <w:highlight w:val="none"/>
                <w:lang w:bidi="ar"/>
              </w:rPr>
              <w:t>8</w:t>
            </w:r>
            <w:r>
              <w:rPr>
                <w:rFonts w:hint="eastAsia" w:ascii="宋体" w:hAnsi="宋体" w:cs="宋体"/>
                <w:color w:val="000000"/>
                <w:kern w:val="0"/>
                <w:sz w:val="24"/>
                <w:highlight w:val="none"/>
                <w:lang w:bidi="ar"/>
              </w:rPr>
              <w:t>小时计算，电池规格为12V/150AH，共计</w:t>
            </w:r>
            <w:r>
              <w:rPr>
                <w:rFonts w:ascii="宋体" w:hAnsi="宋体" w:cs="宋体"/>
                <w:color w:val="000000"/>
                <w:kern w:val="0"/>
                <w:sz w:val="24"/>
                <w:highlight w:val="none"/>
                <w:lang w:bidi="ar"/>
              </w:rPr>
              <w:t>256</w:t>
            </w:r>
            <w:r>
              <w:rPr>
                <w:rFonts w:hint="eastAsia" w:ascii="宋体" w:hAnsi="宋体" w:cs="宋体"/>
                <w:color w:val="000000"/>
                <w:kern w:val="0"/>
                <w:sz w:val="24"/>
                <w:highlight w:val="none"/>
                <w:lang w:bidi="ar"/>
              </w:rPr>
              <w:t>块，分为</w:t>
            </w:r>
            <w:r>
              <w:rPr>
                <w:rFonts w:ascii="宋体" w:hAnsi="宋体" w:cs="宋体"/>
                <w:color w:val="000000"/>
                <w:kern w:val="0"/>
                <w:sz w:val="24"/>
                <w:highlight w:val="none"/>
                <w:lang w:bidi="ar"/>
              </w:rPr>
              <w:t>8</w:t>
            </w:r>
            <w:r>
              <w:rPr>
                <w:rFonts w:hint="eastAsia" w:ascii="宋体" w:hAnsi="宋体" w:cs="宋体"/>
                <w:color w:val="000000"/>
                <w:kern w:val="0"/>
                <w:sz w:val="24"/>
                <w:highlight w:val="none"/>
                <w:lang w:bidi="ar"/>
              </w:rPr>
              <w:t>组</w:t>
            </w:r>
            <w:r>
              <w:rPr>
                <w:rFonts w:hint="eastAsia" w:ascii="宋体" w:hAnsi="宋体" w:cs="宋体"/>
                <w:color w:val="000000"/>
                <w:kern w:val="0"/>
                <w:sz w:val="24"/>
                <w:lang w:bidi="ar"/>
              </w:rPr>
              <w:t>，以及相关配套电缆服务等。</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0"/>
              </w:numPr>
              <w:snapToGrid w:val="0"/>
              <w:ind w:leftChars="0" w:right="-460" w:rightChars="-219" w:firstLine="240" w:firstLineChars="100"/>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41</w:t>
            </w: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空调系统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须满足实际需要，包括1套制冷量60KW精密空调系统，室外机安装在10楼阳台位置，并提供相关配套给排水系统。</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42</w:t>
            </w:r>
          </w:p>
        </w:tc>
        <w:tc>
          <w:tcPr>
            <w:tcW w:w="135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kern w:val="2"/>
                <w:sz w:val="24"/>
                <w:szCs w:val="24"/>
                <w:u w:val="none"/>
                <w:lang w:val="en-US" w:eastAsia="zh-CN" w:bidi="ar-SA"/>
              </w:rPr>
            </w:pPr>
          </w:p>
        </w:tc>
        <w:tc>
          <w:tcPr>
            <w:tcW w:w="15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新风系统</w:t>
            </w:r>
          </w:p>
        </w:tc>
        <w:tc>
          <w:tcPr>
            <w:tcW w:w="53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须满足实际需要，包括但不限于新风系统1套，新风机2台以及配套新风管道，风阀，排风口等。</w:t>
            </w:r>
          </w:p>
        </w:tc>
        <w:tc>
          <w:tcPr>
            <w:tcW w:w="6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0"/>
              </w:numPr>
              <w:snapToGrid w:val="0"/>
              <w:ind w:leftChars="0" w:right="-460" w:rightChars="-219" w:firstLine="240" w:firstLineChars="100"/>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w:t>
            </w: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综合布线系统</w:t>
            </w:r>
          </w:p>
        </w:tc>
        <w:tc>
          <w:tcPr>
            <w:tcW w:w="5331" w:type="dxa"/>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须满足实际需要，包括但不限于为保证服务器等大型设备能够完全放置在机柜内，全部采用标准服务器机柜，尺寸为600*1200*2000（mm），每台机柜制作抗震底座，并提供相应配套布线环境保证机柜内以及机柜之间各设备之间进行连接。</w:t>
            </w:r>
          </w:p>
        </w:tc>
        <w:tc>
          <w:tcPr>
            <w:tcW w:w="666"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3" w:type="dxa"/>
            <w:shd w:val="clear" w:color="auto" w:fill="auto"/>
            <w:noWrap/>
            <w:vAlign w:val="center"/>
          </w:tcPr>
          <w:p>
            <w:pPr>
              <w:pStyle w:val="117"/>
              <w:widowControl/>
              <w:numPr>
                <w:ilvl w:val="0"/>
                <w:numId w:val="0"/>
              </w:numPr>
              <w:snapToGrid w:val="0"/>
              <w:ind w:leftChars="0" w:right="-460" w:rightChars="-219" w:firstLine="240" w:firstLineChars="100"/>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44</w:t>
            </w: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环境监控</w:t>
            </w:r>
          </w:p>
        </w:tc>
        <w:tc>
          <w:tcPr>
            <w:tcW w:w="5331" w:type="dxa"/>
            <w:shd w:val="clear" w:color="auto" w:fill="auto"/>
            <w:vAlign w:val="center"/>
          </w:tcPr>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须满足实际需要，包括但不限于：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数据机房环境监控系统服务主要包括：精密空调监控、UPS监控、供配电监控、机房的温湿度监测、漏水监测、视频监控、门禁，入侵报警系统等。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机房视频监控系统，采用6台400 万POE摄像机，配置硬盘录像机1台，POE交换机1台，6T硬盘2块，满足视频存储时间不少于30天。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门禁系统主要针对扩建机房门禁系统；门禁系统采用三合一读卡器，支持指纹、密码、IC卡三种开门方式，配合门禁主机实现数据机房出入口控制。</w:t>
            </w:r>
          </w:p>
        </w:tc>
        <w:tc>
          <w:tcPr>
            <w:tcW w:w="666"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套</w:t>
            </w:r>
          </w:p>
        </w:tc>
        <w:tc>
          <w:tcPr>
            <w:tcW w:w="667" w:type="dxa"/>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noWrap/>
            <w:vAlign w:val="center"/>
          </w:tcPr>
          <w:p>
            <w:pPr>
              <w:pStyle w:val="117"/>
              <w:widowControl/>
              <w:numPr>
                <w:ilvl w:val="0"/>
                <w:numId w:val="0"/>
              </w:numPr>
              <w:snapToGrid w:val="0"/>
              <w:ind w:leftChars="0" w:right="-460" w:rightChars="-219" w:firstLine="240" w:firstLineChars="100"/>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w:t>
            </w:r>
          </w:p>
        </w:tc>
        <w:tc>
          <w:tcPr>
            <w:tcW w:w="1358" w:type="dxa"/>
            <w:vMerge w:val="continue"/>
            <w:shd w:val="clear" w:color="auto" w:fill="auto"/>
            <w:noWrap/>
            <w:vAlign w:val="center"/>
          </w:tcPr>
          <w:p>
            <w:pPr>
              <w:widowControl/>
              <w:jc w:val="center"/>
              <w:rPr>
                <w:rFonts w:ascii="宋体" w:hAnsi="宋体" w:cs="宋体"/>
                <w:color w:val="000000"/>
                <w:sz w:val="24"/>
              </w:rPr>
            </w:pPr>
          </w:p>
        </w:tc>
        <w:tc>
          <w:tcPr>
            <w:tcW w:w="1509" w:type="dxa"/>
            <w:shd w:val="clear" w:color="auto" w:fill="auto"/>
            <w:noWrap/>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其他服务</w:t>
            </w:r>
          </w:p>
        </w:tc>
        <w:tc>
          <w:tcPr>
            <w:tcW w:w="5331" w:type="dxa"/>
            <w:shd w:val="clear" w:color="auto" w:fill="auto"/>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根据云服务实际使用要求，需要无偿满足机房立柱装修改造等。</w:t>
            </w:r>
          </w:p>
        </w:tc>
        <w:tc>
          <w:tcPr>
            <w:tcW w:w="666" w:type="dxa"/>
            <w:shd w:val="clear" w:color="auto" w:fill="auto"/>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项</w:t>
            </w:r>
          </w:p>
        </w:tc>
        <w:tc>
          <w:tcPr>
            <w:tcW w:w="667" w:type="dxa"/>
            <w:shd w:val="clear" w:color="auto" w:fill="auto"/>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w:t>
            </w:r>
          </w:p>
        </w:tc>
      </w:tr>
    </w:tbl>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outlineLvl w:val="2"/>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服务</w:t>
      </w:r>
      <w:bookmarkEnd w:id="824"/>
      <w:r>
        <w:rPr>
          <w:rFonts w:hint="eastAsia" w:ascii="宋体" w:hAnsi="宋体" w:cs="宋体"/>
          <w:sz w:val="24"/>
          <w:szCs w:val="24"/>
          <w:lang w:val="en-US" w:eastAsia="zh-CN"/>
        </w:rPr>
        <w:t>要求</w:t>
      </w:r>
      <w:bookmarkEnd w:id="825"/>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bookmarkStart w:id="826" w:name="_Toc32656"/>
      <w:r>
        <w:rPr>
          <w:rFonts w:hint="eastAsia" w:ascii="宋体" w:hAnsi="宋体" w:cs="宋体"/>
          <w:sz w:val="24"/>
          <w:szCs w:val="24"/>
          <w:lang w:val="en-US" w:eastAsia="zh-CN"/>
        </w:rPr>
        <w:t>（1）</w:t>
      </w:r>
      <w:r>
        <w:rPr>
          <w:rFonts w:hint="eastAsia" w:ascii="宋体" w:hAnsi="宋体" w:eastAsia="宋体" w:cs="宋体"/>
          <w:sz w:val="24"/>
          <w:szCs w:val="24"/>
          <w:lang w:val="en-US" w:eastAsia="zh-CN"/>
        </w:rPr>
        <w:t>核心业务维护服务</w:t>
      </w:r>
      <w:bookmarkEnd w:id="826"/>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周期性检查主机及系统的运行状态，收集运行数据及日志，分析潜在问题和瓶颈，提供优化、扩容建议，防患于未然，减少非正常系统中断，及时响应业务系统需求，如系统扩容、系统部署、系统迁移等工作。</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服务器：操作系统及补丁安装、配置变更调试、日志收集分析、性能评估优化、故障排查处理。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存储：空间使用情况监控、业务负载监控分析、配置变更调试、日志手机分析、故障排查处理。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云主机：云平台资源分配、云平台资源回收、故障排查处理、云管平台维护、资源使用监控。</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硬件监控：设备状态巡查、硬件故障处理。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bookmarkStart w:id="827" w:name="_Toc29751"/>
      <w:r>
        <w:rPr>
          <w:rFonts w:hint="eastAsia" w:ascii="宋体" w:hAnsi="宋体" w:cs="宋体"/>
          <w:sz w:val="24"/>
          <w:szCs w:val="24"/>
          <w:lang w:val="en-US" w:eastAsia="zh-CN"/>
        </w:rPr>
        <w:t>（2）</w:t>
      </w:r>
      <w:r>
        <w:rPr>
          <w:rFonts w:hint="eastAsia" w:ascii="宋体" w:hAnsi="宋体" w:eastAsia="宋体" w:cs="宋体"/>
          <w:sz w:val="24"/>
          <w:szCs w:val="24"/>
          <w:lang w:val="en-US" w:eastAsia="zh-CN"/>
        </w:rPr>
        <w:t>网络维护服务</w:t>
      </w:r>
      <w:bookmarkEnd w:id="827"/>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检查网络设备运行状态，收集设备运行日志和状态信息，分析网络系统潜在问题和瓶颈，提供扩容、优化及改造建议，防患于未然，减少非正常网络中断，及时响应业务系统需求，如应用负载配置、带宽优化、域名管理、地址映射，安全策略部署等。</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规划设计：网络架构设计、IP地址规划、设备选型评测、带宽测算评估。</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部署优化：设备安装部署、设备配置制作、系统版本升级、应用数据分流、服务质量保障性能评估优化、路由优化。</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运行维护：系统镜像备份、配置文件备份、配置变更调试、日志收集分析、故障排查处理、链路质量维护、域名管理维护。</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安全防护：安全域划分、安全策略部署、安全策略变更、设备安全加固、网络攻击防护。</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bookmarkStart w:id="828" w:name="_Toc28471"/>
      <w:r>
        <w:rPr>
          <w:rFonts w:hint="eastAsia" w:ascii="宋体" w:hAnsi="宋体" w:cs="宋体"/>
          <w:sz w:val="24"/>
          <w:szCs w:val="24"/>
          <w:lang w:val="en-US" w:eastAsia="zh-CN"/>
        </w:rPr>
        <w:t>（3）</w:t>
      </w:r>
      <w:r>
        <w:rPr>
          <w:rFonts w:hint="eastAsia" w:ascii="宋体" w:hAnsi="宋体" w:eastAsia="宋体" w:cs="宋体"/>
          <w:sz w:val="24"/>
          <w:szCs w:val="24"/>
          <w:lang w:val="en-US" w:eastAsia="zh-CN"/>
        </w:rPr>
        <w:t>安全维护服务</w:t>
      </w:r>
      <w:bookmarkEnd w:id="828"/>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期性检查安全设备运行状态，收集设备运行日志和状态信息，分析潜在安全威胁，制定和完善安全策略，优化安全体系结构，建立并执行信息安全制度和流程，及时响应安全事件，跟踪安全漏洞和补丁，持续改进安全措施等</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安装部署：安全设备安装、安全策略设计、安全策略部署、安全区域划分、设备选型评测、安全体系建设。</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运行维护：系统版本升级、规则库版本升级、安全策略变更、设备性能监测、日志收集分析、故障排查处理、设备配置备份、安全事件响应。</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跟踪评估：安全体系评估、安全事件跟踪、漏洞补丁跟踪、设备安全加固、安全事件告警。</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流程制度：安全制度建设、安全制度完善、流程设计实施。</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bookmarkStart w:id="829" w:name="_Toc1867"/>
      <w:r>
        <w:rPr>
          <w:rFonts w:hint="eastAsia" w:ascii="宋体" w:hAnsi="宋体" w:cs="宋体"/>
          <w:sz w:val="24"/>
          <w:szCs w:val="24"/>
          <w:lang w:val="en-US" w:eastAsia="zh-CN"/>
        </w:rPr>
        <w:t>（4）</w:t>
      </w:r>
      <w:r>
        <w:rPr>
          <w:rFonts w:hint="eastAsia" w:ascii="宋体" w:hAnsi="宋体" w:eastAsia="宋体" w:cs="宋体"/>
          <w:sz w:val="24"/>
          <w:szCs w:val="24"/>
          <w:lang w:val="en-US" w:eastAsia="zh-CN"/>
        </w:rPr>
        <w:t>业务系统初始化及维护服务</w:t>
      </w:r>
      <w:bookmarkEnd w:id="829"/>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配合应用开发厂商实施业务上线前的专项监控、保障、应急处理工作。</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系统初始化：业务系统规划设计、服务器安装部署、数据库安装部署、中间件安装部署、网络配置、安全策略规划。</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上线保障：系统配置分析、压力测试支持、运行状态监控、应急事件处理、专项性能调优。</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bookmarkStart w:id="830" w:name="_Toc10245"/>
      <w:r>
        <w:rPr>
          <w:rFonts w:hint="eastAsia" w:ascii="宋体" w:hAnsi="宋体" w:cs="宋体"/>
          <w:sz w:val="24"/>
          <w:szCs w:val="24"/>
          <w:lang w:val="en-US" w:eastAsia="zh-CN"/>
        </w:rPr>
        <w:t>（5）</w:t>
      </w:r>
      <w:r>
        <w:rPr>
          <w:rFonts w:hint="eastAsia" w:ascii="宋体" w:hAnsi="宋体" w:eastAsia="宋体" w:cs="宋体"/>
          <w:sz w:val="24"/>
          <w:szCs w:val="24"/>
          <w:lang w:val="en-US" w:eastAsia="zh-CN"/>
        </w:rPr>
        <w:t>运行监控服务</w:t>
      </w:r>
      <w:bookmarkEnd w:id="830"/>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控服务是通过部署专业监控软件，如网络管理系统、应用性能管理系统等，辅助运维人员对生产环境和测试环境等进行持续监控和信息收集，以便及时故障告警，问题留痕，为故障处理和性能优化提供宝贵依据。</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服务器/存储：CPU、内存、流量、请求数、服务端口、响应时间、进程/线程、存储空间、日志/告警。</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网络/安全：CPU、内存、吞吐量、连接数、链路状态、端口状态、板卡/模块、丢包/错包、日志/告警。</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bookmarkStart w:id="831" w:name="_Toc15974"/>
      <w:r>
        <w:rPr>
          <w:rFonts w:hint="eastAsia" w:ascii="宋体" w:hAnsi="宋体" w:cs="宋体"/>
          <w:sz w:val="24"/>
          <w:szCs w:val="24"/>
          <w:lang w:val="en-US" w:eastAsia="zh-CN"/>
        </w:rPr>
        <w:t>（6）</w:t>
      </w:r>
      <w:r>
        <w:rPr>
          <w:rFonts w:hint="eastAsia" w:ascii="宋体" w:hAnsi="宋体" w:eastAsia="宋体" w:cs="宋体"/>
          <w:sz w:val="24"/>
          <w:szCs w:val="24"/>
          <w:lang w:val="en-US" w:eastAsia="zh-CN"/>
        </w:rPr>
        <w:t>服务体系</w:t>
      </w:r>
      <w:bookmarkEnd w:id="831"/>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IT服务体系（ITSM）：IT系统运维服务体系的设置遵循ISO/IEC20000-1: 2011标准，通过服务级别协议(SLA</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来保证IT服务质量的协同流程，它融合了系统管理、网络管理、系统开发管理等管理活动和变更管理、资产管理、问题管理等许多流程的理论和实践，整合IT服务与组织业务，提高组织IT服务提供和服务支持的能力及其水平。</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安全体系（ISMS）：信息安全体系（ISMS）的设置遵循ISO27001规范，预防信息安全事故，保证组织业务的连续性，使组织的重要信息资产受到与其价值相符的保护，通过避免安全事故而使组织节省成本，帮助组织合理筹划信息安全费用支出，保持组织良好的竞争力和成功运作的状态，提高在公众中的形象和声誉，最大限度</w:t>
      </w:r>
      <w:r>
        <w:rPr>
          <w:rFonts w:hint="eastAsia" w:ascii="宋体" w:hAnsi="宋体" w:cs="宋体"/>
          <w:sz w:val="24"/>
          <w:szCs w:val="24"/>
          <w:lang w:val="en-US" w:eastAsia="zh-CN"/>
        </w:rPr>
        <w:t>地</w:t>
      </w:r>
      <w:r>
        <w:rPr>
          <w:rFonts w:hint="eastAsia" w:ascii="宋体" w:hAnsi="宋体" w:eastAsia="宋体" w:cs="宋体"/>
          <w:sz w:val="24"/>
          <w:szCs w:val="24"/>
          <w:lang w:val="en-US" w:eastAsia="zh-CN"/>
        </w:rPr>
        <w:t>增加投资回报和商业机会。</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故障级别定义</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对业务系统进行分级，分为：核心系统、重要系统、一般系统、不重要系统、以确保核心业务系统问题得到及时处理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根据故障严重程度，对故障进行等级划分1-4级，确保严重的故障得到及时处理。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时间管理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严格遵循服务协议中所承诺的服务响应时间。</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在重大节日、系统升级、年终结算、年末盘点等特殊时段，提供专人值守服务，以满足对系统设备稳定运行的较高要求。</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对于信息系统所涵盖的服务设备范围，提供周期性预防性维护服务。</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对于不同级别故障，提供不同的应急响应时间，紧急故障提供即时响应服务。</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质量管理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组织专职维护队伍，资深技术专家保障团队，辅以原厂合作支持，保障服务水平。</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由专门工程师负责在维护时间间隔定期进行维护，做好定期走访。</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对修复的系统故障和更换的备件运行状况及时进行跟踪监测，并对故障情况进行分析总结。</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定期检查备机备件的数量和完整性，检查设备完好状态。</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定期对维护和维修情况进行跟踪访问，听取客户要求，不断完善服务，提升满意度。</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定期组织工程师进行技术方面的交流，不断提高技术水平，丰富维护经验。</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人员管理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成立专门技术服务团队，由经验丰富的工程师组成，实行梯队制度。除技术人员外，提供专职商务人员，保证售后的辅助工作和合同相关的管理工作顺利通达。</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文档管理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在一个项目的计划、实施过程中，会产生许多文件，为了项目的执行，减少不必要的纠纷与失误，必须对这类文档指派专人负责管理。</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文档内容包括但不限于：合同、报价单、设备清单、会议记录、培训记录、设计方案、实施方案、需求变更单，事件记录表，问题管理表，变更申请单，确认单，测试报告等。</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bookmarkStart w:id="832" w:name="_Toc14154"/>
      <w:r>
        <w:rPr>
          <w:rFonts w:hint="eastAsia" w:ascii="宋体" w:hAnsi="宋体" w:cs="宋体"/>
          <w:sz w:val="24"/>
          <w:szCs w:val="24"/>
          <w:lang w:val="en-US" w:eastAsia="zh-CN"/>
        </w:rPr>
        <w:t>（12）</w:t>
      </w:r>
      <w:r>
        <w:rPr>
          <w:rFonts w:hint="eastAsia" w:ascii="宋体" w:hAnsi="宋体" w:eastAsia="宋体" w:cs="宋体"/>
          <w:sz w:val="24"/>
          <w:szCs w:val="24"/>
          <w:lang w:val="en-US" w:eastAsia="zh-CN"/>
        </w:rPr>
        <w:t>服务方式</w:t>
      </w:r>
      <w:bookmarkEnd w:id="832"/>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电话及远程服务</w:t>
      </w:r>
      <w:r>
        <w:rPr>
          <w:rFonts w:hint="eastAsia" w:ascii="宋体" w:hAnsi="宋体" w:eastAsia="宋体" w:cs="宋体"/>
          <w:sz w:val="24"/>
          <w:szCs w:val="24"/>
          <w:lang w:val="en-US" w:eastAsia="zh-CN"/>
        </w:rPr>
        <w:t>：设立 7*24 小时的值班响应电话，并安排有经验的工程师值班，提供电话或远程技术支持，及时解决故障或申告的问题。对于复杂的技术问题，及时组织相关专家进行会诊。</w:t>
      </w:r>
    </w:p>
    <w:p>
      <w:pPr>
        <w:pStyle w:val="19"/>
        <w:keepNext w:val="0"/>
        <w:keepLines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黑体" w:hAnsi="黑体" w:eastAsia="黑体" w:cs="黑体"/>
          <w:b/>
          <w:bCs/>
          <w:color w:val="000000"/>
          <w:kern w:val="2"/>
          <w:sz w:val="44"/>
          <w:szCs w:val="44"/>
          <w:lang w:val="en-US" w:eastAsia="zh-CN" w:bidi="ar-SA"/>
        </w:rPr>
      </w:pPr>
      <w:r>
        <w:rPr>
          <w:rFonts w:hint="default" w:ascii="宋体" w:hAnsi="宋体" w:eastAsia="宋体" w:cs="宋体"/>
          <w:sz w:val="24"/>
          <w:szCs w:val="24"/>
          <w:lang w:val="en-US" w:eastAsia="zh-CN"/>
        </w:rPr>
        <w:t>现场服务</w:t>
      </w:r>
      <w:r>
        <w:rPr>
          <w:rFonts w:hint="eastAsia" w:ascii="宋体" w:hAnsi="宋体" w:eastAsia="宋体" w:cs="宋体"/>
          <w:sz w:val="24"/>
          <w:szCs w:val="24"/>
          <w:lang w:val="en-US" w:eastAsia="zh-CN"/>
        </w:rPr>
        <w:t>：对于电话或远程方式不能解决的问题或故障，安排经验丰富的技术支持工程师在约定的时间内到达现场，分析故障原因，制定解决方案，并实施操作，处理完毕后填写服务报告单。</w:t>
      </w:r>
      <w:bookmarkEnd w:id="800"/>
      <w:bookmarkEnd w:id="801"/>
      <w:bookmarkEnd w:id="802"/>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6"/>
        <w:spacing w:before="0" w:after="0" w:line="300" w:lineRule="auto"/>
        <w:jc w:val="center"/>
        <w:rPr>
          <w:rFonts w:hint="eastAsia" w:ascii="黑体" w:hAnsi="黑体" w:eastAsia="黑体" w:cs="黑体"/>
          <w:b/>
          <w:bCs/>
          <w:color w:val="000000"/>
          <w:kern w:val="2"/>
          <w:sz w:val="44"/>
          <w:szCs w:val="44"/>
          <w:lang w:val="en-US" w:eastAsia="zh-CN" w:bidi="ar-SA"/>
        </w:rPr>
      </w:pPr>
    </w:p>
    <w:p>
      <w:pPr>
        <w:pStyle w:val="6"/>
        <w:spacing w:before="0" w:after="0" w:line="300" w:lineRule="auto"/>
        <w:jc w:val="center"/>
        <w:rPr>
          <w:rFonts w:hint="eastAsia" w:ascii="黑体" w:hAnsi="黑体" w:eastAsia="黑体" w:cs="黑体"/>
          <w:b/>
          <w:bCs/>
          <w:color w:val="000000"/>
          <w:kern w:val="2"/>
          <w:sz w:val="44"/>
          <w:szCs w:val="44"/>
          <w:lang w:val="en-US" w:eastAsia="zh-CN" w:bidi="ar-SA"/>
        </w:rPr>
      </w:pPr>
      <w:r>
        <w:rPr>
          <w:rFonts w:hint="eastAsia" w:ascii="黑体" w:hAnsi="黑体" w:eastAsia="黑体" w:cs="黑体"/>
          <w:b/>
          <w:bCs/>
          <w:color w:val="000000"/>
          <w:kern w:val="2"/>
          <w:sz w:val="44"/>
          <w:szCs w:val="44"/>
          <w:lang w:val="en-US" w:eastAsia="zh-CN" w:bidi="ar-SA"/>
        </w:rPr>
        <w:t>第六章  投标文件格式</w:t>
      </w:r>
      <w:bookmarkEnd w:id="789"/>
      <w:bookmarkEnd w:id="790"/>
      <w:bookmarkEnd w:id="791"/>
      <w:bookmarkEnd w:id="792"/>
      <w:bookmarkEnd w:id="793"/>
      <w:bookmarkEnd w:id="794"/>
      <w:bookmarkEnd w:id="795"/>
      <w:bookmarkEnd w:id="796"/>
      <w:bookmarkEnd w:id="797"/>
      <w:bookmarkEnd w:id="798"/>
    </w:p>
    <w:p>
      <w:pPr>
        <w:spacing w:line="400" w:lineRule="exact"/>
        <w:rPr>
          <w:rFonts w:hint="eastAsia" w:ascii="宋体" w:hAnsi="宋体" w:cs="宋体"/>
          <w:color w:val="000000"/>
        </w:rPr>
      </w:pPr>
    </w:p>
    <w:p>
      <w:pPr>
        <w:spacing w:line="400" w:lineRule="exact"/>
        <w:ind w:firstLine="420" w:firstLineChars="200"/>
        <w:rPr>
          <w:rFonts w:hint="eastAsia" w:ascii="宋体" w:hAnsi="宋体" w:cs="宋体"/>
          <w:color w:val="000000"/>
          <w:szCs w:val="21"/>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ind w:firstLine="2800" w:firstLineChars="1000"/>
        <w:jc w:val="both"/>
        <w:outlineLvl w:val="0"/>
        <w:rPr>
          <w:rFonts w:hint="eastAsia" w:ascii="宋体" w:hAnsi="宋体" w:cs="宋体"/>
          <w:color w:val="000000"/>
          <w:sz w:val="20"/>
          <w:szCs w:val="20"/>
        </w:rPr>
      </w:pPr>
      <w:r>
        <w:rPr>
          <w:rFonts w:hint="eastAsia" w:ascii="宋体" w:hAnsi="宋体" w:cs="宋体"/>
          <w:color w:val="000000"/>
          <w:sz w:val="28"/>
          <w:szCs w:val="28"/>
          <w:u w:val="single"/>
        </w:rPr>
        <w:t xml:space="preserve">                </w:t>
      </w:r>
      <w:bookmarkStart w:id="833" w:name="_Toc23034"/>
      <w:r>
        <w:rPr>
          <w:rFonts w:hint="eastAsia" w:ascii="宋体" w:hAnsi="宋体" w:cs="宋体"/>
          <w:color w:val="000000"/>
          <w:sz w:val="28"/>
          <w:szCs w:val="28"/>
        </w:rPr>
        <w:t>（</w:t>
      </w:r>
      <w:r>
        <w:rPr>
          <w:rFonts w:hint="eastAsia" w:ascii="宋体" w:hAnsi="宋体" w:cs="宋体"/>
          <w:color w:val="000000"/>
          <w:sz w:val="28"/>
          <w:szCs w:val="28"/>
          <w:lang w:eastAsia="zh-CN"/>
        </w:rPr>
        <w:t>项目</w:t>
      </w:r>
      <w:r>
        <w:rPr>
          <w:rFonts w:hint="eastAsia" w:ascii="宋体" w:hAnsi="宋体" w:cs="宋体"/>
          <w:color w:val="000000"/>
          <w:sz w:val="28"/>
          <w:szCs w:val="28"/>
        </w:rPr>
        <w:t>名称）</w:t>
      </w:r>
      <w:bookmarkEnd w:id="833"/>
    </w:p>
    <w:p>
      <w:pPr>
        <w:jc w:val="center"/>
        <w:rPr>
          <w:rFonts w:hint="eastAsia" w:ascii="宋体" w:hAnsi="宋体" w:cs="宋体"/>
          <w:color w:val="000000"/>
          <w:sz w:val="20"/>
          <w:szCs w:val="20"/>
        </w:rPr>
      </w:pPr>
    </w:p>
    <w:p>
      <w:pPr>
        <w:rPr>
          <w:rFonts w:hint="eastAsia" w:ascii="宋体" w:hAnsi="宋体" w:cs="宋体"/>
          <w:color w:val="000000"/>
          <w:sz w:val="20"/>
          <w:szCs w:val="20"/>
        </w:rPr>
      </w:pPr>
    </w:p>
    <w:p>
      <w:pPr>
        <w:jc w:val="center"/>
        <w:rPr>
          <w:rFonts w:hint="eastAsia" w:ascii="宋体" w:hAnsi="宋体" w:cs="宋体"/>
          <w:color w:val="000000"/>
          <w:sz w:val="72"/>
          <w:szCs w:val="72"/>
        </w:rPr>
      </w:pPr>
      <w:r>
        <w:rPr>
          <w:rFonts w:hint="eastAsia" w:ascii="宋体" w:hAnsi="宋体" w:cs="宋体"/>
          <w:color w:val="000000"/>
          <w:sz w:val="72"/>
          <w:szCs w:val="72"/>
        </w:rPr>
        <w:t>投  标  文  件</w:t>
      </w:r>
    </w:p>
    <w:p>
      <w:pPr>
        <w:rPr>
          <w:rFonts w:hint="eastAsia" w:ascii="宋体" w:hAnsi="宋体" w:cs="宋体"/>
          <w:color w:val="000000"/>
          <w:sz w:val="28"/>
          <w:szCs w:val="28"/>
        </w:rPr>
      </w:pPr>
    </w:p>
    <w:p>
      <w:pPr>
        <w:rPr>
          <w:rFonts w:hint="eastAsia" w:ascii="宋体" w:hAnsi="宋体" w:cs="宋体"/>
          <w:color w:val="000000"/>
          <w:sz w:val="28"/>
          <w:szCs w:val="28"/>
        </w:rPr>
      </w:pPr>
    </w:p>
    <w:p>
      <w:pPr>
        <w:jc w:val="center"/>
        <w:rPr>
          <w:rFonts w:hint="eastAsia" w:ascii="宋体" w:hAnsi="宋体" w:cs="宋体"/>
          <w:color w:val="000000"/>
          <w:sz w:val="28"/>
          <w:szCs w:val="28"/>
        </w:rPr>
      </w:pPr>
      <w:r>
        <w:rPr>
          <w:rFonts w:hint="eastAsia" w:ascii="宋体" w:hAnsi="宋体" w:cs="宋体"/>
          <w:color w:val="000000"/>
          <w:sz w:val="28"/>
          <w:szCs w:val="28"/>
        </w:rPr>
        <w:t>招标</w:t>
      </w:r>
      <w:r>
        <w:rPr>
          <w:rFonts w:hint="eastAsia" w:ascii="宋体" w:hAnsi="宋体" w:cs="宋体"/>
          <w:color w:val="000000"/>
          <w:sz w:val="28"/>
          <w:szCs w:val="28"/>
          <w:lang w:eastAsia="zh-CN"/>
        </w:rPr>
        <w:t>项目</w:t>
      </w:r>
      <w:r>
        <w:rPr>
          <w:rFonts w:hint="eastAsia" w:ascii="宋体" w:hAnsi="宋体" w:cs="宋体"/>
          <w:color w:val="000000"/>
          <w:sz w:val="28"/>
          <w:szCs w:val="28"/>
        </w:rPr>
        <w:t>编号：</w:t>
      </w: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ind w:firstLine="280" w:firstLineChars="100"/>
        <w:jc w:val="both"/>
        <w:outlineLvl w:val="0"/>
        <w:rPr>
          <w:rFonts w:hint="eastAsia" w:ascii="宋体" w:hAnsi="宋体" w:cs="宋体"/>
          <w:color w:val="000000"/>
          <w:sz w:val="28"/>
          <w:szCs w:val="28"/>
          <w:u w:val="single"/>
        </w:rPr>
      </w:pPr>
      <w:bookmarkStart w:id="834" w:name="_Toc27586"/>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bookmarkEnd w:id="834"/>
    </w:p>
    <w:p>
      <w:pPr>
        <w:jc w:val="center"/>
        <w:outlineLvl w:val="0"/>
        <w:rPr>
          <w:rFonts w:hint="eastAsia" w:ascii="宋体" w:hAnsi="宋体" w:cs="宋体"/>
          <w:color w:val="000000"/>
          <w:sz w:val="28"/>
          <w:szCs w:val="28"/>
        </w:rPr>
      </w:pPr>
      <w:bookmarkStart w:id="835" w:name="_Toc31249"/>
      <w:r>
        <w:rPr>
          <w:rFonts w:hint="eastAsia" w:ascii="宋体" w:hAnsi="宋体" w:cs="宋体"/>
          <w:color w:val="000000"/>
          <w:sz w:val="28"/>
          <w:szCs w:val="28"/>
        </w:rPr>
        <w:t>法定代表人或其委托代理人：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r>
        <w:rPr>
          <w:rFonts w:hint="eastAsia" w:ascii="宋体" w:hAnsi="宋体" w:cs="宋体"/>
          <w:color w:val="000000"/>
          <w:sz w:val="28"/>
          <w:szCs w:val="28"/>
          <w:lang w:eastAsia="zh-CN"/>
        </w:rPr>
        <w:t>或盖章</w:t>
      </w:r>
      <w:r>
        <w:rPr>
          <w:rFonts w:hint="eastAsia" w:ascii="宋体" w:hAnsi="宋体" w:cs="宋体"/>
          <w:color w:val="000000"/>
          <w:sz w:val="28"/>
          <w:szCs w:val="28"/>
        </w:rPr>
        <w:t>）</w:t>
      </w:r>
      <w:bookmarkEnd w:id="835"/>
    </w:p>
    <w:p>
      <w:pPr>
        <w:jc w:val="center"/>
        <w:outlineLvl w:val="0"/>
        <w:rPr>
          <w:rFonts w:hint="eastAsia" w:ascii="宋体" w:hAnsi="宋体" w:cs="宋体"/>
          <w:color w:val="000000"/>
          <w:sz w:val="28"/>
          <w:szCs w:val="28"/>
        </w:rPr>
      </w:pPr>
      <w:r>
        <w:rPr>
          <w:rFonts w:hint="eastAsia" w:ascii="宋体" w:hAnsi="宋体" w:cs="宋体"/>
          <w:color w:val="000000"/>
          <w:sz w:val="28"/>
          <w:szCs w:val="28"/>
          <w:u w:val="single"/>
        </w:rPr>
        <w:t xml:space="preserve">        </w:t>
      </w:r>
      <w:bookmarkStart w:id="836" w:name="_Toc16605"/>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bookmarkEnd w:id="836"/>
    </w:p>
    <w:p>
      <w:pPr>
        <w:spacing w:line="440" w:lineRule="exact"/>
        <w:rPr>
          <w:rFonts w:hint="eastAsia" w:ascii="宋体" w:hAnsi="宋体" w:cs="宋体"/>
          <w:color w:val="000000"/>
        </w:rPr>
      </w:pPr>
    </w:p>
    <w:p>
      <w:pPr>
        <w:pStyle w:val="7"/>
        <w:keepNext w:val="0"/>
        <w:keepLines w:val="0"/>
        <w:jc w:val="left"/>
        <w:rPr>
          <w:rFonts w:hint="eastAsia" w:ascii="宋体" w:hAnsi="宋体" w:eastAsia="宋体" w:cs="宋体"/>
          <w:color w:val="000000"/>
          <w:sz w:val="21"/>
          <w:szCs w:val="21"/>
        </w:rPr>
      </w:pPr>
      <w:bookmarkStart w:id="837" w:name="_Toc22633"/>
      <w:bookmarkStart w:id="838" w:name="_Toc25714"/>
      <w:bookmarkStart w:id="839" w:name="_Toc152045787"/>
      <w:bookmarkStart w:id="840" w:name="_Toc179632807"/>
      <w:bookmarkStart w:id="841" w:name="_Toc246997098"/>
      <w:bookmarkStart w:id="842" w:name="_Toc24297"/>
      <w:bookmarkStart w:id="843" w:name="_Toc21583"/>
      <w:bookmarkStart w:id="844" w:name="_Toc453756953"/>
      <w:bookmarkStart w:id="845" w:name="_Toc247085873"/>
      <w:bookmarkStart w:id="846" w:name="_Toc152042576"/>
      <w:bookmarkStart w:id="847" w:name="_Toc246996355"/>
      <w:bookmarkStart w:id="848" w:name="_Toc144974856"/>
      <w:r>
        <w:rPr>
          <w:rFonts w:hint="eastAsia" w:ascii="宋体" w:hAnsi="宋体" w:eastAsia="宋体" w:cs="宋体"/>
          <w:color w:val="000000"/>
          <w:sz w:val="21"/>
          <w:szCs w:val="21"/>
        </w:rPr>
        <w:t xml:space="preserve"> </w:t>
      </w:r>
    </w:p>
    <w:p>
      <w:pPr>
        <w:rPr>
          <w:rFonts w:hint="eastAsia"/>
        </w:rPr>
      </w:pPr>
    </w:p>
    <w:p>
      <w:pPr>
        <w:pStyle w:val="7"/>
        <w:keepNext w:val="0"/>
        <w:keepLines w:val="0"/>
        <w:jc w:val="center"/>
        <w:rPr>
          <w:rFonts w:hint="eastAsia" w:ascii="宋体" w:hAnsi="宋体" w:eastAsia="宋体" w:cs="宋体"/>
          <w:color w:val="000000"/>
        </w:rPr>
      </w:pPr>
      <w:r>
        <w:rPr>
          <w:rFonts w:hint="eastAsia" w:ascii="宋体" w:hAnsi="宋体" w:eastAsia="宋体" w:cs="宋体"/>
          <w:color w:val="000000"/>
        </w:rPr>
        <w:t>目    录</w:t>
      </w:r>
      <w:bookmarkEnd w:id="837"/>
      <w:bookmarkEnd w:id="838"/>
      <w:bookmarkEnd w:id="839"/>
      <w:bookmarkEnd w:id="840"/>
      <w:bookmarkEnd w:id="841"/>
      <w:bookmarkEnd w:id="842"/>
      <w:bookmarkEnd w:id="843"/>
      <w:bookmarkEnd w:id="844"/>
      <w:bookmarkEnd w:id="845"/>
      <w:bookmarkEnd w:id="846"/>
      <w:bookmarkEnd w:id="847"/>
      <w:bookmarkEnd w:id="848"/>
    </w:p>
    <w:p>
      <w:pPr>
        <w:spacing w:line="540" w:lineRule="exact"/>
        <w:jc w:val="center"/>
        <w:rPr>
          <w:rFonts w:hint="eastAsia" w:ascii="宋体" w:hAnsi="宋体" w:cs="宋体"/>
          <w:b/>
          <w:bCs/>
          <w:color w:val="000000"/>
        </w:rPr>
      </w:pPr>
      <w:r>
        <w:rPr>
          <w:rFonts w:hint="eastAsia" w:ascii="宋体" w:hAnsi="宋体" w:cs="宋体"/>
          <w:b/>
          <w:bCs/>
          <w:color w:val="000000"/>
        </w:rPr>
        <w:t>（投标人需自行编制详细目录，并标注详细页码）</w:t>
      </w:r>
    </w:p>
    <w:p>
      <w:pPr>
        <w:spacing w:line="540" w:lineRule="exact"/>
        <w:outlineLvl w:val="0"/>
        <w:rPr>
          <w:rFonts w:hint="eastAsia" w:ascii="宋体" w:hAnsi="宋体" w:cs="宋体"/>
          <w:color w:val="000000"/>
        </w:rPr>
      </w:pPr>
      <w:bookmarkStart w:id="849" w:name="_Toc8508"/>
      <w:r>
        <w:rPr>
          <w:rFonts w:hint="eastAsia" w:ascii="宋体" w:hAnsi="宋体" w:cs="宋体"/>
          <w:color w:val="000000"/>
        </w:rPr>
        <w:t>一、投标函</w:t>
      </w:r>
      <w:bookmarkEnd w:id="849"/>
    </w:p>
    <w:p>
      <w:pPr>
        <w:spacing w:line="540" w:lineRule="exact"/>
        <w:outlineLvl w:val="0"/>
        <w:rPr>
          <w:rFonts w:hint="eastAsia" w:ascii="宋体" w:hAnsi="宋体" w:cs="宋体"/>
          <w:color w:val="000000"/>
        </w:rPr>
      </w:pPr>
      <w:bookmarkStart w:id="850" w:name="_Toc1030"/>
      <w:r>
        <w:rPr>
          <w:rFonts w:hint="eastAsia" w:ascii="宋体" w:hAnsi="宋体" w:cs="宋体"/>
          <w:color w:val="000000"/>
        </w:rPr>
        <w:t>二、法定代表人身份证明</w:t>
      </w:r>
      <w:bookmarkEnd w:id="850"/>
    </w:p>
    <w:p>
      <w:pPr>
        <w:spacing w:line="540" w:lineRule="exact"/>
        <w:outlineLvl w:val="0"/>
        <w:rPr>
          <w:rFonts w:hint="eastAsia" w:ascii="宋体" w:hAnsi="宋体" w:cs="宋体"/>
          <w:color w:val="000000"/>
        </w:rPr>
      </w:pPr>
      <w:bookmarkStart w:id="851" w:name="_Toc10594"/>
      <w:r>
        <w:rPr>
          <w:rFonts w:hint="eastAsia" w:ascii="宋体" w:hAnsi="宋体" w:cs="宋体"/>
          <w:color w:val="000000"/>
        </w:rPr>
        <w:t>三、授权委托书</w:t>
      </w:r>
      <w:bookmarkEnd w:id="851"/>
    </w:p>
    <w:p>
      <w:pPr>
        <w:spacing w:line="540" w:lineRule="exact"/>
        <w:outlineLvl w:val="0"/>
        <w:rPr>
          <w:rFonts w:hint="default" w:ascii="宋体" w:hAnsi="宋体" w:eastAsia="宋体" w:cs="宋体"/>
          <w:color w:val="000000"/>
          <w:lang w:val="en-US" w:eastAsia="zh-CN"/>
        </w:rPr>
      </w:pPr>
      <w:bookmarkStart w:id="852" w:name="_Toc14816"/>
      <w:r>
        <w:rPr>
          <w:rFonts w:hint="eastAsia" w:ascii="宋体" w:hAnsi="宋体" w:cs="宋体"/>
          <w:color w:val="000000"/>
        </w:rPr>
        <w:t>四、</w:t>
      </w:r>
      <w:r>
        <w:rPr>
          <w:rFonts w:hint="eastAsia" w:ascii="宋体" w:hAnsi="宋体" w:cs="宋体"/>
          <w:color w:val="000000"/>
          <w:lang w:val="en-US" w:eastAsia="zh-CN"/>
        </w:rPr>
        <w:t>投标保证金</w:t>
      </w:r>
    </w:p>
    <w:p>
      <w:pPr>
        <w:spacing w:line="540" w:lineRule="exact"/>
        <w:outlineLvl w:val="0"/>
        <w:rPr>
          <w:rFonts w:hint="eastAsia" w:ascii="宋体" w:hAnsi="宋体" w:cs="宋体"/>
          <w:color w:val="000000"/>
        </w:rPr>
      </w:pPr>
      <w:r>
        <w:rPr>
          <w:rFonts w:hint="eastAsia" w:ascii="宋体" w:hAnsi="宋体" w:cs="宋体"/>
          <w:color w:val="000000"/>
          <w:lang w:val="en-US" w:eastAsia="zh-CN"/>
        </w:rPr>
        <w:t>五、</w:t>
      </w:r>
      <w:r>
        <w:rPr>
          <w:rFonts w:hint="eastAsia" w:ascii="宋体" w:hAnsi="宋体" w:cs="宋体"/>
          <w:color w:val="000000"/>
        </w:rPr>
        <w:t>开标一览表</w:t>
      </w:r>
      <w:bookmarkEnd w:id="852"/>
    </w:p>
    <w:p>
      <w:pPr>
        <w:spacing w:line="540" w:lineRule="exact"/>
        <w:outlineLvl w:val="0"/>
        <w:rPr>
          <w:rFonts w:hint="eastAsia" w:ascii="宋体" w:hAnsi="宋体" w:eastAsia="宋体" w:cs="宋体"/>
          <w:color w:val="000000"/>
          <w:lang w:eastAsia="zh-CN"/>
        </w:rPr>
      </w:pPr>
      <w:bookmarkStart w:id="853" w:name="_Toc6339"/>
      <w:r>
        <w:rPr>
          <w:rFonts w:hint="eastAsia" w:ascii="宋体" w:hAnsi="宋体" w:cs="宋体"/>
          <w:color w:val="000000"/>
          <w:lang w:val="en-US" w:eastAsia="zh-CN"/>
        </w:rPr>
        <w:t>六</w:t>
      </w:r>
      <w:r>
        <w:rPr>
          <w:rFonts w:hint="eastAsia" w:ascii="宋体" w:hAnsi="宋体" w:cs="宋体"/>
          <w:color w:val="000000"/>
        </w:rPr>
        <w:t>、</w:t>
      </w:r>
      <w:bookmarkEnd w:id="853"/>
      <w:r>
        <w:rPr>
          <w:rFonts w:hint="eastAsia" w:ascii="宋体" w:hAnsi="宋体" w:cs="宋体"/>
          <w:color w:val="000000"/>
        </w:rPr>
        <w:t>投标报价</w:t>
      </w:r>
      <w:r>
        <w:rPr>
          <w:rFonts w:hint="eastAsia" w:ascii="宋体" w:hAnsi="宋体" w:cs="宋体"/>
          <w:color w:val="000000"/>
          <w:lang w:eastAsia="zh-CN"/>
        </w:rPr>
        <w:t>明细表</w:t>
      </w:r>
    </w:p>
    <w:p>
      <w:pPr>
        <w:spacing w:line="540" w:lineRule="exact"/>
        <w:outlineLvl w:val="0"/>
        <w:rPr>
          <w:rFonts w:hint="eastAsia" w:ascii="宋体" w:hAnsi="宋体" w:cs="宋体"/>
          <w:color w:val="000000"/>
        </w:rPr>
      </w:pPr>
      <w:bookmarkStart w:id="854" w:name="_Toc17778"/>
      <w:r>
        <w:rPr>
          <w:rFonts w:hint="eastAsia" w:ascii="宋体" w:hAnsi="宋体" w:cs="宋体"/>
          <w:color w:val="000000"/>
          <w:lang w:val="en-US" w:eastAsia="zh-CN"/>
        </w:rPr>
        <w:t>七</w:t>
      </w:r>
      <w:r>
        <w:rPr>
          <w:rFonts w:hint="eastAsia" w:ascii="宋体" w:hAnsi="宋体" w:cs="宋体"/>
          <w:color w:val="000000"/>
        </w:rPr>
        <w:t>、</w:t>
      </w:r>
      <w:bookmarkEnd w:id="854"/>
      <w:r>
        <w:rPr>
          <w:rFonts w:hint="eastAsia" w:ascii="宋体" w:hAnsi="宋体" w:cs="宋体"/>
          <w:color w:val="000000"/>
          <w:lang w:val="en-US" w:eastAsia="zh-CN"/>
        </w:rPr>
        <w:t>服务</w:t>
      </w:r>
      <w:r>
        <w:rPr>
          <w:rFonts w:hint="eastAsia" w:ascii="宋体" w:hAnsi="宋体" w:cs="宋体"/>
          <w:color w:val="000000"/>
        </w:rPr>
        <w:t>方案</w:t>
      </w:r>
    </w:p>
    <w:p>
      <w:pPr>
        <w:spacing w:line="540" w:lineRule="exact"/>
        <w:outlineLvl w:val="0"/>
        <w:rPr>
          <w:rFonts w:hint="eastAsia" w:ascii="宋体" w:hAnsi="宋体" w:cs="宋体"/>
          <w:color w:val="000000"/>
        </w:rPr>
      </w:pPr>
      <w:bookmarkStart w:id="855" w:name="_Toc15889"/>
      <w:r>
        <w:rPr>
          <w:rFonts w:hint="eastAsia" w:ascii="宋体" w:hAnsi="宋体" w:cs="宋体"/>
          <w:color w:val="000000"/>
          <w:lang w:val="en-US" w:eastAsia="zh-CN"/>
        </w:rPr>
        <w:t>八</w:t>
      </w:r>
      <w:r>
        <w:rPr>
          <w:rFonts w:hint="eastAsia" w:ascii="宋体" w:hAnsi="宋体" w:cs="宋体"/>
          <w:color w:val="000000"/>
        </w:rPr>
        <w:t>、项目管理机构</w:t>
      </w:r>
      <w:bookmarkEnd w:id="855"/>
    </w:p>
    <w:p>
      <w:pPr>
        <w:spacing w:line="540" w:lineRule="exact"/>
        <w:outlineLvl w:val="0"/>
        <w:rPr>
          <w:rFonts w:hint="eastAsia" w:ascii="宋体" w:hAnsi="宋体" w:cs="宋体"/>
          <w:color w:val="000000"/>
        </w:rPr>
      </w:pPr>
      <w:bookmarkStart w:id="856" w:name="_Toc2083"/>
      <w:r>
        <w:rPr>
          <w:rFonts w:hint="eastAsia" w:ascii="宋体" w:hAnsi="宋体" w:cs="宋体"/>
          <w:color w:val="000000"/>
          <w:lang w:val="en-US" w:eastAsia="zh-CN"/>
        </w:rPr>
        <w:t>九</w:t>
      </w:r>
      <w:r>
        <w:rPr>
          <w:rFonts w:hint="eastAsia" w:ascii="宋体" w:hAnsi="宋体" w:cs="宋体"/>
          <w:color w:val="000000"/>
        </w:rPr>
        <w:t>、资格审查资料</w:t>
      </w:r>
      <w:bookmarkEnd w:id="856"/>
    </w:p>
    <w:p>
      <w:pPr>
        <w:spacing w:line="540" w:lineRule="exact"/>
        <w:outlineLvl w:val="0"/>
        <w:rPr>
          <w:rFonts w:hint="eastAsia" w:ascii="宋体" w:hAnsi="宋体" w:cs="宋体"/>
          <w:color w:val="000000"/>
        </w:rPr>
      </w:pPr>
      <w:r>
        <w:rPr>
          <w:rFonts w:hint="eastAsia" w:ascii="宋体" w:hAnsi="宋体" w:cs="宋体"/>
          <w:color w:val="000000"/>
          <w:lang w:val="en-US" w:eastAsia="zh-CN"/>
        </w:rPr>
        <w:t>十</w:t>
      </w:r>
      <w:r>
        <w:rPr>
          <w:rFonts w:hint="eastAsia" w:ascii="宋体" w:hAnsi="宋体" w:cs="宋体"/>
          <w:color w:val="000000"/>
        </w:rPr>
        <w:t>、</w:t>
      </w:r>
      <w:bookmarkStart w:id="857" w:name="_Toc15953"/>
      <w:r>
        <w:rPr>
          <w:rFonts w:hint="eastAsia" w:ascii="宋体" w:hAnsi="宋体" w:cs="宋体"/>
          <w:color w:val="000000"/>
        </w:rPr>
        <w:t>其他资料</w:t>
      </w:r>
      <w:bookmarkEnd w:id="857"/>
    </w:p>
    <w:p>
      <w:pPr>
        <w:spacing w:line="540" w:lineRule="exact"/>
        <w:rPr>
          <w:rFonts w:hint="eastAsia" w:ascii="宋体" w:hAnsi="宋体" w:cs="宋体"/>
          <w:color w:val="000000"/>
        </w:rPr>
      </w:pPr>
    </w:p>
    <w:p>
      <w:pPr>
        <w:spacing w:line="540" w:lineRule="exact"/>
        <w:rPr>
          <w:rFonts w:hint="eastAsia" w:ascii="宋体" w:hAnsi="宋体" w:cs="宋体"/>
          <w:color w:val="000000"/>
        </w:rPr>
      </w:pPr>
    </w:p>
    <w:p>
      <w:pPr>
        <w:spacing w:line="540" w:lineRule="exact"/>
        <w:rPr>
          <w:rFonts w:hint="eastAsia" w:ascii="宋体" w:hAnsi="宋体" w:cs="宋体"/>
          <w:color w:val="000000"/>
        </w:rPr>
      </w:pPr>
    </w:p>
    <w:p>
      <w:pPr>
        <w:spacing w:line="540" w:lineRule="exact"/>
        <w:rPr>
          <w:rFonts w:hint="eastAsia" w:ascii="宋体" w:hAnsi="宋体" w:cs="宋体"/>
          <w:color w:val="000000"/>
        </w:rPr>
      </w:pPr>
    </w:p>
    <w:p>
      <w:pPr>
        <w:spacing w:line="540" w:lineRule="exact"/>
        <w:rPr>
          <w:rFonts w:hint="eastAsia" w:ascii="宋体" w:hAnsi="宋体" w:cs="宋体"/>
          <w:color w:val="000000"/>
        </w:rPr>
      </w:pPr>
    </w:p>
    <w:p>
      <w:pPr>
        <w:spacing w:line="540" w:lineRule="exact"/>
        <w:rPr>
          <w:rFonts w:hint="eastAsia" w:ascii="宋体" w:hAnsi="宋体" w:cs="宋体"/>
          <w:color w:val="000000"/>
        </w:rPr>
      </w:pPr>
    </w:p>
    <w:p>
      <w:pPr>
        <w:spacing w:line="540" w:lineRule="exact"/>
        <w:rPr>
          <w:rFonts w:hint="eastAsia" w:ascii="宋体" w:hAnsi="宋体" w:cs="宋体"/>
          <w:color w:val="000000"/>
        </w:rPr>
      </w:pPr>
    </w:p>
    <w:p>
      <w:pPr>
        <w:spacing w:line="540" w:lineRule="exact"/>
        <w:rPr>
          <w:rFonts w:hint="eastAsia" w:ascii="宋体" w:hAnsi="宋体" w:cs="宋体"/>
          <w:color w:val="000000"/>
        </w:rPr>
      </w:pPr>
    </w:p>
    <w:p>
      <w:pPr>
        <w:spacing w:line="540" w:lineRule="exact"/>
        <w:rPr>
          <w:rFonts w:hint="eastAsia" w:ascii="宋体" w:hAnsi="宋体" w:cs="宋体"/>
          <w:color w:val="000000"/>
        </w:rPr>
      </w:pPr>
    </w:p>
    <w:p>
      <w:pPr>
        <w:pStyle w:val="20"/>
        <w:rPr>
          <w:rFonts w:hint="eastAsia" w:hAnsi="宋体" w:cs="宋体"/>
          <w:color w:val="000000"/>
        </w:rPr>
      </w:pPr>
    </w:p>
    <w:p>
      <w:pPr>
        <w:pStyle w:val="20"/>
        <w:rPr>
          <w:rFonts w:hint="eastAsia" w:hAnsi="宋体" w:cs="宋体"/>
          <w:color w:val="000000"/>
        </w:rPr>
      </w:pPr>
    </w:p>
    <w:p>
      <w:pPr>
        <w:spacing w:line="540" w:lineRule="exact"/>
        <w:rPr>
          <w:rFonts w:hint="eastAsia" w:ascii="宋体" w:hAnsi="宋体" w:cs="宋体"/>
          <w:color w:val="000000"/>
        </w:rPr>
      </w:pPr>
    </w:p>
    <w:p>
      <w:pPr>
        <w:pStyle w:val="7"/>
        <w:keepNext w:val="0"/>
        <w:keepLines w:val="0"/>
        <w:jc w:val="both"/>
        <w:rPr>
          <w:rFonts w:hint="eastAsia" w:ascii="宋体" w:hAnsi="宋体" w:eastAsia="宋体" w:cs="宋体"/>
          <w:color w:val="000000"/>
        </w:rPr>
      </w:pPr>
      <w:bookmarkStart w:id="858" w:name="_Toc246997099"/>
      <w:bookmarkStart w:id="859" w:name="_Toc17288"/>
      <w:bookmarkStart w:id="860" w:name="_Toc152045788"/>
      <w:bookmarkStart w:id="861" w:name="_Toc21979"/>
      <w:bookmarkStart w:id="862" w:name="_Toc247085874"/>
      <w:bookmarkStart w:id="863" w:name="_Toc453756954"/>
      <w:bookmarkStart w:id="864" w:name="_Toc22019"/>
      <w:bookmarkStart w:id="865" w:name="_Toc7376"/>
      <w:bookmarkStart w:id="866" w:name="_Toc246996356"/>
      <w:bookmarkStart w:id="867" w:name="_Toc179632808"/>
      <w:bookmarkStart w:id="868" w:name="_Toc144974857"/>
      <w:bookmarkStart w:id="869" w:name="_Toc3591"/>
      <w:bookmarkStart w:id="870" w:name="_Toc152042577"/>
    </w:p>
    <w:p>
      <w:pPr>
        <w:pStyle w:val="7"/>
        <w:keepNext w:val="0"/>
        <w:keepLines w:val="0"/>
        <w:jc w:val="center"/>
        <w:rPr>
          <w:rFonts w:hint="eastAsia" w:ascii="宋体" w:hAnsi="宋体" w:eastAsia="宋体" w:cs="宋体"/>
          <w:color w:val="000000"/>
        </w:rPr>
      </w:pPr>
      <w:r>
        <w:rPr>
          <w:rFonts w:hint="eastAsia" w:ascii="宋体" w:hAnsi="宋体" w:eastAsia="宋体" w:cs="宋体"/>
          <w:color w:val="000000"/>
        </w:rPr>
        <w:t>一、投标函及投标函附录</w:t>
      </w:r>
      <w:bookmarkEnd w:id="858"/>
      <w:bookmarkEnd w:id="859"/>
      <w:bookmarkEnd w:id="860"/>
      <w:bookmarkEnd w:id="861"/>
      <w:bookmarkEnd w:id="862"/>
      <w:bookmarkEnd w:id="863"/>
      <w:bookmarkEnd w:id="864"/>
      <w:bookmarkEnd w:id="865"/>
      <w:bookmarkEnd w:id="866"/>
      <w:bookmarkEnd w:id="867"/>
      <w:bookmarkEnd w:id="868"/>
      <w:bookmarkEnd w:id="869"/>
      <w:bookmarkEnd w:id="870"/>
    </w:p>
    <w:p>
      <w:pPr>
        <w:pStyle w:val="8"/>
        <w:keepNext w:val="0"/>
        <w:keepLines w:val="0"/>
        <w:jc w:val="center"/>
        <w:rPr>
          <w:rFonts w:hint="eastAsia" w:ascii="宋体" w:hAnsi="宋体" w:cs="宋体"/>
          <w:color w:val="000000"/>
          <w:sz w:val="24"/>
          <w:szCs w:val="24"/>
        </w:rPr>
      </w:pPr>
      <w:bookmarkStart w:id="871" w:name="_Toc25692"/>
      <w:bookmarkStart w:id="872" w:name="_Toc29352"/>
      <w:bookmarkStart w:id="873" w:name="_Toc152045789"/>
      <w:bookmarkStart w:id="874" w:name="_Toc246997100"/>
      <w:bookmarkStart w:id="875" w:name="_Toc247085875"/>
      <w:bookmarkStart w:id="876" w:name="_Toc179632809"/>
      <w:bookmarkStart w:id="877" w:name="_Toc152042578"/>
      <w:bookmarkStart w:id="878" w:name="_Toc3888"/>
      <w:bookmarkStart w:id="879" w:name="_Toc21749"/>
      <w:bookmarkStart w:id="880" w:name="_Toc246996357"/>
      <w:bookmarkStart w:id="881" w:name="_Toc453756955"/>
      <w:bookmarkStart w:id="882" w:name="_Toc144974858"/>
      <w:r>
        <w:rPr>
          <w:rFonts w:hint="eastAsia" w:ascii="宋体" w:hAnsi="宋体" w:cs="宋体"/>
          <w:color w:val="000000"/>
          <w:sz w:val="24"/>
          <w:szCs w:val="24"/>
        </w:rPr>
        <w:t>（一）投标函</w:t>
      </w:r>
      <w:bookmarkEnd w:id="871"/>
      <w:bookmarkEnd w:id="872"/>
      <w:bookmarkEnd w:id="873"/>
      <w:bookmarkEnd w:id="874"/>
      <w:bookmarkEnd w:id="875"/>
      <w:bookmarkEnd w:id="876"/>
      <w:bookmarkEnd w:id="877"/>
      <w:bookmarkEnd w:id="878"/>
      <w:bookmarkEnd w:id="879"/>
      <w:bookmarkEnd w:id="880"/>
      <w:bookmarkEnd w:id="881"/>
      <w:bookmarkEnd w:id="882"/>
    </w:p>
    <w:p>
      <w:pPr>
        <w:spacing w:line="300" w:lineRule="auto"/>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spacing w:line="300" w:lineRule="auto"/>
        <w:ind w:firstLine="420" w:firstLineChars="200"/>
        <w:rPr>
          <w:rFonts w:hint="eastAsia" w:ascii="宋体" w:hAnsi="宋体" w:cs="宋体"/>
          <w:color w:val="000000"/>
          <w:szCs w:val="21"/>
        </w:rPr>
      </w:pPr>
    </w:p>
    <w:p>
      <w:pPr>
        <w:spacing w:line="300" w:lineRule="auto"/>
        <w:ind w:firstLine="420" w:firstLineChars="200"/>
        <w:rPr>
          <w:rFonts w:hint="eastAsia" w:ascii="宋体" w:hAnsi="宋体" w:cs="宋体"/>
          <w:color w:val="000000"/>
          <w:szCs w:val="21"/>
        </w:rPr>
      </w:pPr>
      <w:r>
        <w:rPr>
          <w:rFonts w:hint="eastAsia" w:ascii="宋体" w:hAnsi="宋体" w:cs="宋体"/>
          <w:color w:val="000000"/>
          <w:szCs w:val="21"/>
        </w:rPr>
        <w:t>1.我方已全面阅读和研究贵方的招标编号为</w:t>
      </w:r>
      <w:r>
        <w:rPr>
          <w:rFonts w:hint="eastAsia" w:ascii="宋体" w:hAnsi="宋体" w:cs="宋体"/>
          <w:color w:val="000000"/>
          <w:szCs w:val="21"/>
          <w:u w:val="single"/>
        </w:rPr>
        <w:t xml:space="preserve">      </w:t>
      </w:r>
      <w:r>
        <w:rPr>
          <w:rFonts w:hint="eastAsia" w:ascii="宋体" w:hAnsi="宋体" w:cs="宋体"/>
          <w:color w:val="000000"/>
          <w:szCs w:val="21"/>
        </w:rPr>
        <w:t>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项目</w:t>
      </w:r>
      <w:r>
        <w:rPr>
          <w:rFonts w:hint="eastAsia" w:ascii="宋体" w:hAnsi="宋体" w:cs="宋体"/>
          <w:color w:val="000000"/>
          <w:szCs w:val="21"/>
          <w:u w:val="single"/>
        </w:rPr>
        <w:t>名称）</w:t>
      </w:r>
      <w:r>
        <w:rPr>
          <w:rFonts w:hint="eastAsia" w:ascii="宋体" w:hAnsi="宋体" w:cs="宋体"/>
          <w:color w:val="000000"/>
          <w:szCs w:val="21"/>
        </w:rPr>
        <w:t>招标文件和招标补充文件，并已充分理解并掌握了本项目招标的全部有关情况。同意接受招标文件的全部内容和条件，并按此确定本项目投标的全部内容，以本投标函向你方发包的全部内容进行投标。投标报价（含税价）为人民币大写：</w:t>
      </w:r>
      <w:r>
        <w:rPr>
          <w:rFonts w:hint="eastAsia" w:ascii="宋体" w:hAnsi="宋体" w:cs="宋体"/>
          <w:color w:val="000000"/>
          <w:szCs w:val="21"/>
          <w:u w:val="single"/>
        </w:rPr>
        <w:t xml:space="preserve">        </w:t>
      </w:r>
      <w:r>
        <w:rPr>
          <w:rFonts w:hint="eastAsia" w:ascii="宋体" w:hAnsi="宋体" w:cs="宋体"/>
          <w:color w:val="000000"/>
          <w:szCs w:val="21"/>
        </w:rPr>
        <w:t>元（小写：</w:t>
      </w:r>
      <w:r>
        <w:rPr>
          <w:rFonts w:hint="eastAsia" w:ascii="宋体" w:hAnsi="宋体" w:cs="Courier New"/>
          <w:szCs w:val="21"/>
          <w:u w:val="single"/>
        </w:rPr>
        <w:t xml:space="preserve">       </w:t>
      </w:r>
      <w:r>
        <w:rPr>
          <w:rFonts w:hint="eastAsia" w:ascii="宋体" w:hAnsi="宋体" w:cs="宋体"/>
          <w:color w:val="000000"/>
          <w:szCs w:val="21"/>
        </w:rPr>
        <w:t>元），合同履行期限</w:t>
      </w:r>
      <w:r>
        <w:rPr>
          <w:rFonts w:hint="eastAsia" w:ascii="宋体" w:hAnsi="宋体" w:cs="宋体"/>
          <w:color w:val="000000"/>
          <w:szCs w:val="21"/>
          <w:u w:val="single"/>
        </w:rPr>
        <w:t xml:space="preserve">          </w:t>
      </w:r>
      <w:r>
        <w:rPr>
          <w:rFonts w:hint="eastAsia" w:ascii="宋体" w:hAnsi="宋体" w:cs="宋体"/>
          <w:color w:val="000000"/>
          <w:szCs w:val="21"/>
        </w:rPr>
        <w:t>，按合同约定实施和完成承包项目，</w:t>
      </w:r>
      <w:r>
        <w:rPr>
          <w:rFonts w:hint="eastAsia" w:ascii="宋体" w:hAnsi="宋体" w:cs="宋体"/>
          <w:color w:val="000000"/>
          <w:szCs w:val="21"/>
          <w:lang w:eastAsia="zh-CN"/>
        </w:rPr>
        <w:t>服务</w:t>
      </w:r>
      <w:r>
        <w:rPr>
          <w:rFonts w:hint="eastAsia" w:ascii="宋体" w:hAnsi="宋体" w:cs="宋体"/>
          <w:color w:val="000000"/>
          <w:szCs w:val="21"/>
        </w:rPr>
        <w:t>标准为</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00" w:lineRule="auto"/>
        <w:ind w:firstLine="420" w:firstLineChars="200"/>
        <w:rPr>
          <w:rFonts w:hint="eastAsia" w:ascii="宋体" w:hAnsi="宋体" w:cs="宋体"/>
          <w:color w:val="000000"/>
          <w:szCs w:val="21"/>
        </w:rPr>
      </w:pPr>
      <w:r>
        <w:rPr>
          <w:rFonts w:hint="eastAsia" w:ascii="宋体" w:hAnsi="宋体" w:cs="宋体"/>
          <w:color w:val="000000"/>
          <w:szCs w:val="21"/>
        </w:rPr>
        <w:t>2．我方承诺在招标文件规定的投标有效期内不修改、撤销投标文件。</w:t>
      </w:r>
    </w:p>
    <w:p>
      <w:pPr>
        <w:spacing w:line="300" w:lineRule="auto"/>
        <w:ind w:firstLine="420" w:firstLineChars="200"/>
        <w:rPr>
          <w:rFonts w:hint="eastAsia" w:ascii="宋体" w:hAnsi="宋体" w:cs="宋体"/>
          <w:color w:val="000000"/>
          <w:szCs w:val="21"/>
        </w:rPr>
      </w:pPr>
      <w:r>
        <w:rPr>
          <w:rFonts w:hint="eastAsia" w:ascii="宋体" w:hAnsi="宋体" w:cs="宋体"/>
          <w:color w:val="000000"/>
          <w:szCs w:val="21"/>
        </w:rPr>
        <w:t>3．如我方中标：</w:t>
      </w:r>
    </w:p>
    <w:p>
      <w:pPr>
        <w:spacing w:line="300" w:lineRule="auto"/>
        <w:ind w:firstLine="718" w:firstLineChars="342"/>
        <w:rPr>
          <w:rFonts w:hint="eastAsia" w:ascii="宋体" w:hAnsi="宋体" w:cs="宋体"/>
          <w:color w:val="000000"/>
          <w:szCs w:val="21"/>
        </w:rPr>
      </w:pPr>
      <w:r>
        <w:rPr>
          <w:rFonts w:hint="eastAsia" w:ascii="宋体" w:hAnsi="宋体" w:cs="宋体"/>
          <w:color w:val="000000"/>
          <w:szCs w:val="21"/>
        </w:rPr>
        <w:t>（1）我方承诺在收到中标通知书后，在中标通知书规定的期限内与你方签订合同。</w:t>
      </w:r>
    </w:p>
    <w:p>
      <w:pPr>
        <w:spacing w:line="300" w:lineRule="auto"/>
        <w:ind w:firstLine="718" w:firstLineChars="342"/>
        <w:rPr>
          <w:rFonts w:hint="eastAsia" w:ascii="宋体" w:hAnsi="宋体" w:cs="宋体"/>
          <w:color w:val="000000"/>
          <w:szCs w:val="21"/>
        </w:rPr>
      </w:pPr>
      <w:r>
        <w:rPr>
          <w:rFonts w:hint="eastAsia" w:ascii="宋体" w:hAnsi="宋体" w:cs="宋体"/>
          <w:color w:val="000000"/>
          <w:szCs w:val="21"/>
        </w:rPr>
        <w:t>（2）随同本投标函递交的投标函附录属于合同文件的组成部分。</w:t>
      </w:r>
    </w:p>
    <w:p>
      <w:pPr>
        <w:spacing w:line="300" w:lineRule="auto"/>
        <w:ind w:firstLine="718" w:firstLineChars="342"/>
        <w:rPr>
          <w:rFonts w:hint="eastAsia" w:ascii="宋体" w:hAnsi="宋体" w:cs="宋体"/>
          <w:color w:val="000000"/>
          <w:szCs w:val="21"/>
        </w:rPr>
      </w:pPr>
      <w:r>
        <w:rPr>
          <w:rFonts w:hint="eastAsia" w:ascii="宋体" w:hAnsi="宋体" w:cs="宋体"/>
          <w:color w:val="000000"/>
          <w:szCs w:val="21"/>
        </w:rPr>
        <w:t>（3）我方承诺在合同约定的期限内完成并移交全部合同项目。</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u w:val="single"/>
        </w:rPr>
        <w:t xml:space="preserve">                                       </w:t>
      </w:r>
      <w:r>
        <w:rPr>
          <w:rFonts w:hint="eastAsia" w:ascii="宋体" w:hAnsi="宋体" w:cs="宋体"/>
          <w:color w:val="000000"/>
          <w:szCs w:val="21"/>
        </w:rPr>
        <w:t>（其他补充说明）。</w:t>
      </w:r>
    </w:p>
    <w:p>
      <w:pPr>
        <w:spacing w:line="440" w:lineRule="exact"/>
        <w:rPr>
          <w:rFonts w:hint="eastAsia" w:ascii="宋体" w:hAnsi="宋体" w:cs="宋体"/>
          <w:color w:val="000000"/>
          <w:szCs w:val="21"/>
        </w:rPr>
      </w:pPr>
    </w:p>
    <w:p>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投 标 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网址：</w:t>
      </w:r>
      <w:r>
        <w:rPr>
          <w:rFonts w:hint="eastAsia" w:ascii="宋体" w:hAnsi="宋体" w:cs="宋体"/>
          <w:color w:val="000000"/>
          <w:szCs w:val="21"/>
          <w:u w:val="single"/>
        </w:rPr>
        <w:t xml:space="preserve">                                     </w:t>
      </w:r>
    </w:p>
    <w:p>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p>
    <w:p>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传真：</w:t>
      </w:r>
      <w:r>
        <w:rPr>
          <w:rFonts w:hint="eastAsia" w:ascii="宋体" w:hAnsi="宋体" w:cs="宋体"/>
          <w:color w:val="000000"/>
          <w:szCs w:val="21"/>
          <w:u w:val="single"/>
        </w:rPr>
        <w:t xml:space="preserve">                                     </w:t>
      </w:r>
    </w:p>
    <w:p>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pPr>
        <w:spacing w:line="440" w:lineRule="exact"/>
        <w:ind w:firstLine="5040" w:firstLineChars="240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rPr>
          <w:rFonts w:hint="eastAsia" w:ascii="宋体" w:hAnsi="宋体" w:cs="宋体"/>
          <w:color w:val="000000"/>
          <w:szCs w:val="21"/>
        </w:rPr>
      </w:pPr>
    </w:p>
    <w:p>
      <w:pPr>
        <w:pStyle w:val="20"/>
        <w:rPr>
          <w:rFonts w:hint="eastAsia" w:hAnsi="宋体" w:cs="宋体"/>
          <w:color w:val="000000"/>
          <w:szCs w:val="21"/>
        </w:rPr>
      </w:pPr>
    </w:p>
    <w:p>
      <w:pPr>
        <w:pStyle w:val="20"/>
        <w:rPr>
          <w:rFonts w:hint="eastAsia" w:hAnsi="宋体" w:cs="宋体"/>
          <w:color w:val="000000"/>
          <w:szCs w:val="21"/>
        </w:rPr>
      </w:pPr>
    </w:p>
    <w:p>
      <w:pPr>
        <w:pStyle w:val="20"/>
        <w:rPr>
          <w:rFonts w:hint="eastAsia" w:hAnsi="宋体" w:cs="宋体"/>
          <w:color w:val="000000"/>
          <w:szCs w:val="21"/>
        </w:rPr>
      </w:pPr>
    </w:p>
    <w:p>
      <w:pPr>
        <w:pStyle w:val="20"/>
        <w:rPr>
          <w:rFonts w:hint="eastAsia" w:hAnsi="宋体" w:cs="宋体"/>
          <w:color w:val="000000"/>
          <w:szCs w:val="21"/>
        </w:rPr>
      </w:pPr>
    </w:p>
    <w:p>
      <w:pPr>
        <w:pStyle w:val="55"/>
        <w:rPr>
          <w:rFonts w:hint="eastAsia" w:hAnsi="宋体"/>
        </w:rPr>
      </w:pPr>
    </w:p>
    <w:p>
      <w:pPr>
        <w:pStyle w:val="26"/>
        <w:rPr>
          <w:rFonts w:hint="eastAsia" w:ascii="宋体" w:hAnsi="宋体" w:cs="宋体"/>
          <w:color w:val="000000"/>
        </w:rPr>
      </w:pPr>
    </w:p>
    <w:p>
      <w:pPr>
        <w:rPr>
          <w:rFonts w:hint="eastAsia" w:ascii="宋体" w:hAnsi="宋体" w:cs="宋体"/>
          <w:color w:val="000000"/>
        </w:rPr>
      </w:pPr>
    </w:p>
    <w:p>
      <w:pPr>
        <w:pStyle w:val="20"/>
        <w:rPr>
          <w:rFonts w:hint="eastAsia" w:hAnsi="宋体" w:cs="宋体"/>
          <w:color w:val="000000"/>
        </w:rPr>
      </w:pPr>
    </w:p>
    <w:p>
      <w:pPr>
        <w:pStyle w:val="7"/>
        <w:keepNext w:val="0"/>
        <w:keepLines w:val="0"/>
        <w:jc w:val="center"/>
        <w:rPr>
          <w:rFonts w:hint="eastAsia" w:ascii="宋体" w:hAnsi="宋体" w:eastAsia="宋体" w:cs="宋体"/>
          <w:color w:val="000000"/>
        </w:rPr>
      </w:pPr>
      <w:bookmarkStart w:id="883" w:name="_Toc152045791"/>
      <w:bookmarkStart w:id="884" w:name="_Toc179632811"/>
      <w:bookmarkStart w:id="885" w:name="_Toc246996359"/>
      <w:bookmarkStart w:id="886" w:name="_Toc152042580"/>
      <w:bookmarkStart w:id="887" w:name="_Toc144974860"/>
      <w:bookmarkStart w:id="888" w:name="_Toc20626"/>
      <w:bookmarkStart w:id="889" w:name="_Toc17270"/>
      <w:bookmarkStart w:id="890" w:name="_Toc246997102"/>
      <w:bookmarkStart w:id="891" w:name="_Toc453756957"/>
      <w:bookmarkStart w:id="892" w:name="_Toc30535"/>
      <w:bookmarkStart w:id="893" w:name="_Toc247085877"/>
      <w:bookmarkStart w:id="894" w:name="_Toc9087"/>
      <w:bookmarkStart w:id="895" w:name="_Toc21247"/>
      <w:r>
        <w:rPr>
          <w:rFonts w:hint="eastAsia" w:ascii="宋体" w:hAnsi="宋体" w:eastAsia="宋体" w:cs="宋体"/>
          <w:color w:val="000000"/>
        </w:rPr>
        <w:t>二、法定代表人身份证明</w:t>
      </w:r>
      <w:bookmarkEnd w:id="883"/>
      <w:bookmarkEnd w:id="884"/>
      <w:bookmarkEnd w:id="885"/>
      <w:bookmarkEnd w:id="886"/>
      <w:bookmarkEnd w:id="887"/>
      <w:bookmarkEnd w:id="888"/>
      <w:bookmarkEnd w:id="889"/>
      <w:bookmarkEnd w:id="890"/>
      <w:bookmarkEnd w:id="891"/>
      <w:bookmarkEnd w:id="892"/>
      <w:bookmarkEnd w:id="893"/>
      <w:bookmarkEnd w:id="894"/>
      <w:bookmarkEnd w:id="895"/>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r>
        <w:rPr>
          <w:rFonts w:hint="eastAsia" w:ascii="宋体" w:hAnsi="宋体" w:cs="宋体"/>
          <w:color w:val="000000"/>
          <w:szCs w:val="21"/>
        </w:rPr>
        <w:t>投标人名称：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40" w:lineRule="exact"/>
        <w:rPr>
          <w:rFonts w:hint="eastAsia"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40" w:lineRule="exact"/>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40" w:lineRule="exact"/>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rPr>
          <w:rFonts w:hint="eastAsia"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spacing w:line="440" w:lineRule="exact"/>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440" w:lineRule="exact"/>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 （投标人名称）的法定代表人。</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特此证明。</w:t>
      </w: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pStyle w:val="55"/>
        <w:rPr>
          <w:rFonts w:hint="eastAsia" w:ascii="宋体" w:hAnsi="宋体" w:cs="宋体"/>
          <w:color w:val="000000"/>
          <w:sz w:val="20"/>
          <w:szCs w:val="20"/>
        </w:rPr>
      </w:pPr>
    </w:p>
    <w:p>
      <w:pPr>
        <w:pStyle w:val="26"/>
        <w:rPr>
          <w:rFonts w:hint="eastAsia" w:ascii="宋体" w:hAnsi="宋体" w:cs="宋体"/>
          <w:color w:val="000000"/>
          <w:sz w:val="20"/>
          <w:szCs w:val="20"/>
        </w:rPr>
      </w:pPr>
    </w:p>
    <w:p>
      <w:pPr>
        <w:rPr>
          <w:rFonts w:hint="eastAsia"/>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pStyle w:val="7"/>
        <w:keepNext w:val="0"/>
        <w:keepLines w:val="0"/>
        <w:jc w:val="center"/>
        <w:rPr>
          <w:rFonts w:hint="eastAsia" w:ascii="宋体" w:hAnsi="宋体" w:eastAsia="宋体" w:cs="宋体"/>
          <w:color w:val="000000"/>
        </w:rPr>
      </w:pPr>
      <w:bookmarkStart w:id="896" w:name="_Toc18992"/>
      <w:bookmarkStart w:id="897" w:name="_Toc28861"/>
      <w:bookmarkStart w:id="898" w:name="_Toc144974861"/>
      <w:bookmarkStart w:id="899" w:name="_Toc26348"/>
      <w:bookmarkStart w:id="900" w:name="_Toc27559"/>
      <w:bookmarkStart w:id="901" w:name="_Toc453756958"/>
      <w:bookmarkStart w:id="902" w:name="_Toc179632812"/>
      <w:bookmarkStart w:id="903" w:name="_Toc246996360"/>
      <w:bookmarkStart w:id="904" w:name="_Toc152042581"/>
      <w:bookmarkStart w:id="905" w:name="_Toc247085878"/>
      <w:bookmarkStart w:id="906" w:name="_Toc15638"/>
      <w:bookmarkStart w:id="907" w:name="_Toc246997103"/>
      <w:bookmarkStart w:id="908" w:name="_Toc152045792"/>
      <w:r>
        <w:rPr>
          <w:rFonts w:hint="eastAsia" w:ascii="宋体" w:hAnsi="宋体" w:eastAsia="宋体" w:cs="宋体"/>
          <w:color w:val="000000"/>
        </w:rPr>
        <w:t>三、授权委托书</w:t>
      </w:r>
      <w:bookmarkEnd w:id="896"/>
      <w:bookmarkEnd w:id="897"/>
      <w:bookmarkEnd w:id="898"/>
      <w:bookmarkEnd w:id="899"/>
      <w:bookmarkEnd w:id="900"/>
      <w:bookmarkEnd w:id="901"/>
      <w:bookmarkEnd w:id="902"/>
      <w:bookmarkEnd w:id="903"/>
      <w:bookmarkEnd w:id="904"/>
      <w:bookmarkEnd w:id="905"/>
      <w:bookmarkEnd w:id="906"/>
      <w:bookmarkEnd w:id="907"/>
      <w:bookmarkEnd w:id="908"/>
    </w:p>
    <w:p>
      <w:pPr>
        <w:spacing w:line="440" w:lineRule="exact"/>
        <w:rPr>
          <w:rFonts w:hint="eastAsia" w:ascii="宋体" w:hAnsi="宋体" w:cs="宋体"/>
          <w:color w:val="000000"/>
          <w:szCs w:val="21"/>
        </w:rPr>
      </w:pPr>
    </w:p>
    <w:p>
      <w:pPr>
        <w:topLinePunct/>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（姓名）为我方代理人。代理人根据授权，以我方名义签署、澄清、说明、补正、递交、撤回、修改</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lang w:eastAsia="zh-CN"/>
        </w:rPr>
        <w:t>项目</w:t>
      </w:r>
      <w:r>
        <w:rPr>
          <w:rFonts w:hint="eastAsia" w:ascii="宋体" w:hAnsi="宋体" w:cs="宋体"/>
          <w:color w:val="000000"/>
          <w:szCs w:val="21"/>
        </w:rPr>
        <w:t>名称）投标文件、签订合同和处理有关事宜，其法律后果由我方承担。</w:t>
      </w:r>
    </w:p>
    <w:p>
      <w:pPr>
        <w:spacing w:line="440" w:lineRule="exact"/>
        <w:rPr>
          <w:rFonts w:hint="eastAsia" w:ascii="宋体" w:hAnsi="宋体" w:cs="宋体"/>
          <w:color w:val="000000"/>
          <w:szCs w:val="21"/>
        </w:rPr>
      </w:pPr>
      <w:r>
        <w:rPr>
          <w:rFonts w:hint="eastAsia" w:ascii="宋体" w:hAnsi="宋体" w:cs="宋体"/>
          <w:color w:val="000000"/>
          <w:szCs w:val="21"/>
        </w:rPr>
        <w:t xml:space="preserve">    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代理人无转委托权。</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附：法定代表人及委托代理人身份正反面复印件</w:t>
      </w: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w:t>
      </w:r>
      <w:r>
        <w:rPr>
          <w:rFonts w:hint="eastAsia" w:ascii="宋体" w:hAnsi="宋体" w:cs="宋体"/>
          <w:color w:val="000000"/>
          <w:szCs w:val="21"/>
        </w:rPr>
        <w:t>（签字</w:t>
      </w:r>
      <w:r>
        <w:rPr>
          <w:rFonts w:hint="eastAsia" w:ascii="宋体" w:hAnsi="宋体" w:cs="宋体"/>
          <w:color w:val="000000"/>
          <w:szCs w:val="21"/>
          <w:lang w:eastAsia="zh-CN"/>
        </w:rPr>
        <w:t>或盖章</w:t>
      </w:r>
      <w:r>
        <w:rPr>
          <w:rFonts w:hint="eastAsia" w:ascii="宋体" w:hAnsi="宋体" w:cs="宋体"/>
          <w:color w:val="000000"/>
          <w:szCs w:val="21"/>
        </w:rPr>
        <w:t>）</w:t>
      </w: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r>
        <w:rPr>
          <w:rFonts w:hint="eastAsia" w:ascii="宋体" w:hAnsi="宋体" w:cs="宋体"/>
          <w:color w:val="000000"/>
          <w:szCs w:val="21"/>
          <w:lang w:eastAsia="zh-CN"/>
        </w:rPr>
        <w:t>或盖章</w:t>
      </w:r>
      <w:r>
        <w:rPr>
          <w:rFonts w:hint="eastAsia" w:ascii="宋体" w:hAnsi="宋体" w:cs="宋体"/>
          <w:color w:val="000000"/>
          <w:szCs w:val="21"/>
        </w:rPr>
        <w:t xml:space="preserve">） </w:t>
      </w: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pPr>
        <w:spacing w:line="440" w:lineRule="exact"/>
        <w:rPr>
          <w:rFonts w:hint="eastAsia" w:ascii="宋体" w:hAnsi="宋体" w:cs="宋体"/>
          <w:color w:val="000000"/>
          <w:szCs w:val="21"/>
        </w:rPr>
      </w:pPr>
    </w:p>
    <w:p>
      <w:pPr>
        <w:spacing w:line="440" w:lineRule="exact"/>
        <w:rPr>
          <w:rFonts w:hint="eastAsia" w:ascii="宋体" w:hAnsi="宋体" w:cs="宋体"/>
          <w:color w:val="000000"/>
          <w:szCs w:val="21"/>
        </w:rPr>
      </w:pPr>
    </w:p>
    <w:p>
      <w:pPr>
        <w:spacing w:line="440" w:lineRule="exact"/>
        <w:ind w:firstLine="2310" w:firstLineChars="110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00" w:lineRule="exact"/>
        <w:rPr>
          <w:rFonts w:hint="eastAsia" w:ascii="宋体" w:hAnsi="宋体" w:eastAsia="宋体" w:cs="宋体"/>
          <w:color w:val="000000"/>
          <w:lang w:eastAsia="zh-CN"/>
        </w:rPr>
      </w:pPr>
      <w:r>
        <w:rPr>
          <w:rFonts w:hint="eastAsia" w:ascii="宋体" w:hAnsi="宋体" w:cs="宋体"/>
          <w:color w:val="000000"/>
          <w:sz w:val="20"/>
          <w:szCs w:val="20"/>
        </w:rPr>
        <w:br w:type="page"/>
      </w:r>
      <w:bookmarkStart w:id="909" w:name="_Toc453756960"/>
      <w:bookmarkStart w:id="910" w:name="_Toc428007706"/>
      <w:bookmarkStart w:id="911" w:name="_Toc414891993"/>
      <w:bookmarkStart w:id="912" w:name="_Toc418712182"/>
      <w:bookmarkStart w:id="913" w:name="_Toc8336"/>
      <w:bookmarkStart w:id="914" w:name="_Toc10075"/>
      <w:bookmarkStart w:id="915" w:name="_Toc13576"/>
      <w:bookmarkStart w:id="916" w:name="_Toc32636"/>
      <w:bookmarkStart w:id="917" w:name="_Toc4045"/>
      <w:bookmarkStart w:id="918" w:name="_Toc152042584"/>
      <w:bookmarkStart w:id="919" w:name="_Toc246997106"/>
      <w:bookmarkStart w:id="920" w:name="_Toc247085881"/>
      <w:bookmarkStart w:id="921" w:name="_Toc179632815"/>
      <w:bookmarkStart w:id="922" w:name="_Toc246996363"/>
      <w:bookmarkStart w:id="923" w:name="_Toc144974863"/>
      <w:bookmarkStart w:id="924" w:name="_Toc152045795"/>
    </w:p>
    <w:p>
      <w:pPr>
        <w:pStyle w:val="8"/>
        <w:widowControl/>
        <w:numPr>
          <w:ilvl w:val="2"/>
          <w:numId w:val="0"/>
        </w:numPr>
        <w:tabs>
          <w:tab w:val="left" w:pos="720"/>
        </w:tabs>
        <w:spacing w:before="120" w:after="120" w:line="360" w:lineRule="auto"/>
        <w:ind w:left="720" w:hanging="720"/>
        <w:jc w:val="center"/>
        <w:rPr>
          <w:rFonts w:hint="eastAsia" w:ascii="宋体" w:hAnsi="宋体" w:eastAsia="宋体" w:cs="宋体"/>
          <w:color w:val="000000"/>
          <w:lang w:eastAsia="zh-CN"/>
        </w:rPr>
      </w:pPr>
      <w:r>
        <w:rPr>
          <w:rFonts w:hint="eastAsia" w:ascii="宋体" w:hAnsi="宋体" w:eastAsia="宋体" w:cs="宋体"/>
          <w:color w:val="000000"/>
          <w:lang w:eastAsia="zh-CN"/>
        </w:rPr>
        <w:t>四、投标保证金</w:t>
      </w:r>
    </w:p>
    <w:p>
      <w:pPr>
        <w:autoSpaceDE w:val="0"/>
        <w:autoSpaceDN w:val="0"/>
        <w:adjustRightInd w:val="0"/>
        <w:spacing w:line="400" w:lineRule="exact"/>
        <w:jc w:val="left"/>
        <w:rPr>
          <w:rFonts w:ascii="宋体" w:cs="宋体"/>
          <w:szCs w:val="18"/>
          <w:u w:val="single"/>
          <w:lang w:val="zh-CN"/>
        </w:rPr>
      </w:pPr>
    </w:p>
    <w:p>
      <w:pPr>
        <w:autoSpaceDE w:val="0"/>
        <w:autoSpaceDN w:val="0"/>
        <w:adjustRightInd w:val="0"/>
        <w:spacing w:line="360" w:lineRule="auto"/>
        <w:jc w:val="left"/>
        <w:rPr>
          <w:rFonts w:ascii="宋体" w:cs="宋体"/>
          <w:b w:val="0"/>
          <w:sz w:val="21"/>
          <w:szCs w:val="21"/>
          <w:lang w:val="zh-CN"/>
        </w:rPr>
      </w:pPr>
      <w:r>
        <w:rPr>
          <w:rFonts w:hint="eastAsia" w:ascii="宋体" w:hAnsi="宋体" w:cs="宋体"/>
          <w:b w:val="0"/>
          <w:sz w:val="21"/>
          <w:szCs w:val="21"/>
          <w:lang w:val="zh-CN"/>
        </w:rPr>
        <w:t>致</w:t>
      </w:r>
      <w:r>
        <w:rPr>
          <w:rFonts w:ascii="宋体" w:hAnsi="宋体" w:cs="宋体"/>
          <w:b w:val="0"/>
          <w:sz w:val="21"/>
          <w:szCs w:val="21"/>
          <w:u w:val="single"/>
          <w:lang w:val="zh-CN"/>
        </w:rPr>
        <w:t xml:space="preserve">                </w:t>
      </w:r>
      <w:r>
        <w:rPr>
          <w:rFonts w:hint="eastAsia" w:ascii="宋体" w:hAnsi="宋体" w:cs="宋体"/>
          <w:b w:val="0"/>
          <w:sz w:val="21"/>
          <w:szCs w:val="21"/>
          <w:lang w:val="zh-CN"/>
        </w:rPr>
        <w:t>（招标代理机构名称）：</w:t>
      </w:r>
    </w:p>
    <w:p>
      <w:pPr>
        <w:autoSpaceDE w:val="0"/>
        <w:autoSpaceDN w:val="0"/>
        <w:adjustRightInd w:val="0"/>
        <w:spacing w:line="360" w:lineRule="auto"/>
        <w:jc w:val="left"/>
        <w:rPr>
          <w:rFonts w:ascii="宋体" w:cs="宋体"/>
          <w:b w:val="0"/>
          <w:sz w:val="21"/>
          <w:szCs w:val="21"/>
          <w:lang w:val="zh-CN"/>
        </w:rPr>
      </w:pPr>
    </w:p>
    <w:p>
      <w:pPr>
        <w:autoSpaceDE w:val="0"/>
        <w:autoSpaceDN w:val="0"/>
        <w:adjustRightInd w:val="0"/>
        <w:spacing w:line="360" w:lineRule="auto"/>
        <w:ind w:firstLine="601"/>
        <w:jc w:val="left"/>
        <w:rPr>
          <w:rFonts w:ascii="宋体" w:cs="宋体"/>
          <w:b w:val="0"/>
          <w:sz w:val="21"/>
          <w:szCs w:val="21"/>
          <w:lang w:val="zh-CN"/>
        </w:rPr>
      </w:pPr>
    </w:p>
    <w:tbl>
      <w:tblPr>
        <w:tblStyle w:val="44"/>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pPr>
              <w:spacing w:line="360" w:lineRule="auto"/>
              <w:jc w:val="left"/>
              <w:rPr>
                <w:rFonts w:ascii="宋体" w:cs="宋体"/>
                <w:bCs/>
                <w:sz w:val="21"/>
                <w:szCs w:val="21"/>
              </w:rPr>
            </w:pPr>
            <w:r>
              <w:rPr>
                <w:rFonts w:hint="eastAsia" w:ascii="宋体" w:cs="宋体"/>
                <w:bCs/>
                <w:sz w:val="21"/>
                <w:szCs w:val="21"/>
                <w:lang w:val="zh-CN"/>
              </w:rPr>
              <w:t>附：1.</w:t>
            </w:r>
            <w:r>
              <w:rPr>
                <w:rFonts w:hint="eastAsia" w:ascii="宋体" w:cs="宋体"/>
                <w:bCs/>
                <w:sz w:val="21"/>
                <w:szCs w:val="21"/>
                <w:lang w:val="en-US" w:eastAsia="zh-CN"/>
              </w:rPr>
              <w:t>附信用中国截图或银行账户转账凭证或保函</w:t>
            </w:r>
            <w:r>
              <w:rPr>
                <w:rFonts w:hint="eastAsia" w:ascii="宋体" w:cs="宋体"/>
                <w:bCs/>
                <w:sz w:val="21"/>
                <w:szCs w:val="21"/>
              </w:rPr>
              <w:t>。</w:t>
            </w:r>
          </w:p>
          <w:p>
            <w:pPr>
              <w:spacing w:line="360" w:lineRule="auto"/>
              <w:ind w:firstLine="420" w:firstLineChars="200"/>
              <w:jc w:val="left"/>
              <w:rPr>
                <w:rFonts w:ascii="宋体" w:cs="宋体"/>
                <w:b w:val="0"/>
                <w:sz w:val="21"/>
                <w:szCs w:val="21"/>
                <w:lang w:val="zh-CN"/>
              </w:rPr>
            </w:pPr>
            <w:r>
              <w:rPr>
                <w:rFonts w:hint="eastAsia" w:ascii="宋体" w:cs="宋体"/>
                <w:bCs/>
                <w:sz w:val="21"/>
                <w:szCs w:val="21"/>
                <w:lang w:val="zh-CN"/>
              </w:rPr>
              <w:t>2.投标人的银行基本账户开户许可证复印件。</w:t>
            </w:r>
          </w:p>
          <w:p>
            <w:pPr>
              <w:spacing w:line="360" w:lineRule="auto"/>
              <w:ind w:firstLine="420" w:firstLineChars="200"/>
              <w:jc w:val="left"/>
              <w:rPr>
                <w:rFonts w:hint="eastAsia" w:ascii="宋体" w:cs="宋体"/>
                <w:b w:val="0"/>
                <w:sz w:val="21"/>
                <w:szCs w:val="21"/>
                <w:lang w:val="zh-CN"/>
              </w:rPr>
            </w:pPr>
          </w:p>
          <w:p>
            <w:pPr>
              <w:spacing w:line="360" w:lineRule="auto"/>
              <w:jc w:val="left"/>
              <w:rPr>
                <w:rFonts w:ascii="宋体" w:cs="宋体"/>
                <w:b w:val="0"/>
                <w:sz w:val="21"/>
                <w:szCs w:val="21"/>
                <w:lang w:val="zh-CN"/>
              </w:rPr>
            </w:pPr>
          </w:p>
          <w:p>
            <w:pPr>
              <w:spacing w:line="360" w:lineRule="auto"/>
              <w:jc w:val="left"/>
              <w:rPr>
                <w:rFonts w:ascii="宋体" w:cs="宋体"/>
                <w:b w:val="0"/>
                <w:sz w:val="21"/>
                <w:szCs w:val="21"/>
                <w:lang w:val="zh-CN"/>
              </w:rPr>
            </w:pPr>
          </w:p>
          <w:p>
            <w:pPr>
              <w:spacing w:line="360" w:lineRule="auto"/>
              <w:jc w:val="left"/>
              <w:rPr>
                <w:rFonts w:ascii="宋体" w:cs="宋体"/>
                <w:b w:val="0"/>
                <w:sz w:val="21"/>
                <w:szCs w:val="21"/>
                <w:lang w:val="zh-CN"/>
              </w:rPr>
            </w:pPr>
          </w:p>
          <w:p>
            <w:pPr>
              <w:spacing w:line="360" w:lineRule="auto"/>
              <w:jc w:val="left"/>
              <w:rPr>
                <w:rFonts w:ascii="宋体" w:cs="宋体"/>
                <w:b w:val="0"/>
                <w:sz w:val="21"/>
                <w:szCs w:val="21"/>
                <w:lang w:val="zh-CN"/>
              </w:rPr>
            </w:pPr>
          </w:p>
          <w:p>
            <w:pPr>
              <w:spacing w:line="360" w:lineRule="auto"/>
              <w:jc w:val="left"/>
              <w:rPr>
                <w:rFonts w:ascii="宋体" w:cs="宋体"/>
                <w:b w:val="0"/>
                <w:sz w:val="21"/>
                <w:szCs w:val="21"/>
                <w:lang w:val="zh-CN"/>
              </w:rPr>
            </w:pPr>
          </w:p>
          <w:p>
            <w:pPr>
              <w:spacing w:line="360" w:lineRule="auto"/>
              <w:jc w:val="left"/>
              <w:rPr>
                <w:rFonts w:ascii="宋体" w:cs="宋体"/>
                <w:b w:val="0"/>
                <w:sz w:val="21"/>
                <w:szCs w:val="21"/>
                <w:lang w:val="zh-CN"/>
              </w:rPr>
            </w:pPr>
          </w:p>
          <w:p>
            <w:pPr>
              <w:spacing w:line="360" w:lineRule="auto"/>
              <w:jc w:val="left"/>
              <w:rPr>
                <w:rFonts w:ascii="宋体" w:cs="宋体"/>
                <w:b w:val="0"/>
                <w:sz w:val="21"/>
                <w:szCs w:val="21"/>
                <w:lang w:val="zh-CN"/>
              </w:rPr>
            </w:pPr>
          </w:p>
        </w:tc>
      </w:tr>
    </w:tbl>
    <w:p>
      <w:pPr>
        <w:autoSpaceDE w:val="0"/>
        <w:autoSpaceDN w:val="0"/>
        <w:adjustRightInd w:val="0"/>
        <w:spacing w:line="360" w:lineRule="auto"/>
        <w:ind w:firstLine="570"/>
        <w:jc w:val="left"/>
        <w:rPr>
          <w:rFonts w:ascii="宋体" w:cs="宋体"/>
          <w:b w:val="0"/>
          <w:sz w:val="21"/>
          <w:szCs w:val="21"/>
          <w:lang w:val="zh-CN"/>
        </w:rPr>
      </w:pPr>
      <w:r>
        <w:rPr>
          <w:rFonts w:ascii="宋体" w:hAnsi="宋体" w:cs="宋体"/>
          <w:b w:val="0"/>
          <w:sz w:val="21"/>
          <w:szCs w:val="21"/>
          <w:lang w:val="zh-CN"/>
        </w:rPr>
        <w:t xml:space="preserve">     </w:t>
      </w:r>
    </w:p>
    <w:p>
      <w:pPr>
        <w:autoSpaceDE w:val="0"/>
        <w:autoSpaceDN w:val="0"/>
        <w:adjustRightInd w:val="0"/>
        <w:spacing w:line="360" w:lineRule="auto"/>
        <w:ind w:firstLine="570"/>
        <w:jc w:val="left"/>
        <w:rPr>
          <w:rFonts w:ascii="宋体" w:cs="宋体"/>
          <w:b w:val="0"/>
          <w:sz w:val="21"/>
          <w:szCs w:val="21"/>
          <w:lang w:val="zh-CN"/>
        </w:rPr>
      </w:pPr>
    </w:p>
    <w:p>
      <w:pPr>
        <w:autoSpaceDE w:val="0"/>
        <w:autoSpaceDN w:val="0"/>
        <w:adjustRightInd w:val="0"/>
        <w:spacing w:line="360" w:lineRule="auto"/>
        <w:ind w:firstLine="570"/>
        <w:jc w:val="left"/>
        <w:rPr>
          <w:rFonts w:ascii="宋体" w:cs="宋体"/>
          <w:b w:val="0"/>
          <w:sz w:val="21"/>
          <w:szCs w:val="21"/>
          <w:lang w:val="zh-CN"/>
        </w:rPr>
      </w:pPr>
    </w:p>
    <w:p>
      <w:pPr>
        <w:autoSpaceDE w:val="0"/>
        <w:autoSpaceDN w:val="0"/>
        <w:adjustRightInd w:val="0"/>
        <w:spacing w:line="480" w:lineRule="auto"/>
        <w:ind w:firstLine="570"/>
        <w:jc w:val="left"/>
        <w:rPr>
          <w:rFonts w:ascii="宋体" w:cs="宋体"/>
          <w:sz w:val="21"/>
          <w:szCs w:val="21"/>
          <w:lang w:val="zh-CN"/>
        </w:rPr>
      </w:pPr>
      <w:r>
        <w:rPr>
          <w:rFonts w:hint="eastAsia" w:ascii="宋体" w:hAnsi="宋体" w:cs="宋体"/>
          <w:sz w:val="21"/>
          <w:szCs w:val="21"/>
          <w:lang w:val="zh-CN"/>
        </w:rPr>
        <w:t>投</w:t>
      </w:r>
      <w:r>
        <w:rPr>
          <w:rFonts w:ascii="宋体" w:hAnsi="宋体" w:cs="宋体"/>
          <w:sz w:val="21"/>
          <w:szCs w:val="21"/>
          <w:lang w:val="zh-CN"/>
        </w:rPr>
        <w:t xml:space="preserve">  </w:t>
      </w:r>
      <w:r>
        <w:rPr>
          <w:rFonts w:hint="eastAsia" w:ascii="宋体" w:hAnsi="宋体" w:cs="宋体"/>
          <w:sz w:val="21"/>
          <w:szCs w:val="21"/>
          <w:lang w:val="zh-CN"/>
        </w:rPr>
        <w:t>标</w:t>
      </w:r>
      <w:r>
        <w:rPr>
          <w:rFonts w:ascii="宋体" w:hAnsi="宋体" w:cs="宋体"/>
          <w:sz w:val="21"/>
          <w:szCs w:val="21"/>
          <w:lang w:val="zh-CN"/>
        </w:rPr>
        <w:t xml:space="preserve">  </w:t>
      </w:r>
      <w:r>
        <w:rPr>
          <w:rFonts w:hint="eastAsia" w:ascii="宋体" w:hAnsi="宋体" w:cs="宋体"/>
          <w:sz w:val="21"/>
          <w:szCs w:val="21"/>
          <w:lang w:val="zh-CN"/>
        </w:rPr>
        <w:t>人：</w:t>
      </w:r>
      <w:r>
        <w:rPr>
          <w:rFonts w:hint="eastAsia" w:ascii="宋体" w:hAnsi="宋体" w:cs="宋体"/>
          <w:sz w:val="21"/>
          <w:szCs w:val="21"/>
          <w:u w:val="single"/>
          <w:lang w:val="zh-CN"/>
        </w:rPr>
        <w:t>　　　　　　　</w:t>
      </w:r>
      <w:r>
        <w:rPr>
          <w:rFonts w:ascii="宋体" w:hAnsi="宋体" w:cs="宋体"/>
          <w:sz w:val="21"/>
          <w:szCs w:val="21"/>
          <w:u w:val="single"/>
          <w:lang w:val="zh-CN"/>
        </w:rPr>
        <w:t xml:space="preserve">        </w:t>
      </w:r>
      <w:r>
        <w:rPr>
          <w:rFonts w:hint="eastAsia" w:ascii="宋体" w:hAnsi="宋体" w:cs="宋体"/>
          <w:sz w:val="21"/>
          <w:szCs w:val="21"/>
          <w:u w:val="single"/>
          <w:lang w:val="zh-CN"/>
        </w:rPr>
        <w:t>　</w:t>
      </w:r>
      <w:r>
        <w:rPr>
          <w:rFonts w:hint="eastAsia" w:ascii="宋体" w:hAnsi="宋体" w:cs="宋体"/>
          <w:sz w:val="21"/>
          <w:szCs w:val="21"/>
          <w:lang w:val="zh-CN"/>
        </w:rPr>
        <w:t>（盖单位公章）</w:t>
      </w:r>
    </w:p>
    <w:p>
      <w:pPr>
        <w:spacing w:line="480" w:lineRule="auto"/>
        <w:ind w:firstLine="583" w:firstLineChars="278"/>
        <w:jc w:val="left"/>
        <w:rPr>
          <w:rFonts w:ascii="宋体" w:cs="宋体"/>
          <w:sz w:val="21"/>
          <w:szCs w:val="21"/>
          <w:lang w:val="zh-CN"/>
        </w:rPr>
      </w:pPr>
      <w:r>
        <w:rPr>
          <w:rFonts w:hint="eastAsia" w:ascii="宋体" w:hAnsi="宋体" w:cs="宋体"/>
          <w:sz w:val="21"/>
          <w:szCs w:val="21"/>
          <w:lang w:val="zh-CN"/>
        </w:rPr>
        <w:t>法定代表人：</w:t>
      </w:r>
      <w:r>
        <w:rPr>
          <w:rFonts w:hint="eastAsia" w:ascii="宋体" w:hAnsi="宋体" w:cs="宋体"/>
          <w:sz w:val="21"/>
          <w:szCs w:val="21"/>
          <w:u w:val="single"/>
          <w:lang w:val="zh-CN"/>
        </w:rPr>
        <w:t>　　　　　　　</w:t>
      </w:r>
      <w:r>
        <w:rPr>
          <w:rFonts w:ascii="宋体" w:hAnsi="宋体" w:cs="宋体"/>
          <w:sz w:val="21"/>
          <w:szCs w:val="21"/>
          <w:u w:val="single"/>
          <w:lang w:val="zh-CN"/>
        </w:rPr>
        <w:t xml:space="preserve">        </w:t>
      </w:r>
      <w:r>
        <w:rPr>
          <w:rFonts w:hint="eastAsia" w:ascii="宋体" w:hAnsi="宋体" w:cs="宋体"/>
          <w:sz w:val="21"/>
          <w:szCs w:val="21"/>
          <w:u w:val="single"/>
          <w:lang w:val="zh-CN"/>
        </w:rPr>
        <w:t>　</w:t>
      </w:r>
      <w:r>
        <w:rPr>
          <w:rFonts w:hint="eastAsia" w:ascii="宋体" w:hAnsi="宋体" w:cs="宋体"/>
          <w:sz w:val="21"/>
          <w:szCs w:val="21"/>
          <w:lang w:val="zh-CN"/>
        </w:rPr>
        <w:t>（签字</w:t>
      </w:r>
      <w:r>
        <w:rPr>
          <w:rFonts w:ascii="宋体" w:hAnsi="宋体" w:cs="宋体"/>
          <w:sz w:val="21"/>
          <w:szCs w:val="21"/>
          <w:lang w:val="zh-CN"/>
        </w:rPr>
        <w:t>或</w:t>
      </w:r>
      <w:r>
        <w:rPr>
          <w:rFonts w:hint="eastAsia" w:ascii="宋体" w:hAnsi="宋体" w:cs="宋体"/>
          <w:sz w:val="21"/>
          <w:szCs w:val="21"/>
          <w:lang w:val="zh-CN"/>
        </w:rPr>
        <w:t>盖章）</w:t>
      </w:r>
    </w:p>
    <w:p>
      <w:pPr>
        <w:spacing w:line="480" w:lineRule="auto"/>
        <w:ind w:firstLine="583" w:firstLineChars="278"/>
        <w:jc w:val="left"/>
        <w:rPr>
          <w:rFonts w:ascii="宋体" w:cs="宋体"/>
          <w:sz w:val="21"/>
          <w:szCs w:val="21"/>
          <w:lang w:val="zh-CN"/>
        </w:rPr>
      </w:pPr>
      <w:r>
        <w:rPr>
          <w:rFonts w:hint="eastAsia" w:ascii="宋体" w:hAnsi="宋体" w:cs="宋体"/>
          <w:sz w:val="21"/>
          <w:szCs w:val="21"/>
          <w:lang w:val="zh-CN"/>
        </w:rPr>
        <w:t>委托代理人：</w:t>
      </w:r>
      <w:r>
        <w:rPr>
          <w:rFonts w:hint="eastAsia" w:ascii="宋体" w:hAnsi="宋体" w:cs="宋体"/>
          <w:sz w:val="21"/>
          <w:szCs w:val="21"/>
          <w:u w:val="single"/>
          <w:lang w:val="zh-CN"/>
        </w:rPr>
        <w:t>　　　　　　　</w:t>
      </w:r>
      <w:r>
        <w:rPr>
          <w:rFonts w:ascii="宋体" w:hAnsi="宋体" w:cs="宋体"/>
          <w:sz w:val="21"/>
          <w:szCs w:val="21"/>
          <w:u w:val="single"/>
          <w:lang w:val="zh-CN"/>
        </w:rPr>
        <w:t xml:space="preserve">        </w:t>
      </w:r>
      <w:r>
        <w:rPr>
          <w:rFonts w:hint="eastAsia" w:ascii="宋体" w:hAnsi="宋体" w:cs="宋体"/>
          <w:sz w:val="21"/>
          <w:szCs w:val="21"/>
          <w:u w:val="single"/>
          <w:lang w:val="zh-CN"/>
        </w:rPr>
        <w:t>　</w:t>
      </w:r>
      <w:r>
        <w:rPr>
          <w:rFonts w:hint="eastAsia" w:ascii="宋体" w:hAnsi="宋体" w:cs="宋体"/>
          <w:sz w:val="21"/>
          <w:szCs w:val="21"/>
          <w:lang w:val="zh-CN"/>
        </w:rPr>
        <w:t>（签字或盖章）</w:t>
      </w:r>
    </w:p>
    <w:p>
      <w:pPr>
        <w:spacing w:line="480" w:lineRule="auto"/>
        <w:ind w:firstLine="583" w:firstLineChars="278"/>
        <w:jc w:val="left"/>
        <w:rPr>
          <w:rFonts w:ascii="宋体"/>
          <w:b w:val="0"/>
          <w:sz w:val="21"/>
          <w:szCs w:val="21"/>
        </w:rPr>
      </w:pPr>
      <w:r>
        <w:rPr>
          <w:rFonts w:hint="eastAsia" w:ascii="宋体" w:hAnsi="宋体" w:cs="宋体"/>
          <w:b w:val="0"/>
          <w:sz w:val="21"/>
          <w:szCs w:val="21"/>
          <w:lang w:val="zh-CN"/>
        </w:rPr>
        <w:t>日</w:t>
      </w:r>
      <w:r>
        <w:rPr>
          <w:rFonts w:ascii="宋体" w:hAnsi="宋体" w:cs="宋体"/>
          <w:b w:val="0"/>
          <w:sz w:val="21"/>
          <w:szCs w:val="21"/>
          <w:lang w:val="zh-CN"/>
        </w:rPr>
        <w:t xml:space="preserve">    </w:t>
      </w:r>
      <w:r>
        <w:rPr>
          <w:rFonts w:hint="eastAsia" w:ascii="宋体" w:hAnsi="宋体" w:cs="宋体"/>
          <w:b w:val="0"/>
          <w:sz w:val="21"/>
          <w:szCs w:val="21"/>
          <w:lang w:val="zh-CN"/>
        </w:rPr>
        <w:t>期：</w:t>
      </w:r>
      <w:r>
        <w:rPr>
          <w:rFonts w:hint="eastAsia" w:ascii="宋体" w:hAnsi="宋体" w:cs="宋体"/>
          <w:sz w:val="21"/>
          <w:szCs w:val="21"/>
          <w:u w:val="single"/>
          <w:lang w:val="zh-CN"/>
        </w:rPr>
        <w:t>　　　</w:t>
      </w:r>
      <w:r>
        <w:rPr>
          <w:rFonts w:hint="eastAsia" w:ascii="宋体" w:hAnsi="宋体" w:cs="宋体"/>
          <w:b w:val="0"/>
          <w:sz w:val="21"/>
          <w:szCs w:val="21"/>
          <w:lang w:val="zh-CN"/>
        </w:rPr>
        <w:t>年</w:t>
      </w:r>
      <w:r>
        <w:rPr>
          <w:rFonts w:hint="eastAsia" w:ascii="宋体" w:hAnsi="宋体" w:cs="宋体"/>
          <w:sz w:val="21"/>
          <w:szCs w:val="21"/>
          <w:u w:val="single"/>
          <w:lang w:val="zh-CN"/>
        </w:rPr>
        <w:t>　　　</w:t>
      </w:r>
      <w:r>
        <w:rPr>
          <w:rFonts w:hint="eastAsia" w:ascii="宋体" w:hAnsi="宋体" w:cs="宋体"/>
          <w:b w:val="0"/>
          <w:sz w:val="21"/>
          <w:szCs w:val="21"/>
          <w:lang w:val="zh-CN"/>
        </w:rPr>
        <w:t>月</w:t>
      </w:r>
      <w:r>
        <w:rPr>
          <w:rFonts w:hint="eastAsia" w:ascii="宋体" w:hAnsi="宋体" w:cs="宋体"/>
          <w:sz w:val="21"/>
          <w:szCs w:val="21"/>
          <w:u w:val="single"/>
          <w:lang w:val="zh-CN"/>
        </w:rPr>
        <w:t>　　　</w:t>
      </w:r>
      <w:r>
        <w:rPr>
          <w:rFonts w:hint="eastAsia" w:ascii="宋体" w:hAnsi="宋体" w:cs="宋体"/>
          <w:b w:val="0"/>
          <w:sz w:val="21"/>
          <w:szCs w:val="21"/>
          <w:lang w:val="zh-CN"/>
        </w:rPr>
        <w:t>日</w:t>
      </w:r>
    </w:p>
    <w:p>
      <w:pPr>
        <w:autoSpaceDE w:val="0"/>
        <w:autoSpaceDN w:val="0"/>
        <w:adjustRightInd w:val="0"/>
        <w:spacing w:line="360" w:lineRule="auto"/>
        <w:jc w:val="left"/>
        <w:rPr>
          <w:rFonts w:ascii="宋体" w:cs="宋体"/>
          <w:b w:val="0"/>
          <w:bCs/>
          <w:sz w:val="21"/>
          <w:szCs w:val="18"/>
          <w:lang w:val="zh-CN"/>
        </w:rPr>
      </w:pPr>
    </w:p>
    <w:p>
      <w:pPr>
        <w:pStyle w:val="8"/>
        <w:widowControl/>
        <w:numPr>
          <w:ilvl w:val="2"/>
          <w:numId w:val="0"/>
        </w:numPr>
        <w:tabs>
          <w:tab w:val="left" w:pos="720"/>
        </w:tabs>
        <w:spacing w:before="120" w:after="120" w:line="360" w:lineRule="auto"/>
        <w:jc w:val="both"/>
        <w:rPr>
          <w:rFonts w:hint="eastAsia" w:ascii="宋体" w:hAnsi="宋体" w:cs="宋体"/>
          <w:color w:val="000000"/>
          <w:lang w:val="en-US" w:eastAsia="zh-CN"/>
        </w:rPr>
      </w:pPr>
    </w:p>
    <w:p>
      <w:pPr>
        <w:rPr>
          <w:rFonts w:hint="eastAsia"/>
          <w:lang w:val="en-US" w:eastAsia="zh-CN"/>
        </w:rPr>
      </w:pPr>
    </w:p>
    <w:p>
      <w:pPr>
        <w:pStyle w:val="8"/>
        <w:widowControl/>
        <w:numPr>
          <w:ilvl w:val="2"/>
          <w:numId w:val="0"/>
        </w:numPr>
        <w:tabs>
          <w:tab w:val="left" w:pos="720"/>
        </w:tabs>
        <w:spacing w:before="120" w:after="120" w:line="360" w:lineRule="auto"/>
        <w:jc w:val="center"/>
        <w:rPr>
          <w:rFonts w:hint="eastAsia" w:ascii="宋体" w:hAnsi="宋体" w:cs="宋体"/>
          <w:color w:val="000000"/>
          <w:lang w:eastAsia="zh-CN"/>
        </w:rPr>
      </w:pPr>
      <w:r>
        <w:rPr>
          <w:rFonts w:hint="eastAsia" w:ascii="宋体" w:hAnsi="宋体" w:cs="宋体"/>
          <w:color w:val="000000"/>
          <w:lang w:val="en-US" w:eastAsia="zh-CN"/>
        </w:rPr>
        <w:t>五</w:t>
      </w:r>
      <w:r>
        <w:rPr>
          <w:rFonts w:hint="eastAsia" w:ascii="宋体" w:hAnsi="宋体" w:cs="宋体"/>
          <w:color w:val="000000"/>
        </w:rPr>
        <w:t>、</w:t>
      </w:r>
      <w:bookmarkEnd w:id="909"/>
      <w:bookmarkEnd w:id="910"/>
      <w:bookmarkEnd w:id="911"/>
      <w:bookmarkEnd w:id="912"/>
      <w:r>
        <w:rPr>
          <w:rFonts w:hint="eastAsia" w:ascii="宋体" w:hAnsi="宋体" w:cs="宋体"/>
          <w:color w:val="000000"/>
        </w:rPr>
        <w:t>开标一览表</w:t>
      </w:r>
      <w:bookmarkEnd w:id="913"/>
      <w:bookmarkEnd w:id="914"/>
      <w:bookmarkEnd w:id="915"/>
      <w:bookmarkEnd w:id="916"/>
      <w:bookmarkEnd w:id="917"/>
    </w:p>
    <w:p>
      <w:pPr>
        <w:ind w:left="-2" w:leftChars="-51" w:hanging="105" w:hangingChars="50"/>
        <w:rPr>
          <w:rFonts w:hint="eastAsia" w:ascii="宋体" w:hAnsi="宋体" w:cs="宋体"/>
          <w:color w:val="000000"/>
          <w:szCs w:val="21"/>
        </w:rPr>
      </w:pPr>
      <w:r>
        <w:rPr>
          <w:rFonts w:hint="eastAsia" w:ascii="宋体" w:hAnsi="宋体" w:cs="宋体"/>
          <w:color w:val="000000"/>
          <w:szCs w:val="21"/>
          <w:lang w:eastAsia="zh-CN"/>
        </w:rPr>
        <w:t>项目</w:t>
      </w:r>
      <w:r>
        <w:rPr>
          <w:rFonts w:hint="eastAsia" w:ascii="宋体" w:hAnsi="宋体" w:cs="宋体"/>
          <w:color w:val="000000"/>
          <w:szCs w:val="21"/>
        </w:rPr>
        <w:t>名称：</w:t>
      </w:r>
    </w:p>
    <w:p>
      <w:pPr>
        <w:ind w:left="-2" w:leftChars="-51" w:hanging="105" w:hangingChars="50"/>
        <w:rPr>
          <w:rFonts w:hint="eastAsia" w:ascii="宋体" w:hAnsi="宋体" w:cs="宋体"/>
          <w:color w:val="000000"/>
          <w:szCs w:val="21"/>
        </w:rPr>
      </w:pPr>
      <w:r>
        <w:rPr>
          <w:rFonts w:hint="eastAsia" w:ascii="宋体" w:hAnsi="宋体" w:cs="宋体"/>
          <w:color w:val="000000"/>
          <w:szCs w:val="21"/>
        </w:rPr>
        <w:t>招标</w:t>
      </w:r>
      <w:r>
        <w:rPr>
          <w:rFonts w:hint="eastAsia" w:ascii="宋体" w:hAnsi="宋体" w:cs="宋体"/>
          <w:color w:val="000000"/>
          <w:szCs w:val="21"/>
          <w:lang w:eastAsia="zh-CN"/>
        </w:rPr>
        <w:t>项目</w:t>
      </w:r>
      <w:r>
        <w:rPr>
          <w:rFonts w:hint="eastAsia" w:ascii="宋体" w:hAnsi="宋体" w:cs="宋体"/>
          <w:color w:val="000000"/>
          <w:szCs w:val="21"/>
        </w:rPr>
        <w:t>编号：</w:t>
      </w:r>
    </w:p>
    <w:tbl>
      <w:tblPr>
        <w:tblStyle w:val="44"/>
        <w:tblpPr w:leftFromText="180" w:rightFromText="180" w:vertAnchor="text" w:horzAnchor="page" w:tblpXSpec="center" w:tblpY="294"/>
        <w:tblOverlap w:val="never"/>
        <w:tblW w:w="94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20"/>
              <w:ind w:left="0" w:firstLine="0"/>
              <w:jc w:val="center"/>
              <w:rPr>
                <w:rFonts w:hint="eastAsia" w:hAnsi="Times New Roman"/>
              </w:rPr>
            </w:pPr>
            <w:r>
              <w:rPr>
                <w:rFonts w:hint="eastAsia" w:hAnsi="Times New Roman"/>
              </w:rPr>
              <w:t>投标单位</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20"/>
              <w:ind w:left="0" w:firstLine="0"/>
              <w:jc w:val="center"/>
              <w:rPr>
                <w:rFonts w:hint="eastAsia" w:hAnsi="Times New Roman"/>
              </w:rPr>
            </w:pPr>
            <w:r>
              <w:rPr>
                <w:rFonts w:hint="eastAsia" w:hAnsi="Times New Roman"/>
                <w:highlight w:val="none"/>
              </w:rPr>
              <w:t>投标</w:t>
            </w:r>
            <w:r>
              <w:rPr>
                <w:rFonts w:hint="eastAsia"/>
                <w:highlight w:val="none"/>
                <w:lang w:val="en-US" w:eastAsia="zh-CN"/>
              </w:rPr>
              <w:t>总</w:t>
            </w:r>
            <w:r>
              <w:rPr>
                <w:rFonts w:hint="eastAsia" w:hAnsi="Times New Roman"/>
                <w:highlight w:val="none"/>
              </w:rPr>
              <w:t>报价</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20"/>
              <w:ind w:left="0" w:firstLine="0"/>
              <w:jc w:val="center"/>
              <w:rPr>
                <w:rFonts w:hint="eastAsia" w:hAnsi="Times New Roman"/>
              </w:rPr>
            </w:pPr>
            <w:r>
              <w:rPr>
                <w:rFonts w:hint="eastAsia"/>
                <w:lang w:eastAsia="zh-CN"/>
              </w:rPr>
              <w:t>服务</w:t>
            </w:r>
            <w:r>
              <w:rPr>
                <w:rFonts w:hint="eastAsia" w:hAnsi="Times New Roman"/>
              </w:rPr>
              <w:t>标准</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20"/>
              <w:ind w:left="0" w:firstLine="0"/>
              <w:jc w:val="center"/>
              <w:rPr>
                <w:rFonts w:hint="eastAsia" w:hAnsi="Times New Roman"/>
              </w:rPr>
            </w:pPr>
            <w:r>
              <w:rPr>
                <w:rFonts w:hint="eastAsia" w:hAnsi="Times New Roman"/>
              </w:rPr>
              <w:t>合同履行期限</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rPr>
            </w:pPr>
            <w:r>
              <w:rPr>
                <w:rFonts w:hint="eastAsia"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20"/>
              <w:ind w:left="0" w:firstLine="0"/>
              <w:jc w:val="center"/>
              <w:rPr>
                <w:rFonts w:hint="eastAsia" w:hAnsi="Times New Roman"/>
              </w:rPr>
            </w:pPr>
            <w:r>
              <w:rPr>
                <w:rFonts w:hint="eastAsia" w:hAnsi="Times New Roman"/>
              </w:rPr>
              <w:t>服务承诺</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备注</w:t>
            </w:r>
          </w:p>
        </w:tc>
        <w:tc>
          <w:tcPr>
            <w:tcW w:w="7733" w:type="dxa"/>
            <w:tcBorders>
              <w:top w:val="single" w:color="auto" w:sz="4" w:space="0"/>
              <w:left w:val="single" w:color="auto" w:sz="4" w:space="0"/>
              <w:bottom w:val="single" w:color="auto" w:sz="4" w:space="0"/>
              <w:right w:val="single" w:color="auto" w:sz="4" w:space="0"/>
            </w:tcBorders>
          </w:tcPr>
          <w:p>
            <w:pPr>
              <w:numPr>
                <w:ilvl w:val="0"/>
                <w:numId w:val="8"/>
              </w:numPr>
              <w:rPr>
                <w:rFonts w:hint="eastAsia" w:ascii="宋体" w:hAnsi="宋体" w:cs="宋体"/>
                <w:color w:val="000000"/>
                <w:szCs w:val="21"/>
              </w:rPr>
            </w:pPr>
            <w:r>
              <w:rPr>
                <w:rFonts w:hint="eastAsia" w:ascii="宋体" w:hAnsi="宋体" w:cs="宋体"/>
                <w:color w:val="000000"/>
                <w:szCs w:val="21"/>
              </w:rPr>
              <w:t>填报的内容必须和投标文件及投标函中的内容一致。</w:t>
            </w:r>
          </w:p>
          <w:p>
            <w:pPr>
              <w:numPr>
                <w:ilvl w:val="0"/>
                <w:numId w:val="8"/>
              </w:numPr>
              <w:rPr>
                <w:rFonts w:hint="eastAsia" w:ascii="宋体" w:hAnsi="宋体" w:cs="宋体"/>
                <w:color w:val="000000"/>
                <w:szCs w:val="21"/>
              </w:rPr>
            </w:pPr>
            <w:r>
              <w:rPr>
                <w:rFonts w:hint="eastAsia" w:ascii="宋体" w:hAnsi="宋体" w:cs="宋体"/>
                <w:color w:val="000000"/>
                <w:szCs w:val="21"/>
              </w:rPr>
              <w:t>服务承诺</w:t>
            </w:r>
            <w:r>
              <w:rPr>
                <w:rFonts w:hint="eastAsia" w:ascii="宋体" w:hAnsi="宋体" w:cs="宋体"/>
                <w:color w:val="000000"/>
                <w:szCs w:val="21"/>
                <w:lang w:eastAsia="zh-CN"/>
              </w:rPr>
              <w:t>：</w:t>
            </w:r>
            <w:r>
              <w:rPr>
                <w:rFonts w:hint="eastAsia" w:ascii="宋体" w:hAnsi="宋体" w:cs="宋体"/>
                <w:color w:val="000000"/>
                <w:szCs w:val="21"/>
              </w:rPr>
              <w:t>本表只填写“有”“无”即可。</w:t>
            </w:r>
          </w:p>
          <w:p>
            <w:pPr>
              <w:numPr>
                <w:ilvl w:val="0"/>
                <w:numId w:val="8"/>
              </w:numPr>
              <w:rPr>
                <w:rFonts w:hint="eastAsia" w:ascii="宋体" w:hAnsi="宋体" w:cs="宋体"/>
                <w:b/>
                <w:color w:val="000000"/>
                <w:szCs w:val="21"/>
              </w:rPr>
            </w:pPr>
            <w:r>
              <w:rPr>
                <w:rFonts w:hint="eastAsia" w:ascii="宋体" w:hAnsi="宋体" w:cs="宋体"/>
                <w:b/>
                <w:color w:val="000000"/>
                <w:szCs w:val="21"/>
              </w:rPr>
              <w:t>投标报价以元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44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p>
            <w:pPr>
              <w:rPr>
                <w:rFonts w:hint="eastAsia" w:ascii="宋体" w:hAnsi="宋体" w:cs="宋体"/>
                <w:color w:val="000000"/>
                <w:szCs w:val="21"/>
              </w:rPr>
            </w:pPr>
            <w:r>
              <w:rPr>
                <w:rFonts w:hint="eastAsia" w:ascii="宋体" w:hAnsi="宋体" w:cs="宋体"/>
                <w:color w:val="000000"/>
                <w:szCs w:val="21"/>
              </w:rPr>
              <w:t>投标人：        （盖章）                 法定代表人或被授权人：          （签字或盖章）</w:t>
            </w:r>
          </w:p>
        </w:tc>
      </w:tr>
    </w:tbl>
    <w:p>
      <w:pPr>
        <w:rPr>
          <w:rFonts w:hint="eastAsia" w:ascii="宋体" w:hAnsi="宋体" w:cs="宋体"/>
          <w:color w:val="000000"/>
        </w:rPr>
      </w:pPr>
      <w:bookmarkStart w:id="925" w:name="_Toc453756961"/>
    </w:p>
    <w:p>
      <w:pPr>
        <w:pStyle w:val="41"/>
        <w:rPr>
          <w:rFonts w:hint="eastAsia"/>
        </w:rPr>
      </w:pPr>
    </w:p>
    <w:p>
      <w:pPr>
        <w:rPr>
          <w:rFonts w:hint="eastAsia"/>
        </w:rPr>
      </w:pPr>
    </w:p>
    <w:p>
      <w:pPr>
        <w:pStyle w:val="20"/>
        <w:rPr>
          <w:rFonts w:hint="eastAsia"/>
        </w:rPr>
      </w:pPr>
    </w:p>
    <w:p>
      <w:pPr>
        <w:pStyle w:val="20"/>
        <w:rPr>
          <w:rFonts w:hint="eastAsia" w:hAnsi="宋体" w:cs="宋体"/>
          <w:color w:val="000000"/>
        </w:rPr>
      </w:pPr>
    </w:p>
    <w:p>
      <w:pPr>
        <w:pStyle w:val="20"/>
        <w:rPr>
          <w:rFonts w:hint="eastAsia" w:hAnsi="宋体" w:cs="宋体"/>
          <w:color w:val="000000"/>
        </w:rPr>
      </w:pPr>
    </w:p>
    <w:bookmarkEnd w:id="918"/>
    <w:bookmarkEnd w:id="919"/>
    <w:bookmarkEnd w:id="920"/>
    <w:bookmarkEnd w:id="921"/>
    <w:bookmarkEnd w:id="922"/>
    <w:bookmarkEnd w:id="923"/>
    <w:bookmarkEnd w:id="924"/>
    <w:bookmarkEnd w:id="925"/>
    <w:p>
      <w:pPr>
        <w:spacing w:line="440" w:lineRule="exact"/>
        <w:jc w:val="center"/>
        <w:outlineLvl w:val="0"/>
        <w:rPr>
          <w:rFonts w:hint="eastAsia" w:ascii="宋体" w:hAnsi="宋体" w:cs="宋体"/>
          <w:b/>
          <w:bCs/>
          <w:color w:val="000000"/>
          <w:sz w:val="32"/>
          <w:szCs w:val="32"/>
        </w:rPr>
      </w:pPr>
      <w:bookmarkStart w:id="926" w:name="_Toc179632816"/>
      <w:bookmarkStart w:id="927" w:name="_Toc246997107"/>
      <w:bookmarkStart w:id="928" w:name="_Toc246996364"/>
      <w:bookmarkStart w:id="929" w:name="_Toc144974864"/>
      <w:bookmarkStart w:id="930" w:name="_Toc152045796"/>
      <w:bookmarkStart w:id="931" w:name="_Toc247085882"/>
      <w:bookmarkStart w:id="932" w:name="_Toc26967"/>
      <w:bookmarkStart w:id="933" w:name="_Toc152042585"/>
    </w:p>
    <w:p>
      <w:pPr>
        <w:pStyle w:val="26"/>
        <w:rPr>
          <w:rFonts w:hint="eastAsia"/>
        </w:rPr>
      </w:pPr>
    </w:p>
    <w:p>
      <w:pPr>
        <w:pStyle w:val="26"/>
        <w:rPr>
          <w:rFonts w:hint="eastAsia"/>
        </w:rPr>
      </w:pPr>
    </w:p>
    <w:p>
      <w:pPr>
        <w:spacing w:line="440" w:lineRule="exact"/>
        <w:jc w:val="both"/>
        <w:outlineLvl w:val="0"/>
        <w:rPr>
          <w:rFonts w:hint="eastAsia" w:ascii="宋体" w:hAnsi="宋体" w:cs="宋体"/>
          <w:b/>
          <w:bCs/>
          <w:color w:val="000000"/>
          <w:sz w:val="32"/>
          <w:szCs w:val="32"/>
          <w:lang w:val="en-US" w:eastAsia="zh-CN"/>
        </w:rPr>
        <w:sectPr>
          <w:footerReference r:id="rId10" w:type="default"/>
          <w:pgSz w:w="11906" w:h="16838"/>
          <w:pgMar w:top="1460" w:right="1803" w:bottom="1440" w:left="1800" w:header="851" w:footer="992" w:gutter="0"/>
          <w:pgNumType w:fmt="decimal"/>
          <w:cols w:space="720" w:num="1"/>
          <w:rtlGutter w:val="1"/>
          <w:docGrid w:type="lines" w:linePitch="312" w:charSpace="0"/>
        </w:sectPr>
      </w:pPr>
    </w:p>
    <w:p>
      <w:pPr>
        <w:spacing w:line="440" w:lineRule="exact"/>
        <w:jc w:val="center"/>
        <w:outlineLvl w:val="0"/>
        <w:rPr>
          <w:rFonts w:hint="eastAsia" w:ascii="宋体" w:hAnsi="宋体" w:cs="宋体"/>
          <w:b/>
          <w:bCs/>
          <w:color w:val="000000"/>
          <w:sz w:val="32"/>
          <w:szCs w:val="32"/>
          <w:lang w:val="en-US" w:eastAsia="zh-CN"/>
        </w:rPr>
      </w:pPr>
    </w:p>
    <w:p>
      <w:pPr>
        <w:spacing w:line="440" w:lineRule="exact"/>
        <w:jc w:val="center"/>
        <w:outlineLvl w:val="0"/>
        <w:rPr>
          <w:rFonts w:hint="eastAsia" w:ascii="宋体" w:hAnsi="宋体" w:cs="宋体"/>
          <w:b/>
          <w:bCs/>
          <w:color w:val="000000"/>
          <w:sz w:val="32"/>
          <w:szCs w:val="32"/>
        </w:rPr>
      </w:pPr>
      <w:r>
        <w:rPr>
          <w:rFonts w:hint="eastAsia" w:ascii="宋体" w:hAnsi="宋体" w:cs="宋体"/>
          <w:b/>
          <w:bCs/>
          <w:color w:val="000000"/>
          <w:sz w:val="32"/>
          <w:szCs w:val="32"/>
          <w:lang w:val="en-US" w:eastAsia="zh-CN"/>
        </w:rPr>
        <w:t>六</w:t>
      </w:r>
      <w:r>
        <w:rPr>
          <w:rFonts w:hint="eastAsia" w:ascii="宋体" w:hAnsi="宋体" w:cs="宋体"/>
          <w:b/>
          <w:bCs/>
          <w:color w:val="000000"/>
          <w:sz w:val="32"/>
          <w:szCs w:val="32"/>
        </w:rPr>
        <w:t>、</w:t>
      </w:r>
      <w:bookmarkEnd w:id="926"/>
      <w:bookmarkEnd w:id="927"/>
      <w:bookmarkEnd w:id="928"/>
      <w:bookmarkEnd w:id="929"/>
      <w:bookmarkEnd w:id="930"/>
      <w:bookmarkEnd w:id="931"/>
      <w:bookmarkEnd w:id="932"/>
      <w:bookmarkEnd w:id="933"/>
      <w:r>
        <w:rPr>
          <w:rFonts w:hint="eastAsia" w:ascii="宋体" w:hAnsi="宋体" w:cs="宋体"/>
          <w:b/>
          <w:bCs/>
          <w:color w:val="000000"/>
          <w:sz w:val="32"/>
          <w:szCs w:val="32"/>
          <w:lang w:eastAsia="zh-CN"/>
        </w:rPr>
        <w:t>服务</w:t>
      </w:r>
      <w:r>
        <w:rPr>
          <w:rFonts w:hint="eastAsia" w:ascii="宋体" w:hAnsi="宋体" w:cs="宋体"/>
          <w:b/>
          <w:bCs/>
          <w:color w:val="000000"/>
          <w:sz w:val="32"/>
          <w:szCs w:val="32"/>
        </w:rPr>
        <w:t>方案</w:t>
      </w:r>
    </w:p>
    <w:p>
      <w:pPr>
        <w:spacing w:line="440" w:lineRule="exact"/>
        <w:jc w:val="center"/>
        <w:rPr>
          <w:rFonts w:hint="eastAsia" w:ascii="宋体" w:hAnsi="宋体" w:cs="宋体"/>
          <w:color w:val="000000"/>
        </w:rPr>
      </w:pPr>
    </w:p>
    <w:p>
      <w:pPr>
        <w:pStyle w:val="7"/>
        <w:keepNext w:val="0"/>
        <w:keepLines w:val="0"/>
        <w:jc w:val="center"/>
        <w:rPr>
          <w:rFonts w:hint="eastAsia" w:ascii="宋体" w:hAnsi="宋体" w:eastAsia="宋体" w:cs="宋体"/>
          <w:color w:val="000000"/>
          <w:lang w:val="en-US" w:eastAsia="zh-CN"/>
        </w:rPr>
      </w:pPr>
      <w:bookmarkStart w:id="934" w:name="_Toc247085887"/>
      <w:bookmarkStart w:id="935" w:name="_Toc21453"/>
      <w:bookmarkStart w:id="936" w:name="_Toc152042592"/>
      <w:bookmarkStart w:id="937" w:name="_Toc179632823"/>
      <w:bookmarkStart w:id="938" w:name="_Toc246997112"/>
      <w:bookmarkStart w:id="939" w:name="_Toc22277"/>
      <w:bookmarkStart w:id="940" w:name="_Toc144974871"/>
      <w:bookmarkStart w:id="941" w:name="_Toc453756966"/>
      <w:bookmarkStart w:id="942" w:name="_Toc152045803"/>
      <w:bookmarkStart w:id="943" w:name="_Toc11142"/>
      <w:bookmarkStart w:id="944" w:name="_Toc13026"/>
      <w:bookmarkStart w:id="945" w:name="_Toc246996369"/>
      <w:bookmarkStart w:id="946" w:name="_Toc25760"/>
    </w:p>
    <w:p>
      <w:pPr>
        <w:pStyle w:val="7"/>
        <w:keepNext w:val="0"/>
        <w:keepLines w:val="0"/>
        <w:jc w:val="center"/>
        <w:rPr>
          <w:rFonts w:hint="eastAsia" w:ascii="宋体" w:hAnsi="宋体" w:eastAsia="宋体" w:cs="宋体"/>
          <w:color w:val="000000"/>
          <w:lang w:val="en-US" w:eastAsia="zh-CN"/>
        </w:rPr>
      </w:pPr>
    </w:p>
    <w:p>
      <w:pPr>
        <w:pStyle w:val="7"/>
        <w:keepNext w:val="0"/>
        <w:keepLines w:val="0"/>
        <w:jc w:val="center"/>
        <w:rPr>
          <w:rFonts w:hint="eastAsia" w:ascii="宋体" w:hAnsi="宋体" w:eastAsia="宋体" w:cs="宋体"/>
          <w:color w:val="000000"/>
          <w:lang w:val="en-US" w:eastAsia="zh-CN"/>
        </w:rPr>
      </w:pPr>
    </w:p>
    <w:p>
      <w:pPr>
        <w:pStyle w:val="7"/>
        <w:keepNext w:val="0"/>
        <w:keepLines w:val="0"/>
        <w:jc w:val="center"/>
        <w:rPr>
          <w:rFonts w:hint="eastAsia" w:ascii="宋体" w:hAnsi="宋体" w:eastAsia="宋体" w:cs="宋体"/>
          <w:color w:val="000000"/>
          <w:lang w:val="en-US" w:eastAsia="zh-CN"/>
        </w:rPr>
      </w:pPr>
    </w:p>
    <w:p>
      <w:pPr>
        <w:pStyle w:val="7"/>
        <w:keepNext w:val="0"/>
        <w:keepLines w:val="0"/>
        <w:jc w:val="center"/>
        <w:rPr>
          <w:rFonts w:hint="eastAsia" w:ascii="宋体" w:hAnsi="宋体" w:eastAsia="宋体" w:cs="宋体"/>
          <w:color w:val="000000"/>
          <w:lang w:val="en-US" w:eastAsia="zh-CN"/>
        </w:rPr>
      </w:pPr>
    </w:p>
    <w:p>
      <w:pPr>
        <w:pStyle w:val="7"/>
        <w:keepNext w:val="0"/>
        <w:keepLines w:val="0"/>
        <w:jc w:val="center"/>
        <w:rPr>
          <w:rFonts w:hint="eastAsia" w:ascii="宋体" w:hAnsi="宋体" w:eastAsia="宋体" w:cs="宋体"/>
          <w:color w:val="000000"/>
          <w:lang w:val="en-US" w:eastAsia="zh-CN"/>
        </w:rPr>
      </w:pPr>
    </w:p>
    <w:p>
      <w:pPr>
        <w:pStyle w:val="7"/>
        <w:keepNext w:val="0"/>
        <w:keepLines w:val="0"/>
        <w:jc w:val="center"/>
        <w:rPr>
          <w:rFonts w:hint="eastAsia" w:ascii="宋体" w:hAnsi="宋体" w:eastAsia="宋体" w:cs="宋体"/>
          <w:color w:val="000000"/>
          <w:lang w:val="en-US" w:eastAsia="zh-CN"/>
        </w:rPr>
      </w:pPr>
    </w:p>
    <w:p>
      <w:pPr>
        <w:pStyle w:val="7"/>
        <w:keepNext w:val="0"/>
        <w:keepLines w:val="0"/>
        <w:jc w:val="center"/>
        <w:rPr>
          <w:rFonts w:hint="eastAsia" w:ascii="宋体" w:hAnsi="宋体" w:eastAsia="宋体" w:cs="宋体"/>
          <w:color w:val="000000"/>
          <w:lang w:val="en-US" w:eastAsia="zh-CN"/>
        </w:rPr>
      </w:pPr>
    </w:p>
    <w:p>
      <w:pPr>
        <w:pStyle w:val="7"/>
        <w:keepNext w:val="0"/>
        <w:keepLines w:val="0"/>
        <w:jc w:val="center"/>
        <w:rPr>
          <w:rFonts w:hint="eastAsia" w:ascii="宋体" w:hAnsi="宋体" w:eastAsia="宋体" w:cs="宋体"/>
          <w:color w:val="000000"/>
          <w:lang w:val="en-US" w:eastAsia="zh-CN"/>
        </w:rPr>
      </w:pPr>
    </w:p>
    <w:p>
      <w:pPr>
        <w:pStyle w:val="7"/>
        <w:keepNext w:val="0"/>
        <w:keepLines w:val="0"/>
        <w:jc w:val="center"/>
        <w:rPr>
          <w:rFonts w:hint="eastAsia" w:ascii="宋体" w:hAnsi="宋体" w:eastAsia="宋体" w:cs="宋体"/>
          <w:color w:val="000000"/>
          <w:lang w:val="en-US" w:eastAsia="zh-CN"/>
        </w:rPr>
      </w:pPr>
    </w:p>
    <w:p>
      <w:pPr>
        <w:rPr>
          <w:rFonts w:hint="eastAsia"/>
          <w:lang w:val="en-US" w:eastAsia="zh-CN"/>
        </w:rPr>
      </w:pPr>
    </w:p>
    <w:p>
      <w:pPr>
        <w:pStyle w:val="7"/>
        <w:keepNext w:val="0"/>
        <w:keepLines w:val="0"/>
        <w:jc w:val="center"/>
        <w:rPr>
          <w:rFonts w:hint="eastAsia" w:ascii="宋体" w:hAnsi="宋体" w:eastAsia="宋体" w:cs="宋体"/>
          <w:color w:val="000000"/>
          <w:lang w:val="en-US" w:eastAsia="zh-CN"/>
        </w:rPr>
      </w:pPr>
    </w:p>
    <w:p>
      <w:pPr>
        <w:rPr>
          <w:rFonts w:hint="eastAsia" w:ascii="宋体" w:hAnsi="宋体" w:eastAsia="宋体" w:cs="宋体"/>
          <w:color w:val="000000"/>
          <w:lang w:val="en-US" w:eastAsia="zh-CN"/>
        </w:rPr>
      </w:pPr>
    </w:p>
    <w:p>
      <w:pPr>
        <w:rPr>
          <w:rFonts w:hint="eastAsia" w:ascii="宋体" w:hAnsi="宋体" w:eastAsia="宋体" w:cs="宋体"/>
          <w:color w:val="000000"/>
          <w:lang w:val="en-US" w:eastAsia="zh-CN"/>
        </w:rPr>
      </w:pPr>
    </w:p>
    <w:p>
      <w:pPr>
        <w:rPr>
          <w:rFonts w:hint="eastAsia" w:ascii="宋体" w:hAnsi="宋体" w:eastAsia="宋体" w:cs="宋体"/>
          <w:color w:val="000000"/>
          <w:lang w:val="en-US" w:eastAsia="zh-CN"/>
        </w:rPr>
      </w:pPr>
    </w:p>
    <w:p>
      <w:pPr>
        <w:rPr>
          <w:rFonts w:hint="eastAsia" w:ascii="宋体" w:hAnsi="宋体" w:eastAsia="宋体" w:cs="宋体"/>
          <w:color w:val="000000"/>
          <w:lang w:val="en-US" w:eastAsia="zh-CN"/>
        </w:rPr>
      </w:pPr>
    </w:p>
    <w:p>
      <w:pPr>
        <w:rPr>
          <w:rFonts w:hint="eastAsia" w:ascii="宋体" w:hAnsi="宋体" w:eastAsia="宋体" w:cs="宋体"/>
          <w:color w:val="000000"/>
          <w:lang w:val="en-US" w:eastAsia="zh-CN"/>
        </w:rPr>
      </w:pPr>
    </w:p>
    <w:p>
      <w:pPr>
        <w:rPr>
          <w:rFonts w:hint="eastAsia" w:ascii="宋体" w:hAnsi="宋体" w:eastAsia="宋体" w:cs="宋体"/>
          <w:color w:val="000000"/>
          <w:lang w:val="en-US" w:eastAsia="zh-CN"/>
        </w:rPr>
      </w:pPr>
    </w:p>
    <w:p>
      <w:pPr>
        <w:pStyle w:val="7"/>
        <w:keepNext w:val="0"/>
        <w:keepLines w:val="0"/>
        <w:jc w:val="center"/>
        <w:rPr>
          <w:rFonts w:hint="eastAsia" w:ascii="宋体" w:hAnsi="宋体" w:eastAsia="宋体" w:cs="宋体"/>
          <w:color w:val="000000"/>
          <w:szCs w:val="21"/>
        </w:rPr>
      </w:pPr>
      <w:r>
        <w:rPr>
          <w:rFonts w:hint="eastAsia" w:ascii="宋体" w:hAnsi="宋体" w:eastAsia="宋体" w:cs="宋体"/>
          <w:color w:val="000000"/>
          <w:lang w:val="en-US" w:eastAsia="zh-CN"/>
        </w:rPr>
        <w:t>七</w:t>
      </w:r>
      <w:r>
        <w:rPr>
          <w:rFonts w:hint="eastAsia" w:ascii="宋体" w:hAnsi="宋体" w:eastAsia="宋体" w:cs="宋体"/>
          <w:color w:val="000000"/>
        </w:rPr>
        <w:t>、项目管理机构</w:t>
      </w:r>
      <w:bookmarkEnd w:id="934"/>
      <w:bookmarkEnd w:id="935"/>
      <w:bookmarkEnd w:id="936"/>
      <w:bookmarkEnd w:id="937"/>
      <w:bookmarkEnd w:id="938"/>
      <w:bookmarkEnd w:id="939"/>
      <w:bookmarkEnd w:id="940"/>
      <w:bookmarkEnd w:id="941"/>
      <w:bookmarkEnd w:id="942"/>
      <w:bookmarkEnd w:id="943"/>
      <w:bookmarkEnd w:id="944"/>
      <w:bookmarkEnd w:id="945"/>
      <w:bookmarkEnd w:id="946"/>
    </w:p>
    <w:p>
      <w:pPr>
        <w:pStyle w:val="7"/>
        <w:keepNext w:val="0"/>
        <w:keepLines w:val="0"/>
        <w:jc w:val="center"/>
        <w:rPr>
          <w:rFonts w:hint="eastAsia" w:ascii="宋体" w:hAnsi="宋体" w:eastAsia="宋体" w:cs="宋体"/>
          <w:color w:val="000000"/>
        </w:rPr>
      </w:pPr>
      <w:r>
        <w:rPr>
          <w:rFonts w:hint="eastAsia" w:ascii="宋体" w:hAnsi="宋体" w:eastAsia="宋体" w:cs="宋体"/>
          <w:color w:val="000000"/>
        </w:rPr>
        <w:t>拟投入本项目的人员一览表</w:t>
      </w:r>
    </w:p>
    <w:tbl>
      <w:tblPr>
        <w:tblStyle w:val="44"/>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83"/>
        <w:gridCol w:w="1020"/>
        <w:gridCol w:w="770"/>
        <w:gridCol w:w="1280"/>
        <w:gridCol w:w="18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683"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在本项目中所担任的职务</w:t>
            </w:r>
          </w:p>
        </w:tc>
        <w:tc>
          <w:tcPr>
            <w:tcW w:w="102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77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年龄</w:t>
            </w:r>
          </w:p>
        </w:tc>
        <w:tc>
          <w:tcPr>
            <w:tcW w:w="1280"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学历</w:t>
            </w:r>
          </w:p>
        </w:tc>
        <w:tc>
          <w:tcPr>
            <w:tcW w:w="1850"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职称或相关资格</w:t>
            </w:r>
          </w:p>
        </w:tc>
        <w:tc>
          <w:tcPr>
            <w:tcW w:w="1200" w:type="dxa"/>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6</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7</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8</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9</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w:t>
            </w:r>
          </w:p>
        </w:tc>
        <w:tc>
          <w:tcPr>
            <w:tcW w:w="2683" w:type="dxa"/>
            <w:vAlign w:val="center"/>
          </w:tcPr>
          <w:p>
            <w:pPr>
              <w:spacing w:line="360" w:lineRule="auto"/>
              <w:jc w:val="center"/>
              <w:rPr>
                <w:rFonts w:hint="eastAsia" w:ascii="宋体" w:hAnsi="宋体" w:cs="宋体"/>
                <w:color w:val="000000"/>
                <w:szCs w:val="21"/>
              </w:rPr>
            </w:pPr>
          </w:p>
        </w:tc>
        <w:tc>
          <w:tcPr>
            <w:tcW w:w="1020" w:type="dxa"/>
            <w:vAlign w:val="center"/>
          </w:tcPr>
          <w:p>
            <w:pPr>
              <w:spacing w:line="360" w:lineRule="auto"/>
              <w:jc w:val="center"/>
              <w:rPr>
                <w:rFonts w:hint="eastAsia" w:ascii="宋体" w:hAnsi="宋体" w:cs="宋体"/>
                <w:color w:val="000000"/>
                <w:szCs w:val="21"/>
              </w:rPr>
            </w:pPr>
          </w:p>
        </w:tc>
        <w:tc>
          <w:tcPr>
            <w:tcW w:w="770" w:type="dxa"/>
            <w:vAlign w:val="center"/>
          </w:tcPr>
          <w:p>
            <w:pPr>
              <w:spacing w:line="360" w:lineRule="auto"/>
              <w:jc w:val="center"/>
              <w:rPr>
                <w:rFonts w:hint="eastAsia" w:ascii="宋体" w:hAnsi="宋体" w:cs="宋体"/>
                <w:color w:val="000000"/>
                <w:szCs w:val="21"/>
              </w:rPr>
            </w:pPr>
          </w:p>
        </w:tc>
        <w:tc>
          <w:tcPr>
            <w:tcW w:w="1280" w:type="dxa"/>
          </w:tcPr>
          <w:p>
            <w:pPr>
              <w:spacing w:line="360" w:lineRule="auto"/>
              <w:jc w:val="center"/>
              <w:rPr>
                <w:rFonts w:hint="eastAsia" w:ascii="宋体" w:hAnsi="宋体" w:cs="宋体"/>
                <w:color w:val="000000"/>
                <w:szCs w:val="21"/>
              </w:rPr>
            </w:pPr>
          </w:p>
        </w:tc>
        <w:tc>
          <w:tcPr>
            <w:tcW w:w="1850" w:type="dxa"/>
          </w:tcPr>
          <w:p>
            <w:pPr>
              <w:spacing w:line="360" w:lineRule="auto"/>
              <w:jc w:val="center"/>
              <w:rPr>
                <w:rFonts w:hint="eastAsia" w:ascii="宋体" w:hAnsi="宋体" w:cs="宋体"/>
                <w:color w:val="000000"/>
                <w:szCs w:val="21"/>
              </w:rPr>
            </w:pPr>
          </w:p>
        </w:tc>
        <w:tc>
          <w:tcPr>
            <w:tcW w:w="1200" w:type="dxa"/>
          </w:tcPr>
          <w:p>
            <w:pPr>
              <w:spacing w:line="360" w:lineRule="auto"/>
              <w:jc w:val="center"/>
              <w:rPr>
                <w:rFonts w:hint="eastAsia" w:ascii="宋体" w:hAnsi="宋体" w:cs="宋体"/>
                <w:color w:val="000000"/>
                <w:szCs w:val="21"/>
              </w:rPr>
            </w:pPr>
          </w:p>
        </w:tc>
      </w:tr>
    </w:tbl>
    <w:p>
      <w:pPr>
        <w:spacing w:beforeLines="50" w:afterLines="50"/>
        <w:rPr>
          <w:rFonts w:hint="eastAsia" w:ascii="宋体" w:hAnsi="宋体" w:cs="宋体"/>
          <w:color w:val="000000"/>
          <w:kern w:val="0"/>
          <w:szCs w:val="21"/>
        </w:rPr>
      </w:pPr>
      <w:r>
        <w:rPr>
          <w:rFonts w:hint="eastAsia" w:ascii="宋体" w:hAnsi="宋体" w:cs="宋体"/>
          <w:color w:val="000000"/>
          <w:kern w:val="0"/>
          <w:szCs w:val="21"/>
        </w:rPr>
        <w:t>注：1、投标人应根据招标文件要求和招标项目的实际需要，列出拟配备的人员清单。</w:t>
      </w:r>
    </w:p>
    <w:p>
      <w:pPr>
        <w:spacing w:beforeLines="50" w:afterLines="50"/>
        <w:rPr>
          <w:rFonts w:hint="eastAsia" w:ascii="宋体" w:hAnsi="宋体" w:cs="宋体"/>
          <w:color w:val="000000"/>
          <w:kern w:val="0"/>
          <w:szCs w:val="21"/>
        </w:rPr>
      </w:pPr>
      <w:r>
        <w:rPr>
          <w:rFonts w:hint="eastAsia" w:ascii="宋体" w:hAnsi="宋体" w:cs="宋体"/>
          <w:color w:val="000000"/>
          <w:kern w:val="0"/>
          <w:szCs w:val="21"/>
        </w:rPr>
        <w:t>2、投标文件中须提供所有人员</w:t>
      </w:r>
      <w:r>
        <w:rPr>
          <w:rFonts w:hint="eastAsia" w:ascii="宋体" w:hAnsi="宋体" w:cs="宋体"/>
          <w:color w:val="000000"/>
          <w:kern w:val="0"/>
          <w:szCs w:val="21"/>
          <w:lang w:eastAsia="zh-CN"/>
        </w:rPr>
        <w:t>职称或相关资格证明等，</w:t>
      </w:r>
      <w:r>
        <w:rPr>
          <w:rFonts w:hint="eastAsia" w:ascii="宋体" w:hAnsi="宋体" w:cs="宋体"/>
          <w:color w:val="000000"/>
          <w:kern w:val="0"/>
          <w:szCs w:val="21"/>
        </w:rPr>
        <w:t>提供复印件并加盖公章。</w:t>
      </w:r>
    </w:p>
    <w:p>
      <w:pPr>
        <w:tabs>
          <w:tab w:val="left" w:pos="3686"/>
        </w:tabs>
        <w:spacing w:beforeLines="50" w:afterLines="50"/>
        <w:rPr>
          <w:rFonts w:hint="eastAsia" w:ascii="宋体" w:hAnsi="宋体" w:cs="宋体"/>
          <w:color w:val="000000"/>
          <w:kern w:val="0"/>
          <w:szCs w:val="21"/>
        </w:rPr>
      </w:pPr>
      <w:r>
        <w:rPr>
          <w:rFonts w:hint="eastAsia" w:ascii="宋体" w:hAnsi="宋体" w:cs="宋体"/>
          <w:color w:val="000000"/>
          <w:kern w:val="0"/>
          <w:szCs w:val="21"/>
        </w:rPr>
        <w:t xml:space="preserve">   </w:t>
      </w:r>
    </w:p>
    <w:p>
      <w:pPr>
        <w:topLinePunct/>
        <w:spacing w:line="440" w:lineRule="exact"/>
        <w:jc w:val="center"/>
        <w:rPr>
          <w:rFonts w:hint="eastAsia" w:ascii="宋体" w:hAnsi="宋体" w:cs="宋体"/>
          <w:color w:val="000000"/>
          <w:sz w:val="20"/>
        </w:rPr>
      </w:pPr>
    </w:p>
    <w:p>
      <w:pPr>
        <w:topLinePunct/>
        <w:spacing w:line="440" w:lineRule="exact"/>
        <w:rPr>
          <w:rFonts w:hint="eastAsia" w:ascii="宋体" w:hAnsi="宋体" w:cs="宋体"/>
          <w:color w:val="000000"/>
          <w:sz w:val="20"/>
        </w:rPr>
      </w:pPr>
    </w:p>
    <w:p>
      <w:pPr>
        <w:pStyle w:val="7"/>
        <w:keepNext w:val="0"/>
        <w:keepLines w:val="0"/>
        <w:jc w:val="center"/>
        <w:rPr>
          <w:rFonts w:hint="eastAsia" w:ascii="宋体" w:hAnsi="宋体" w:eastAsia="宋体" w:cs="宋体"/>
          <w:color w:val="000000"/>
        </w:rPr>
      </w:pPr>
      <w:bookmarkStart w:id="947" w:name="_Toc152042596"/>
      <w:bookmarkStart w:id="948" w:name="_Toc247085890"/>
      <w:bookmarkStart w:id="949" w:name="_Toc3108"/>
      <w:bookmarkStart w:id="950" w:name="_Toc246996372"/>
      <w:bookmarkStart w:id="951" w:name="_Toc152045807"/>
      <w:bookmarkStart w:id="952" w:name="_Toc144974875"/>
      <w:bookmarkStart w:id="953" w:name="_Toc246997115"/>
      <w:bookmarkStart w:id="954" w:name="_Toc11857"/>
      <w:bookmarkStart w:id="955" w:name="_Toc19469"/>
      <w:bookmarkStart w:id="956" w:name="_Toc9054"/>
      <w:bookmarkStart w:id="957" w:name="_Toc13607"/>
      <w:bookmarkStart w:id="958" w:name="_Toc179632827"/>
      <w:bookmarkStart w:id="959" w:name="_Toc453756969"/>
      <w:r>
        <w:rPr>
          <w:rFonts w:hint="eastAsia" w:ascii="宋体" w:hAnsi="宋体" w:eastAsia="宋体" w:cs="宋体"/>
          <w:color w:val="000000"/>
          <w:lang w:val="en-US" w:eastAsia="zh-CN"/>
        </w:rPr>
        <w:t>八</w:t>
      </w:r>
      <w:r>
        <w:rPr>
          <w:rFonts w:hint="eastAsia" w:ascii="宋体" w:hAnsi="宋体" w:eastAsia="宋体" w:cs="宋体"/>
          <w:color w:val="000000"/>
        </w:rPr>
        <w:t>、资格审查资料</w:t>
      </w:r>
      <w:bookmarkEnd w:id="947"/>
      <w:bookmarkEnd w:id="948"/>
      <w:bookmarkEnd w:id="949"/>
      <w:bookmarkEnd w:id="950"/>
      <w:bookmarkEnd w:id="951"/>
      <w:bookmarkEnd w:id="952"/>
      <w:bookmarkEnd w:id="953"/>
      <w:bookmarkEnd w:id="954"/>
      <w:bookmarkEnd w:id="955"/>
      <w:bookmarkEnd w:id="956"/>
      <w:bookmarkEnd w:id="957"/>
      <w:bookmarkEnd w:id="958"/>
      <w:bookmarkEnd w:id="959"/>
    </w:p>
    <w:p>
      <w:pPr>
        <w:pStyle w:val="8"/>
        <w:keepNext w:val="0"/>
        <w:keepLines w:val="0"/>
        <w:jc w:val="center"/>
        <w:rPr>
          <w:rFonts w:hint="eastAsia" w:ascii="宋体" w:hAnsi="宋体" w:cs="宋体"/>
          <w:color w:val="000000"/>
        </w:rPr>
      </w:pPr>
      <w:bookmarkStart w:id="960" w:name="_Toc144974876"/>
      <w:bookmarkStart w:id="961" w:name="_Toc152042597"/>
      <w:bookmarkStart w:id="962" w:name="_Toc247085891"/>
      <w:bookmarkStart w:id="963" w:name="_Toc31079"/>
      <w:bookmarkStart w:id="964" w:name="_Toc25309"/>
      <w:bookmarkStart w:id="965" w:name="_Toc179632828"/>
      <w:bookmarkStart w:id="966" w:name="_Toc453756970"/>
      <w:bookmarkStart w:id="967" w:name="_Toc8660"/>
      <w:bookmarkStart w:id="968" w:name="_Toc152045808"/>
      <w:bookmarkStart w:id="969" w:name="_Toc246997116"/>
      <w:bookmarkStart w:id="970" w:name="_Toc246996373"/>
      <w:bookmarkStart w:id="971" w:name="_Toc7743"/>
      <w:r>
        <w:rPr>
          <w:rFonts w:hint="eastAsia" w:ascii="宋体" w:hAnsi="宋体" w:cs="宋体"/>
          <w:color w:val="000000"/>
        </w:rPr>
        <w:t>（一）投标人基本情况表</w:t>
      </w:r>
      <w:bookmarkEnd w:id="960"/>
      <w:bookmarkEnd w:id="961"/>
      <w:bookmarkEnd w:id="962"/>
      <w:bookmarkEnd w:id="963"/>
      <w:bookmarkEnd w:id="964"/>
      <w:bookmarkEnd w:id="965"/>
      <w:bookmarkEnd w:id="966"/>
      <w:bookmarkEnd w:id="967"/>
      <w:bookmarkEnd w:id="968"/>
      <w:bookmarkEnd w:id="969"/>
      <w:bookmarkEnd w:id="970"/>
      <w:bookmarkEnd w:id="971"/>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54"/>
        <w:gridCol w:w="1748"/>
        <w:gridCol w:w="1223"/>
        <w:gridCol w:w="1066"/>
        <w:gridCol w:w="170"/>
        <w:gridCol w:w="713"/>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hint="eastAsia" w:ascii="宋体" w:hAnsi="宋体" w:cs="宋体"/>
                <w:color w:val="000000"/>
                <w:szCs w:val="21"/>
              </w:rPr>
            </w:pPr>
            <w:r>
              <w:rPr>
                <w:rFonts w:hint="eastAsia" w:ascii="宋体" w:hAnsi="宋体" w:cs="宋体"/>
                <w:color w:val="000000"/>
                <w:szCs w:val="21"/>
              </w:rPr>
              <w:t>投标人名称</w:t>
            </w:r>
          </w:p>
        </w:tc>
        <w:tc>
          <w:tcPr>
            <w:tcW w:w="7148" w:type="dxa"/>
            <w:gridSpan w:val="7"/>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hint="eastAsia" w:ascii="宋体" w:hAnsi="宋体" w:cs="宋体"/>
                <w:color w:val="000000"/>
                <w:szCs w:val="21"/>
              </w:rPr>
            </w:pPr>
            <w:r>
              <w:rPr>
                <w:rFonts w:hint="eastAsia" w:ascii="宋体" w:hAnsi="宋体" w:cs="宋体"/>
                <w:color w:val="000000"/>
                <w:szCs w:val="21"/>
              </w:rPr>
              <w:t>注册地址</w:t>
            </w:r>
          </w:p>
        </w:tc>
        <w:tc>
          <w:tcPr>
            <w:tcW w:w="4025" w:type="dxa"/>
            <w:gridSpan w:val="3"/>
            <w:vAlign w:val="center"/>
          </w:tcPr>
          <w:p>
            <w:pPr>
              <w:jc w:val="center"/>
              <w:rPr>
                <w:rFonts w:hint="eastAsia" w:ascii="宋体" w:hAnsi="宋体" w:cs="宋体"/>
                <w:color w:val="000000"/>
                <w:szCs w:val="21"/>
              </w:rPr>
            </w:pPr>
          </w:p>
        </w:tc>
        <w:tc>
          <w:tcPr>
            <w:tcW w:w="1066" w:type="dxa"/>
            <w:vAlign w:val="center"/>
          </w:tcPr>
          <w:p>
            <w:pPr>
              <w:jc w:val="center"/>
              <w:rPr>
                <w:rFonts w:hint="eastAsia" w:ascii="宋体" w:hAnsi="宋体" w:cs="宋体"/>
                <w:color w:val="000000"/>
                <w:szCs w:val="21"/>
              </w:rPr>
            </w:pPr>
            <w:r>
              <w:rPr>
                <w:rFonts w:hint="eastAsia" w:ascii="宋体" w:hAnsi="宋体" w:cs="宋体"/>
                <w:color w:val="000000"/>
                <w:szCs w:val="21"/>
              </w:rPr>
              <w:t>邮政</w:t>
            </w:r>
          </w:p>
          <w:p>
            <w:pPr>
              <w:jc w:val="center"/>
              <w:rPr>
                <w:rFonts w:hint="eastAsia" w:ascii="宋体" w:hAnsi="宋体" w:cs="宋体"/>
                <w:color w:val="000000"/>
                <w:szCs w:val="21"/>
              </w:rPr>
            </w:pPr>
            <w:r>
              <w:rPr>
                <w:rFonts w:hint="eastAsia" w:ascii="宋体" w:hAnsi="宋体" w:cs="宋体"/>
                <w:color w:val="000000"/>
                <w:szCs w:val="21"/>
              </w:rPr>
              <w:t>编码</w:t>
            </w:r>
          </w:p>
        </w:tc>
        <w:tc>
          <w:tcPr>
            <w:tcW w:w="2057" w:type="dxa"/>
            <w:gridSpan w:val="3"/>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restart"/>
            <w:vAlign w:val="center"/>
          </w:tcPr>
          <w:p>
            <w:pPr>
              <w:jc w:val="center"/>
              <w:rPr>
                <w:rFonts w:hint="eastAsia" w:ascii="宋体" w:hAnsi="宋体" w:cs="宋体"/>
                <w:color w:val="000000"/>
                <w:szCs w:val="21"/>
              </w:rPr>
            </w:pPr>
            <w:r>
              <w:rPr>
                <w:rFonts w:hint="eastAsia" w:ascii="宋体" w:hAnsi="宋体" w:cs="宋体"/>
                <w:color w:val="000000"/>
                <w:szCs w:val="21"/>
              </w:rPr>
              <w:t>联系方式</w:t>
            </w:r>
          </w:p>
        </w:tc>
        <w:tc>
          <w:tcPr>
            <w:tcW w:w="1054" w:type="dxa"/>
            <w:vAlign w:val="center"/>
          </w:tcPr>
          <w:p>
            <w:pPr>
              <w:jc w:val="center"/>
              <w:rPr>
                <w:rFonts w:hint="eastAsia" w:ascii="宋体" w:hAnsi="宋体" w:cs="宋体"/>
                <w:color w:val="000000"/>
                <w:szCs w:val="21"/>
              </w:rPr>
            </w:pPr>
            <w:r>
              <w:rPr>
                <w:rFonts w:hint="eastAsia" w:ascii="宋体" w:hAnsi="宋体" w:cs="宋体"/>
                <w:color w:val="000000"/>
                <w:szCs w:val="21"/>
              </w:rPr>
              <w:t>联系人</w:t>
            </w:r>
          </w:p>
        </w:tc>
        <w:tc>
          <w:tcPr>
            <w:tcW w:w="2971" w:type="dxa"/>
            <w:gridSpan w:val="2"/>
            <w:vAlign w:val="center"/>
          </w:tcPr>
          <w:p>
            <w:pPr>
              <w:jc w:val="center"/>
              <w:rPr>
                <w:rFonts w:hint="eastAsia" w:ascii="宋体" w:hAnsi="宋体" w:cs="宋体"/>
                <w:color w:val="000000"/>
                <w:szCs w:val="21"/>
              </w:rPr>
            </w:pPr>
          </w:p>
        </w:tc>
        <w:tc>
          <w:tcPr>
            <w:tcW w:w="1066" w:type="dxa"/>
            <w:vAlign w:val="center"/>
          </w:tcPr>
          <w:p>
            <w:pPr>
              <w:jc w:val="center"/>
              <w:rPr>
                <w:rFonts w:hint="eastAsia" w:ascii="宋体" w:hAnsi="宋体" w:cs="宋体"/>
                <w:color w:val="000000"/>
                <w:szCs w:val="21"/>
              </w:rPr>
            </w:pPr>
            <w:r>
              <w:rPr>
                <w:rFonts w:hint="eastAsia" w:ascii="宋体" w:hAnsi="宋体" w:cs="宋体"/>
                <w:color w:val="000000"/>
                <w:szCs w:val="21"/>
              </w:rPr>
              <w:t>电话</w:t>
            </w:r>
          </w:p>
        </w:tc>
        <w:tc>
          <w:tcPr>
            <w:tcW w:w="2057" w:type="dxa"/>
            <w:gridSpan w:val="3"/>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continue"/>
            <w:vAlign w:val="center"/>
          </w:tcPr>
          <w:p>
            <w:pPr>
              <w:jc w:val="center"/>
              <w:rPr>
                <w:rFonts w:hint="eastAsia" w:ascii="宋体" w:hAnsi="宋体" w:cs="宋体"/>
                <w:color w:val="000000"/>
                <w:szCs w:val="21"/>
              </w:rPr>
            </w:pPr>
          </w:p>
        </w:tc>
        <w:tc>
          <w:tcPr>
            <w:tcW w:w="1054" w:type="dxa"/>
            <w:vAlign w:val="center"/>
          </w:tcPr>
          <w:p>
            <w:pPr>
              <w:jc w:val="center"/>
              <w:rPr>
                <w:rFonts w:hint="eastAsia" w:ascii="宋体" w:hAnsi="宋体" w:cs="宋体"/>
                <w:color w:val="000000"/>
                <w:szCs w:val="21"/>
              </w:rPr>
            </w:pPr>
            <w:r>
              <w:rPr>
                <w:rFonts w:hint="eastAsia" w:ascii="宋体" w:hAnsi="宋体" w:cs="宋体"/>
                <w:color w:val="000000"/>
                <w:szCs w:val="21"/>
              </w:rPr>
              <w:t>传  真</w:t>
            </w:r>
          </w:p>
        </w:tc>
        <w:tc>
          <w:tcPr>
            <w:tcW w:w="2971" w:type="dxa"/>
            <w:gridSpan w:val="2"/>
            <w:vAlign w:val="center"/>
          </w:tcPr>
          <w:p>
            <w:pPr>
              <w:jc w:val="center"/>
              <w:rPr>
                <w:rFonts w:hint="eastAsia" w:ascii="宋体" w:hAnsi="宋体" w:cs="宋体"/>
                <w:color w:val="000000"/>
                <w:szCs w:val="21"/>
              </w:rPr>
            </w:pPr>
          </w:p>
        </w:tc>
        <w:tc>
          <w:tcPr>
            <w:tcW w:w="1066" w:type="dxa"/>
            <w:vAlign w:val="center"/>
          </w:tcPr>
          <w:p>
            <w:pPr>
              <w:jc w:val="center"/>
              <w:rPr>
                <w:rFonts w:hint="eastAsia" w:ascii="宋体" w:hAnsi="宋体" w:cs="宋体"/>
                <w:color w:val="000000"/>
                <w:szCs w:val="21"/>
              </w:rPr>
            </w:pPr>
            <w:r>
              <w:rPr>
                <w:rFonts w:hint="eastAsia" w:ascii="宋体" w:hAnsi="宋体" w:cs="宋体"/>
                <w:color w:val="000000"/>
                <w:szCs w:val="21"/>
              </w:rPr>
              <w:t>网址</w:t>
            </w:r>
          </w:p>
        </w:tc>
        <w:tc>
          <w:tcPr>
            <w:tcW w:w="2057" w:type="dxa"/>
            <w:gridSpan w:val="3"/>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hint="eastAsia" w:ascii="宋体" w:hAnsi="宋体" w:cs="宋体"/>
                <w:color w:val="000000"/>
                <w:szCs w:val="21"/>
              </w:rPr>
            </w:pPr>
            <w:r>
              <w:rPr>
                <w:rFonts w:hint="eastAsia" w:ascii="宋体" w:hAnsi="宋体" w:cs="宋体"/>
                <w:color w:val="000000"/>
                <w:szCs w:val="21"/>
              </w:rPr>
              <w:t>法定代表人</w:t>
            </w:r>
          </w:p>
        </w:tc>
        <w:tc>
          <w:tcPr>
            <w:tcW w:w="1054" w:type="dxa"/>
            <w:vAlign w:val="center"/>
          </w:tcPr>
          <w:p>
            <w:pPr>
              <w:jc w:val="center"/>
              <w:rPr>
                <w:rFonts w:hint="eastAsia" w:ascii="宋体" w:hAnsi="宋体" w:cs="宋体"/>
                <w:color w:val="000000"/>
                <w:szCs w:val="21"/>
              </w:rPr>
            </w:pPr>
            <w:r>
              <w:rPr>
                <w:rFonts w:hint="eastAsia" w:ascii="宋体" w:hAnsi="宋体" w:cs="宋体"/>
                <w:color w:val="000000"/>
                <w:szCs w:val="21"/>
              </w:rPr>
              <w:t>姓 名</w:t>
            </w:r>
          </w:p>
        </w:tc>
        <w:tc>
          <w:tcPr>
            <w:tcW w:w="1748" w:type="dxa"/>
            <w:vAlign w:val="center"/>
          </w:tcPr>
          <w:p>
            <w:pPr>
              <w:jc w:val="center"/>
              <w:rPr>
                <w:rFonts w:hint="eastAsia" w:ascii="宋体" w:hAnsi="宋体" w:cs="宋体"/>
                <w:color w:val="000000"/>
                <w:szCs w:val="21"/>
              </w:rPr>
            </w:pPr>
          </w:p>
        </w:tc>
        <w:tc>
          <w:tcPr>
            <w:tcW w:w="1223" w:type="dxa"/>
            <w:vAlign w:val="center"/>
          </w:tcPr>
          <w:p>
            <w:pPr>
              <w:jc w:val="center"/>
              <w:rPr>
                <w:rFonts w:hint="eastAsia" w:ascii="宋体" w:hAnsi="宋体" w:cs="宋体"/>
                <w:color w:val="000000"/>
                <w:szCs w:val="21"/>
              </w:rPr>
            </w:pPr>
            <w:r>
              <w:rPr>
                <w:rFonts w:hint="eastAsia" w:ascii="宋体" w:hAnsi="宋体" w:cs="宋体"/>
                <w:color w:val="000000"/>
                <w:szCs w:val="21"/>
              </w:rPr>
              <w:t>电话</w:t>
            </w:r>
          </w:p>
        </w:tc>
        <w:tc>
          <w:tcPr>
            <w:tcW w:w="1236" w:type="dxa"/>
            <w:gridSpan w:val="2"/>
            <w:vAlign w:val="center"/>
          </w:tcPr>
          <w:p>
            <w:pPr>
              <w:jc w:val="center"/>
              <w:rPr>
                <w:rFonts w:hint="eastAsia" w:ascii="宋体" w:hAnsi="宋体" w:cs="宋体"/>
                <w:color w:val="000000"/>
                <w:szCs w:val="21"/>
              </w:rPr>
            </w:pPr>
          </w:p>
        </w:tc>
        <w:tc>
          <w:tcPr>
            <w:tcW w:w="713" w:type="dxa"/>
            <w:vAlign w:val="center"/>
          </w:tcPr>
          <w:p>
            <w:pPr>
              <w:jc w:val="center"/>
              <w:rPr>
                <w:rFonts w:hint="eastAsia" w:ascii="宋体" w:hAnsi="宋体" w:cs="宋体"/>
                <w:color w:val="000000"/>
                <w:szCs w:val="21"/>
              </w:rPr>
            </w:pPr>
            <w:r>
              <w:rPr>
                <w:rFonts w:hint="eastAsia" w:ascii="宋体" w:hAnsi="宋体" w:cs="宋体"/>
                <w:color w:val="000000"/>
                <w:szCs w:val="21"/>
              </w:rPr>
              <w:t>电话</w:t>
            </w:r>
          </w:p>
        </w:tc>
        <w:tc>
          <w:tcPr>
            <w:tcW w:w="1174" w:type="dxa"/>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hint="eastAsia" w:ascii="宋体" w:hAnsi="宋体" w:cs="宋体"/>
                <w:color w:val="000000"/>
                <w:szCs w:val="21"/>
              </w:rPr>
            </w:pPr>
            <w:r>
              <w:rPr>
                <w:rFonts w:hint="eastAsia" w:ascii="宋体" w:hAnsi="宋体" w:cs="宋体"/>
                <w:color w:val="000000"/>
                <w:szCs w:val="21"/>
              </w:rPr>
              <w:t>成立时间</w:t>
            </w:r>
          </w:p>
        </w:tc>
        <w:tc>
          <w:tcPr>
            <w:tcW w:w="2802" w:type="dxa"/>
            <w:gridSpan w:val="2"/>
            <w:vAlign w:val="center"/>
          </w:tcPr>
          <w:p>
            <w:pPr>
              <w:jc w:val="center"/>
              <w:rPr>
                <w:rFonts w:hint="eastAsia" w:ascii="宋体" w:hAnsi="宋体" w:cs="宋体"/>
                <w:color w:val="000000"/>
                <w:szCs w:val="21"/>
              </w:rPr>
            </w:pPr>
          </w:p>
        </w:tc>
        <w:tc>
          <w:tcPr>
            <w:tcW w:w="4346" w:type="dxa"/>
            <w:gridSpan w:val="5"/>
            <w:vAlign w:val="center"/>
          </w:tcPr>
          <w:p>
            <w:pPr>
              <w:rPr>
                <w:rFonts w:hint="eastAsia"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hint="eastAsia" w:ascii="宋体" w:hAnsi="宋体" w:cs="宋体"/>
                <w:color w:val="000000"/>
                <w:szCs w:val="21"/>
              </w:rPr>
            </w:pPr>
            <w:r>
              <w:rPr>
                <w:rFonts w:hint="eastAsia" w:ascii="宋体" w:hAnsi="宋体" w:cs="宋体"/>
                <w:color w:val="000000"/>
                <w:szCs w:val="21"/>
              </w:rPr>
              <w:t>统一社会信用代码</w:t>
            </w:r>
          </w:p>
        </w:tc>
        <w:tc>
          <w:tcPr>
            <w:tcW w:w="7148" w:type="dxa"/>
            <w:gridSpan w:val="7"/>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hint="eastAsia" w:ascii="宋体" w:hAnsi="宋体" w:cs="宋体"/>
                <w:color w:val="000000"/>
                <w:szCs w:val="21"/>
              </w:rPr>
            </w:pPr>
            <w:r>
              <w:rPr>
                <w:rFonts w:hint="eastAsia" w:ascii="宋体" w:hAnsi="宋体" w:cs="宋体"/>
                <w:color w:val="000000"/>
                <w:szCs w:val="21"/>
              </w:rPr>
              <w:t>注册资金</w:t>
            </w:r>
          </w:p>
        </w:tc>
        <w:tc>
          <w:tcPr>
            <w:tcW w:w="7148" w:type="dxa"/>
            <w:gridSpan w:val="7"/>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hint="eastAsia" w:ascii="宋体" w:hAnsi="宋体" w:cs="宋体"/>
                <w:color w:val="000000"/>
                <w:szCs w:val="21"/>
              </w:rPr>
            </w:pPr>
            <w:r>
              <w:rPr>
                <w:rFonts w:hint="eastAsia" w:ascii="宋体" w:hAnsi="宋体" w:cs="宋体"/>
                <w:color w:val="000000"/>
                <w:szCs w:val="21"/>
              </w:rPr>
              <w:t>开户银行</w:t>
            </w:r>
          </w:p>
        </w:tc>
        <w:tc>
          <w:tcPr>
            <w:tcW w:w="7148" w:type="dxa"/>
            <w:gridSpan w:val="7"/>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hint="eastAsia" w:ascii="宋体" w:hAnsi="宋体" w:cs="宋体"/>
                <w:color w:val="000000"/>
                <w:szCs w:val="21"/>
              </w:rPr>
            </w:pPr>
            <w:r>
              <w:rPr>
                <w:rFonts w:hint="eastAsia" w:ascii="宋体" w:hAnsi="宋体" w:cs="宋体"/>
                <w:color w:val="000000"/>
                <w:szCs w:val="21"/>
              </w:rPr>
              <w:t>账   号</w:t>
            </w:r>
          </w:p>
        </w:tc>
        <w:tc>
          <w:tcPr>
            <w:tcW w:w="7148" w:type="dxa"/>
            <w:gridSpan w:val="7"/>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045" w:type="dxa"/>
            <w:vAlign w:val="center"/>
          </w:tcPr>
          <w:p>
            <w:pPr>
              <w:jc w:val="center"/>
              <w:rPr>
                <w:rFonts w:hint="eastAsia" w:ascii="宋体" w:hAnsi="宋体" w:cs="宋体"/>
                <w:color w:val="000000"/>
                <w:szCs w:val="21"/>
              </w:rPr>
            </w:pPr>
            <w:r>
              <w:rPr>
                <w:rFonts w:hint="eastAsia" w:ascii="宋体" w:hAnsi="宋体" w:cs="宋体"/>
                <w:color w:val="000000"/>
                <w:szCs w:val="21"/>
              </w:rPr>
              <w:t>经营范围</w:t>
            </w:r>
          </w:p>
        </w:tc>
        <w:tc>
          <w:tcPr>
            <w:tcW w:w="7148" w:type="dxa"/>
            <w:gridSpan w:val="7"/>
            <w:vAlign w:val="center"/>
          </w:tcPr>
          <w:p>
            <w:pPr>
              <w:jc w:val="center"/>
              <w:rPr>
                <w:rFonts w:hint="eastAsia" w:ascii="宋体" w:hAnsi="宋体" w:cs="宋体"/>
                <w:color w:val="000000"/>
                <w:szCs w:val="21"/>
              </w:rPr>
            </w:pPr>
          </w:p>
        </w:tc>
      </w:tr>
    </w:tbl>
    <w:p>
      <w:pPr>
        <w:rPr>
          <w:rFonts w:hint="eastAsia" w:ascii="宋体" w:hAnsi="宋体" w:cs="宋体"/>
          <w:color w:val="000000"/>
          <w:sz w:val="21"/>
          <w:szCs w:val="21"/>
        </w:rPr>
      </w:pPr>
      <w:r>
        <w:rPr>
          <w:rFonts w:hint="eastAsia" w:ascii="宋体" w:hAnsi="宋体" w:cs="宋体"/>
          <w:color w:val="000000"/>
          <w:sz w:val="21"/>
          <w:szCs w:val="21"/>
        </w:rPr>
        <w:t>备注：本表后应附企业法人营业执照副本、开户证明文件等材料的复印件。</w:t>
      </w:r>
      <w:bookmarkStart w:id="972" w:name="_Toc144974881"/>
      <w:bookmarkStart w:id="973" w:name="_Toc179632833"/>
      <w:bookmarkStart w:id="974" w:name="_Toc152042602"/>
      <w:bookmarkStart w:id="975" w:name="_Toc152045813"/>
    </w:p>
    <w:p>
      <w:pPr>
        <w:pStyle w:val="8"/>
        <w:keepNext w:val="0"/>
        <w:keepLines w:val="0"/>
        <w:jc w:val="center"/>
        <w:rPr>
          <w:rFonts w:hint="eastAsia" w:ascii="宋体" w:hAnsi="宋体" w:cs="宋体"/>
          <w:color w:val="000000"/>
        </w:rPr>
      </w:pPr>
      <w:bookmarkStart w:id="976" w:name="_Toc247514301"/>
      <w:bookmarkStart w:id="977" w:name="_Toc453756971"/>
      <w:bookmarkStart w:id="978" w:name="_Toc247527849"/>
      <w:bookmarkStart w:id="979" w:name="_Toc152042598"/>
      <w:bookmarkStart w:id="980" w:name="_Toc152045809"/>
      <w:bookmarkStart w:id="981" w:name="_Toc265953295"/>
      <w:bookmarkStart w:id="982" w:name="_Toc144974877"/>
    </w:p>
    <w:p>
      <w:pPr>
        <w:rPr>
          <w:rFonts w:hint="eastAsia" w:ascii="宋体"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8"/>
        <w:keepNext w:val="0"/>
        <w:keepLines w:val="0"/>
        <w:jc w:val="center"/>
        <w:rPr>
          <w:rFonts w:hint="eastAsia" w:ascii="宋体" w:hAnsi="宋体" w:cs="宋体"/>
          <w:color w:val="000000"/>
        </w:rPr>
      </w:pPr>
      <w:bookmarkStart w:id="983" w:name="_Toc18146"/>
      <w:bookmarkStart w:id="984" w:name="_Toc21115"/>
      <w:bookmarkStart w:id="985" w:name="_Toc1521"/>
      <w:bookmarkStart w:id="986" w:name="_Toc6615"/>
      <w:r>
        <w:rPr>
          <w:rFonts w:hint="eastAsia" w:ascii="宋体" w:hAnsi="宋体" w:cs="宋体"/>
          <w:color w:val="000000"/>
        </w:rPr>
        <w:t>（二）</w:t>
      </w:r>
      <w:r>
        <w:rPr>
          <w:rFonts w:hint="eastAsia" w:ascii="宋体" w:hAnsi="宋体" w:cs="宋体"/>
          <w:color w:val="000000"/>
          <w:lang w:eastAsia="zh-CN"/>
        </w:rPr>
        <w:t>投标单位</w:t>
      </w:r>
      <w:r>
        <w:rPr>
          <w:rFonts w:hint="eastAsia" w:ascii="宋体" w:hAnsi="宋体" w:cs="宋体"/>
          <w:color w:val="000000"/>
        </w:rPr>
        <w:t>财务</w:t>
      </w:r>
      <w:r>
        <w:rPr>
          <w:rFonts w:hint="eastAsia" w:ascii="宋体" w:hAnsi="宋体" w:cs="宋体"/>
          <w:color w:val="000000"/>
          <w:lang w:eastAsia="zh-CN"/>
        </w:rPr>
        <w:t>、社保及纳税</w:t>
      </w:r>
      <w:r>
        <w:rPr>
          <w:rFonts w:hint="eastAsia" w:ascii="宋体" w:hAnsi="宋体" w:cs="宋体"/>
          <w:color w:val="000000"/>
        </w:rPr>
        <w:t>状况</w:t>
      </w:r>
      <w:bookmarkEnd w:id="976"/>
      <w:bookmarkEnd w:id="977"/>
      <w:bookmarkEnd w:id="978"/>
      <w:bookmarkEnd w:id="979"/>
      <w:bookmarkEnd w:id="980"/>
      <w:bookmarkEnd w:id="981"/>
      <w:bookmarkEnd w:id="982"/>
      <w:bookmarkEnd w:id="983"/>
      <w:bookmarkEnd w:id="984"/>
      <w:bookmarkEnd w:id="985"/>
      <w:bookmarkEnd w:id="986"/>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供应商应按照《长春市财政局关于加强政府采购信用体系建设简化供应商资格条件有关事项的通知》（长财采购〔2022〕2066号）文件要求</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在</w:t>
      </w:r>
      <w:r>
        <w:rPr>
          <w:rFonts w:hint="eastAsia" w:ascii="宋体" w:hAnsi="宋体" w:cs="宋体"/>
          <w:color w:val="000000"/>
          <w:sz w:val="24"/>
          <w:szCs w:val="24"/>
          <w:highlight w:val="none"/>
          <w:lang w:eastAsia="zh-CN"/>
        </w:rPr>
        <w:t>投标</w:t>
      </w:r>
      <w:r>
        <w:rPr>
          <w:rFonts w:hint="eastAsia" w:ascii="宋体" w:hAnsi="宋体" w:cs="宋体"/>
          <w:color w:val="000000"/>
          <w:sz w:val="24"/>
          <w:szCs w:val="24"/>
          <w:highlight w:val="none"/>
        </w:rPr>
        <w:t>文件中提交反映其财务状况、依法缴纳税收和社保保障资金情况的资格条件承诺函，并对资格条件承诺函有关内容的真实性、有效性、合法性负责</w:t>
      </w:r>
      <w:r>
        <w:rPr>
          <w:rFonts w:hint="eastAsia" w:ascii="宋体" w:hAnsi="宋体" w:cs="宋体"/>
          <w:color w:val="000000"/>
          <w:sz w:val="24"/>
          <w:szCs w:val="24"/>
          <w:highlight w:val="none"/>
          <w:lang w:val="en-US" w:eastAsia="zh-CN"/>
        </w:rPr>
        <w:t xml:space="preserve">。格式附后。 </w:t>
      </w: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pStyle w:val="20"/>
        <w:rPr>
          <w:rFonts w:hint="eastAsia" w:hAnsi="宋体" w:cs="宋体"/>
          <w:color w:val="000000"/>
          <w:sz w:val="24"/>
        </w:rPr>
      </w:pPr>
    </w:p>
    <w:p>
      <w:pPr>
        <w:topLinePunct/>
        <w:spacing w:line="440" w:lineRule="exact"/>
        <w:jc w:val="center"/>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spacing w:line="440" w:lineRule="exact"/>
        <w:rPr>
          <w:rFonts w:hint="eastAsia" w:ascii="宋体" w:hAnsi="宋体" w:cs="宋体"/>
          <w:color w:val="000000"/>
          <w:sz w:val="20"/>
          <w:szCs w:val="20"/>
        </w:rPr>
      </w:pPr>
    </w:p>
    <w:p>
      <w:pPr>
        <w:pStyle w:val="20"/>
        <w:rPr>
          <w:rFonts w:hint="eastAsia" w:hAnsi="宋体" w:cs="宋体"/>
          <w:color w:val="000000"/>
        </w:rPr>
      </w:pPr>
    </w:p>
    <w:p>
      <w:pPr>
        <w:spacing w:line="440" w:lineRule="exact"/>
        <w:rPr>
          <w:rFonts w:hint="eastAsia" w:ascii="宋体" w:hAnsi="宋体" w:cs="宋体"/>
          <w:color w:val="000000"/>
          <w:sz w:val="23"/>
          <w:szCs w:val="23"/>
        </w:rPr>
      </w:pPr>
    </w:p>
    <w:p>
      <w:pPr>
        <w:pStyle w:val="8"/>
        <w:keepNext w:val="0"/>
        <w:keepLines w:val="0"/>
        <w:jc w:val="center"/>
        <w:rPr>
          <w:rFonts w:hint="eastAsia" w:ascii="宋体" w:hAnsi="宋体" w:cs="宋体"/>
          <w:color w:val="000000"/>
        </w:rPr>
      </w:pPr>
      <w:bookmarkStart w:id="987" w:name="_Toc152042599"/>
      <w:bookmarkStart w:id="988" w:name="_Toc152045810"/>
      <w:bookmarkStart w:id="989" w:name="_Toc144974878"/>
      <w:bookmarkStart w:id="990" w:name="_Toc453756972"/>
      <w:bookmarkStart w:id="991" w:name="_Toc247527850"/>
      <w:bookmarkStart w:id="992" w:name="_Toc29493"/>
      <w:bookmarkStart w:id="993" w:name="_Toc7575"/>
      <w:bookmarkStart w:id="994" w:name="_Toc265953296"/>
      <w:bookmarkStart w:id="995" w:name="_Toc26362"/>
      <w:bookmarkStart w:id="996" w:name="_Toc247514302"/>
      <w:bookmarkStart w:id="997" w:name="_Toc29082"/>
      <w:r>
        <w:rPr>
          <w:rFonts w:hint="eastAsia" w:ascii="宋体" w:hAnsi="宋体" w:cs="宋体"/>
          <w:color w:val="000000"/>
        </w:rPr>
        <w:t>资格条件承诺函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（采购人</w:t>
      </w:r>
      <w:r>
        <w:rPr>
          <w:rFonts w:hint="eastAsia" w:ascii="宋体" w:hAnsi="宋体" w:cs="宋体"/>
          <w:color w:val="000000"/>
          <w:sz w:val="24"/>
          <w:szCs w:val="24"/>
          <w:highlight w:val="none"/>
          <w:u w:val="single"/>
          <w:lang w:eastAsia="zh-CN"/>
        </w:rPr>
        <w:t>、采购代理机构</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我单位（公司）参与</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（采购项目名称 项目编号）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 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2. 具有依法缴纳税收的良好记录；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我单位（公司）对上述承诺的真实性负责。如有虚假，将依法承担相应责任。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日期：</w:t>
      </w:r>
    </w:p>
    <w:p>
      <w:pPr>
        <w:pStyle w:val="8"/>
        <w:keepNext w:val="0"/>
        <w:keepLines w:val="0"/>
        <w:jc w:val="right"/>
        <w:rPr>
          <w:rFonts w:hint="eastAsia" w:ascii="宋体" w:hAnsi="宋体" w:eastAsia="宋体" w:cs="宋体"/>
          <w:b w:val="0"/>
          <w:bCs w:val="0"/>
          <w:color w:val="000000"/>
          <w:kern w:val="2"/>
          <w:sz w:val="24"/>
          <w:szCs w:val="24"/>
          <w:highlight w:val="none"/>
          <w:lang w:val="en-US" w:eastAsia="zh-CN" w:bidi="ar-SA"/>
        </w:rPr>
      </w:pPr>
    </w:p>
    <w:p>
      <w:pPr>
        <w:pStyle w:val="8"/>
        <w:keepNext w:val="0"/>
        <w:keepLines w:val="0"/>
        <w:jc w:val="right"/>
        <w:rPr>
          <w:rFonts w:hint="eastAsia" w:ascii="宋体" w:hAnsi="宋体" w:eastAsia="宋体" w:cs="宋体"/>
          <w:b w:val="0"/>
          <w:bCs w:val="0"/>
          <w:color w:val="000000"/>
          <w:kern w:val="2"/>
          <w:sz w:val="24"/>
          <w:szCs w:val="24"/>
          <w:highlight w:val="none"/>
          <w:lang w:val="en-US" w:eastAsia="zh-CN" w:bidi="ar-SA"/>
        </w:rPr>
      </w:pPr>
    </w:p>
    <w:p>
      <w:pPr>
        <w:pStyle w:val="8"/>
        <w:keepNext w:val="0"/>
        <w:keepLines w:val="0"/>
        <w:jc w:val="right"/>
        <w:rPr>
          <w:rFonts w:hint="eastAsia" w:ascii="宋体" w:hAnsi="宋体" w:eastAsia="宋体" w:cs="宋体"/>
          <w:b w:val="0"/>
          <w:bCs w:val="0"/>
          <w:color w:val="000000"/>
          <w:kern w:val="2"/>
          <w:sz w:val="24"/>
          <w:szCs w:val="24"/>
          <w:highlight w:val="none"/>
          <w:lang w:val="en-US" w:eastAsia="zh-CN" w:bidi="ar-SA"/>
        </w:rPr>
      </w:pPr>
    </w:p>
    <w:p>
      <w:pPr>
        <w:pStyle w:val="8"/>
        <w:keepNext w:val="0"/>
        <w:keepLines w:val="0"/>
        <w:jc w:val="right"/>
        <w:rPr>
          <w:rFonts w:hint="eastAsia" w:ascii="宋体" w:hAnsi="宋体" w:eastAsia="宋体" w:cs="宋体"/>
          <w:b w:val="0"/>
          <w:bCs w:val="0"/>
          <w:color w:val="000000"/>
          <w:kern w:val="2"/>
          <w:sz w:val="24"/>
          <w:szCs w:val="24"/>
          <w:highlight w:val="none"/>
          <w:lang w:val="en-US" w:eastAsia="zh-CN" w:bidi="ar-SA"/>
        </w:rPr>
      </w:pPr>
    </w:p>
    <w:p>
      <w:pPr>
        <w:pStyle w:val="8"/>
        <w:keepNext w:val="0"/>
        <w:keepLines w:val="0"/>
        <w:jc w:val="both"/>
        <w:rPr>
          <w:rFonts w:hint="eastAsia" w:ascii="宋体" w:hAnsi="宋体" w:eastAsia="宋体" w:cs="宋体"/>
          <w:b w:val="0"/>
          <w:bCs w:val="0"/>
          <w:color w:val="000000"/>
          <w:kern w:val="2"/>
          <w:sz w:val="24"/>
          <w:szCs w:val="24"/>
          <w:highlight w:val="none"/>
          <w:lang w:val="en-US" w:eastAsia="zh-CN" w:bidi="ar-SA"/>
        </w:rPr>
      </w:pPr>
    </w:p>
    <w:p>
      <w:pPr>
        <w:rPr>
          <w:rFonts w:hint="eastAsia"/>
          <w:lang w:val="en-US" w:eastAsia="zh-CN"/>
        </w:rPr>
      </w:pPr>
    </w:p>
    <w:p>
      <w:pPr>
        <w:pStyle w:val="8"/>
        <w:keepNext w:val="0"/>
        <w:keepLines w:val="0"/>
        <w:jc w:val="center"/>
        <w:rPr>
          <w:rFonts w:hint="eastAsia" w:ascii="宋体" w:hAnsi="宋体" w:cs="宋体"/>
          <w:color w:val="000000"/>
        </w:rPr>
      </w:pPr>
      <w:r>
        <w:rPr>
          <w:rFonts w:hint="eastAsia" w:ascii="宋体" w:hAnsi="宋体" w:cs="宋体"/>
          <w:color w:val="000000"/>
        </w:rPr>
        <w:t>（三）近年完成的类似项目情况表</w:t>
      </w:r>
      <w:bookmarkEnd w:id="987"/>
      <w:bookmarkEnd w:id="988"/>
      <w:bookmarkEnd w:id="989"/>
      <w:bookmarkEnd w:id="990"/>
      <w:bookmarkEnd w:id="991"/>
      <w:bookmarkEnd w:id="992"/>
      <w:bookmarkEnd w:id="993"/>
      <w:bookmarkEnd w:id="994"/>
      <w:bookmarkEnd w:id="995"/>
      <w:bookmarkEnd w:id="996"/>
      <w:bookmarkEnd w:id="997"/>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bookmarkStart w:id="998" w:name="_Toc453756973"/>
            <w:bookmarkStart w:id="999" w:name="_Toc144974879"/>
            <w:bookmarkStart w:id="1000" w:name="_Toc152042600"/>
            <w:bookmarkStart w:id="1001" w:name="_Toc152045811"/>
            <w:bookmarkStart w:id="1002" w:name="_Toc247527851"/>
            <w:bookmarkStart w:id="1003" w:name="_Toc247514303"/>
            <w:bookmarkStart w:id="1004" w:name="_Toc265953297"/>
            <w:r>
              <w:rPr>
                <w:rFonts w:hint="eastAsia" w:ascii="宋体" w:hAnsi="宋体" w:cs="宋体"/>
                <w:color w:val="000000"/>
                <w:szCs w:val="21"/>
                <w:lang w:eastAsia="zh-CN"/>
              </w:rPr>
              <w:t>采购</w:t>
            </w:r>
            <w:r>
              <w:rPr>
                <w:rFonts w:hint="eastAsia" w:ascii="宋体" w:hAnsi="宋体" w:cs="宋体"/>
                <w:color w:val="000000"/>
                <w:szCs w:val="21"/>
              </w:rPr>
              <w:t>人</w:t>
            </w:r>
          </w:p>
        </w:tc>
        <w:tc>
          <w:tcPr>
            <w:tcW w:w="6254" w:type="dxa"/>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r>
              <w:rPr>
                <w:rFonts w:hint="eastAsia" w:ascii="宋体" w:hAnsi="宋体" w:cs="宋体"/>
                <w:color w:val="000000"/>
                <w:szCs w:val="21"/>
              </w:rPr>
              <w:t>项目名称</w:t>
            </w:r>
          </w:p>
        </w:tc>
        <w:tc>
          <w:tcPr>
            <w:tcW w:w="6254" w:type="dxa"/>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r>
              <w:rPr>
                <w:rFonts w:hint="eastAsia" w:ascii="宋体" w:hAnsi="宋体" w:cs="宋体"/>
                <w:color w:val="000000"/>
                <w:szCs w:val="21"/>
              </w:rPr>
              <w:t>合同金额</w:t>
            </w:r>
          </w:p>
        </w:tc>
        <w:tc>
          <w:tcPr>
            <w:tcW w:w="6254" w:type="dxa"/>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r>
              <w:rPr>
                <w:rFonts w:hint="eastAsia" w:ascii="宋体" w:hAnsi="宋体" w:cs="宋体"/>
                <w:color w:val="000000"/>
                <w:szCs w:val="21"/>
              </w:rPr>
              <w:t>完 成 日 期</w:t>
            </w:r>
          </w:p>
          <w:p>
            <w:pPr>
              <w:jc w:val="center"/>
              <w:rPr>
                <w:rFonts w:hint="eastAsia" w:ascii="宋体" w:hAnsi="宋体" w:cs="宋体"/>
                <w:color w:val="000000"/>
                <w:szCs w:val="21"/>
              </w:rPr>
            </w:pPr>
            <w:r>
              <w:rPr>
                <w:rFonts w:hint="eastAsia" w:ascii="宋体" w:hAnsi="宋体" w:cs="宋体"/>
                <w:color w:val="000000"/>
                <w:szCs w:val="21"/>
              </w:rPr>
              <w:t>（年/月/日）</w:t>
            </w:r>
          </w:p>
        </w:tc>
        <w:tc>
          <w:tcPr>
            <w:tcW w:w="6254" w:type="dxa"/>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r>
              <w:rPr>
                <w:rFonts w:hint="eastAsia" w:ascii="宋体" w:hAnsi="宋体" w:cs="宋体"/>
                <w:color w:val="000000"/>
                <w:szCs w:val="21"/>
              </w:rPr>
              <w:t>……</w:t>
            </w:r>
          </w:p>
        </w:tc>
        <w:tc>
          <w:tcPr>
            <w:tcW w:w="6254" w:type="dxa"/>
            <w:vAlign w:val="center"/>
          </w:tcPr>
          <w:p>
            <w:pPr>
              <w:jc w:val="center"/>
              <w:rPr>
                <w:rFonts w:hint="eastAsia" w:ascii="宋体" w:hAnsi="宋体" w:cs="宋体"/>
                <w:color w:val="000000"/>
                <w:szCs w:val="21"/>
              </w:rPr>
            </w:pPr>
          </w:p>
        </w:tc>
      </w:tr>
    </w:tbl>
    <w:p>
      <w:pPr>
        <w:spacing w:line="440" w:lineRule="exact"/>
        <w:ind w:left="258" w:leftChars="123"/>
        <w:rPr>
          <w:rFonts w:hint="eastAsia" w:ascii="宋体" w:hAnsi="宋体" w:cs="宋体"/>
          <w:color w:val="000000"/>
          <w:szCs w:val="21"/>
        </w:rPr>
      </w:pPr>
      <w:r>
        <w:rPr>
          <w:rFonts w:hint="eastAsia" w:ascii="宋体" w:hAnsi="宋体" w:cs="宋体"/>
          <w:color w:val="000000"/>
          <w:szCs w:val="21"/>
        </w:rPr>
        <w:t>备注：本表后附提供加盖公章的中标通知书或合同协议书复印件，具体年份要求见投标人须知前附表。每张表格只填写一个项目，并标明序号。</w:t>
      </w:r>
    </w:p>
    <w:p>
      <w:pPr>
        <w:pStyle w:val="55"/>
        <w:rPr>
          <w:rFonts w:hint="eastAsia" w:hAnsi="宋体"/>
          <w:szCs w:val="21"/>
        </w:rPr>
      </w:pPr>
    </w:p>
    <w:p>
      <w:pPr>
        <w:pStyle w:val="26"/>
        <w:rPr>
          <w:rFonts w:hint="eastAsia" w:ascii="宋体" w:hAnsi="宋体" w:cs="宋体"/>
          <w:color w:val="000000"/>
          <w:szCs w:val="21"/>
        </w:rPr>
      </w:pPr>
    </w:p>
    <w:p>
      <w:pPr>
        <w:rPr>
          <w:rFonts w:hint="eastAsia" w:ascii="宋体" w:hAnsi="宋体" w:cs="宋体"/>
          <w:color w:val="000000"/>
          <w:szCs w:val="21"/>
        </w:rPr>
      </w:pPr>
    </w:p>
    <w:p>
      <w:pPr>
        <w:pStyle w:val="55"/>
        <w:rPr>
          <w:rFonts w:hint="eastAsia" w:hAnsi="宋体"/>
        </w:rPr>
      </w:pPr>
    </w:p>
    <w:p>
      <w:pPr>
        <w:pStyle w:val="26"/>
        <w:rPr>
          <w:rFonts w:hint="eastAsia" w:ascii="宋体" w:hAnsi="宋体" w:cs="宋体"/>
          <w:color w:val="000000"/>
        </w:rPr>
      </w:pPr>
    </w:p>
    <w:p>
      <w:pPr>
        <w:rPr>
          <w:rFonts w:hint="eastAsia" w:ascii="宋体"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20"/>
        <w:rPr>
          <w:rFonts w:hint="eastAsia" w:hAnsi="宋体" w:cs="宋体"/>
          <w:color w:val="000000"/>
        </w:rPr>
      </w:pPr>
    </w:p>
    <w:p>
      <w:pPr>
        <w:pStyle w:val="8"/>
        <w:keepNext w:val="0"/>
        <w:keepLines w:val="0"/>
        <w:jc w:val="center"/>
        <w:rPr>
          <w:rFonts w:hint="eastAsia" w:ascii="宋体" w:hAnsi="宋体" w:cs="宋体"/>
          <w:color w:val="000000"/>
        </w:rPr>
      </w:pPr>
      <w:bookmarkStart w:id="1005" w:name="_Toc19165"/>
      <w:bookmarkStart w:id="1006" w:name="_Toc29254"/>
      <w:bookmarkStart w:id="1007" w:name="_Toc13393"/>
      <w:bookmarkStart w:id="1008" w:name="_Toc12258"/>
      <w:r>
        <w:rPr>
          <w:rFonts w:hint="eastAsia" w:ascii="宋体" w:hAnsi="宋体" w:cs="宋体"/>
          <w:color w:val="000000"/>
        </w:rPr>
        <w:t>（四）正在实施的和新承接的项目情况表</w:t>
      </w:r>
      <w:bookmarkEnd w:id="998"/>
      <w:bookmarkEnd w:id="999"/>
      <w:bookmarkEnd w:id="1000"/>
      <w:bookmarkEnd w:id="1001"/>
      <w:bookmarkEnd w:id="1002"/>
      <w:bookmarkEnd w:id="1003"/>
      <w:bookmarkEnd w:id="1004"/>
      <w:bookmarkEnd w:id="1005"/>
      <w:bookmarkEnd w:id="1006"/>
      <w:bookmarkEnd w:id="1007"/>
      <w:bookmarkEnd w:id="1008"/>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r>
              <w:rPr>
                <w:rFonts w:hint="eastAsia" w:ascii="宋体" w:hAnsi="宋体" w:cs="宋体"/>
                <w:color w:val="000000"/>
                <w:szCs w:val="21"/>
                <w:lang w:eastAsia="zh-CN"/>
              </w:rPr>
              <w:t>采购</w:t>
            </w:r>
            <w:r>
              <w:rPr>
                <w:rFonts w:hint="eastAsia" w:ascii="宋体" w:hAnsi="宋体" w:cs="宋体"/>
                <w:color w:val="000000"/>
                <w:szCs w:val="21"/>
              </w:rPr>
              <w:t>人</w:t>
            </w:r>
          </w:p>
        </w:tc>
        <w:tc>
          <w:tcPr>
            <w:tcW w:w="6254" w:type="dxa"/>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r>
              <w:rPr>
                <w:rFonts w:hint="eastAsia" w:ascii="宋体" w:hAnsi="宋体" w:cs="宋体"/>
                <w:color w:val="000000"/>
                <w:szCs w:val="21"/>
              </w:rPr>
              <w:t>项目名称</w:t>
            </w:r>
          </w:p>
        </w:tc>
        <w:tc>
          <w:tcPr>
            <w:tcW w:w="6254" w:type="dxa"/>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r>
              <w:rPr>
                <w:rFonts w:hint="eastAsia" w:ascii="宋体" w:hAnsi="宋体" w:cs="宋体"/>
                <w:color w:val="000000"/>
                <w:szCs w:val="21"/>
              </w:rPr>
              <w:t>合同金额</w:t>
            </w:r>
          </w:p>
        </w:tc>
        <w:tc>
          <w:tcPr>
            <w:tcW w:w="6254" w:type="dxa"/>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r>
              <w:rPr>
                <w:rFonts w:hint="eastAsia" w:ascii="宋体" w:hAnsi="宋体" w:cs="宋体"/>
                <w:color w:val="000000"/>
                <w:szCs w:val="21"/>
              </w:rPr>
              <w:t>完 成 日 期</w:t>
            </w:r>
          </w:p>
          <w:p>
            <w:pPr>
              <w:jc w:val="center"/>
              <w:rPr>
                <w:rFonts w:hint="eastAsia" w:ascii="宋体" w:hAnsi="宋体" w:cs="宋体"/>
                <w:color w:val="000000"/>
                <w:szCs w:val="21"/>
              </w:rPr>
            </w:pPr>
            <w:r>
              <w:rPr>
                <w:rFonts w:hint="eastAsia" w:ascii="宋体" w:hAnsi="宋体" w:cs="宋体"/>
                <w:color w:val="000000"/>
                <w:szCs w:val="21"/>
              </w:rPr>
              <w:t>（年/月/日）</w:t>
            </w:r>
          </w:p>
        </w:tc>
        <w:tc>
          <w:tcPr>
            <w:tcW w:w="6254" w:type="dxa"/>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hint="eastAsia" w:ascii="宋体" w:hAnsi="宋体" w:cs="宋体"/>
                <w:color w:val="000000"/>
                <w:szCs w:val="21"/>
              </w:rPr>
            </w:pPr>
            <w:r>
              <w:rPr>
                <w:rFonts w:hint="eastAsia" w:ascii="宋体" w:hAnsi="宋体" w:cs="宋体"/>
                <w:color w:val="000000"/>
                <w:szCs w:val="21"/>
              </w:rPr>
              <w:t>……</w:t>
            </w:r>
          </w:p>
        </w:tc>
        <w:tc>
          <w:tcPr>
            <w:tcW w:w="6254" w:type="dxa"/>
            <w:vAlign w:val="center"/>
          </w:tcPr>
          <w:p>
            <w:pPr>
              <w:jc w:val="center"/>
              <w:rPr>
                <w:rFonts w:hint="eastAsia" w:ascii="宋体" w:hAnsi="宋体" w:cs="宋体"/>
                <w:color w:val="000000"/>
                <w:szCs w:val="21"/>
              </w:rPr>
            </w:pPr>
          </w:p>
        </w:tc>
      </w:tr>
    </w:tbl>
    <w:p>
      <w:pPr>
        <w:spacing w:line="440" w:lineRule="exact"/>
        <w:ind w:left="258" w:leftChars="123"/>
        <w:rPr>
          <w:rFonts w:hint="eastAsia" w:ascii="宋体" w:hAnsi="宋体" w:cs="宋体"/>
          <w:color w:val="000000"/>
          <w:szCs w:val="21"/>
        </w:rPr>
      </w:pPr>
      <w:r>
        <w:rPr>
          <w:rFonts w:hint="eastAsia" w:ascii="宋体" w:hAnsi="宋体" w:cs="宋体"/>
          <w:color w:val="000000"/>
          <w:szCs w:val="21"/>
        </w:rPr>
        <w:t>备注：</w:t>
      </w:r>
      <w:r>
        <w:rPr>
          <w:rFonts w:hint="eastAsia" w:ascii="宋体" w:hAnsi="宋体" w:cs="宋体"/>
          <w:color w:val="000000"/>
          <w:sz w:val="24"/>
        </w:rPr>
        <w:t>1、</w:t>
      </w:r>
      <w:r>
        <w:rPr>
          <w:rFonts w:hint="eastAsia" w:ascii="宋体" w:hAnsi="宋体" w:cs="宋体"/>
          <w:color w:val="000000"/>
          <w:szCs w:val="21"/>
        </w:rPr>
        <w:t>本表后附提供中标通知书或合同协议书复印件，具体年份要求见投标人须知前附表。</w:t>
      </w:r>
    </w:p>
    <w:p>
      <w:pPr>
        <w:spacing w:line="440" w:lineRule="exact"/>
        <w:ind w:left="258" w:leftChars="123"/>
        <w:rPr>
          <w:rFonts w:hint="eastAsia" w:ascii="宋体" w:hAnsi="宋体" w:cs="宋体"/>
          <w:color w:val="000000"/>
          <w:sz w:val="24"/>
        </w:rPr>
      </w:pPr>
      <w:r>
        <w:rPr>
          <w:rFonts w:hint="eastAsia" w:ascii="宋体" w:hAnsi="宋体" w:cs="宋体"/>
          <w:color w:val="000000"/>
          <w:szCs w:val="21"/>
        </w:rPr>
        <w:t>每张表格只填写一个项目，并标明序号。</w:t>
      </w:r>
    </w:p>
    <w:p>
      <w:pPr>
        <w:rPr>
          <w:rFonts w:hint="eastAsia" w:ascii="宋体" w:hAnsi="宋体" w:cs="宋体"/>
          <w:color w:val="000000"/>
          <w:sz w:val="24"/>
        </w:rPr>
      </w:pPr>
    </w:p>
    <w:p>
      <w:pPr>
        <w:spacing w:line="440" w:lineRule="exact"/>
        <w:rPr>
          <w:rFonts w:hint="eastAsia" w:ascii="宋体" w:hAnsi="宋体" w:cs="宋体"/>
          <w:color w:val="000000"/>
          <w:sz w:val="20"/>
          <w:szCs w:val="20"/>
        </w:rPr>
      </w:pPr>
    </w:p>
    <w:p>
      <w:pPr>
        <w:spacing w:line="440" w:lineRule="exact"/>
        <w:ind w:firstLine="500" w:firstLineChars="250"/>
        <w:jc w:val="center"/>
        <w:rPr>
          <w:rFonts w:hint="eastAsia" w:ascii="宋体" w:hAnsi="宋体" w:cs="宋体"/>
          <w:color w:val="000000"/>
          <w:sz w:val="20"/>
          <w:szCs w:val="20"/>
        </w:rPr>
      </w:pPr>
    </w:p>
    <w:p>
      <w:pPr>
        <w:spacing w:line="440" w:lineRule="exact"/>
        <w:ind w:firstLine="500" w:firstLineChars="250"/>
        <w:jc w:val="center"/>
        <w:rPr>
          <w:rFonts w:hint="eastAsia" w:ascii="宋体" w:hAnsi="宋体" w:cs="宋体"/>
          <w:color w:val="000000"/>
          <w:sz w:val="20"/>
          <w:szCs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20"/>
        <w:rPr>
          <w:rFonts w:hint="eastAsia" w:hAnsi="宋体" w:cs="宋体"/>
          <w:color w:val="000000"/>
          <w:sz w:val="20"/>
        </w:rPr>
      </w:pPr>
    </w:p>
    <w:p>
      <w:pPr>
        <w:pStyle w:val="8"/>
        <w:keepNext w:val="0"/>
        <w:keepLines w:val="0"/>
        <w:jc w:val="center"/>
        <w:rPr>
          <w:rFonts w:hint="eastAsia" w:ascii="宋体" w:hAnsi="宋体" w:cs="宋体"/>
          <w:color w:val="000000"/>
        </w:rPr>
      </w:pPr>
      <w:bookmarkStart w:id="1009" w:name="_Toc246996374"/>
      <w:bookmarkStart w:id="1010" w:name="_Toc246997117"/>
      <w:bookmarkStart w:id="1011" w:name="_Toc247085892"/>
      <w:bookmarkStart w:id="1012" w:name="_Toc1300"/>
      <w:bookmarkStart w:id="1013" w:name="_Toc353"/>
      <w:bookmarkStart w:id="1014" w:name="_Toc14805"/>
      <w:bookmarkStart w:id="1015" w:name="_Toc24867"/>
      <w:bookmarkStart w:id="1016" w:name="_Toc453756974"/>
      <w:r>
        <w:rPr>
          <w:rFonts w:hint="eastAsia" w:ascii="宋体" w:hAnsi="宋体" w:cs="宋体"/>
          <w:color w:val="000000"/>
        </w:rPr>
        <w:t>（五）</w:t>
      </w:r>
      <w:bookmarkEnd w:id="972"/>
      <w:bookmarkEnd w:id="973"/>
      <w:bookmarkEnd w:id="974"/>
      <w:bookmarkEnd w:id="975"/>
      <w:bookmarkEnd w:id="1009"/>
      <w:bookmarkEnd w:id="1010"/>
      <w:bookmarkEnd w:id="1011"/>
      <w:bookmarkStart w:id="1017" w:name="_Toc428007717"/>
      <w:bookmarkStart w:id="1018" w:name="_Toc414892006"/>
      <w:bookmarkStart w:id="1019" w:name="_Toc202062915"/>
      <w:bookmarkStart w:id="1020" w:name="_Toc399762147"/>
      <w:bookmarkStart w:id="1021" w:name="_Toc201488184"/>
      <w:bookmarkStart w:id="1022" w:name="_Toc418712192"/>
      <w:bookmarkStart w:id="1023" w:name="_Toc201487562"/>
      <w:r>
        <w:rPr>
          <w:rFonts w:hint="eastAsia" w:ascii="宋体" w:hAnsi="宋体" w:cs="宋体"/>
          <w:color w:val="000000"/>
        </w:rPr>
        <w:t>近三年（20</w:t>
      </w:r>
      <w:r>
        <w:rPr>
          <w:rFonts w:hint="eastAsia" w:ascii="宋体" w:hAnsi="宋体" w:cs="宋体"/>
          <w:color w:val="000000"/>
          <w:lang w:val="en-US" w:eastAsia="zh-CN"/>
        </w:rPr>
        <w:t>20</w:t>
      </w:r>
      <w:r>
        <w:rPr>
          <w:rFonts w:hint="eastAsia" w:ascii="宋体" w:hAnsi="宋体" w:cs="宋体"/>
          <w:color w:val="000000"/>
        </w:rPr>
        <w:t>至今）发生的诉讼及仲裁情况</w:t>
      </w:r>
      <w:bookmarkEnd w:id="1012"/>
      <w:bookmarkEnd w:id="1013"/>
      <w:bookmarkEnd w:id="1014"/>
      <w:bookmarkEnd w:id="1015"/>
      <w:bookmarkEnd w:id="1016"/>
      <w:bookmarkEnd w:id="1017"/>
      <w:bookmarkEnd w:id="1018"/>
      <w:bookmarkEnd w:id="1019"/>
      <w:bookmarkEnd w:id="1020"/>
      <w:bookmarkEnd w:id="1021"/>
      <w:bookmarkEnd w:id="1022"/>
      <w:bookmarkEnd w:id="1023"/>
    </w:p>
    <w:p>
      <w:pPr>
        <w:rPr>
          <w:rFonts w:hint="eastAsia" w:ascii="宋体" w:hAnsi="宋体" w:cs="宋体"/>
          <w:color w:val="000000"/>
          <w:sz w:val="24"/>
        </w:rPr>
      </w:pPr>
    </w:p>
    <w:p>
      <w:pPr>
        <w:spacing w:line="440" w:lineRule="exact"/>
        <w:ind w:left="720" w:hanging="630" w:hangingChars="300"/>
        <w:rPr>
          <w:rFonts w:hint="eastAsia" w:ascii="宋体" w:hAnsi="宋体" w:eastAsia="宋体" w:cs="宋体"/>
          <w:color w:val="000000"/>
          <w:sz w:val="21"/>
          <w:szCs w:val="21"/>
          <w:lang w:eastAsia="zh-CN"/>
        </w:rPr>
      </w:pPr>
      <w:r>
        <w:rPr>
          <w:rFonts w:hint="eastAsia" w:ascii="宋体" w:hAnsi="宋体" w:cs="宋体"/>
          <w:color w:val="000000"/>
          <w:sz w:val="21"/>
          <w:szCs w:val="21"/>
        </w:rPr>
        <w:t>说明：近年发生的诉讼和仲裁情况仅限于投标人败诉的，且与履行合同有关的案件，不包括调解结案以及未裁决的仲裁或未终审判决的诉讼。</w:t>
      </w:r>
      <w:r>
        <w:rPr>
          <w:rFonts w:hint="eastAsia" w:ascii="宋体" w:hAnsi="宋体" w:cs="宋体"/>
          <w:color w:val="000000"/>
          <w:sz w:val="21"/>
          <w:szCs w:val="21"/>
          <w:lang w:eastAsia="zh-CN"/>
        </w:rPr>
        <w:t>格式自拟。</w:t>
      </w: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pStyle w:val="55"/>
        <w:rPr>
          <w:rFonts w:hint="eastAsia" w:hAnsi="宋体"/>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rPr>
          <w:rFonts w:hint="eastAsia" w:ascii="宋体" w:hAnsi="宋体" w:cs="宋体"/>
          <w:color w:val="000000"/>
          <w:sz w:val="24"/>
        </w:rPr>
      </w:pPr>
    </w:p>
    <w:p>
      <w:pPr>
        <w:pStyle w:val="102"/>
        <w:keepNext w:val="0"/>
        <w:keepLines w:val="0"/>
        <w:numPr>
          <w:ilvl w:val="0"/>
          <w:numId w:val="9"/>
        </w:numPr>
        <w:spacing w:before="156" w:after="156"/>
        <w:jc w:val="center"/>
        <w:rPr>
          <w:rFonts w:hint="eastAsia" w:cs="宋体"/>
          <w:color w:val="000000"/>
          <w:sz w:val="32"/>
          <w:szCs w:val="32"/>
        </w:rPr>
      </w:pPr>
      <w:bookmarkStart w:id="1024" w:name="_Toc11597"/>
      <w:bookmarkStart w:id="1025" w:name="_Toc29769"/>
      <w:bookmarkStart w:id="1026" w:name="_Toc418712193"/>
      <w:bookmarkStart w:id="1027" w:name="_Toc428007718"/>
      <w:bookmarkStart w:id="1028" w:name="_Toc453756975"/>
      <w:bookmarkStart w:id="1029" w:name="_Toc414892007"/>
      <w:r>
        <w:rPr>
          <w:rFonts w:hint="eastAsia" w:cs="宋体"/>
          <w:color w:val="000000"/>
          <w:sz w:val="32"/>
          <w:szCs w:val="32"/>
        </w:rPr>
        <w:t>信誉</w:t>
      </w:r>
      <w:bookmarkEnd w:id="1024"/>
      <w:bookmarkEnd w:id="1025"/>
      <w:r>
        <w:rPr>
          <w:rFonts w:hint="eastAsia" w:cs="宋体"/>
          <w:color w:val="000000"/>
          <w:sz w:val="32"/>
          <w:szCs w:val="32"/>
        </w:rPr>
        <w:t>承诺</w:t>
      </w:r>
    </w:p>
    <w:bookmarkEnd w:id="1026"/>
    <w:bookmarkEnd w:id="1027"/>
    <w:bookmarkEnd w:id="1028"/>
    <w:bookmarkEnd w:id="1029"/>
    <w:p>
      <w:pPr>
        <w:keepNext w:val="0"/>
        <w:keepLines w:val="0"/>
        <w:pageBreakBefore w:val="0"/>
        <w:kinsoku/>
        <w:wordWrap/>
        <w:overflowPunct/>
        <w:topLinePunct w:val="0"/>
        <w:autoSpaceDE/>
        <w:autoSpaceDN/>
        <w:bidi w:val="0"/>
        <w:adjustRightInd/>
        <w:snapToGrid/>
        <w:spacing w:line="500" w:lineRule="exact"/>
        <w:ind w:firstLine="440" w:firstLineChars="200"/>
        <w:jc w:val="left"/>
        <w:textAlignment w:val="auto"/>
        <w:rPr>
          <w:rFonts w:hint="eastAsia"/>
          <w:lang w:val="zh-CN"/>
        </w:rPr>
      </w:pPr>
      <w:r>
        <w:rPr>
          <w:rFonts w:hint="eastAsia" w:ascii="宋体" w:hAnsi="宋体" w:eastAsia="宋体" w:cs="宋体"/>
          <w:color w:val="000000"/>
          <w:sz w:val="22"/>
          <w:szCs w:val="28"/>
          <w:lang w:val="en-US" w:eastAsia="zh-CN"/>
        </w:rPr>
        <w:t>不接受信用中国网站被列入失信被执行人、重大税收违法案件当事人名单、中国政府采购网被列入政府采购严重违法失信行为记录名单的投标人参与投标（详见财库[2016]125号文件）；</w:t>
      </w:r>
      <w:r>
        <w:rPr>
          <w:rFonts w:hint="eastAsia" w:ascii="宋体" w:hAnsi="宋体" w:cs="宋体"/>
          <w:color w:val="000000"/>
          <w:sz w:val="22"/>
          <w:szCs w:val="28"/>
          <w:lang w:val="en-US" w:eastAsia="zh-CN"/>
        </w:rPr>
        <w:t>投标人及法人</w:t>
      </w:r>
      <w:r>
        <w:rPr>
          <w:rFonts w:hint="eastAsia" w:ascii="宋体" w:hAnsi="宋体" w:eastAsia="宋体" w:cs="宋体"/>
          <w:color w:val="000000"/>
          <w:sz w:val="22"/>
          <w:szCs w:val="28"/>
          <w:lang w:val="en-US" w:eastAsia="zh-CN"/>
        </w:rPr>
        <w:t>在中国裁判文书网（http://wenshu.court.gov.cn）无行贿犯罪记录</w:t>
      </w:r>
      <w:r>
        <w:rPr>
          <w:rFonts w:hint="eastAsia" w:ascii="宋体" w:hAnsi="宋体" w:eastAsia="宋体" w:cs="宋体"/>
          <w:color w:val="000000"/>
          <w:sz w:val="22"/>
          <w:szCs w:val="28"/>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color w:val="000000"/>
          <w:sz w:val="21"/>
          <w:szCs w:val="21"/>
          <w:lang w:val="zh-CN"/>
        </w:rPr>
      </w:pPr>
      <w:r>
        <w:rPr>
          <w:rFonts w:hint="eastAsia" w:ascii="宋体" w:hAnsi="宋体" w:cs="宋体"/>
          <w:b/>
          <w:bCs/>
          <w:color w:val="000000"/>
          <w:sz w:val="21"/>
          <w:szCs w:val="21"/>
        </w:rPr>
        <w:t>提供相关网页截图及由法定代表人或其授权委托人签字并加盖公章的承诺书。承诺书格式自拟。</w:t>
      </w:r>
    </w:p>
    <w:p>
      <w:pPr>
        <w:rPr>
          <w:rFonts w:hint="eastAsia" w:ascii="宋体" w:hAnsi="宋体" w:cs="宋体"/>
          <w:color w:val="000000"/>
          <w:sz w:val="24"/>
        </w:rPr>
      </w:pPr>
    </w:p>
    <w:p>
      <w:pPr>
        <w:ind w:firstLine="720" w:firstLineChars="300"/>
        <w:jc w:val="left"/>
        <w:rPr>
          <w:rFonts w:hint="eastAsia" w:ascii="宋体" w:hAnsi="宋体" w:eastAsia="宋体" w:cs="宋体"/>
          <w:color w:val="000000"/>
          <w:sz w:val="21"/>
          <w:szCs w:val="21"/>
          <w:lang w:val="en-US" w:eastAsia="zh-CN"/>
        </w:rPr>
        <w:sectPr>
          <w:pgSz w:w="11906" w:h="16838"/>
          <w:pgMar w:top="1460" w:right="1803" w:bottom="1440" w:left="1800" w:header="851" w:footer="992" w:gutter="0"/>
          <w:pgNumType w:fmt="decimal"/>
          <w:cols w:space="720" w:num="1"/>
          <w:rtlGutter w:val="1"/>
          <w:docGrid w:type="lines" w:linePitch="312" w:charSpace="0"/>
        </w:sectPr>
      </w:pPr>
      <w:bookmarkStart w:id="1030" w:name="_Toc202062916"/>
      <w:bookmarkStart w:id="1031" w:name="_Toc399762148"/>
      <w:bookmarkStart w:id="1032" w:name="_Toc201487563"/>
      <w:bookmarkStart w:id="1033" w:name="_Toc201488185"/>
      <w:r>
        <w:rPr>
          <w:rFonts w:hint="eastAsia" w:ascii="宋体" w:hAnsi="宋体" w:cs="宋体"/>
          <w:color w:val="000000"/>
          <w:sz w:val="24"/>
        </w:rPr>
        <w:br w:type="page"/>
      </w:r>
      <w:bookmarkStart w:id="1034" w:name="_Toc453756976"/>
      <w:bookmarkStart w:id="1035" w:name="_Toc428007719"/>
      <w:bookmarkStart w:id="1036" w:name="_Toc414892008"/>
      <w:bookmarkStart w:id="1037" w:name="_Toc418712194"/>
    </w:p>
    <w:p>
      <w:pPr>
        <w:pStyle w:val="87"/>
        <w:jc w:val="center"/>
        <w:rPr>
          <w:rFonts w:hint="eastAsia" w:ascii="宋体" w:hAnsi="宋体" w:cs="宋体"/>
          <w:color w:val="000000"/>
        </w:rPr>
      </w:pPr>
      <w:bookmarkStart w:id="1038" w:name="_Toc12594"/>
      <w:r>
        <w:rPr>
          <w:rFonts w:hint="eastAsia" w:ascii="宋体" w:hAnsi="宋体" w:cs="宋体"/>
          <w:bCs w:val="0"/>
          <w:color w:val="000000"/>
          <w:sz w:val="32"/>
          <w:szCs w:val="32"/>
          <w:lang w:val="en-US" w:eastAsia="zh-CN"/>
        </w:rPr>
        <w:t>九</w:t>
      </w:r>
      <w:r>
        <w:rPr>
          <w:rFonts w:hint="eastAsia" w:ascii="宋体" w:hAnsi="宋体" w:cs="宋体"/>
          <w:bCs w:val="0"/>
          <w:color w:val="000000"/>
          <w:sz w:val="32"/>
          <w:szCs w:val="32"/>
        </w:rPr>
        <w:t>、</w:t>
      </w:r>
      <w:bookmarkEnd w:id="1038"/>
      <w:bookmarkStart w:id="1039" w:name="_Toc11698"/>
      <w:bookmarkStart w:id="1040" w:name="_Toc24755"/>
      <w:bookmarkStart w:id="1041" w:name="_Toc11190"/>
      <w:bookmarkStart w:id="1042" w:name="_Toc24787"/>
      <w:bookmarkStart w:id="1043" w:name="_Toc31100"/>
      <w:r>
        <w:rPr>
          <w:rFonts w:hint="eastAsia" w:ascii="宋体" w:hAnsi="宋体" w:cs="宋体"/>
          <w:color w:val="000000"/>
          <w:sz w:val="32"/>
          <w:szCs w:val="32"/>
        </w:rPr>
        <w:t>其他材料</w:t>
      </w:r>
      <w:bookmarkEnd w:id="1030"/>
      <w:bookmarkEnd w:id="1031"/>
      <w:bookmarkEnd w:id="1032"/>
      <w:bookmarkEnd w:id="1033"/>
      <w:bookmarkEnd w:id="1034"/>
      <w:bookmarkEnd w:id="1035"/>
      <w:bookmarkEnd w:id="1036"/>
      <w:bookmarkEnd w:id="1037"/>
      <w:bookmarkEnd w:id="1039"/>
      <w:bookmarkEnd w:id="1040"/>
      <w:bookmarkEnd w:id="1041"/>
      <w:bookmarkEnd w:id="1042"/>
      <w:bookmarkEnd w:id="1043"/>
    </w:p>
    <w:p>
      <w:pPr>
        <w:pStyle w:val="87"/>
        <w:jc w:val="center"/>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lang w:val="zh-CN"/>
        </w:rPr>
        <w:t>中小企业证明文件</w:t>
      </w:r>
    </w:p>
    <w:p>
      <w:pPr>
        <w:pStyle w:val="20"/>
        <w:ind w:left="0" w:firstLine="0"/>
        <w:rPr>
          <w:rFonts w:hint="eastAsia"/>
        </w:rPr>
      </w:pPr>
    </w:p>
    <w:p>
      <w:pPr>
        <w:pStyle w:val="20"/>
        <w:ind w:left="0" w:firstLine="0"/>
        <w:rPr>
          <w:rFonts w:hint="eastAsia"/>
        </w:rPr>
      </w:pPr>
    </w:p>
    <w:p>
      <w:pPr>
        <w:pStyle w:val="87"/>
        <w:jc w:val="center"/>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zh-CN"/>
        </w:rPr>
        <w:t>中小企业声明函</w:t>
      </w:r>
    </w:p>
    <w:p>
      <w:pPr>
        <w:widowControl/>
        <w:autoSpaceDE w:val="0"/>
        <w:autoSpaceDN w:val="0"/>
        <w:spacing w:line="360" w:lineRule="auto"/>
        <w:jc w:val="center"/>
        <w:rPr>
          <w:rFonts w:hint="eastAsia" w:ascii="宋体" w:hAnsi="宋体" w:cs="宋体"/>
          <w:b/>
          <w:color w:val="auto"/>
          <w:kern w:val="0"/>
          <w:sz w:val="21"/>
          <w:szCs w:val="21"/>
        </w:rPr>
      </w:pPr>
    </w:p>
    <w:p>
      <w:pPr>
        <w:widowControl/>
        <w:autoSpaceDE w:val="0"/>
        <w:autoSpaceDN w:val="0"/>
        <w:spacing w:line="360" w:lineRule="auto"/>
        <w:ind w:firstLine="420" w:firstLineChars="200"/>
        <w:rPr>
          <w:rFonts w:hint="eastAsia" w:ascii="宋体" w:hAnsi="宋体" w:cs="仿宋"/>
          <w:color w:val="auto"/>
          <w:kern w:val="0"/>
          <w:sz w:val="21"/>
          <w:szCs w:val="21"/>
        </w:rPr>
      </w:pPr>
      <w:r>
        <w:rPr>
          <w:rFonts w:hint="eastAsia" w:ascii="宋体" w:hAnsi="宋体" w:cs="仿宋"/>
          <w:color w:val="auto"/>
          <w:kern w:val="0"/>
          <w:sz w:val="21"/>
          <w:szCs w:val="21"/>
        </w:rPr>
        <w:t>本公司（联合体）郑重声明，根据《政府采购促进中小企业发展管理办法》（财库</w:t>
      </w:r>
      <w:r>
        <w:rPr>
          <w:rFonts w:hint="eastAsia" w:ascii="宋体" w:hAnsi="宋体" w:cs="宋体"/>
          <w:color w:val="auto"/>
          <w:kern w:val="0"/>
          <w:sz w:val="21"/>
          <w:szCs w:val="21"/>
        </w:rPr>
        <w:t>﹝</w:t>
      </w:r>
      <w:r>
        <w:rPr>
          <w:rFonts w:hint="eastAsia" w:ascii="宋体" w:hAnsi="宋体" w:cs="仿宋"/>
          <w:color w:val="auto"/>
          <w:kern w:val="0"/>
          <w:sz w:val="21"/>
          <w:szCs w:val="21"/>
        </w:rPr>
        <w:t>2020</w:t>
      </w:r>
      <w:r>
        <w:rPr>
          <w:rFonts w:hint="eastAsia" w:ascii="宋体" w:hAnsi="宋体" w:cs="宋体"/>
          <w:color w:val="auto"/>
          <w:kern w:val="0"/>
          <w:sz w:val="21"/>
          <w:szCs w:val="21"/>
        </w:rPr>
        <w:t>﹞</w:t>
      </w:r>
      <w:r>
        <w:rPr>
          <w:rFonts w:hint="eastAsia" w:ascii="宋体" w:hAnsi="宋体" w:cs="仿宋"/>
          <w:color w:val="auto"/>
          <w:kern w:val="0"/>
          <w:sz w:val="21"/>
          <w:szCs w:val="21"/>
        </w:rPr>
        <w:t>46 号）的规定，本公司（联合体）参加</w:t>
      </w:r>
      <w:r>
        <w:rPr>
          <w:rFonts w:hint="eastAsia" w:ascii="宋体" w:hAnsi="宋体" w:cs="仿宋"/>
          <w:color w:val="auto"/>
          <w:kern w:val="0"/>
          <w:sz w:val="21"/>
          <w:szCs w:val="21"/>
          <w:u w:val="single"/>
        </w:rPr>
        <w:t>（单位名称）</w:t>
      </w:r>
      <w:r>
        <w:rPr>
          <w:rFonts w:hint="eastAsia" w:ascii="宋体" w:hAnsi="宋体" w:cs="仿宋"/>
          <w:color w:val="auto"/>
          <w:kern w:val="0"/>
          <w:sz w:val="21"/>
          <w:szCs w:val="21"/>
        </w:rPr>
        <w:t>的</w:t>
      </w:r>
      <w:r>
        <w:rPr>
          <w:rFonts w:hint="eastAsia" w:ascii="宋体" w:hAnsi="宋体" w:cs="仿宋"/>
          <w:color w:val="auto"/>
          <w:kern w:val="0"/>
          <w:sz w:val="21"/>
          <w:szCs w:val="21"/>
          <w:u w:val="single"/>
        </w:rPr>
        <w:t>（项目名称）</w:t>
      </w:r>
      <w:r>
        <w:rPr>
          <w:rFonts w:hint="eastAsia" w:ascii="宋体" w:hAnsi="宋体" w:cs="仿宋"/>
          <w:color w:val="auto"/>
          <w:kern w:val="0"/>
          <w:sz w:val="21"/>
          <w:szCs w:val="21"/>
        </w:rPr>
        <w:t xml:space="preserve">采购活动，提供的货物全部由符合政策要求的中小企业制造。相关企业（含联合体中的中小企业、签订分包意向协议的中小企业） 的具体情况如下： </w:t>
      </w:r>
    </w:p>
    <w:p>
      <w:pPr>
        <w:widowControl/>
        <w:autoSpaceDE w:val="0"/>
        <w:autoSpaceDN w:val="0"/>
        <w:adjustRightInd w:val="0"/>
        <w:snapToGrid w:val="0"/>
        <w:spacing w:line="360" w:lineRule="auto"/>
        <w:ind w:firstLine="420" w:firstLineChars="200"/>
        <w:rPr>
          <w:rFonts w:hint="eastAsia" w:ascii="宋体" w:hAnsi="宋体" w:cs="仿宋"/>
          <w:color w:val="auto"/>
          <w:kern w:val="0"/>
          <w:sz w:val="21"/>
          <w:szCs w:val="21"/>
        </w:rPr>
      </w:pPr>
      <w:r>
        <w:rPr>
          <w:rFonts w:hint="eastAsia" w:ascii="宋体" w:hAnsi="宋体" w:cs="仿宋"/>
          <w:color w:val="auto"/>
          <w:kern w:val="0"/>
          <w:sz w:val="21"/>
          <w:szCs w:val="21"/>
        </w:rPr>
        <w:t>1.</w:t>
      </w:r>
      <w:r>
        <w:rPr>
          <w:rFonts w:hint="eastAsia" w:ascii="宋体" w:hAnsi="宋体" w:cs="仿宋"/>
          <w:color w:val="auto"/>
          <w:kern w:val="0"/>
          <w:sz w:val="21"/>
          <w:szCs w:val="21"/>
          <w:u w:val="single"/>
        </w:rPr>
        <w:t xml:space="preserve">（标的名称） </w:t>
      </w:r>
      <w:r>
        <w:rPr>
          <w:rFonts w:hint="eastAsia" w:ascii="宋体" w:hAnsi="宋体" w:cs="仿宋"/>
          <w:color w:val="auto"/>
          <w:kern w:val="0"/>
          <w:sz w:val="21"/>
          <w:szCs w:val="21"/>
        </w:rPr>
        <w:t>，属于</w:t>
      </w:r>
      <w:r>
        <w:rPr>
          <w:rFonts w:hint="eastAsia" w:ascii="宋体" w:hAnsi="宋体" w:cs="仿宋"/>
          <w:color w:val="auto"/>
          <w:kern w:val="0"/>
          <w:sz w:val="21"/>
          <w:szCs w:val="21"/>
          <w:u w:val="single"/>
        </w:rPr>
        <w:t>（采购文件中明确的所属行业）行业</w:t>
      </w:r>
      <w:r>
        <w:rPr>
          <w:rFonts w:hint="eastAsia" w:ascii="宋体" w:hAnsi="宋体" w:cs="仿宋"/>
          <w:color w:val="auto"/>
          <w:kern w:val="0"/>
          <w:sz w:val="21"/>
          <w:szCs w:val="21"/>
        </w:rPr>
        <w:t>；制造商为</w:t>
      </w:r>
      <w:r>
        <w:rPr>
          <w:rFonts w:hint="eastAsia" w:ascii="宋体" w:hAnsi="宋体" w:cs="仿宋"/>
          <w:color w:val="auto"/>
          <w:kern w:val="0"/>
          <w:sz w:val="21"/>
          <w:szCs w:val="21"/>
          <w:u w:val="single"/>
        </w:rPr>
        <w:t>（企业名称）</w:t>
      </w:r>
      <w:r>
        <w:rPr>
          <w:rFonts w:hint="eastAsia" w:ascii="宋体" w:hAnsi="宋体" w:cs="仿宋"/>
          <w:color w:val="auto"/>
          <w:kern w:val="0"/>
          <w:sz w:val="21"/>
          <w:szCs w:val="21"/>
        </w:rPr>
        <w:t>，从业人员</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人，营业收入为</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万元，资产总额为</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万元</w:t>
      </w:r>
      <w:r>
        <w:rPr>
          <w:rFonts w:hint="eastAsia" w:ascii="宋体" w:hAnsi="宋体" w:cs="仿宋"/>
          <w:color w:val="auto"/>
          <w:kern w:val="0"/>
          <w:sz w:val="21"/>
          <w:szCs w:val="21"/>
          <w:vertAlign w:val="superscript"/>
        </w:rPr>
        <w:t>1</w:t>
      </w:r>
      <w:r>
        <w:rPr>
          <w:rFonts w:hint="eastAsia" w:ascii="宋体" w:hAnsi="宋体" w:cs="仿宋"/>
          <w:color w:val="auto"/>
          <w:kern w:val="0"/>
          <w:sz w:val="21"/>
          <w:szCs w:val="21"/>
        </w:rPr>
        <w:t>，属于（</w:t>
      </w:r>
      <w:r>
        <w:rPr>
          <w:rFonts w:hint="eastAsia" w:ascii="宋体" w:hAnsi="宋体" w:cs="仿宋"/>
          <w:color w:val="auto"/>
          <w:kern w:val="0"/>
          <w:sz w:val="21"/>
          <w:szCs w:val="21"/>
          <w:u w:val="single"/>
        </w:rPr>
        <w:t>中型企业、小型企业、微型企业）</w:t>
      </w:r>
      <w:r>
        <w:rPr>
          <w:rFonts w:hint="eastAsia" w:ascii="宋体" w:hAnsi="宋体" w:cs="仿宋"/>
          <w:color w:val="auto"/>
          <w:kern w:val="0"/>
          <w:sz w:val="21"/>
          <w:szCs w:val="21"/>
        </w:rPr>
        <w:t xml:space="preserve">； </w:t>
      </w:r>
    </w:p>
    <w:p>
      <w:pPr>
        <w:widowControl/>
        <w:autoSpaceDE w:val="0"/>
        <w:autoSpaceDN w:val="0"/>
        <w:adjustRightInd w:val="0"/>
        <w:snapToGrid w:val="0"/>
        <w:spacing w:line="360" w:lineRule="auto"/>
        <w:ind w:firstLine="420" w:firstLineChars="200"/>
        <w:rPr>
          <w:rFonts w:ascii="宋体" w:hAnsi="宋体" w:cs="仿宋"/>
          <w:color w:val="auto"/>
          <w:kern w:val="0"/>
          <w:sz w:val="21"/>
          <w:szCs w:val="21"/>
          <w:lang w:val="zh-CN" w:bidi="zh-CN"/>
        </w:rPr>
      </w:pPr>
      <w:r>
        <w:rPr>
          <w:rFonts w:hint="eastAsia" w:ascii="宋体" w:hAnsi="宋体" w:cs="仿宋"/>
          <w:color w:val="auto"/>
          <w:kern w:val="0"/>
          <w:sz w:val="21"/>
          <w:szCs w:val="21"/>
        </w:rPr>
        <w:t>2.</w:t>
      </w:r>
      <w:r>
        <w:rPr>
          <w:rFonts w:hint="eastAsia" w:ascii="宋体" w:hAnsi="宋体" w:cs="仿宋"/>
          <w:color w:val="auto"/>
          <w:kern w:val="0"/>
          <w:sz w:val="21"/>
          <w:szCs w:val="21"/>
          <w:u w:val="single"/>
        </w:rPr>
        <w:t xml:space="preserve">（标的名称） </w:t>
      </w:r>
      <w:r>
        <w:rPr>
          <w:rFonts w:hint="eastAsia" w:ascii="宋体" w:hAnsi="宋体" w:cs="仿宋"/>
          <w:color w:val="auto"/>
          <w:kern w:val="0"/>
          <w:sz w:val="21"/>
          <w:szCs w:val="21"/>
        </w:rPr>
        <w:t>，属于</w:t>
      </w:r>
      <w:r>
        <w:rPr>
          <w:rFonts w:hint="eastAsia" w:ascii="宋体" w:hAnsi="宋体" w:cs="仿宋"/>
          <w:color w:val="auto"/>
          <w:kern w:val="0"/>
          <w:sz w:val="21"/>
          <w:szCs w:val="21"/>
          <w:u w:val="single"/>
        </w:rPr>
        <w:t>（采购文件中明确的所属行业）行业</w:t>
      </w:r>
      <w:r>
        <w:rPr>
          <w:rFonts w:hint="eastAsia" w:ascii="宋体" w:hAnsi="宋体" w:cs="仿宋"/>
          <w:color w:val="auto"/>
          <w:kern w:val="0"/>
          <w:sz w:val="21"/>
          <w:szCs w:val="21"/>
        </w:rPr>
        <w:t>；制造商为</w:t>
      </w:r>
      <w:r>
        <w:rPr>
          <w:rFonts w:hint="eastAsia" w:ascii="宋体" w:hAnsi="宋体" w:cs="仿宋"/>
          <w:color w:val="auto"/>
          <w:kern w:val="0"/>
          <w:sz w:val="21"/>
          <w:szCs w:val="21"/>
          <w:u w:val="single"/>
        </w:rPr>
        <w:t>（企业名称）</w:t>
      </w:r>
      <w:r>
        <w:rPr>
          <w:rFonts w:hint="eastAsia" w:ascii="宋体" w:hAnsi="宋体" w:cs="仿宋"/>
          <w:color w:val="auto"/>
          <w:kern w:val="0"/>
          <w:sz w:val="21"/>
          <w:szCs w:val="21"/>
        </w:rPr>
        <w:t>，从业人员</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人，营业收入 为</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万元，资产总额为</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 xml:space="preserve">万元，属于（中型企业、小型企业、微型企业）； </w:t>
      </w:r>
    </w:p>
    <w:p>
      <w:pPr>
        <w:widowControl/>
        <w:autoSpaceDE w:val="0"/>
        <w:autoSpaceDN w:val="0"/>
        <w:adjustRightInd w:val="0"/>
        <w:snapToGrid w:val="0"/>
        <w:spacing w:line="360" w:lineRule="auto"/>
        <w:ind w:firstLine="420" w:firstLineChars="200"/>
        <w:rPr>
          <w:rFonts w:ascii="宋体" w:hAnsi="宋体" w:cs="仿宋"/>
          <w:color w:val="auto"/>
          <w:kern w:val="0"/>
          <w:sz w:val="21"/>
          <w:szCs w:val="21"/>
          <w:lang w:val="zh-CN" w:bidi="zh-CN"/>
        </w:rPr>
      </w:pPr>
      <w:r>
        <w:rPr>
          <w:rFonts w:hint="eastAsia" w:ascii="宋体" w:hAnsi="宋体" w:cs="仿宋"/>
          <w:color w:val="auto"/>
          <w:kern w:val="0"/>
          <w:sz w:val="21"/>
          <w:szCs w:val="21"/>
        </w:rPr>
        <w:t>……</w:t>
      </w:r>
    </w:p>
    <w:p>
      <w:pPr>
        <w:widowControl/>
        <w:autoSpaceDE w:val="0"/>
        <w:autoSpaceDN w:val="0"/>
        <w:adjustRightInd w:val="0"/>
        <w:snapToGrid w:val="0"/>
        <w:spacing w:line="360" w:lineRule="auto"/>
        <w:ind w:firstLine="420" w:firstLineChars="200"/>
        <w:rPr>
          <w:rFonts w:ascii="宋体" w:hAnsi="宋体" w:cs="仿宋"/>
          <w:color w:val="auto"/>
          <w:kern w:val="0"/>
          <w:sz w:val="21"/>
          <w:szCs w:val="21"/>
          <w:lang w:val="zh-CN" w:bidi="zh-CN"/>
        </w:rPr>
      </w:pPr>
      <w:r>
        <w:rPr>
          <w:rFonts w:hint="eastAsia" w:ascii="宋体" w:hAnsi="宋体" w:cs="仿宋"/>
          <w:color w:val="auto"/>
          <w:kern w:val="0"/>
          <w:sz w:val="21"/>
          <w:szCs w:val="21"/>
        </w:rPr>
        <w:t>以上企业，不属于大企业的分支机构，不存在控股股东为大企业的情形，也不存在与大企业的负责人为同一人的情形。</w:t>
      </w:r>
    </w:p>
    <w:p>
      <w:pPr>
        <w:widowControl/>
        <w:autoSpaceDE w:val="0"/>
        <w:autoSpaceDN w:val="0"/>
        <w:adjustRightInd w:val="0"/>
        <w:snapToGrid w:val="0"/>
        <w:spacing w:line="360" w:lineRule="auto"/>
        <w:ind w:firstLine="420" w:firstLineChars="200"/>
        <w:rPr>
          <w:rFonts w:ascii="宋体" w:hAnsi="宋体" w:cs="仿宋"/>
          <w:color w:val="auto"/>
          <w:kern w:val="0"/>
          <w:sz w:val="21"/>
          <w:szCs w:val="21"/>
          <w:lang w:val="zh-CN" w:bidi="zh-CN"/>
        </w:rPr>
      </w:pPr>
      <w:r>
        <w:rPr>
          <w:rFonts w:hint="eastAsia" w:ascii="宋体" w:hAnsi="宋体" w:cs="仿宋"/>
          <w:color w:val="auto"/>
          <w:kern w:val="0"/>
          <w:sz w:val="21"/>
          <w:szCs w:val="21"/>
        </w:rPr>
        <w:t xml:space="preserve">本企业对上述声明内容的真实性负责。如有虚假，将依法承担相应责任。 </w:t>
      </w:r>
    </w:p>
    <w:p>
      <w:pPr>
        <w:widowControl/>
        <w:autoSpaceDE w:val="0"/>
        <w:autoSpaceDN w:val="0"/>
        <w:adjustRightInd w:val="0"/>
        <w:snapToGrid w:val="0"/>
        <w:spacing w:line="360" w:lineRule="auto"/>
        <w:ind w:firstLine="3150" w:firstLineChars="1500"/>
        <w:rPr>
          <w:rFonts w:hint="eastAsia" w:ascii="宋体" w:hAnsi="宋体" w:cs="仿宋"/>
          <w:color w:val="auto"/>
          <w:kern w:val="0"/>
          <w:sz w:val="21"/>
          <w:szCs w:val="21"/>
        </w:rPr>
      </w:pPr>
      <w:r>
        <w:rPr>
          <w:rFonts w:hint="eastAsia" w:ascii="宋体" w:hAnsi="宋体" w:cs="仿宋"/>
          <w:color w:val="auto"/>
          <w:kern w:val="0"/>
          <w:sz w:val="21"/>
          <w:szCs w:val="21"/>
        </w:rPr>
        <w:t xml:space="preserve">企业名称（盖章）： </w:t>
      </w:r>
    </w:p>
    <w:p>
      <w:pPr>
        <w:widowControl/>
        <w:autoSpaceDE w:val="0"/>
        <w:autoSpaceDN w:val="0"/>
        <w:adjustRightInd w:val="0"/>
        <w:snapToGrid w:val="0"/>
        <w:spacing w:line="360" w:lineRule="auto"/>
        <w:ind w:firstLine="3150" w:firstLineChars="1500"/>
        <w:rPr>
          <w:color w:val="auto"/>
          <w:sz w:val="21"/>
          <w:szCs w:val="21"/>
        </w:rPr>
      </w:pPr>
      <w:r>
        <w:rPr>
          <w:rFonts w:hint="eastAsia" w:ascii="宋体" w:hAnsi="宋体" w:cs="仿宋"/>
          <w:color w:val="auto"/>
          <w:kern w:val="0"/>
          <w:sz w:val="21"/>
          <w:szCs w:val="21"/>
        </w:rPr>
        <w:t>日 期：</w:t>
      </w:r>
    </w:p>
    <w:p>
      <w:pPr>
        <w:autoSpaceDE w:val="0"/>
        <w:autoSpaceDN w:val="0"/>
        <w:adjustRightInd w:val="0"/>
        <w:spacing w:line="180" w:lineRule="exact"/>
        <w:jc w:val="left"/>
        <w:rPr>
          <w:rFonts w:hint="eastAsia" w:ascii="宋体" w:hAnsi="宋体" w:cs="宋体"/>
          <w:color w:val="000000"/>
          <w:szCs w:val="21"/>
        </w:rPr>
      </w:pPr>
    </w:p>
    <w:p>
      <w:pPr>
        <w:autoSpaceDE w:val="0"/>
        <w:autoSpaceDN w:val="0"/>
        <w:adjustRightInd w:val="0"/>
        <w:spacing w:line="180" w:lineRule="exact"/>
        <w:jc w:val="left"/>
        <w:rPr>
          <w:rFonts w:hint="eastAsia" w:ascii="宋体" w:hAnsi="宋体" w:cs="宋体"/>
          <w:color w:val="000000"/>
          <w:szCs w:val="21"/>
        </w:rPr>
      </w:pPr>
    </w:p>
    <w:p>
      <w:pPr>
        <w:autoSpaceDE w:val="0"/>
        <w:autoSpaceDN w:val="0"/>
        <w:adjustRightInd w:val="0"/>
        <w:spacing w:line="180" w:lineRule="exact"/>
        <w:jc w:val="left"/>
        <w:rPr>
          <w:rFonts w:hint="eastAsia" w:ascii="宋体" w:hAnsi="宋体" w:cs="宋体"/>
          <w:color w:val="000000"/>
          <w:szCs w:val="21"/>
        </w:rPr>
      </w:pPr>
    </w:p>
    <w:p>
      <w:pPr>
        <w:autoSpaceDE w:val="0"/>
        <w:autoSpaceDN w:val="0"/>
        <w:adjustRightInd w:val="0"/>
        <w:spacing w:line="180" w:lineRule="exact"/>
        <w:jc w:val="left"/>
        <w:rPr>
          <w:rFonts w:hint="eastAsia" w:ascii="宋体" w:hAnsi="宋体" w:cs="宋体"/>
          <w:color w:val="000000"/>
          <w:sz w:val="18"/>
          <w:szCs w:val="18"/>
        </w:rPr>
      </w:pPr>
    </w:p>
    <w:p>
      <w:pPr>
        <w:autoSpaceDE w:val="0"/>
        <w:autoSpaceDN w:val="0"/>
        <w:adjustRightInd w:val="0"/>
        <w:spacing w:line="180" w:lineRule="exact"/>
        <w:jc w:val="left"/>
        <w:rPr>
          <w:rFonts w:hint="eastAsia" w:ascii="宋体" w:hAnsi="宋体" w:cs="宋体"/>
          <w:color w:val="000000"/>
          <w:sz w:val="18"/>
          <w:szCs w:val="18"/>
        </w:rPr>
      </w:pPr>
    </w:p>
    <w:p>
      <w:pPr>
        <w:autoSpaceDE w:val="0"/>
        <w:autoSpaceDN w:val="0"/>
        <w:adjustRightInd w:val="0"/>
        <w:spacing w:line="180" w:lineRule="exact"/>
        <w:jc w:val="left"/>
        <w:rPr>
          <w:rFonts w:hint="eastAsia" w:ascii="宋体" w:hAnsi="宋体" w:cs="宋体"/>
          <w:color w:val="000000"/>
          <w:sz w:val="18"/>
          <w:szCs w:val="18"/>
        </w:rPr>
      </w:pPr>
    </w:p>
    <w:p>
      <w:pPr>
        <w:autoSpaceDE w:val="0"/>
        <w:autoSpaceDN w:val="0"/>
        <w:adjustRightInd w:val="0"/>
        <w:spacing w:line="180" w:lineRule="exact"/>
        <w:jc w:val="left"/>
        <w:rPr>
          <w:rFonts w:hint="eastAsia" w:ascii="宋体" w:hAnsi="宋体" w:cs="宋体"/>
          <w:color w:val="000000"/>
          <w:sz w:val="18"/>
          <w:szCs w:val="18"/>
        </w:rPr>
      </w:pPr>
    </w:p>
    <w:p>
      <w:pPr>
        <w:autoSpaceDE w:val="0"/>
        <w:autoSpaceDN w:val="0"/>
        <w:adjustRightInd w:val="0"/>
        <w:spacing w:line="180" w:lineRule="exact"/>
        <w:jc w:val="left"/>
        <w:rPr>
          <w:rFonts w:hint="eastAsia" w:ascii="宋体" w:hAnsi="宋体" w:cs="宋体"/>
          <w:color w:val="000000"/>
          <w:sz w:val="18"/>
          <w:szCs w:val="18"/>
        </w:rPr>
      </w:pPr>
      <w:r>
        <w:rPr>
          <w:rFonts w:hint="eastAsia" w:ascii="宋体" w:hAnsi="宋体" w:cs="宋体"/>
          <w:color w:val="000000"/>
          <w:sz w:val="18"/>
          <w:szCs w:val="18"/>
        </w:rPr>
        <w:t>注：从业人员、营业收入、资产总额填报上一年度数据，无上一年度数据的新成立企业可不填报。</w:t>
      </w:r>
    </w:p>
    <w:p>
      <w:pPr>
        <w:spacing w:line="312" w:lineRule="auto"/>
        <w:jc w:val="both"/>
        <w:rPr>
          <w:rFonts w:hint="eastAsia" w:ascii="宋体" w:hAnsi="宋体" w:eastAsia="宋体" w:cs="宋体"/>
          <w:color w:val="000000"/>
          <w:sz w:val="32"/>
          <w:szCs w:val="32"/>
          <w:lang w:val="zh-CN"/>
        </w:rPr>
      </w:pPr>
    </w:p>
    <w:p>
      <w:pPr>
        <w:spacing w:line="312" w:lineRule="auto"/>
        <w:jc w:val="center"/>
        <w:rPr>
          <w:rFonts w:hint="eastAsia" w:ascii="宋体" w:hAnsi="宋体" w:eastAsia="宋体" w:cs="宋体"/>
          <w:b/>
          <w:bCs/>
          <w:color w:val="000000"/>
          <w:sz w:val="32"/>
          <w:szCs w:val="32"/>
          <w:lang w:val="zh-CN"/>
        </w:rPr>
      </w:pPr>
    </w:p>
    <w:p>
      <w:pPr>
        <w:spacing w:line="312"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监狱企业证明材料</w:t>
      </w:r>
    </w:p>
    <w:p>
      <w:pPr>
        <w:autoSpaceDE w:val="0"/>
        <w:autoSpaceDN w:val="0"/>
        <w:snapToGrid w:val="0"/>
        <w:spacing w:line="360" w:lineRule="auto"/>
        <w:rPr>
          <w:rFonts w:hint="eastAsia" w:ascii="宋体" w:hAnsi="宋体" w:cs="宋体"/>
          <w:color w:val="000000"/>
          <w:sz w:val="32"/>
          <w:szCs w:val="22"/>
          <w:lang w:val="zh-CN"/>
        </w:rPr>
      </w:pPr>
    </w:p>
    <w:p>
      <w:pPr>
        <w:autoSpaceDE w:val="0"/>
        <w:autoSpaceDN w:val="0"/>
        <w:spacing w:line="6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备注：若是，监狱企业投标的应按照《财政部司法部关于政府采购支持监狱企业发展有关问题的通知（财库〔2014〕68号）》要求提供由省级以上监狱管理局、戒毒管理局（含新疆生产建设兵团）出具的属于监狱企业的证明文件。</w:t>
      </w:r>
    </w:p>
    <w:p>
      <w:pPr>
        <w:spacing w:line="360" w:lineRule="auto"/>
        <w:ind w:firstLine="480" w:firstLineChars="200"/>
        <w:jc w:val="distribute"/>
        <w:rPr>
          <w:rFonts w:hint="eastAsia" w:ascii="宋体" w:hAnsi="宋体" w:cs="宋体"/>
          <w:color w:val="000000"/>
          <w:sz w:val="24"/>
          <w:szCs w:val="22"/>
        </w:rPr>
      </w:pPr>
      <w:r>
        <w:rPr>
          <w:rFonts w:hint="eastAsia" w:ascii="宋体" w:hAnsi="宋体" w:cs="宋体"/>
          <w:color w:val="000000"/>
          <w:sz w:val="24"/>
          <w:szCs w:val="22"/>
        </w:rPr>
        <w:br w:type="page"/>
      </w:r>
    </w:p>
    <w:p>
      <w:pPr>
        <w:pStyle w:val="87"/>
        <w:jc w:val="center"/>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zh-CN"/>
        </w:rPr>
        <w:t>残疾人福利性单位声明函</w:t>
      </w:r>
    </w:p>
    <w:p>
      <w:pPr>
        <w:spacing w:line="588" w:lineRule="exact"/>
        <w:rPr>
          <w:rFonts w:hint="eastAsia" w:ascii="宋体" w:hAnsi="宋体" w:cs="宋体"/>
          <w:color w:val="000000"/>
          <w:spacing w:val="6"/>
          <w:sz w:val="30"/>
          <w:szCs w:val="30"/>
        </w:rPr>
      </w:pPr>
    </w:p>
    <w:p>
      <w:pPr>
        <w:spacing w:line="588" w:lineRule="exact"/>
        <w:ind w:firstLine="444" w:firstLineChars="200"/>
        <w:rPr>
          <w:rFonts w:hint="eastAsia" w:ascii="宋体" w:hAnsi="宋体" w:cs="宋体"/>
          <w:color w:val="000000"/>
          <w:spacing w:val="6"/>
          <w:sz w:val="21"/>
          <w:szCs w:val="21"/>
        </w:rPr>
      </w:pPr>
      <w:r>
        <w:rPr>
          <w:rFonts w:hint="eastAsia" w:ascii="宋体" w:hAnsi="宋体" w:cs="宋体"/>
          <w:color w:val="000000"/>
          <w:spacing w:val="6"/>
          <w:sz w:val="21"/>
          <w:szCs w:val="21"/>
        </w:rPr>
        <w:t>本单位郑重声明，根据《财政部民政部中国残疾人联合会关于促进残疾人就业政府采购政策的通知》（财库</w:t>
      </w:r>
      <w:r>
        <w:rPr>
          <w:rFonts w:hint="eastAsia" w:ascii="宋体" w:hAnsi="宋体" w:cs="宋体"/>
          <w:color w:val="000000"/>
          <w:sz w:val="21"/>
          <w:szCs w:val="21"/>
        </w:rPr>
        <w:t>〔2017〕 141</w:t>
      </w:r>
      <w:r>
        <w:rPr>
          <w:rFonts w:hint="eastAsia" w:ascii="宋体" w:hAnsi="宋体" w:cs="宋体"/>
          <w:color w:val="000000"/>
          <w:spacing w:val="6"/>
          <w:sz w:val="21"/>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000000"/>
          <w:spacing w:val="6"/>
          <w:sz w:val="21"/>
          <w:szCs w:val="21"/>
        </w:rPr>
      </w:pPr>
      <w:r>
        <w:rPr>
          <w:rFonts w:hint="eastAsia" w:ascii="宋体" w:hAnsi="宋体" w:cs="宋体"/>
          <w:color w:val="000000"/>
          <w:spacing w:val="6"/>
          <w:sz w:val="21"/>
          <w:szCs w:val="21"/>
        </w:rPr>
        <w:t>本单位对上述声明的真实性负责。如有虚假，将依法承担相应责任。</w:t>
      </w:r>
    </w:p>
    <w:p>
      <w:pPr>
        <w:spacing w:line="588" w:lineRule="exact"/>
        <w:ind w:firstLine="444" w:firstLineChars="200"/>
        <w:rPr>
          <w:rFonts w:hint="eastAsia" w:ascii="宋体" w:hAnsi="宋体" w:cs="宋体"/>
          <w:color w:val="000000"/>
          <w:spacing w:val="6"/>
          <w:sz w:val="21"/>
          <w:szCs w:val="21"/>
        </w:rPr>
      </w:pPr>
    </w:p>
    <w:p>
      <w:pPr>
        <w:spacing w:line="588" w:lineRule="exact"/>
        <w:ind w:firstLine="444" w:firstLineChars="200"/>
        <w:rPr>
          <w:rFonts w:hint="eastAsia" w:ascii="宋体" w:hAnsi="宋体" w:cs="宋体"/>
          <w:color w:val="000000"/>
          <w:spacing w:val="6"/>
          <w:sz w:val="21"/>
          <w:szCs w:val="21"/>
        </w:rPr>
      </w:pPr>
    </w:p>
    <w:p>
      <w:pPr>
        <w:tabs>
          <w:tab w:val="left" w:pos="4860"/>
        </w:tabs>
        <w:autoSpaceDE w:val="0"/>
        <w:autoSpaceDN w:val="0"/>
        <w:spacing w:line="588" w:lineRule="exact"/>
        <w:ind w:right="1560" w:firstLine="504"/>
        <w:jc w:val="right"/>
        <w:rPr>
          <w:rFonts w:hint="eastAsia" w:ascii="宋体" w:hAnsi="宋体" w:cs="宋体"/>
          <w:color w:val="000000"/>
          <w:sz w:val="21"/>
          <w:szCs w:val="21"/>
          <w:lang w:val="zh-CN"/>
        </w:rPr>
      </w:pPr>
      <w:r>
        <w:rPr>
          <w:rFonts w:hint="eastAsia" w:ascii="宋体" w:hAnsi="宋体" w:cs="宋体"/>
          <w:color w:val="000000"/>
          <w:sz w:val="21"/>
          <w:szCs w:val="21"/>
          <w:lang w:val="zh-CN"/>
        </w:rPr>
        <w:t>企业名称（公章）：</w:t>
      </w:r>
    </w:p>
    <w:p>
      <w:pPr>
        <w:tabs>
          <w:tab w:val="left" w:pos="4860"/>
        </w:tabs>
        <w:autoSpaceDE w:val="0"/>
        <w:autoSpaceDN w:val="0"/>
        <w:spacing w:line="588" w:lineRule="exact"/>
        <w:ind w:right="1560" w:firstLine="504"/>
        <w:jc w:val="right"/>
        <w:rPr>
          <w:rFonts w:hint="eastAsia" w:ascii="宋体" w:hAnsi="宋体" w:cs="宋体"/>
          <w:color w:val="000000"/>
          <w:sz w:val="21"/>
          <w:szCs w:val="21"/>
          <w:lang w:val="zh-CN"/>
        </w:rPr>
      </w:pPr>
      <w:r>
        <w:rPr>
          <w:rFonts w:hint="eastAsia" w:ascii="宋体" w:hAnsi="宋体" w:cs="宋体"/>
          <w:color w:val="000000"/>
          <w:sz w:val="21"/>
          <w:szCs w:val="21"/>
          <w:lang w:val="zh-CN"/>
        </w:rPr>
        <w:t xml:space="preserve">日期： </w:t>
      </w:r>
    </w:p>
    <w:p>
      <w:pPr>
        <w:autoSpaceDE w:val="0"/>
        <w:autoSpaceDN w:val="0"/>
        <w:adjustRightInd w:val="0"/>
        <w:spacing w:line="400" w:lineRule="exact"/>
        <w:jc w:val="left"/>
        <w:rPr>
          <w:rFonts w:hint="eastAsia" w:ascii="宋体" w:hAnsi="宋体" w:cs="宋体"/>
          <w:color w:val="000000"/>
          <w:sz w:val="21"/>
          <w:szCs w:val="21"/>
        </w:rPr>
      </w:pPr>
    </w:p>
    <w:p>
      <w:pPr>
        <w:autoSpaceDE w:val="0"/>
        <w:autoSpaceDN w:val="0"/>
        <w:adjustRightInd w:val="0"/>
        <w:spacing w:line="400" w:lineRule="exact"/>
        <w:jc w:val="left"/>
        <w:rPr>
          <w:rFonts w:hint="eastAsia" w:ascii="宋体" w:hAnsi="宋体" w:cs="宋体"/>
          <w:color w:val="000000"/>
          <w:sz w:val="21"/>
          <w:szCs w:val="21"/>
        </w:rPr>
      </w:pPr>
    </w:p>
    <w:p>
      <w:pPr>
        <w:autoSpaceDE w:val="0"/>
        <w:autoSpaceDN w:val="0"/>
        <w:adjustRightInd w:val="0"/>
        <w:spacing w:line="400" w:lineRule="exact"/>
        <w:jc w:val="left"/>
        <w:rPr>
          <w:rFonts w:hint="eastAsia" w:ascii="宋体" w:hAnsi="宋体" w:cs="宋体"/>
          <w:color w:val="000000"/>
          <w:sz w:val="21"/>
          <w:szCs w:val="21"/>
        </w:rPr>
      </w:pPr>
    </w:p>
    <w:p>
      <w:pPr>
        <w:autoSpaceDE w:val="0"/>
        <w:autoSpaceDN w:val="0"/>
        <w:adjustRightInd w:val="0"/>
        <w:spacing w:line="400" w:lineRule="exact"/>
        <w:jc w:val="left"/>
        <w:rPr>
          <w:rFonts w:hint="eastAsia" w:ascii="宋体" w:hAnsi="宋体" w:cs="宋体"/>
          <w:color w:val="000000"/>
          <w:sz w:val="21"/>
          <w:szCs w:val="21"/>
        </w:rPr>
      </w:pPr>
    </w:p>
    <w:p>
      <w:pPr>
        <w:autoSpaceDE w:val="0"/>
        <w:autoSpaceDN w:val="0"/>
        <w:adjustRightInd w:val="0"/>
        <w:spacing w:line="400" w:lineRule="exact"/>
        <w:jc w:val="left"/>
        <w:rPr>
          <w:rFonts w:hint="eastAsia" w:ascii="宋体" w:hAnsi="宋体" w:cs="宋体"/>
          <w:color w:val="000000"/>
          <w:sz w:val="21"/>
          <w:szCs w:val="21"/>
        </w:rPr>
      </w:pPr>
      <w:r>
        <w:rPr>
          <w:rFonts w:hint="eastAsia" w:ascii="宋体" w:hAnsi="宋体" w:cs="宋体"/>
          <w:color w:val="000000"/>
          <w:sz w:val="21"/>
          <w:szCs w:val="21"/>
        </w:rPr>
        <w:t>备注：若是，</w:t>
      </w:r>
      <w:r>
        <w:rPr>
          <w:rFonts w:hint="eastAsia" w:ascii="宋体" w:hAnsi="宋体" w:cs="宋体"/>
          <w:color w:val="000000"/>
          <w:sz w:val="21"/>
          <w:szCs w:val="21"/>
          <w:lang w:val="zh-CN"/>
        </w:rPr>
        <w:t>应提供财库〔2017〕141号文规定的《残疾人福利性单位声明函》，并对声明的真实性负责</w:t>
      </w:r>
      <w:r>
        <w:rPr>
          <w:rFonts w:hint="eastAsia" w:ascii="宋体" w:hAnsi="宋体" w:cs="宋体"/>
          <w:color w:val="000000"/>
          <w:sz w:val="21"/>
          <w:szCs w:val="21"/>
        </w:rPr>
        <w:t>。</w:t>
      </w:r>
    </w:p>
    <w:p>
      <w:pPr>
        <w:pStyle w:val="6"/>
        <w:keepNext w:val="0"/>
        <w:keepLines w:val="0"/>
        <w:widowControl/>
        <w:spacing w:before="0" w:after="0" w:line="23" w:lineRule="atLeast"/>
        <w:jc w:val="center"/>
        <w:rPr>
          <w:rFonts w:hint="eastAsia" w:ascii="宋体" w:hAnsi="宋体" w:cs="宋体"/>
          <w:color w:val="000000"/>
          <w:sz w:val="24"/>
          <w:szCs w:val="22"/>
        </w:rPr>
      </w:pPr>
      <w:r>
        <w:rPr>
          <w:rFonts w:hint="eastAsia" w:ascii="宋体" w:hAnsi="宋体" w:cs="宋体"/>
          <w:color w:val="000000"/>
          <w:sz w:val="24"/>
          <w:szCs w:val="22"/>
        </w:rPr>
        <w:t xml:space="preserve"> </w:t>
      </w:r>
    </w:p>
    <w:p>
      <w:pPr>
        <w:pStyle w:val="6"/>
        <w:keepNext w:val="0"/>
        <w:keepLines w:val="0"/>
        <w:widowControl/>
        <w:spacing w:before="0" w:after="0" w:line="23" w:lineRule="atLeast"/>
        <w:jc w:val="center"/>
        <w:rPr>
          <w:rFonts w:hint="eastAsia" w:ascii="宋体" w:hAnsi="宋体" w:cs="宋体"/>
          <w:color w:val="000000"/>
          <w:sz w:val="24"/>
          <w:szCs w:val="22"/>
        </w:rPr>
      </w:pPr>
    </w:p>
    <w:p>
      <w:pPr>
        <w:pStyle w:val="6"/>
        <w:keepNext w:val="0"/>
        <w:keepLines w:val="0"/>
        <w:widowControl/>
        <w:spacing w:before="0" w:after="0" w:line="23" w:lineRule="atLeast"/>
        <w:jc w:val="center"/>
        <w:rPr>
          <w:rFonts w:hint="eastAsia" w:ascii="宋体" w:hAnsi="宋体" w:cs="宋体"/>
          <w:color w:val="000000"/>
          <w:sz w:val="24"/>
          <w:szCs w:val="22"/>
        </w:rPr>
      </w:pPr>
    </w:p>
    <w:p>
      <w:pPr>
        <w:pStyle w:val="6"/>
        <w:keepNext w:val="0"/>
        <w:keepLines w:val="0"/>
        <w:widowControl/>
        <w:spacing w:before="0" w:after="0" w:line="23" w:lineRule="atLeast"/>
        <w:jc w:val="center"/>
        <w:rPr>
          <w:rFonts w:hint="eastAsia" w:ascii="宋体" w:hAnsi="宋体" w:cs="宋体"/>
          <w:color w:val="000000"/>
          <w:sz w:val="24"/>
          <w:szCs w:val="22"/>
        </w:rPr>
      </w:pPr>
    </w:p>
    <w:p>
      <w:pPr>
        <w:pStyle w:val="6"/>
        <w:keepNext w:val="0"/>
        <w:keepLines w:val="0"/>
        <w:widowControl/>
        <w:spacing w:before="0" w:after="0" w:line="23" w:lineRule="atLeast"/>
        <w:jc w:val="center"/>
        <w:rPr>
          <w:rFonts w:hint="eastAsia" w:ascii="宋体" w:hAnsi="宋体" w:cs="宋体"/>
          <w:color w:val="000000"/>
          <w:sz w:val="24"/>
          <w:szCs w:val="22"/>
        </w:rPr>
      </w:pPr>
    </w:p>
    <w:p>
      <w:pPr>
        <w:pStyle w:val="6"/>
        <w:keepNext w:val="0"/>
        <w:keepLines w:val="0"/>
        <w:widowControl/>
        <w:spacing w:before="0" w:after="0" w:line="23" w:lineRule="atLeast"/>
        <w:jc w:val="center"/>
        <w:rPr>
          <w:rFonts w:hint="eastAsia" w:ascii="宋体" w:hAnsi="宋体" w:cs="宋体"/>
          <w:color w:val="000000"/>
          <w:sz w:val="24"/>
          <w:szCs w:val="22"/>
        </w:rPr>
      </w:pPr>
    </w:p>
    <w:p>
      <w:pPr>
        <w:rPr>
          <w:rFonts w:hint="eastAsia"/>
        </w:rPr>
      </w:pPr>
    </w:p>
    <w:p>
      <w:pPr>
        <w:pStyle w:val="6"/>
        <w:keepNext w:val="0"/>
        <w:keepLines w:val="0"/>
        <w:widowControl/>
        <w:spacing w:before="0" w:after="0" w:line="23" w:lineRule="atLeast"/>
        <w:jc w:val="center"/>
        <w:rPr>
          <w:rFonts w:hint="eastAsia" w:ascii="宋体" w:hAnsi="宋体" w:cs="宋体"/>
          <w:color w:val="000000"/>
          <w:sz w:val="24"/>
          <w:szCs w:val="22"/>
        </w:rPr>
      </w:pPr>
    </w:p>
    <w:p>
      <w:pPr>
        <w:pStyle w:val="6"/>
        <w:keepNext w:val="0"/>
        <w:keepLines w:val="0"/>
        <w:widowControl/>
        <w:spacing w:before="0" w:after="0" w:line="23" w:lineRule="atLeast"/>
        <w:jc w:val="center"/>
        <w:rPr>
          <w:rFonts w:hint="eastAsia" w:ascii="宋体" w:hAnsi="宋体" w:cs="宋体"/>
          <w:color w:val="000000"/>
          <w:sz w:val="24"/>
          <w:szCs w:val="22"/>
        </w:rPr>
      </w:pPr>
    </w:p>
    <w:p>
      <w:pPr>
        <w:pStyle w:val="6"/>
        <w:keepNext w:val="0"/>
        <w:keepLines w:val="0"/>
        <w:widowControl/>
        <w:spacing w:before="0" w:after="0" w:line="23" w:lineRule="atLeast"/>
        <w:jc w:val="center"/>
        <w:rPr>
          <w:rFonts w:hint="eastAsia" w:ascii="宋体" w:hAnsi="宋体" w:cs="宋体"/>
          <w:color w:val="000000"/>
          <w:sz w:val="24"/>
          <w:szCs w:val="22"/>
        </w:rPr>
      </w:pPr>
    </w:p>
    <w:p>
      <w:pPr>
        <w:rPr>
          <w:rFonts w:hint="eastAsia"/>
        </w:rPr>
      </w:pPr>
    </w:p>
    <w:p>
      <w:pPr>
        <w:pStyle w:val="41"/>
        <w:rPr>
          <w:rFonts w:hint="eastAsia"/>
        </w:rPr>
      </w:pPr>
    </w:p>
    <w:p>
      <w:pPr>
        <w:pStyle w:val="20"/>
        <w:rPr>
          <w:rFonts w:hint="eastAsia" w:hAnsi="宋体" w:cs="宋体"/>
          <w:bCs/>
          <w:color w:val="000000"/>
          <w:szCs w:val="21"/>
        </w:rPr>
      </w:pPr>
    </w:p>
    <w:p>
      <w:pPr>
        <w:pStyle w:val="87"/>
        <w:jc w:val="left"/>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val="zh-CN"/>
        </w:rPr>
        <w:t>优惠条件；</w:t>
      </w:r>
    </w:p>
    <w:p>
      <w:pPr>
        <w:pStyle w:val="87"/>
        <w:jc w:val="left"/>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lang w:val="zh-CN"/>
        </w:rPr>
        <w:t>服务承诺；</w:t>
      </w:r>
    </w:p>
    <w:p>
      <w:pPr>
        <w:pStyle w:val="87"/>
        <w:jc w:val="left"/>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val="zh-CN"/>
        </w:rPr>
        <w:t>投标人认为有必要的其它资料及评标办法评审项目的其他证明材料。</w:t>
      </w:r>
    </w:p>
    <w:p>
      <w:pPr>
        <w:pStyle w:val="87"/>
        <w:jc w:val="left"/>
        <w:rPr>
          <w:rFonts w:hint="eastAsia" w:ascii="宋体" w:hAnsi="宋体" w:eastAsia="宋体" w:cs="宋体"/>
          <w:color w:val="000000"/>
          <w:sz w:val="32"/>
          <w:szCs w:val="32"/>
          <w:lang w:val="zh-CN"/>
        </w:rPr>
      </w:pPr>
    </w:p>
    <w:p>
      <w:pPr>
        <w:pStyle w:val="7"/>
        <w:rPr>
          <w:rFonts w:hint="eastAsia" w:ascii="宋体" w:hAnsi="宋体" w:cs="宋体"/>
          <w:color w:val="000000"/>
          <w:sz w:val="24"/>
          <w:highlight w:val="cyan"/>
        </w:rPr>
      </w:pPr>
    </w:p>
    <w:p>
      <w:pPr>
        <w:rPr>
          <w:rFonts w:hint="eastAsia" w:ascii="宋体" w:hAnsi="宋体" w:cs="宋体"/>
          <w:color w:val="000000"/>
          <w:sz w:val="24"/>
          <w:highlight w:val="cyan"/>
        </w:rPr>
      </w:pPr>
    </w:p>
    <w:p>
      <w:pPr>
        <w:pStyle w:val="7"/>
        <w:rPr>
          <w:rFonts w:hint="eastAsia" w:ascii="宋体" w:hAnsi="宋体" w:cs="宋体"/>
          <w:color w:val="000000"/>
          <w:sz w:val="24"/>
          <w:highlight w:val="cyan"/>
        </w:rPr>
      </w:pPr>
    </w:p>
    <w:p>
      <w:pPr>
        <w:rPr>
          <w:rFonts w:hint="eastAsia" w:ascii="宋体" w:hAnsi="宋体" w:cs="宋体"/>
          <w:color w:val="000000"/>
          <w:sz w:val="24"/>
          <w:highlight w:val="cyan"/>
        </w:rPr>
      </w:pPr>
    </w:p>
    <w:p>
      <w:pPr>
        <w:pStyle w:val="7"/>
        <w:rPr>
          <w:rFonts w:hint="eastAsia" w:ascii="宋体" w:hAnsi="宋体" w:cs="宋体"/>
          <w:color w:val="000000"/>
          <w:sz w:val="24"/>
          <w:highlight w:val="cyan"/>
        </w:rPr>
      </w:pPr>
    </w:p>
    <w:p>
      <w:pPr>
        <w:rPr>
          <w:rFonts w:hint="eastAsia" w:ascii="宋体" w:hAnsi="宋体" w:cs="宋体"/>
          <w:color w:val="000000"/>
          <w:sz w:val="24"/>
          <w:highlight w:val="cyan"/>
        </w:rPr>
      </w:pPr>
    </w:p>
    <w:p>
      <w:pPr>
        <w:pStyle w:val="7"/>
        <w:rPr>
          <w:rFonts w:hint="eastAsia" w:ascii="宋体" w:hAnsi="宋体" w:cs="宋体"/>
          <w:color w:val="000000"/>
          <w:sz w:val="24"/>
          <w:highlight w:val="cyan"/>
        </w:rPr>
      </w:pPr>
    </w:p>
    <w:p>
      <w:pPr>
        <w:rPr>
          <w:rFonts w:hint="eastAsia" w:ascii="宋体" w:hAnsi="宋体" w:cs="宋体"/>
          <w:color w:val="000000"/>
          <w:sz w:val="24"/>
          <w:highlight w:val="cyan"/>
        </w:rPr>
      </w:pPr>
    </w:p>
    <w:p>
      <w:pPr>
        <w:pStyle w:val="7"/>
        <w:rPr>
          <w:rFonts w:hint="eastAsia" w:ascii="宋体" w:hAnsi="宋体" w:cs="宋体"/>
          <w:color w:val="000000"/>
          <w:sz w:val="24"/>
          <w:highlight w:val="cyan"/>
        </w:rPr>
      </w:pPr>
    </w:p>
    <w:p>
      <w:pPr>
        <w:rPr>
          <w:rFonts w:hint="eastAsia"/>
        </w:rPr>
      </w:pPr>
    </w:p>
    <w:p>
      <w:pPr>
        <w:rPr>
          <w:rFonts w:hint="eastAsia" w:ascii="宋体" w:hAnsi="宋体" w:cs="宋体"/>
          <w:color w:val="000000"/>
          <w:sz w:val="24"/>
          <w:highlight w:val="cyan"/>
        </w:rPr>
      </w:pPr>
    </w:p>
    <w:p>
      <w:pPr>
        <w:pStyle w:val="7"/>
        <w:rPr>
          <w:rFonts w:hint="eastAsia" w:ascii="宋体" w:hAnsi="宋体" w:cs="宋体"/>
          <w:color w:val="000000"/>
          <w:sz w:val="24"/>
          <w:highlight w:val="cyan"/>
        </w:rPr>
      </w:pPr>
    </w:p>
    <w:p>
      <w:pPr>
        <w:rPr>
          <w:rFonts w:hint="eastAsia" w:ascii="宋体" w:hAnsi="宋体" w:cs="宋体"/>
          <w:color w:val="000000"/>
          <w:sz w:val="24"/>
          <w:highlight w:val="cyan"/>
        </w:rPr>
      </w:pPr>
    </w:p>
    <w:p>
      <w:pPr>
        <w:pStyle w:val="41"/>
        <w:jc w:val="both"/>
        <w:rPr>
          <w:rFonts w:hint="eastAsia" w:ascii="宋体" w:hAnsi="宋体" w:cs="宋体"/>
          <w:b/>
          <w:bCs w:val="0"/>
          <w:color w:val="auto"/>
          <w:kern w:val="0"/>
          <w:sz w:val="28"/>
          <w:szCs w:val="28"/>
          <w:lang w:val="en-US" w:eastAsia="zh-CN"/>
        </w:rPr>
      </w:pPr>
    </w:p>
    <w:p>
      <w:pPr>
        <w:pStyle w:val="41"/>
        <w:jc w:val="center"/>
        <w:rPr>
          <w:rFonts w:hint="eastAsia" w:ascii="宋体" w:hAnsi="宋体" w:eastAsia="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附件：</w:t>
      </w:r>
      <w:r>
        <w:rPr>
          <w:rFonts w:hint="eastAsia" w:ascii="宋体" w:hAnsi="宋体" w:eastAsia="宋体" w:cs="宋体"/>
          <w:b/>
          <w:bCs w:val="0"/>
          <w:color w:val="auto"/>
          <w:kern w:val="0"/>
          <w:sz w:val="28"/>
          <w:szCs w:val="28"/>
          <w:lang w:val="en-US" w:eastAsia="zh-CN"/>
        </w:rPr>
        <w:t>关于印发中小企业划型标准规定的通知</w:t>
      </w:r>
    </w:p>
    <w:p>
      <w:pPr>
        <w:pStyle w:val="41"/>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28"/>
          <w:szCs w:val="28"/>
          <w:lang w:val="en-US" w:eastAsia="zh-CN"/>
        </w:rPr>
        <w:t>工信部联企业〔2011〕300 号</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各省、自治区、直辖市人民政府，国务院各部委、各直属机构及有关单位：</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 xml:space="preserve"> 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 xml:space="preserve"> </w:t>
      </w:r>
    </w:p>
    <w:p>
      <w:pPr>
        <w:widowControl w:val="0"/>
        <w:spacing w:line="360" w:lineRule="auto"/>
        <w:ind w:firstLine="530" w:firstLineChars="221"/>
        <w:jc w:val="right"/>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工业和信息化部 国家统计局</w:t>
      </w:r>
    </w:p>
    <w:p>
      <w:pPr>
        <w:widowControl w:val="0"/>
        <w:spacing w:line="360" w:lineRule="auto"/>
        <w:ind w:firstLine="530" w:firstLineChars="221"/>
        <w:jc w:val="right"/>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 xml:space="preserve"> 国家发展和改革委员会 财政部</w:t>
      </w:r>
    </w:p>
    <w:p>
      <w:pPr>
        <w:widowControl w:val="0"/>
        <w:spacing w:line="360" w:lineRule="auto"/>
        <w:ind w:firstLine="530" w:firstLineChars="221"/>
        <w:jc w:val="right"/>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二○一一年六月十八日</w:t>
      </w: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480" w:firstLineChars="200"/>
        <w:jc w:val="right"/>
        <w:rPr>
          <w:rFonts w:hint="eastAsia" w:ascii="宋体"/>
          <w:b w:val="0"/>
          <w:bCs/>
          <w:sz w:val="24"/>
        </w:rPr>
      </w:pPr>
    </w:p>
    <w:p>
      <w:pPr>
        <w:pStyle w:val="43"/>
        <w:ind w:firstLine="0" w:firstLineChars="0"/>
        <w:jc w:val="center"/>
        <w:rPr>
          <w:rFonts w:hint="eastAsia" w:ascii="宋体"/>
          <w:b/>
          <w:bCs/>
          <w:sz w:val="32"/>
          <w:szCs w:val="32"/>
        </w:rPr>
      </w:pPr>
      <w:r>
        <w:rPr>
          <w:rFonts w:hint="eastAsia" w:ascii="宋体"/>
          <w:b/>
          <w:bCs/>
          <w:sz w:val="32"/>
          <w:szCs w:val="32"/>
        </w:rPr>
        <w:t>中小企业划型标准规定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一、根据《中华人民共和国中小企业促进法》和《国务院关于进一步促进中小企业发展的若干意见》(国发〔2009〕36 号</w:t>
      </w:r>
      <w:r>
        <w:rPr>
          <w:rFonts w:hint="eastAsia" w:ascii="宋体" w:hAnsi="宋体" w:cs="宋体"/>
          <w:kern w:val="2"/>
          <w:sz w:val="24"/>
          <w:szCs w:val="24"/>
          <w:lang w:val="zh-CN" w:eastAsia="zh-CN"/>
        </w:rPr>
        <w:t>）</w:t>
      </w:r>
      <w:r>
        <w:rPr>
          <w:rFonts w:hint="eastAsia" w:ascii="宋体" w:hAnsi="宋体" w:eastAsia="宋体" w:cs="宋体"/>
          <w:kern w:val="2"/>
          <w:sz w:val="24"/>
          <w:szCs w:val="24"/>
          <w:lang w:val="zh-CN" w:eastAsia="zh-CN"/>
        </w:rPr>
        <w:t>，制定本规定。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二、中小企业划分为中型、小型、微型三种类型，具体标准根据企业从业人员、营业收入、资产总额等指标，结合行业特点制定。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四、各行业划型标准为：</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（一）农、林、牧、渔业。营业收入 20000 万元以下的为中小微型企业。其中，营业收入 500 万元及以上的为中型企业，营业收入 50 万元及以上的为小型企业，营业收入 50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（二）工业。从业人员 1000 人以下或营业收入 40000 万元以下的为中小微型企业。其中，从业人员 300 人及以上，且营业收入 2000 万元及以上的为中型企业；从业人员20 人及以上，且营业收入 300 万元及以上的为小型企业；从业人员 20 人以下或营业收入 300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（四）批发业。从业人员 200 人以下或营业收入 40000 万元以下的为中小微型企业。其中，从业人员 20 人及以上，且营业收入 5000 万元及以上的为中型企业；从业人员 5人及以上，且营业收入 1000 万元及以上的为小型企业；从业人员 5 人以下或营业收入1000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（五）零售业。从业人员 300 人以下或营业收入 20000 万元以下的为中小微型企业。其中，从业人员 50 人及以上，且营业收入 500 万元及以上的为中型企业；从业人员 10人及以上，且营业收入 100 万元及以上的为小型企业；从业人员 10 人以下或营业收入100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（七）仓储业。从业人员 200 人以下或营业收入 30000 万元以下的为中小微型企业。其中，从业人员 100 人及以上，且营业收入 1000 万元及以上的为中型企业；从业人员20 人及以上，且营业收入 100 万元及以上的为小型企业；从业人员 20 人以下或营业收入 100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（九）住宿业。从业人员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 100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（十）餐饮业。从业人员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 100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万元及以上的为小型企业；从业人员10 人以下或营业收入 50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万元及以上的为小型企业；从业人员10 人以下或资产总额 100 万元以下的为微型企业。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（十六）其他未列明行业。从业人员 300 人以下的为中小微型企业。其中，从业人员 100 人及以上的为中型企业；从业人员 10 人及以上的为小型企业；从业人员 10 人以下的为微型企业。</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五、企业类型的划分以统计部门的统计数据为依据。</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六、本规定适用于在中华人民共和国境内依法设立的各类所有制和各种组织形式的企业。个体工商户和本规定以外的行业，参照本规定进行划型。</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八、本规定由工业和信息化部、国家统计局会同有关部门根据《国民经济行业分类》修订情况和企业发展变化情况适时修订。</w:t>
      </w:r>
    </w:p>
    <w:p>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九、本规定由工业和信息化部、国家统计局会同有关部门负责解释。</w:t>
      </w:r>
    </w:p>
    <w:p>
      <w:pPr>
        <w:widowControl w:val="0"/>
        <w:spacing w:line="360" w:lineRule="auto"/>
        <w:ind w:firstLine="530" w:firstLineChars="221"/>
        <w:jc w:val="both"/>
        <w:rPr>
          <w:rFonts w:hint="eastAsia" w:ascii="宋体" w:hAnsi="宋体" w:cs="宋体"/>
          <w:color w:val="000000"/>
          <w:sz w:val="24"/>
          <w:highlight w:val="cyan"/>
        </w:rPr>
      </w:pPr>
      <w:r>
        <w:rPr>
          <w:rFonts w:hint="eastAsia" w:ascii="宋体" w:hAnsi="宋体" w:eastAsia="宋体" w:cs="宋体"/>
          <w:kern w:val="2"/>
          <w:sz w:val="24"/>
          <w:szCs w:val="24"/>
          <w:lang w:val="zh-CN" w:eastAsia="zh-CN"/>
        </w:rPr>
        <w:t>十、本规定自发布之日起执行，原国家经贸委、原国家计委、财政部和国家统计局 2003 年颁布的《中小企业标准暂行规定》同时废止。</w:t>
      </w:r>
    </w:p>
    <w:p>
      <w:pPr>
        <w:rPr>
          <w:rFonts w:hint="eastAsia"/>
        </w:rPr>
      </w:pPr>
    </w:p>
    <w:sectPr>
      <w:pgSz w:w="11906" w:h="16838"/>
      <w:pgMar w:top="1440" w:right="1803" w:bottom="1440" w:left="1800"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rkffC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TuavBOWZn758f3y8/fl&#10;1zf2N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tK5H3wgEAAIcDAAAOAAAAAAAAAAEAIAAAAB8BAABkcnMvZTJvRG9jLnhtbFBL&#10;BQYAAAAABgAGAFkBAABT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DbLJ8MBAACHAwAADgAAAAAAAAABACAAAAAfAQAAZHJzL2Uyb0RvYy54bWxQ&#10;SwUGAAAAAAYABgBZAQAAV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K7kt+bBAQAAiAMAAA4AAAAAAAAAAQAgAAAAHwEAAGRycy9lMm9Eb2MueG1sUEsF&#10;BgAAAAAGAAYAWQEAAFI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B1E7E"/>
    <w:multiLevelType w:val="singleLevel"/>
    <w:tmpl w:val="9BBB1E7E"/>
    <w:lvl w:ilvl="0" w:tentative="0">
      <w:start w:val="1"/>
      <w:numFmt w:val="decimal"/>
      <w:suff w:val="nothing"/>
      <w:lvlText w:val="%1．"/>
      <w:lvlJc w:val="left"/>
    </w:lvl>
  </w:abstractNum>
  <w:abstractNum w:abstractNumId="1">
    <w:nsid w:val="BAE70DD3"/>
    <w:multiLevelType w:val="singleLevel"/>
    <w:tmpl w:val="BAE70DD3"/>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4"/>
    <w:multiLevelType w:val="singleLevel"/>
    <w:tmpl w:val="00000004"/>
    <w:lvl w:ilvl="0" w:tentative="0">
      <w:start w:val="6"/>
      <w:numFmt w:val="chineseCounting"/>
      <w:suff w:val="nothing"/>
      <w:lvlText w:val="（%1）"/>
      <w:lvlJc w:val="left"/>
      <w:rPr>
        <w:rFonts w:hint="eastAsia"/>
      </w:rPr>
    </w:lvl>
  </w:abstractNum>
  <w:abstractNum w:abstractNumId="4">
    <w:nsid w:val="19B1EB48"/>
    <w:multiLevelType w:val="singleLevel"/>
    <w:tmpl w:val="19B1EB48"/>
    <w:lvl w:ilvl="0" w:tentative="0">
      <w:start w:val="1"/>
      <w:numFmt w:val="decimal"/>
      <w:suff w:val="nothing"/>
      <w:lvlText w:val="%1、"/>
      <w:lvlJc w:val="left"/>
    </w:lvl>
  </w:abstractNum>
  <w:abstractNum w:abstractNumId="5">
    <w:nsid w:val="2C8CFED3"/>
    <w:multiLevelType w:val="singleLevel"/>
    <w:tmpl w:val="2C8CFED3"/>
    <w:lvl w:ilvl="0" w:tentative="0">
      <w:start w:val="1"/>
      <w:numFmt w:val="chineseCounting"/>
      <w:suff w:val="nothing"/>
      <w:lvlText w:val="%1、"/>
      <w:lvlJc w:val="left"/>
      <w:rPr>
        <w:rFonts w:hint="eastAsia"/>
      </w:rPr>
    </w:lvl>
  </w:abstractNum>
  <w:abstractNum w:abstractNumId="6">
    <w:nsid w:val="2CC12ABB"/>
    <w:multiLevelType w:val="multilevel"/>
    <w:tmpl w:val="2CC12ABB"/>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C502BB9"/>
    <w:multiLevelType w:val="multilevel"/>
    <w:tmpl w:val="5C502BB9"/>
    <w:lvl w:ilvl="0" w:tentative="0">
      <w:start w:val="1"/>
      <w:numFmt w:val="decimal"/>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7FE4B7D2"/>
    <w:multiLevelType w:val="singleLevel"/>
    <w:tmpl w:val="7FE4B7D2"/>
    <w:lvl w:ilvl="0" w:tentative="0">
      <w:start w:val="1"/>
      <w:numFmt w:val="decimal"/>
      <w:suff w:val="nothing"/>
      <w:lvlText w:val="%1、"/>
      <w:lvlJc w:val="left"/>
    </w:lvl>
  </w:abstractNum>
  <w:num w:numId="1">
    <w:abstractNumId w:val="5"/>
  </w:num>
  <w:num w:numId="2">
    <w:abstractNumId w:val="8"/>
  </w:num>
  <w:num w:numId="3">
    <w:abstractNumId w:val="7"/>
  </w:num>
  <w:num w:numId="4">
    <w:abstractNumId w:val="4"/>
  </w:num>
  <w:num w:numId="5">
    <w:abstractNumId w:val="6"/>
  </w:num>
  <w:num w:numId="6">
    <w:abstractNumId w:val="0"/>
  </w:num>
  <w:num w:numId="7">
    <w:abstractNumId w:val="1"/>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YmRmZjkwYTg1NzBjMzIwMzk1MWYwZWE0NGYyOGEifQ=="/>
  </w:docVars>
  <w:rsids>
    <w:rsidRoot w:val="00000000"/>
    <w:rsid w:val="00F23D44"/>
    <w:rsid w:val="052B4E9A"/>
    <w:rsid w:val="058C703F"/>
    <w:rsid w:val="06376B66"/>
    <w:rsid w:val="07AD1503"/>
    <w:rsid w:val="084C7436"/>
    <w:rsid w:val="085207C5"/>
    <w:rsid w:val="088145D2"/>
    <w:rsid w:val="0A093D8B"/>
    <w:rsid w:val="0B004050"/>
    <w:rsid w:val="0DCD1F19"/>
    <w:rsid w:val="10E243C3"/>
    <w:rsid w:val="14BC3B96"/>
    <w:rsid w:val="14C667C2"/>
    <w:rsid w:val="159015C1"/>
    <w:rsid w:val="15A00DC2"/>
    <w:rsid w:val="174F2422"/>
    <w:rsid w:val="17A76445"/>
    <w:rsid w:val="18133ACD"/>
    <w:rsid w:val="19C86B39"/>
    <w:rsid w:val="1B0645D4"/>
    <w:rsid w:val="1DCC3A3C"/>
    <w:rsid w:val="1EBD4792"/>
    <w:rsid w:val="232C1EE7"/>
    <w:rsid w:val="23C3620D"/>
    <w:rsid w:val="2C144DE1"/>
    <w:rsid w:val="2C8E776E"/>
    <w:rsid w:val="2DBE2CD7"/>
    <w:rsid w:val="2F3F11F4"/>
    <w:rsid w:val="30296826"/>
    <w:rsid w:val="309D08C8"/>
    <w:rsid w:val="30BD6AAD"/>
    <w:rsid w:val="31052029"/>
    <w:rsid w:val="3227669B"/>
    <w:rsid w:val="32650F71"/>
    <w:rsid w:val="33707BCD"/>
    <w:rsid w:val="355C2AFF"/>
    <w:rsid w:val="36BE6EA2"/>
    <w:rsid w:val="38C770A4"/>
    <w:rsid w:val="39846181"/>
    <w:rsid w:val="3B0A6F00"/>
    <w:rsid w:val="3C526D06"/>
    <w:rsid w:val="3D9A2417"/>
    <w:rsid w:val="3D9D4A62"/>
    <w:rsid w:val="3E8728EB"/>
    <w:rsid w:val="3FC272EB"/>
    <w:rsid w:val="40C22698"/>
    <w:rsid w:val="428E26C4"/>
    <w:rsid w:val="46853538"/>
    <w:rsid w:val="488D64A1"/>
    <w:rsid w:val="49170B49"/>
    <w:rsid w:val="491A265E"/>
    <w:rsid w:val="49293F73"/>
    <w:rsid w:val="49A81A17"/>
    <w:rsid w:val="4C7B030A"/>
    <w:rsid w:val="4C905F37"/>
    <w:rsid w:val="4E061707"/>
    <w:rsid w:val="4E0A0EF3"/>
    <w:rsid w:val="4FA26F09"/>
    <w:rsid w:val="4FB76BFA"/>
    <w:rsid w:val="50F86D5D"/>
    <w:rsid w:val="512E60BF"/>
    <w:rsid w:val="52926A8D"/>
    <w:rsid w:val="54576514"/>
    <w:rsid w:val="548328B3"/>
    <w:rsid w:val="552B174F"/>
    <w:rsid w:val="59044790"/>
    <w:rsid w:val="5D7C4B6F"/>
    <w:rsid w:val="5E6147B3"/>
    <w:rsid w:val="5FC8265A"/>
    <w:rsid w:val="603B2CD6"/>
    <w:rsid w:val="61CC0DA0"/>
    <w:rsid w:val="64C00105"/>
    <w:rsid w:val="65257F68"/>
    <w:rsid w:val="652F6D7B"/>
    <w:rsid w:val="66126857"/>
    <w:rsid w:val="66134265"/>
    <w:rsid w:val="67895BD4"/>
    <w:rsid w:val="69CC30A8"/>
    <w:rsid w:val="6FE66356"/>
    <w:rsid w:val="714C195A"/>
    <w:rsid w:val="717B3CFB"/>
    <w:rsid w:val="72102637"/>
    <w:rsid w:val="724F26E6"/>
    <w:rsid w:val="75185269"/>
    <w:rsid w:val="7539048A"/>
    <w:rsid w:val="796A6FB3"/>
    <w:rsid w:val="79702228"/>
    <w:rsid w:val="79DF4732"/>
    <w:rsid w:val="7BE14791"/>
    <w:rsid w:val="7CDA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8"/>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59"/>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60"/>
    <w:qFormat/>
    <w:uiPriority w:val="0"/>
    <w:pPr>
      <w:keepNext/>
      <w:keepLines/>
      <w:spacing w:before="260" w:after="260" w:line="415" w:lineRule="auto"/>
      <w:outlineLvl w:val="2"/>
    </w:pPr>
    <w:rPr>
      <w:b/>
      <w:bCs/>
      <w:sz w:val="32"/>
      <w:szCs w:val="32"/>
    </w:rPr>
  </w:style>
  <w:style w:type="paragraph" w:styleId="9">
    <w:name w:val="heading 4"/>
    <w:basedOn w:val="1"/>
    <w:next w:val="1"/>
    <w:link w:val="61"/>
    <w:qFormat/>
    <w:uiPriority w:val="0"/>
    <w:pPr>
      <w:keepNext/>
      <w:keepLines/>
      <w:spacing w:before="280" w:after="290" w:line="374" w:lineRule="auto"/>
      <w:outlineLvl w:val="3"/>
    </w:pPr>
    <w:rPr>
      <w:rFonts w:ascii="Arial" w:hAnsi="Arial" w:eastAsia="黑体"/>
      <w:b/>
      <w:bCs/>
      <w:sz w:val="28"/>
      <w:szCs w:val="28"/>
    </w:rPr>
  </w:style>
  <w:style w:type="paragraph" w:styleId="10">
    <w:name w:val="heading 5"/>
    <w:basedOn w:val="1"/>
    <w:next w:val="1"/>
    <w:link w:val="62"/>
    <w:qFormat/>
    <w:uiPriority w:val="0"/>
    <w:pPr>
      <w:keepNext/>
      <w:keepLines/>
      <w:spacing w:before="280" w:after="290" w:line="372" w:lineRule="auto"/>
      <w:outlineLvl w:val="4"/>
    </w:pPr>
    <w:rPr>
      <w:b/>
      <w:bCs/>
      <w:sz w:val="28"/>
      <w:szCs w:val="28"/>
    </w:rPr>
  </w:style>
  <w:style w:type="paragraph" w:styleId="11">
    <w:name w:val="heading 6"/>
    <w:basedOn w:val="1"/>
    <w:next w:val="1"/>
    <w:link w:val="63"/>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2">
    <w:name w:val="heading 7"/>
    <w:basedOn w:val="1"/>
    <w:next w:val="1"/>
    <w:link w:val="64"/>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3">
    <w:name w:val="heading 8"/>
    <w:basedOn w:val="1"/>
    <w:next w:val="1"/>
    <w:link w:val="65"/>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4">
    <w:name w:val="heading 9"/>
    <w:basedOn w:val="1"/>
    <w:next w:val="1"/>
    <w:link w:val="66"/>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6">
    <w:name w:val="Default Paragraph Font"/>
    <w:qFormat/>
    <w:uiPriority w:val="0"/>
  </w:style>
  <w:style w:type="table" w:default="1" w:styleId="44">
    <w:name w:val="Normal Table"/>
    <w:qFormat/>
    <w:uiPriority w:val="0"/>
    <w:rPr>
      <w:rFonts w:ascii="Calibri" w:hAnsi="Calibri"/>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5"/>
    <w:qFormat/>
    <w:uiPriority w:val="0"/>
    <w:pPr>
      <w:ind w:firstLine="420" w:firstLineChars="200"/>
    </w:pPr>
  </w:style>
  <w:style w:type="paragraph" w:styleId="5">
    <w:name w:val="caption"/>
    <w:basedOn w:val="1"/>
    <w:next w:val="1"/>
    <w:qFormat/>
    <w:uiPriority w:val="0"/>
    <w:rPr>
      <w:rFonts w:ascii="Cambria" w:hAnsi="Cambria" w:eastAsia="黑体"/>
      <w:sz w:val="20"/>
      <w:szCs w:val="20"/>
    </w:rPr>
  </w:style>
  <w:style w:type="paragraph" w:styleId="15">
    <w:name w:val="toc 7"/>
    <w:basedOn w:val="1"/>
    <w:next w:val="1"/>
    <w:qFormat/>
    <w:uiPriority w:val="0"/>
    <w:pPr>
      <w:ind w:left="1260"/>
      <w:jc w:val="left"/>
    </w:pPr>
    <w:rPr>
      <w:sz w:val="18"/>
      <w:szCs w:val="18"/>
    </w:rPr>
  </w:style>
  <w:style w:type="paragraph" w:styleId="16">
    <w:name w:val="Document Map"/>
    <w:basedOn w:val="1"/>
    <w:link w:val="67"/>
    <w:qFormat/>
    <w:uiPriority w:val="0"/>
    <w:pPr>
      <w:shd w:val="clear" w:color="auto" w:fill="000080"/>
    </w:pPr>
  </w:style>
  <w:style w:type="paragraph" w:styleId="17">
    <w:name w:val="annotation text"/>
    <w:basedOn w:val="1"/>
    <w:link w:val="68"/>
    <w:qFormat/>
    <w:uiPriority w:val="0"/>
    <w:pPr>
      <w:jc w:val="left"/>
    </w:pPr>
  </w:style>
  <w:style w:type="paragraph" w:styleId="18">
    <w:name w:val="Body Text 3"/>
    <w:basedOn w:val="1"/>
    <w:qFormat/>
    <w:uiPriority w:val="0"/>
    <w:rPr>
      <w:rFonts w:ascii="宋体"/>
      <w:sz w:val="24"/>
      <w:szCs w:val="20"/>
    </w:rPr>
  </w:style>
  <w:style w:type="paragraph" w:styleId="19">
    <w:name w:val="Body Text"/>
    <w:basedOn w:val="1"/>
    <w:next w:val="1"/>
    <w:link w:val="69"/>
    <w:qFormat/>
    <w:uiPriority w:val="0"/>
    <w:pPr>
      <w:spacing w:after="120"/>
    </w:pPr>
  </w:style>
  <w:style w:type="paragraph" w:styleId="20">
    <w:name w:val="List 2"/>
    <w:basedOn w:val="1"/>
    <w:qFormat/>
    <w:uiPriority w:val="0"/>
    <w:pPr>
      <w:widowControl/>
      <w:ind w:left="840" w:hanging="420"/>
      <w:jc w:val="left"/>
    </w:pPr>
    <w:rPr>
      <w:rFonts w:ascii="宋体"/>
      <w:kern w:val="0"/>
      <w:sz w:val="22"/>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link w:val="70"/>
    <w:qFormat/>
    <w:uiPriority w:val="0"/>
    <w:rPr>
      <w:rFonts w:ascii="Courier New" w:hAnsi="Courier New"/>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1"/>
    <w:qFormat/>
    <w:uiPriority w:val="0"/>
    <w:rPr>
      <w:sz w:val="24"/>
      <w:szCs w:val="20"/>
    </w:rPr>
  </w:style>
  <w:style w:type="paragraph" w:styleId="27">
    <w:name w:val="Body Text Indent 2"/>
    <w:basedOn w:val="1"/>
    <w:qFormat/>
    <w:uiPriority w:val="0"/>
    <w:pPr>
      <w:spacing w:after="120" w:line="480" w:lineRule="auto"/>
      <w:ind w:left="420" w:leftChars="200"/>
    </w:pPr>
  </w:style>
  <w:style w:type="paragraph" w:styleId="28">
    <w:name w:val="Balloon Text"/>
    <w:basedOn w:val="1"/>
    <w:link w:val="72"/>
    <w:qFormat/>
    <w:uiPriority w:val="0"/>
    <w:rPr>
      <w:sz w:val="18"/>
      <w:szCs w:val="18"/>
    </w:rPr>
  </w:style>
  <w:style w:type="paragraph" w:styleId="29">
    <w:name w:val="footer"/>
    <w:basedOn w:val="1"/>
    <w:link w:val="73"/>
    <w:qFormat/>
    <w:uiPriority w:val="0"/>
    <w:pPr>
      <w:tabs>
        <w:tab w:val="center" w:pos="4153"/>
        <w:tab w:val="right" w:pos="8306"/>
      </w:tabs>
      <w:snapToGrid w:val="0"/>
      <w:jc w:val="left"/>
    </w:pPr>
    <w:rPr>
      <w:sz w:val="18"/>
      <w:szCs w:val="18"/>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75"/>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qFormat/>
    <w:uiPriority w:val="0"/>
    <w:rPr>
      <w:sz w:val="20"/>
      <w:szCs w:val="20"/>
    </w:rPr>
  </w:style>
  <w:style w:type="paragraph" w:styleId="35">
    <w:name w:val="Body Text Indent 3"/>
    <w:basedOn w:val="1"/>
    <w:link w:val="76"/>
    <w:qFormat/>
    <w:uiPriority w:val="0"/>
    <w:pPr>
      <w:spacing w:after="120"/>
      <w:ind w:left="420" w:leftChars="200"/>
    </w:pPr>
    <w:rPr>
      <w:sz w:val="16"/>
      <w:szCs w:val="16"/>
    </w:rPr>
  </w:style>
  <w:style w:type="paragraph" w:styleId="36">
    <w:name w:val="table of figures"/>
    <w:basedOn w:val="1"/>
    <w:next w:val="1"/>
    <w:qFormat/>
    <w:uiPriority w:val="0"/>
    <w:pPr>
      <w:ind w:leftChars="200" w:hanging="200" w:hangingChars="200"/>
    </w:pPr>
  </w:style>
  <w:style w:type="paragraph" w:styleId="37">
    <w:name w:val="toc 2"/>
    <w:basedOn w:val="1"/>
    <w:next w:val="1"/>
    <w:qFormat/>
    <w:uiPriority w:val="0"/>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Body Text 2"/>
    <w:basedOn w:val="1"/>
    <w:next w:val="19"/>
    <w:qFormat/>
    <w:uiPriority w:val="0"/>
    <w:pPr>
      <w:spacing w:after="120" w:line="480" w:lineRule="auto"/>
    </w:pPr>
  </w:style>
  <w:style w:type="paragraph" w:styleId="40">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1">
    <w:name w:val="Title"/>
    <w:basedOn w:val="1"/>
    <w:next w:val="1"/>
    <w:link w:val="5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7"/>
    <w:next w:val="17"/>
    <w:link w:val="77"/>
    <w:qFormat/>
    <w:uiPriority w:val="0"/>
    <w:rPr>
      <w:b/>
      <w:bCs/>
    </w:rPr>
  </w:style>
  <w:style w:type="paragraph" w:styleId="43">
    <w:name w:val="Body Text First Indent"/>
    <w:basedOn w:val="19"/>
    <w:next w:val="1"/>
    <w:qFormat/>
    <w:uiPriority w:val="99"/>
    <w:pPr>
      <w:ind w:firstLine="420" w:firstLineChars="1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basedOn w:val="46"/>
    <w:qFormat/>
    <w:uiPriority w:val="0"/>
    <w:rPr>
      <w:color w:val="000000"/>
      <w:u w:val="none"/>
    </w:rPr>
  </w:style>
  <w:style w:type="character" w:styleId="50">
    <w:name w:val="Emphasis"/>
    <w:qFormat/>
    <w:uiPriority w:val="20"/>
    <w:rPr>
      <w:i/>
      <w:iCs/>
    </w:rPr>
  </w:style>
  <w:style w:type="character" w:styleId="51">
    <w:name w:val="Hyperlink"/>
    <w:basedOn w:val="46"/>
    <w:qFormat/>
    <w:uiPriority w:val="0"/>
    <w:rPr>
      <w:color w:val="000000"/>
      <w:u w:val="non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styleId="54">
    <w:name w:val="Quote"/>
    <w:basedOn w:val="1"/>
    <w:next w:val="1"/>
    <w:link w:val="112"/>
    <w:qFormat/>
    <w:uiPriority w:val="0"/>
    <w:rPr>
      <w:i/>
      <w:iCs/>
      <w:color w:val="000000"/>
      <w:szCs w:val="22"/>
    </w:rPr>
  </w:style>
  <w:style w:type="paragraph" w:customStyle="1" w:styleId="55">
    <w:name w:val="Default"/>
    <w:next w:val="2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toc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7">
    <w:name w:val="标题 Char"/>
    <w:link w:val="41"/>
    <w:qFormat/>
    <w:uiPriority w:val="0"/>
    <w:rPr>
      <w:rFonts w:ascii="Arial" w:hAnsi="Arial"/>
      <w:b/>
      <w:sz w:val="32"/>
    </w:rPr>
  </w:style>
  <w:style w:type="character" w:customStyle="1" w:styleId="58">
    <w:name w:val="标题 1 Char"/>
    <w:link w:val="6"/>
    <w:qFormat/>
    <w:uiPriority w:val="0"/>
    <w:rPr>
      <w:rFonts w:eastAsia="宋体"/>
      <w:b/>
      <w:bCs/>
      <w:kern w:val="44"/>
      <w:sz w:val="44"/>
      <w:szCs w:val="44"/>
      <w:lang w:val="en-US" w:eastAsia="zh-CN" w:bidi="ar-SA"/>
    </w:rPr>
  </w:style>
  <w:style w:type="character" w:customStyle="1" w:styleId="59">
    <w:name w:val="标题 2 Char"/>
    <w:link w:val="7"/>
    <w:qFormat/>
    <w:uiPriority w:val="0"/>
    <w:rPr>
      <w:rFonts w:ascii="Arial" w:hAnsi="Arial" w:eastAsia="黑体"/>
      <w:b/>
      <w:bCs/>
      <w:kern w:val="2"/>
      <w:sz w:val="32"/>
      <w:szCs w:val="32"/>
      <w:lang w:val="en-US" w:eastAsia="zh-CN" w:bidi="ar-SA"/>
    </w:rPr>
  </w:style>
  <w:style w:type="character" w:customStyle="1" w:styleId="60">
    <w:name w:val="标题 3 Char"/>
    <w:link w:val="8"/>
    <w:qFormat/>
    <w:uiPriority w:val="0"/>
    <w:rPr>
      <w:b/>
      <w:bCs/>
      <w:kern w:val="2"/>
      <w:sz w:val="32"/>
      <w:szCs w:val="32"/>
    </w:rPr>
  </w:style>
  <w:style w:type="character" w:customStyle="1" w:styleId="61">
    <w:name w:val="标题 4 Char"/>
    <w:link w:val="9"/>
    <w:qFormat/>
    <w:uiPriority w:val="0"/>
    <w:rPr>
      <w:rFonts w:ascii="Arial" w:hAnsi="Arial" w:eastAsia="黑体"/>
      <w:b/>
      <w:bCs/>
      <w:kern w:val="2"/>
      <w:sz w:val="28"/>
      <w:szCs w:val="28"/>
    </w:rPr>
  </w:style>
  <w:style w:type="character" w:customStyle="1" w:styleId="62">
    <w:name w:val="标题 5 Char"/>
    <w:link w:val="10"/>
    <w:qFormat/>
    <w:uiPriority w:val="0"/>
    <w:rPr>
      <w:b/>
      <w:bCs/>
      <w:kern w:val="2"/>
      <w:sz w:val="28"/>
      <w:szCs w:val="28"/>
    </w:rPr>
  </w:style>
  <w:style w:type="character" w:customStyle="1" w:styleId="63">
    <w:name w:val="标题 6 Char"/>
    <w:link w:val="11"/>
    <w:qFormat/>
    <w:uiPriority w:val="0"/>
    <w:rPr>
      <w:rFonts w:ascii="Arial" w:hAnsi="Arial" w:eastAsia="黑体"/>
      <w:b/>
      <w:bCs/>
      <w:sz w:val="24"/>
      <w:szCs w:val="24"/>
    </w:rPr>
  </w:style>
  <w:style w:type="character" w:customStyle="1" w:styleId="64">
    <w:name w:val="标题 7 Char"/>
    <w:link w:val="12"/>
    <w:qFormat/>
    <w:uiPriority w:val="0"/>
    <w:rPr>
      <w:b/>
      <w:bCs/>
      <w:sz w:val="24"/>
      <w:szCs w:val="24"/>
    </w:rPr>
  </w:style>
  <w:style w:type="character" w:customStyle="1" w:styleId="65">
    <w:name w:val="标题 8 Char"/>
    <w:link w:val="13"/>
    <w:qFormat/>
    <w:uiPriority w:val="0"/>
    <w:rPr>
      <w:rFonts w:ascii="Arial" w:hAnsi="Arial" w:eastAsia="黑体"/>
      <w:sz w:val="24"/>
      <w:szCs w:val="24"/>
    </w:rPr>
  </w:style>
  <w:style w:type="character" w:customStyle="1" w:styleId="66">
    <w:name w:val="标题 9 Char"/>
    <w:link w:val="14"/>
    <w:qFormat/>
    <w:uiPriority w:val="0"/>
    <w:rPr>
      <w:rFonts w:ascii="Arial" w:hAnsi="Arial" w:eastAsia="黑体"/>
      <w:sz w:val="21"/>
      <w:szCs w:val="21"/>
    </w:rPr>
  </w:style>
  <w:style w:type="character" w:customStyle="1" w:styleId="67">
    <w:name w:val="文档结构图 Char"/>
    <w:link w:val="16"/>
    <w:qFormat/>
    <w:uiPriority w:val="0"/>
    <w:rPr>
      <w:kern w:val="2"/>
      <w:sz w:val="21"/>
      <w:szCs w:val="24"/>
      <w:shd w:val="clear" w:color="auto" w:fill="000080"/>
    </w:rPr>
  </w:style>
  <w:style w:type="character" w:customStyle="1" w:styleId="68">
    <w:name w:val="批注文字 Char"/>
    <w:link w:val="17"/>
    <w:qFormat/>
    <w:uiPriority w:val="0"/>
    <w:rPr>
      <w:rFonts w:eastAsia="宋体"/>
      <w:kern w:val="2"/>
      <w:sz w:val="21"/>
      <w:szCs w:val="24"/>
      <w:lang w:val="en-US" w:eastAsia="zh-CN" w:bidi="ar-SA"/>
    </w:rPr>
  </w:style>
  <w:style w:type="character" w:customStyle="1" w:styleId="69">
    <w:name w:val="正文文本 Char"/>
    <w:link w:val="19"/>
    <w:qFormat/>
    <w:uiPriority w:val="0"/>
    <w:rPr>
      <w:kern w:val="2"/>
      <w:sz w:val="21"/>
      <w:szCs w:val="24"/>
    </w:rPr>
  </w:style>
  <w:style w:type="character" w:customStyle="1" w:styleId="70">
    <w:name w:val="纯文本 Char"/>
    <w:link w:val="24"/>
    <w:qFormat/>
    <w:uiPriority w:val="0"/>
    <w:rPr>
      <w:rFonts w:ascii="Courier New" w:hAnsi="Courier New" w:eastAsia="宋体"/>
      <w:kern w:val="2"/>
      <w:sz w:val="21"/>
      <w:lang w:val="en-US" w:eastAsia="zh-CN" w:bidi="ar-SA"/>
    </w:rPr>
  </w:style>
  <w:style w:type="character" w:customStyle="1" w:styleId="71">
    <w:name w:val="日期 Char"/>
    <w:link w:val="26"/>
    <w:qFormat/>
    <w:uiPriority w:val="0"/>
    <w:rPr>
      <w:kern w:val="2"/>
      <w:sz w:val="24"/>
    </w:rPr>
  </w:style>
  <w:style w:type="character" w:customStyle="1" w:styleId="72">
    <w:name w:val="批注框文本 Char"/>
    <w:link w:val="28"/>
    <w:qFormat/>
    <w:uiPriority w:val="0"/>
    <w:rPr>
      <w:kern w:val="2"/>
      <w:sz w:val="18"/>
      <w:szCs w:val="18"/>
    </w:rPr>
  </w:style>
  <w:style w:type="character" w:customStyle="1" w:styleId="73">
    <w:name w:val="页脚 Char"/>
    <w:link w:val="29"/>
    <w:qFormat/>
    <w:uiPriority w:val="0"/>
    <w:rPr>
      <w:kern w:val="2"/>
      <w:sz w:val="18"/>
      <w:szCs w:val="18"/>
    </w:rPr>
  </w:style>
  <w:style w:type="character" w:customStyle="1" w:styleId="74">
    <w:name w:val="页眉 Char"/>
    <w:link w:val="30"/>
    <w:qFormat/>
    <w:uiPriority w:val="0"/>
    <w:rPr>
      <w:kern w:val="2"/>
      <w:sz w:val="18"/>
      <w:szCs w:val="18"/>
    </w:rPr>
  </w:style>
  <w:style w:type="character" w:customStyle="1" w:styleId="75">
    <w:name w:val="副标题 Char"/>
    <w:link w:val="33"/>
    <w:qFormat/>
    <w:uiPriority w:val="0"/>
    <w:rPr>
      <w:rFonts w:ascii="Cambria" w:hAnsi="Cambria"/>
      <w:b/>
      <w:bCs/>
      <w:kern w:val="28"/>
      <w:sz w:val="32"/>
      <w:szCs w:val="32"/>
    </w:rPr>
  </w:style>
  <w:style w:type="character" w:customStyle="1" w:styleId="76">
    <w:name w:val="正文文本缩进 3 Char"/>
    <w:link w:val="35"/>
    <w:qFormat/>
    <w:uiPriority w:val="0"/>
    <w:rPr>
      <w:kern w:val="2"/>
      <w:sz w:val="16"/>
      <w:szCs w:val="16"/>
    </w:rPr>
  </w:style>
  <w:style w:type="character" w:customStyle="1" w:styleId="77">
    <w:name w:val="批注主题 Char"/>
    <w:link w:val="42"/>
    <w:qFormat/>
    <w:uiPriority w:val="0"/>
    <w:rPr>
      <w:b/>
      <w:bCs/>
      <w:kern w:val="2"/>
      <w:sz w:val="21"/>
      <w:szCs w:val="24"/>
    </w:rPr>
  </w:style>
  <w:style w:type="character" w:customStyle="1" w:styleId="78">
    <w:name w:val="日期 Char1"/>
    <w:qFormat/>
    <w:uiPriority w:val="0"/>
    <w:rPr>
      <w:kern w:val="2"/>
      <w:sz w:val="21"/>
      <w:szCs w:val="22"/>
    </w:rPr>
  </w:style>
  <w:style w:type="character" w:customStyle="1" w:styleId="79">
    <w:name w:val=" Char Char8"/>
    <w:qFormat/>
    <w:uiPriority w:val="0"/>
    <w:rPr>
      <w:rFonts w:ascii="Arial" w:hAnsi="Arial" w:eastAsia="黑体"/>
      <w:b/>
      <w:bCs/>
      <w:kern w:val="2"/>
      <w:sz w:val="32"/>
      <w:szCs w:val="32"/>
      <w:lang w:val="en-US" w:eastAsia="zh-CN" w:bidi="ar-SA"/>
    </w:rPr>
  </w:style>
  <w:style w:type="character" w:customStyle="1" w:styleId="80">
    <w:name w:val="Intense Reference_0abc2d4c-e318-4fdd-beed-8cb908dc1956"/>
    <w:qFormat/>
    <w:uiPriority w:val="0"/>
    <w:rPr>
      <w:b/>
      <w:bCs/>
      <w:smallCaps/>
      <w:color w:val="C0504D"/>
      <w:spacing w:val="5"/>
      <w:u w:val="single"/>
    </w:rPr>
  </w:style>
  <w:style w:type="character" w:customStyle="1" w:styleId="81">
    <w:name w:val=" Char Char"/>
    <w:qFormat/>
    <w:uiPriority w:val="0"/>
    <w:rPr>
      <w:rFonts w:ascii="Arial" w:hAnsi="Arial" w:eastAsia="黑体"/>
      <w:b/>
      <w:bCs/>
      <w:kern w:val="2"/>
      <w:sz w:val="32"/>
      <w:szCs w:val="32"/>
      <w:lang w:val="en-US" w:eastAsia="zh-CN" w:bidi="ar-SA"/>
    </w:rPr>
  </w:style>
  <w:style w:type="character" w:customStyle="1" w:styleId="82">
    <w:name w:val="文档结构图 Char1"/>
    <w:qFormat/>
    <w:uiPriority w:val="0"/>
    <w:rPr>
      <w:rFonts w:ascii="宋体"/>
      <w:kern w:val="2"/>
      <w:sz w:val="18"/>
      <w:szCs w:val="18"/>
    </w:rPr>
  </w:style>
  <w:style w:type="character" w:customStyle="1" w:styleId="83">
    <w:name w:val="明显引用 Char"/>
    <w:link w:val="84"/>
    <w:qFormat/>
    <w:uiPriority w:val="0"/>
    <w:rPr>
      <w:b/>
      <w:bCs/>
      <w:i/>
      <w:iCs/>
      <w:color w:val="4F81BD"/>
      <w:kern w:val="2"/>
      <w:sz w:val="21"/>
      <w:szCs w:val="22"/>
    </w:rPr>
  </w:style>
  <w:style w:type="paragraph" w:styleId="84">
    <w:name w:val="Intense Quote"/>
    <w:basedOn w:val="1"/>
    <w:next w:val="1"/>
    <w:link w:val="83"/>
    <w:qFormat/>
    <w:uiPriority w:val="0"/>
    <w:pPr>
      <w:pBdr>
        <w:bottom w:val="single" w:color="4F81BD" w:sz="4" w:space="4"/>
      </w:pBdr>
      <w:spacing w:before="200" w:after="280"/>
      <w:ind w:left="936" w:right="936"/>
    </w:pPr>
    <w:rPr>
      <w:b/>
      <w:bCs/>
      <w:i/>
      <w:iCs/>
      <w:color w:val="4F81BD"/>
      <w:szCs w:val="22"/>
    </w:rPr>
  </w:style>
  <w:style w:type="character" w:customStyle="1" w:styleId="85">
    <w:name w:val="批注文字 Char Char"/>
    <w:qFormat/>
    <w:uiPriority w:val="0"/>
    <w:rPr>
      <w:rFonts w:ascii="宋体" w:hAnsi="Times New Roman" w:eastAsia="宋体" w:cs="Times New Roman"/>
      <w:sz w:val="28"/>
      <w:szCs w:val="20"/>
    </w:rPr>
  </w:style>
  <w:style w:type="character" w:customStyle="1" w:styleId="86">
    <w:name w:val="标题2 Char"/>
    <w:link w:val="87"/>
    <w:qFormat/>
    <w:uiPriority w:val="0"/>
    <w:rPr>
      <w:rFonts w:ascii="Cambria" w:hAnsi="Cambria"/>
      <w:b/>
      <w:bCs/>
      <w:kern w:val="2"/>
      <w:sz w:val="30"/>
      <w:szCs w:val="24"/>
      <w:lang w:bidi="ar-SA"/>
    </w:rPr>
  </w:style>
  <w:style w:type="paragraph" w:customStyle="1" w:styleId="87">
    <w:name w:val="标题2"/>
    <w:basedOn w:val="41"/>
    <w:link w:val="86"/>
    <w:qFormat/>
    <w:uiPriority w:val="0"/>
    <w:pPr>
      <w:adjustRightInd/>
      <w:spacing w:after="240" w:line="240" w:lineRule="auto"/>
      <w:jc w:val="left"/>
      <w:textAlignment w:val="auto"/>
    </w:pPr>
    <w:rPr>
      <w:rFonts w:ascii="Cambria" w:hAnsi="Cambria"/>
      <w:bCs/>
      <w:kern w:val="2"/>
      <w:sz w:val="30"/>
      <w:szCs w:val="24"/>
    </w:rPr>
  </w:style>
  <w:style w:type="character" w:customStyle="1" w:styleId="88">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89">
    <w:name w:val="font161"/>
    <w:qFormat/>
    <w:uiPriority w:val="0"/>
    <w:rPr>
      <w:b/>
      <w:bCs/>
      <w:sz w:val="32"/>
      <w:szCs w:val="32"/>
    </w:rPr>
  </w:style>
  <w:style w:type="character" w:customStyle="1" w:styleId="90">
    <w:name w:val="标题4 Char Char"/>
    <w:link w:val="91"/>
    <w:qFormat/>
    <w:uiPriority w:val="0"/>
    <w:rPr>
      <w:rFonts w:ascii="Arial" w:hAnsi="Arial"/>
      <w:b/>
      <w:bCs/>
      <w:sz w:val="24"/>
      <w:szCs w:val="32"/>
    </w:rPr>
  </w:style>
  <w:style w:type="paragraph" w:customStyle="1" w:styleId="91">
    <w:name w:val="标题4"/>
    <w:basedOn w:val="7"/>
    <w:next w:val="21"/>
    <w:link w:val="90"/>
    <w:qFormat/>
    <w:uiPriority w:val="0"/>
    <w:pPr>
      <w:spacing w:line="413" w:lineRule="auto"/>
    </w:pPr>
    <w:rPr>
      <w:rFonts w:eastAsia="宋体"/>
      <w:kern w:val="0"/>
      <w:sz w:val="24"/>
    </w:rPr>
  </w:style>
  <w:style w:type="character" w:customStyle="1" w:styleId="92">
    <w:name w:val="MSG_EN_FONT_STYLE_NAME_TEMPLATE_ROLE_NUMBER MSG_EN_FONT_STYLE_NAME_BY_ROLE_TEXT 13_"/>
    <w:link w:val="93"/>
    <w:qFormat/>
    <w:uiPriority w:val="0"/>
    <w:rPr>
      <w:rFonts w:ascii="PMingLiU" w:hAnsi="PMingLiU" w:eastAsia="PMingLiU" w:cs="PMingLiU"/>
    </w:rPr>
  </w:style>
  <w:style w:type="paragraph" w:customStyle="1" w:styleId="93">
    <w:name w:val="MSG_EN_FONT_STYLE_NAME_TEMPLATE_ROLE_NUMBER MSG_EN_FONT_STYLE_NAME_BY_ROLE_TEXT 131"/>
    <w:basedOn w:val="1"/>
    <w:link w:val="92"/>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94">
    <w:name w:val=" Char Char2"/>
    <w:qFormat/>
    <w:uiPriority w:val="0"/>
    <w:rPr>
      <w:rFonts w:eastAsia="宋体"/>
      <w:kern w:val="2"/>
      <w:sz w:val="21"/>
      <w:szCs w:val="24"/>
      <w:lang w:val="en-US" w:eastAsia="zh-CN" w:bidi="ar-SA"/>
    </w:rPr>
  </w:style>
  <w:style w:type="character" w:customStyle="1" w:styleId="95">
    <w:name w:val="明显引用 Char1"/>
    <w:qFormat/>
    <w:uiPriority w:val="99"/>
    <w:rPr>
      <w:b/>
      <w:bCs/>
      <w:i/>
      <w:iCs/>
      <w:color w:val="4F81BD"/>
      <w:kern w:val="2"/>
      <w:sz w:val="21"/>
      <w:szCs w:val="24"/>
    </w:rPr>
  </w:style>
  <w:style w:type="character" w:customStyle="1" w:styleId="96">
    <w:name w:val="正文文本 Char1"/>
    <w:qFormat/>
    <w:uiPriority w:val="0"/>
    <w:rPr>
      <w:kern w:val="2"/>
      <w:sz w:val="21"/>
      <w:szCs w:val="22"/>
    </w:rPr>
  </w:style>
  <w:style w:type="character" w:customStyle="1" w:styleId="97">
    <w:name w:val=" Char Char16"/>
    <w:qFormat/>
    <w:uiPriority w:val="0"/>
    <w:rPr>
      <w:kern w:val="2"/>
      <w:sz w:val="21"/>
      <w:szCs w:val="24"/>
    </w:rPr>
  </w:style>
  <w:style w:type="character" w:customStyle="1" w:styleId="98">
    <w:name w:val="Subtle Emphasis_d7a44c72-1a51-48e4-8078-05e729afb0e5"/>
    <w:qFormat/>
    <w:uiPriority w:val="0"/>
    <w:rPr>
      <w:i/>
      <w:iCs/>
      <w:color w:val="808080"/>
    </w:rPr>
  </w:style>
  <w:style w:type="character" w:customStyle="1" w:styleId="99">
    <w:name w:val="textcontents"/>
    <w:qFormat/>
    <w:uiPriority w:val="0"/>
    <w:rPr>
      <w:rFonts w:cs="Times New Roman"/>
    </w:rPr>
  </w:style>
  <w:style w:type="character" w:customStyle="1" w:styleId="100">
    <w:name w:val="Intense Emphasis_8365e8d9-3436-4d36-b306-226f6be619e9"/>
    <w:qFormat/>
    <w:uiPriority w:val="0"/>
    <w:rPr>
      <w:b/>
      <w:bCs/>
      <w:i/>
      <w:iCs/>
      <w:color w:val="4F81BD"/>
    </w:rPr>
  </w:style>
  <w:style w:type="character" w:customStyle="1" w:styleId="101">
    <w:name w:val="标题3 Char"/>
    <w:link w:val="102"/>
    <w:qFormat/>
    <w:uiPriority w:val="0"/>
    <w:rPr>
      <w:rFonts w:ascii="宋体" w:hAnsi="宋体"/>
      <w:b/>
      <w:bCs/>
      <w:kern w:val="44"/>
      <w:sz w:val="24"/>
      <w:szCs w:val="24"/>
      <w:lang w:bidi="ar-SA"/>
    </w:rPr>
  </w:style>
  <w:style w:type="paragraph" w:customStyle="1" w:styleId="102">
    <w:name w:val="标题3"/>
    <w:basedOn w:val="6"/>
    <w:link w:val="101"/>
    <w:qFormat/>
    <w:uiPriority w:val="0"/>
    <w:pPr>
      <w:spacing w:beforeLines="50" w:afterLines="50" w:line="400" w:lineRule="exact"/>
    </w:pPr>
    <w:rPr>
      <w:rFonts w:ascii="宋体" w:hAnsi="宋体"/>
      <w:sz w:val="24"/>
      <w:szCs w:val="24"/>
    </w:rPr>
  </w:style>
  <w:style w:type="character" w:customStyle="1" w:styleId="103">
    <w:name w:val="批注主题 Char1"/>
    <w:qFormat/>
    <w:uiPriority w:val="0"/>
    <w:rPr>
      <w:b/>
      <w:bCs/>
      <w:kern w:val="2"/>
      <w:sz w:val="21"/>
      <w:szCs w:val="22"/>
    </w:rPr>
  </w:style>
  <w:style w:type="character" w:customStyle="1" w:styleId="104">
    <w:name w:val="Book Title_3a040dad-674f-4d45-820e-cea834dcb84d"/>
    <w:qFormat/>
    <w:uiPriority w:val="0"/>
    <w:rPr>
      <w:b/>
      <w:bCs/>
      <w:smallCaps/>
      <w:spacing w:val="5"/>
    </w:rPr>
  </w:style>
  <w:style w:type="character" w:customStyle="1" w:styleId="105">
    <w:name w:val="标题5 Char Char"/>
    <w:link w:val="106"/>
    <w:qFormat/>
    <w:uiPriority w:val="0"/>
    <w:rPr>
      <w:rFonts w:ascii="Arial" w:hAnsi="Arial"/>
      <w:b/>
      <w:bCs/>
      <w:sz w:val="24"/>
      <w:szCs w:val="32"/>
    </w:rPr>
  </w:style>
  <w:style w:type="paragraph" w:customStyle="1" w:styleId="106">
    <w:name w:val="标题5"/>
    <w:basedOn w:val="8"/>
    <w:link w:val="105"/>
    <w:qFormat/>
    <w:uiPriority w:val="0"/>
    <w:pPr>
      <w:spacing w:line="413" w:lineRule="auto"/>
    </w:pPr>
    <w:rPr>
      <w:rFonts w:ascii="Arial" w:hAnsi="Arial"/>
      <w:kern w:val="0"/>
      <w:sz w:val="24"/>
    </w:rPr>
  </w:style>
  <w:style w:type="character" w:customStyle="1" w:styleId="107">
    <w:name w:val=" Char Char7"/>
    <w:qFormat/>
    <w:uiPriority w:val="0"/>
    <w:rPr>
      <w:rFonts w:ascii="Arial" w:hAnsi="Arial" w:eastAsia="黑体"/>
      <w:b/>
      <w:bCs/>
      <w:kern w:val="2"/>
      <w:sz w:val="32"/>
      <w:szCs w:val="32"/>
      <w:lang w:val="en-US" w:eastAsia="zh-CN" w:bidi="ar-SA"/>
    </w:rPr>
  </w:style>
  <w:style w:type="character" w:customStyle="1" w:styleId="108">
    <w:name w:val="引用 Char1"/>
    <w:qFormat/>
    <w:uiPriority w:val="99"/>
    <w:rPr>
      <w:i/>
      <w:iCs/>
      <w:color w:val="000000"/>
      <w:kern w:val="2"/>
      <w:sz w:val="21"/>
      <w:szCs w:val="24"/>
    </w:rPr>
  </w:style>
  <w:style w:type="character" w:customStyle="1" w:styleId="109">
    <w:name w:val="Subtle Reference_07d189c8-9147-4bb8-a550-1c9491cdd900"/>
    <w:qFormat/>
    <w:uiPriority w:val="0"/>
    <w:rPr>
      <w:smallCaps/>
      <w:color w:val="C0504D"/>
      <w:u w:val="single"/>
    </w:rPr>
  </w:style>
  <w:style w:type="character" w:customStyle="1" w:styleId="110">
    <w:name w:val="批注框文本 Char1"/>
    <w:qFormat/>
    <w:uiPriority w:val="0"/>
    <w:rPr>
      <w:kern w:val="2"/>
      <w:sz w:val="18"/>
      <w:szCs w:val="18"/>
    </w:rPr>
  </w:style>
  <w:style w:type="character" w:customStyle="1" w:styleId="111">
    <w:name w:val="副标题 Char1"/>
    <w:qFormat/>
    <w:uiPriority w:val="0"/>
    <w:rPr>
      <w:rFonts w:ascii="Cambria" w:hAnsi="Cambria" w:cs="Times New Roman"/>
      <w:b/>
      <w:bCs/>
      <w:kern w:val="28"/>
      <w:sz w:val="32"/>
      <w:szCs w:val="32"/>
    </w:rPr>
  </w:style>
  <w:style w:type="character" w:customStyle="1" w:styleId="112">
    <w:name w:val="引用 Char"/>
    <w:link w:val="54"/>
    <w:qFormat/>
    <w:uiPriority w:val="0"/>
    <w:rPr>
      <w:i/>
      <w:iCs/>
      <w:color w:val="000000"/>
      <w:kern w:val="2"/>
      <w:sz w:val="21"/>
      <w:szCs w:val="22"/>
    </w:rPr>
  </w:style>
  <w:style w:type="paragraph" w:customStyle="1" w:styleId="113">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114">
    <w:name w:val="样式4"/>
    <w:basedOn w:val="8"/>
    <w:qFormat/>
    <w:uiPriority w:val="0"/>
    <w:rPr>
      <w:rFonts w:eastAsia="Arial"/>
    </w:rPr>
  </w:style>
  <w:style w:type="paragraph" w:customStyle="1" w:styleId="115">
    <w:name w:val=" Char"/>
    <w:basedOn w:val="1"/>
    <w:qFormat/>
    <w:uiPriority w:val="0"/>
    <w:pPr>
      <w:tabs>
        <w:tab w:val="left" w:pos="360"/>
      </w:tabs>
    </w:pPr>
    <w:rPr>
      <w:sz w:val="24"/>
    </w:rPr>
  </w:style>
  <w:style w:type="paragraph" w:customStyle="1" w:styleId="116">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styleId="117">
    <w:name w:val="List Paragraph"/>
    <w:basedOn w:val="1"/>
    <w:qFormat/>
    <w:uiPriority w:val="0"/>
    <w:pPr>
      <w:ind w:firstLine="420" w:firstLineChars="200"/>
    </w:pPr>
    <w:rPr>
      <w:szCs w:val="22"/>
    </w:rPr>
  </w:style>
  <w:style w:type="paragraph" w:customStyle="1" w:styleId="118">
    <w:name w:val="WPSOffice手动目录 1"/>
    <w:qFormat/>
    <w:uiPriority w:val="0"/>
    <w:rPr>
      <w:rFonts w:ascii="Times New Roman" w:hAnsi="Times New Roman" w:eastAsia="宋体" w:cs="Times New Roman"/>
      <w:lang w:val="en-US" w:eastAsia="zh-CN" w:bidi="ar-SA"/>
    </w:rPr>
  </w:style>
  <w:style w:type="paragraph" w:styleId="11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表格"/>
    <w:basedOn w:val="1"/>
    <w:qFormat/>
    <w:uiPriority w:val="0"/>
    <w:pPr>
      <w:jc w:val="center"/>
      <w:textAlignment w:val="center"/>
    </w:pPr>
    <w:rPr>
      <w:rFonts w:ascii="华文细黑" w:hAnsi="华文细黑"/>
      <w:kern w:val="0"/>
      <w:szCs w:val="20"/>
    </w:rPr>
  </w:style>
  <w:style w:type="paragraph" w:customStyle="1" w:styleId="1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3">
    <w:name w:val="1"/>
    <w:basedOn w:val="1"/>
    <w:next w:val="1"/>
    <w:qFormat/>
    <w:uiPriority w:val="0"/>
  </w:style>
  <w:style w:type="paragraph" w:customStyle="1" w:styleId="124">
    <w:name w:val="样式3"/>
    <w:basedOn w:val="8"/>
    <w:qFormat/>
    <w:uiPriority w:val="0"/>
    <w:rPr>
      <w:rFonts w:eastAsia="Arial"/>
    </w:rPr>
  </w:style>
  <w:style w:type="paragraph" w:customStyle="1" w:styleId="125">
    <w:name w:val="样式2"/>
    <w:basedOn w:val="8"/>
    <w:qFormat/>
    <w:uiPriority w:val="0"/>
  </w:style>
  <w:style w:type="paragraph" w:customStyle="1" w:styleId="126">
    <w:name w:val="样式1"/>
    <w:basedOn w:val="8"/>
    <w:qFormat/>
    <w:uiPriority w:val="0"/>
    <w:rPr>
      <w:rFonts w:eastAsia="Arial"/>
    </w:rPr>
  </w:style>
  <w:style w:type="paragraph" w:customStyle="1" w:styleId="127">
    <w:name w:val="TOC Heading_a277e60f-81d8-4322-a434-307f17edaa0f"/>
    <w:basedOn w:val="6"/>
    <w:next w:val="1"/>
    <w:qFormat/>
    <w:uiPriority w:val="0"/>
    <w:pPr>
      <w:spacing w:line="578" w:lineRule="auto"/>
      <w:outlineLvl w:val="9"/>
    </w:pPr>
  </w:style>
  <w:style w:type="paragraph" w:customStyle="1" w:styleId="128">
    <w:name w:val="Revision_475f317f-c742-4dec-8580-9b5c977f05a1"/>
    <w:qFormat/>
    <w:uiPriority w:val="0"/>
    <w:rPr>
      <w:rFonts w:ascii="Times New Roman" w:hAnsi="Times New Roman" w:eastAsia="宋体" w:cs="Times New Roman"/>
      <w:kern w:val="2"/>
      <w:sz w:val="21"/>
      <w:szCs w:val="24"/>
      <w:lang w:val="en-US" w:eastAsia="zh-CN" w:bidi="ar-SA"/>
    </w:rPr>
  </w:style>
  <w:style w:type="paragraph" w:customStyle="1" w:styleId="129">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13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1">
    <w:name w:val="表格文字"/>
    <w:basedOn w:val="1"/>
    <w:qFormat/>
    <w:uiPriority w:val="0"/>
    <w:pPr>
      <w:adjustRightInd w:val="0"/>
      <w:spacing w:line="420" w:lineRule="atLeast"/>
      <w:jc w:val="left"/>
      <w:textAlignment w:val="baseline"/>
    </w:pPr>
    <w:rPr>
      <w:kern w:val="0"/>
      <w:szCs w:val="20"/>
    </w:rPr>
  </w:style>
  <w:style w:type="character" w:customStyle="1" w:styleId="132">
    <w:name w:val="NormalCharacter"/>
    <w:qFormat/>
    <w:uiPriority w:val="0"/>
  </w:style>
  <w:style w:type="character" w:customStyle="1" w:styleId="133">
    <w:name w:val="loan"/>
    <w:basedOn w:val="46"/>
    <w:qFormat/>
    <w:uiPriority w:val="0"/>
  </w:style>
  <w:style w:type="character" w:customStyle="1" w:styleId="134">
    <w:name w:val="font"/>
    <w:basedOn w:val="46"/>
    <w:qFormat/>
    <w:uiPriority w:val="0"/>
  </w:style>
  <w:style w:type="character" w:customStyle="1" w:styleId="135">
    <w:name w:val="font1"/>
    <w:basedOn w:val="46"/>
    <w:qFormat/>
    <w:uiPriority w:val="0"/>
  </w:style>
  <w:style w:type="character" w:customStyle="1" w:styleId="136">
    <w:name w:val="gwds_nopic"/>
    <w:basedOn w:val="46"/>
    <w:qFormat/>
    <w:uiPriority w:val="0"/>
  </w:style>
  <w:style w:type="character" w:customStyle="1" w:styleId="137">
    <w:name w:val="gwds_nopic1"/>
    <w:basedOn w:val="46"/>
    <w:qFormat/>
    <w:uiPriority w:val="0"/>
  </w:style>
  <w:style w:type="character" w:customStyle="1" w:styleId="138">
    <w:name w:val="gwds_nopic2"/>
    <w:basedOn w:val="46"/>
    <w:qFormat/>
    <w:uiPriority w:val="0"/>
  </w:style>
  <w:style w:type="character" w:customStyle="1" w:styleId="139">
    <w:name w:val="laypage_curr"/>
    <w:basedOn w:val="46"/>
    <w:qFormat/>
    <w:uiPriority w:val="0"/>
    <w:rPr>
      <w:color w:val="FFFDF4"/>
      <w:shd w:val="clear" w:color="auto" w:fill="0B67A6"/>
    </w:rPr>
  </w:style>
  <w:style w:type="character" w:customStyle="1" w:styleId="140">
    <w:name w:val="hover12"/>
    <w:basedOn w:val="46"/>
    <w:qFormat/>
    <w:uiPriority w:val="0"/>
    <w:rPr>
      <w:color w:val="015293"/>
    </w:rPr>
  </w:style>
  <w:style w:type="table" w:customStyle="1" w:styleId="141">
    <w:name w:val="Table Normal"/>
    <w:basedOn w:val="44"/>
    <w:qFormat/>
    <w:uiPriority w:val="0"/>
    <w:tblPr>
      <w:tblCellMar>
        <w:top w:w="0" w:type="dxa"/>
        <w:left w:w="0" w:type="dxa"/>
        <w:bottom w:w="0" w:type="dxa"/>
        <w:right w:w="0" w:type="dxa"/>
      </w:tblCellMar>
    </w:tblPr>
  </w:style>
  <w:style w:type="paragraph" w:customStyle="1" w:styleId="142">
    <w:name w:val="Table Paragraph"/>
    <w:basedOn w:val="1"/>
    <w:qFormat/>
    <w:uiPriority w:val="1"/>
    <w:rPr>
      <w:rFonts w:ascii="仿宋" w:hAnsi="仿宋" w:eastAsia="仿宋" w:cs="仿宋"/>
      <w:lang w:val="zh-CN" w:eastAsia="zh-CN" w:bidi="zh-CN"/>
    </w:rPr>
  </w:style>
  <w:style w:type="paragraph" w:customStyle="1" w:styleId="143">
    <w:name w:val="toc 6_5f9deb80-98c4-44be-974b-f31a9ed578cc"/>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44">
    <w:name w:val="p0"/>
    <w:basedOn w:val="1"/>
    <w:qFormat/>
    <w:uiPriority w:val="0"/>
    <w:pPr>
      <w:jc w:val="both"/>
    </w:pPr>
    <w:rPr>
      <w:sz w:val="21"/>
      <w:szCs w:val="21"/>
    </w:rPr>
  </w:style>
  <w:style w:type="character" w:customStyle="1" w:styleId="145">
    <w:name w:val="font11"/>
    <w:basedOn w:val="4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143</Pages>
  <Words>90956</Words>
  <Characters>102475</Characters>
  <Paragraphs>1791</Paragraphs>
  <TotalTime>285</TotalTime>
  <ScaleCrop>false</ScaleCrop>
  <LinksUpToDate>false</LinksUpToDate>
  <CharactersWithSpaces>104989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User</dc:creator>
  <cp:lastModifiedBy>我小时候很二。</cp:lastModifiedBy>
  <cp:lastPrinted>2021-11-30T03:55:00Z</cp:lastPrinted>
  <dcterms:modified xsi:type="dcterms:W3CDTF">2023-11-22T07:52:34Z</dcterms:modified>
  <dc:title>（项目名称）施工招标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8D09D664DE7549A7A5AC45EF783AC068_13</vt:lpwstr>
  </property>
</Properties>
</file>