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spacing w:line="0" w:lineRule="atLeast"/>
        <w:jc w:val="center"/>
        <w:rPr>
          <w:rFonts w:hint="eastAsia" w:ascii="宋体" w:hAnsi="宋体" w:eastAsia="宋体" w:cs="宋体"/>
          <w:b/>
          <w:color w:val="auto"/>
          <w:sz w:val="32"/>
          <w:szCs w:val="32"/>
          <w:highlight w:val="none"/>
        </w:rPr>
      </w:pPr>
      <w:bookmarkStart w:id="0" w:name="_Toc98580390"/>
    </w:p>
    <w:p>
      <w:pPr>
        <w:pStyle w:val="39"/>
        <w:spacing w:line="0" w:lineRule="atLeast"/>
        <w:jc w:val="center"/>
        <w:rPr>
          <w:rFonts w:hint="eastAsia" w:ascii="宋体" w:hAnsi="宋体" w:eastAsia="宋体" w:cs="宋体"/>
          <w:b/>
          <w:color w:val="auto"/>
          <w:sz w:val="32"/>
          <w:szCs w:val="32"/>
          <w:highlight w:val="none"/>
        </w:rPr>
      </w:pPr>
    </w:p>
    <w:p>
      <w:pPr>
        <w:pStyle w:val="39"/>
        <w:spacing w:line="0" w:lineRule="atLeast"/>
        <w:jc w:val="center"/>
        <w:rPr>
          <w:rFonts w:hint="eastAsia" w:ascii="宋体" w:hAnsi="宋体" w:eastAsia="宋体" w:cs="宋体"/>
          <w:b/>
          <w:color w:val="auto"/>
          <w:sz w:val="32"/>
          <w:szCs w:val="32"/>
          <w:highlight w:val="none"/>
        </w:rPr>
      </w:pPr>
    </w:p>
    <w:p>
      <w:pPr>
        <w:spacing w:line="0" w:lineRule="atLeast"/>
        <w:jc w:val="center"/>
        <w:rPr>
          <w:rFonts w:hint="default" w:ascii="宋体" w:hAnsi="宋体" w:eastAsia="宋体" w:cs="宋体"/>
          <w:b/>
          <w:color w:val="auto"/>
          <w:sz w:val="48"/>
          <w:szCs w:val="48"/>
          <w:highlight w:val="none"/>
          <w:lang w:val="en-US"/>
        </w:rPr>
      </w:pPr>
      <w:r>
        <w:rPr>
          <w:rFonts w:hint="eastAsia" w:ascii="黑体" w:hAnsi="黑体" w:eastAsia="黑体" w:cs="黑体"/>
          <w:b/>
          <w:bCs/>
          <w:color w:val="auto"/>
          <w:sz w:val="44"/>
          <w:szCs w:val="44"/>
          <w:highlight w:val="none"/>
          <w:lang w:val="en-US" w:eastAsia="zh-CN"/>
        </w:rPr>
        <w:t>丰满区环境卫生运输管理处2024年冬季融雪剂采购（一包/二包）</w:t>
      </w:r>
    </w:p>
    <w:p>
      <w:pPr>
        <w:pStyle w:val="44"/>
        <w:rPr>
          <w:rFonts w:hint="eastAsia" w:ascii="宋体" w:hAnsi="宋体" w:eastAsia="宋体" w:cs="宋体"/>
          <w:b/>
          <w:color w:val="auto"/>
          <w:sz w:val="48"/>
          <w:szCs w:val="48"/>
          <w:highlight w:val="none"/>
        </w:rPr>
      </w:pPr>
    </w:p>
    <w:p>
      <w:pPr>
        <w:pStyle w:val="26"/>
        <w:rPr>
          <w:rFonts w:hint="eastAsia"/>
          <w:color w:val="auto"/>
          <w:highlight w:val="none"/>
        </w:rPr>
      </w:pPr>
    </w:p>
    <w:p>
      <w:pPr>
        <w:spacing w:line="0" w:lineRule="atLeast"/>
        <w:jc w:val="center"/>
        <w:rPr>
          <w:rFonts w:hint="eastAsia" w:ascii="宋体" w:hAnsi="宋体" w:eastAsia="宋体" w:cs="宋体"/>
          <w:b/>
          <w:color w:val="auto"/>
          <w:sz w:val="170"/>
          <w:szCs w:val="170"/>
          <w:highlight w:val="none"/>
        </w:rPr>
      </w:pPr>
      <w:r>
        <w:rPr>
          <w:rFonts w:hint="eastAsia" w:ascii="方正小标宋简体" w:hAnsi="方正小标宋简体" w:eastAsia="方正小标宋简体" w:cs="方正小标宋简体"/>
          <w:b w:val="0"/>
          <w:bCs/>
          <w:color w:val="auto"/>
          <w:sz w:val="100"/>
          <w:szCs w:val="100"/>
          <w:highlight w:val="none"/>
        </w:rPr>
        <w:t>招标文件</w:t>
      </w:r>
    </w:p>
    <w:p>
      <w:pPr>
        <w:jc w:val="center"/>
        <w:rPr>
          <w:rFonts w:hint="eastAsia" w:ascii="宋体" w:hAnsi="宋体" w:eastAsia="宋体" w:cs="宋体"/>
          <w:b/>
          <w:color w:val="auto"/>
          <w:sz w:val="32"/>
          <w:highlight w:val="none"/>
        </w:rPr>
      </w:pPr>
    </w:p>
    <w:p>
      <w:pPr>
        <w:jc w:val="center"/>
        <w:rPr>
          <w:rFonts w:hint="default" w:ascii="宋体" w:hAnsi="宋体" w:eastAsia="宋体" w:cs="宋体"/>
          <w:b/>
          <w:color w:val="000000" w:themeColor="text1"/>
          <w:sz w:val="32"/>
          <w:highlight w:val="none"/>
          <w:lang w:val="en-US" w:eastAsia="zh-CN"/>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项目编号：</w:t>
      </w:r>
      <w:r>
        <w:rPr>
          <w:rFonts w:hint="eastAsia" w:ascii="宋体" w:hAnsi="宋体" w:eastAsia="宋体" w:cs="宋体"/>
          <w:b/>
          <w:color w:val="000000" w:themeColor="text1"/>
          <w:sz w:val="32"/>
          <w:highlight w:val="none"/>
          <w14:textFill>
            <w14:solidFill>
              <w14:schemeClr w14:val="tx1"/>
            </w14:solidFill>
          </w14:textFill>
        </w:rPr>
        <w:fldChar w:fldCharType="begin"/>
      </w:r>
      <w:r>
        <w:rPr>
          <w:rFonts w:hint="eastAsia" w:ascii="宋体" w:hAnsi="宋体" w:eastAsia="宋体" w:cs="宋体"/>
          <w:b/>
          <w:color w:val="000000" w:themeColor="text1"/>
          <w:sz w:val="32"/>
          <w:highlight w:val="none"/>
          <w14:textFill>
            <w14:solidFill>
              <w14:schemeClr w14:val="tx1"/>
            </w14:solidFill>
          </w14:textFill>
        </w:rPr>
        <w:instrText xml:space="preserve"> HYPERLINK "https://pay.zcygov.cn/purchaseplan_front/" \l "/plan/list/view?id=1000000000013106339" \t "https://www.zcygov.cn/delegation-order/_procurement_/order/orderInfo/check/_blank" </w:instrText>
      </w:r>
      <w:r>
        <w:rPr>
          <w:rFonts w:hint="eastAsia" w:ascii="宋体" w:hAnsi="宋体" w:eastAsia="宋体" w:cs="宋体"/>
          <w:b/>
          <w:color w:val="000000" w:themeColor="text1"/>
          <w:sz w:val="32"/>
          <w:highlight w:val="none"/>
          <w14:textFill>
            <w14:solidFill>
              <w14:schemeClr w14:val="tx1"/>
            </w14:solidFill>
          </w14:textFill>
        </w:rPr>
        <w:fldChar w:fldCharType="separate"/>
      </w:r>
      <w:r>
        <w:rPr>
          <w:rFonts w:hint="eastAsia" w:ascii="宋体" w:hAnsi="宋体" w:eastAsia="宋体" w:cs="宋体"/>
          <w:b/>
          <w:color w:val="000000" w:themeColor="text1"/>
          <w:sz w:val="32"/>
          <w:highlight w:val="none"/>
          <w14:textFill>
            <w14:solidFill>
              <w14:schemeClr w14:val="tx1"/>
            </w14:solidFill>
          </w14:textFill>
        </w:rPr>
        <w:t>采购计划-[2023]-00135号</w:t>
      </w:r>
      <w:r>
        <w:rPr>
          <w:rFonts w:hint="eastAsia" w:ascii="宋体" w:hAnsi="宋体" w:eastAsia="宋体" w:cs="宋体"/>
          <w:b/>
          <w:color w:val="000000" w:themeColor="text1"/>
          <w:sz w:val="32"/>
          <w:highlight w:val="none"/>
          <w14:textFill>
            <w14:solidFill>
              <w14:schemeClr w14:val="tx1"/>
            </w14:solidFill>
          </w14:textFill>
        </w:rPr>
        <w:fldChar w:fldCharType="end"/>
      </w:r>
      <w:r>
        <w:rPr>
          <w:rFonts w:hint="eastAsia" w:ascii="宋体" w:hAnsi="宋体" w:eastAsia="宋体" w:cs="宋体"/>
          <w:b/>
          <w:color w:val="000000" w:themeColor="text1"/>
          <w:sz w:val="32"/>
          <w:highlight w:val="none"/>
          <w:lang w:val="en-US" w:eastAsia="zh-CN"/>
          <w14:textFill>
            <w14:solidFill>
              <w14:schemeClr w14:val="tx1"/>
            </w14:solidFill>
          </w14:textFill>
        </w:rPr>
        <w:t>-</w:t>
      </w:r>
      <w:r>
        <w:rPr>
          <w:rFonts w:hint="eastAsia" w:ascii="宋体" w:hAnsi="宋体" w:cs="宋体"/>
          <w:b/>
          <w:color w:val="000000" w:themeColor="text1"/>
          <w:sz w:val="32"/>
          <w:highlight w:val="none"/>
          <w:lang w:val="en-US" w:eastAsia="zh-CN"/>
          <w14:textFill>
            <w14:solidFill>
              <w14:schemeClr w14:val="tx1"/>
            </w14:solidFill>
          </w14:textFill>
        </w:rPr>
        <w:t>ZHYX</w:t>
      </w:r>
      <w:r>
        <w:rPr>
          <w:rFonts w:hint="eastAsia" w:ascii="宋体" w:hAnsi="宋体" w:eastAsia="宋体" w:cs="宋体"/>
          <w:b/>
          <w:color w:val="000000" w:themeColor="text1"/>
          <w:sz w:val="32"/>
          <w:highlight w:val="none"/>
          <w:lang w:eastAsia="zh-CN"/>
          <w14:textFill>
            <w14:solidFill>
              <w14:schemeClr w14:val="tx1"/>
            </w14:solidFill>
          </w14:textFill>
        </w:rPr>
        <w:t>8</w:t>
      </w:r>
      <w:r>
        <w:rPr>
          <w:rFonts w:hint="eastAsia" w:ascii="宋体" w:hAnsi="宋体" w:cs="宋体"/>
          <w:b/>
          <w:color w:val="000000" w:themeColor="text1"/>
          <w:sz w:val="32"/>
          <w:highlight w:val="none"/>
          <w:lang w:val="en-US" w:eastAsia="zh-CN"/>
          <w14:textFill>
            <w14:solidFill>
              <w14:schemeClr w14:val="tx1"/>
            </w14:solidFill>
          </w14:textFill>
        </w:rPr>
        <w:t>12013</w:t>
      </w:r>
    </w:p>
    <w:p>
      <w:pPr>
        <w:jc w:val="center"/>
        <w:rPr>
          <w:rFonts w:hint="eastAsia" w:ascii="宋体" w:hAnsi="宋体" w:eastAsia="宋体" w:cs="宋体"/>
          <w:b/>
          <w:color w:val="auto"/>
          <w:sz w:val="32"/>
          <w:highlight w:val="none"/>
        </w:rPr>
      </w:pPr>
    </w:p>
    <w:p>
      <w:pPr>
        <w:jc w:val="center"/>
        <w:rPr>
          <w:rFonts w:hint="eastAsia" w:ascii="宋体" w:hAnsi="宋体" w:eastAsia="宋体" w:cs="宋体"/>
          <w:color w:val="auto"/>
          <w:sz w:val="32"/>
          <w:highlight w:val="none"/>
        </w:rPr>
      </w:pPr>
    </w:p>
    <w:p>
      <w:pPr>
        <w:jc w:val="center"/>
        <w:rPr>
          <w:rFonts w:hint="eastAsia" w:ascii="宋体" w:hAnsi="宋体" w:eastAsia="宋体" w:cs="宋体"/>
          <w:color w:val="auto"/>
          <w:sz w:val="32"/>
          <w:highlight w:val="none"/>
        </w:rPr>
      </w:pPr>
    </w:p>
    <w:p>
      <w:pPr>
        <w:jc w:val="center"/>
        <w:rPr>
          <w:rFonts w:hint="eastAsia" w:ascii="宋体" w:hAnsi="宋体" w:eastAsia="宋体" w:cs="宋体"/>
          <w:color w:val="auto"/>
          <w:sz w:val="32"/>
          <w:highlight w:val="none"/>
        </w:rPr>
      </w:pPr>
    </w:p>
    <w:p>
      <w:pPr>
        <w:jc w:val="center"/>
        <w:rPr>
          <w:rFonts w:hint="eastAsia" w:ascii="宋体" w:hAnsi="宋体" w:eastAsia="宋体" w:cs="宋体"/>
          <w:color w:val="auto"/>
          <w:sz w:val="18"/>
          <w:szCs w:val="18"/>
          <w:highlight w:val="none"/>
        </w:rPr>
      </w:pPr>
    </w:p>
    <w:p>
      <w:pPr>
        <w:jc w:val="center"/>
        <w:rPr>
          <w:rFonts w:hint="eastAsia" w:ascii="宋体" w:hAnsi="宋体" w:eastAsia="宋体" w:cs="宋体"/>
          <w:color w:val="auto"/>
          <w:sz w:val="18"/>
          <w:szCs w:val="18"/>
          <w:highlight w:val="none"/>
        </w:rPr>
      </w:pPr>
    </w:p>
    <w:p>
      <w:pPr>
        <w:jc w:val="center"/>
        <w:rPr>
          <w:rFonts w:hint="eastAsia" w:ascii="宋体" w:hAnsi="宋体" w:eastAsia="宋体" w:cs="宋体"/>
          <w:color w:val="auto"/>
          <w:sz w:val="18"/>
          <w:szCs w:val="18"/>
          <w:highlight w:val="none"/>
        </w:rPr>
      </w:pPr>
    </w:p>
    <w:p>
      <w:pPr>
        <w:jc w:val="center"/>
        <w:rPr>
          <w:rFonts w:hint="eastAsia" w:ascii="宋体" w:hAnsi="宋体" w:eastAsia="宋体" w:cs="宋体"/>
          <w:color w:val="auto"/>
          <w:sz w:val="18"/>
          <w:szCs w:val="18"/>
          <w:highlight w:val="none"/>
        </w:rPr>
      </w:pPr>
    </w:p>
    <w:p>
      <w:pPr>
        <w:pStyle w:val="4"/>
        <w:rPr>
          <w:rFonts w:hint="eastAsia" w:ascii="宋体" w:hAnsi="宋体" w:eastAsia="宋体" w:cs="宋体"/>
          <w:color w:val="auto"/>
          <w:highlight w:val="none"/>
        </w:rPr>
      </w:pPr>
    </w:p>
    <w:p>
      <w:pPr>
        <w:spacing w:line="480" w:lineRule="auto"/>
        <w:jc w:val="center"/>
        <w:rPr>
          <w:rFonts w:hint="eastAsia" w:ascii="宋体" w:hAnsi="宋体" w:eastAsia="宋体" w:cs="宋体"/>
          <w:color w:val="auto"/>
          <w:sz w:val="18"/>
          <w:szCs w:val="18"/>
          <w:highlight w:val="none"/>
        </w:rPr>
      </w:pPr>
    </w:p>
    <w:p>
      <w:pPr>
        <w:spacing w:line="480" w:lineRule="auto"/>
        <w:jc w:val="center"/>
        <w:rPr>
          <w:rFonts w:hint="eastAsia" w:ascii="宋体" w:hAnsi="宋体" w:eastAsia="宋体" w:cs="宋体"/>
          <w:color w:val="auto"/>
          <w:sz w:val="18"/>
          <w:szCs w:val="18"/>
          <w:highlight w:val="none"/>
        </w:rPr>
      </w:pPr>
    </w:p>
    <w:p>
      <w:pPr>
        <w:ind w:firstLine="1285" w:firstLineChars="400"/>
        <w:jc w:val="both"/>
        <w:rPr>
          <w:rFonts w:hint="eastAsia" w:ascii="宋体" w:hAnsi="宋体" w:eastAsia="宋体" w:cs="宋体"/>
          <w:b/>
          <w:color w:val="auto"/>
          <w:sz w:val="32"/>
          <w:szCs w:val="22"/>
          <w:highlight w:val="none"/>
        </w:rPr>
      </w:pPr>
      <w:r>
        <w:rPr>
          <w:rFonts w:hint="eastAsia" w:ascii="宋体" w:hAnsi="宋体" w:eastAsia="宋体" w:cs="宋体"/>
          <w:b/>
          <w:color w:val="auto"/>
          <w:sz w:val="32"/>
          <w:szCs w:val="22"/>
          <w:highlight w:val="none"/>
        </w:rPr>
        <w:t>采   购   人：</w:t>
      </w:r>
      <w:r>
        <w:rPr>
          <w:rFonts w:hint="eastAsia" w:ascii="宋体" w:hAnsi="宋体" w:cs="宋体"/>
          <w:b/>
          <w:color w:val="auto"/>
          <w:sz w:val="32"/>
          <w:szCs w:val="22"/>
          <w:highlight w:val="none"/>
          <w:lang w:val="en-US" w:eastAsia="zh-CN"/>
        </w:rPr>
        <w:t>吉林市丰满区环境卫生运输管理处</w:t>
      </w:r>
      <w:r>
        <w:rPr>
          <w:rFonts w:hint="eastAsia" w:ascii="宋体" w:hAnsi="宋体" w:eastAsia="宋体" w:cs="宋体"/>
          <w:b/>
          <w:color w:val="auto"/>
          <w:sz w:val="32"/>
          <w:szCs w:val="22"/>
          <w:highlight w:val="none"/>
        </w:rPr>
        <w:t xml:space="preserve">     </w:t>
      </w:r>
    </w:p>
    <w:p>
      <w:pPr>
        <w:jc w:val="center"/>
        <w:rPr>
          <w:rFonts w:hint="eastAsia" w:ascii="宋体" w:hAnsi="宋体" w:eastAsia="宋体" w:cs="宋体"/>
          <w:b/>
          <w:color w:val="auto"/>
          <w:sz w:val="32"/>
          <w:szCs w:val="22"/>
          <w:highlight w:val="none"/>
        </w:rPr>
      </w:pPr>
      <w:r>
        <w:rPr>
          <w:rFonts w:hint="eastAsia" w:ascii="宋体" w:hAnsi="宋体" w:eastAsia="宋体" w:cs="宋体"/>
          <w:b/>
          <w:color w:val="auto"/>
          <w:sz w:val="32"/>
          <w:szCs w:val="22"/>
          <w:highlight w:val="none"/>
          <w:lang w:val="en-US" w:eastAsia="zh-CN"/>
        </w:rPr>
        <w:t xml:space="preserve"> </w:t>
      </w:r>
      <w:r>
        <w:rPr>
          <w:rFonts w:hint="eastAsia" w:ascii="宋体" w:hAnsi="宋体" w:eastAsia="宋体" w:cs="宋体"/>
          <w:b/>
          <w:color w:val="auto"/>
          <w:sz w:val="32"/>
          <w:szCs w:val="22"/>
          <w:highlight w:val="none"/>
        </w:rPr>
        <w:t xml:space="preserve">    </w:t>
      </w:r>
    </w:p>
    <w:p>
      <w:pPr>
        <w:ind w:firstLine="1285" w:firstLineChars="400"/>
        <w:jc w:val="both"/>
        <w:rPr>
          <w:rFonts w:hint="eastAsia" w:ascii="宋体" w:hAnsi="宋体" w:eastAsia="宋体" w:cs="宋体"/>
          <w:b/>
          <w:color w:val="auto"/>
          <w:sz w:val="32"/>
          <w:szCs w:val="22"/>
          <w:highlight w:val="none"/>
        </w:rPr>
      </w:pPr>
      <w:r>
        <w:rPr>
          <w:rFonts w:hint="eastAsia" w:ascii="宋体" w:hAnsi="宋体" w:eastAsia="宋体" w:cs="宋体"/>
          <w:b/>
          <w:color w:val="auto"/>
          <w:sz w:val="32"/>
          <w:szCs w:val="22"/>
          <w:highlight w:val="none"/>
        </w:rPr>
        <w:t>采购代理机构：中恒一信项目管理咨询有限公司</w:t>
      </w:r>
    </w:p>
    <w:p>
      <w:pPr>
        <w:jc w:val="center"/>
        <w:rPr>
          <w:rFonts w:hint="eastAsia" w:ascii="宋体" w:hAnsi="宋体" w:eastAsia="宋体" w:cs="宋体"/>
          <w:b/>
          <w:color w:val="auto"/>
          <w:sz w:val="32"/>
          <w:highlight w:val="none"/>
        </w:rPr>
      </w:pPr>
    </w:p>
    <w:p>
      <w:pPr>
        <w:ind w:firstLine="1285" w:firstLineChars="400"/>
        <w:jc w:val="both"/>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日    </w:t>
      </w:r>
      <w:r>
        <w:rPr>
          <w:rFonts w:hint="eastAsia" w:ascii="宋体" w:hAnsi="宋体" w:eastAsia="宋体" w:cs="宋体"/>
          <w:b/>
          <w:color w:val="auto"/>
          <w:sz w:val="32"/>
          <w:highlight w:val="none"/>
          <w:lang w:val="en-US" w:eastAsia="zh-CN"/>
        </w:rPr>
        <w:t xml:space="preserve">   </w:t>
      </w:r>
      <w:r>
        <w:rPr>
          <w:rFonts w:hint="eastAsia" w:ascii="宋体" w:hAnsi="宋体" w:eastAsia="宋体" w:cs="宋体"/>
          <w:b/>
          <w:color w:val="auto"/>
          <w:sz w:val="32"/>
          <w:highlight w:val="none"/>
        </w:rPr>
        <w:t xml:space="preserve"> 期：202</w:t>
      </w:r>
      <w:r>
        <w:rPr>
          <w:rFonts w:hint="eastAsia" w:ascii="宋体" w:hAnsi="宋体" w:cs="宋体"/>
          <w:b/>
          <w:color w:val="auto"/>
          <w:sz w:val="32"/>
          <w:highlight w:val="none"/>
          <w:lang w:val="en-US" w:eastAsia="zh-CN"/>
        </w:rPr>
        <w:t>4</w:t>
      </w:r>
      <w:r>
        <w:rPr>
          <w:rFonts w:hint="eastAsia" w:ascii="宋体" w:hAnsi="宋体" w:eastAsia="宋体" w:cs="宋体"/>
          <w:b/>
          <w:color w:val="auto"/>
          <w:sz w:val="32"/>
          <w:highlight w:val="none"/>
        </w:rPr>
        <w:t>年</w:t>
      </w:r>
      <w:r>
        <w:rPr>
          <w:rFonts w:hint="eastAsia" w:ascii="宋体" w:hAnsi="宋体" w:cs="宋体"/>
          <w:b/>
          <w:color w:val="auto"/>
          <w:sz w:val="32"/>
          <w:highlight w:val="none"/>
          <w:lang w:val="en-US" w:eastAsia="zh-CN"/>
        </w:rPr>
        <w:t>1</w:t>
      </w:r>
      <w:r>
        <w:rPr>
          <w:rFonts w:hint="eastAsia" w:ascii="宋体" w:hAnsi="宋体" w:eastAsia="宋体" w:cs="宋体"/>
          <w:b/>
          <w:color w:val="auto"/>
          <w:sz w:val="32"/>
          <w:highlight w:val="none"/>
        </w:rPr>
        <w:t>月</w:t>
      </w:r>
    </w:p>
    <w:p>
      <w:pPr>
        <w:adjustRightInd w:val="0"/>
        <w:snapToGrid w:val="0"/>
        <w:spacing w:line="360" w:lineRule="auto"/>
        <w:ind w:right="496" w:rightChars="248"/>
        <w:jc w:val="center"/>
        <w:rPr>
          <w:rFonts w:hint="eastAsia" w:ascii="宋体" w:hAnsi="宋体" w:eastAsia="宋体" w:cs="宋体"/>
          <w:b/>
          <w:bCs/>
          <w:color w:val="auto"/>
          <w:sz w:val="28"/>
          <w:highlight w:val="none"/>
        </w:rPr>
      </w:pPr>
    </w:p>
    <w:p>
      <w:pPr>
        <w:jc w:val="center"/>
        <w:rPr>
          <w:rFonts w:hint="eastAsia" w:ascii="宋体" w:hAnsi="宋体" w:eastAsia="宋体" w:cs="宋体"/>
          <w:b/>
          <w:bCs/>
          <w:color w:val="auto"/>
          <w:sz w:val="36"/>
          <w:highlight w:val="none"/>
        </w:rPr>
        <w:sectPr>
          <w:headerReference r:id="rId4" w:type="first"/>
          <w:headerReference r:id="rId3" w:type="default"/>
          <w:footerReference r:id="rId5" w:type="default"/>
          <w:footerReference r:id="rId6" w:type="even"/>
          <w:pgSz w:w="11906" w:h="16838"/>
          <w:pgMar w:top="1418" w:right="1247" w:bottom="1418" w:left="1418" w:header="851" w:footer="992" w:gutter="0"/>
          <w:cols w:space="720" w:num="1"/>
          <w:titlePg/>
          <w:docGrid w:linePitch="312" w:charSpace="0"/>
        </w:sectPr>
      </w:pPr>
      <w:bookmarkStart w:id="1" w:name="_Toc98580389"/>
    </w:p>
    <w:p>
      <w:pPr>
        <w:pStyle w:val="44"/>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6"/>
          <w:highlight w:val="none"/>
        </w:rPr>
      </w:pPr>
      <w:r>
        <w:rPr>
          <w:rFonts w:hint="eastAsia" w:ascii="宋体" w:hAnsi="宋体" w:eastAsia="宋体" w:cs="宋体"/>
          <w:b/>
          <w:bCs/>
          <w:color w:val="auto"/>
          <w:sz w:val="36"/>
          <w:highlight w:val="none"/>
        </w:rPr>
        <w:t>目　　录</w:t>
      </w:r>
    </w:p>
    <w:p>
      <w:pPr>
        <w:jc w:val="center"/>
        <w:rPr>
          <w:rFonts w:hint="eastAsia" w:ascii="宋体" w:hAnsi="宋体" w:eastAsia="宋体" w:cs="宋体"/>
          <w:b/>
          <w:bCs/>
          <w:color w:val="auto"/>
          <w:sz w:val="36"/>
          <w:highlight w:val="none"/>
        </w:rPr>
      </w:pPr>
    </w:p>
    <w:p>
      <w:pPr>
        <w:pStyle w:val="30"/>
        <w:tabs>
          <w:tab w:val="right" w:leader="dot" w:pos="92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"1-1"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_Toc13336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第一部分  招标公告</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p>
    <w:p>
      <w:pPr>
        <w:pStyle w:val="30"/>
        <w:tabs>
          <w:tab w:val="right" w:leader="dot" w:pos="92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_Toc28014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第二部分  供应商须知</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fldChar w:fldCharType="end"/>
      </w:r>
    </w:p>
    <w:p>
      <w:pPr>
        <w:pStyle w:val="30"/>
        <w:tabs>
          <w:tab w:val="right" w:leader="dot" w:pos="92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_Toc8440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第三部分  评标办法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_Toc8440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0"/>
        <w:tabs>
          <w:tab w:val="right" w:leader="dot" w:pos="92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_Toc13415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第四部分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_Toc13415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0"/>
        <w:tabs>
          <w:tab w:val="right" w:leader="dot" w:pos="92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_Toc18914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第五部分  合同格式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_Toc18914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0"/>
        <w:tabs>
          <w:tab w:val="right" w:leader="dot" w:pos="92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_Toc19534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第六部分  投标文件格式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_Toc19534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0"/>
        <w:tabs>
          <w:tab w:val="right" w:leader="dot" w:pos="92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end"/>
      </w:r>
    </w:p>
    <w:bookmarkEnd w:id="1"/>
    <w:p>
      <w:pPr>
        <w:rPr>
          <w:rFonts w:hint="eastAsia" w:ascii="宋体" w:hAnsi="宋体" w:eastAsia="宋体" w:cs="宋体"/>
          <w:color w:val="auto"/>
          <w:highlight w:val="none"/>
        </w:rPr>
        <w:sectPr>
          <w:footerReference r:id="rId8" w:type="first"/>
          <w:footerReference r:id="rId7" w:type="default"/>
          <w:pgSz w:w="11906" w:h="16838"/>
          <w:pgMar w:top="1418" w:right="1247" w:bottom="1418" w:left="1418" w:header="851" w:footer="992" w:gutter="0"/>
          <w:cols w:space="720" w:num="1"/>
          <w:titlePg/>
          <w:docGrid w:linePitch="312" w:charSpace="0"/>
        </w:sectPr>
      </w:pPr>
    </w:p>
    <w:p>
      <w:pPr>
        <w:pStyle w:val="44"/>
        <w:rPr>
          <w:rFonts w:hint="eastAsia"/>
        </w:rPr>
      </w:pPr>
    </w:p>
    <w:p>
      <w:pPr>
        <w:jc w:val="center"/>
        <w:rPr>
          <w:rStyle w:val="64"/>
          <w:rFonts w:hint="eastAsia" w:ascii="宋体" w:hAnsi="宋体" w:eastAsia="宋体" w:cs="宋体"/>
          <w:color w:val="auto"/>
          <w:highlight w:val="none"/>
        </w:rPr>
      </w:pPr>
      <w:r>
        <w:rPr>
          <w:rStyle w:val="64"/>
          <w:rFonts w:hint="eastAsia" w:ascii="宋体" w:hAnsi="宋体" w:eastAsia="宋体" w:cs="宋体"/>
          <w:color w:val="auto"/>
          <w:highlight w:val="none"/>
        </w:rPr>
        <w:t>第一章  招标公告</w:t>
      </w:r>
    </w:p>
    <w:p>
      <w:pPr>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丰满区环境卫生运输管理处2024年冬季融雪剂采购</w:t>
      </w:r>
      <w:r>
        <w:rPr>
          <w:rFonts w:hint="eastAsia" w:ascii="宋体" w:hAnsi="宋体" w:cs="宋体"/>
          <w:b/>
          <w:color w:val="auto"/>
          <w:kern w:val="0"/>
          <w:sz w:val="32"/>
          <w:szCs w:val="32"/>
          <w:highlight w:val="none"/>
          <w:lang w:bidi="ar"/>
        </w:rPr>
        <w:t>招标公告</w:t>
      </w:r>
    </w:p>
    <w:p>
      <w:pPr>
        <w:pBdr>
          <w:top w:val="single" w:color="auto" w:sz="4" w:space="1"/>
          <w:left w:val="single" w:color="auto" w:sz="4" w:space="4"/>
          <w:bottom w:val="single" w:color="auto" w:sz="4" w:space="1"/>
          <w:right w:val="single" w:color="auto" w:sz="4" w:space="4"/>
        </w:pBdr>
        <w:autoSpaceDE w:val="0"/>
        <w:spacing w:line="440" w:lineRule="exact"/>
        <w:ind w:firstLine="482" w:firstLineChars="20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bidi="ar"/>
        </w:rPr>
        <w:t>项目概况</w:t>
      </w:r>
    </w:p>
    <w:p>
      <w:pPr>
        <w:pBdr>
          <w:top w:val="single" w:color="auto" w:sz="4" w:space="1"/>
          <w:left w:val="single" w:color="auto" w:sz="4" w:space="4"/>
          <w:bottom w:val="single" w:color="auto" w:sz="4" w:space="1"/>
          <w:right w:val="single" w:color="auto" w:sz="4" w:space="4"/>
        </w:pBdr>
        <w:autoSpaceDE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bidi="ar"/>
        </w:rPr>
        <w:t>丰满区环境卫生运输管理处2024年冬季融雪剂采购</w:t>
      </w:r>
      <w:r>
        <w:rPr>
          <w:rFonts w:hint="eastAsia" w:ascii="宋体" w:hAnsi="宋体" w:cs="宋体"/>
          <w:color w:val="auto"/>
          <w:kern w:val="0"/>
          <w:sz w:val="24"/>
          <w:szCs w:val="24"/>
          <w:highlight w:val="none"/>
          <w:lang w:bidi="ar"/>
        </w:rPr>
        <w:t>的潜在</w:t>
      </w:r>
      <w:r>
        <w:rPr>
          <w:rFonts w:hint="eastAsia" w:ascii="宋体" w:hAnsi="宋体" w:cs="宋体"/>
          <w:color w:val="auto"/>
          <w:kern w:val="0"/>
          <w:sz w:val="24"/>
          <w:szCs w:val="24"/>
          <w:highlight w:val="none"/>
          <w:lang w:eastAsia="zh-CN" w:bidi="ar"/>
        </w:rPr>
        <w:t>供应商</w:t>
      </w:r>
      <w:r>
        <w:rPr>
          <w:rFonts w:hint="eastAsia" w:ascii="宋体" w:hAnsi="宋体" w:cs="宋体"/>
          <w:color w:val="auto"/>
          <w:kern w:val="0"/>
          <w:sz w:val="24"/>
          <w:szCs w:val="24"/>
          <w:highlight w:val="none"/>
          <w:lang w:bidi="ar"/>
        </w:rPr>
        <w:t>应</w:t>
      </w:r>
      <w:r>
        <w:rPr>
          <w:rFonts w:hint="eastAsia" w:ascii="宋体" w:hAnsi="宋体" w:eastAsia="宋体" w:cs="宋体"/>
          <w:color w:val="auto"/>
          <w:spacing w:val="0"/>
          <w:kern w:val="0"/>
          <w:sz w:val="24"/>
          <w:szCs w:val="21"/>
          <w:highlight w:val="none"/>
          <w:lang w:val="en-US" w:eastAsia="zh-CN" w:bidi="ar-SA"/>
        </w:rPr>
        <w:t>在“政采云”平台(https://www.zcygov.cn/)</w:t>
      </w:r>
      <w:r>
        <w:rPr>
          <w:rFonts w:hint="eastAsia" w:ascii="宋体" w:hAnsi="宋体" w:cs="宋体"/>
          <w:color w:val="auto"/>
          <w:spacing w:val="0"/>
          <w:kern w:val="0"/>
          <w:sz w:val="24"/>
          <w:szCs w:val="21"/>
          <w:highlight w:val="none"/>
          <w:lang w:val="en-US" w:eastAsia="zh-CN" w:bidi="ar-SA"/>
        </w:rPr>
        <w:t>获取</w:t>
      </w:r>
      <w:r>
        <w:rPr>
          <w:rFonts w:hint="eastAsia" w:ascii="宋体" w:hAnsi="宋体" w:cs="宋体"/>
          <w:color w:val="auto"/>
          <w:kern w:val="0"/>
          <w:sz w:val="24"/>
          <w:szCs w:val="24"/>
          <w:highlight w:val="none"/>
          <w:lang w:bidi="ar"/>
        </w:rPr>
        <w:t>招标文件，并于</w:t>
      </w:r>
      <w:r>
        <w:rPr>
          <w:rFonts w:hint="eastAsia" w:ascii="宋体" w:hAnsi="宋体" w:cs="宋体"/>
          <w:color w:val="auto"/>
          <w:kern w:val="0"/>
          <w:sz w:val="24"/>
          <w:szCs w:val="24"/>
          <w:highlight w:val="none"/>
          <w:lang w:eastAsia="zh-CN" w:bidi="ar"/>
        </w:rPr>
        <w:t>202</w:t>
      </w:r>
      <w:r>
        <w:rPr>
          <w:rFonts w:hint="eastAsia" w:ascii="宋体" w:hAnsi="宋体" w:cs="宋体"/>
          <w:color w:val="auto"/>
          <w:kern w:val="0"/>
          <w:sz w:val="24"/>
          <w:szCs w:val="24"/>
          <w:highlight w:val="none"/>
          <w:lang w:val="en-US" w:eastAsia="zh-CN" w:bidi="ar"/>
        </w:rPr>
        <w:t>4</w:t>
      </w:r>
      <w:r>
        <w:rPr>
          <w:rFonts w:hint="eastAsia" w:ascii="宋体" w:hAnsi="宋体" w:cs="宋体"/>
          <w:color w:val="auto"/>
          <w:kern w:val="0"/>
          <w:sz w:val="24"/>
          <w:szCs w:val="24"/>
          <w:highlight w:val="none"/>
          <w:lang w:eastAsia="zh-CN" w:bidi="ar"/>
        </w:rPr>
        <w:t>年1</w:t>
      </w:r>
      <w:r>
        <w:rPr>
          <w:rFonts w:hint="eastAsia" w:ascii="宋体" w:hAnsi="宋体" w:cs="宋体"/>
          <w:color w:val="auto"/>
          <w:kern w:val="0"/>
          <w:sz w:val="24"/>
          <w:szCs w:val="24"/>
          <w:highlight w:val="none"/>
          <w:lang w:val="en-US" w:eastAsia="zh-CN" w:bidi="ar"/>
        </w:rPr>
        <w:t xml:space="preserve"> </w:t>
      </w:r>
      <w:r>
        <w:rPr>
          <w:rFonts w:hint="eastAsia" w:ascii="宋体" w:hAnsi="宋体" w:cs="宋体"/>
          <w:color w:val="auto"/>
          <w:kern w:val="0"/>
          <w:sz w:val="24"/>
          <w:szCs w:val="24"/>
          <w:highlight w:val="none"/>
          <w:lang w:eastAsia="zh-CN" w:bidi="ar"/>
        </w:rPr>
        <w:t>月</w:t>
      </w:r>
      <w:r>
        <w:rPr>
          <w:rFonts w:hint="eastAsia" w:ascii="宋体" w:hAnsi="宋体" w:cs="宋体"/>
          <w:color w:val="auto"/>
          <w:kern w:val="0"/>
          <w:sz w:val="24"/>
          <w:szCs w:val="24"/>
          <w:highlight w:val="none"/>
          <w:lang w:val="en-US" w:eastAsia="zh-CN" w:bidi="ar"/>
        </w:rPr>
        <w:t xml:space="preserve">23 </w:t>
      </w:r>
      <w:r>
        <w:rPr>
          <w:rFonts w:hint="eastAsia" w:ascii="宋体" w:hAnsi="宋体" w:cs="宋体"/>
          <w:color w:val="auto"/>
          <w:kern w:val="0"/>
          <w:sz w:val="24"/>
          <w:szCs w:val="24"/>
          <w:highlight w:val="none"/>
          <w:lang w:eastAsia="zh-CN" w:bidi="ar"/>
        </w:rPr>
        <w:t>日09时30分</w:t>
      </w:r>
      <w:r>
        <w:rPr>
          <w:rFonts w:hint="eastAsia" w:ascii="宋体" w:hAnsi="宋体" w:cs="宋体"/>
          <w:color w:val="auto"/>
          <w:kern w:val="0"/>
          <w:sz w:val="24"/>
          <w:szCs w:val="24"/>
          <w:highlight w:val="none"/>
          <w:lang w:bidi="ar"/>
        </w:rPr>
        <w:t>（北京时间）前提交投标文件。</w:t>
      </w:r>
    </w:p>
    <w:p>
      <w:pPr>
        <w:autoSpaceDE w:val="0"/>
        <w:spacing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bidi="ar"/>
        </w:rPr>
        <w:t>一、项目基本情况</w:t>
      </w:r>
    </w:p>
    <w:p>
      <w:pPr>
        <w:autoSpaceDE w:val="0"/>
        <w:spacing w:line="440" w:lineRule="exact"/>
        <w:ind w:firstLine="480" w:firstLineChars="200"/>
        <w:jc w:val="left"/>
        <w:rPr>
          <w:rFonts w:hint="eastAsia" w:ascii="宋体" w:hAnsi="宋体" w:eastAsia="宋体" w:cs="宋体"/>
          <w:color w:val="auto"/>
          <w:kern w:val="0"/>
          <w:sz w:val="24"/>
          <w:szCs w:val="24"/>
          <w:highlight w:val="none"/>
          <w:lang w:bidi="ar"/>
        </w:rPr>
      </w:pPr>
      <w:r>
        <w:rPr>
          <w:rFonts w:hint="eastAsia" w:ascii="宋体" w:hAnsi="宋体" w:cs="宋体"/>
          <w:color w:val="auto"/>
          <w:kern w:val="0"/>
          <w:sz w:val="24"/>
          <w:szCs w:val="24"/>
          <w:highlight w:val="none"/>
          <w:lang w:bidi="ar"/>
        </w:rPr>
        <w:t>1.项目编</w:t>
      </w:r>
      <w:r>
        <w:rPr>
          <w:rFonts w:hint="eastAsia" w:ascii="宋体" w:hAnsi="宋体" w:eastAsia="宋体" w:cs="宋体"/>
          <w:color w:val="auto"/>
          <w:kern w:val="0"/>
          <w:sz w:val="24"/>
          <w:szCs w:val="24"/>
          <w:highlight w:val="none"/>
          <w:lang w:bidi="ar"/>
        </w:rPr>
        <w:t>号：</w:t>
      </w:r>
      <w:r>
        <w:rPr>
          <w:rFonts w:hint="eastAsia" w:ascii="宋体" w:hAnsi="宋体" w:eastAsia="宋体" w:cs="宋体"/>
          <w:color w:val="auto"/>
          <w:kern w:val="0"/>
          <w:sz w:val="24"/>
          <w:szCs w:val="24"/>
          <w:highlight w:val="none"/>
          <w:lang w:bidi="ar"/>
        </w:rPr>
        <w:fldChar w:fldCharType="begin"/>
      </w:r>
      <w:r>
        <w:rPr>
          <w:rFonts w:hint="eastAsia" w:ascii="宋体" w:hAnsi="宋体" w:eastAsia="宋体" w:cs="宋体"/>
          <w:color w:val="auto"/>
          <w:kern w:val="0"/>
          <w:sz w:val="24"/>
          <w:szCs w:val="24"/>
          <w:highlight w:val="none"/>
          <w:lang w:bidi="ar"/>
        </w:rPr>
        <w:instrText xml:space="preserve"> HYPERLINK "https://pay.zcygov.cn/purchaseplan_front/" \l "/plan/list/view?id=1000000000013106339" \t "https://www.zcygov.cn/delegation-order/_procurement_/order/orderInfo/check/_blank" </w:instrText>
      </w:r>
      <w:r>
        <w:rPr>
          <w:rFonts w:hint="eastAsia" w:ascii="宋体" w:hAnsi="宋体" w:eastAsia="宋体" w:cs="宋体"/>
          <w:color w:val="auto"/>
          <w:kern w:val="0"/>
          <w:sz w:val="24"/>
          <w:szCs w:val="24"/>
          <w:highlight w:val="none"/>
          <w:lang w:bidi="ar"/>
        </w:rPr>
        <w:fldChar w:fldCharType="separate"/>
      </w:r>
      <w:r>
        <w:rPr>
          <w:rFonts w:hint="eastAsia" w:ascii="宋体" w:hAnsi="宋体" w:eastAsia="宋体" w:cs="宋体"/>
          <w:color w:val="auto"/>
          <w:kern w:val="0"/>
          <w:sz w:val="24"/>
          <w:szCs w:val="24"/>
          <w:highlight w:val="none"/>
          <w:lang w:bidi="ar"/>
        </w:rPr>
        <w:t>采购计划-[2023]-00135号</w:t>
      </w:r>
      <w:r>
        <w:rPr>
          <w:rFonts w:hint="eastAsia" w:ascii="宋体" w:hAnsi="宋体" w:eastAsia="宋体" w:cs="宋体"/>
          <w:color w:val="auto"/>
          <w:kern w:val="0"/>
          <w:sz w:val="24"/>
          <w:szCs w:val="24"/>
          <w:highlight w:val="none"/>
          <w:lang w:bidi="ar"/>
        </w:rPr>
        <w:fldChar w:fldCharType="end"/>
      </w:r>
      <w:r>
        <w:rPr>
          <w:rFonts w:hint="eastAsia" w:ascii="宋体" w:hAnsi="宋体" w:eastAsia="宋体" w:cs="宋体"/>
          <w:color w:val="auto"/>
          <w:kern w:val="0"/>
          <w:sz w:val="24"/>
          <w:szCs w:val="24"/>
          <w:highlight w:val="none"/>
          <w:lang w:val="en-US" w:eastAsia="zh-CN" w:bidi="ar"/>
        </w:rPr>
        <w:t>-ZHYX</w:t>
      </w:r>
      <w:r>
        <w:rPr>
          <w:rFonts w:hint="eastAsia" w:ascii="宋体" w:hAnsi="宋体" w:eastAsia="宋体" w:cs="宋体"/>
          <w:color w:val="auto"/>
          <w:kern w:val="0"/>
          <w:sz w:val="24"/>
          <w:szCs w:val="24"/>
          <w:highlight w:val="none"/>
          <w:lang w:eastAsia="zh-CN" w:bidi="ar"/>
        </w:rPr>
        <w:t>8</w:t>
      </w:r>
      <w:r>
        <w:rPr>
          <w:rFonts w:hint="eastAsia" w:ascii="宋体" w:hAnsi="宋体" w:eastAsia="宋体" w:cs="宋体"/>
          <w:color w:val="auto"/>
          <w:kern w:val="0"/>
          <w:sz w:val="24"/>
          <w:szCs w:val="24"/>
          <w:highlight w:val="none"/>
          <w:lang w:val="en-US" w:eastAsia="zh-CN" w:bidi="ar"/>
        </w:rPr>
        <w:t>12013</w:t>
      </w:r>
      <w:r>
        <w:rPr>
          <w:rFonts w:hint="eastAsia" w:ascii="宋体" w:hAnsi="宋体" w:cs="宋体"/>
          <w:color w:val="auto"/>
          <w:kern w:val="0"/>
          <w:sz w:val="24"/>
          <w:szCs w:val="24"/>
          <w:highlight w:val="none"/>
          <w:lang w:bidi="ar"/>
        </w:rPr>
        <w:t>；</w:t>
      </w:r>
    </w:p>
    <w:p>
      <w:pPr>
        <w:autoSpaceDE w:val="0"/>
        <w:spacing w:line="440" w:lineRule="exact"/>
        <w:ind w:firstLine="480" w:firstLineChars="200"/>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2.项目名称：</w:t>
      </w:r>
      <w:r>
        <w:rPr>
          <w:rFonts w:hint="eastAsia" w:ascii="宋体" w:hAnsi="宋体" w:eastAsia="宋体" w:cs="宋体"/>
          <w:color w:val="auto"/>
          <w:kern w:val="0"/>
          <w:sz w:val="24"/>
          <w:szCs w:val="24"/>
          <w:highlight w:val="none"/>
          <w:lang w:val="en-US" w:eastAsia="zh-CN" w:bidi="ar"/>
        </w:rPr>
        <w:t>丰满区环境卫生运输管理处2024年冬季融雪剂采购</w:t>
      </w:r>
      <w:r>
        <w:rPr>
          <w:rFonts w:hint="eastAsia" w:ascii="宋体" w:hAnsi="宋体" w:eastAsia="宋体" w:cs="宋体"/>
          <w:color w:val="auto"/>
          <w:kern w:val="0"/>
          <w:sz w:val="24"/>
          <w:szCs w:val="24"/>
          <w:highlight w:val="none"/>
          <w:lang w:bidi="ar"/>
        </w:rPr>
        <w:t>；</w:t>
      </w:r>
    </w:p>
    <w:p>
      <w:pPr>
        <w:autoSpaceDE w:val="0"/>
        <w:spacing w:line="440" w:lineRule="exact"/>
        <w:ind w:firstLine="480" w:firstLineChars="200"/>
        <w:jc w:val="left"/>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bidi="ar"/>
        </w:rPr>
        <w:t>3.采购方式：</w:t>
      </w:r>
      <w:r>
        <w:rPr>
          <w:rFonts w:hint="eastAsia" w:ascii="宋体" w:hAnsi="宋体" w:eastAsia="宋体" w:cs="宋体"/>
          <w:color w:val="auto"/>
          <w:kern w:val="0"/>
          <w:sz w:val="24"/>
          <w:szCs w:val="24"/>
          <w:highlight w:val="none"/>
          <w:lang w:eastAsia="zh-CN" w:bidi="ar"/>
        </w:rPr>
        <w:t>公开招标；</w:t>
      </w:r>
    </w:p>
    <w:p>
      <w:pPr>
        <w:autoSpaceDE w:val="0"/>
        <w:spacing w:line="440" w:lineRule="exact"/>
        <w:ind w:firstLine="480" w:firstLineChars="200"/>
        <w:jc w:val="left"/>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eastAsia="zh-CN" w:bidi="ar"/>
        </w:rPr>
        <w:t>.资金来源</w:t>
      </w:r>
      <w:r>
        <w:rPr>
          <w:rFonts w:hint="eastAsia" w:ascii="宋体" w:hAnsi="宋体" w:eastAsia="宋体" w:cs="宋体"/>
          <w:color w:val="auto"/>
          <w:kern w:val="0"/>
          <w:sz w:val="24"/>
          <w:szCs w:val="24"/>
          <w:highlight w:val="none"/>
          <w:lang w:val="en-US" w:eastAsia="zh-CN" w:bidi="ar"/>
        </w:rPr>
        <w:t>及采购预算</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财政资金</w:t>
      </w:r>
      <w:r>
        <w:rPr>
          <w:rFonts w:hint="eastAsia" w:ascii="宋体" w:hAnsi="宋体" w:cs="宋体"/>
          <w:color w:val="auto"/>
          <w:kern w:val="0"/>
          <w:sz w:val="24"/>
          <w:szCs w:val="24"/>
          <w:highlight w:val="none"/>
          <w:lang w:val="en-US" w:eastAsia="zh-CN" w:bidi="ar"/>
        </w:rPr>
        <w:t>280</w:t>
      </w:r>
      <w:r>
        <w:rPr>
          <w:rFonts w:hint="eastAsia" w:ascii="宋体" w:hAnsi="宋体" w:eastAsia="宋体" w:cs="宋体"/>
          <w:color w:val="auto"/>
          <w:kern w:val="0"/>
          <w:sz w:val="24"/>
          <w:szCs w:val="24"/>
          <w:highlight w:val="none"/>
          <w:lang w:val="en-US" w:eastAsia="zh-CN" w:bidi="ar"/>
        </w:rPr>
        <w:t>万元（最高限价）</w:t>
      </w:r>
      <w:r>
        <w:rPr>
          <w:rFonts w:hint="eastAsia" w:ascii="宋体" w:hAnsi="宋体" w:eastAsia="宋体" w:cs="宋体"/>
          <w:color w:val="auto"/>
          <w:kern w:val="0"/>
          <w:sz w:val="24"/>
          <w:szCs w:val="24"/>
          <w:highlight w:val="none"/>
          <w:lang w:eastAsia="zh-CN" w:bidi="ar"/>
        </w:rPr>
        <w:t>；</w:t>
      </w:r>
      <w:r>
        <w:rPr>
          <w:rFonts w:hint="eastAsia" w:ascii="宋体" w:hAnsi="宋体" w:cs="宋体"/>
          <w:color w:val="auto"/>
          <w:kern w:val="0"/>
          <w:sz w:val="24"/>
          <w:szCs w:val="24"/>
          <w:highlight w:val="none"/>
          <w:lang w:val="en-US" w:eastAsia="zh-CN" w:bidi="ar"/>
        </w:rPr>
        <w:t>其中</w:t>
      </w:r>
      <w:r>
        <w:rPr>
          <w:rFonts w:hint="eastAsia" w:ascii="宋体" w:hAnsi="宋体" w:eastAsia="宋体" w:cs="宋体"/>
          <w:color w:val="auto"/>
          <w:kern w:val="0"/>
          <w:sz w:val="24"/>
          <w:szCs w:val="24"/>
          <w:highlight w:val="none"/>
          <w:lang w:val="en-US" w:eastAsia="zh-CN" w:bidi="ar"/>
        </w:rPr>
        <w:t>一包：140万元、二包：140万元</w:t>
      </w:r>
      <w:r>
        <w:rPr>
          <w:rFonts w:hint="eastAsia" w:ascii="宋体" w:hAnsi="宋体" w:cs="宋体"/>
          <w:color w:val="auto"/>
          <w:kern w:val="0"/>
          <w:sz w:val="24"/>
          <w:szCs w:val="24"/>
          <w:highlight w:val="none"/>
          <w:lang w:val="en-US" w:eastAsia="zh-CN" w:bidi="ar"/>
        </w:rPr>
        <w:t>；</w:t>
      </w:r>
    </w:p>
    <w:p>
      <w:pPr>
        <w:autoSpaceDE w:val="0"/>
        <w:spacing w:line="440" w:lineRule="exact"/>
        <w:ind w:firstLine="480" w:firstLineChars="20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5.最高限价：一包：140万元、二包：140万元；</w:t>
      </w:r>
    </w:p>
    <w:p>
      <w:pPr>
        <w:autoSpaceDE w:val="0"/>
        <w:spacing w:line="440" w:lineRule="exact"/>
        <w:ind w:firstLine="480" w:firstLineChars="200"/>
        <w:jc w:val="left"/>
        <w:rPr>
          <w:rFonts w:hint="eastAsia" w:ascii="宋体" w:hAnsi="宋体" w:eastAsia="宋体" w:cs="宋体"/>
          <w:color w:val="auto"/>
          <w:kern w:val="0"/>
          <w:sz w:val="24"/>
          <w:szCs w:val="24"/>
          <w:highlight w:val="none"/>
          <w:lang w:eastAsia="zh-CN" w:bidi="ar"/>
        </w:rPr>
      </w:pPr>
      <w:r>
        <w:rPr>
          <w:rFonts w:hint="eastAsia" w:ascii="宋体" w:hAnsi="宋体" w:cs="宋体"/>
          <w:color w:val="auto"/>
          <w:kern w:val="0"/>
          <w:sz w:val="24"/>
          <w:szCs w:val="24"/>
          <w:highlight w:val="none"/>
          <w:lang w:val="en-US" w:eastAsia="zh-CN" w:bidi="ar"/>
        </w:rPr>
        <w:t>6</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eastAsia="zh-CN" w:bidi="ar"/>
        </w:rPr>
        <w:t>采购需求：</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4350"/>
        <w:gridCol w:w="232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lang w:val="en-US" w:eastAsia="zh-CN"/>
              </w:rPr>
              <w:t>包</w:t>
            </w:r>
            <w:r>
              <w:rPr>
                <w:rFonts w:hint="eastAsia" w:ascii="宋体" w:hAnsi="宋体" w:eastAsia="宋体" w:cs="宋体"/>
                <w:color w:val="333333"/>
                <w:sz w:val="24"/>
                <w:szCs w:val="24"/>
              </w:rPr>
              <w:t>号</w:t>
            </w:r>
          </w:p>
        </w:tc>
        <w:tc>
          <w:tcPr>
            <w:tcW w:w="4350"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项目编号及项目名称</w:t>
            </w:r>
          </w:p>
        </w:tc>
        <w:tc>
          <w:tcPr>
            <w:tcW w:w="2329"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采购内容</w:t>
            </w:r>
          </w:p>
        </w:tc>
        <w:tc>
          <w:tcPr>
            <w:tcW w:w="2048"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730"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1包</w:t>
            </w:r>
          </w:p>
        </w:tc>
        <w:tc>
          <w:tcPr>
            <w:tcW w:w="4350" w:type="dxa"/>
            <w:vAlign w:val="center"/>
          </w:tcPr>
          <w:p>
            <w:pPr>
              <w:pStyle w:val="39"/>
              <w:keepNext w:val="0"/>
              <w:keepLines w:val="0"/>
              <w:widowControl/>
              <w:suppressLineNumbers w:val="0"/>
              <w:wordWrap w:val="0"/>
              <w:spacing w:before="0" w:beforeAutospacing="0" w:after="0" w:afterAutospacing="0" w:line="44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rPr>
              <w:t>项目编号：</w:t>
            </w:r>
            <w:r>
              <w:rPr>
                <w:rFonts w:hint="eastAsia" w:ascii="宋体" w:hAnsi="宋体" w:eastAsia="宋体" w:cs="宋体"/>
                <w:color w:val="333333"/>
                <w:sz w:val="24"/>
                <w:szCs w:val="24"/>
              </w:rPr>
              <w:fldChar w:fldCharType="begin"/>
            </w:r>
            <w:r>
              <w:rPr>
                <w:rFonts w:hint="eastAsia" w:ascii="宋体" w:hAnsi="宋体" w:eastAsia="宋体" w:cs="宋体"/>
                <w:color w:val="333333"/>
                <w:sz w:val="24"/>
                <w:szCs w:val="24"/>
              </w:rPr>
              <w:instrText xml:space="preserve"> HYPERLINK "https://pay.zcygov.cn/purchaseplan_front/" \l "/plan/list/view?id=1000000000013106339" \t "https://www.zcygov.cn/delegation-order/_procurement_/order/orderInfo/check/_blank" </w:instrText>
            </w:r>
            <w:r>
              <w:rPr>
                <w:rFonts w:hint="eastAsia" w:ascii="宋体" w:hAnsi="宋体" w:eastAsia="宋体" w:cs="宋体"/>
                <w:color w:val="333333"/>
                <w:sz w:val="24"/>
                <w:szCs w:val="24"/>
              </w:rPr>
              <w:fldChar w:fldCharType="separate"/>
            </w:r>
            <w:r>
              <w:rPr>
                <w:rFonts w:hint="eastAsia" w:ascii="宋体" w:hAnsi="宋体" w:eastAsia="宋体" w:cs="宋体"/>
                <w:color w:val="333333"/>
                <w:sz w:val="24"/>
                <w:szCs w:val="24"/>
              </w:rPr>
              <w:t>采购计划-[2023]-00135号</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lang w:val="en-US" w:eastAsia="zh-CN"/>
              </w:rPr>
              <w:t>-ZHYX</w:t>
            </w:r>
            <w:r>
              <w:rPr>
                <w:rFonts w:hint="eastAsia" w:ascii="宋体" w:hAnsi="宋体" w:eastAsia="宋体" w:cs="宋体"/>
                <w:color w:val="333333"/>
                <w:sz w:val="24"/>
                <w:szCs w:val="24"/>
                <w:lang w:eastAsia="zh-CN"/>
              </w:rPr>
              <w:t>8</w:t>
            </w:r>
            <w:r>
              <w:rPr>
                <w:rFonts w:hint="eastAsia" w:ascii="宋体" w:hAnsi="宋体" w:eastAsia="宋体" w:cs="宋体"/>
                <w:color w:val="333333"/>
                <w:sz w:val="24"/>
                <w:szCs w:val="24"/>
                <w:lang w:val="en-US" w:eastAsia="zh-CN"/>
              </w:rPr>
              <w:t>12013</w:t>
            </w:r>
            <w:r>
              <w:rPr>
                <w:rFonts w:hint="eastAsia" w:ascii="宋体" w:hAnsi="宋体" w:eastAsia="宋体" w:cs="宋体"/>
                <w:color w:val="333333"/>
                <w:sz w:val="24"/>
                <w:szCs w:val="24"/>
              </w:rPr>
              <w:t>-1</w:t>
            </w:r>
          </w:p>
          <w:p>
            <w:pPr>
              <w:pStyle w:val="39"/>
              <w:keepNext w:val="0"/>
              <w:keepLines w:val="0"/>
              <w:widowControl/>
              <w:suppressLineNumbers w:val="0"/>
              <w:wordWrap w:val="0"/>
              <w:spacing w:before="0" w:beforeAutospacing="0" w:after="0" w:afterAutospacing="0" w:line="440" w:lineRule="atLeast"/>
              <w:ind w:left="0" w:leftChars="0" w:right="0" w:rightChars="0"/>
              <w:jc w:val="left"/>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项目名称：</w:t>
            </w:r>
            <w:r>
              <w:rPr>
                <w:rFonts w:hint="eastAsia" w:ascii="宋体" w:hAnsi="宋体" w:eastAsia="宋体" w:cs="宋体"/>
                <w:color w:val="auto"/>
                <w:kern w:val="0"/>
                <w:sz w:val="24"/>
                <w:szCs w:val="24"/>
                <w:highlight w:val="none"/>
                <w:lang w:val="en-US" w:eastAsia="zh-CN" w:bidi="ar"/>
              </w:rPr>
              <w:t>丰满区环境卫生运输管理处2024年冬季融雪剂采购</w:t>
            </w:r>
            <w:r>
              <w:rPr>
                <w:rFonts w:hint="eastAsia" w:ascii="宋体" w:hAnsi="宋体" w:eastAsia="宋体" w:cs="宋体"/>
                <w:color w:val="333333"/>
                <w:sz w:val="24"/>
                <w:szCs w:val="24"/>
              </w:rPr>
              <w:t>【一</w:t>
            </w:r>
            <w:r>
              <w:rPr>
                <w:rFonts w:hint="eastAsia" w:ascii="宋体" w:hAnsi="宋体" w:eastAsia="宋体" w:cs="宋体"/>
                <w:color w:val="333333"/>
                <w:sz w:val="24"/>
                <w:szCs w:val="24"/>
                <w:lang w:val="en-US" w:eastAsia="zh-CN"/>
              </w:rPr>
              <w:t>包</w:t>
            </w:r>
            <w:r>
              <w:rPr>
                <w:rFonts w:hint="eastAsia" w:ascii="宋体" w:hAnsi="宋体" w:eastAsia="宋体" w:cs="宋体"/>
                <w:color w:val="333333"/>
                <w:sz w:val="24"/>
                <w:szCs w:val="24"/>
              </w:rPr>
              <w:t>】</w:t>
            </w:r>
          </w:p>
        </w:tc>
        <w:tc>
          <w:tcPr>
            <w:tcW w:w="2329"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采购融雪剂（具体采购数量及要求详见第一包招标文件）</w:t>
            </w:r>
          </w:p>
        </w:tc>
        <w:tc>
          <w:tcPr>
            <w:tcW w:w="2048"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700吨（以实际发生金额、数量为准）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2包</w:t>
            </w:r>
          </w:p>
        </w:tc>
        <w:tc>
          <w:tcPr>
            <w:tcW w:w="4350" w:type="dxa"/>
            <w:vAlign w:val="center"/>
          </w:tcPr>
          <w:p>
            <w:pPr>
              <w:pStyle w:val="39"/>
              <w:keepNext w:val="0"/>
              <w:keepLines w:val="0"/>
              <w:widowControl/>
              <w:suppressLineNumbers w:val="0"/>
              <w:wordWrap w:val="0"/>
              <w:spacing w:before="0" w:beforeAutospacing="0" w:after="0" w:afterAutospacing="0" w:line="44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rPr>
              <w:t>项目编号：</w:t>
            </w:r>
            <w:r>
              <w:rPr>
                <w:rFonts w:hint="eastAsia" w:ascii="宋体" w:hAnsi="宋体" w:eastAsia="宋体" w:cs="宋体"/>
                <w:color w:val="333333"/>
                <w:sz w:val="24"/>
                <w:szCs w:val="24"/>
              </w:rPr>
              <w:fldChar w:fldCharType="begin"/>
            </w:r>
            <w:r>
              <w:rPr>
                <w:rFonts w:hint="eastAsia" w:ascii="宋体" w:hAnsi="宋体" w:eastAsia="宋体" w:cs="宋体"/>
                <w:color w:val="333333"/>
                <w:sz w:val="24"/>
                <w:szCs w:val="24"/>
              </w:rPr>
              <w:instrText xml:space="preserve"> HYPERLINK "https://pay.zcygov.cn/purchaseplan_front/" \l "/plan/list/view?id=1000000000013106339" \t "https://www.zcygov.cn/delegation-order/_procurement_/order/orderInfo/check/_blank" </w:instrText>
            </w:r>
            <w:r>
              <w:rPr>
                <w:rFonts w:hint="eastAsia" w:ascii="宋体" w:hAnsi="宋体" w:eastAsia="宋体" w:cs="宋体"/>
                <w:color w:val="333333"/>
                <w:sz w:val="24"/>
                <w:szCs w:val="24"/>
              </w:rPr>
              <w:fldChar w:fldCharType="separate"/>
            </w:r>
            <w:r>
              <w:rPr>
                <w:rFonts w:hint="eastAsia" w:ascii="宋体" w:hAnsi="宋体" w:eastAsia="宋体" w:cs="宋体"/>
                <w:color w:val="333333"/>
                <w:sz w:val="24"/>
                <w:szCs w:val="24"/>
              </w:rPr>
              <w:t>采购计划-[2023]-00135号</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lang w:val="en-US" w:eastAsia="zh-CN"/>
              </w:rPr>
              <w:t>-ZHYX</w:t>
            </w:r>
            <w:r>
              <w:rPr>
                <w:rFonts w:hint="eastAsia" w:ascii="宋体" w:hAnsi="宋体" w:eastAsia="宋体" w:cs="宋体"/>
                <w:color w:val="333333"/>
                <w:sz w:val="24"/>
                <w:szCs w:val="24"/>
                <w:lang w:eastAsia="zh-CN"/>
              </w:rPr>
              <w:t>8</w:t>
            </w:r>
            <w:r>
              <w:rPr>
                <w:rFonts w:hint="eastAsia" w:ascii="宋体" w:hAnsi="宋体" w:eastAsia="宋体" w:cs="宋体"/>
                <w:color w:val="333333"/>
                <w:sz w:val="24"/>
                <w:szCs w:val="24"/>
                <w:lang w:val="en-US" w:eastAsia="zh-CN"/>
              </w:rPr>
              <w:t>12013</w:t>
            </w:r>
            <w:r>
              <w:rPr>
                <w:rFonts w:hint="eastAsia" w:ascii="宋体" w:hAnsi="宋体" w:eastAsia="宋体" w:cs="宋体"/>
                <w:color w:val="333333"/>
                <w:sz w:val="24"/>
                <w:szCs w:val="24"/>
              </w:rPr>
              <w:t>-2</w:t>
            </w:r>
          </w:p>
          <w:p>
            <w:pPr>
              <w:pStyle w:val="39"/>
              <w:keepNext w:val="0"/>
              <w:keepLines w:val="0"/>
              <w:widowControl/>
              <w:suppressLineNumbers w:val="0"/>
              <w:wordWrap w:val="0"/>
              <w:spacing w:before="0" w:beforeAutospacing="0" w:after="0" w:afterAutospacing="0" w:line="440" w:lineRule="atLeast"/>
              <w:ind w:left="0" w:leftChars="0" w:right="0" w:rightChars="0"/>
              <w:jc w:val="left"/>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项目名称：</w:t>
            </w:r>
            <w:r>
              <w:rPr>
                <w:rFonts w:hint="eastAsia" w:ascii="宋体" w:hAnsi="宋体" w:eastAsia="宋体" w:cs="宋体"/>
                <w:color w:val="auto"/>
                <w:kern w:val="0"/>
                <w:sz w:val="24"/>
                <w:szCs w:val="24"/>
                <w:highlight w:val="none"/>
                <w:lang w:val="en-US" w:eastAsia="zh-CN" w:bidi="ar"/>
              </w:rPr>
              <w:t>丰满区环境卫生运输管理处2024年冬季融雪剂采购</w:t>
            </w:r>
            <w:r>
              <w:rPr>
                <w:rFonts w:hint="eastAsia" w:ascii="宋体" w:hAnsi="宋体" w:eastAsia="宋体" w:cs="宋体"/>
                <w:color w:val="333333"/>
                <w:sz w:val="24"/>
                <w:szCs w:val="24"/>
              </w:rPr>
              <w:t>【二</w:t>
            </w:r>
            <w:r>
              <w:rPr>
                <w:rFonts w:hint="eastAsia" w:ascii="宋体" w:hAnsi="宋体" w:eastAsia="宋体" w:cs="宋体"/>
                <w:color w:val="333333"/>
                <w:sz w:val="24"/>
                <w:szCs w:val="24"/>
                <w:lang w:val="en-US" w:eastAsia="zh-CN"/>
              </w:rPr>
              <w:t>包</w:t>
            </w:r>
            <w:r>
              <w:rPr>
                <w:rFonts w:hint="eastAsia" w:ascii="宋体" w:hAnsi="宋体" w:eastAsia="宋体" w:cs="宋体"/>
                <w:color w:val="333333"/>
                <w:sz w:val="24"/>
                <w:szCs w:val="24"/>
              </w:rPr>
              <w:t>】</w:t>
            </w:r>
          </w:p>
        </w:tc>
        <w:tc>
          <w:tcPr>
            <w:tcW w:w="2329" w:type="dxa"/>
            <w:vAlign w:val="center"/>
          </w:tcPr>
          <w:p>
            <w:pPr>
              <w:pStyle w:val="39"/>
              <w:keepNext w:val="0"/>
              <w:keepLines w:val="0"/>
              <w:widowControl/>
              <w:suppressLineNumbers w:val="0"/>
              <w:wordWrap w:val="0"/>
              <w:spacing w:before="0" w:beforeAutospacing="0" w:after="0" w:afterAutospacing="0" w:line="440"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采购融雪剂（具体采购数量及要求详见第二包招标文件）</w:t>
            </w:r>
          </w:p>
        </w:tc>
        <w:tc>
          <w:tcPr>
            <w:tcW w:w="2048" w:type="dxa"/>
            <w:vAlign w:val="center"/>
          </w:tcPr>
          <w:p>
            <w:pPr>
              <w:pStyle w:val="39"/>
              <w:keepNext w:val="0"/>
              <w:keepLines w:val="0"/>
              <w:widowControl/>
              <w:suppressLineNumbers w:val="0"/>
              <w:wordWrap w:val="0"/>
              <w:spacing w:before="0" w:beforeAutospacing="0" w:after="0" w:afterAutospacing="0" w:line="18" w:lineRule="atLeast"/>
              <w:ind w:left="0" w:leftChars="0" w:right="0" w:rightChars="0"/>
              <w:jc w:val="center"/>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lang w:val="en-US" w:eastAsia="zh-CN"/>
              </w:rPr>
              <w:t>700</w:t>
            </w:r>
            <w:r>
              <w:rPr>
                <w:rFonts w:hint="eastAsia" w:ascii="宋体" w:hAnsi="宋体" w:eastAsia="宋体" w:cs="宋体"/>
                <w:color w:val="333333"/>
                <w:sz w:val="24"/>
                <w:szCs w:val="24"/>
              </w:rPr>
              <w:t>吨（以实际发生金额、数量为准）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9457" w:type="dxa"/>
            <w:gridSpan w:val="4"/>
            <w:vAlign w:val="center"/>
          </w:tcPr>
          <w:p>
            <w:pPr>
              <w:pStyle w:val="39"/>
              <w:keepNext w:val="0"/>
              <w:keepLines w:val="0"/>
              <w:widowControl/>
              <w:suppressLineNumbers w:val="0"/>
              <w:wordWrap w:val="0"/>
              <w:spacing w:before="0" w:beforeAutospacing="0" w:after="0" w:afterAutospacing="0" w:line="440" w:lineRule="atLeast"/>
              <w:ind w:left="0" w:right="0"/>
              <w:jc w:val="both"/>
              <w:rPr>
                <w:rFonts w:hint="eastAsia" w:ascii="宋体" w:hAnsi="宋体" w:eastAsia="宋体" w:cs="宋体"/>
                <w:sz w:val="24"/>
                <w:szCs w:val="24"/>
              </w:rPr>
            </w:pPr>
            <w:r>
              <w:rPr>
                <w:rFonts w:hint="eastAsia" w:ascii="宋体" w:hAnsi="宋体" w:eastAsia="宋体" w:cs="宋体"/>
                <w:color w:val="333333"/>
                <w:sz w:val="24"/>
                <w:szCs w:val="24"/>
              </w:rPr>
              <w:t>注：本项目共分为</w:t>
            </w:r>
            <w:r>
              <w:rPr>
                <w:rFonts w:hint="eastAsia" w:ascii="宋体" w:hAnsi="宋体" w:eastAsia="宋体" w:cs="宋体"/>
                <w:color w:val="333333"/>
                <w:sz w:val="24"/>
                <w:szCs w:val="24"/>
                <w:lang w:val="en-US" w:eastAsia="zh-CN"/>
              </w:rPr>
              <w:t>两</w:t>
            </w:r>
            <w:r>
              <w:rPr>
                <w:rFonts w:hint="eastAsia" w:ascii="宋体" w:hAnsi="宋体" w:eastAsia="宋体" w:cs="宋体"/>
                <w:color w:val="333333"/>
                <w:sz w:val="24"/>
                <w:szCs w:val="24"/>
              </w:rPr>
              <w:t>个标段，每标段均需分别进行网上登记下载招标文件，供应商可对</w:t>
            </w:r>
            <w:r>
              <w:rPr>
                <w:rFonts w:hint="eastAsia" w:ascii="宋体" w:hAnsi="宋体" w:eastAsia="宋体" w:cs="宋体"/>
                <w:color w:val="333333"/>
                <w:sz w:val="24"/>
                <w:szCs w:val="24"/>
                <w:lang w:val="en-US" w:eastAsia="zh-CN"/>
              </w:rPr>
              <w:t>两</w:t>
            </w:r>
            <w:r>
              <w:rPr>
                <w:rFonts w:hint="eastAsia" w:ascii="宋体" w:hAnsi="宋体" w:eastAsia="宋体" w:cs="宋体"/>
                <w:color w:val="333333"/>
                <w:sz w:val="24"/>
                <w:szCs w:val="24"/>
              </w:rPr>
              <w:t>个标段中任意一个或多个标段进行投标，但每个供应商只允许按标段顺序被推荐为一个标段的第一中标候选人，在一标段中被推荐为第一中标候选人的单位不参与其他标段评标，以此类推。</w:t>
            </w:r>
          </w:p>
          <w:p>
            <w:pPr>
              <w:pStyle w:val="39"/>
              <w:keepNext w:val="0"/>
              <w:keepLines w:val="0"/>
              <w:widowControl/>
              <w:suppressLineNumbers w:val="0"/>
              <w:wordWrap w:val="0"/>
              <w:spacing w:before="0" w:beforeAutospacing="0" w:after="0" w:afterAutospacing="0" w:line="440" w:lineRule="atLeast"/>
              <w:ind w:left="0" w:right="0"/>
              <w:jc w:val="both"/>
              <w:rPr>
                <w:rFonts w:hint="eastAsia" w:ascii="宋体" w:hAnsi="宋体" w:eastAsia="宋体" w:cs="宋体"/>
                <w:sz w:val="24"/>
                <w:szCs w:val="24"/>
              </w:rPr>
            </w:pPr>
            <w:r>
              <w:rPr>
                <w:rFonts w:hint="eastAsia" w:ascii="宋体" w:hAnsi="宋体" w:eastAsia="宋体" w:cs="宋体"/>
                <w:color w:val="333333"/>
                <w:sz w:val="24"/>
                <w:szCs w:val="24"/>
              </w:rPr>
              <w:t>1包：预算金额：</w:t>
            </w:r>
            <w:r>
              <w:rPr>
                <w:rFonts w:hint="eastAsia" w:ascii="宋体" w:hAnsi="宋体" w:eastAsia="宋体" w:cs="宋体"/>
                <w:color w:val="333333"/>
                <w:sz w:val="24"/>
                <w:szCs w:val="24"/>
                <w:lang w:val="en-US" w:eastAsia="zh-CN"/>
              </w:rPr>
              <w:t>140</w:t>
            </w:r>
            <w:r>
              <w:rPr>
                <w:rFonts w:hint="eastAsia" w:ascii="宋体" w:hAnsi="宋体" w:eastAsia="宋体" w:cs="宋体"/>
                <w:color w:val="333333"/>
                <w:sz w:val="24"/>
                <w:szCs w:val="24"/>
              </w:rPr>
              <w:t>万元，最高限价（如有）：</w:t>
            </w:r>
            <w:r>
              <w:rPr>
                <w:rFonts w:hint="eastAsia" w:ascii="宋体" w:hAnsi="宋体" w:eastAsia="宋体" w:cs="宋体"/>
                <w:color w:val="333333"/>
                <w:sz w:val="24"/>
                <w:szCs w:val="24"/>
                <w:lang w:val="en-US" w:eastAsia="zh-CN"/>
              </w:rPr>
              <w:t>140</w:t>
            </w:r>
            <w:r>
              <w:rPr>
                <w:rFonts w:hint="eastAsia" w:ascii="宋体" w:hAnsi="宋体" w:eastAsia="宋体" w:cs="宋体"/>
                <w:color w:val="333333"/>
                <w:sz w:val="24"/>
                <w:szCs w:val="24"/>
              </w:rPr>
              <w:t>万元；</w:t>
            </w:r>
          </w:p>
          <w:p>
            <w:pPr>
              <w:pStyle w:val="39"/>
              <w:keepNext w:val="0"/>
              <w:keepLines w:val="0"/>
              <w:widowControl/>
              <w:suppressLineNumbers w:val="0"/>
              <w:wordWrap w:val="0"/>
              <w:spacing w:before="0" w:beforeAutospacing="0" w:after="0" w:afterAutospacing="0" w:line="440" w:lineRule="atLeast"/>
              <w:ind w:left="0" w:right="0"/>
              <w:jc w:val="both"/>
              <w:rPr>
                <w:rFonts w:hint="eastAsia" w:ascii="宋体" w:hAnsi="宋体" w:eastAsia="宋体" w:cs="宋体"/>
                <w:color w:val="0000FF"/>
                <w:kern w:val="0"/>
                <w:sz w:val="24"/>
                <w:szCs w:val="24"/>
                <w:highlight w:val="none"/>
                <w:vertAlign w:val="baseline"/>
                <w:lang w:val="en-US" w:eastAsia="zh-CN" w:bidi="ar"/>
              </w:rPr>
            </w:pPr>
            <w:r>
              <w:rPr>
                <w:rFonts w:hint="eastAsia" w:ascii="宋体" w:hAnsi="宋体" w:eastAsia="宋体" w:cs="宋体"/>
                <w:color w:val="333333"/>
                <w:sz w:val="24"/>
                <w:szCs w:val="24"/>
              </w:rPr>
              <w:t>2包：预算金额：</w:t>
            </w:r>
            <w:r>
              <w:rPr>
                <w:rFonts w:hint="eastAsia" w:ascii="宋体" w:hAnsi="宋体" w:eastAsia="宋体" w:cs="宋体"/>
                <w:color w:val="333333"/>
                <w:sz w:val="24"/>
                <w:szCs w:val="24"/>
                <w:lang w:val="en-US" w:eastAsia="zh-CN"/>
              </w:rPr>
              <w:t>140</w:t>
            </w:r>
            <w:r>
              <w:rPr>
                <w:rFonts w:hint="eastAsia" w:ascii="宋体" w:hAnsi="宋体" w:eastAsia="宋体" w:cs="宋体"/>
                <w:color w:val="333333"/>
                <w:sz w:val="24"/>
                <w:szCs w:val="24"/>
              </w:rPr>
              <w:t>万元，最高限价（如有）：</w:t>
            </w:r>
            <w:r>
              <w:rPr>
                <w:rFonts w:hint="eastAsia" w:ascii="宋体" w:hAnsi="宋体" w:eastAsia="宋体" w:cs="宋体"/>
                <w:color w:val="333333"/>
                <w:sz w:val="24"/>
                <w:szCs w:val="24"/>
                <w:lang w:val="en-US" w:eastAsia="zh-CN"/>
              </w:rPr>
              <w:t>140</w:t>
            </w:r>
            <w:r>
              <w:rPr>
                <w:rFonts w:hint="eastAsia" w:ascii="宋体" w:hAnsi="宋体" w:eastAsia="宋体" w:cs="宋体"/>
                <w:color w:val="333333"/>
                <w:sz w:val="24"/>
                <w:szCs w:val="24"/>
              </w:rPr>
              <w:t>万元；</w:t>
            </w:r>
          </w:p>
        </w:tc>
      </w:tr>
    </w:tbl>
    <w:p>
      <w:pPr>
        <w:autoSpaceDE w:val="0"/>
        <w:spacing w:line="440" w:lineRule="exact"/>
        <w:ind w:firstLine="480" w:firstLineChars="200"/>
        <w:jc w:val="left"/>
        <w:rPr>
          <w:rFonts w:hint="eastAsia" w:ascii="宋体" w:hAnsi="宋体" w:eastAsia="宋体" w:cs="宋体"/>
          <w:color w:val="auto"/>
          <w:kern w:val="0"/>
          <w:sz w:val="24"/>
          <w:szCs w:val="24"/>
          <w:highlight w:val="none"/>
          <w:lang w:eastAsia="zh-CN" w:bidi="ar"/>
        </w:rPr>
      </w:pPr>
      <w:r>
        <w:rPr>
          <w:rFonts w:hint="eastAsia" w:ascii="宋体" w:hAnsi="宋体" w:cs="宋体"/>
          <w:color w:val="auto"/>
          <w:kern w:val="0"/>
          <w:sz w:val="24"/>
          <w:szCs w:val="24"/>
          <w:highlight w:val="none"/>
          <w:lang w:val="en-US" w:eastAsia="zh-CN" w:bidi="ar"/>
        </w:rPr>
        <w:t>7</w:t>
      </w:r>
      <w:r>
        <w:rPr>
          <w:rFonts w:hint="eastAsia" w:ascii="宋体" w:hAnsi="宋体" w:eastAsia="宋体" w:cs="宋体"/>
          <w:color w:val="auto"/>
          <w:kern w:val="0"/>
          <w:sz w:val="24"/>
          <w:szCs w:val="24"/>
          <w:highlight w:val="none"/>
          <w:lang w:eastAsia="zh-CN" w:bidi="ar"/>
        </w:rPr>
        <w:t>.质量标准：符合国家及相关行业合格标准；</w:t>
      </w:r>
    </w:p>
    <w:p>
      <w:pPr>
        <w:pStyle w:val="39"/>
        <w:keepNext w:val="0"/>
        <w:keepLines w:val="0"/>
        <w:widowControl/>
        <w:suppressLineNumbers w:val="0"/>
        <w:wordWrap w:val="0"/>
        <w:spacing w:before="150" w:beforeAutospacing="0" w:after="0" w:afterAutospacing="0" w:line="18" w:lineRule="atLeast"/>
        <w:ind w:left="0" w:right="0" w:firstLine="420"/>
        <w:jc w:val="both"/>
        <w:rPr>
          <w:rFonts w:hint="eastAsia" w:ascii="宋体" w:hAnsi="宋体" w:eastAsia="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8</w:t>
      </w:r>
      <w:r>
        <w:rPr>
          <w:rFonts w:hint="eastAsia" w:ascii="宋体" w:hAnsi="宋体" w:eastAsia="宋体" w:cs="宋体"/>
          <w:color w:val="auto"/>
          <w:kern w:val="0"/>
          <w:sz w:val="24"/>
          <w:szCs w:val="24"/>
          <w:highlight w:val="none"/>
          <w:lang w:eastAsia="zh-CN" w:bidi="ar"/>
        </w:rPr>
        <w:t>.供货期：合同签订后至202</w:t>
      </w:r>
      <w:r>
        <w:rPr>
          <w:rFonts w:hint="eastAsia" w:ascii="宋体" w:hAnsi="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eastAsia="zh-CN" w:bidi="ar"/>
        </w:rPr>
        <w:t>年12月31日</w:t>
      </w:r>
      <w:r>
        <w:rPr>
          <w:rFonts w:hint="eastAsia" w:ascii="宋体" w:hAnsi="宋体" w:eastAsia="宋体" w:cs="宋体"/>
          <w:color w:val="auto"/>
          <w:kern w:val="0"/>
          <w:sz w:val="24"/>
          <w:szCs w:val="24"/>
          <w:highlight w:val="none"/>
          <w:lang w:val="en-US" w:eastAsia="zh-CN" w:bidi="ar"/>
        </w:rPr>
        <w:t>；</w:t>
      </w:r>
    </w:p>
    <w:p>
      <w:pPr>
        <w:autoSpaceDE w:val="0"/>
        <w:spacing w:line="440" w:lineRule="exact"/>
        <w:ind w:firstLine="480" w:firstLineChars="200"/>
        <w:jc w:val="left"/>
        <w:rPr>
          <w:rFonts w:hint="eastAsia" w:ascii="宋体" w:hAnsi="宋体" w:eastAsia="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9</w:t>
      </w:r>
      <w:r>
        <w:rPr>
          <w:rFonts w:hint="eastAsia" w:ascii="宋体" w:hAnsi="宋体" w:eastAsia="宋体" w:cs="宋体"/>
          <w:color w:val="auto"/>
          <w:kern w:val="0"/>
          <w:sz w:val="24"/>
          <w:szCs w:val="24"/>
          <w:highlight w:val="none"/>
          <w:lang w:bidi="ar"/>
        </w:rPr>
        <w:t>.供货地点：</w:t>
      </w:r>
      <w:r>
        <w:rPr>
          <w:rFonts w:hint="eastAsia" w:ascii="宋体" w:hAnsi="宋体" w:cs="宋体"/>
          <w:color w:val="auto"/>
          <w:kern w:val="0"/>
          <w:sz w:val="24"/>
          <w:szCs w:val="24"/>
          <w:highlight w:val="none"/>
          <w:lang w:val="en-US" w:eastAsia="zh-CN" w:bidi="ar"/>
        </w:rPr>
        <w:t>招标人指定地点</w:t>
      </w:r>
      <w:r>
        <w:rPr>
          <w:rFonts w:hint="eastAsia" w:ascii="宋体" w:hAnsi="宋体" w:eastAsia="宋体" w:cs="宋体"/>
          <w:color w:val="auto"/>
          <w:kern w:val="0"/>
          <w:sz w:val="24"/>
          <w:szCs w:val="24"/>
          <w:highlight w:val="none"/>
          <w:lang w:bidi="ar"/>
        </w:rPr>
        <w:t>；</w:t>
      </w:r>
    </w:p>
    <w:p>
      <w:pPr>
        <w:autoSpaceDE w:val="0"/>
        <w:spacing w:line="440" w:lineRule="exact"/>
        <w:ind w:firstLine="480" w:firstLineChars="200"/>
        <w:jc w:val="left"/>
        <w:rPr>
          <w:rFonts w:hint="eastAsia" w:ascii="宋体" w:hAnsi="宋体" w:eastAsia="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10</w:t>
      </w:r>
      <w:r>
        <w:rPr>
          <w:rFonts w:hint="eastAsia" w:ascii="宋体" w:hAnsi="宋体" w:eastAsia="宋体" w:cs="宋体"/>
          <w:color w:val="auto"/>
          <w:kern w:val="0"/>
          <w:sz w:val="24"/>
          <w:szCs w:val="24"/>
          <w:highlight w:val="none"/>
          <w:lang w:bidi="ar"/>
        </w:rPr>
        <w:t>.合同履行期限：自合同签订之日起至合同履行完毕；</w:t>
      </w:r>
    </w:p>
    <w:p>
      <w:pPr>
        <w:autoSpaceDE w:val="0"/>
        <w:spacing w:line="440" w:lineRule="exact"/>
        <w:ind w:firstLine="480" w:firstLineChars="200"/>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bidi="ar"/>
        </w:rPr>
        <w:t>.资格审查方式：资格后审；</w:t>
      </w:r>
    </w:p>
    <w:p>
      <w:pPr>
        <w:autoSpaceDE w:val="0"/>
        <w:spacing w:line="440" w:lineRule="exact"/>
        <w:ind w:firstLine="480" w:firstLineChars="200"/>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eastAsia" w:ascii="宋体" w:hAnsi="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.本项目不接受联合体。</w:t>
      </w:r>
    </w:p>
    <w:p>
      <w:pPr>
        <w:autoSpaceDE w:val="0"/>
        <w:spacing w:line="440" w:lineRule="exact"/>
        <w:rPr>
          <w:rFonts w:ascii="宋体" w:hAnsi="宋体" w:cs="宋体"/>
          <w:color w:val="auto"/>
          <w:kern w:val="0"/>
          <w:sz w:val="24"/>
          <w:highlight w:val="none"/>
        </w:rPr>
      </w:pPr>
      <w:r>
        <w:rPr>
          <w:rFonts w:hint="eastAsia" w:ascii="宋体" w:hAnsi="宋体" w:cs="宋体"/>
          <w:b/>
          <w:color w:val="auto"/>
          <w:kern w:val="0"/>
          <w:sz w:val="24"/>
          <w:highlight w:val="none"/>
          <w:lang w:bidi="ar"/>
        </w:rPr>
        <w:t>二、申请人的资格要求</w:t>
      </w:r>
    </w:p>
    <w:p>
      <w:pPr>
        <w:autoSpaceDE w:val="0"/>
        <w:spacing w:line="440" w:lineRule="exact"/>
        <w:ind w:firstLine="482" w:firstLineChars="200"/>
        <w:rPr>
          <w:rFonts w:ascii="宋体" w:hAnsi="宋体" w:cs="宋体"/>
          <w:color w:val="auto"/>
          <w:kern w:val="0"/>
          <w:sz w:val="24"/>
          <w:highlight w:val="none"/>
          <w:lang w:bidi="ar"/>
        </w:rPr>
      </w:pPr>
      <w:r>
        <w:rPr>
          <w:rFonts w:hint="eastAsia" w:ascii="宋体" w:hAnsi="宋体" w:cs="宋体"/>
          <w:b/>
          <w:bCs/>
          <w:color w:val="auto"/>
          <w:kern w:val="0"/>
          <w:sz w:val="24"/>
          <w:highlight w:val="none"/>
          <w:lang w:bidi="ar"/>
        </w:rPr>
        <w:t>1、满足《中华人民共和国政府采购法》第二十二条规定：</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left="0" w:right="0" w:firstLine="720" w:firstLineChars="3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(1)具有独立承担民事责任的能力；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left="0" w:right="0" w:firstLine="720" w:firstLineChars="3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(2)具有良好的商业信誉和健全的财务会计制度；</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left="0" w:right="0" w:firstLine="720" w:firstLineChars="3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(3)具有履行合同所必需的设备和专业技术能力；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left="0" w:right="0" w:firstLine="720" w:firstLineChars="3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(4)有依法缴纳税收和社会保障资金的良好记录；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left="0" w:right="0" w:firstLine="720" w:firstLineChars="3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(5)参加政府采购活动前三年内，在经营活动中没有重大违法记录；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left="0" w:right="0" w:firstLine="720" w:firstLineChars="3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(6)法律、行政法规规定的其他条件。</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right="0" w:firstLine="482" w:firstLineChars="2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b/>
          <w:bCs/>
          <w:color w:val="auto"/>
          <w:spacing w:val="0"/>
          <w:kern w:val="0"/>
          <w:sz w:val="24"/>
          <w:szCs w:val="24"/>
          <w:highlight w:val="none"/>
          <w:lang w:val="en-US" w:eastAsia="zh-CN" w:bidi="ar"/>
        </w:rPr>
        <w:t>2、落实政府采购政策需满足的资格要求：</w:t>
      </w:r>
      <w:r>
        <w:rPr>
          <w:rFonts w:hint="eastAsia" w:ascii="宋体" w:hAnsi="宋体" w:eastAsia="宋体" w:cs="宋体"/>
          <w:color w:val="auto"/>
          <w:spacing w:val="0"/>
          <w:kern w:val="0"/>
          <w:sz w:val="24"/>
          <w:szCs w:val="24"/>
          <w:highlight w:val="none"/>
          <w:lang w:val="en-US" w:eastAsia="zh-CN" w:bidi="ar"/>
        </w:rPr>
        <w:t xml:space="preserve">本项目属于非专门面向中小企业采购的项目，本次招标活动对于满足国家采购政策要求的投标人按照相关规定的扶持政策执行。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right="0" w:firstLine="480" w:firstLineChars="2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2.1鼓励节能政策：在技术、服务等指标同等条件下，优先采购属于国家公布的节能清单中产品；</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right="0" w:firstLine="480" w:firstLineChars="2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 xml:space="preserve"> 2.2鼓励环保政策：在性能、技术、服务等指标同等条件下，优先采购国家公布的环保产品清单中的产品；</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right="0" w:firstLine="480" w:firstLineChars="200"/>
        <w:jc w:val="both"/>
        <w:textAlignment w:val="auto"/>
        <w:outlineLvl w:val="9"/>
        <w:rPr>
          <w:rFonts w:hint="eastAsia" w:ascii="宋体" w:hAnsi="宋体" w:eastAsia="宋体" w:cs="宋体"/>
          <w:color w:val="auto"/>
          <w:spacing w:val="0"/>
          <w:kern w:val="0"/>
          <w:sz w:val="24"/>
          <w:szCs w:val="24"/>
          <w:highlight w:val="none"/>
          <w:lang w:val="en-US" w:eastAsia="zh-CN" w:bidi="ar"/>
        </w:rPr>
      </w:pPr>
      <w:r>
        <w:rPr>
          <w:rFonts w:hint="eastAsia" w:ascii="宋体" w:hAnsi="宋体" w:eastAsia="宋体" w:cs="宋体"/>
          <w:color w:val="auto"/>
          <w:spacing w:val="0"/>
          <w:kern w:val="0"/>
          <w:sz w:val="24"/>
          <w:szCs w:val="24"/>
          <w:highlight w:val="none"/>
          <w:lang w:val="en-US" w:eastAsia="zh-CN" w:bidi="ar"/>
        </w:rPr>
        <w:t xml:space="preserve"> 2.3扶持中小企业政策：评审时小型和微型企业产品享受10%的价格折扣，监狱企业、残疾人福利性单位视同小微企业；</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left="0" w:right="0" w:firstLine="482" w:firstLineChars="200"/>
        <w:jc w:val="both"/>
        <w:textAlignment w:val="auto"/>
        <w:outlineLvl w:val="9"/>
        <w:rPr>
          <w:rFonts w:hint="eastAsia" w:ascii="宋体" w:hAnsi="宋体" w:eastAsia="宋体" w:cs="宋体"/>
          <w:b w:val="0"/>
          <w:bCs w:val="0"/>
          <w:color w:val="auto"/>
          <w:spacing w:val="0"/>
          <w:kern w:val="0"/>
          <w:sz w:val="24"/>
          <w:szCs w:val="24"/>
          <w:highlight w:val="none"/>
          <w:lang w:val="en-US" w:eastAsia="zh-CN" w:bidi="ar"/>
        </w:rPr>
      </w:pPr>
      <w:r>
        <w:rPr>
          <w:rFonts w:hint="eastAsia" w:ascii="宋体" w:hAnsi="宋体" w:eastAsia="宋体" w:cs="宋体"/>
          <w:b/>
          <w:bCs/>
          <w:color w:val="auto"/>
          <w:spacing w:val="0"/>
          <w:kern w:val="0"/>
          <w:sz w:val="24"/>
          <w:szCs w:val="24"/>
          <w:highlight w:val="none"/>
          <w:lang w:val="en-US" w:eastAsia="zh-CN" w:bidi="ar"/>
        </w:rPr>
        <w:t>3、本项目的特定资格要求：</w:t>
      </w:r>
    </w:p>
    <w:p>
      <w:pPr>
        <w:keepNext w:val="0"/>
        <w:keepLines w:val="0"/>
        <w:pageBreakBefore w:val="0"/>
        <w:kinsoku/>
        <w:wordWrap/>
        <w:overflowPunct/>
        <w:topLinePunct w:val="0"/>
        <w:autoSpaceDE/>
        <w:autoSpaceDN/>
        <w:bidi w:val="0"/>
        <w:adjustRightInd/>
        <w:snapToGrid/>
        <w:spacing w:line="288"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3.1供应商须是具有独立法人资格的企业或其他组织，具有有效营业执照；</w:t>
      </w:r>
    </w:p>
    <w:p>
      <w:pPr>
        <w:keepNext w:val="0"/>
        <w:keepLines w:val="0"/>
        <w:pageBreakBefore w:val="0"/>
        <w:kinsoku/>
        <w:wordWrap/>
        <w:overflowPunct/>
        <w:topLinePunct w:val="0"/>
        <w:autoSpaceDE/>
        <w:autoSpaceDN/>
        <w:bidi w:val="0"/>
        <w:adjustRightInd/>
        <w:snapToGrid/>
        <w:spacing w:line="288"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拒绝列入政府取消投标资格记录期间的企业或个人投标；</w:t>
      </w:r>
    </w:p>
    <w:p>
      <w:pPr>
        <w:keepNext w:val="0"/>
        <w:keepLines w:val="0"/>
        <w:pageBreakBefore w:val="0"/>
        <w:kinsoku/>
        <w:wordWrap/>
        <w:overflowPunct/>
        <w:topLinePunct w:val="0"/>
        <w:autoSpaceDE/>
        <w:autoSpaceDN/>
        <w:bidi w:val="0"/>
        <w:adjustRightInd/>
        <w:snapToGrid/>
        <w:spacing w:line="288"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不得为“信用中国”网站（www.creditchina.gov.cn）中列入失信被执行人和</w:t>
      </w:r>
      <w:r>
        <w:rPr>
          <w:rFonts w:hint="eastAsia" w:ascii="宋体" w:hAnsi="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不得为中国政府采购网（www.ccpg.gov.cn）政府采购严重违法失信行为记录名单中被财政部门禁止参加政府采购活动的供应商（在处罚决定规定的时间和地域范围内）</w:t>
      </w:r>
      <w:r>
        <w:rPr>
          <w:rFonts w:hint="eastAsia" w:ascii="宋体" w:hAnsi="宋体" w:eastAsia="宋体" w:cs="宋体"/>
          <w:color w:val="auto"/>
          <w:sz w:val="24"/>
          <w:szCs w:val="24"/>
          <w:highlight w:val="none"/>
          <w:lang w:val="en-US" w:eastAsia="zh-CN"/>
        </w:rPr>
        <w:t>（详见财库[2016]125号）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在</w:t>
      </w:r>
      <w:r>
        <w:rPr>
          <w:rFonts w:hint="eastAsia" w:ascii="宋体" w:hAnsi="宋体" w:cs="宋体"/>
          <w:color w:val="auto"/>
          <w:sz w:val="24"/>
          <w:szCs w:val="24"/>
          <w:highlight w:val="none"/>
          <w:lang w:val="en-US" w:eastAsia="zh-CN"/>
        </w:rPr>
        <w:t>2020</w:t>
      </w:r>
      <w:r>
        <w:rPr>
          <w:rFonts w:hint="eastAsia" w:ascii="宋体" w:hAnsi="宋体" w:eastAsia="宋体" w:cs="宋体"/>
          <w:color w:val="auto"/>
          <w:sz w:val="24"/>
          <w:szCs w:val="24"/>
          <w:highlight w:val="none"/>
          <w:lang w:val="en-US" w:eastAsia="zh-CN"/>
        </w:rPr>
        <w:t>年至今供应商和其法定代表人在“中国裁判文书网”(wenshu.court.gov.cn)上无行贿犯罪行为；</w:t>
      </w:r>
    </w:p>
    <w:p>
      <w:pPr>
        <w:keepNext w:val="0"/>
        <w:keepLines w:val="0"/>
        <w:pageBreakBefore w:val="0"/>
        <w:kinsoku/>
        <w:wordWrap/>
        <w:overflowPunct/>
        <w:topLinePunct w:val="0"/>
        <w:autoSpaceDE/>
        <w:autoSpaceDN/>
        <w:bidi w:val="0"/>
        <w:adjustRightInd/>
        <w:snapToGrid/>
        <w:spacing w:line="288" w:lineRule="auto"/>
        <w:ind w:firstLine="720" w:firstLineChars="3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单位负责人为同一人或者存在直接控股、管理关系的不同供应商，不得参加同一合同项下的政府采购活动</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288" w:lineRule="auto"/>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参加政府采购活动前三年内，在经营活动中没有重大违法记录。</w:t>
      </w:r>
    </w:p>
    <w:p>
      <w:pPr>
        <w:autoSpaceDE w:val="0"/>
        <w:spacing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bidi="ar"/>
        </w:rPr>
        <w:t>三、获取招标文件</w:t>
      </w:r>
    </w:p>
    <w:p>
      <w:pPr>
        <w:autoSpaceDE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时间：</w:t>
      </w:r>
      <w:r>
        <w:rPr>
          <w:rFonts w:hint="eastAsia" w:ascii="宋体" w:hAnsi="宋体" w:cs="宋体"/>
          <w:color w:val="auto"/>
          <w:kern w:val="0"/>
          <w:sz w:val="24"/>
          <w:szCs w:val="24"/>
          <w:highlight w:val="none"/>
          <w:lang w:eastAsia="zh-CN" w:bidi="ar"/>
        </w:rPr>
        <w:t>202</w:t>
      </w:r>
      <w:r>
        <w:rPr>
          <w:rFonts w:hint="eastAsia" w:ascii="宋体" w:hAnsi="宋体" w:cs="宋体"/>
          <w:color w:val="auto"/>
          <w:kern w:val="0"/>
          <w:sz w:val="24"/>
          <w:szCs w:val="24"/>
          <w:highlight w:val="none"/>
          <w:lang w:val="en-US" w:eastAsia="zh-CN" w:bidi="ar"/>
        </w:rPr>
        <w:t>4</w:t>
      </w:r>
      <w:r>
        <w:rPr>
          <w:rFonts w:hint="eastAsia" w:ascii="宋体" w:hAnsi="宋体" w:cs="宋体"/>
          <w:color w:val="auto"/>
          <w:kern w:val="0"/>
          <w:sz w:val="24"/>
          <w:szCs w:val="24"/>
          <w:highlight w:val="none"/>
          <w:lang w:bidi="ar"/>
        </w:rPr>
        <w:t>年</w:t>
      </w:r>
      <w:r>
        <w:rPr>
          <w:rFonts w:hint="eastAsia" w:ascii="宋体" w:hAnsi="宋体" w:cs="宋体"/>
          <w:color w:val="auto"/>
          <w:kern w:val="0"/>
          <w:sz w:val="24"/>
          <w:szCs w:val="24"/>
          <w:highlight w:val="none"/>
          <w:lang w:val="en-US" w:eastAsia="zh-CN" w:bidi="ar"/>
        </w:rPr>
        <w:t>1</w:t>
      </w:r>
      <w:r>
        <w:rPr>
          <w:rFonts w:hint="eastAsia" w:ascii="宋体" w:hAnsi="宋体" w:cs="宋体"/>
          <w:color w:val="auto"/>
          <w:kern w:val="0"/>
          <w:sz w:val="24"/>
          <w:szCs w:val="24"/>
          <w:highlight w:val="none"/>
          <w:lang w:bidi="ar"/>
        </w:rPr>
        <w:t>月</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日至</w:t>
      </w:r>
      <w:r>
        <w:rPr>
          <w:rFonts w:hint="eastAsia" w:ascii="宋体" w:hAnsi="宋体" w:cs="宋体"/>
          <w:color w:val="auto"/>
          <w:kern w:val="0"/>
          <w:sz w:val="24"/>
          <w:szCs w:val="24"/>
          <w:highlight w:val="none"/>
          <w:lang w:eastAsia="zh-CN" w:bidi="ar"/>
        </w:rPr>
        <w:t>202</w:t>
      </w:r>
      <w:r>
        <w:rPr>
          <w:rFonts w:hint="eastAsia" w:ascii="宋体" w:hAnsi="宋体" w:cs="宋体"/>
          <w:color w:val="auto"/>
          <w:kern w:val="0"/>
          <w:sz w:val="24"/>
          <w:szCs w:val="24"/>
          <w:highlight w:val="none"/>
          <w:lang w:val="en-US" w:eastAsia="zh-CN" w:bidi="ar"/>
        </w:rPr>
        <w:t>4</w:t>
      </w:r>
      <w:r>
        <w:rPr>
          <w:rFonts w:hint="eastAsia" w:ascii="宋体" w:hAnsi="宋体" w:cs="宋体"/>
          <w:color w:val="auto"/>
          <w:kern w:val="0"/>
          <w:sz w:val="24"/>
          <w:szCs w:val="24"/>
          <w:highlight w:val="none"/>
          <w:lang w:bidi="ar"/>
        </w:rPr>
        <w:t>年</w:t>
      </w:r>
      <w:r>
        <w:rPr>
          <w:rFonts w:hint="eastAsia" w:ascii="宋体" w:hAnsi="宋体" w:cs="宋体"/>
          <w:color w:val="auto"/>
          <w:kern w:val="0"/>
          <w:sz w:val="24"/>
          <w:szCs w:val="24"/>
          <w:highlight w:val="none"/>
          <w:lang w:val="en-US" w:eastAsia="zh-CN" w:bidi="ar"/>
        </w:rPr>
        <w:t>1</w:t>
      </w:r>
      <w:r>
        <w:rPr>
          <w:rFonts w:hint="eastAsia" w:ascii="宋体" w:hAnsi="宋体" w:cs="宋体"/>
          <w:color w:val="auto"/>
          <w:kern w:val="0"/>
          <w:sz w:val="24"/>
          <w:szCs w:val="24"/>
          <w:highlight w:val="none"/>
          <w:lang w:bidi="ar"/>
        </w:rPr>
        <w:t>月</w:t>
      </w:r>
      <w:r>
        <w:rPr>
          <w:rFonts w:hint="eastAsia" w:ascii="宋体" w:hAnsi="宋体" w:cs="宋体"/>
          <w:color w:val="auto"/>
          <w:kern w:val="0"/>
          <w:sz w:val="24"/>
          <w:szCs w:val="24"/>
          <w:highlight w:val="none"/>
          <w:lang w:val="en-US" w:eastAsia="zh-CN" w:bidi="ar"/>
        </w:rPr>
        <w:t>9</w:t>
      </w:r>
      <w:r>
        <w:rPr>
          <w:rFonts w:hint="eastAsia" w:ascii="宋体" w:hAnsi="宋体" w:cs="宋体"/>
          <w:color w:val="auto"/>
          <w:kern w:val="0"/>
          <w:sz w:val="24"/>
          <w:szCs w:val="24"/>
          <w:highlight w:val="none"/>
          <w:lang w:bidi="ar"/>
        </w:rPr>
        <w:t>日， 每天上午08:</w:t>
      </w:r>
      <w:r>
        <w:rPr>
          <w:rFonts w:hint="eastAsia" w:ascii="宋体" w:hAnsi="宋体" w:cs="宋体"/>
          <w:color w:val="auto"/>
          <w:kern w:val="0"/>
          <w:sz w:val="24"/>
          <w:szCs w:val="24"/>
          <w:highlight w:val="none"/>
          <w:lang w:val="en-US" w:eastAsia="zh-CN" w:bidi="ar"/>
        </w:rPr>
        <w:t>3</w:t>
      </w:r>
      <w:r>
        <w:rPr>
          <w:rFonts w:hint="eastAsia" w:ascii="宋体" w:hAnsi="宋体" w:cs="宋体"/>
          <w:color w:val="auto"/>
          <w:kern w:val="0"/>
          <w:sz w:val="24"/>
          <w:szCs w:val="24"/>
          <w:highlight w:val="none"/>
          <w:lang w:bidi="ar"/>
        </w:rPr>
        <w:t>0至11:30 ，下午13:</w:t>
      </w:r>
      <w:r>
        <w:rPr>
          <w:rFonts w:hint="eastAsia" w:ascii="宋体" w:hAnsi="宋体" w:cs="宋体"/>
          <w:color w:val="auto"/>
          <w:kern w:val="0"/>
          <w:sz w:val="24"/>
          <w:szCs w:val="24"/>
          <w:highlight w:val="none"/>
          <w:lang w:val="en-US" w:eastAsia="zh-CN" w:bidi="ar"/>
        </w:rPr>
        <w:t>3</w:t>
      </w:r>
      <w:r>
        <w:rPr>
          <w:rFonts w:hint="eastAsia" w:ascii="宋体" w:hAnsi="宋体" w:cs="宋体"/>
          <w:color w:val="auto"/>
          <w:kern w:val="0"/>
          <w:sz w:val="24"/>
          <w:szCs w:val="24"/>
          <w:highlight w:val="none"/>
          <w:lang w:bidi="ar"/>
        </w:rPr>
        <w:t>0至16:00（北京时间，法定节假日除外）</w:t>
      </w:r>
    </w:p>
    <w:p>
      <w:pPr>
        <w:autoSpaceDE w:val="0"/>
        <w:spacing w:line="440" w:lineRule="exact"/>
        <w:ind w:firstLine="480" w:firstLineChars="2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地点：</w:t>
      </w:r>
      <w:r>
        <w:rPr>
          <w:rFonts w:hint="eastAsia" w:ascii="宋体" w:hAnsi="宋体" w:eastAsia="宋体" w:cs="宋体"/>
          <w:color w:val="auto"/>
          <w:sz w:val="24"/>
          <w:highlight w:val="none"/>
          <w:lang w:val="en-US" w:eastAsia="zh-CN"/>
        </w:rPr>
        <w:t>“政采云”平台（https://www.zcygov.cn）</w:t>
      </w:r>
    </w:p>
    <w:p>
      <w:pPr>
        <w:autoSpaceDE w:val="0"/>
        <w:spacing w:line="440" w:lineRule="exact"/>
        <w:ind w:firstLine="480" w:firstLineChars="200"/>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方式：拟参与本项目的供应商，首先在“政采云”平台上免费进行供应商注册（“政采云”供应商注册流程：https://middle.zcygov.cn/v-settle-front/registry），注册后可在“政采云”平台免费</w:t>
      </w:r>
      <w:r>
        <w:rPr>
          <w:rFonts w:hint="eastAsia" w:ascii="宋体" w:hAnsi="宋体" w:eastAsia="宋体" w:cs="宋体"/>
          <w:color w:val="auto"/>
          <w:sz w:val="24"/>
          <w:highlight w:val="none"/>
          <w:lang w:val="zh-CN" w:eastAsia="zh-CN"/>
        </w:rPr>
        <w:t>自行下载招标文件（下载地址：http://</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fldChar w:fldCharType="begin"/>
      </w:r>
      <w:r>
        <w:rPr>
          <w:rFonts w:hint="eastAsia" w:ascii="宋体" w:hAnsi="宋体" w:eastAsia="宋体" w:cs="宋体"/>
          <w:color w:val="auto"/>
          <w:sz w:val="24"/>
          <w:highlight w:val="none"/>
          <w:lang w:val="en-US" w:eastAsia="zh-CN"/>
        </w:rPr>
        <w:instrText xml:space="preserve"> HYPERLINK "http://www.zcygov.cn）征集文件。" </w:instrText>
      </w:r>
      <w:r>
        <w:rPr>
          <w:rFonts w:hint="eastAsia" w:ascii="宋体" w:hAnsi="宋体" w:eastAsia="宋体" w:cs="宋体"/>
          <w:color w:val="auto"/>
          <w:sz w:val="24"/>
          <w:highlight w:val="none"/>
          <w:lang w:val="en-US" w:eastAsia="zh-CN"/>
        </w:rPr>
        <w:fldChar w:fldCharType="separate"/>
      </w:r>
      <w:r>
        <w:rPr>
          <w:rFonts w:hint="eastAsia" w:ascii="宋体" w:hAnsi="宋体" w:eastAsia="宋体" w:cs="宋体"/>
          <w:color w:val="auto"/>
          <w:sz w:val="24"/>
          <w:highlight w:val="none"/>
          <w:lang w:val="en-US" w:eastAsia="zh-CN"/>
        </w:rPr>
        <w:t>www.zcygov.cn</w:t>
      </w:r>
      <w:r>
        <w:rPr>
          <w:rFonts w:hint="eastAsia" w:ascii="宋体" w:hAnsi="宋体" w:eastAsia="宋体" w:cs="宋体"/>
          <w:color w:val="auto"/>
          <w:sz w:val="24"/>
          <w:highlight w:val="none"/>
          <w:lang w:val="en-US" w:eastAsia="zh-CN"/>
        </w:rPr>
        <w:fldChar w:fldCharType="end"/>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下载</w:t>
      </w:r>
      <w:r>
        <w:rPr>
          <w:rFonts w:hint="eastAsia" w:ascii="宋体" w:hAnsi="宋体" w:eastAsia="宋体" w:cs="宋体"/>
          <w:color w:val="auto"/>
          <w:sz w:val="24"/>
          <w:highlight w:val="none"/>
          <w:lang w:val="en-US" w:eastAsia="zh-CN"/>
        </w:rPr>
        <w:t>招标文件</w:t>
      </w:r>
      <w:r>
        <w:rPr>
          <w:rFonts w:hint="eastAsia" w:ascii="宋体" w:hAnsi="宋体" w:eastAsia="宋体" w:cs="宋体"/>
          <w:color w:val="auto"/>
          <w:sz w:val="24"/>
          <w:highlight w:val="none"/>
          <w:lang w:val="zh-CN" w:eastAsia="zh-CN"/>
        </w:rPr>
        <w:t>操作路径：登录“政采云”平台-</w:t>
      </w:r>
      <w:r>
        <w:rPr>
          <w:rFonts w:hint="eastAsia" w:ascii="宋体" w:hAnsi="宋体" w:eastAsia="宋体" w:cs="宋体"/>
          <w:color w:val="auto"/>
          <w:sz w:val="24"/>
          <w:highlight w:val="none"/>
          <w:lang w:val="en-US" w:eastAsia="zh-CN"/>
        </w:rPr>
        <w:t>登录账号-我的工作台-项目采购-获取采购文件</w:t>
      </w:r>
      <w:r>
        <w:rPr>
          <w:rFonts w:hint="eastAsia" w:ascii="宋体" w:hAnsi="宋体" w:eastAsia="宋体" w:cs="宋体"/>
          <w:color w:val="auto"/>
          <w:sz w:val="24"/>
          <w:highlight w:val="none"/>
          <w:lang w:val="zh-CN" w:eastAsia="zh-CN"/>
        </w:rPr>
        <w:t>-找到本项目-点击“申请获取文件”）。</w:t>
      </w:r>
    </w:p>
    <w:p>
      <w:pPr>
        <w:autoSpaceDE w:val="0"/>
        <w:spacing w:line="440" w:lineRule="exact"/>
        <w:ind w:firstLine="480" w:firstLineChars="200"/>
        <w:rPr>
          <w:rFonts w:hint="eastAsia"/>
          <w:lang w:val="en-US" w:eastAsia="zh-CN"/>
        </w:rPr>
      </w:pPr>
      <w:r>
        <w:rPr>
          <w:rFonts w:hint="eastAsia" w:ascii="宋体" w:hAnsi="宋体" w:eastAsia="宋体" w:cs="宋体"/>
          <w:color w:val="auto"/>
          <w:sz w:val="24"/>
          <w:highlight w:val="none"/>
          <w:lang w:val="zh-CN" w:eastAsia="zh-CN"/>
        </w:rPr>
        <w:t>供应商根据免费下载的招标文件内容决定是否参与本次投标活动，如确定参与本次投标活动，请于本项目投标文件提交截止时间前按招标文件中规定的方式缴存投标保证金或提交保函，未按上述要求办理的，评审时一律按无效文件处理。</w:t>
      </w:r>
    </w:p>
    <w:p>
      <w:pPr>
        <w:autoSpaceDE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售价：0</w:t>
      </w:r>
      <w:r>
        <w:rPr>
          <w:rFonts w:hint="eastAsia" w:ascii="宋体" w:hAnsi="宋体" w:cs="宋体"/>
          <w:color w:val="auto"/>
          <w:kern w:val="0"/>
          <w:sz w:val="24"/>
          <w:szCs w:val="24"/>
          <w:highlight w:val="none"/>
          <w:lang w:val="en-US" w:eastAsia="zh-CN" w:bidi="ar"/>
        </w:rPr>
        <w:t>.00元</w:t>
      </w:r>
    </w:p>
    <w:p>
      <w:pPr>
        <w:autoSpaceDE w:val="0"/>
        <w:spacing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bidi="ar"/>
        </w:rPr>
        <w:t>四、提交投标文件截止时间、开标时间和地点</w:t>
      </w:r>
    </w:p>
    <w:p>
      <w:pPr>
        <w:autoSpaceDE w:val="0"/>
        <w:spacing w:line="440" w:lineRule="exact"/>
        <w:ind w:firstLine="480" w:firstLineChars="2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投标文件截止时间、开标时间：</w:t>
      </w:r>
      <w:r>
        <w:rPr>
          <w:rFonts w:hint="eastAsia" w:ascii="宋体" w:hAnsi="宋体" w:cs="宋体"/>
          <w:color w:val="auto"/>
          <w:kern w:val="0"/>
          <w:sz w:val="24"/>
          <w:szCs w:val="24"/>
          <w:highlight w:val="none"/>
          <w:lang w:eastAsia="zh-CN" w:bidi="ar"/>
        </w:rPr>
        <w:t>202</w:t>
      </w:r>
      <w:r>
        <w:rPr>
          <w:rFonts w:hint="eastAsia" w:ascii="宋体" w:hAnsi="宋体" w:cs="宋体"/>
          <w:color w:val="auto"/>
          <w:kern w:val="0"/>
          <w:sz w:val="24"/>
          <w:szCs w:val="24"/>
          <w:highlight w:val="none"/>
          <w:lang w:val="en-US" w:eastAsia="zh-CN" w:bidi="ar"/>
        </w:rPr>
        <w:t>4</w:t>
      </w:r>
      <w:r>
        <w:rPr>
          <w:rFonts w:hint="eastAsia" w:ascii="宋体" w:hAnsi="宋体" w:cs="宋体"/>
          <w:color w:val="auto"/>
          <w:kern w:val="0"/>
          <w:sz w:val="24"/>
          <w:szCs w:val="24"/>
          <w:highlight w:val="none"/>
          <w:lang w:eastAsia="zh-CN" w:bidi="ar"/>
        </w:rPr>
        <w:t>年1月</w:t>
      </w:r>
      <w:r>
        <w:rPr>
          <w:rFonts w:hint="eastAsia" w:ascii="宋体" w:hAnsi="宋体" w:cs="宋体"/>
          <w:color w:val="auto"/>
          <w:kern w:val="0"/>
          <w:sz w:val="24"/>
          <w:szCs w:val="24"/>
          <w:highlight w:val="none"/>
          <w:lang w:val="en-US" w:eastAsia="zh-CN" w:bidi="ar"/>
        </w:rPr>
        <w:t>23</w:t>
      </w:r>
      <w:r>
        <w:rPr>
          <w:rFonts w:hint="eastAsia" w:ascii="宋体" w:hAnsi="宋体" w:cs="宋体"/>
          <w:color w:val="auto"/>
          <w:kern w:val="0"/>
          <w:sz w:val="24"/>
          <w:szCs w:val="24"/>
          <w:highlight w:val="none"/>
          <w:lang w:eastAsia="zh-CN" w:bidi="ar"/>
        </w:rPr>
        <w:t>日09时30分</w:t>
      </w:r>
      <w:r>
        <w:rPr>
          <w:rFonts w:hint="eastAsia" w:ascii="宋体" w:hAnsi="宋体" w:cs="宋体"/>
          <w:color w:val="auto"/>
          <w:kern w:val="0"/>
          <w:sz w:val="24"/>
          <w:szCs w:val="24"/>
          <w:highlight w:val="none"/>
          <w:lang w:bidi="ar"/>
        </w:rPr>
        <w:t>（北京时间）</w:t>
      </w:r>
    </w:p>
    <w:p>
      <w:pPr>
        <w:autoSpaceDE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地点：</w:t>
      </w:r>
      <w:r>
        <w:rPr>
          <w:rFonts w:hint="eastAsia" w:ascii="宋体" w:hAnsi="宋体" w:eastAsia="宋体" w:cs="宋体"/>
          <w:color w:val="auto"/>
          <w:sz w:val="24"/>
          <w:szCs w:val="24"/>
          <w:highlight w:val="none"/>
          <w:lang w:eastAsia="zh-CN"/>
        </w:rPr>
        <w:t>请登录“政采云”平台(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)上传投标，逾期未上传电子响应文件，将不予受理。</w:t>
      </w:r>
    </w:p>
    <w:p>
      <w:pPr>
        <w:autoSpaceDE w:val="0"/>
        <w:spacing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bidi="ar"/>
        </w:rPr>
        <w:t>五、公告期限</w:t>
      </w:r>
    </w:p>
    <w:p>
      <w:pPr>
        <w:autoSpaceDE w:val="0"/>
        <w:spacing w:line="440" w:lineRule="exact"/>
        <w:ind w:firstLine="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自本公告发布之日起5个工作日。</w:t>
      </w:r>
    </w:p>
    <w:p>
      <w:pPr>
        <w:autoSpaceDE w:val="0"/>
        <w:spacing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bidi="ar"/>
        </w:rPr>
        <w:t>六、其它补充事宜</w:t>
      </w:r>
    </w:p>
    <w:p>
      <w:pPr>
        <w:keepNext w:val="0"/>
        <w:keepLines w:val="0"/>
        <w:pageBreakBefore w:val="0"/>
        <w:widowControl/>
        <w:kinsoku/>
        <w:wordWrap w:val="0"/>
        <w:overflowPunct/>
        <w:topLinePunct w:val="0"/>
        <w:autoSpaceDE w:val="0"/>
        <w:autoSpaceDN/>
        <w:bidi w:val="0"/>
        <w:adjustRightInd/>
        <w:snapToGrid/>
        <w:spacing w:line="44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eastAsia="zh-CN"/>
        </w:rPr>
        <w:t>.1本项目为全流程电子化项目，通过“政采云”平台 (</w:t>
      </w:r>
      <w:r>
        <w:rPr>
          <w:rFonts w:hint="eastAsia" w:ascii="宋体" w:hAnsi="宋体" w:cs="宋体"/>
          <w:color w:val="auto"/>
          <w:sz w:val="24"/>
          <w:highlight w:val="none"/>
          <w:lang w:val="zh-CN" w:eastAsia="zh-CN"/>
        </w:rPr>
        <w:t>https://www.zcygov.cn</w:t>
      </w:r>
      <w:r>
        <w:rPr>
          <w:rFonts w:hint="eastAsia" w:ascii="宋体" w:hAnsi="宋体" w:eastAsia="宋体" w:cs="宋体"/>
          <w:color w:val="auto"/>
          <w:sz w:val="24"/>
          <w:highlight w:val="none"/>
          <w:lang w:val="zh-CN" w:eastAsia="zh-CN"/>
        </w:rPr>
        <w:t>) 实行在线电子投标，</w:t>
      </w: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lang w:val="zh-CN" w:eastAsia="zh-CN"/>
        </w:rPr>
        <w:t>应先安装“政采云投标客户端”(请自行前往“政采云”平台进行下载，政采云投标客户端</w:t>
      </w:r>
      <w:r>
        <w:rPr>
          <w:rFonts w:hint="eastAsia" w:ascii="宋体" w:hAnsi="宋体" w:eastAsia="宋体" w:cs="宋体"/>
          <w:color w:val="auto"/>
          <w:sz w:val="24"/>
          <w:highlight w:val="none"/>
          <w:lang w:val="en-US" w:eastAsia="zh-Hans"/>
        </w:rPr>
        <w:t>及</w:t>
      </w:r>
      <w:r>
        <w:rPr>
          <w:rFonts w:hint="eastAsia" w:ascii="宋体" w:hAnsi="宋体" w:eastAsia="宋体" w:cs="宋体"/>
          <w:color w:val="auto"/>
          <w:sz w:val="24"/>
          <w:highlight w:val="none"/>
          <w:lang w:val="en-US" w:eastAsia="zh-CN"/>
        </w:rPr>
        <w:t>吉林安信</w:t>
      </w:r>
      <w:r>
        <w:rPr>
          <w:rFonts w:hint="default" w:ascii="宋体" w:hAnsi="宋体" w:eastAsia="宋体" w:cs="宋体"/>
          <w:color w:val="auto"/>
          <w:sz w:val="24"/>
          <w:highlight w:val="none"/>
          <w:lang w:val="zh-CN" w:eastAsia="zh-Hans"/>
        </w:rPr>
        <w:t>CA</w:t>
      </w:r>
      <w:r>
        <w:rPr>
          <w:rFonts w:hint="eastAsia" w:ascii="宋体" w:hAnsi="宋体" w:eastAsia="宋体" w:cs="宋体"/>
          <w:color w:val="auto"/>
          <w:sz w:val="24"/>
          <w:highlight w:val="none"/>
          <w:lang w:val="en-US" w:eastAsia="zh-Hans"/>
        </w:rPr>
        <w:t>驱动下载地址</w:t>
      </w:r>
      <w:r>
        <w:rPr>
          <w:rFonts w:hint="default" w:ascii="宋体" w:hAnsi="宋体" w:eastAsia="宋体" w:cs="宋体"/>
          <w:color w:val="auto"/>
          <w:sz w:val="24"/>
          <w:highlight w:val="none"/>
          <w:lang w:val="zh-CN" w:eastAsia="zh-Hans"/>
        </w:rPr>
        <w:t>：</w:t>
      </w:r>
      <w:r>
        <w:rPr>
          <w:rFonts w:hint="eastAsia" w:ascii="宋体" w:hAnsi="宋体" w:eastAsia="宋体" w:cs="宋体"/>
          <w:color w:val="auto"/>
          <w:sz w:val="24"/>
          <w:highlight w:val="none"/>
          <w:lang w:val="zh-CN" w:eastAsia="zh-CN"/>
        </w:rPr>
        <w:t>https://customer.zcygov.cn/CA-driver-download?utm=web-login-front.52cebfa2.0.0.04df4040034511edaac705fda12edb43 )，并按照本项目</w:t>
      </w:r>
      <w:r>
        <w:rPr>
          <w:rFonts w:hint="eastAsia" w:ascii="宋体" w:hAnsi="宋体" w:eastAsia="宋体" w:cs="宋体"/>
          <w:color w:val="auto"/>
          <w:sz w:val="24"/>
          <w:highlight w:val="none"/>
          <w:lang w:val="en-US" w:eastAsia="zh-CN"/>
        </w:rPr>
        <w:t>招标</w:t>
      </w:r>
      <w:r>
        <w:rPr>
          <w:rFonts w:hint="eastAsia" w:ascii="宋体" w:hAnsi="宋体" w:eastAsia="宋体" w:cs="宋体"/>
          <w:color w:val="auto"/>
          <w:sz w:val="24"/>
          <w:highlight w:val="none"/>
          <w:lang w:val="zh-CN" w:eastAsia="zh-CN"/>
        </w:rPr>
        <w:t>文件和“政采云”平台的要求编制、加密投标文件后在投标文件提交截止时间前通过网络上传至“政采云”平台，</w:t>
      </w: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lang w:val="zh-CN" w:eastAsia="zh-CN"/>
        </w:rPr>
        <w:t>在“政采云”平台提交电子版</w:t>
      </w:r>
      <w:r>
        <w:rPr>
          <w:rFonts w:hint="eastAsia" w:ascii="宋体" w:hAnsi="宋体" w:eastAsia="宋体" w:cs="宋体"/>
          <w:color w:val="auto"/>
          <w:sz w:val="24"/>
          <w:highlight w:val="none"/>
          <w:lang w:val="en-US" w:eastAsia="zh-CN"/>
        </w:rPr>
        <w:t>投标</w:t>
      </w:r>
      <w:r>
        <w:rPr>
          <w:rFonts w:hint="eastAsia" w:ascii="宋体" w:hAnsi="宋体" w:eastAsia="宋体" w:cs="宋体"/>
          <w:color w:val="auto"/>
          <w:sz w:val="24"/>
          <w:highlight w:val="none"/>
          <w:lang w:val="zh-CN" w:eastAsia="zh-CN"/>
        </w:rPr>
        <w:t>文件时，请填写参加开</w:t>
      </w:r>
      <w:r>
        <w:rPr>
          <w:rFonts w:hint="eastAsia" w:ascii="宋体" w:hAnsi="宋体" w:eastAsia="宋体" w:cs="宋体"/>
          <w:color w:val="auto"/>
          <w:sz w:val="24"/>
          <w:highlight w:val="none"/>
          <w:lang w:val="en-US" w:eastAsia="zh-CN"/>
        </w:rPr>
        <w:t>启</w:t>
      </w:r>
      <w:r>
        <w:rPr>
          <w:rFonts w:hint="eastAsia" w:ascii="宋体" w:hAnsi="宋体" w:eastAsia="宋体" w:cs="宋体"/>
          <w:color w:val="auto"/>
          <w:sz w:val="24"/>
          <w:highlight w:val="none"/>
          <w:lang w:val="zh-CN" w:eastAsia="zh-CN"/>
        </w:rPr>
        <w:t>活动经办人联系方式。</w:t>
      </w:r>
    </w:p>
    <w:p>
      <w:pPr>
        <w:autoSpaceDE w:val="0"/>
        <w:spacing w:line="440" w:lineRule="exact"/>
        <w:ind w:firstLine="480" w:firstLineChars="200"/>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6.2</w:t>
      </w:r>
      <w:r>
        <w:rPr>
          <w:rFonts w:hint="eastAsia" w:ascii="宋体" w:hAnsi="宋体" w:eastAsia="宋体" w:cs="宋体"/>
          <w:color w:val="auto"/>
          <w:sz w:val="24"/>
          <w:highlight w:val="none"/>
          <w:lang w:val="zh-CN" w:eastAsia="zh-CN"/>
        </w:rPr>
        <w:t>电子</w:t>
      </w:r>
      <w:r>
        <w:rPr>
          <w:rFonts w:hint="eastAsia" w:ascii="宋体" w:hAnsi="宋体" w:eastAsia="宋体" w:cs="宋体"/>
          <w:color w:val="auto"/>
          <w:sz w:val="24"/>
          <w:highlight w:val="none"/>
          <w:lang w:val="en-US" w:eastAsia="zh-CN"/>
        </w:rPr>
        <w:t>投标</w:t>
      </w:r>
      <w:r>
        <w:rPr>
          <w:rFonts w:hint="eastAsia" w:ascii="宋体" w:hAnsi="宋体" w:eastAsia="宋体" w:cs="宋体"/>
          <w:color w:val="auto"/>
          <w:sz w:val="24"/>
          <w:highlight w:val="none"/>
          <w:lang w:val="zh-CN" w:eastAsia="zh-CN"/>
        </w:rPr>
        <w:t>文件制作需要基于“政采云”平台获取的</w:t>
      </w:r>
      <w:r>
        <w:rPr>
          <w:rFonts w:hint="eastAsia" w:ascii="宋体" w:hAnsi="宋体" w:eastAsia="宋体" w:cs="宋体"/>
          <w:color w:val="auto"/>
          <w:sz w:val="24"/>
          <w:highlight w:val="none"/>
          <w:lang w:val="en-US" w:eastAsia="zh-CN"/>
        </w:rPr>
        <w:t>招标</w:t>
      </w:r>
      <w:r>
        <w:rPr>
          <w:rFonts w:hint="eastAsia" w:ascii="宋体" w:hAnsi="宋体" w:eastAsia="宋体" w:cs="宋体"/>
          <w:color w:val="auto"/>
          <w:sz w:val="24"/>
          <w:highlight w:val="none"/>
          <w:lang w:val="zh-CN" w:eastAsia="zh-CN"/>
        </w:rPr>
        <w:t>文件进行制作，</w:t>
      </w:r>
      <w:r>
        <w:rPr>
          <w:rFonts w:hint="eastAsia" w:ascii="宋体" w:hAnsi="宋体" w:eastAsia="宋体" w:cs="宋体"/>
          <w:color w:val="auto"/>
          <w:sz w:val="24"/>
          <w:highlight w:val="none"/>
          <w:lang w:val="en-US" w:eastAsia="zh-CN"/>
        </w:rPr>
        <w:t>制作投标文件时需要完成CA与账号的绑定。</w:t>
      </w:r>
      <w:r>
        <w:rPr>
          <w:rFonts w:hint="eastAsia" w:ascii="宋体" w:hAnsi="宋体" w:eastAsia="宋体" w:cs="宋体"/>
          <w:color w:val="auto"/>
          <w:sz w:val="24"/>
          <w:highlight w:val="none"/>
          <w:lang w:val="zh-CN" w:eastAsia="zh-CN"/>
        </w:rPr>
        <w:t>未办理CA的供应商，请先免费申请CA（CA申请流程：http://www.anxinca.com/kehu/zcy/kh-zcy-zsshenqing.html ；选择吉林省公共资源</w:t>
      </w:r>
      <w:r>
        <w:rPr>
          <w:rFonts w:hint="eastAsia" w:ascii="宋体" w:hAnsi="宋体" w:eastAsia="宋体" w:cs="宋体"/>
          <w:color w:val="auto"/>
          <w:sz w:val="24"/>
          <w:highlight w:val="none"/>
          <w:lang w:val="en-US" w:eastAsia="zh-CN"/>
        </w:rPr>
        <w:t>-供应商后按具体操作流程办理</w:t>
      </w:r>
      <w:r>
        <w:rPr>
          <w:rFonts w:hint="eastAsia" w:ascii="宋体" w:hAnsi="宋体" w:eastAsia="宋体" w:cs="宋体"/>
          <w:color w:val="auto"/>
          <w:sz w:val="24"/>
          <w:highlight w:val="none"/>
          <w:lang w:val="zh-CN" w:eastAsia="zh-CN"/>
        </w:rPr>
        <w:t>），并</w:t>
      </w:r>
      <w:r>
        <w:rPr>
          <w:rFonts w:hint="eastAsia" w:ascii="宋体" w:hAnsi="宋体" w:eastAsia="宋体" w:cs="宋体"/>
          <w:color w:val="auto"/>
          <w:sz w:val="24"/>
          <w:highlight w:val="none"/>
          <w:lang w:val="en-US" w:eastAsia="zh-CN"/>
        </w:rPr>
        <w:t>完成CA与账号绑定（</w:t>
      </w:r>
      <w:r>
        <w:rPr>
          <w:rFonts w:hint="eastAsia" w:ascii="宋体" w:hAnsi="宋体" w:eastAsia="宋体" w:cs="宋体"/>
          <w:color w:val="auto"/>
          <w:sz w:val="24"/>
          <w:highlight w:val="none"/>
          <w:lang w:val="zh-CN" w:eastAsia="zh-CN"/>
        </w:rPr>
        <w:t xml:space="preserve"> CA绑定政采云平台流程：我的工作台-系统管理-CA管理-CA绑定与解绑；安信CA的安装要确保《电子签章》，《安信CA签名工具https版》这两个程序以管理员身份运行后再进行绑定以及签章操作，安信CA客服电话：0431-85177688</w:t>
      </w:r>
      <w:r>
        <w:rPr>
          <w:rFonts w:hint="eastAsia" w:ascii="宋体" w:hAnsi="宋体" w:eastAsia="宋体" w:cs="宋体"/>
          <w:color w:val="auto"/>
          <w:sz w:val="24"/>
          <w:highlight w:val="none"/>
          <w:lang w:val="en-US" w:eastAsia="zh-CN"/>
        </w:rPr>
        <w:t>）。</w:t>
      </w:r>
    </w:p>
    <w:p>
      <w:pPr>
        <w:autoSpaceDE w:val="0"/>
        <w:spacing w:line="440" w:lineRule="exact"/>
        <w:ind w:firstLine="480" w:firstLineChars="200"/>
        <w:rPr>
          <w:rFonts w:hint="eastAsia" w:ascii="宋体" w:hAnsi="宋体" w:eastAsia="宋体" w:cs="宋体"/>
          <w:color w:val="auto"/>
          <w:sz w:val="24"/>
          <w:highlight w:val="yellow"/>
          <w:lang w:val="en-US"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zh-CN" w:eastAsia="zh-CN"/>
        </w:rPr>
        <w:t>投标文件提交截止时间（开标时间）和地点：投标文件提交截止时间为</w:t>
      </w:r>
      <w:r>
        <w:rPr>
          <w:rFonts w:hint="eastAsia" w:ascii="宋体" w:hAnsi="宋体" w:cs="宋体"/>
          <w:color w:val="auto"/>
          <w:sz w:val="24"/>
          <w:highlight w:val="none"/>
          <w:lang w:val="en-US" w:eastAsia="zh-CN"/>
        </w:rPr>
        <w:t>2024年1月23日09时30分</w:t>
      </w:r>
      <w:r>
        <w:rPr>
          <w:rFonts w:hint="eastAsia" w:ascii="宋体" w:hAnsi="宋体" w:eastAsia="宋体" w:cs="宋体"/>
          <w:color w:val="auto"/>
          <w:sz w:val="24"/>
          <w:highlight w:val="none"/>
          <w:lang w:val="zh-CN" w:eastAsia="zh-CN"/>
        </w:rPr>
        <w:t>，编制、加密后的投标文件须在投标文件提交截止时间前通过网络上传至“政采云”平台，逾期未上传电子投标文件，将不予受理。</w:t>
      </w:r>
    </w:p>
    <w:p>
      <w:pPr>
        <w:autoSpaceDE w:val="0"/>
        <w:spacing w:line="440" w:lineRule="exact"/>
        <w:ind w:firstLine="480" w:firstLineChars="200"/>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eastAsia="zh-CN"/>
        </w:rPr>
        <w:t>.4远程不见面开标具体要求：</w:t>
      </w:r>
    </w:p>
    <w:p>
      <w:pPr>
        <w:autoSpaceDE w:val="0"/>
        <w:spacing w:line="440" w:lineRule="exact"/>
        <w:ind w:firstLine="480" w:firstLineChars="200"/>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eastAsia="zh-CN"/>
        </w:rPr>
        <w:t>.4.1开标项目的时间均以国家授时中心发布的时间为准。</w:t>
      </w:r>
    </w:p>
    <w:p>
      <w:pPr>
        <w:autoSpaceDE w:val="0"/>
        <w:spacing w:line="440" w:lineRule="exact"/>
        <w:ind w:firstLine="480" w:firstLineChars="200"/>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eastAsia="zh-CN"/>
        </w:rPr>
        <w:t>.4.</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zh-CN" w:eastAsia="zh-CN"/>
        </w:rPr>
        <w:t>依照招标文件的规定完成电子投标文件的编制和提交。如未按招标文件要求编制、提交电子投标文件，将可能导致否决投标，其后果由供应商自负。</w:t>
      </w:r>
    </w:p>
    <w:p>
      <w:pPr>
        <w:autoSpaceDE w:val="0"/>
        <w:spacing w:line="440" w:lineRule="exact"/>
        <w:ind w:firstLine="480" w:firstLineChars="200"/>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eastAsia="zh-CN"/>
        </w:rPr>
        <w:t>.4.</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zh-CN" w:eastAsia="zh-CN"/>
        </w:rPr>
        <w:t>供应商应充分考虑到网络及系统平台可能存在的突发状况，在投标文件编制完成后尽早完成上传。</w:t>
      </w:r>
    </w:p>
    <w:p>
      <w:pPr>
        <w:autoSpaceDE w:val="0"/>
        <w:spacing w:line="440" w:lineRule="exact"/>
        <w:ind w:firstLine="480" w:firstLineChars="200"/>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eastAsia="zh-CN"/>
        </w:rPr>
        <w:t>.4.</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val="zh-CN" w:eastAsia="zh-CN"/>
        </w:rPr>
        <w:t>开标当日，供应商不必抵达开标现场，须于投标文件提交截止时间前登录系统，进入所参与项目。投标文件提交截止时间后，通过系统开启投标文件解密的指令，供应商可在任意地点按规定时间自行实施远程解密，解密限定在规定时间内完成。</w:t>
      </w:r>
    </w:p>
    <w:p>
      <w:pPr>
        <w:autoSpaceDE w:val="0"/>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eastAsia="zh-CN"/>
        </w:rPr>
        <w:t>.4.</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val="zh-CN" w:eastAsia="zh-CN"/>
        </w:rPr>
        <w:t>供应商必须使用能正确解密投标文件的CA在规定的时间内完成远程解密（</w:t>
      </w:r>
      <w:r>
        <w:rPr>
          <w:rFonts w:hint="eastAsia" w:ascii="宋体" w:hAnsi="宋体" w:eastAsia="宋体" w:cs="宋体"/>
          <w:color w:val="auto"/>
          <w:sz w:val="24"/>
          <w:highlight w:val="none"/>
          <w:lang w:val="en-US" w:eastAsia="zh-Hans"/>
        </w:rPr>
        <w:t>如遇见</w:t>
      </w:r>
      <w:r>
        <w:rPr>
          <w:rFonts w:hint="default" w:ascii="宋体" w:hAnsi="宋体" w:eastAsia="宋体" w:cs="宋体"/>
          <w:color w:val="auto"/>
          <w:sz w:val="24"/>
          <w:highlight w:val="none"/>
          <w:lang w:val="zh-CN" w:eastAsia="zh-Hans"/>
        </w:rPr>
        <w:t>CA</w:t>
      </w:r>
      <w:r>
        <w:rPr>
          <w:rFonts w:hint="eastAsia" w:ascii="宋体" w:hAnsi="宋体" w:eastAsia="宋体" w:cs="宋体"/>
          <w:color w:val="auto"/>
          <w:sz w:val="24"/>
          <w:highlight w:val="none"/>
          <w:lang w:val="en-US" w:eastAsia="zh-Hans"/>
        </w:rPr>
        <w:t>故障无法解密可联系</w:t>
      </w:r>
      <w:r>
        <w:rPr>
          <w:rFonts w:hint="eastAsia" w:ascii="宋体" w:hAnsi="宋体" w:eastAsia="宋体" w:cs="宋体"/>
          <w:color w:val="auto"/>
          <w:sz w:val="24"/>
          <w:highlight w:val="none"/>
          <w:lang w:val="en-US" w:eastAsia="zh-CN"/>
        </w:rPr>
        <w:t>客服。</w:t>
      </w:r>
      <w:r>
        <w:rPr>
          <w:rFonts w:hint="default" w:ascii="宋体" w:hAnsi="宋体" w:eastAsia="宋体" w:cs="宋体"/>
          <w:color w:val="auto"/>
          <w:sz w:val="24"/>
          <w:highlight w:val="none"/>
          <w:lang w:val="zh-CN" w:eastAsia="zh-Hans"/>
        </w:rPr>
        <w:t>CA</w:t>
      </w:r>
      <w:r>
        <w:rPr>
          <w:rFonts w:hint="eastAsia" w:ascii="宋体" w:hAnsi="宋体" w:eastAsia="宋体" w:cs="宋体"/>
          <w:color w:val="auto"/>
          <w:sz w:val="24"/>
          <w:highlight w:val="none"/>
          <w:lang w:val="en-US" w:eastAsia="zh-Hans"/>
        </w:rPr>
        <w:t>安信客服</w:t>
      </w:r>
      <w:r>
        <w:rPr>
          <w:rFonts w:hint="default" w:ascii="宋体" w:hAnsi="宋体" w:eastAsia="宋体" w:cs="宋体"/>
          <w:color w:val="auto"/>
          <w:sz w:val="24"/>
          <w:highlight w:val="none"/>
          <w:lang w:val="zh-CN" w:eastAsia="zh-Hans"/>
        </w:rPr>
        <w:t>：</w:t>
      </w:r>
      <w:r>
        <w:rPr>
          <w:rFonts w:hint="eastAsia" w:ascii="宋体" w:hAnsi="宋体" w:eastAsia="宋体" w:cs="宋体"/>
          <w:color w:val="auto"/>
          <w:sz w:val="24"/>
          <w:highlight w:val="none"/>
          <w:lang w:val="zh-CN" w:eastAsia="zh-CN"/>
        </w:rPr>
        <w:t>0431-85177688</w:t>
      </w:r>
      <w:r>
        <w:rPr>
          <w:rFonts w:hint="default" w:ascii="宋体" w:hAnsi="宋体" w:eastAsia="宋体" w:cs="宋体"/>
          <w:color w:val="auto"/>
          <w:sz w:val="24"/>
          <w:highlight w:val="none"/>
          <w:lang w:val="zh-CN" w:eastAsia="zh-CN"/>
        </w:rPr>
        <w:t>，</w:t>
      </w:r>
      <w:r>
        <w:rPr>
          <w:rFonts w:hint="eastAsia" w:ascii="宋体" w:hAnsi="宋体" w:eastAsia="宋体" w:cs="宋体"/>
          <w:color w:val="auto"/>
          <w:sz w:val="24"/>
          <w:highlight w:val="none"/>
          <w:lang w:val="en-US" w:eastAsia="zh-Hans"/>
        </w:rPr>
        <w:t>政</w:t>
      </w:r>
      <w:r>
        <w:rPr>
          <w:rFonts w:hint="eastAsia" w:ascii="宋体" w:hAnsi="宋体" w:eastAsia="宋体" w:cs="宋体"/>
          <w:color w:val="auto"/>
          <w:sz w:val="24"/>
          <w:highlight w:val="none"/>
          <w:lang w:val="en-US" w:eastAsia="zh-CN"/>
        </w:rPr>
        <w:t>采</w:t>
      </w:r>
      <w:r>
        <w:rPr>
          <w:rFonts w:hint="eastAsia" w:ascii="宋体" w:hAnsi="宋体" w:eastAsia="宋体" w:cs="宋体"/>
          <w:color w:val="auto"/>
          <w:sz w:val="24"/>
          <w:highlight w:val="none"/>
          <w:lang w:val="en-US" w:eastAsia="zh-Hans"/>
        </w:rPr>
        <w:t>云客服</w:t>
      </w:r>
      <w:r>
        <w:rPr>
          <w:rFonts w:hint="default" w:ascii="宋体" w:hAnsi="宋体" w:eastAsia="宋体" w:cs="宋体"/>
          <w:color w:val="auto"/>
          <w:sz w:val="24"/>
          <w:highlight w:val="none"/>
          <w:lang w:val="zh-CN" w:eastAsia="zh-Hans"/>
        </w:rPr>
        <w:t>：95763</w:t>
      </w:r>
      <w:r>
        <w:rPr>
          <w:rFonts w:hint="eastAsia" w:ascii="宋体" w:hAnsi="宋体" w:eastAsia="宋体" w:cs="宋体"/>
          <w:color w:val="auto"/>
          <w:sz w:val="24"/>
          <w:highlight w:val="none"/>
          <w:lang w:val="zh-CN" w:eastAsia="zh-CN"/>
        </w:rPr>
        <w:t>），因供应商原因未能解密、解密失败或解密超时，视为供应商撤销其投标文件；因招标人或系统原因，导致无法按时完成投标文件解密或开标、评标工作无法进行的，可根据实际情况相应延迟解密时间或调整开标、评标时间。</w:t>
      </w:r>
    </w:p>
    <w:p>
      <w:pPr>
        <w:autoSpaceDE w:val="0"/>
        <w:spacing w:line="440" w:lineRule="exact"/>
        <w:ind w:firstLine="480" w:firstLineChars="200"/>
        <w:rPr>
          <w:rFonts w:hint="eastAsia" w:ascii="宋体" w:hAnsi="宋体" w:eastAsia="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6.5</w:t>
      </w:r>
      <w:r>
        <w:rPr>
          <w:rFonts w:hint="eastAsia" w:ascii="宋体" w:hAnsi="宋体" w:cs="宋体"/>
          <w:color w:val="auto"/>
          <w:kern w:val="0"/>
          <w:sz w:val="24"/>
          <w:szCs w:val="24"/>
          <w:highlight w:val="none"/>
          <w:lang w:bidi="ar"/>
        </w:rPr>
        <w:t>本次</w:t>
      </w:r>
      <w:r>
        <w:rPr>
          <w:rFonts w:hint="eastAsia" w:ascii="宋体" w:hAnsi="宋体" w:cs="宋体"/>
          <w:color w:val="auto"/>
          <w:kern w:val="0"/>
          <w:sz w:val="24"/>
          <w:szCs w:val="24"/>
          <w:highlight w:val="none"/>
          <w:lang w:val="en-US" w:eastAsia="zh-CN" w:bidi="ar"/>
        </w:rPr>
        <w:t>招标</w:t>
      </w:r>
      <w:r>
        <w:rPr>
          <w:rFonts w:hint="eastAsia" w:ascii="宋体" w:hAnsi="宋体" w:cs="宋体"/>
          <w:color w:val="auto"/>
          <w:kern w:val="0"/>
          <w:sz w:val="24"/>
          <w:szCs w:val="24"/>
          <w:highlight w:val="none"/>
          <w:lang w:bidi="ar"/>
        </w:rPr>
        <w:t>公告在“政采云”平台(http：//www.zcygov.cn)（同步推送到吉林省政府采购网）、中国政府采购网、中国招标投标公共服务平台上同时发布</w:t>
      </w:r>
      <w:r>
        <w:rPr>
          <w:rFonts w:hint="eastAsia" w:ascii="宋体" w:hAnsi="宋体" w:eastAsia="宋体" w:cs="宋体"/>
          <w:color w:val="auto"/>
          <w:kern w:val="0"/>
          <w:sz w:val="24"/>
          <w:szCs w:val="24"/>
          <w:highlight w:val="none"/>
          <w:lang w:bidi="ar"/>
        </w:rPr>
        <w:t>。</w:t>
      </w:r>
    </w:p>
    <w:p>
      <w:pPr>
        <w:autoSpaceDE w:val="0"/>
        <w:spacing w:line="440" w:lineRule="exact"/>
        <w:rPr>
          <w:rFonts w:hint="eastAsia" w:ascii="宋体" w:hAnsi="宋体" w:cs="宋体"/>
          <w:b/>
          <w:color w:val="auto"/>
          <w:kern w:val="0"/>
          <w:sz w:val="24"/>
          <w:szCs w:val="24"/>
          <w:highlight w:val="none"/>
        </w:rPr>
      </w:pPr>
      <w:bookmarkStart w:id="2" w:name="_Toc35393636"/>
      <w:bookmarkEnd w:id="2"/>
      <w:bookmarkStart w:id="3" w:name="_Toc28359095"/>
      <w:bookmarkEnd w:id="3"/>
      <w:bookmarkStart w:id="4" w:name="_Toc28359018"/>
      <w:bookmarkEnd w:id="4"/>
      <w:bookmarkStart w:id="5" w:name="_Toc35393805"/>
      <w:r>
        <w:rPr>
          <w:rFonts w:hint="eastAsia" w:ascii="宋体" w:hAnsi="宋体" w:cs="宋体"/>
          <w:b/>
          <w:color w:val="auto"/>
          <w:kern w:val="0"/>
          <w:sz w:val="24"/>
          <w:szCs w:val="24"/>
          <w:highlight w:val="none"/>
          <w:lang w:bidi="ar"/>
        </w:rPr>
        <w:t>七、对本次</w:t>
      </w:r>
      <w:bookmarkEnd w:id="5"/>
      <w:r>
        <w:rPr>
          <w:rFonts w:hint="eastAsia" w:ascii="宋体" w:hAnsi="宋体" w:cs="宋体"/>
          <w:b/>
          <w:color w:val="auto"/>
          <w:kern w:val="0"/>
          <w:sz w:val="24"/>
          <w:szCs w:val="24"/>
          <w:highlight w:val="none"/>
          <w:lang w:bidi="ar"/>
        </w:rPr>
        <w:t>招标提出询问，请按以下方式联系</w:t>
      </w:r>
    </w:p>
    <w:p>
      <w:pPr>
        <w:autoSpaceDE w:val="0"/>
        <w:spacing w:line="440" w:lineRule="exact"/>
        <w:ind w:firstLine="48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1</w:t>
      </w:r>
      <w:r>
        <w:rPr>
          <w:rFonts w:hint="eastAsia" w:ascii="宋体" w:hAnsi="宋体" w:cs="宋体"/>
          <w:color w:val="auto"/>
          <w:kern w:val="0"/>
          <w:sz w:val="24"/>
          <w:szCs w:val="24"/>
          <w:highlight w:val="none"/>
          <w:lang w:val="en-US" w:eastAsia="zh-CN" w:bidi="ar"/>
        </w:rPr>
        <w:t>.</w:t>
      </w:r>
      <w:r>
        <w:rPr>
          <w:rFonts w:hint="eastAsia" w:ascii="宋体" w:hAnsi="宋体" w:cs="宋体"/>
          <w:color w:val="auto"/>
          <w:kern w:val="0"/>
          <w:sz w:val="24"/>
          <w:szCs w:val="24"/>
          <w:highlight w:val="none"/>
          <w:lang w:bidi="ar"/>
        </w:rPr>
        <w:t>采购人信息</w:t>
      </w:r>
    </w:p>
    <w:p>
      <w:pPr>
        <w:autoSpaceDE w:val="0"/>
        <w:spacing w:line="440" w:lineRule="exact"/>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名    称：</w:t>
      </w:r>
      <w:r>
        <w:rPr>
          <w:rFonts w:hint="eastAsia" w:ascii="宋体" w:hAnsi="宋体" w:eastAsia="宋体" w:cs="宋体"/>
          <w:color w:val="auto"/>
          <w:kern w:val="0"/>
          <w:sz w:val="24"/>
          <w:szCs w:val="24"/>
          <w:highlight w:val="none"/>
          <w:lang w:val="en-US" w:eastAsia="zh-CN" w:bidi="ar"/>
        </w:rPr>
        <w:t>吉林市丰满区环境卫生运输管理处</w:t>
      </w:r>
    </w:p>
    <w:p>
      <w:pPr>
        <w:autoSpaceDE w:val="0"/>
        <w:spacing w:line="440" w:lineRule="exact"/>
        <w:ind w:firstLine="480" w:firstLineChars="200"/>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地    址：</w:t>
      </w:r>
      <w:r>
        <w:rPr>
          <w:rFonts w:hint="eastAsia" w:ascii="宋体" w:hAnsi="宋体" w:eastAsia="宋体" w:cs="宋体"/>
          <w:color w:val="auto"/>
          <w:kern w:val="0"/>
          <w:sz w:val="24"/>
          <w:szCs w:val="24"/>
          <w:highlight w:val="none"/>
          <w:lang w:val="en-US" w:eastAsia="zh-CN" w:bidi="ar"/>
        </w:rPr>
        <w:t>吉林市</w:t>
      </w:r>
      <w:r>
        <w:rPr>
          <w:rFonts w:hint="eastAsia" w:ascii="宋体" w:hAnsi="宋体" w:cs="宋体"/>
          <w:color w:val="auto"/>
          <w:kern w:val="0"/>
          <w:sz w:val="24"/>
          <w:szCs w:val="24"/>
          <w:highlight w:val="none"/>
          <w:lang w:val="en-US" w:eastAsia="zh-CN" w:bidi="ar"/>
        </w:rPr>
        <w:t>江南乡恒山东路101号</w:t>
      </w:r>
    </w:p>
    <w:p>
      <w:pPr>
        <w:autoSpaceDE w:val="0"/>
        <w:spacing w:line="440" w:lineRule="exact"/>
        <w:ind w:firstLine="480" w:firstLineChars="200"/>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联系方式：</w:t>
      </w:r>
      <w:r>
        <w:rPr>
          <w:rFonts w:hint="eastAsia" w:ascii="宋体" w:hAnsi="宋体" w:cs="宋体"/>
          <w:color w:val="auto"/>
          <w:kern w:val="0"/>
          <w:sz w:val="24"/>
          <w:szCs w:val="24"/>
          <w:highlight w:val="none"/>
          <w:lang w:val="en-US" w:eastAsia="zh-CN" w:bidi="ar"/>
        </w:rPr>
        <w:t xml:space="preserve">李峰 </w:t>
      </w:r>
      <w:r>
        <w:rPr>
          <w:rFonts w:hint="eastAsia" w:ascii="宋体" w:hAnsi="宋体" w:eastAsia="宋体" w:cs="宋体"/>
          <w:color w:val="auto"/>
          <w:kern w:val="0"/>
          <w:sz w:val="24"/>
          <w:szCs w:val="24"/>
          <w:highlight w:val="none"/>
          <w:lang w:val="en-US" w:eastAsia="zh-CN" w:bidi="ar"/>
        </w:rPr>
        <w:t>0432-</w:t>
      </w:r>
      <w:r>
        <w:rPr>
          <w:rFonts w:hint="eastAsia" w:ascii="宋体" w:hAnsi="宋体" w:cs="宋体"/>
          <w:color w:val="auto"/>
          <w:kern w:val="0"/>
          <w:sz w:val="24"/>
          <w:szCs w:val="24"/>
          <w:highlight w:val="none"/>
          <w:lang w:val="en-US" w:eastAsia="zh-CN" w:bidi="ar"/>
        </w:rPr>
        <w:t>64566923</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440" w:lineRule="exact"/>
        <w:ind w:left="0" w:right="0" w:firstLine="480" w:firstLineChars="200"/>
        <w:jc w:val="both"/>
        <w:textAlignment w:val="auto"/>
        <w:outlineLvl w:val="9"/>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lang w:val="en-US" w:eastAsia="zh-CN" w:bidi="ar"/>
        </w:rPr>
        <w:t>2</w:t>
      </w:r>
      <w:r>
        <w:rPr>
          <w:rFonts w:hint="eastAsia" w:ascii="宋体" w:hAnsi="宋体" w:cs="宋体"/>
          <w:color w:val="auto"/>
          <w:spacing w:val="0"/>
          <w:kern w:val="0"/>
          <w:sz w:val="24"/>
          <w:szCs w:val="24"/>
          <w:highlight w:val="none"/>
          <w:lang w:val="en-US" w:eastAsia="zh-CN" w:bidi="ar"/>
        </w:rPr>
        <w:t>.</w:t>
      </w:r>
      <w:r>
        <w:rPr>
          <w:rFonts w:hint="eastAsia" w:ascii="宋体" w:hAnsi="宋体" w:eastAsia="宋体" w:cs="宋体"/>
          <w:color w:val="auto"/>
          <w:spacing w:val="0"/>
          <w:kern w:val="0"/>
          <w:sz w:val="24"/>
          <w:szCs w:val="24"/>
          <w:highlight w:val="none"/>
          <w:lang w:val="en-US" w:eastAsia="zh-CN" w:bidi="ar"/>
        </w:rPr>
        <w:t>采购代理机构信息</w:t>
      </w:r>
    </w:p>
    <w:p>
      <w:pPr>
        <w:autoSpaceDE w:val="0"/>
        <w:spacing w:line="440" w:lineRule="exact"/>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名    称：</w:t>
      </w:r>
      <w:r>
        <w:rPr>
          <w:rFonts w:hint="eastAsia" w:ascii="宋体" w:hAnsi="宋体" w:eastAsia="宋体" w:cs="宋体"/>
          <w:color w:val="auto"/>
          <w:kern w:val="0"/>
          <w:sz w:val="24"/>
          <w:szCs w:val="24"/>
          <w:highlight w:val="none"/>
          <w:lang w:val="zh-CN" w:eastAsia="zh-CN" w:bidi="ar"/>
        </w:rPr>
        <w:t>中恒一信项目管理咨询有限公司</w:t>
      </w:r>
    </w:p>
    <w:p>
      <w:pPr>
        <w:autoSpaceDE w:val="0"/>
        <w:spacing w:line="440" w:lineRule="exact"/>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    址：</w:t>
      </w:r>
      <w:r>
        <w:rPr>
          <w:rFonts w:hint="eastAsia" w:ascii="宋体" w:hAnsi="宋体" w:eastAsia="宋体" w:cs="宋体"/>
          <w:color w:val="auto"/>
          <w:kern w:val="0"/>
          <w:sz w:val="24"/>
          <w:szCs w:val="24"/>
          <w:highlight w:val="none"/>
          <w:lang w:val="zh-CN" w:eastAsia="zh-CN" w:bidi="ar"/>
        </w:rPr>
        <w:t>吉林市</w:t>
      </w:r>
      <w:r>
        <w:rPr>
          <w:rFonts w:hint="eastAsia" w:ascii="宋体" w:hAnsi="宋体" w:cs="宋体"/>
          <w:color w:val="auto"/>
          <w:kern w:val="0"/>
          <w:sz w:val="24"/>
          <w:szCs w:val="24"/>
          <w:highlight w:val="none"/>
          <w:lang w:val="en-US" w:eastAsia="zh-CN" w:bidi="ar"/>
        </w:rPr>
        <w:t>船营</w:t>
      </w:r>
      <w:r>
        <w:rPr>
          <w:rFonts w:hint="eastAsia" w:ascii="宋体" w:hAnsi="宋体" w:eastAsia="宋体" w:cs="宋体"/>
          <w:color w:val="auto"/>
          <w:kern w:val="0"/>
          <w:sz w:val="24"/>
          <w:szCs w:val="24"/>
          <w:highlight w:val="none"/>
          <w:lang w:val="zh-CN" w:eastAsia="zh-CN" w:bidi="ar"/>
        </w:rPr>
        <w:t>区</w:t>
      </w:r>
      <w:r>
        <w:rPr>
          <w:rFonts w:hint="eastAsia" w:ascii="宋体" w:hAnsi="宋体" w:cs="宋体"/>
          <w:color w:val="auto"/>
          <w:kern w:val="0"/>
          <w:sz w:val="24"/>
          <w:szCs w:val="24"/>
          <w:highlight w:val="none"/>
          <w:lang w:val="en-US" w:eastAsia="zh-CN" w:bidi="ar"/>
        </w:rPr>
        <w:t>雾凇西</w:t>
      </w:r>
      <w:r>
        <w:rPr>
          <w:rFonts w:hint="eastAsia" w:ascii="宋体" w:hAnsi="宋体" w:eastAsia="宋体" w:cs="宋体"/>
          <w:color w:val="auto"/>
          <w:kern w:val="0"/>
          <w:sz w:val="24"/>
          <w:szCs w:val="24"/>
          <w:highlight w:val="none"/>
          <w:lang w:val="zh-CN" w:eastAsia="zh-CN" w:bidi="ar"/>
        </w:rPr>
        <w:t>路百业五金汽配城A30栋19号</w:t>
      </w:r>
    </w:p>
    <w:p>
      <w:pPr>
        <w:autoSpaceDE w:val="0"/>
        <w:spacing w:line="440" w:lineRule="exact"/>
        <w:ind w:firstLine="480" w:firstLineChars="200"/>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联系方式：</w:t>
      </w:r>
      <w:r>
        <w:rPr>
          <w:rFonts w:hint="eastAsia" w:ascii="宋体" w:hAnsi="宋体" w:cs="宋体"/>
          <w:color w:val="auto"/>
          <w:kern w:val="0"/>
          <w:sz w:val="24"/>
          <w:szCs w:val="24"/>
          <w:highlight w:val="none"/>
          <w:lang w:val="en-US" w:eastAsia="zh-CN" w:bidi="ar"/>
        </w:rPr>
        <w:t xml:space="preserve">杨立军  </w:t>
      </w:r>
      <w:r>
        <w:rPr>
          <w:rFonts w:hint="eastAsia" w:ascii="宋体" w:hAnsi="宋体" w:eastAsia="宋体" w:cs="宋体"/>
          <w:color w:val="auto"/>
          <w:kern w:val="0"/>
          <w:sz w:val="24"/>
          <w:szCs w:val="24"/>
          <w:highlight w:val="none"/>
          <w:lang w:bidi="ar"/>
        </w:rPr>
        <w:t xml:space="preserve"> </w:t>
      </w:r>
      <w:r>
        <w:rPr>
          <w:rFonts w:hint="eastAsia" w:ascii="宋体" w:hAnsi="宋体" w:eastAsia="宋体" w:cs="宋体"/>
          <w:color w:val="auto"/>
          <w:kern w:val="0"/>
          <w:sz w:val="24"/>
          <w:szCs w:val="24"/>
          <w:highlight w:val="none"/>
          <w:lang w:val="en-US" w:eastAsia="zh-CN" w:bidi="ar"/>
        </w:rPr>
        <w:t>0432-</w:t>
      </w:r>
      <w:r>
        <w:rPr>
          <w:rFonts w:hint="eastAsia" w:ascii="宋体" w:hAnsi="宋体" w:cs="宋体"/>
          <w:color w:val="auto"/>
          <w:kern w:val="0"/>
          <w:sz w:val="24"/>
          <w:szCs w:val="24"/>
          <w:highlight w:val="none"/>
          <w:lang w:val="en-US" w:eastAsia="zh-CN" w:bidi="ar"/>
        </w:rPr>
        <w:t>65011199</w:t>
      </w:r>
    </w:p>
    <w:p>
      <w:pPr>
        <w:autoSpaceDE w:val="0"/>
        <w:spacing w:line="440" w:lineRule="exact"/>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bidi="ar"/>
        </w:rPr>
        <w:t>项目联系方式</w:t>
      </w:r>
    </w:p>
    <w:p>
      <w:pPr>
        <w:autoSpaceDE w:val="0"/>
        <w:spacing w:line="440" w:lineRule="exact"/>
        <w:ind w:firstLine="480" w:firstLineChars="200"/>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bidi="ar"/>
        </w:rPr>
        <w:t>项目联系人：</w:t>
      </w:r>
      <w:r>
        <w:rPr>
          <w:rFonts w:hint="eastAsia" w:ascii="宋体" w:hAnsi="宋体" w:eastAsia="宋体" w:cs="宋体"/>
          <w:color w:val="auto"/>
          <w:kern w:val="0"/>
          <w:sz w:val="24"/>
          <w:szCs w:val="24"/>
          <w:highlight w:val="none"/>
          <w:lang w:val="en-US" w:eastAsia="zh-CN" w:bidi="ar"/>
        </w:rPr>
        <w:t>杨立军</w:t>
      </w:r>
    </w:p>
    <w:p>
      <w:pPr>
        <w:autoSpaceDE w:val="0"/>
        <w:spacing w:line="440" w:lineRule="exact"/>
        <w:ind w:firstLine="480" w:firstLineChars="20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bidi="ar"/>
        </w:rPr>
        <w:t>电      话：</w:t>
      </w:r>
      <w:r>
        <w:rPr>
          <w:rFonts w:hint="eastAsia" w:ascii="宋体" w:hAnsi="宋体" w:eastAsia="宋体" w:cs="宋体"/>
          <w:color w:val="auto"/>
          <w:kern w:val="0"/>
          <w:sz w:val="24"/>
          <w:szCs w:val="24"/>
          <w:highlight w:val="none"/>
          <w:lang w:val="en-US" w:eastAsia="zh-CN" w:bidi="ar"/>
        </w:rPr>
        <w:t>0432-65011199</w:t>
      </w:r>
    </w:p>
    <w:p>
      <w:pPr>
        <w:autoSpaceDE w:val="0"/>
        <w:spacing w:line="440" w:lineRule="exact"/>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邮  箱：</w:t>
      </w:r>
      <w:r>
        <w:rPr>
          <w:rFonts w:hint="eastAsia" w:ascii="宋体" w:hAnsi="宋体" w:cs="宋体"/>
          <w:color w:val="auto"/>
          <w:kern w:val="0"/>
          <w:sz w:val="24"/>
          <w:szCs w:val="24"/>
          <w:highlight w:val="none"/>
          <w:lang w:val="en-US" w:eastAsia="zh-CN" w:bidi="ar"/>
        </w:rPr>
        <w:t>969444636</w:t>
      </w:r>
      <w:r>
        <w:rPr>
          <w:rFonts w:hint="eastAsia" w:ascii="宋体" w:hAnsi="宋体" w:eastAsia="宋体" w:cs="宋体"/>
          <w:color w:val="auto"/>
          <w:kern w:val="0"/>
          <w:sz w:val="24"/>
          <w:szCs w:val="24"/>
          <w:highlight w:val="none"/>
          <w:lang w:val="en-US" w:eastAsia="zh-CN" w:bidi="ar"/>
        </w:rPr>
        <w:t>@qq.com</w:t>
      </w:r>
    </w:p>
    <w:p>
      <w:pPr>
        <w:autoSpaceDE w:val="0"/>
        <w:spacing w:line="440" w:lineRule="exact"/>
        <w:ind w:firstLine="480" w:firstLineChars="200"/>
        <w:rPr>
          <w:rFonts w:hint="eastAsia" w:ascii="宋体" w:hAnsi="宋体" w:eastAsia="宋体" w:cs="宋体"/>
          <w:color w:val="000000" w:themeColor="text1"/>
          <w:kern w:val="0"/>
          <w:sz w:val="24"/>
          <w:szCs w:val="24"/>
          <w:highlight w:val="none"/>
          <w:lang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4</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招标监督管理部门：吉林市</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丰满区</w:t>
      </w:r>
      <w:r>
        <w:rPr>
          <w:rFonts w:hint="eastAsia" w:ascii="宋体" w:hAnsi="宋体" w:eastAsia="宋体" w:cs="宋体"/>
          <w:color w:val="000000" w:themeColor="text1"/>
          <w:kern w:val="0"/>
          <w:sz w:val="24"/>
          <w:szCs w:val="24"/>
          <w:highlight w:val="none"/>
          <w:lang w:bidi="ar"/>
          <w14:textFill>
            <w14:solidFill>
              <w14:schemeClr w14:val="tx1"/>
            </w14:solidFill>
          </w14:textFill>
        </w:rPr>
        <w:t>政府采购管理工作办公室</w:t>
      </w:r>
    </w:p>
    <w:p>
      <w:pPr>
        <w:autoSpaceDE w:val="0"/>
        <w:spacing w:line="440" w:lineRule="exact"/>
        <w:ind w:firstLine="480" w:firstLineChars="200"/>
        <w:rPr>
          <w:rFonts w:hint="default" w:ascii="宋体" w:hAnsi="宋体" w:eastAsia="宋体" w:cs="宋体"/>
          <w:color w:val="auto"/>
          <w:kern w:val="0"/>
          <w:sz w:val="24"/>
          <w:szCs w:val="24"/>
          <w:highlight w:val="none"/>
          <w:lang w:val="en-US" w:eastAsia="zh-CN" w:bidi="ar"/>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bookmarkStart w:id="6" w:name="_Toc28014"/>
      <w:r>
        <w:rPr>
          <w:rFonts w:hint="eastAsia" w:ascii="宋体" w:hAnsi="宋体" w:eastAsia="宋体" w:cs="宋体"/>
          <w:color w:val="auto"/>
          <w:sz w:val="36"/>
          <w:szCs w:val="36"/>
          <w:highlight w:val="none"/>
        </w:rPr>
        <w:t>第二部分  供应商须知</w:t>
      </w:r>
      <w:bookmarkEnd w:id="6"/>
    </w:p>
    <w:p>
      <w:pPr>
        <w:pStyle w:val="10"/>
        <w:pageBreakBefore w:val="0"/>
        <w:kinsoku/>
        <w:overflowPunct/>
        <w:topLinePunct w:val="0"/>
        <w:bidi w:val="0"/>
        <w:spacing w:line="288"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一、供应商须知前附表</w:t>
      </w:r>
    </w:p>
    <w:tbl>
      <w:tblPr>
        <w:tblStyle w:val="45"/>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692"/>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序号</w:t>
            </w:r>
          </w:p>
        </w:tc>
        <w:tc>
          <w:tcPr>
            <w:tcW w:w="1692" w:type="dxa"/>
            <w:noWrap w:val="0"/>
            <w:vAlign w:val="center"/>
          </w:tcPr>
          <w:p>
            <w:pPr>
              <w:pStyle w:val="29"/>
              <w:keepNext w:val="0"/>
              <w:keepLines w:val="0"/>
              <w:pageBreakBefore w:val="0"/>
              <w:widowControl w:val="0"/>
              <w:pBdr>
                <w:bottom w:val="none" w:color="auto" w:sz="0" w:space="0"/>
              </w:pBdr>
              <w:tabs>
                <w:tab w:val="clear" w:pos="4153"/>
                <w:tab w:val="clear" w:pos="8306"/>
              </w:tabs>
              <w:kinsoku/>
              <w:wordWrap w:val="0"/>
              <w:overflowPunct/>
              <w:topLinePunct w:val="0"/>
              <w:autoSpaceDE/>
              <w:autoSpaceDN/>
              <w:bidi w:val="0"/>
              <w:adjustRightInd w:val="0"/>
              <w:snapToGrid/>
              <w:spacing w:line="440" w:lineRule="exact"/>
              <w:textAlignment w:val="auto"/>
              <w:rPr>
                <w:rFonts w:hint="eastAsia" w:ascii="宋体" w:hAnsi="宋体" w:eastAsia="宋体" w:cs="宋体"/>
                <w:b/>
                <w:color w:val="auto"/>
                <w:kern w:val="2"/>
                <w:sz w:val="24"/>
                <w:szCs w:val="24"/>
                <w:highlight w:val="none"/>
                <w:lang w:val="zh-CN" w:eastAsia="zh-CN"/>
              </w:rPr>
            </w:pPr>
            <w:r>
              <w:rPr>
                <w:rFonts w:hint="eastAsia" w:ascii="宋体" w:hAnsi="宋体" w:eastAsia="宋体" w:cs="宋体"/>
                <w:b/>
                <w:color w:val="auto"/>
                <w:kern w:val="2"/>
                <w:sz w:val="24"/>
                <w:szCs w:val="24"/>
                <w:highlight w:val="none"/>
                <w:lang w:val="zh-CN" w:eastAsia="zh-CN"/>
              </w:rPr>
              <w:t>条款名称</w:t>
            </w:r>
          </w:p>
        </w:tc>
        <w:tc>
          <w:tcPr>
            <w:tcW w:w="7050" w:type="dxa"/>
            <w:noWrap w:val="0"/>
            <w:vAlign w:val="center"/>
          </w:tcPr>
          <w:p>
            <w:pPr>
              <w:pStyle w:val="29"/>
              <w:keepNext w:val="0"/>
              <w:keepLines w:val="0"/>
              <w:pageBreakBefore w:val="0"/>
              <w:widowControl w:val="0"/>
              <w:pBdr>
                <w:bottom w:val="none" w:color="auto" w:sz="0" w:space="0"/>
              </w:pBdr>
              <w:tabs>
                <w:tab w:val="clear" w:pos="4153"/>
                <w:tab w:val="clear" w:pos="8306"/>
              </w:tabs>
              <w:kinsoku/>
              <w:wordWrap w:val="0"/>
              <w:overflowPunct/>
              <w:topLinePunct w:val="0"/>
              <w:autoSpaceDE/>
              <w:autoSpaceDN/>
              <w:bidi w:val="0"/>
              <w:adjustRightInd w:val="0"/>
              <w:snapToGrid/>
              <w:spacing w:line="440" w:lineRule="exact"/>
              <w:textAlignment w:val="auto"/>
              <w:rPr>
                <w:rFonts w:hint="eastAsia" w:ascii="宋体" w:hAnsi="宋体" w:eastAsia="宋体" w:cs="宋体"/>
                <w:b/>
                <w:color w:val="auto"/>
                <w:kern w:val="2"/>
                <w:sz w:val="24"/>
                <w:szCs w:val="24"/>
                <w:highlight w:val="none"/>
                <w:lang w:val="zh-CN" w:eastAsia="zh-CN"/>
              </w:rPr>
            </w:pPr>
            <w:r>
              <w:rPr>
                <w:rFonts w:hint="eastAsia" w:ascii="宋体" w:hAnsi="宋体" w:eastAsia="宋体" w:cs="宋体"/>
                <w:b/>
                <w:color w:val="auto"/>
                <w:kern w:val="2"/>
                <w:sz w:val="24"/>
                <w:szCs w:val="24"/>
                <w:highlight w:val="none"/>
                <w:lang w:val="zh-CN"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1.1.2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采购人</w:t>
            </w:r>
          </w:p>
        </w:tc>
        <w:tc>
          <w:tcPr>
            <w:tcW w:w="7050" w:type="dxa"/>
            <w:noWrap w:val="0"/>
            <w:vAlign w:val="top"/>
          </w:tcPr>
          <w:p>
            <w:pPr>
              <w:autoSpaceDE w:val="0"/>
              <w:spacing w:line="440" w:lineRule="exac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名    称：</w:t>
            </w:r>
            <w:r>
              <w:rPr>
                <w:rFonts w:hint="eastAsia" w:ascii="宋体" w:hAnsi="宋体" w:eastAsia="宋体" w:cs="宋体"/>
                <w:color w:val="auto"/>
                <w:kern w:val="0"/>
                <w:sz w:val="24"/>
                <w:szCs w:val="24"/>
                <w:highlight w:val="none"/>
                <w:lang w:val="en-US" w:eastAsia="zh-CN" w:bidi="ar"/>
              </w:rPr>
              <w:t>吉林市丰满区环境卫生运输管理处</w:t>
            </w:r>
          </w:p>
          <w:p>
            <w:pPr>
              <w:autoSpaceDE w:val="0"/>
              <w:spacing w:line="440" w:lineRule="exac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    址：</w:t>
            </w:r>
            <w:r>
              <w:rPr>
                <w:rFonts w:hint="eastAsia" w:ascii="宋体" w:hAnsi="宋体" w:eastAsia="宋体" w:cs="宋体"/>
                <w:color w:val="auto"/>
                <w:kern w:val="0"/>
                <w:sz w:val="24"/>
                <w:szCs w:val="24"/>
                <w:highlight w:val="none"/>
                <w:lang w:val="en-US" w:eastAsia="zh-CN" w:bidi="ar"/>
              </w:rPr>
              <w:t>吉林市江南乡恒山东路101号</w:t>
            </w:r>
          </w:p>
          <w:p>
            <w:pPr>
              <w:keepNext w:val="0"/>
              <w:keepLines w:val="0"/>
              <w:pageBreakBefore w:val="0"/>
              <w:widowControl w:val="0"/>
              <w:kinsoku/>
              <w:wordWrap w:val="0"/>
              <w:overflowPunct/>
              <w:topLinePunct w:val="0"/>
              <w:autoSpaceDE/>
              <w:autoSpaceDN/>
              <w:bidi w:val="0"/>
              <w:spacing w:line="440" w:lineRule="exact"/>
              <w:textAlignment w:val="auto"/>
              <w:rPr>
                <w:rFonts w:hint="default" w:ascii="宋体" w:hAnsi="宋体" w:eastAsia="宋体" w:cs="宋体"/>
                <w:bCs/>
                <w:color w:val="auto"/>
                <w:sz w:val="24"/>
                <w:szCs w:val="24"/>
                <w:highlight w:val="none"/>
                <w:lang w:val="en-US"/>
              </w:rPr>
            </w:pPr>
            <w:r>
              <w:rPr>
                <w:rFonts w:hint="default" w:ascii="宋体" w:hAnsi="宋体" w:eastAsia="宋体" w:cs="宋体"/>
                <w:bCs/>
                <w:color w:val="auto"/>
                <w:sz w:val="24"/>
                <w:szCs w:val="24"/>
                <w:highlight w:val="none"/>
                <w:lang w:val="en-US"/>
              </w:rPr>
              <w:t>联系方式：</w:t>
            </w:r>
            <w:r>
              <w:rPr>
                <w:rFonts w:hint="default" w:ascii="宋体" w:hAnsi="宋体" w:eastAsia="宋体" w:cs="宋体"/>
                <w:bCs/>
                <w:color w:val="auto"/>
                <w:sz w:val="24"/>
                <w:szCs w:val="24"/>
                <w:highlight w:val="none"/>
                <w:lang w:val="en-US" w:eastAsia="zh-CN"/>
              </w:rPr>
              <w:t>李峰 0432-64566923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1.1.3</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采购代理机构</w:t>
            </w:r>
          </w:p>
        </w:tc>
        <w:tc>
          <w:tcPr>
            <w:tcW w:w="7050" w:type="dxa"/>
            <w:noWrap w:val="0"/>
            <w:vAlign w:val="center"/>
          </w:tcPr>
          <w:p>
            <w:pPr>
              <w:autoSpaceDE w:val="0"/>
              <w:spacing w:line="440" w:lineRule="exac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名    称：</w:t>
            </w:r>
            <w:r>
              <w:rPr>
                <w:rFonts w:hint="eastAsia" w:ascii="宋体" w:hAnsi="宋体" w:eastAsia="宋体" w:cs="宋体"/>
                <w:color w:val="auto"/>
                <w:kern w:val="0"/>
                <w:sz w:val="24"/>
                <w:szCs w:val="24"/>
                <w:highlight w:val="none"/>
                <w:lang w:val="zh-CN" w:eastAsia="zh-CN" w:bidi="ar"/>
              </w:rPr>
              <w:t>中恒一信项目管理咨询有限公司</w:t>
            </w:r>
          </w:p>
          <w:p>
            <w:pPr>
              <w:autoSpaceDE w:val="0"/>
              <w:spacing w:line="440" w:lineRule="exac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    址：</w:t>
            </w:r>
            <w:r>
              <w:rPr>
                <w:rFonts w:hint="eastAsia" w:ascii="宋体" w:hAnsi="宋体" w:eastAsia="宋体" w:cs="宋体"/>
                <w:color w:val="auto"/>
                <w:kern w:val="0"/>
                <w:sz w:val="24"/>
                <w:szCs w:val="24"/>
                <w:highlight w:val="none"/>
                <w:lang w:val="zh-CN" w:eastAsia="zh-CN" w:bidi="ar"/>
              </w:rPr>
              <w:t>吉林市</w:t>
            </w:r>
            <w:r>
              <w:rPr>
                <w:rFonts w:hint="eastAsia" w:ascii="宋体" w:hAnsi="宋体" w:cs="宋体"/>
                <w:color w:val="auto"/>
                <w:kern w:val="0"/>
                <w:sz w:val="24"/>
                <w:szCs w:val="24"/>
                <w:highlight w:val="none"/>
                <w:lang w:val="en-US" w:eastAsia="zh-CN" w:bidi="ar"/>
              </w:rPr>
              <w:t>船营</w:t>
            </w:r>
            <w:r>
              <w:rPr>
                <w:rFonts w:hint="eastAsia" w:ascii="宋体" w:hAnsi="宋体" w:eastAsia="宋体" w:cs="宋体"/>
                <w:color w:val="auto"/>
                <w:kern w:val="0"/>
                <w:sz w:val="24"/>
                <w:szCs w:val="24"/>
                <w:highlight w:val="none"/>
                <w:lang w:val="zh-CN" w:eastAsia="zh-CN" w:bidi="ar"/>
              </w:rPr>
              <w:t>区</w:t>
            </w:r>
            <w:r>
              <w:rPr>
                <w:rFonts w:hint="eastAsia" w:ascii="宋体" w:hAnsi="宋体" w:cs="宋体"/>
                <w:color w:val="auto"/>
                <w:kern w:val="0"/>
                <w:sz w:val="24"/>
                <w:szCs w:val="24"/>
                <w:highlight w:val="none"/>
                <w:lang w:val="en-US" w:eastAsia="zh-CN" w:bidi="ar"/>
              </w:rPr>
              <w:t>雾凇西</w:t>
            </w:r>
            <w:r>
              <w:rPr>
                <w:rFonts w:hint="eastAsia" w:ascii="宋体" w:hAnsi="宋体" w:eastAsia="宋体" w:cs="宋体"/>
                <w:color w:val="auto"/>
                <w:kern w:val="0"/>
                <w:sz w:val="24"/>
                <w:szCs w:val="24"/>
                <w:highlight w:val="none"/>
                <w:lang w:val="zh-CN" w:eastAsia="zh-CN" w:bidi="ar"/>
              </w:rPr>
              <w:t>路百业五金汽配城A30栋19号</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联系方式：</w:t>
            </w:r>
            <w:r>
              <w:rPr>
                <w:rFonts w:hint="eastAsia" w:ascii="宋体" w:hAnsi="宋体" w:eastAsia="宋体" w:cs="宋体"/>
                <w:bCs/>
                <w:color w:val="auto"/>
                <w:sz w:val="24"/>
                <w:szCs w:val="24"/>
                <w:highlight w:val="none"/>
                <w:lang w:val="en-US" w:eastAsia="zh-CN"/>
              </w:rPr>
              <w:t xml:space="preserve">杨立军  </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val="en-US" w:eastAsia="zh-CN"/>
              </w:rPr>
              <w:t>0432-65011199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1.1.4</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项目名称</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丰满区环境卫生运输管理处2024年冬季融雪剂采购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1.1.5</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供货地点</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default" w:ascii="宋体" w:hAnsi="宋体" w:eastAsia="宋体" w:cs="宋体"/>
                <w:bCs/>
                <w:color w:val="auto"/>
                <w:kern w:val="0"/>
                <w:sz w:val="24"/>
                <w:szCs w:val="24"/>
                <w:highlight w:val="none"/>
                <w:lang w:val="en-US"/>
              </w:rPr>
            </w:pPr>
            <w:r>
              <w:rPr>
                <w:rFonts w:hint="default" w:ascii="宋体" w:hAnsi="宋体" w:eastAsia="宋体" w:cs="宋体"/>
                <w:bCs/>
                <w:color w:val="auto"/>
                <w:kern w:val="0"/>
                <w:sz w:val="24"/>
                <w:szCs w:val="24"/>
                <w:highlight w:val="none"/>
                <w:lang w:val="en-US" w:eastAsia="zh-CN"/>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l.2.1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lang w:eastAsia="zh-CN" w:bidi="ar"/>
              </w:rPr>
              <w:t>资金来源</w:t>
            </w:r>
            <w:r>
              <w:rPr>
                <w:rFonts w:hint="eastAsia" w:ascii="宋体" w:hAnsi="宋体" w:eastAsia="宋体" w:cs="宋体"/>
                <w:color w:val="auto"/>
                <w:kern w:val="0"/>
                <w:sz w:val="24"/>
                <w:szCs w:val="24"/>
                <w:highlight w:val="none"/>
                <w:lang w:val="en-US" w:eastAsia="zh-CN" w:bidi="ar"/>
              </w:rPr>
              <w:t>及采购预算</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default" w:ascii="宋体" w:hAnsi="宋体" w:eastAsia="宋体" w:cs="宋体"/>
                <w:bCs/>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bidi="ar"/>
              </w:rPr>
              <w:t>财政资金</w:t>
            </w:r>
            <w:r>
              <w:rPr>
                <w:rFonts w:hint="eastAsia" w:ascii="宋体" w:hAnsi="宋体" w:cs="宋体"/>
                <w:color w:val="auto"/>
                <w:kern w:val="0"/>
                <w:sz w:val="24"/>
                <w:szCs w:val="24"/>
                <w:highlight w:val="none"/>
                <w:lang w:val="en-US" w:eastAsia="zh-CN" w:bidi="ar"/>
              </w:rPr>
              <w:t>280</w:t>
            </w:r>
            <w:r>
              <w:rPr>
                <w:rFonts w:hint="eastAsia" w:ascii="宋体" w:hAnsi="宋体" w:eastAsia="宋体" w:cs="宋体"/>
                <w:color w:val="auto"/>
                <w:kern w:val="0"/>
                <w:sz w:val="24"/>
                <w:szCs w:val="24"/>
                <w:highlight w:val="none"/>
                <w:lang w:val="en-US" w:eastAsia="zh-CN" w:bidi="ar"/>
              </w:rPr>
              <w:t>万元（最高限价）</w:t>
            </w:r>
            <w:r>
              <w:rPr>
                <w:rFonts w:hint="eastAsia" w:ascii="宋体" w:hAnsi="宋体" w:cs="宋体"/>
                <w:color w:val="auto"/>
                <w:kern w:val="0"/>
                <w:sz w:val="24"/>
                <w:szCs w:val="24"/>
                <w:highlight w:val="none"/>
                <w:lang w:val="en-US" w:eastAsia="zh-CN" w:bidi="ar"/>
              </w:rPr>
              <w:t>，其中一包：140万元、二包：140万元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1.2.2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资金落实情况</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1.3.1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招标内容</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default"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丰满区环境卫生运输管理处2024年冬季融雪剂采购，详见采购需求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1.3.2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供货期</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合同签订后至202</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lang w:eastAsia="zh-CN"/>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1.3.3</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质量标准</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符合国家及相关行业合格标准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000000" w:themeColor="text1"/>
                <w:sz w:val="24"/>
                <w:szCs w:val="24"/>
                <w:highlight w:val="none"/>
                <w:lang w:val="zh-CN"/>
                <w14:textFill>
                  <w14:solidFill>
                    <w14:schemeClr w14:val="tx1"/>
                  </w14:solidFill>
                </w14:textFill>
              </w:rPr>
            </w:pPr>
            <w:r>
              <w:rPr>
                <w:rFonts w:hint="eastAsia" w:ascii="宋体" w:hAnsi="宋体" w:eastAsia="宋体" w:cs="宋体"/>
                <w:bCs/>
                <w:color w:val="000000" w:themeColor="text1"/>
                <w:sz w:val="24"/>
                <w:szCs w:val="24"/>
                <w:highlight w:val="none"/>
                <w:lang w:val="zh-CN"/>
                <w14:textFill>
                  <w14:solidFill>
                    <w14:schemeClr w14:val="tx1"/>
                  </w14:solidFill>
                </w14:textFill>
              </w:rPr>
              <w:t>1.4.1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供应商</w:t>
            </w:r>
            <w:r>
              <w:rPr>
                <w:rFonts w:hint="eastAsia" w:ascii="宋体" w:hAnsi="宋体" w:eastAsia="宋体" w:cs="宋体"/>
                <w:bCs/>
                <w:color w:val="000000" w:themeColor="text1"/>
                <w:sz w:val="24"/>
                <w:szCs w:val="24"/>
                <w:highlight w:val="none"/>
                <w14:textFill>
                  <w14:solidFill>
                    <w14:schemeClr w14:val="tx1"/>
                  </w14:solidFill>
                </w14:textFill>
              </w:rPr>
              <w:t>资格条件、能力和信誉</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1、满足《中华人民共和国政府采购法》第二十二条规定：</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(1)具有独立承担民事责任的能力；</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(2)具有良好的商业信誉和健全的财务会计制度；</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(3)具有履行合同所必需的设备和专业技术能力；</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(4)有依法缴纳税收和社会保障资金的良好记录；</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(5)参加政府采购活动前三年内，在经营活动中没有重大违法记录；</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(6)法律、行政法规规定的其他条件。</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2、落实政府采购政策需满足的资格要求：本项目属于非专门面向中小企业采购的项目，本次招标活动对于满足国家采购政策要求的投标人按照相关规定的扶持政策执行。         </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2.1鼓励节能政策：在技术、服务等指标同等条件下，优先采购属于国家公布的节能清单中产品；</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2.2鼓励环保政策：在性能、技术、服务等指标同等条件下，优先采购国家公布的环保产品清单中的产品；</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2.3扶持中小企业政策：评审时小型和微型企业产品享受10%的价格折扣，监狱企业、残疾人福利性单位视同小微企业；</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3、本项目的特定资格要求：</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3.1供应商须是具有独立法人资格的企业或其他组织，具有有效营业执照；</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拒绝列入政府取消投标资格记录期间的企业或个人投标；</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不得为“信用中国”网站（www.creditchina.gov.cn）中列入失信被执行人和</w:t>
            </w:r>
            <w:r>
              <w:rPr>
                <w:rFonts w:hint="eastAsia" w:ascii="宋体" w:hAnsi="宋体" w:eastAsia="宋体" w:cs="宋体"/>
                <w:b w:val="0"/>
                <w:bCs w:val="0"/>
                <w:color w:val="auto"/>
                <w:sz w:val="24"/>
                <w:szCs w:val="24"/>
                <w:highlight w:val="none"/>
                <w:lang w:eastAsia="zh-CN"/>
              </w:rPr>
              <w:t>重大税收违法失信主体</w:t>
            </w:r>
            <w:r>
              <w:rPr>
                <w:rFonts w:hint="eastAsia" w:ascii="宋体" w:hAnsi="宋体" w:eastAsia="宋体" w:cs="宋体"/>
                <w:b w:val="0"/>
                <w:bCs w:val="0"/>
                <w:color w:val="auto"/>
                <w:sz w:val="24"/>
                <w:szCs w:val="24"/>
                <w:highlight w:val="none"/>
              </w:rPr>
              <w:t>供应商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不得为中国政府采购网（www.ccpg.gov.cn）政府采购严重违法失信行为记录名单中被财政部门禁止参加政府采购活动的供应商（在处罚决定规定的时间和地域范围内）</w:t>
            </w:r>
            <w:r>
              <w:rPr>
                <w:rFonts w:hint="eastAsia" w:ascii="宋体" w:hAnsi="宋体" w:eastAsia="宋体" w:cs="宋体"/>
                <w:b w:val="0"/>
                <w:bCs w:val="0"/>
                <w:color w:val="auto"/>
                <w:sz w:val="24"/>
                <w:szCs w:val="24"/>
                <w:highlight w:val="none"/>
                <w:lang w:val="en-US" w:eastAsia="zh-CN"/>
              </w:rPr>
              <w:t>（详见财库[2016]125号）</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在2020年至今供应商和其法定代表人在“中国裁判文书网”(wenshu.court.gov.cn)上无行贿犯罪行为；</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单位负责人为同一人或者存在直接控股、管理关系的不同供应商，不得参加同一合同项下的政府采购活动</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val="0"/>
              <w:snapToGrid/>
              <w:spacing w:line="240" w:lineRule="auto"/>
              <w:ind w:firstLine="0"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3.5</w:t>
            </w:r>
            <w:r>
              <w:rPr>
                <w:rFonts w:hint="eastAsia" w:ascii="宋体" w:hAnsi="宋体" w:eastAsia="宋体" w:cs="宋体"/>
                <w:b w:val="0"/>
                <w:bCs w:val="0"/>
                <w:color w:val="auto"/>
                <w:sz w:val="24"/>
                <w:szCs w:val="24"/>
                <w:highlight w:val="none"/>
                <w:lang w:eastAsia="zh-CN"/>
              </w:rPr>
              <w:t>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1.4.2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是否接受联合体投标</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kern w:val="15"/>
                <w:sz w:val="24"/>
                <w:szCs w:val="24"/>
                <w:highlight w:val="none"/>
              </w:rPr>
              <w:fldChar w:fldCharType="begin"/>
            </w:r>
            <w:r>
              <w:rPr>
                <w:rFonts w:hint="eastAsia" w:ascii="宋体" w:hAnsi="宋体" w:eastAsia="宋体" w:cs="宋体"/>
                <w:bCs/>
                <w:color w:val="auto"/>
                <w:kern w:val="15"/>
                <w:sz w:val="24"/>
                <w:szCs w:val="24"/>
                <w:highlight w:val="none"/>
              </w:rPr>
              <w:instrText xml:space="preserve">eq \o\ac(□,√)</w:instrText>
            </w:r>
            <w:r>
              <w:rPr>
                <w:rFonts w:hint="eastAsia" w:ascii="宋体" w:hAnsi="宋体" w:eastAsia="宋体" w:cs="宋体"/>
                <w:bCs/>
                <w:color w:val="auto"/>
                <w:kern w:val="15"/>
                <w:sz w:val="24"/>
                <w:szCs w:val="24"/>
                <w:highlight w:val="none"/>
              </w:rPr>
              <w:fldChar w:fldCharType="end"/>
            </w:r>
            <w:r>
              <w:rPr>
                <w:rFonts w:hint="eastAsia" w:ascii="宋体" w:hAnsi="宋体" w:eastAsia="宋体" w:cs="宋体"/>
                <w:bCs/>
                <w:color w:val="auto"/>
                <w:sz w:val="24"/>
                <w:szCs w:val="24"/>
                <w:highlight w:val="none"/>
              </w:rPr>
              <w:t>不接受</w:t>
            </w:r>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1.9.1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踏勘现场</w:t>
            </w:r>
          </w:p>
        </w:tc>
        <w:tc>
          <w:tcPr>
            <w:tcW w:w="7050" w:type="dxa"/>
            <w:tcBorders>
              <w:top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eq \o\ac(□,√)</w:instrTex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zh-CN"/>
              </w:rPr>
              <w:t>不组织</w:t>
            </w:r>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□组织，踏勘时间：/</w:t>
            </w:r>
          </w:p>
          <w:p>
            <w:pPr>
              <w:keepNext w:val="0"/>
              <w:keepLines w:val="0"/>
              <w:pageBreakBefore w:val="0"/>
              <w:widowControl w:val="0"/>
              <w:kinsoku/>
              <w:wordWrap w:val="0"/>
              <w:overflowPunct/>
              <w:topLinePunct w:val="0"/>
              <w:autoSpaceDE/>
              <w:autoSpaceDN/>
              <w:bidi w:val="0"/>
              <w:adjustRightInd w:val="0"/>
              <w:spacing w:line="440" w:lineRule="exact"/>
              <w:ind w:firstLine="960" w:firstLineChars="400"/>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1.10.1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投标预备会</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eq \o\ac(□,√)</w:instrTex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zh-CN"/>
              </w:rPr>
              <w:t>不召开</w:t>
            </w:r>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□召开,召开时间：/</w:t>
            </w:r>
          </w:p>
          <w:p>
            <w:pPr>
              <w:keepNext w:val="0"/>
              <w:keepLines w:val="0"/>
              <w:pageBreakBefore w:val="0"/>
              <w:widowControl w:val="0"/>
              <w:kinsoku/>
              <w:wordWrap w:val="0"/>
              <w:overflowPunct/>
              <w:topLinePunct w:val="0"/>
              <w:autoSpaceDE/>
              <w:autoSpaceDN/>
              <w:bidi w:val="0"/>
              <w:adjustRightInd w:val="0"/>
              <w:spacing w:line="440" w:lineRule="exact"/>
              <w:ind w:firstLine="840" w:firstLineChars="350"/>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vMerge w:val="restart"/>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1.10.2</w:t>
            </w:r>
          </w:p>
        </w:tc>
        <w:tc>
          <w:tcPr>
            <w:tcW w:w="1692"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在投标预备会前提出问题</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时间：</w:t>
            </w:r>
            <w:r>
              <w:rPr>
                <w:rFonts w:hint="eastAsia" w:ascii="宋体" w:hAnsi="宋体" w:eastAsia="宋体" w:cs="宋体"/>
                <w:bCs/>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p>
        </w:tc>
        <w:tc>
          <w:tcPr>
            <w:tcW w:w="1692" w:type="dxa"/>
            <w:vMerge w:val="continue"/>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形式：</w:t>
            </w:r>
            <w:r>
              <w:rPr>
                <w:rFonts w:hint="eastAsia" w:ascii="宋体" w:hAnsi="宋体" w:eastAsia="宋体" w:cs="宋体"/>
                <w:bCs/>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1.11.1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分包</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lang w:val="zh-CN"/>
              </w:rPr>
              <w:fldChar w:fldCharType="begin"/>
            </w:r>
            <w:r>
              <w:rPr>
                <w:rFonts w:hint="eastAsia" w:ascii="宋体" w:hAnsi="宋体" w:eastAsia="宋体" w:cs="宋体"/>
                <w:bCs/>
                <w:color w:val="auto"/>
                <w:sz w:val="24"/>
                <w:highlight w:val="none"/>
                <w:lang w:val="zh-CN"/>
              </w:rPr>
              <w:instrText xml:space="preserve">eq \o\ac(□,√)</w:instrText>
            </w:r>
            <w:r>
              <w:rPr>
                <w:rFonts w:hint="eastAsia" w:ascii="宋体" w:hAnsi="宋体" w:eastAsia="宋体" w:cs="宋体"/>
                <w:bCs/>
                <w:color w:val="auto"/>
                <w:sz w:val="24"/>
                <w:highlight w:val="none"/>
                <w:lang w:val="zh-CN"/>
              </w:rPr>
              <w:fldChar w:fldCharType="end"/>
            </w:r>
            <w:r>
              <w:rPr>
                <w:rFonts w:hint="eastAsia" w:ascii="宋体" w:hAnsi="宋体" w:eastAsia="宋体" w:cs="宋体"/>
                <w:bCs/>
                <w:color w:val="auto"/>
                <w:sz w:val="24"/>
                <w:szCs w:val="24"/>
                <w:highlight w:val="none"/>
                <w:lang w:val="zh-CN"/>
              </w:rPr>
              <w:t>不允许</w:t>
            </w:r>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□允许，分包内容：/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1.12.3</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偏离</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default" w:ascii="宋体" w:hAnsi="宋体" w:eastAsia="宋体" w:cs="宋体"/>
                <w:bCs/>
                <w:color w:val="000000" w:themeColor="text1"/>
                <w:sz w:val="24"/>
                <w:szCs w:val="24"/>
                <w:highlight w:val="none"/>
                <w:lang w:val="en-US" w:eastAsia="zh-CN"/>
                <w14:textFill>
                  <w14:solidFill>
                    <w14:schemeClr w14:val="tx1"/>
                  </w14:solidFill>
                </w14:textFill>
              </w:rPr>
            </w:pPr>
            <w:r>
              <w:rPr>
                <w:rFonts w:hint="default" w:ascii="宋体" w:hAnsi="宋体" w:eastAsia="宋体" w:cs="宋体"/>
                <w:bCs/>
                <w:color w:val="000000" w:themeColor="text1"/>
                <w:sz w:val="24"/>
                <w:szCs w:val="24"/>
                <w:highlight w:val="none"/>
                <w:lang w:val="en-US" w:eastAsia="zh-CN"/>
                <w14:textFill>
                  <w14:solidFill>
                    <w14:schemeClr w14:val="tx1"/>
                  </w14:solidFill>
                </w14:textFill>
              </w:rPr>
              <w:t>对招标文件的实质性技术参数要求条款不允许负偏离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构成招标文件的其他材料</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本项目的澄清、修改、补充说明文件</w:t>
            </w:r>
            <w:r>
              <w:rPr>
                <w:rFonts w:hint="eastAsia" w:ascii="宋体" w:hAnsi="宋体" w:eastAsia="宋体" w:cs="宋体"/>
                <w:bCs/>
                <w:color w:val="auto"/>
                <w:sz w:val="24"/>
                <w:szCs w:val="24"/>
                <w:highlight w:val="none"/>
              </w:rPr>
              <w:t>（如有）。</w:t>
            </w:r>
          </w:p>
          <w:p>
            <w:pPr>
              <w:keepNext w:val="0"/>
              <w:keepLines w:val="0"/>
              <w:pageBreakBefore w:val="0"/>
              <w:widowControl w:val="0"/>
              <w:kinsoku/>
              <w:wordWrap w:val="0"/>
              <w:overflowPunct/>
              <w:topLinePunct w:val="0"/>
              <w:autoSpaceDE/>
              <w:autoSpaceDN/>
              <w:bidi w:val="0"/>
              <w:adjustRightInd w:val="0"/>
              <w:spacing w:line="440" w:lineRule="exac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注：采购代理机构将上述内容以带有编号的补遗文件发送到</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lang w:val="zh-CN"/>
              </w:rPr>
              <w:t>答疑文件</w:t>
            </w:r>
            <w:r>
              <w:rPr>
                <w:rFonts w:hint="eastAsia" w:ascii="宋体" w:hAnsi="宋体" w:eastAsia="宋体" w:cs="宋体"/>
                <w:bCs/>
                <w:color w:val="auto"/>
                <w:sz w:val="24"/>
                <w:szCs w:val="24"/>
                <w:highlight w:val="none"/>
              </w:rPr>
              <w:t>中，各</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登录</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答疑文件处自行下载。如果</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未在上述答疑文件中收到相应文件，请及时与采购代理机构联系，否则采购人和采购代理机构不承担任何责任。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vMerge w:val="restart"/>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2.2.1</w:t>
            </w:r>
          </w:p>
        </w:tc>
        <w:tc>
          <w:tcPr>
            <w:tcW w:w="1692" w:type="dxa"/>
            <w:vMerge w:val="restart"/>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供应商要求澄</w:t>
            </w:r>
            <w:r>
              <w:rPr>
                <w:rFonts w:hint="eastAsia" w:ascii="宋体" w:hAnsi="宋体" w:eastAsia="宋体" w:cs="宋体"/>
                <w:bCs/>
                <w:color w:val="000000" w:themeColor="text1"/>
                <w:sz w:val="24"/>
                <w:szCs w:val="24"/>
                <w:highlight w:val="none"/>
                <w:lang w:val="zh-CN"/>
                <w14:textFill>
                  <w14:solidFill>
                    <w14:schemeClr w14:val="tx1"/>
                  </w14:solidFill>
                </w14:textFill>
              </w:rPr>
              <w:t>清招标文件</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时间：递交投标文件截止之日</w:t>
            </w:r>
            <w:r>
              <w:rPr>
                <w:rFonts w:hint="eastAsia" w:ascii="宋体" w:hAnsi="宋体" w:eastAsia="宋体" w:cs="宋体"/>
                <w:bCs/>
                <w:color w:val="auto"/>
                <w:sz w:val="24"/>
                <w:szCs w:val="24"/>
                <w:highlight w:val="none"/>
                <w:u w:val="single"/>
              </w:rPr>
              <w:t>10</w:t>
            </w:r>
            <w:r>
              <w:rPr>
                <w:rFonts w:hint="eastAsia" w:ascii="宋体" w:hAnsi="宋体" w:eastAsia="宋体" w:cs="宋体"/>
                <w:bCs/>
                <w:color w:val="auto"/>
                <w:sz w:val="24"/>
                <w:szCs w:val="24"/>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p>
        </w:tc>
        <w:tc>
          <w:tcPr>
            <w:tcW w:w="1692" w:type="dxa"/>
            <w:vMerge w:val="continue"/>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形式：各供应商使用CA数字证书登录</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lang w:val="zh-CN"/>
              </w:rPr>
              <w:t>供应商提问栏在线提问，并致电采购代理机构</w:t>
            </w:r>
            <w:r>
              <w:rPr>
                <w:rFonts w:hint="eastAsia" w:ascii="宋体" w:hAnsi="宋体" w:eastAsia="宋体" w:cs="宋体"/>
                <w:color w:val="auto"/>
                <w:sz w:val="24"/>
                <w:szCs w:val="24"/>
                <w:highlight w:val="none"/>
                <w:lang w:eastAsia="zh-CN"/>
              </w:rPr>
              <w:t>0432-</w:t>
            </w:r>
            <w:r>
              <w:rPr>
                <w:rFonts w:hint="eastAsia" w:ascii="宋体" w:hAnsi="宋体" w:cs="宋体"/>
                <w:color w:val="000000" w:themeColor="text1"/>
                <w:sz w:val="24"/>
                <w:szCs w:val="24"/>
                <w:highlight w:val="none"/>
                <w:lang w:val="en-US" w:eastAsia="zh-CN"/>
                <w14:textFill>
                  <w14:solidFill>
                    <w14:schemeClr w14:val="tx1"/>
                  </w14:solidFill>
                </w14:textFill>
              </w:rPr>
              <w:t>65011199</w:t>
            </w:r>
            <w:r>
              <w:rPr>
                <w:rFonts w:hint="eastAsia" w:ascii="宋体" w:hAnsi="宋体" w:eastAsia="宋体" w:cs="宋体"/>
                <w:bCs/>
                <w:color w:val="auto"/>
                <w:sz w:val="24"/>
                <w:szCs w:val="24"/>
                <w:highlight w:val="none"/>
                <w:lang w:val="zh-CN"/>
              </w:rPr>
              <w:t>（供应商在此时间之后提出的问题，采购人不再进行澄清和答复）。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2.2.2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招标文件澄清发出的形式</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详见本章2.1款。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vMerge w:val="restart"/>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2.2.3</w:t>
            </w:r>
          </w:p>
        </w:tc>
        <w:tc>
          <w:tcPr>
            <w:tcW w:w="1692" w:type="dxa"/>
            <w:vMerge w:val="restart"/>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供应商确认收到招标文件澄清</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时间：收到澄清后</w:t>
            </w:r>
            <w:r>
              <w:rPr>
                <w:rFonts w:hint="eastAsia" w:ascii="宋体" w:hAnsi="宋体" w:eastAsia="宋体" w:cs="宋体"/>
                <w:bCs/>
                <w:color w:val="auto"/>
                <w:sz w:val="24"/>
                <w:szCs w:val="24"/>
                <w:highlight w:val="none"/>
                <w:u w:val="single"/>
              </w:rPr>
              <w:t>24小时</w:t>
            </w:r>
            <w:r>
              <w:rPr>
                <w:rFonts w:hint="eastAsia" w:ascii="宋体" w:hAnsi="宋体" w:eastAsia="宋体" w:cs="宋体"/>
                <w:bCs/>
                <w:color w:val="auto"/>
                <w:sz w:val="24"/>
                <w:szCs w:val="24"/>
                <w:highlight w:val="none"/>
              </w:rPr>
              <w:t>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p>
        </w:tc>
        <w:tc>
          <w:tcPr>
            <w:tcW w:w="1692" w:type="dxa"/>
            <w:vMerge w:val="continue"/>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形式：本项目所有修改文件均在</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lang w:val="zh-CN"/>
              </w:rPr>
              <w:t>”中发布，供应商收到后必须以确认函的形式发送至采购代理机构的邮箱</w:t>
            </w:r>
            <w:r>
              <w:rPr>
                <w:rFonts w:hint="eastAsia" w:ascii="宋体" w:hAnsi="宋体" w:cs="宋体"/>
                <w:bCs/>
                <w:color w:val="auto"/>
                <w:sz w:val="24"/>
                <w:szCs w:val="24"/>
                <w:highlight w:val="none"/>
                <w:lang w:val="en-US" w:eastAsia="zh-CN"/>
              </w:rPr>
              <w:t>969444636</w:t>
            </w:r>
            <w:r>
              <w:rPr>
                <w:rFonts w:hint="eastAsia" w:ascii="宋体" w:hAnsi="宋体" w:eastAsia="宋体" w:cs="宋体"/>
                <w:bCs/>
                <w:color w:val="auto"/>
                <w:sz w:val="24"/>
                <w:szCs w:val="24"/>
                <w:highlight w:val="none"/>
                <w:lang w:val="zh-CN"/>
              </w:rPr>
              <w:t>@qq.com，因供应商自身原因未能及时查阅下载所导致的对本项目有关文件理解错误由供应商自行承担。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2.3.1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招标文件修改发出的形式</w:t>
            </w:r>
          </w:p>
        </w:tc>
        <w:tc>
          <w:tcPr>
            <w:tcW w:w="7050" w:type="dxa"/>
            <w:noWrap w:val="0"/>
            <w:vAlign w:val="center"/>
          </w:tcPr>
          <w:p>
            <w:pPr>
              <w:pStyle w:val="29"/>
              <w:keepNext w:val="0"/>
              <w:keepLines w:val="0"/>
              <w:pageBreakBefore w:val="0"/>
              <w:widowControl w:val="0"/>
              <w:pBdr>
                <w:bottom w:val="none" w:color="auto" w:sz="0" w:space="0"/>
              </w:pBdr>
              <w:tabs>
                <w:tab w:val="clear" w:pos="4153"/>
                <w:tab w:val="clear" w:pos="8306"/>
              </w:tabs>
              <w:kinsoku/>
              <w:wordWrap w:val="0"/>
              <w:overflowPunct/>
              <w:topLinePunct w:val="0"/>
              <w:autoSpaceDE/>
              <w:autoSpaceDN/>
              <w:bidi w:val="0"/>
              <w:adjustRightInd w:val="0"/>
              <w:snapToGrid/>
              <w:spacing w:line="440" w:lineRule="exact"/>
              <w:jc w:val="both"/>
              <w:textAlignment w:val="auto"/>
              <w:rPr>
                <w:rFonts w:hint="eastAsia" w:ascii="宋体" w:hAnsi="宋体" w:eastAsia="宋体" w:cs="宋体"/>
                <w:bCs/>
                <w:color w:val="auto"/>
                <w:kern w:val="2"/>
                <w:sz w:val="24"/>
                <w:szCs w:val="24"/>
                <w:highlight w:val="none"/>
                <w:lang w:val="zh-CN" w:eastAsia="zh-CN"/>
              </w:rPr>
            </w:pPr>
            <w:r>
              <w:rPr>
                <w:rFonts w:hint="eastAsia" w:ascii="宋体" w:hAnsi="宋体" w:eastAsia="宋体" w:cs="宋体"/>
                <w:bCs/>
                <w:color w:val="auto"/>
                <w:sz w:val="24"/>
                <w:szCs w:val="24"/>
                <w:highlight w:val="none"/>
                <w:lang w:val="zh-CN" w:eastAsia="zh-CN"/>
              </w:rPr>
              <w:t>详见本章2.1款。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2.3.2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供应商确认收到招标文件修改</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详见本章2.2.3款。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3.2.4</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kern w:val="15"/>
                <w:sz w:val="24"/>
                <w:szCs w:val="24"/>
                <w:highlight w:val="none"/>
              </w:rPr>
              <w:t>最高投标限价</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default" w:ascii="宋体" w:hAnsi="宋体" w:eastAsia="宋体" w:cs="宋体"/>
                <w:bCs/>
                <w:color w:val="auto"/>
                <w:sz w:val="24"/>
                <w:szCs w:val="24"/>
                <w:highlight w:val="none"/>
                <w:lang w:val="en-US"/>
              </w:rPr>
            </w:pPr>
            <w:r>
              <w:rPr>
                <w:rFonts w:hint="eastAsia" w:ascii="宋体" w:hAnsi="宋体" w:cs="宋体"/>
                <w:color w:val="auto"/>
                <w:kern w:val="0"/>
                <w:sz w:val="24"/>
                <w:szCs w:val="24"/>
                <w:highlight w:val="none"/>
                <w:lang w:val="en-US" w:eastAsia="zh-CN" w:bidi="ar"/>
              </w:rPr>
              <w:t>一包：140</w:t>
            </w:r>
            <w:r>
              <w:rPr>
                <w:rFonts w:hint="eastAsia" w:ascii="宋体" w:hAnsi="宋体" w:eastAsia="宋体" w:cs="宋体"/>
                <w:color w:val="auto"/>
                <w:kern w:val="0"/>
                <w:sz w:val="24"/>
                <w:szCs w:val="24"/>
                <w:highlight w:val="none"/>
                <w:lang w:val="en-US" w:eastAsia="zh-CN" w:bidi="ar"/>
              </w:rPr>
              <w:t>万元</w:t>
            </w:r>
            <w:r>
              <w:rPr>
                <w:rFonts w:hint="eastAsia" w:ascii="宋体" w:hAnsi="宋体" w:cs="宋体"/>
                <w:color w:val="auto"/>
                <w:kern w:val="0"/>
                <w:sz w:val="24"/>
                <w:szCs w:val="24"/>
                <w:highlight w:val="none"/>
                <w:lang w:val="en-US" w:eastAsia="zh-CN" w:bidi="ar"/>
              </w:rPr>
              <w:t>、二包：140万元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3.3.1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投标有效期</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投标截止之日后90天（日历天），从开标截止之日算起。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3.4.1</w:t>
            </w:r>
          </w:p>
        </w:tc>
        <w:tc>
          <w:tcPr>
            <w:tcW w:w="1692"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投标保证金</w:t>
            </w:r>
          </w:p>
        </w:tc>
        <w:tc>
          <w:tcPr>
            <w:tcW w:w="7050" w:type="dxa"/>
            <w:noWrap w:val="0"/>
            <w:vAlign w:val="center"/>
          </w:tcPr>
          <w:p>
            <w:pPr>
              <w:pageBreakBefore w:val="0"/>
              <w:kinsoku/>
              <w:overflowPunct/>
              <w:topLinePunct w:val="0"/>
              <w:bidi w:val="0"/>
              <w:spacing w:line="288"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保证金形式：投标保证金应当以支票、汇票、本票或者金融机构、担保机构出具的保函等非现金形式提交。供应商未按照采购文件要求提交投标保证金的，投标无效。以支票形式提交的投标保证金应当从供应商的基本账户转出。</w:t>
            </w:r>
          </w:p>
          <w:p>
            <w:pPr>
              <w:keepNext w:val="0"/>
              <w:keepLines w:val="0"/>
              <w:pageBreakBefore w:val="0"/>
              <w:widowControl w:val="0"/>
              <w:tabs>
                <w:tab w:val="right" w:pos="8306"/>
              </w:tabs>
              <w:kinsoku/>
              <w:wordWrap w:val="0"/>
              <w:overflowPunct/>
              <w:topLinePunct w:val="0"/>
              <w:autoSpaceDE/>
              <w:autoSpaceDN/>
              <w:bidi w:val="0"/>
              <w:spacing w:line="440" w:lineRule="exact"/>
              <w:textAlignment w:val="auto"/>
              <w:rPr>
                <w:rFonts w:hint="eastAsia" w:ascii="宋体" w:hAnsi="宋体" w:eastAsia="宋体" w:cs="宋体"/>
                <w:bCs/>
                <w:color w:val="auto"/>
                <w:kern w:val="15"/>
                <w:sz w:val="24"/>
                <w:highlight w:val="none"/>
                <w:lang w:eastAsia="zh-CN"/>
              </w:rPr>
            </w:pPr>
            <w:r>
              <w:rPr>
                <w:rFonts w:hint="eastAsia" w:ascii="宋体" w:hAnsi="宋体" w:eastAsia="宋体" w:cs="宋体"/>
                <w:color w:val="auto"/>
                <w:sz w:val="24"/>
                <w:szCs w:val="24"/>
                <w:highlight w:val="none"/>
                <w:lang w:val="en-US" w:eastAsia="zh-CN"/>
              </w:rPr>
              <w:t>投标保证金截止时间：投标保证金须在投标文件递交截止时间前到账；投标保证金的确认以最终到账日期为准。</w:t>
            </w:r>
          </w:p>
          <w:p>
            <w:pPr>
              <w:keepNext w:val="0"/>
              <w:keepLines w:val="0"/>
              <w:pageBreakBefore w:val="0"/>
              <w:widowControl w:val="0"/>
              <w:tabs>
                <w:tab w:val="right" w:pos="8306"/>
              </w:tabs>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kern w:val="15"/>
                <w:sz w:val="24"/>
                <w:highlight w:val="none"/>
                <w:lang w:eastAsia="zh-CN"/>
              </w:rPr>
              <w:t>投标保证金的金</w:t>
            </w:r>
            <w:r>
              <w:rPr>
                <w:rFonts w:hint="eastAsia" w:ascii="宋体" w:hAnsi="宋体" w:eastAsia="宋体" w:cs="宋体"/>
                <w:color w:val="auto"/>
                <w:sz w:val="24"/>
                <w:szCs w:val="24"/>
                <w:highlight w:val="none"/>
                <w:lang w:val="en-US" w:eastAsia="zh-CN"/>
              </w:rPr>
              <w:t>额：</w:t>
            </w:r>
            <w:r>
              <w:rPr>
                <w:rFonts w:hint="eastAsia" w:ascii="宋体" w:hAnsi="宋体" w:cs="宋体"/>
                <w:color w:val="auto"/>
                <w:sz w:val="24"/>
                <w:szCs w:val="24"/>
                <w:highlight w:val="none"/>
                <w:lang w:val="en-US" w:eastAsia="zh-CN"/>
              </w:rPr>
              <w:t>一包：14000</w:t>
            </w:r>
            <w:r>
              <w:rPr>
                <w:rFonts w:hint="eastAsia" w:ascii="宋体" w:hAnsi="宋体" w:eastAsia="宋体" w:cs="宋体"/>
                <w:color w:val="auto"/>
                <w:sz w:val="24"/>
                <w:szCs w:val="24"/>
                <w:highlight w:val="none"/>
                <w:lang w:val="en-US" w:eastAsia="zh-CN"/>
              </w:rPr>
              <w:t>元</w:t>
            </w:r>
            <w:r>
              <w:rPr>
                <w:rFonts w:hint="eastAsia" w:ascii="宋体" w:hAnsi="宋体" w:cs="宋体"/>
                <w:color w:val="auto"/>
                <w:sz w:val="24"/>
                <w:szCs w:val="24"/>
                <w:highlight w:val="none"/>
                <w:lang w:val="en-US" w:eastAsia="zh-CN"/>
              </w:rPr>
              <w:t>、二包：14000</w:t>
            </w:r>
            <w:r>
              <w:rPr>
                <w:rFonts w:hint="eastAsia" w:ascii="宋体" w:hAnsi="宋体" w:eastAsia="宋体" w:cs="宋体"/>
                <w:color w:val="auto"/>
                <w:sz w:val="24"/>
                <w:szCs w:val="24"/>
                <w:highlight w:val="none"/>
                <w:lang w:val="en-US" w:eastAsia="zh-CN"/>
              </w:rPr>
              <w:t>元</w:t>
            </w:r>
          </w:p>
          <w:p>
            <w:pPr>
              <w:keepNext w:val="0"/>
              <w:keepLines w:val="0"/>
              <w:pageBreakBefore w:val="0"/>
              <w:widowControl w:val="0"/>
              <w:tabs>
                <w:tab w:val="right" w:pos="8306"/>
              </w:tabs>
              <w:kinsoku/>
              <w:wordWrap w:val="0"/>
              <w:overflowPunct/>
              <w:topLinePunct w:val="0"/>
              <w:autoSpaceDE/>
              <w:autoSpaceDN/>
              <w:bidi w:val="0"/>
              <w:spacing w:line="440" w:lineRule="exact"/>
              <w:textAlignment w:val="auto"/>
              <w:rPr>
                <w:rFonts w:hint="default" w:ascii="宋体" w:hAnsi="宋体" w:eastAsia="宋体" w:cs="宋体"/>
                <w:bCs/>
                <w:color w:val="auto"/>
                <w:kern w:val="15"/>
                <w:sz w:val="24"/>
                <w:highlight w:val="yellow"/>
                <w:lang w:val="en-US" w:eastAsia="zh-CN"/>
              </w:rPr>
            </w:pPr>
            <w:r>
              <w:rPr>
                <w:rFonts w:hint="eastAsia" w:ascii="宋体" w:hAnsi="宋体" w:eastAsia="宋体" w:cs="宋体"/>
                <w:color w:val="auto"/>
                <w:sz w:val="24"/>
                <w:szCs w:val="24"/>
                <w:highlight w:val="none"/>
                <w:lang w:val="en-US" w:eastAsia="zh-CN"/>
              </w:rPr>
              <w:t>递交截止时间：</w:t>
            </w:r>
            <w:r>
              <w:rPr>
                <w:rFonts w:hint="eastAsia" w:ascii="宋体" w:hAnsi="宋体" w:cs="宋体"/>
                <w:color w:val="auto"/>
                <w:sz w:val="24"/>
                <w:szCs w:val="24"/>
                <w:highlight w:val="none"/>
                <w:lang w:val="en-US" w:eastAsia="zh-CN"/>
              </w:rPr>
              <w:t>2024年1月23日09时30分</w:t>
            </w:r>
          </w:p>
          <w:p>
            <w:pPr>
              <w:pStyle w:val="15"/>
              <w:keepNext w:val="0"/>
              <w:keepLines w:val="0"/>
              <w:pageBreakBefore w:val="0"/>
              <w:widowControl w:val="0"/>
              <w:kinsoku/>
              <w:wordWrap w:val="0"/>
              <w:overflowPunct/>
              <w:topLinePunct w:val="0"/>
              <w:autoSpaceDE/>
              <w:autoSpaceDN/>
              <w:bidi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收款单位：</w:t>
            </w:r>
            <w:r>
              <w:rPr>
                <w:rFonts w:hint="eastAsia" w:ascii="宋体" w:hAnsi="宋体" w:eastAsia="宋体" w:cs="宋体"/>
                <w:b w:val="0"/>
                <w:bCs w:val="0"/>
                <w:kern w:val="2"/>
                <w:sz w:val="24"/>
                <w:szCs w:val="24"/>
                <w:highlight w:val="none"/>
                <w:lang w:val="en-US" w:eastAsia="zh-CN" w:bidi="ar-SA"/>
              </w:rPr>
              <w:t>中恒一信项目管理咨询有限公司</w:t>
            </w:r>
          </w:p>
          <w:p>
            <w:pPr>
              <w:pStyle w:val="15"/>
              <w:keepNext w:val="0"/>
              <w:keepLines w:val="0"/>
              <w:pageBreakBefore w:val="0"/>
              <w:widowControl w:val="0"/>
              <w:kinsoku/>
              <w:wordWrap w:val="0"/>
              <w:overflowPunct/>
              <w:topLinePunct w:val="0"/>
              <w:autoSpaceDE/>
              <w:autoSpaceDN/>
              <w:bidi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w:t>
            </w:r>
            <w:r>
              <w:rPr>
                <w:rFonts w:hint="eastAsia" w:ascii="宋体" w:hAnsi="宋体" w:eastAsia="宋体" w:cs="宋体"/>
                <w:b w:val="0"/>
                <w:bCs w:val="0"/>
                <w:kern w:val="2"/>
                <w:sz w:val="24"/>
                <w:szCs w:val="24"/>
                <w:highlight w:val="none"/>
                <w:lang w:val="en-US" w:eastAsia="zh-CN" w:bidi="ar-SA"/>
              </w:rPr>
              <w:t>吉林环城农村商业银行股份有限公司政务服务中心支行</w:t>
            </w:r>
          </w:p>
          <w:p>
            <w:pPr>
              <w:pStyle w:val="15"/>
              <w:keepNext w:val="0"/>
              <w:keepLines w:val="0"/>
              <w:pageBreakBefore w:val="0"/>
              <w:widowControl w:val="0"/>
              <w:kinsoku/>
              <w:wordWrap w:val="0"/>
              <w:overflowPunct/>
              <w:topLinePunct w:val="0"/>
              <w:autoSpaceDE/>
              <w:autoSpaceDN/>
              <w:bidi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账号：</w:t>
            </w:r>
            <w:r>
              <w:rPr>
                <w:rFonts w:hint="eastAsia" w:eastAsia="宋体" w:cs="宋体"/>
                <w:b w:val="0"/>
                <w:bCs w:val="0"/>
                <w:kern w:val="2"/>
                <w:sz w:val="24"/>
                <w:szCs w:val="24"/>
                <w:highlight w:val="none"/>
                <w:lang w:val="en-US" w:eastAsia="zh-CN" w:bidi="ar-SA"/>
              </w:rPr>
              <w:t>0720 6220 1101 5200 0000 38</w:t>
            </w:r>
          </w:p>
          <w:p>
            <w:pPr>
              <w:keepNext w:val="0"/>
              <w:keepLines w:val="0"/>
              <w:pageBreakBefore w:val="0"/>
              <w:widowControl w:val="0"/>
              <w:kinsoku/>
              <w:wordWrap w:val="0"/>
              <w:overflowPunct/>
              <w:topLinePunct w:val="0"/>
              <w:autoSpaceDE/>
              <w:autoSpaceDN/>
              <w:bidi w:val="0"/>
              <w:spacing w:line="440" w:lineRule="exact"/>
              <w:jc w:val="left"/>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联系人：</w:t>
            </w:r>
            <w:r>
              <w:rPr>
                <w:rFonts w:hint="eastAsia" w:ascii="宋体" w:hAnsi="宋体" w:cs="宋体"/>
                <w:color w:val="auto"/>
                <w:kern w:val="0"/>
                <w:sz w:val="24"/>
                <w:szCs w:val="24"/>
                <w:highlight w:val="none"/>
                <w:lang w:val="en-US" w:eastAsia="zh-CN" w:bidi="ar"/>
              </w:rPr>
              <w:t>杨立军</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default" w:ascii="宋体" w:hAnsi="宋体" w:eastAsia="宋体" w:cs="宋体"/>
                <w:b/>
                <w:color w:val="auto"/>
                <w:sz w:val="24"/>
                <w:szCs w:val="24"/>
                <w:highlight w:val="none"/>
                <w:lang w:val="en-US" w:eastAsia="zh-CN"/>
              </w:rPr>
            </w:pPr>
            <w:r>
              <w:rPr>
                <w:rFonts w:hint="eastAsia" w:ascii="宋体" w:hAnsi="宋体" w:eastAsia="宋体" w:cs="宋体"/>
                <w:color w:val="auto"/>
                <w:sz w:val="24"/>
                <w:highlight w:val="none"/>
              </w:rPr>
              <w:t>联系电话：</w:t>
            </w:r>
            <w:r>
              <w:rPr>
                <w:rFonts w:hint="eastAsia" w:ascii="宋体" w:hAnsi="宋体" w:eastAsia="宋体" w:cs="宋体"/>
                <w:color w:val="auto"/>
                <w:kern w:val="0"/>
                <w:sz w:val="24"/>
                <w:szCs w:val="24"/>
                <w:highlight w:val="none"/>
                <w:lang w:eastAsia="zh-CN" w:bidi="ar"/>
              </w:rPr>
              <w:t>0432-</w:t>
            </w:r>
            <w:r>
              <w:rPr>
                <w:rFonts w:hint="eastAsia" w:ascii="宋体" w:hAnsi="宋体" w:cs="宋体"/>
                <w:color w:val="auto"/>
                <w:kern w:val="0"/>
                <w:sz w:val="24"/>
                <w:szCs w:val="24"/>
                <w:highlight w:val="none"/>
                <w:lang w:val="en-US" w:eastAsia="zh-CN" w:bidi="ar"/>
              </w:rPr>
              <w:t>65011199</w:t>
            </w:r>
          </w:p>
          <w:p>
            <w:pPr>
              <w:wordWrap w:val="0"/>
              <w:autoSpaceDE w:val="0"/>
              <w:autoSpaceDN w:val="0"/>
              <w:spacing w:line="440" w:lineRule="exact"/>
              <w:rPr>
                <w:rFonts w:hint="eastAsia" w:ascii="宋体" w:hAnsi="宋体" w:eastAsia="宋体" w:cs="宋体"/>
                <w:bCs/>
                <w:color w:val="auto"/>
                <w:sz w:val="24"/>
                <w:szCs w:val="24"/>
                <w:highlight w:val="none"/>
              </w:rPr>
            </w:pPr>
            <w:r>
              <w:rPr>
                <w:rFonts w:hint="eastAsia" w:ascii="宋体" w:hAnsi="宋体" w:eastAsia="宋体" w:cs="宋体"/>
                <w:b/>
                <w:color w:val="auto"/>
                <w:kern w:val="15"/>
                <w:sz w:val="24"/>
                <w:szCs w:val="24"/>
                <w:highlight w:val="none"/>
              </w:rPr>
              <w:t>注：</w:t>
            </w:r>
            <w:r>
              <w:rPr>
                <w:rFonts w:hint="eastAsia" w:ascii="宋体" w:hAnsi="宋体" w:eastAsia="宋体" w:cs="宋体"/>
                <w:color w:val="auto"/>
                <w:kern w:val="15"/>
                <w:sz w:val="24"/>
                <w:highlight w:val="none"/>
              </w:rPr>
              <w:t>以转账、电汇形式提交的投标保证金应当从投标单位的基本账户一次性转出</w:t>
            </w:r>
            <w:r>
              <w:rPr>
                <w:rFonts w:hint="eastAsia" w:ascii="宋体" w:hAnsi="宋体" w:eastAsia="宋体" w:cs="宋体"/>
                <w:color w:val="auto"/>
                <w:kern w:val="15"/>
                <w:sz w:val="24"/>
                <w:highlight w:val="none"/>
                <w:lang w:eastAsia="zh-CN"/>
              </w:rPr>
              <w:t>，</w:t>
            </w:r>
            <w:r>
              <w:rPr>
                <w:rFonts w:hint="eastAsia" w:ascii="宋体" w:hAnsi="宋体" w:eastAsia="宋体" w:cs="宋体"/>
                <w:color w:val="auto"/>
                <w:kern w:val="15"/>
                <w:sz w:val="24"/>
                <w:highlight w:val="none"/>
              </w:rPr>
              <w:t>并在进帐凭证上明确用途、投标项目名称（可简写）及项目编号、联系人及电话，以便核对查实</w:t>
            </w:r>
            <w:r>
              <w:rPr>
                <w:rFonts w:hint="eastAsia" w:ascii="宋体" w:hAnsi="宋体" w:eastAsia="宋体" w:cs="宋体"/>
                <w:color w:val="auto"/>
                <w:kern w:val="15"/>
                <w:sz w:val="24"/>
                <w:highlight w:val="none"/>
                <w:lang w:eastAsia="zh-CN"/>
              </w:rPr>
              <w:t>。除</w:t>
            </w:r>
            <w:r>
              <w:rPr>
                <w:rFonts w:hint="eastAsia" w:ascii="宋体" w:hAnsi="宋体" w:eastAsia="宋体" w:cs="宋体"/>
                <w:color w:val="auto"/>
                <w:kern w:val="15"/>
                <w:sz w:val="24"/>
                <w:highlight w:val="none"/>
              </w:rPr>
              <w:t>转账、电汇</w:t>
            </w:r>
            <w:r>
              <w:rPr>
                <w:rFonts w:hint="eastAsia" w:ascii="宋体" w:hAnsi="宋体" w:eastAsia="宋体" w:cs="宋体"/>
                <w:color w:val="auto"/>
                <w:kern w:val="15"/>
                <w:sz w:val="24"/>
                <w:highlight w:val="none"/>
                <w:lang w:eastAsia="zh-CN"/>
              </w:rPr>
              <w:t>形式外，</w:t>
            </w:r>
            <w:r>
              <w:rPr>
                <w:rFonts w:hint="eastAsia" w:ascii="宋体" w:hAnsi="宋体" w:eastAsia="宋体" w:cs="Times New Roman"/>
                <w:color w:val="auto"/>
                <w:kern w:val="0"/>
                <w:sz w:val="24"/>
                <w:szCs w:val="21"/>
                <w:highlight w:val="none"/>
              </w:rPr>
              <w:t>也可提供</w:t>
            </w:r>
            <w:r>
              <w:rPr>
                <w:rFonts w:hint="eastAsia" w:ascii="宋体" w:hAnsi="宋体" w:eastAsia="宋体" w:cs="宋体"/>
                <w:bCs/>
                <w:color w:val="auto"/>
                <w:kern w:val="15"/>
                <w:sz w:val="24"/>
                <w:highlight w:val="none"/>
              </w:rPr>
              <w:t>支票、汇票、本票</w:t>
            </w:r>
            <w:r>
              <w:rPr>
                <w:rFonts w:hint="eastAsia" w:ascii="宋体" w:hAnsi="宋体" w:eastAsia="宋体" w:cs="宋体"/>
                <w:bCs/>
                <w:color w:val="auto"/>
                <w:kern w:val="15"/>
                <w:sz w:val="24"/>
                <w:highlight w:val="none"/>
                <w:lang w:eastAsia="zh-CN"/>
              </w:rPr>
              <w:t>或者</w:t>
            </w:r>
            <w:r>
              <w:rPr>
                <w:rFonts w:hint="eastAsia" w:ascii="宋体" w:hAnsi="宋体" w:eastAsia="宋体" w:cs="宋体"/>
                <w:bCs/>
                <w:color w:val="auto"/>
                <w:kern w:val="15"/>
                <w:sz w:val="24"/>
                <w:highlight w:val="none"/>
              </w:rPr>
              <w:t>金融机构、担保机构出具的保函</w:t>
            </w:r>
            <w:r>
              <w:rPr>
                <w:rFonts w:hint="eastAsia" w:ascii="宋体" w:hAnsi="宋体" w:eastAsia="宋体" w:cs="宋体"/>
                <w:color w:val="auto"/>
                <w:kern w:val="0"/>
                <w:sz w:val="24"/>
                <w:szCs w:val="21"/>
                <w:highlight w:val="none"/>
              </w:rPr>
              <w:t>，</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的投标保证金如采用</w:t>
            </w:r>
            <w:r>
              <w:rPr>
                <w:rFonts w:hint="eastAsia" w:ascii="宋体" w:hAnsi="宋体" w:eastAsia="宋体" w:cs="宋体"/>
                <w:bCs/>
                <w:color w:val="auto"/>
                <w:kern w:val="15"/>
                <w:sz w:val="24"/>
                <w:highlight w:val="none"/>
              </w:rPr>
              <w:t>金融机构、担保机构出具的保函</w:t>
            </w:r>
            <w:r>
              <w:rPr>
                <w:rFonts w:hint="eastAsia" w:ascii="宋体" w:hAnsi="宋体" w:eastAsia="宋体" w:cs="宋体"/>
                <w:color w:val="auto"/>
                <w:kern w:val="15"/>
                <w:sz w:val="24"/>
                <w:highlight w:val="none"/>
                <w:lang w:val="zh-CN" w:eastAsia="zh-CN"/>
              </w:rPr>
              <w:t>，</w:t>
            </w:r>
            <w:r>
              <w:rPr>
                <w:rFonts w:hint="eastAsia" w:ascii="宋体" w:hAnsi="宋体" w:eastAsia="宋体" w:cs="宋体"/>
                <w:color w:val="auto"/>
                <w:spacing w:val="0"/>
                <w:sz w:val="24"/>
                <w:highlight w:val="none"/>
              </w:rPr>
              <w:t>应通过</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pacing w:val="0"/>
                <w:sz w:val="24"/>
                <w:highlight w:val="none"/>
              </w:rPr>
              <w:t>保函系统办理</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kern w:val="15"/>
                <w:sz w:val="24"/>
                <w:highlight w:val="none"/>
                <w:lang w:val="zh-CN" w:eastAsia="zh-CN"/>
              </w:rPr>
              <w:t>递交保函的供应商，均须在保证金递交截止日期前，由被授权委托人携带授权委托书原件、被授权人身份证原件、投标保函原件或</w:t>
            </w:r>
            <w:r>
              <w:rPr>
                <w:rFonts w:hint="eastAsia" w:ascii="宋体" w:hAnsi="宋体" w:eastAsia="宋体" w:cs="宋体"/>
                <w:color w:val="auto"/>
                <w:spacing w:val="0"/>
                <w:sz w:val="24"/>
                <w:highlight w:val="none"/>
              </w:rPr>
              <w:t>应通过</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15"/>
                <w:sz w:val="24"/>
                <w:highlight w:val="none"/>
                <w:lang w:val="zh-CN" w:eastAsia="zh-CN"/>
              </w:rPr>
              <w:t>嵌入的电子保函证明材料、投标文件下载码原件到代理机构进行核验保函的真实有效性，同时供应商应备份好保函扫描件，对不能查证属实的，代理机构可拒绝接收。对于伪造保函的，代理机构会及时向公安机关举报。</w:t>
            </w:r>
            <w:r>
              <w:rPr>
                <w:rFonts w:hint="eastAsia" w:ascii="宋体" w:hAnsi="宋体" w:eastAsia="宋体" w:cs="宋体"/>
                <w:color w:val="auto"/>
                <w:kern w:val="15"/>
                <w:sz w:val="24"/>
                <w:highlight w:val="none"/>
                <w:lang w:eastAsia="zh-CN"/>
              </w:rPr>
              <w:t>（为保证投标企业投标保证金、纸质保函</w:t>
            </w:r>
            <w:r>
              <w:rPr>
                <w:rFonts w:hint="eastAsia" w:ascii="宋体" w:hAnsi="宋体" w:eastAsia="宋体" w:cs="宋体"/>
                <w:color w:val="auto"/>
                <w:kern w:val="15"/>
                <w:sz w:val="24"/>
                <w:highlight w:val="none"/>
                <w:lang w:val="zh-CN" w:eastAsia="zh-CN"/>
              </w:rPr>
              <w:t>或电子保函</w:t>
            </w:r>
            <w:r>
              <w:rPr>
                <w:rFonts w:hint="eastAsia" w:ascii="宋体" w:hAnsi="宋体" w:eastAsia="宋体" w:cs="宋体"/>
                <w:color w:val="auto"/>
                <w:kern w:val="15"/>
                <w:sz w:val="24"/>
                <w:highlight w:val="none"/>
                <w:lang w:eastAsia="zh-CN"/>
              </w:rPr>
              <w:t>准确存入指定账户及保函合法性，避免出现因投标保证金递交失误而导致的废标，投标单位须在保证金递交截止日期前，将</w:t>
            </w:r>
            <w:r>
              <w:rPr>
                <w:rFonts w:hint="eastAsia" w:ascii="宋体" w:hAnsi="宋体" w:eastAsia="宋体" w:cs="宋体"/>
                <w:b/>
                <w:bCs w:val="0"/>
                <w:color w:val="auto"/>
                <w:kern w:val="15"/>
                <w:sz w:val="24"/>
                <w:szCs w:val="24"/>
                <w:highlight w:val="none"/>
                <w:u w:val="single"/>
              </w:rPr>
              <w:t>汇款凭证</w:t>
            </w:r>
            <w:r>
              <w:rPr>
                <w:rFonts w:hint="eastAsia" w:ascii="宋体" w:hAnsi="宋体" w:eastAsia="宋体" w:cs="宋体"/>
                <w:b/>
                <w:bCs w:val="0"/>
                <w:color w:val="auto"/>
                <w:kern w:val="15"/>
                <w:sz w:val="24"/>
                <w:szCs w:val="24"/>
                <w:highlight w:val="none"/>
                <w:u w:val="single"/>
                <w:lang w:eastAsia="zh-CN"/>
              </w:rPr>
              <w:t>、纸质保函、电子保函回执</w:t>
            </w:r>
            <w:r>
              <w:rPr>
                <w:rFonts w:hint="eastAsia" w:ascii="宋体" w:hAnsi="宋体" w:eastAsia="宋体" w:cs="宋体"/>
                <w:color w:val="auto"/>
                <w:kern w:val="15"/>
                <w:sz w:val="24"/>
                <w:highlight w:val="none"/>
                <w:lang w:eastAsia="zh-CN"/>
              </w:rPr>
              <w:t>扫描件发送至</w:t>
            </w:r>
            <w:r>
              <w:rPr>
                <w:rFonts w:hint="eastAsia" w:ascii="宋体" w:hAnsi="宋体" w:eastAsia="宋体" w:cs="宋体"/>
                <w:bCs/>
                <w:color w:val="auto"/>
                <w:sz w:val="24"/>
                <w:szCs w:val="24"/>
                <w:highlight w:val="none"/>
              </w:rPr>
              <w:t>代理机构指定邮箱</w:t>
            </w:r>
            <w:r>
              <w:rPr>
                <w:rFonts w:hint="eastAsia" w:ascii="宋体" w:hAnsi="宋体" w:eastAsia="宋体" w:cs="宋体"/>
                <w:b/>
                <w:bCs w:val="0"/>
                <w:color w:val="auto"/>
                <w:sz w:val="24"/>
                <w:szCs w:val="24"/>
                <w:highlight w:val="none"/>
              </w:rPr>
              <w:fldChar w:fldCharType="begin"/>
            </w:r>
            <w:r>
              <w:rPr>
                <w:rFonts w:hint="eastAsia" w:ascii="宋体" w:hAnsi="宋体" w:eastAsia="宋体" w:cs="宋体"/>
                <w:b/>
                <w:bCs w:val="0"/>
                <w:color w:val="auto"/>
                <w:sz w:val="24"/>
                <w:szCs w:val="24"/>
                <w:highlight w:val="none"/>
              </w:rPr>
              <w:instrText xml:space="preserve"> HYPERLINK "mailto:468518798@qq.com" </w:instrText>
            </w:r>
            <w:r>
              <w:rPr>
                <w:rFonts w:hint="eastAsia" w:ascii="宋体" w:hAnsi="宋体" w:eastAsia="宋体" w:cs="宋体"/>
                <w:b/>
                <w:bCs w:val="0"/>
                <w:color w:val="auto"/>
                <w:sz w:val="24"/>
                <w:szCs w:val="24"/>
                <w:highlight w:val="none"/>
              </w:rPr>
              <w:fldChar w:fldCharType="separate"/>
            </w:r>
            <w:r>
              <w:rPr>
                <w:rFonts w:hint="eastAsia" w:ascii="宋体" w:hAnsi="宋体" w:cs="宋体"/>
                <w:b/>
                <w:bCs w:val="0"/>
                <w:color w:val="auto"/>
                <w:sz w:val="24"/>
                <w:szCs w:val="24"/>
                <w:highlight w:val="none"/>
                <w:lang w:val="en-US" w:eastAsia="zh-CN"/>
              </w:rPr>
              <w:t>969444636</w:t>
            </w:r>
            <w:r>
              <w:rPr>
                <w:rFonts w:hint="eastAsia" w:ascii="宋体" w:hAnsi="宋体" w:eastAsia="宋体" w:cs="宋体"/>
                <w:b/>
                <w:bCs w:val="0"/>
                <w:color w:val="auto"/>
                <w:sz w:val="24"/>
                <w:szCs w:val="24"/>
                <w:highlight w:val="none"/>
                <w:lang w:eastAsia="zh-CN"/>
              </w:rPr>
              <w:t>@qq.com</w:t>
            </w:r>
            <w:r>
              <w:rPr>
                <w:rFonts w:hint="eastAsia" w:ascii="宋体" w:hAnsi="宋体" w:eastAsia="宋体" w:cs="宋体"/>
                <w:b/>
                <w:bCs w:val="0"/>
                <w:color w:val="auto"/>
                <w:sz w:val="24"/>
                <w:szCs w:val="24"/>
                <w:highlight w:val="none"/>
              </w:rPr>
              <w:fldChar w:fldCharType="end"/>
            </w:r>
            <w:r>
              <w:rPr>
                <w:rFonts w:hint="eastAsia" w:ascii="宋体" w:hAnsi="宋体" w:eastAsia="宋体" w:cs="宋体"/>
                <w:color w:val="auto"/>
                <w:kern w:val="15"/>
                <w:sz w:val="24"/>
                <w:highlight w:val="none"/>
                <w:lang w:eastAsia="zh-CN"/>
              </w:rPr>
              <w:t>进行确认，</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应确保此笔款项或保函在投标保证金递交截止时间前送达，投标保证金交付时间以保证金到帐或收到保函的时间为准</w:t>
            </w:r>
            <w:r>
              <w:rPr>
                <w:rFonts w:hint="eastAsia" w:ascii="宋体" w:hAnsi="宋体" w:eastAsia="宋体" w:cs="宋体"/>
                <w:color w:val="auto"/>
                <w:kern w:val="15"/>
                <w:sz w:val="24"/>
                <w:highlight w:val="none"/>
                <w:lang w:eastAsia="zh-CN"/>
              </w:rPr>
              <w:t>）。</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投标保证金是投标文件的组成部分，未按以上相关要求递交投标保证金的</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，视为投标保证金无效，初步评审不通过，不再进入详细评审，一切后果由</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3.4.4</w:t>
            </w:r>
          </w:p>
        </w:tc>
        <w:tc>
          <w:tcPr>
            <w:tcW w:w="1692"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其他可以不予退还投标保证金的情形</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在投标过程中借用他人资质，互相串通、结盟，伪造虚假业绩、人员、财务、履约情况等，或违反国家有关规定，损害招标的公正性和竞争性进行投标者。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3.5.2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近年财务状况的年份要求</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cs="宋体"/>
                <w:i w:val="0"/>
                <w:iCs w:val="0"/>
                <w:color w:val="auto"/>
                <w:kern w:val="24"/>
                <w:sz w:val="24"/>
                <w:szCs w:val="24"/>
                <w:highlight w:val="none"/>
                <w:u w:val="none"/>
                <w:lang w:eastAsia="zh-CN"/>
              </w:rPr>
              <w:t>20</w:t>
            </w:r>
            <w:r>
              <w:rPr>
                <w:rFonts w:hint="eastAsia" w:ascii="宋体" w:hAnsi="宋体" w:cs="宋体"/>
                <w:i w:val="0"/>
                <w:iCs w:val="0"/>
                <w:color w:val="auto"/>
                <w:kern w:val="24"/>
                <w:sz w:val="24"/>
                <w:szCs w:val="24"/>
                <w:highlight w:val="none"/>
                <w:u w:val="none"/>
                <w:lang w:val="en-US" w:eastAsia="zh-CN"/>
              </w:rPr>
              <w:t>20</w:t>
            </w:r>
            <w:r>
              <w:rPr>
                <w:rFonts w:hint="eastAsia" w:ascii="宋体" w:hAnsi="宋体" w:eastAsia="宋体" w:cs="宋体"/>
                <w:i w:val="0"/>
                <w:iCs w:val="0"/>
                <w:color w:val="auto"/>
                <w:kern w:val="24"/>
                <w:sz w:val="24"/>
                <w:szCs w:val="24"/>
                <w:highlight w:val="none"/>
                <w:u w:val="none"/>
              </w:rPr>
              <w:t xml:space="preserve"> 年 1 月 1 日起至 </w:t>
            </w:r>
            <w:r>
              <w:rPr>
                <w:rFonts w:hint="eastAsia" w:ascii="宋体" w:hAnsi="宋体" w:cs="宋体"/>
                <w:i w:val="0"/>
                <w:iCs w:val="0"/>
                <w:color w:val="auto"/>
                <w:kern w:val="24"/>
                <w:sz w:val="24"/>
                <w:szCs w:val="24"/>
                <w:highlight w:val="none"/>
                <w:u w:val="none"/>
                <w:lang w:eastAsia="zh-CN"/>
              </w:rPr>
              <w:t>202</w:t>
            </w:r>
            <w:r>
              <w:rPr>
                <w:rFonts w:hint="eastAsia" w:ascii="宋体" w:hAnsi="宋体" w:cs="宋体"/>
                <w:i w:val="0"/>
                <w:iCs w:val="0"/>
                <w:color w:val="auto"/>
                <w:kern w:val="24"/>
                <w:sz w:val="24"/>
                <w:szCs w:val="24"/>
                <w:highlight w:val="none"/>
                <w:u w:val="none"/>
                <w:lang w:val="en-US" w:eastAsia="zh-CN"/>
              </w:rPr>
              <w:t>2</w:t>
            </w:r>
            <w:r>
              <w:rPr>
                <w:rFonts w:hint="eastAsia" w:ascii="宋体" w:hAnsi="宋体" w:eastAsia="宋体" w:cs="宋体"/>
                <w:i w:val="0"/>
                <w:iCs w:val="0"/>
                <w:color w:val="auto"/>
                <w:kern w:val="24"/>
                <w:sz w:val="24"/>
                <w:szCs w:val="24"/>
                <w:highlight w:val="none"/>
                <w:u w:val="none"/>
              </w:rPr>
              <w:t>年 12 月 31 日止。（</w:t>
            </w:r>
            <w:r>
              <w:rPr>
                <w:rFonts w:hint="eastAsia" w:ascii="宋体" w:hAnsi="宋体" w:cs="宋体"/>
                <w:i w:val="0"/>
                <w:iCs w:val="0"/>
                <w:color w:val="auto"/>
                <w:kern w:val="24"/>
                <w:sz w:val="24"/>
                <w:szCs w:val="24"/>
                <w:highlight w:val="none"/>
                <w:u w:val="none"/>
                <w:lang w:val="zh-CN"/>
              </w:rPr>
              <w:t>投标人</w:t>
            </w:r>
            <w:r>
              <w:rPr>
                <w:rFonts w:hint="eastAsia" w:ascii="宋体" w:hAnsi="宋体" w:eastAsia="宋体" w:cs="宋体"/>
                <w:i w:val="0"/>
                <w:iCs w:val="0"/>
                <w:color w:val="auto"/>
                <w:kern w:val="24"/>
                <w:sz w:val="24"/>
                <w:szCs w:val="24"/>
                <w:highlight w:val="none"/>
                <w:u w:val="none"/>
                <w:lang w:val="zh-CN"/>
              </w:rPr>
              <w:t>的成立时间少于规定年份的，应提供成立以来至</w:t>
            </w:r>
            <w:r>
              <w:rPr>
                <w:rFonts w:hint="eastAsia" w:ascii="宋体" w:hAnsi="宋体" w:cs="宋体"/>
                <w:i w:val="0"/>
                <w:iCs w:val="0"/>
                <w:color w:val="auto"/>
                <w:kern w:val="24"/>
                <w:sz w:val="24"/>
                <w:szCs w:val="24"/>
                <w:highlight w:val="none"/>
                <w:u w:val="none"/>
                <w:lang w:val="zh-CN"/>
              </w:rPr>
              <w:t>202</w:t>
            </w:r>
            <w:r>
              <w:rPr>
                <w:rFonts w:hint="eastAsia" w:ascii="宋体" w:hAnsi="宋体" w:cs="宋体"/>
                <w:i w:val="0"/>
                <w:iCs w:val="0"/>
                <w:color w:val="auto"/>
                <w:kern w:val="24"/>
                <w:sz w:val="24"/>
                <w:szCs w:val="24"/>
                <w:highlight w:val="none"/>
                <w:u w:val="none"/>
                <w:lang w:val="en-US" w:eastAsia="zh-CN"/>
              </w:rPr>
              <w:t>2</w:t>
            </w:r>
            <w:r>
              <w:rPr>
                <w:rFonts w:hint="eastAsia" w:ascii="宋体" w:hAnsi="宋体" w:eastAsia="宋体" w:cs="宋体"/>
                <w:i w:val="0"/>
                <w:iCs w:val="0"/>
                <w:color w:val="auto"/>
                <w:kern w:val="24"/>
                <w:sz w:val="24"/>
                <w:szCs w:val="24"/>
                <w:highlight w:val="none"/>
                <w:u w:val="none"/>
                <w:lang w:val="zh-CN"/>
              </w:rPr>
              <w:t>年</w:t>
            </w:r>
            <w:r>
              <w:rPr>
                <w:rFonts w:hint="eastAsia" w:ascii="宋体" w:hAnsi="宋体" w:cs="宋体"/>
                <w:i w:val="0"/>
                <w:iCs w:val="0"/>
                <w:color w:val="auto"/>
                <w:kern w:val="24"/>
                <w:sz w:val="24"/>
                <w:szCs w:val="24"/>
                <w:highlight w:val="none"/>
                <w:u w:val="none"/>
                <w:lang w:val="en-US" w:eastAsia="zh-CN"/>
              </w:rPr>
              <w:t>的</w:t>
            </w:r>
            <w:r>
              <w:rPr>
                <w:rFonts w:hint="eastAsia" w:ascii="宋体" w:hAnsi="宋体" w:eastAsia="宋体" w:cs="宋体"/>
                <w:i w:val="0"/>
                <w:iCs w:val="0"/>
                <w:color w:val="auto"/>
                <w:kern w:val="24"/>
                <w:sz w:val="24"/>
                <w:szCs w:val="24"/>
                <w:highlight w:val="none"/>
                <w:u w:val="none"/>
                <w:lang w:val="zh-CN"/>
              </w:rPr>
              <w:t>；</w:t>
            </w:r>
            <w:r>
              <w:rPr>
                <w:rFonts w:hint="eastAsia" w:ascii="宋体" w:hAnsi="宋体" w:cs="宋体"/>
                <w:i w:val="0"/>
                <w:iCs w:val="0"/>
                <w:color w:val="auto"/>
                <w:kern w:val="24"/>
                <w:sz w:val="24"/>
                <w:szCs w:val="24"/>
                <w:highlight w:val="none"/>
                <w:u w:val="none"/>
                <w:lang w:val="zh-CN"/>
              </w:rPr>
              <w:t>202</w:t>
            </w:r>
            <w:r>
              <w:rPr>
                <w:rFonts w:hint="eastAsia" w:ascii="宋体" w:hAnsi="宋体" w:cs="宋体"/>
                <w:i w:val="0"/>
                <w:iCs w:val="0"/>
                <w:color w:val="auto"/>
                <w:kern w:val="24"/>
                <w:sz w:val="24"/>
                <w:szCs w:val="24"/>
                <w:highlight w:val="none"/>
                <w:u w:val="none"/>
                <w:lang w:val="en-US" w:eastAsia="zh-CN"/>
              </w:rPr>
              <w:t>3</w:t>
            </w:r>
            <w:r>
              <w:rPr>
                <w:rFonts w:hint="eastAsia" w:ascii="宋体" w:hAnsi="宋体" w:eastAsia="宋体" w:cs="宋体"/>
                <w:i w:val="0"/>
                <w:iCs w:val="0"/>
                <w:color w:val="auto"/>
                <w:kern w:val="24"/>
                <w:sz w:val="24"/>
                <w:szCs w:val="24"/>
                <w:highlight w:val="none"/>
                <w:u w:val="none"/>
                <w:lang w:val="zh-CN"/>
              </w:rPr>
              <w:t>年新成立企业需提供当年银行出具的公司资信证明）。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3.5.3</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近年发生的诉讼及仲裁情况的年份要求</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eastAsia="zh-CN"/>
              </w:rPr>
              <w:t>20</w:t>
            </w: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rPr>
              <w:t>年1月1日至招标公告发布之日止。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3.6.1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是否允许递交备选投标方案</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00" w:lineRule="exac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fldChar w:fldCharType="begin"/>
            </w:r>
            <w:r>
              <w:rPr>
                <w:rFonts w:hint="eastAsia" w:ascii="宋体" w:hAnsi="宋体" w:eastAsia="宋体" w:cs="宋体"/>
                <w:bCs/>
                <w:color w:val="auto"/>
                <w:sz w:val="24"/>
                <w:highlight w:val="none"/>
                <w:lang w:val="zh-CN"/>
              </w:rPr>
              <w:instrText xml:space="preserve">eq \o\ac(□,√)</w:instrText>
            </w:r>
            <w:r>
              <w:rPr>
                <w:rFonts w:hint="eastAsia" w:ascii="宋体" w:hAnsi="宋体" w:eastAsia="宋体" w:cs="宋体"/>
                <w:bCs/>
                <w:color w:val="auto"/>
                <w:sz w:val="24"/>
                <w:highlight w:val="none"/>
                <w:lang w:val="zh-CN"/>
              </w:rPr>
              <w:fldChar w:fldCharType="end"/>
            </w:r>
            <w:r>
              <w:rPr>
                <w:rFonts w:hint="eastAsia" w:ascii="宋体" w:hAnsi="宋体" w:eastAsia="宋体" w:cs="宋体"/>
                <w:bCs/>
                <w:color w:val="auto"/>
                <w:sz w:val="24"/>
                <w:highlight w:val="none"/>
                <w:lang w:val="zh-CN"/>
              </w:rPr>
              <w:t>不允许</w:t>
            </w:r>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lang w:val="zh-CN"/>
              </w:rPr>
              <w:t>3.7.3（</w:t>
            </w:r>
            <w:r>
              <w:rPr>
                <w:rFonts w:hint="eastAsia" w:ascii="宋体" w:hAnsi="宋体" w:eastAsia="宋体" w:cs="宋体"/>
                <w:bCs/>
                <w:color w:val="auto"/>
                <w:sz w:val="24"/>
                <w:highlight w:val="none"/>
              </w:rPr>
              <w:t>3</w:t>
            </w:r>
            <w:r>
              <w:rPr>
                <w:rFonts w:hint="eastAsia" w:ascii="宋体" w:hAnsi="宋体" w:eastAsia="宋体" w:cs="宋体"/>
                <w:bCs/>
                <w:color w:val="auto"/>
                <w:sz w:val="24"/>
                <w:highlight w:val="none"/>
                <w:lang w:val="zh-CN"/>
              </w:rPr>
              <w:t>）</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lang w:val="zh-CN"/>
              </w:rPr>
              <w:t>投标文件是否需要分册装订</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zh-CN"/>
              </w:rPr>
              <w:t>是</w:t>
            </w:r>
          </w:p>
          <w:p>
            <w:pPr>
              <w:keepNext w:val="0"/>
              <w:keepLines w:val="0"/>
              <w:pageBreakBefore w:val="0"/>
              <w:widowControl w:val="0"/>
              <w:kinsoku/>
              <w:wordWrap w:val="0"/>
              <w:overflowPunct/>
              <w:topLinePunct w:val="0"/>
              <w:autoSpaceDE/>
              <w:autoSpaceDN/>
              <w:bidi w:val="0"/>
              <w:adjustRightInd w:val="0"/>
              <w:spacing w:line="360" w:lineRule="exac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zh-CN"/>
              </w:rPr>
              <w:fldChar w:fldCharType="begin"/>
            </w:r>
            <w:r>
              <w:rPr>
                <w:rFonts w:hint="eastAsia" w:ascii="宋体" w:hAnsi="宋体" w:eastAsia="宋体" w:cs="宋体"/>
                <w:bCs/>
                <w:color w:val="auto"/>
                <w:sz w:val="24"/>
                <w:highlight w:val="none"/>
                <w:lang w:val="zh-CN"/>
              </w:rPr>
              <w:instrText xml:space="preserve">eq \o\ac(□,√)</w:instrText>
            </w:r>
            <w:r>
              <w:rPr>
                <w:rFonts w:hint="eastAsia" w:ascii="宋体" w:hAnsi="宋体" w:eastAsia="宋体" w:cs="宋体"/>
                <w:bCs/>
                <w:color w:val="auto"/>
                <w:sz w:val="24"/>
                <w:highlight w:val="none"/>
                <w:lang w:val="zh-CN"/>
              </w:rPr>
              <w:fldChar w:fldCharType="end"/>
            </w:r>
            <w:r>
              <w:rPr>
                <w:rFonts w:hint="eastAsia" w:ascii="宋体" w:hAnsi="宋体" w:eastAsia="宋体" w:cs="宋体"/>
                <w:bCs/>
                <w:color w:val="auto"/>
                <w:sz w:val="24"/>
                <w:highlight w:val="none"/>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lang w:val="zh-CN"/>
              </w:rPr>
              <w:t>3.7.3（</w:t>
            </w:r>
            <w:r>
              <w:rPr>
                <w:rFonts w:hint="eastAsia" w:ascii="宋体" w:hAnsi="宋体" w:eastAsia="宋体" w:cs="宋体"/>
                <w:bCs/>
                <w:color w:val="auto"/>
                <w:sz w:val="24"/>
                <w:highlight w:val="none"/>
              </w:rPr>
              <w:t>4</w:t>
            </w:r>
            <w:r>
              <w:rPr>
                <w:rFonts w:hint="eastAsia" w:ascii="宋体" w:hAnsi="宋体" w:eastAsia="宋体" w:cs="宋体"/>
                <w:bCs/>
                <w:color w:val="auto"/>
                <w:sz w:val="24"/>
                <w:highlight w:val="none"/>
                <w:lang w:val="zh-CN"/>
              </w:rPr>
              <w:t>）</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lang w:val="zh-CN"/>
              </w:rPr>
              <w:t>投标文件的补充递交</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zh-CN"/>
              </w:rPr>
              <w:t>中标单位需在中标通知书领取之前到采购代理机构提交纸质版投标文件</w:t>
            </w:r>
            <w:r>
              <w:rPr>
                <w:rFonts w:hint="eastAsia" w:ascii="宋体" w:hAnsi="宋体" w:cs="宋体"/>
                <w:bCs/>
                <w:color w:val="auto"/>
                <w:sz w:val="24"/>
                <w:highlight w:val="none"/>
                <w:lang w:val="en-US" w:eastAsia="zh-CN"/>
              </w:rPr>
              <w:t>正本1份、</w:t>
            </w:r>
            <w:r>
              <w:rPr>
                <w:rFonts w:hint="eastAsia" w:ascii="宋体" w:hAnsi="宋体" w:eastAsia="宋体" w:cs="宋体"/>
                <w:bCs/>
                <w:color w:val="auto"/>
                <w:sz w:val="24"/>
                <w:highlight w:val="none"/>
                <w:lang w:val="zh-CN"/>
              </w:rPr>
              <w:t>副本</w:t>
            </w:r>
            <w:r>
              <w:rPr>
                <w:rFonts w:hint="eastAsia" w:ascii="宋体" w:hAnsi="宋体" w:cs="宋体"/>
                <w:bCs/>
                <w:color w:val="auto"/>
                <w:sz w:val="24"/>
                <w:highlight w:val="none"/>
                <w:lang w:val="en-US" w:eastAsia="zh-CN"/>
              </w:rPr>
              <w:t>4份</w:t>
            </w:r>
            <w:r>
              <w:rPr>
                <w:rFonts w:hint="eastAsia" w:ascii="宋体" w:hAnsi="宋体" w:eastAsia="宋体" w:cs="宋体"/>
                <w:bCs/>
                <w:color w:val="auto"/>
                <w:sz w:val="24"/>
                <w:highlight w:val="none"/>
                <w:lang w:val="zh-CN"/>
              </w:rPr>
              <w:t>（中标单位提交的纸质版投标文件副本，必须与上传的电子投标文件以及开标截止时间前递交的纸质版投标文件正本相同，装订要整齐、牢固、采用左侧纵向无线胶订机胶订，编制目录及页码，使用标准的宋体字、A4纸打印胶装装订成册），否则视为放弃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3.7.</w:t>
            </w:r>
            <w:r>
              <w:rPr>
                <w:rFonts w:hint="eastAsia" w:ascii="宋体" w:hAnsi="宋体" w:eastAsia="宋体" w:cs="宋体"/>
                <w:bCs/>
                <w:color w:val="auto"/>
                <w:sz w:val="24"/>
                <w:szCs w:val="24"/>
                <w:highlight w:val="none"/>
              </w:rPr>
              <w:t>4</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投标文件上传</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kern w:val="15"/>
                <w:sz w:val="24"/>
                <w:szCs w:val="24"/>
                <w:highlight w:val="none"/>
              </w:rPr>
            </w:pPr>
            <w:r>
              <w:rPr>
                <w:rFonts w:hint="eastAsia" w:ascii="宋体" w:hAnsi="宋体" w:eastAsia="宋体" w:cs="宋体"/>
                <w:bCs/>
                <w:color w:val="auto"/>
                <w:kern w:val="15"/>
                <w:sz w:val="24"/>
                <w:szCs w:val="24"/>
                <w:highlight w:val="none"/>
                <w:lang w:eastAsia="zh-CN"/>
              </w:rPr>
              <w:t>供应商</w:t>
            </w:r>
            <w:r>
              <w:rPr>
                <w:rFonts w:hint="eastAsia" w:ascii="宋体" w:hAnsi="宋体" w:eastAsia="宋体" w:cs="宋体"/>
                <w:bCs/>
                <w:color w:val="auto"/>
                <w:kern w:val="15"/>
                <w:sz w:val="24"/>
                <w:szCs w:val="24"/>
                <w:highlight w:val="none"/>
              </w:rPr>
              <w:t>需在开标前将投标文件制作工具生成的加密文件上传到</w:t>
            </w:r>
            <w:r>
              <w:rPr>
                <w:rFonts w:hint="eastAsia" w:ascii="宋体" w:hAnsi="宋体" w:cs="宋体"/>
                <w:bCs/>
                <w:color w:val="auto"/>
                <w:sz w:val="24"/>
                <w:szCs w:val="24"/>
                <w:highlight w:val="none"/>
              </w:rPr>
              <w:t>政府采购云平台（网址：http://www.zcygov.cn）</w:t>
            </w:r>
            <w:r>
              <w:rPr>
                <w:rFonts w:hint="eastAsia" w:ascii="宋体" w:hAnsi="宋体" w:eastAsia="宋体" w:cs="宋体"/>
                <w:bCs/>
                <w:color w:val="auto"/>
                <w:kern w:val="15"/>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4.2.1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供应商上传提交投标文件的截止时间(开标时间）</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eastAsia="zh-CN"/>
              </w:rPr>
              <w:t>202</w:t>
            </w: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lang w:eastAsia="zh-CN"/>
              </w:rPr>
              <w:t>年1月</w:t>
            </w:r>
            <w:r>
              <w:rPr>
                <w:rFonts w:hint="eastAsia" w:ascii="宋体" w:hAnsi="宋体" w:cs="宋体"/>
                <w:bCs/>
                <w:color w:val="auto"/>
                <w:sz w:val="24"/>
                <w:szCs w:val="24"/>
                <w:highlight w:val="none"/>
                <w:lang w:val="en-US" w:eastAsia="zh-CN"/>
              </w:rPr>
              <w:t>23</w:t>
            </w:r>
            <w:r>
              <w:rPr>
                <w:rFonts w:hint="eastAsia" w:ascii="宋体" w:hAnsi="宋体" w:cs="宋体"/>
                <w:bCs/>
                <w:color w:val="auto"/>
                <w:sz w:val="24"/>
                <w:szCs w:val="24"/>
                <w:highlight w:val="none"/>
                <w:lang w:eastAsia="zh-CN"/>
              </w:rPr>
              <w:t>日09时30分（北京时间）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4.</w:t>
            </w: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val="zh-CN"/>
              </w:rPr>
              <w:t>.2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供应商上传提交投标文件的平台</w:t>
            </w:r>
          </w:p>
        </w:tc>
        <w:tc>
          <w:tcPr>
            <w:tcW w:w="7050" w:type="dxa"/>
            <w:noWrap w:val="0"/>
            <w:vAlign w:val="top"/>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rPr>
              <w:t>本项目执行电子化招投标，供应商须通过政府采购云平台（网址：http://www.zcygov.cn）递交电子版</w:t>
            </w:r>
            <w:r>
              <w:rPr>
                <w:rFonts w:hint="eastAsia" w:ascii="宋体" w:hAnsi="宋体" w:cs="宋体"/>
                <w:bCs/>
                <w:color w:val="auto"/>
                <w:sz w:val="24"/>
                <w:szCs w:val="24"/>
                <w:highlight w:val="none"/>
                <w:lang w:val="en-US" w:eastAsia="zh-CN"/>
              </w:rPr>
              <w:t>投标</w:t>
            </w:r>
            <w:r>
              <w:rPr>
                <w:rFonts w:hint="eastAsia" w:ascii="宋体" w:hAnsi="宋体" w:cs="宋体"/>
                <w:bCs/>
                <w:color w:val="auto"/>
                <w:sz w:val="24"/>
                <w:szCs w:val="24"/>
                <w:highlight w:val="none"/>
              </w:rPr>
              <w:t>文件</w:t>
            </w:r>
            <w:r>
              <w:rPr>
                <w:rFonts w:hint="eastAsia" w:ascii="宋体" w:hAnsi="宋体" w:cs="宋体"/>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lang w:val="zh-CN"/>
              </w:rPr>
              <w:t>4.2.3</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rPr>
              <w:t>投标文件是否退还</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360" w:lineRule="exact"/>
              <w:textAlignment w:val="auto"/>
              <w:rPr>
                <w:rFonts w:hint="eastAsia" w:ascii="宋体" w:hAnsi="宋体" w:eastAsia="宋体" w:cs="宋体"/>
                <w:bCs/>
                <w:color w:val="auto"/>
                <w:kern w:val="0"/>
                <w:sz w:val="24"/>
                <w:highlight w:val="none"/>
                <w:lang w:val="zh-CN"/>
              </w:rPr>
            </w:pPr>
            <w:r>
              <w:rPr>
                <w:rFonts w:hint="eastAsia" w:ascii="宋体" w:hAnsi="宋体" w:eastAsia="宋体" w:cs="宋体"/>
                <w:bCs/>
                <w:color w:val="auto"/>
                <w:sz w:val="24"/>
                <w:highlight w:val="none"/>
              </w:rPr>
              <w:t>□</w:t>
            </w:r>
            <w:r>
              <w:rPr>
                <w:rFonts w:hint="eastAsia" w:ascii="宋体" w:hAnsi="宋体" w:eastAsia="宋体" w:cs="宋体"/>
                <w:bCs/>
                <w:color w:val="auto"/>
                <w:kern w:val="0"/>
                <w:sz w:val="24"/>
                <w:highlight w:val="none"/>
                <w:lang w:val="zh-CN"/>
              </w:rPr>
              <w:t>是</w:t>
            </w:r>
          </w:p>
          <w:p>
            <w:pPr>
              <w:keepNext w:val="0"/>
              <w:keepLines w:val="0"/>
              <w:pageBreakBefore w:val="0"/>
              <w:widowControl w:val="0"/>
              <w:kinsoku/>
              <w:wordWrap w:val="0"/>
              <w:overflowPunct/>
              <w:topLinePunct w:val="0"/>
              <w:autoSpaceDE/>
              <w:autoSpaceDN/>
              <w:bidi w:val="0"/>
              <w:adjustRightInd w:val="0"/>
              <w:spacing w:line="36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highlight w:val="none"/>
                <w:lang w:val="zh-CN"/>
              </w:rPr>
              <w:fldChar w:fldCharType="begin"/>
            </w:r>
            <w:r>
              <w:rPr>
                <w:rFonts w:hint="eastAsia" w:ascii="宋体" w:hAnsi="宋体" w:eastAsia="宋体" w:cs="宋体"/>
                <w:bCs/>
                <w:color w:val="auto"/>
                <w:kern w:val="0"/>
                <w:sz w:val="24"/>
                <w:highlight w:val="none"/>
                <w:lang w:val="zh-CN"/>
              </w:rPr>
              <w:instrText xml:space="preserve">eq \o\ac(□,√)</w:instrText>
            </w:r>
            <w:r>
              <w:rPr>
                <w:rFonts w:hint="eastAsia" w:ascii="宋体" w:hAnsi="宋体" w:eastAsia="宋体" w:cs="宋体"/>
                <w:bCs/>
                <w:color w:val="auto"/>
                <w:kern w:val="0"/>
                <w:sz w:val="24"/>
                <w:highlight w:val="none"/>
                <w:lang w:val="zh-CN"/>
              </w:rPr>
              <w:fldChar w:fldCharType="end"/>
            </w:r>
            <w:r>
              <w:rPr>
                <w:rFonts w:hint="eastAsia" w:ascii="宋体" w:hAnsi="宋体" w:eastAsia="宋体" w:cs="宋体"/>
                <w:bCs/>
                <w:color w:val="auto"/>
                <w:kern w:val="0"/>
                <w:sz w:val="24"/>
                <w:highlight w:val="none"/>
                <w:lang w:val="zh-CN"/>
              </w:rPr>
              <w:t>否</w:t>
            </w:r>
            <w:r>
              <w:rPr>
                <w:rFonts w:hint="eastAsia" w:ascii="宋体" w:hAnsi="宋体" w:eastAsia="宋体" w:cs="宋体"/>
                <w:bCs/>
                <w:color w:val="auto"/>
                <w:sz w:val="24"/>
                <w:highlight w:val="none"/>
                <w:lang w:val="zh-CN"/>
              </w:rPr>
              <w:t>，已递交的投标文件不予返还，请供应商自行做好备份工作。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6.1.1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评标委员会的组建</w:t>
            </w:r>
          </w:p>
        </w:tc>
        <w:tc>
          <w:tcPr>
            <w:tcW w:w="7050" w:type="dxa"/>
            <w:noWrap w:val="0"/>
            <w:vAlign w:val="top"/>
          </w:tcPr>
          <w:p>
            <w:pPr>
              <w:keepNext w:val="0"/>
              <w:keepLines w:val="0"/>
              <w:pageBreakBefore w:val="0"/>
              <w:widowControl w:val="0"/>
              <w:tabs>
                <w:tab w:val="center" w:pos="3086"/>
              </w:tabs>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评标委员会构成：5人</w:t>
            </w:r>
          </w:p>
          <w:p>
            <w:pPr>
              <w:keepNext w:val="0"/>
              <w:keepLines w:val="0"/>
              <w:pageBreakBefore w:val="0"/>
              <w:widowControl w:val="0"/>
              <w:tabs>
                <w:tab w:val="center" w:pos="3086"/>
              </w:tabs>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其中采购人代表0</w:t>
            </w:r>
            <w:r>
              <w:rPr>
                <w:rFonts w:hint="eastAsia" w:ascii="宋体" w:hAnsi="宋体" w:cs="宋体"/>
                <w:bCs/>
                <w:color w:val="auto"/>
                <w:sz w:val="24"/>
                <w:szCs w:val="24"/>
                <w:highlight w:val="none"/>
                <w:lang w:val="en-US" w:eastAsia="zh-CN"/>
              </w:rPr>
              <w:t>-1</w:t>
            </w:r>
            <w:r>
              <w:rPr>
                <w:rFonts w:hint="eastAsia" w:ascii="宋体" w:hAnsi="宋体" w:eastAsia="宋体" w:cs="宋体"/>
                <w:bCs/>
                <w:color w:val="auto"/>
                <w:sz w:val="24"/>
                <w:szCs w:val="24"/>
                <w:highlight w:val="none"/>
                <w:lang w:val="zh-CN"/>
              </w:rPr>
              <w:t>人，专家</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lang w:val="zh-CN"/>
              </w:rPr>
              <w:t>5人。</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评标专家确定方式由采购人在行政监督部门的监督下在</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lang w:val="zh-CN"/>
              </w:rPr>
              <w:t>的专家库中随机抽取。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6.3.2</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评标委员会推荐中标候选人的人数</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推荐的中标候选人数：3人。评标委员会推荐初步评审合格，综合评审得分由高到低排名第一、第二、第三的供应商为中标候选人。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kern w:val="2"/>
                <w:sz w:val="24"/>
                <w:szCs w:val="24"/>
                <w:highlight w:val="none"/>
                <w:lang w:val="zh-CN" w:eastAsia="zh-CN" w:bidi="ar-SA"/>
              </w:rPr>
            </w:pPr>
            <w:r>
              <w:rPr>
                <w:rFonts w:hint="eastAsia" w:ascii="宋体" w:hAnsi="宋体" w:eastAsia="宋体" w:cs="宋体"/>
                <w:bCs/>
                <w:color w:val="auto"/>
                <w:sz w:val="24"/>
                <w:szCs w:val="24"/>
                <w:highlight w:val="none"/>
                <w:lang w:val="zh-CN"/>
              </w:rPr>
              <w:t>7.1</w:t>
            </w:r>
          </w:p>
        </w:tc>
        <w:tc>
          <w:tcPr>
            <w:tcW w:w="1692"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中标</w:t>
            </w:r>
            <w:r>
              <w:rPr>
                <w:rFonts w:hint="eastAsia" w:ascii="宋体" w:hAnsi="宋体" w:eastAsia="宋体" w:cs="宋体"/>
                <w:bCs/>
                <w:color w:val="000000" w:themeColor="text1"/>
                <w:sz w:val="24"/>
                <w:szCs w:val="24"/>
                <w:highlight w:val="none"/>
                <w:lang w:eastAsia="zh-CN"/>
                <w14:textFill>
                  <w14:solidFill>
                    <w14:schemeClr w14:val="tx1"/>
                  </w14:solidFill>
                </w14:textFill>
              </w:rPr>
              <w:t>结果公告</w:t>
            </w:r>
            <w:r>
              <w:rPr>
                <w:rFonts w:hint="eastAsia" w:ascii="宋体" w:hAnsi="宋体" w:eastAsia="宋体" w:cs="宋体"/>
                <w:bCs/>
                <w:color w:val="000000" w:themeColor="text1"/>
                <w:sz w:val="24"/>
                <w:szCs w:val="24"/>
                <w:highlight w:val="none"/>
                <w14:textFill>
                  <w14:solidFill>
                    <w14:schemeClr w14:val="tx1"/>
                  </w14:solidFill>
                </w14:textFill>
              </w:rPr>
              <w:t>媒介及期限</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line="440" w:lineRule="exact"/>
              <w:textAlignment w:val="auto"/>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公</w:t>
            </w:r>
            <w:r>
              <w:rPr>
                <w:rFonts w:hint="eastAsia" w:ascii="宋体" w:hAnsi="宋体" w:eastAsia="宋体" w:cs="宋体"/>
                <w:bCs/>
                <w:color w:val="000000" w:themeColor="text1"/>
                <w:sz w:val="24"/>
                <w:szCs w:val="24"/>
                <w:highlight w:val="none"/>
                <w:lang w:eastAsia="zh-CN"/>
                <w14:textFill>
                  <w14:solidFill>
                    <w14:schemeClr w14:val="tx1"/>
                  </w14:solidFill>
                </w14:textFill>
              </w:rPr>
              <w:t>告</w:t>
            </w:r>
            <w:r>
              <w:rPr>
                <w:rFonts w:hint="eastAsia" w:ascii="宋体" w:hAnsi="宋体" w:eastAsia="宋体" w:cs="宋体"/>
                <w:bCs/>
                <w:color w:val="000000" w:themeColor="text1"/>
                <w:sz w:val="24"/>
                <w:szCs w:val="24"/>
                <w:highlight w:val="none"/>
                <w14:textFill>
                  <w14:solidFill>
                    <w14:schemeClr w14:val="tx1"/>
                  </w14:solidFill>
                </w14:textFill>
              </w:rPr>
              <w:t>媒</w:t>
            </w:r>
            <w:r>
              <w:rPr>
                <w:rFonts w:hint="eastAsia" w:ascii="宋体" w:hAnsi="宋体" w:eastAsia="宋体" w:cs="宋体"/>
                <w:bCs/>
                <w:color w:val="000000" w:themeColor="text1"/>
                <w:sz w:val="24"/>
                <w:szCs w:val="24"/>
                <w:highlight w:val="none"/>
                <w:lang w:eastAsia="zh-CN"/>
                <w14:textFill>
                  <w14:solidFill>
                    <w14:schemeClr w14:val="tx1"/>
                  </w14:solidFill>
                </w14:textFill>
              </w:rPr>
              <w:t>介：在“政采云”平台(http：//www.zcygov.cn)（同步推送到吉林省政府采购网）、中国政府采购网、中国招标投标公共服务平台上同时发布；</w:t>
            </w:r>
          </w:p>
          <w:p>
            <w:pPr>
              <w:keepNext w:val="0"/>
              <w:keepLines w:val="0"/>
              <w:pageBreakBefore w:val="0"/>
              <w:widowControl w:val="0"/>
              <w:kinsoku/>
              <w:wordWrap w:val="0"/>
              <w:overflowPunct/>
              <w:topLinePunct w:val="0"/>
              <w:autoSpaceDE/>
              <w:autoSpaceDN/>
              <w:bidi w:val="0"/>
              <w:adjustRightInd w:val="0"/>
              <w:snapToGrid w:val="0"/>
              <w:spacing w:line="440" w:lineRule="exact"/>
              <w:textAlignment w:val="auto"/>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00" w:lineRule="exact"/>
              <w:jc w:val="center"/>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7.4</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00" w:lineRule="exact"/>
              <w:jc w:val="center"/>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是否授权评标委员会确定中标供应商</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00" w:lineRule="exac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□是</w:t>
            </w:r>
          </w:p>
          <w:p>
            <w:pPr>
              <w:keepNext w:val="0"/>
              <w:keepLines w:val="0"/>
              <w:pageBreakBefore w:val="0"/>
              <w:widowControl w:val="0"/>
              <w:kinsoku/>
              <w:wordWrap w:val="0"/>
              <w:overflowPunct/>
              <w:topLinePunct w:val="0"/>
              <w:autoSpaceDE/>
              <w:autoSpaceDN/>
              <w:bidi w:val="0"/>
              <w:spacing w:line="400" w:lineRule="exact"/>
              <w:textAlignment w:val="auto"/>
              <w:rPr>
                <w:rFonts w:hint="eastAsia" w:ascii="宋体" w:hAnsi="宋体" w:eastAsia="宋体" w:cs="宋体"/>
                <w:bCs/>
                <w:color w:val="auto"/>
                <w:kern w:val="15"/>
                <w:sz w:val="24"/>
                <w:highlight w:val="none"/>
              </w:rPr>
            </w:pPr>
            <w:r>
              <w:rPr>
                <w:rFonts w:hint="eastAsia" w:ascii="宋体" w:hAnsi="宋体" w:eastAsia="宋体" w:cs="宋体"/>
                <w:bCs/>
                <w:color w:val="auto"/>
                <w:sz w:val="24"/>
                <w:highlight w:val="none"/>
              </w:rPr>
              <w:fldChar w:fldCharType="begin"/>
            </w:r>
            <w:r>
              <w:rPr>
                <w:rFonts w:hint="eastAsia" w:ascii="宋体" w:hAnsi="宋体" w:eastAsia="宋体" w:cs="宋体"/>
                <w:bCs/>
                <w:color w:val="auto"/>
                <w:sz w:val="24"/>
                <w:highlight w:val="none"/>
              </w:rPr>
              <w:instrText xml:space="preserve">eq \o\ac(□,√)</w:instrText>
            </w:r>
            <w:r>
              <w:rPr>
                <w:rFonts w:hint="eastAsia" w:ascii="宋体" w:hAnsi="宋体" w:eastAsia="宋体" w:cs="宋体"/>
                <w:bCs/>
                <w:color w:val="auto"/>
                <w:sz w:val="24"/>
                <w:highlight w:val="none"/>
              </w:rPr>
              <w:fldChar w:fldCharType="end"/>
            </w:r>
            <w:r>
              <w:rPr>
                <w:rFonts w:hint="eastAsia" w:ascii="宋体" w:hAnsi="宋体" w:eastAsia="宋体" w:cs="宋体"/>
                <w:bCs/>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7.7.1</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0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highlight w:val="none"/>
                <w:lang w:val="zh-CN"/>
              </w:rPr>
              <w:t>履约保证金</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00" w:lineRule="exac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是否要求</w:t>
            </w:r>
            <w:r>
              <w:rPr>
                <w:rFonts w:hint="eastAsia" w:ascii="宋体" w:hAnsi="宋体" w:eastAsia="宋体" w:cs="宋体"/>
                <w:bCs/>
                <w:color w:val="auto"/>
                <w:sz w:val="24"/>
                <w:highlight w:val="none"/>
                <w:lang w:eastAsia="zh-CN"/>
              </w:rPr>
              <w:t>中标供应商</w:t>
            </w:r>
            <w:r>
              <w:rPr>
                <w:rFonts w:hint="eastAsia" w:ascii="宋体" w:hAnsi="宋体" w:eastAsia="宋体" w:cs="宋体"/>
                <w:bCs/>
                <w:color w:val="auto"/>
                <w:sz w:val="24"/>
                <w:highlight w:val="none"/>
              </w:rPr>
              <w:t>提交履约保证金：</w:t>
            </w:r>
          </w:p>
          <w:p>
            <w:pPr>
              <w:keepNext w:val="0"/>
              <w:keepLines w:val="0"/>
              <w:pageBreakBefore w:val="0"/>
              <w:widowControl w:val="0"/>
              <w:kinsoku/>
              <w:wordWrap w:val="0"/>
              <w:overflowPunct/>
              <w:topLinePunct w:val="0"/>
              <w:autoSpaceDE/>
              <w:autoSpaceDN/>
              <w:bidi w:val="0"/>
              <w:adjustRightInd w:val="0"/>
              <w:spacing w:line="400" w:lineRule="exac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sym w:font="Wingdings 2" w:char="00A3"/>
            </w:r>
            <w:r>
              <w:rPr>
                <w:rFonts w:hint="eastAsia" w:ascii="宋体" w:hAnsi="宋体" w:eastAsia="宋体" w:cs="宋体"/>
                <w:bCs/>
                <w:color w:val="auto"/>
                <w:sz w:val="24"/>
                <w:highlight w:val="none"/>
              </w:rPr>
              <w:t>要求，履约担保形式：银行转账，支票/汇票/本票，保函/保险</w:t>
            </w:r>
          </w:p>
          <w:p>
            <w:pPr>
              <w:keepNext w:val="0"/>
              <w:keepLines w:val="0"/>
              <w:pageBreakBefore w:val="0"/>
              <w:widowControl w:val="0"/>
              <w:kinsoku/>
              <w:wordWrap w:val="0"/>
              <w:overflowPunct/>
              <w:topLinePunct w:val="0"/>
              <w:autoSpaceDE/>
              <w:autoSpaceDN/>
              <w:bidi w:val="0"/>
              <w:adjustRightInd w:val="0"/>
              <w:spacing w:line="400" w:lineRule="exact"/>
              <w:ind w:firstLine="960" w:firstLineChars="4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履约保证金的金额：</w:t>
            </w:r>
          </w:p>
          <w:p>
            <w:pPr>
              <w:pageBreakBefore w:val="0"/>
              <w:kinsoku/>
              <w:overflowPunct/>
              <w:topLinePunct w:val="0"/>
              <w:bidi w:val="0"/>
              <w:adjustRightInd w:val="0"/>
              <w:snapToGrid w:val="0"/>
              <w:spacing w:line="288" w:lineRule="auto"/>
              <w:ind w:firstLine="960" w:firstLineChars="400"/>
              <w:textAlignment w:val="auto"/>
              <w:rPr>
                <w:rFonts w:hint="eastAsia" w:ascii="宋体" w:hAnsi="宋体" w:eastAsia="宋体" w:cs="宋体"/>
                <w:bCs/>
                <w:color w:val="auto"/>
                <w:kern w:val="15"/>
                <w:sz w:val="24"/>
                <w:szCs w:val="24"/>
                <w:highlight w:val="none"/>
                <w:lang w:eastAsia="zh-CN"/>
              </w:rPr>
            </w:pPr>
            <w:r>
              <w:rPr>
                <w:rFonts w:hint="eastAsia" w:ascii="宋体" w:hAnsi="宋体" w:eastAsia="宋体" w:cs="宋体"/>
                <w:bCs/>
                <w:color w:val="auto"/>
                <w:kern w:val="15"/>
                <w:sz w:val="24"/>
                <w:szCs w:val="24"/>
                <w:highlight w:val="none"/>
                <w:lang w:eastAsia="zh-CN"/>
              </w:rPr>
              <w:t>履约担保缴纳（提交）时间：下发中标通知书之日起7日内提交。</w:t>
            </w:r>
          </w:p>
          <w:p>
            <w:pPr>
              <w:pageBreakBefore w:val="0"/>
              <w:kinsoku/>
              <w:overflowPunct/>
              <w:topLinePunct w:val="0"/>
              <w:bidi w:val="0"/>
              <w:adjustRightInd w:val="0"/>
              <w:snapToGrid w:val="0"/>
              <w:spacing w:line="288" w:lineRule="auto"/>
              <w:textAlignment w:val="auto"/>
              <w:rPr>
                <w:rFonts w:hint="eastAsia" w:ascii="宋体" w:hAnsi="宋体" w:eastAsia="宋体" w:cs="宋体"/>
                <w:bCs/>
                <w:color w:val="auto"/>
                <w:kern w:val="15"/>
                <w:sz w:val="24"/>
                <w:szCs w:val="24"/>
                <w:highlight w:val="none"/>
                <w:lang w:eastAsia="zh-CN"/>
              </w:rPr>
            </w:pPr>
            <w:r>
              <w:rPr>
                <w:rFonts w:hint="eastAsia" w:ascii="宋体" w:hAnsi="宋体" w:cs="宋体"/>
                <w:bCs/>
                <w:color w:val="auto"/>
                <w:kern w:val="15"/>
                <w:sz w:val="24"/>
                <w:szCs w:val="24"/>
                <w:highlight w:val="none"/>
                <w:lang w:val="en-US" w:eastAsia="zh-CN"/>
              </w:rPr>
              <w:t xml:space="preserve">        </w:t>
            </w:r>
            <w:r>
              <w:rPr>
                <w:rFonts w:hint="eastAsia" w:ascii="宋体" w:hAnsi="宋体" w:eastAsia="宋体" w:cs="宋体"/>
                <w:bCs/>
                <w:color w:val="auto"/>
                <w:kern w:val="15"/>
                <w:sz w:val="24"/>
                <w:szCs w:val="24"/>
                <w:highlight w:val="none"/>
                <w:lang w:eastAsia="zh-CN"/>
              </w:rPr>
              <w:t>履约保证金交纳后持中标通知书与</w:t>
            </w:r>
            <w:r>
              <w:rPr>
                <w:rFonts w:hint="eastAsia" w:ascii="宋体" w:hAnsi="宋体" w:cs="宋体"/>
                <w:bCs/>
                <w:color w:val="auto"/>
                <w:kern w:val="15"/>
                <w:sz w:val="24"/>
                <w:szCs w:val="24"/>
                <w:highlight w:val="none"/>
                <w:lang w:eastAsia="zh-CN"/>
              </w:rPr>
              <w:t>采购</w:t>
            </w:r>
            <w:r>
              <w:rPr>
                <w:rFonts w:hint="eastAsia" w:ascii="宋体" w:hAnsi="宋体" w:eastAsia="宋体" w:cs="宋体"/>
                <w:bCs/>
                <w:color w:val="auto"/>
                <w:kern w:val="15"/>
                <w:sz w:val="24"/>
                <w:szCs w:val="24"/>
                <w:highlight w:val="none"/>
                <w:lang w:eastAsia="zh-CN"/>
              </w:rPr>
              <w:t>人签订供货合同。</w:t>
            </w:r>
          </w:p>
          <w:p>
            <w:pPr>
              <w:pageBreakBefore w:val="0"/>
              <w:kinsoku/>
              <w:overflowPunct/>
              <w:topLinePunct w:val="0"/>
              <w:bidi w:val="0"/>
              <w:adjustRightInd w:val="0"/>
              <w:snapToGrid w:val="0"/>
              <w:spacing w:line="288" w:lineRule="auto"/>
              <w:ind w:firstLine="960" w:firstLineChars="400"/>
              <w:textAlignment w:val="auto"/>
              <w:rPr>
                <w:rFonts w:hint="default" w:ascii="宋体" w:hAnsi="宋体" w:eastAsia="宋体" w:cs="宋体"/>
                <w:bCs/>
                <w:color w:val="auto"/>
                <w:kern w:val="15"/>
                <w:sz w:val="24"/>
                <w:szCs w:val="24"/>
                <w:highlight w:val="none"/>
                <w:lang w:val="en-US" w:eastAsia="zh-CN"/>
              </w:rPr>
            </w:pPr>
            <w:r>
              <w:rPr>
                <w:rFonts w:hint="eastAsia" w:ascii="宋体" w:hAnsi="宋体" w:eastAsia="宋体" w:cs="宋体"/>
                <w:bCs/>
                <w:color w:val="auto"/>
                <w:kern w:val="15"/>
                <w:sz w:val="24"/>
                <w:szCs w:val="24"/>
                <w:highlight w:val="none"/>
                <w:lang w:eastAsia="zh-CN"/>
              </w:rPr>
              <w:t>履约保证金退还：</w:t>
            </w:r>
            <w:r>
              <w:rPr>
                <w:rFonts w:hint="eastAsia" w:ascii="宋体" w:hAnsi="宋体" w:eastAsia="宋体" w:cs="宋体"/>
                <w:bCs/>
                <w:color w:val="auto"/>
                <w:kern w:val="15"/>
                <w:sz w:val="24"/>
                <w:szCs w:val="24"/>
                <w:highlight w:val="none"/>
                <w:lang w:val="en-US" w:eastAsia="zh-CN"/>
              </w:rPr>
              <w:t>由采购人根据采购合同约定，待供应商履行完合同约定权利义务事项后退还。</w:t>
            </w:r>
          </w:p>
          <w:p>
            <w:pPr>
              <w:keepNext w:val="0"/>
              <w:keepLines w:val="0"/>
              <w:pageBreakBefore w:val="0"/>
              <w:widowControl w:val="0"/>
              <w:kinsoku/>
              <w:wordWrap w:val="0"/>
              <w:overflowPunct/>
              <w:topLinePunct w:val="0"/>
              <w:autoSpaceDE/>
              <w:autoSpaceDN/>
              <w:bidi w:val="0"/>
              <w:adjustRightInd w:val="0"/>
              <w:spacing w:line="400" w:lineRule="exact"/>
              <w:textAlignment w:val="auto"/>
              <w:rPr>
                <w:rFonts w:hint="eastAsia" w:ascii="宋体" w:hAnsi="宋体" w:eastAsia="宋体" w:cs="宋体"/>
                <w:bCs/>
                <w:color w:val="auto"/>
                <w:sz w:val="24"/>
                <w:szCs w:val="24"/>
                <w:highlight w:val="none"/>
              </w:rPr>
            </w:pPr>
            <w:r>
              <w:rPr>
                <w:rFonts w:hint="eastAsia" w:ascii="宋体" w:hAnsi="宋体" w:eastAsia="宋体" w:cs="宋体"/>
                <w:b/>
                <w:bCs w:val="0"/>
                <w:color w:val="auto"/>
                <w:kern w:val="0"/>
                <w:sz w:val="24"/>
                <w:szCs w:val="24"/>
                <w:highlight w:val="none"/>
              </w:rPr>
              <w:fldChar w:fldCharType="begin"/>
            </w:r>
            <w:r>
              <w:rPr>
                <w:rFonts w:hint="eastAsia" w:ascii="宋体" w:hAnsi="宋体" w:eastAsia="宋体" w:cs="宋体"/>
                <w:b/>
                <w:bCs w:val="0"/>
                <w:color w:val="auto"/>
                <w:kern w:val="0"/>
                <w:sz w:val="24"/>
                <w:szCs w:val="24"/>
                <w:highlight w:val="none"/>
              </w:rPr>
              <w:instrText xml:space="preserve">eq \o\ac(□</w:instrText>
            </w:r>
            <w:r>
              <w:rPr>
                <w:rFonts w:hint="eastAsia" w:ascii="宋体" w:hAnsi="宋体" w:cs="宋体"/>
                <w:b/>
                <w:bCs w:val="0"/>
                <w:color w:val="auto"/>
                <w:kern w:val="0"/>
                <w:sz w:val="24"/>
                <w:szCs w:val="24"/>
                <w:highlight w:val="none"/>
                <w:lang w:eastAsia="zh-CN"/>
              </w:rPr>
              <w:instrText xml:space="preserve">,</w:instrText>
            </w:r>
            <w:r>
              <w:rPr>
                <w:rFonts w:hint="eastAsia" w:ascii="宋体" w:hAnsi="宋体" w:cs="宋体"/>
                <w:b/>
                <w:bCs w:val="0"/>
                <w:color w:val="auto"/>
                <w:kern w:val="0"/>
                <w:position w:val="2"/>
                <w:sz w:val="16"/>
                <w:szCs w:val="24"/>
                <w:highlight w:val="none"/>
                <w:lang w:eastAsia="zh-CN"/>
              </w:rPr>
              <w:instrText xml:space="preserve">√</w:instrText>
            </w:r>
            <w:r>
              <w:rPr>
                <w:rFonts w:hint="eastAsia" w:ascii="宋体" w:hAnsi="宋体" w:eastAsia="宋体" w:cs="宋体"/>
                <w:b/>
                <w:bCs w:val="0"/>
                <w:color w:val="auto"/>
                <w:kern w:val="0"/>
                <w:sz w:val="24"/>
                <w:szCs w:val="24"/>
                <w:highlight w:val="none"/>
              </w:rPr>
              <w:instrText xml:space="preserve">)</w:instrText>
            </w:r>
            <w:r>
              <w:rPr>
                <w:rFonts w:hint="eastAsia" w:ascii="宋体" w:hAnsi="宋体" w:eastAsia="宋体" w:cs="宋体"/>
                <w:b/>
                <w:bCs w:val="0"/>
                <w:color w:val="auto"/>
                <w:kern w:val="0"/>
                <w:sz w:val="24"/>
                <w:szCs w:val="24"/>
                <w:highlight w:val="none"/>
              </w:rPr>
              <w:fldChar w:fldCharType="end"/>
            </w:r>
            <w:r>
              <w:rPr>
                <w:rFonts w:hint="eastAsia" w:ascii="宋体" w:hAnsi="宋体" w:eastAsia="宋体" w:cs="宋体"/>
                <w:b/>
                <w:bCs w:val="0"/>
                <w:color w:val="auto"/>
                <w:sz w:val="24"/>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9</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是否采用电子招标投标</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line="44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□否</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rPr>
              <w:fldChar w:fldCharType="begin"/>
            </w:r>
            <w:r>
              <w:rPr>
                <w:rFonts w:hint="eastAsia" w:ascii="宋体" w:hAnsi="宋体" w:eastAsia="宋体" w:cs="宋体"/>
                <w:bCs/>
                <w:color w:val="auto"/>
                <w:kern w:val="0"/>
                <w:sz w:val="24"/>
                <w:szCs w:val="24"/>
                <w:highlight w:val="none"/>
              </w:rPr>
              <w:instrText xml:space="preserve">eq \o\ac(□,√)</w:instrText>
            </w:r>
            <w:r>
              <w:rPr>
                <w:rFonts w:hint="eastAsia" w:ascii="宋体" w:hAnsi="宋体" w:eastAsia="宋体" w:cs="宋体"/>
                <w:bCs/>
                <w:color w:val="auto"/>
                <w:kern w:val="0"/>
                <w:sz w:val="24"/>
                <w:szCs w:val="24"/>
                <w:highlight w:val="none"/>
              </w:rPr>
              <w:fldChar w:fldCharType="end"/>
            </w:r>
            <w:r>
              <w:rPr>
                <w:rFonts w:hint="eastAsia" w:ascii="宋体" w:hAnsi="宋体" w:eastAsia="宋体" w:cs="宋体"/>
                <w:bCs/>
                <w:color w:val="auto"/>
                <w:kern w:val="0"/>
                <w:sz w:val="24"/>
                <w:szCs w:val="24"/>
                <w:highlight w:val="none"/>
              </w:rPr>
              <w:t>是，具体要求：详见</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须知前附表第10.9项。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10.</w:t>
            </w:r>
            <w:r>
              <w:rPr>
                <w:rFonts w:hint="eastAsia" w:ascii="宋体" w:hAnsi="宋体" w:eastAsia="宋体" w:cs="宋体"/>
                <w:bCs/>
                <w:color w:val="auto"/>
                <w:sz w:val="24"/>
                <w:szCs w:val="24"/>
                <w:highlight w:val="none"/>
              </w:rPr>
              <w:t>1</w:t>
            </w:r>
          </w:p>
        </w:tc>
        <w:tc>
          <w:tcPr>
            <w:tcW w:w="1692"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kern w:val="15"/>
                <w:sz w:val="24"/>
                <w:szCs w:val="24"/>
                <w:highlight w:val="none"/>
              </w:rPr>
            </w:pPr>
            <w:r>
              <w:rPr>
                <w:rFonts w:hint="eastAsia" w:ascii="宋体" w:hAnsi="宋体" w:eastAsia="宋体" w:cs="宋体"/>
                <w:bCs/>
                <w:color w:val="auto"/>
                <w:kern w:val="15"/>
                <w:sz w:val="24"/>
                <w:szCs w:val="24"/>
                <w:highlight w:val="none"/>
                <w:lang w:val="zh-CN"/>
              </w:rPr>
              <w:t>评审办法</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kern w:val="15"/>
                <w:sz w:val="24"/>
                <w:szCs w:val="24"/>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10</w:t>
            </w:r>
            <w:r>
              <w:rPr>
                <w:rFonts w:hint="eastAsia" w:ascii="宋体" w:hAnsi="宋体" w:eastAsia="宋体" w:cs="宋体"/>
                <w:bCs/>
                <w:color w:val="auto"/>
                <w:sz w:val="24"/>
                <w:szCs w:val="24"/>
                <w:highlight w:val="none"/>
              </w:rPr>
              <w:t>.2</w:t>
            </w:r>
          </w:p>
        </w:tc>
        <w:tc>
          <w:tcPr>
            <w:tcW w:w="1692"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kern w:val="15"/>
                <w:sz w:val="24"/>
                <w:szCs w:val="24"/>
                <w:highlight w:val="none"/>
                <w:lang w:val="zh-CN"/>
              </w:rPr>
            </w:pPr>
            <w:r>
              <w:rPr>
                <w:rFonts w:hint="eastAsia" w:ascii="宋体" w:hAnsi="宋体" w:eastAsia="宋体" w:cs="宋体"/>
                <w:bCs/>
                <w:color w:val="auto"/>
                <w:kern w:val="15"/>
                <w:sz w:val="24"/>
                <w:szCs w:val="24"/>
                <w:highlight w:val="none"/>
                <w:lang w:val="zh-CN"/>
              </w:rPr>
              <w:t>低于成本报价</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kern w:val="15"/>
                <w:sz w:val="24"/>
                <w:szCs w:val="24"/>
                <w:highlight w:val="none"/>
                <w:lang w:val="zh-CN"/>
              </w:rPr>
            </w:pPr>
            <w:r>
              <w:rPr>
                <w:rFonts w:hint="eastAsia" w:ascii="宋体" w:hAnsi="宋体" w:eastAsia="宋体" w:cs="宋体"/>
                <w:bCs/>
                <w:color w:val="auto"/>
                <w:kern w:val="15"/>
                <w:sz w:val="24"/>
                <w:szCs w:val="24"/>
                <w:highlight w:val="none"/>
                <w:lang w:val="zh-CN"/>
              </w:rPr>
              <w:t>依据财政部第</w:t>
            </w:r>
            <w:r>
              <w:rPr>
                <w:rFonts w:hint="eastAsia" w:ascii="宋体" w:hAnsi="宋体" w:eastAsia="宋体" w:cs="宋体"/>
                <w:bCs/>
                <w:color w:val="auto"/>
                <w:kern w:val="15"/>
                <w:sz w:val="24"/>
                <w:szCs w:val="24"/>
                <w:highlight w:val="none"/>
              </w:rPr>
              <w:t>87号令第60条：</w:t>
            </w:r>
            <w:r>
              <w:rPr>
                <w:rFonts w:hint="eastAsia" w:ascii="宋体" w:hAnsi="宋体" w:eastAsia="宋体" w:cs="宋体"/>
                <w:bCs/>
                <w:color w:val="auto"/>
                <w:kern w:val="15"/>
                <w:sz w:val="24"/>
                <w:szCs w:val="24"/>
                <w:highlight w:val="none"/>
                <w:lang w:val="zh-CN"/>
              </w:rPr>
              <w:t>评标委员会发现供应商的报价明显低于其他通过符合性审查供应商的报价，有可能影响产品质量或者不能诚信履约的，应当要求该供应商在评标现场</w:t>
            </w:r>
            <w:r>
              <w:rPr>
                <w:rFonts w:hint="eastAsia" w:ascii="宋体" w:hAnsi="宋体" w:eastAsia="宋体" w:cs="宋体"/>
                <w:bCs/>
                <w:color w:val="auto"/>
                <w:kern w:val="15"/>
                <w:sz w:val="24"/>
                <w:szCs w:val="24"/>
                <w:highlight w:val="none"/>
                <w:lang w:val="en-US" w:eastAsia="zh-CN"/>
              </w:rPr>
              <w:t>四十分钟</w:t>
            </w:r>
            <w:r>
              <w:rPr>
                <w:rFonts w:hint="eastAsia" w:ascii="宋体" w:hAnsi="宋体" w:eastAsia="宋体" w:cs="宋体"/>
                <w:bCs/>
                <w:color w:val="auto"/>
                <w:kern w:val="15"/>
                <w:sz w:val="24"/>
                <w:szCs w:val="24"/>
                <w:highlight w:val="none"/>
                <w:lang w:val="zh-CN"/>
              </w:rPr>
              <w:t>内作出书面说明并提供相应的证明材料。供应商不能合理说明或者不能提供相应证明材料的，由评标委员会认定该供应商以低于成本报价竞标，其投标将被否决。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10.</w:t>
            </w:r>
            <w:r>
              <w:rPr>
                <w:rFonts w:hint="eastAsia" w:ascii="宋体" w:hAnsi="宋体" w:eastAsia="宋体" w:cs="宋体"/>
                <w:bCs/>
                <w:color w:val="auto"/>
                <w:sz w:val="24"/>
                <w:szCs w:val="24"/>
                <w:highlight w:val="none"/>
              </w:rPr>
              <w:t>3</w:t>
            </w:r>
          </w:p>
        </w:tc>
        <w:tc>
          <w:tcPr>
            <w:tcW w:w="1692"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kern w:val="15"/>
                <w:sz w:val="24"/>
                <w:szCs w:val="24"/>
                <w:highlight w:val="none"/>
              </w:rPr>
            </w:pPr>
            <w:r>
              <w:rPr>
                <w:rFonts w:hint="eastAsia" w:ascii="宋体" w:hAnsi="宋体" w:eastAsia="宋体" w:cs="宋体"/>
                <w:bCs/>
                <w:color w:val="auto"/>
                <w:kern w:val="15"/>
                <w:sz w:val="24"/>
                <w:szCs w:val="24"/>
                <w:highlight w:val="none"/>
              </w:rPr>
              <w:t>招标代理服务费</w:t>
            </w:r>
          </w:p>
        </w:tc>
        <w:tc>
          <w:tcPr>
            <w:tcW w:w="7050" w:type="dxa"/>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按照国家发展计划委员会“发改价格【2015】299号”文要求</w:t>
            </w:r>
            <w:r>
              <w:rPr>
                <w:rFonts w:hint="eastAsia" w:ascii="宋体" w:hAnsi="宋体" w:eastAsia="宋体" w:cs="宋体"/>
                <w:bCs/>
                <w:color w:val="auto"/>
                <w:kern w:val="0"/>
                <w:sz w:val="24"/>
                <w:szCs w:val="24"/>
                <w:highlight w:val="none"/>
                <w:lang w:eastAsia="zh-CN"/>
              </w:rPr>
              <w:t>，</w:t>
            </w:r>
            <w:r>
              <w:rPr>
                <w:rFonts w:hint="eastAsia" w:ascii="宋体" w:hAnsi="宋体" w:cs="宋体"/>
                <w:bCs/>
                <w:color w:val="auto"/>
                <w:kern w:val="0"/>
                <w:sz w:val="24"/>
                <w:szCs w:val="24"/>
                <w:highlight w:val="none"/>
                <w:lang w:val="en-US" w:eastAsia="zh-CN"/>
              </w:rPr>
              <w:t>按</w:t>
            </w:r>
            <w:r>
              <w:rPr>
                <w:rFonts w:hint="eastAsia" w:ascii="宋体" w:hAnsi="宋体" w:eastAsia="宋体" w:cs="宋体"/>
                <w:bCs/>
                <w:color w:val="auto"/>
                <w:kern w:val="0"/>
                <w:sz w:val="24"/>
                <w:szCs w:val="24"/>
                <w:highlight w:val="none"/>
                <w:lang w:val="en-US" w:eastAsia="zh-CN"/>
              </w:rPr>
              <w:t>中标金额</w:t>
            </w:r>
            <w:r>
              <w:rPr>
                <w:rFonts w:hint="eastAsia" w:ascii="宋体" w:hAnsi="宋体" w:cs="宋体"/>
                <w:bCs/>
                <w:color w:val="auto"/>
                <w:kern w:val="0"/>
                <w:sz w:val="24"/>
                <w:szCs w:val="24"/>
                <w:highlight w:val="none"/>
                <w:lang w:val="en-US" w:eastAsia="zh-CN"/>
              </w:rPr>
              <w:t>的</w:t>
            </w:r>
            <w:r>
              <w:rPr>
                <w:rFonts w:hint="eastAsia" w:ascii="宋体" w:hAnsi="宋体" w:eastAsia="宋体" w:cs="宋体"/>
                <w:bCs/>
                <w:color w:val="auto"/>
                <w:kern w:val="0"/>
                <w:sz w:val="24"/>
                <w:szCs w:val="24"/>
                <w:highlight w:val="none"/>
                <w:lang w:val="en-US" w:eastAsia="zh-CN"/>
              </w:rPr>
              <w:t>2%</w:t>
            </w:r>
            <w:r>
              <w:rPr>
                <w:rFonts w:hint="eastAsia" w:ascii="宋体" w:hAnsi="宋体" w:cs="宋体"/>
                <w:bCs/>
                <w:color w:val="auto"/>
                <w:kern w:val="0"/>
                <w:sz w:val="24"/>
                <w:szCs w:val="24"/>
                <w:highlight w:val="none"/>
                <w:lang w:val="en-US" w:eastAsia="zh-CN"/>
              </w:rPr>
              <w:t>收取</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于中标通</w:t>
            </w:r>
            <w:r>
              <w:rPr>
                <w:rFonts w:hint="eastAsia" w:ascii="宋体" w:hAnsi="宋体" w:cs="宋体"/>
                <w:bCs/>
                <w:color w:val="auto"/>
                <w:kern w:val="0"/>
                <w:sz w:val="24"/>
                <w:szCs w:val="24"/>
                <w:highlight w:val="none"/>
                <w:lang w:val="en-US" w:eastAsia="zh-CN"/>
              </w:rPr>
              <w:t>知书下发前向中标人收取。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10.</w:t>
            </w:r>
            <w:r>
              <w:rPr>
                <w:rFonts w:hint="eastAsia" w:ascii="宋体" w:hAnsi="宋体" w:eastAsia="宋体" w:cs="宋体"/>
                <w:bCs/>
                <w:color w:val="auto"/>
                <w:sz w:val="24"/>
                <w:szCs w:val="24"/>
                <w:highlight w:val="none"/>
              </w:rPr>
              <w:t>4</w:t>
            </w:r>
          </w:p>
        </w:tc>
        <w:tc>
          <w:tcPr>
            <w:tcW w:w="1692"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代表出席开标会</w:t>
            </w:r>
          </w:p>
        </w:tc>
        <w:tc>
          <w:tcPr>
            <w:tcW w:w="7050"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2"/>
                <w:sz w:val="24"/>
                <w:szCs w:val="24"/>
                <w:highlight w:val="none"/>
                <w:lang w:val="zh-CN"/>
              </w:rPr>
              <w:t>按照本须知的规定，采购人邀请所有</w:t>
            </w:r>
            <w:r>
              <w:rPr>
                <w:rFonts w:hint="eastAsia" w:ascii="宋体" w:hAnsi="宋体" w:cs="宋体"/>
                <w:bCs/>
                <w:color w:val="auto"/>
                <w:kern w:val="2"/>
                <w:sz w:val="24"/>
                <w:szCs w:val="24"/>
                <w:highlight w:val="none"/>
                <w:lang w:val="zh-CN"/>
              </w:rPr>
              <w:t>投标人</w:t>
            </w:r>
            <w:r>
              <w:rPr>
                <w:rFonts w:hint="eastAsia" w:ascii="宋体" w:hAnsi="宋体" w:eastAsia="宋体" w:cs="宋体"/>
                <w:bCs/>
                <w:color w:val="auto"/>
                <w:kern w:val="2"/>
                <w:sz w:val="24"/>
                <w:szCs w:val="24"/>
                <w:highlight w:val="none"/>
                <w:lang w:val="zh-CN"/>
              </w:rPr>
              <w:t>的法定代表人或其委托代理人参加网上开标会。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10.</w:t>
            </w:r>
            <w:r>
              <w:rPr>
                <w:rFonts w:hint="eastAsia" w:ascii="宋体" w:hAnsi="宋体" w:eastAsia="宋体" w:cs="宋体"/>
                <w:bCs/>
                <w:color w:val="auto"/>
                <w:sz w:val="24"/>
                <w:szCs w:val="24"/>
                <w:highlight w:val="none"/>
              </w:rPr>
              <w:t>5</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000000" w:themeColor="text1"/>
                <w:sz w:val="24"/>
                <w:szCs w:val="24"/>
                <w:highlight w:val="none"/>
                <w:lang w:val="zh-CN"/>
                <w14:textFill>
                  <w14:solidFill>
                    <w14:schemeClr w14:val="tx1"/>
                  </w14:solidFill>
                </w14:textFill>
              </w:rPr>
            </w:pPr>
            <w:r>
              <w:rPr>
                <w:rFonts w:hint="eastAsia" w:ascii="宋体" w:hAnsi="宋体" w:eastAsia="宋体" w:cs="宋体"/>
                <w:bCs/>
                <w:color w:val="000000" w:themeColor="text1"/>
                <w:sz w:val="24"/>
                <w:szCs w:val="24"/>
                <w:highlight w:val="none"/>
                <w:lang w:val="zh-CN"/>
                <w14:textFill>
                  <w14:solidFill>
                    <w14:schemeClr w14:val="tx1"/>
                  </w14:solidFill>
                </w14:textFill>
              </w:rPr>
              <w:t>付款方式</w:t>
            </w:r>
          </w:p>
        </w:tc>
        <w:tc>
          <w:tcPr>
            <w:tcW w:w="7050"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default"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供货完成</w:t>
            </w:r>
            <w:r>
              <w:rPr>
                <w:rFonts w:hint="default" w:ascii="宋体" w:hAnsi="宋体" w:eastAsia="宋体" w:cs="宋体"/>
                <w:bCs/>
                <w:color w:val="000000" w:themeColor="text1"/>
                <w:sz w:val="24"/>
                <w:szCs w:val="24"/>
                <w:highlight w:val="none"/>
                <w:lang w:val="en-US" w:eastAsia="zh-CN"/>
                <w14:textFill>
                  <w14:solidFill>
                    <w14:schemeClr w14:val="tx1"/>
                  </w14:solidFill>
                </w14:textFill>
              </w:rPr>
              <w:t>后，供货方提供足额发票，采购方履行财政拨付程序，最终以财政拨付时间为准。达到付款条件起10日，支付合同总金额的100%。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zh-CN"/>
              </w:rPr>
              <w:t>10.</w:t>
            </w:r>
            <w:r>
              <w:rPr>
                <w:rFonts w:hint="eastAsia" w:ascii="宋体" w:hAnsi="宋体" w:cs="宋体"/>
                <w:bCs/>
                <w:color w:val="auto"/>
                <w:sz w:val="24"/>
                <w:szCs w:val="24"/>
                <w:highlight w:val="none"/>
                <w:lang w:val="en-US" w:eastAsia="zh-CN"/>
              </w:rPr>
              <w:t>6</w:t>
            </w:r>
          </w:p>
        </w:tc>
        <w:tc>
          <w:tcPr>
            <w:tcW w:w="1692"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val="zh-CN" w:eastAsia="zh-CN"/>
              </w:rPr>
            </w:pPr>
            <w:r>
              <w:rPr>
                <w:rFonts w:hint="eastAsia" w:ascii="宋体" w:hAnsi="宋体" w:cs="宋体"/>
                <w:bCs/>
                <w:color w:val="auto"/>
                <w:sz w:val="24"/>
                <w:szCs w:val="24"/>
                <w:highlight w:val="none"/>
                <w:lang w:val="en-US" w:eastAsia="zh-CN"/>
              </w:rPr>
              <w:t>价格扣除</w:t>
            </w:r>
          </w:p>
        </w:tc>
        <w:tc>
          <w:tcPr>
            <w:tcW w:w="7050" w:type="dxa"/>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评标委员会在评审时，将按下列规定计算价格扣除：</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对于列入财政部、国家环保总局发布的《环境标志产品政府采购清单》的产品，对其投标价格给予3%的价格扣除，并按照扣除后的价格参加排序。采购项目或者分包中既包含环境标志产品也包含非环境标志产品的，只对列入《环境标志产品政府采购清单》的产品按其在总报价中所占的比例给予价格扣除。</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对于列入财政部、国家发改委发布的《节能产品政府采购清单》但不属于国家强制采购的产品，对其投标价格给予3%的价格扣除，并按照扣除后的价格参加排序。采购项目或者分包中既包含节能产品也包含非节能产品的，只对列入《节能产品政府采购清单》但不属于国家强制采购的产品按其在总报价中所占的比例给予价格扣除。</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对于列入财政部、国家发改委、信息产业部发布的《无线局域网认证产品政府采购清单》的产品，对其投标价格给予3%的价格扣除，并按扣除后的价格参加排序。采购项目或者分包中既包含清单中产品也包含非清单中产品的，只对列入清单的产品按其在总报价中所占的比例给予价格扣除。</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（4）投标产品同时列入上述多个清单的，将上述规定的价格扣除比例叠加后计算价格扣除。</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（5）根据财库【2022】19号文件规定，对小型和微型企业的产品给予10%的价格扣除，并按照扣除后的价格参加排序。</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（6）价格扣除的依据：第（1）至（4）条提供投标货物相关认证证书复印件加盖投标人公章，附在投标文件内。第（5）条提供中小企业声明函。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（7）中小企业认定标准：《统计上大中小微型企业划分办法（2017）》及《中小企业划型标准规定（修订征求意见稿）》，本项目属于</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工</w:t>
            </w:r>
            <w:r>
              <w:rPr>
                <w:rFonts w:hint="eastAsia" w:ascii="宋体" w:hAnsi="宋体" w:eastAsia="宋体" w:cs="宋体"/>
                <w:b/>
                <w:bCs/>
                <w:color w:val="000000" w:themeColor="text1"/>
                <w:kern w:val="0"/>
                <w:sz w:val="21"/>
                <w:szCs w:val="21"/>
                <w:highlight w:val="none"/>
                <w14:textFill>
                  <w14:solidFill>
                    <w14:schemeClr w14:val="tx1"/>
                  </w14:solidFill>
                </w14:textFill>
              </w:rPr>
              <w:t>业</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Cs/>
                <w:color w:val="auto"/>
                <w:sz w:val="24"/>
                <w:szCs w:val="24"/>
                <w:highlight w:val="none"/>
                <w:lang w:val="zh-CN"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按照财政部财库[2022]19号、[2020]46号、[2014]68号、[2017]141号、[2019]9号等文件要求，落实政府采购支持节能环保、中小企业发展等政策。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zh-CN"/>
              </w:rPr>
              <w:t>10.</w:t>
            </w:r>
            <w:r>
              <w:rPr>
                <w:rFonts w:hint="eastAsia" w:ascii="宋体" w:hAnsi="宋体" w:cs="宋体"/>
                <w:bCs/>
                <w:color w:val="auto"/>
                <w:sz w:val="24"/>
                <w:szCs w:val="24"/>
                <w:highlight w:val="none"/>
                <w:lang w:val="en-US" w:eastAsia="zh-CN"/>
              </w:rPr>
              <w:t>7</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供应商</w:t>
            </w:r>
            <w:r>
              <w:rPr>
                <w:rFonts w:hint="eastAsia" w:ascii="宋体" w:hAnsi="宋体" w:cs="宋体"/>
                <w:bCs/>
                <w:color w:val="auto"/>
                <w:sz w:val="24"/>
                <w:szCs w:val="24"/>
                <w:highlight w:val="none"/>
                <w:lang w:val="en-US" w:eastAsia="zh-CN"/>
              </w:rPr>
              <w:t>投标无效</w:t>
            </w:r>
            <w:r>
              <w:rPr>
                <w:rFonts w:hint="eastAsia" w:ascii="宋体" w:hAnsi="宋体" w:eastAsia="宋体" w:cs="宋体"/>
                <w:bCs/>
                <w:color w:val="auto"/>
                <w:sz w:val="24"/>
                <w:szCs w:val="24"/>
                <w:highlight w:val="none"/>
                <w:lang w:val="zh-CN"/>
              </w:rPr>
              <w:t>说明</w:t>
            </w:r>
          </w:p>
        </w:tc>
        <w:tc>
          <w:tcPr>
            <w:tcW w:w="7050" w:type="dxa"/>
            <w:tcBorders>
              <w:top w:val="single" w:color="auto" w:sz="4" w:space="0"/>
              <w:left w:val="single" w:color="auto" w:sz="4" w:space="0"/>
              <w:bottom w:val="single" w:color="auto" w:sz="4" w:space="0"/>
              <w:right w:val="single" w:color="auto" w:sz="4" w:space="0"/>
            </w:tcBorders>
            <w:noWrap w:val="0"/>
            <w:vAlign w:val="center"/>
          </w:tcPr>
          <w:p>
            <w:pPr>
              <w:wordWrap w:val="0"/>
              <w:adjustRightInd w:val="0"/>
              <w:spacing w:line="440" w:lineRule="exact"/>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1、供应商需在开标前将</w:t>
            </w:r>
            <w:r>
              <w:rPr>
                <w:rFonts w:hint="eastAsia" w:ascii="宋体" w:hAnsi="宋体" w:cs="宋体"/>
                <w:bCs/>
                <w:color w:val="auto"/>
                <w:sz w:val="24"/>
                <w:szCs w:val="24"/>
                <w:highlight w:val="none"/>
                <w:lang w:val="en-US" w:eastAsia="zh-CN"/>
              </w:rPr>
              <w:t>投标</w:t>
            </w:r>
            <w:r>
              <w:rPr>
                <w:rFonts w:hint="eastAsia" w:ascii="宋体" w:hAnsi="宋体" w:cs="宋体"/>
                <w:bCs/>
                <w:color w:val="auto"/>
                <w:sz w:val="24"/>
                <w:szCs w:val="24"/>
                <w:highlight w:val="none"/>
                <w:lang w:val="zh-CN"/>
              </w:rPr>
              <w:t>文件制作工具生成的加密文件上传到政府采购云平台（网址：http://www.zcygov.cn）。</w:t>
            </w:r>
          </w:p>
          <w:p>
            <w:pPr>
              <w:wordWrap w:val="0"/>
              <w:adjustRightInd w:val="0"/>
              <w:snapToGrid w:val="0"/>
              <w:spacing w:line="440" w:lineRule="exact"/>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2、开标时，供应商需用生成最终</w:t>
            </w:r>
            <w:r>
              <w:rPr>
                <w:rFonts w:hint="eastAsia" w:ascii="宋体" w:hAnsi="宋体" w:cs="宋体"/>
                <w:bCs/>
                <w:color w:val="auto"/>
                <w:sz w:val="24"/>
                <w:szCs w:val="24"/>
                <w:highlight w:val="none"/>
                <w:lang w:val="en-US" w:eastAsia="zh-CN"/>
              </w:rPr>
              <w:t>投标</w:t>
            </w:r>
            <w:r>
              <w:rPr>
                <w:rFonts w:hint="eastAsia" w:ascii="宋体" w:hAnsi="宋体" w:cs="宋体"/>
                <w:bCs/>
                <w:color w:val="auto"/>
                <w:sz w:val="24"/>
                <w:szCs w:val="24"/>
                <w:highlight w:val="none"/>
                <w:lang w:val="zh-CN"/>
              </w:rPr>
              <w:t>文件所使用的ca锁，以防</w:t>
            </w:r>
            <w:r>
              <w:rPr>
                <w:rFonts w:hint="eastAsia" w:ascii="宋体" w:hAnsi="宋体" w:cs="宋体"/>
                <w:bCs/>
                <w:color w:val="auto"/>
                <w:sz w:val="24"/>
                <w:szCs w:val="24"/>
                <w:highlight w:val="none"/>
              </w:rPr>
              <w:t>签到、</w:t>
            </w:r>
            <w:r>
              <w:rPr>
                <w:rFonts w:hint="eastAsia" w:ascii="宋体" w:hAnsi="宋体" w:cs="宋体"/>
                <w:bCs/>
                <w:color w:val="auto"/>
                <w:sz w:val="24"/>
                <w:szCs w:val="24"/>
                <w:highlight w:val="none"/>
                <w:lang w:val="zh-CN"/>
              </w:rPr>
              <w:t>解密失败。</w:t>
            </w:r>
          </w:p>
          <w:p>
            <w:pPr>
              <w:wordWrap w:val="0"/>
              <w:adjustRightInd w:val="0"/>
              <w:spacing w:line="440" w:lineRule="exact"/>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3、清标系统中，如电子</w:t>
            </w:r>
            <w:r>
              <w:rPr>
                <w:rFonts w:hint="eastAsia" w:ascii="宋体" w:hAnsi="宋体" w:cs="宋体"/>
                <w:bCs/>
                <w:color w:val="auto"/>
                <w:sz w:val="24"/>
                <w:szCs w:val="24"/>
                <w:highlight w:val="none"/>
                <w:lang w:val="en-US" w:eastAsia="zh-CN"/>
              </w:rPr>
              <w:t>投标</w:t>
            </w:r>
            <w:r>
              <w:rPr>
                <w:rFonts w:hint="eastAsia" w:ascii="宋体" w:hAnsi="宋体" w:cs="宋体"/>
                <w:bCs/>
                <w:color w:val="auto"/>
                <w:sz w:val="24"/>
                <w:szCs w:val="24"/>
                <w:highlight w:val="none"/>
                <w:lang w:val="zh-CN"/>
              </w:rPr>
              <w:t>文件的制作机器码、文件创建标识码一致均视为</w:t>
            </w:r>
            <w:r>
              <w:rPr>
                <w:rFonts w:hint="eastAsia" w:ascii="宋体" w:hAnsi="宋体" w:cs="宋体"/>
                <w:bCs/>
                <w:color w:val="auto"/>
                <w:sz w:val="24"/>
                <w:szCs w:val="24"/>
                <w:highlight w:val="none"/>
                <w:lang w:val="en-US" w:eastAsia="zh-CN"/>
              </w:rPr>
              <w:t>投标无效</w:t>
            </w:r>
            <w:r>
              <w:rPr>
                <w:rFonts w:hint="eastAsia" w:ascii="宋体" w:hAnsi="宋体" w:cs="宋体"/>
                <w:bCs/>
                <w:color w:val="auto"/>
                <w:sz w:val="24"/>
                <w:szCs w:val="24"/>
                <w:highlight w:val="none"/>
                <w:lang w:val="zh-CN"/>
              </w:rPr>
              <w:t>。</w:t>
            </w:r>
          </w:p>
          <w:p>
            <w:pPr>
              <w:keepNext w:val="0"/>
              <w:keepLines w:val="0"/>
              <w:pageBreakBefore w:val="0"/>
              <w:widowControl w:val="0"/>
              <w:kinsoku/>
              <w:wordWrap w:val="0"/>
              <w:overflowPunct/>
              <w:topLinePunct w:val="0"/>
              <w:autoSpaceDE/>
              <w:autoSpaceDN/>
              <w:bidi w:val="0"/>
              <w:adjustRightInd w:val="0"/>
              <w:spacing w:line="440" w:lineRule="exact"/>
              <w:rPr>
                <w:rFonts w:hint="eastAsia" w:ascii="宋体" w:hAnsi="宋体" w:eastAsia="宋体" w:cs="宋体"/>
                <w:bCs/>
                <w:color w:val="auto"/>
                <w:sz w:val="24"/>
                <w:szCs w:val="24"/>
                <w:highlight w:val="none"/>
                <w:lang w:val="zh-CN"/>
              </w:rPr>
            </w:pPr>
            <w:r>
              <w:rPr>
                <w:rFonts w:hint="eastAsia" w:ascii="宋体" w:hAnsi="宋体" w:cs="宋体"/>
                <w:bCs/>
                <w:color w:val="auto"/>
                <w:sz w:val="24"/>
                <w:szCs w:val="24"/>
                <w:highlight w:val="none"/>
                <w:lang w:val="zh-CN"/>
              </w:rPr>
              <w:t>开评标过程中如因上述原因导致</w:t>
            </w:r>
            <w:r>
              <w:rPr>
                <w:rFonts w:hint="eastAsia" w:ascii="宋体" w:hAnsi="宋体" w:cs="宋体"/>
                <w:bCs/>
                <w:color w:val="auto"/>
                <w:sz w:val="24"/>
                <w:szCs w:val="24"/>
                <w:highlight w:val="none"/>
                <w:lang w:val="en-US" w:eastAsia="zh-CN"/>
              </w:rPr>
              <w:t>投标无效</w:t>
            </w:r>
            <w:r>
              <w:rPr>
                <w:rFonts w:hint="eastAsia" w:ascii="宋体" w:hAnsi="宋体" w:cs="宋体"/>
                <w:bCs/>
                <w:color w:val="auto"/>
                <w:sz w:val="24"/>
                <w:szCs w:val="24"/>
                <w:highlight w:val="none"/>
                <w:lang w:val="zh-CN"/>
              </w:rPr>
              <w:t>标，供应商自行承担后果。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zh-CN"/>
              </w:rPr>
              <w:t>10.</w:t>
            </w:r>
            <w:r>
              <w:rPr>
                <w:rFonts w:hint="eastAsia" w:ascii="宋体" w:hAnsi="宋体" w:cs="宋体"/>
                <w:bCs/>
                <w:color w:val="auto"/>
                <w:sz w:val="24"/>
                <w:szCs w:val="24"/>
                <w:highlight w:val="none"/>
                <w:lang w:val="en-US" w:eastAsia="zh-CN"/>
              </w:rPr>
              <w:t>8</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电子招投标相关说明</w:t>
            </w: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本次招标实行不见面开标，具体要求如下：</w:t>
            </w:r>
          </w:p>
          <w:p>
            <w:pPr>
              <w:keepNext w:val="0"/>
              <w:keepLines w:val="0"/>
              <w:pageBreakBefore w:val="0"/>
              <w:widowControl w:val="0"/>
              <w:numPr>
                <w:ilvl w:val="0"/>
                <w:numId w:val="1"/>
              </w:numPr>
              <w:kinsoku/>
              <w:wordWrap w:val="0"/>
              <w:overflowPunct/>
              <w:topLinePunct w:val="0"/>
              <w:autoSpaceDE/>
              <w:autoSpaceDN/>
              <w:bidi w:val="0"/>
              <w:adjustRightInd w:val="0"/>
              <w:spacing w:line="440" w:lineRule="exact"/>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业务要求 </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rPr>
                <w:rFonts w:ascii="宋体" w:hAnsi="宋体" w:eastAsia="宋体" w:cs="宋体"/>
                <w:color w:val="auto"/>
                <w:sz w:val="24"/>
                <w:szCs w:val="24"/>
                <w:highlight w:val="none"/>
              </w:rPr>
            </w:pPr>
            <w:r>
              <w:rPr>
                <w:rFonts w:ascii="宋体" w:hAnsi="宋体" w:eastAsia="宋体" w:cs="宋体"/>
                <w:color w:val="auto"/>
                <w:sz w:val="24"/>
                <w:szCs w:val="24"/>
                <w:highlight w:val="none"/>
              </w:rPr>
              <w:t>开标项目的时间均以国家授时中心发布的时间为准。</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政府采购云平台不见面开标系统适用进入政府采购云平台的政府采购项目。 </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通过该系统完成投标过程。依照</w:t>
            </w:r>
            <w:r>
              <w:rPr>
                <w:rFonts w:hint="eastAsia" w:ascii="宋体" w:hAnsi="宋体" w:cs="宋体"/>
                <w:color w:val="auto"/>
                <w:sz w:val="24"/>
                <w:szCs w:val="24"/>
                <w:highlight w:val="none"/>
                <w:lang w:eastAsia="zh-CN"/>
              </w:rPr>
              <w:t>招标文件</w:t>
            </w:r>
            <w:r>
              <w:rPr>
                <w:rFonts w:ascii="宋体" w:hAnsi="宋体" w:eastAsia="宋体" w:cs="宋体"/>
                <w:color w:val="auto"/>
                <w:sz w:val="24"/>
                <w:szCs w:val="24"/>
                <w:highlight w:val="none"/>
              </w:rPr>
              <w:t>的规定完成电子投标文件的编制和提交。如未按</w:t>
            </w:r>
            <w:r>
              <w:rPr>
                <w:rFonts w:hint="eastAsia" w:ascii="宋体" w:hAnsi="宋体" w:cs="宋体"/>
                <w:color w:val="auto"/>
                <w:sz w:val="24"/>
                <w:szCs w:val="24"/>
                <w:highlight w:val="none"/>
                <w:lang w:eastAsia="zh-CN"/>
              </w:rPr>
              <w:t>招标文件</w:t>
            </w:r>
            <w:r>
              <w:rPr>
                <w:rFonts w:ascii="宋体" w:hAnsi="宋体" w:eastAsia="宋体" w:cs="宋体"/>
                <w:color w:val="auto"/>
                <w:sz w:val="24"/>
                <w:szCs w:val="24"/>
                <w:highlight w:val="none"/>
              </w:rPr>
              <w:t>要求编制、提交电子投标文件，将可能导致否决投标，其后果由投标人自负。</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投标人应充分考虑到网络及系统平台可能存在的突发状况，在投标文件编制完成后尽早完成上传。</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投标文件提交截止时间前，采购人或招标代理提前进入政府采购云平台（网址：http:// www.zcygov.cn）不见面开标系统，播放测试音频，各投标人提前进入该系统(网址http://www.zcygov.cn），实时观看音视频交互效果并及时在系统互动区反馈，未按时加入系统互动区并完成登录操作的或未能在开标会议区内全程参与交互的，视为放弃交互和放弃对开评标全过程质疑的权利，投标人将无法看到解密指令、否决投标及澄清、唱标等实时情况，并承担由此产生的一切后果。</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投标文件提交截止时间后，通过系统互动区发出投标文件解密的指令，投标人在任意地点按规定时间自行实施远程解密，解密限定在规定时间内完成。 </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投标人必须使用能正确解密投标文件的CA 证书，在</w:t>
            </w:r>
            <w:r>
              <w:rPr>
                <w:rFonts w:hint="eastAsia" w:ascii="宋体" w:hAnsi="宋体" w:eastAsia="宋体" w:cs="宋体"/>
                <w:color w:val="auto"/>
                <w:sz w:val="24"/>
                <w:szCs w:val="24"/>
                <w:highlight w:val="none"/>
                <w:lang w:eastAsia="zh-CN"/>
              </w:rPr>
              <w:t>系统</w:t>
            </w:r>
            <w:r>
              <w:rPr>
                <w:rFonts w:ascii="宋体" w:hAnsi="宋体" w:eastAsia="宋体" w:cs="宋体"/>
                <w:color w:val="auto"/>
                <w:sz w:val="24"/>
                <w:szCs w:val="24"/>
                <w:highlight w:val="none"/>
              </w:rPr>
              <w:t xml:space="preserve">规定的时间内完成远程解密，因投标人原因未能解密、解密失败或解密超时，视为投标人撤销其投标文件；因采购人或系统原因，导致无法按时完成投标文件解密或开标、评标工作无法进行的，可根据实际情况相应延迟解密时间或调整开标、评标时间。 </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开标当日，投标人不必抵达开标现场，仅需在任意地点通过政府采购云平台（网址：http:// www.zcygov.cn）不见面开标系统参加开标会议，并根据需要使用开标系统与现场采购人进行互动交流、澄清、质疑等活动。 </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开标、评标过程中，参与远程交互的各投标人应始终为同一个人，中途不得更换，在否决投标、澄清、质疑等特殊情况下需要交互时，投标人一端参与交互的人员只能是投标人的法定代表人或授权委托人（答辩等类似环节需要其他人员参与的除外），投标人不得以不承认交互人员的资格或身份等为借口推脱，投标人自行承担随意更换人员所导致的一切后果。</w:t>
            </w:r>
          </w:p>
          <w:p>
            <w:pPr>
              <w:keepNext w:val="0"/>
              <w:keepLines w:val="0"/>
              <w:pageBreakBefore w:val="0"/>
              <w:widowControl w:val="0"/>
              <w:numPr>
                <w:ilvl w:val="0"/>
                <w:numId w:val="2"/>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纸质投标文件的</w:t>
            </w:r>
            <w:r>
              <w:rPr>
                <w:rFonts w:hint="eastAsia" w:ascii="宋体" w:hAnsi="宋体" w:eastAsia="宋体" w:cs="宋体"/>
                <w:color w:val="auto"/>
                <w:sz w:val="24"/>
                <w:szCs w:val="24"/>
                <w:highlight w:val="none"/>
                <w:lang w:eastAsia="zh-CN"/>
              </w:rPr>
              <w:t>存档</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按照</w:t>
            </w:r>
            <w:r>
              <w:rPr>
                <w:rFonts w:ascii="宋体" w:hAnsi="宋体" w:eastAsia="宋体" w:cs="宋体"/>
                <w:color w:val="auto"/>
                <w:sz w:val="24"/>
                <w:szCs w:val="24"/>
                <w:highlight w:val="none"/>
              </w:rPr>
              <w:t>代理机构</w:t>
            </w:r>
            <w:r>
              <w:rPr>
                <w:rFonts w:hint="eastAsia" w:ascii="宋体" w:hAnsi="宋体" w:eastAsia="宋体" w:cs="宋体"/>
                <w:color w:val="auto"/>
                <w:sz w:val="24"/>
                <w:szCs w:val="24"/>
                <w:highlight w:val="none"/>
                <w:lang w:eastAsia="zh-CN"/>
              </w:rPr>
              <w:t>具体递交要求执行</w:t>
            </w:r>
            <w:r>
              <w:rPr>
                <w:rFonts w:ascii="宋体" w:hAnsi="宋体" w:eastAsia="宋体" w:cs="宋体"/>
                <w:color w:val="auto"/>
                <w:sz w:val="24"/>
                <w:szCs w:val="24"/>
                <w:highlight w:val="none"/>
              </w:rPr>
              <w:t>。</w:t>
            </w:r>
          </w:p>
          <w:p>
            <w:pPr>
              <w:keepNext w:val="0"/>
              <w:keepLines w:val="0"/>
              <w:pageBreakBefore w:val="0"/>
              <w:widowControl w:val="0"/>
              <w:numPr>
                <w:ilvl w:val="0"/>
                <w:numId w:val="1"/>
              </w:numPr>
              <w:kinsoku/>
              <w:wordWrap w:val="0"/>
              <w:overflowPunct/>
              <w:topLinePunct w:val="0"/>
              <w:autoSpaceDE/>
              <w:autoSpaceDN/>
              <w:bidi w:val="0"/>
              <w:adjustRightInd w:val="0"/>
              <w:spacing w:line="440" w:lineRule="exact"/>
              <w:ind w:left="0" w:leftChars="0" w:firstLine="0" w:firstLineChars="0"/>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系统操作注意事项 </w:t>
            </w:r>
          </w:p>
          <w:p>
            <w:pPr>
              <w:keepNext w:val="0"/>
              <w:keepLines w:val="0"/>
              <w:pageBreakBefore w:val="0"/>
              <w:widowControl w:val="0"/>
              <w:numPr>
                <w:ilvl w:val="0"/>
                <w:numId w:val="3"/>
              </w:numPr>
              <w:kinsoku/>
              <w:wordWrap w:val="0"/>
              <w:overflowPunct/>
              <w:topLinePunct w:val="0"/>
              <w:autoSpaceDE/>
              <w:autoSpaceDN/>
              <w:bidi w:val="0"/>
              <w:adjustRightInd w:val="0"/>
              <w:spacing w:line="440" w:lineRule="exact"/>
              <w:ind w:leftChars="0"/>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软硬件及网络要求 </w:t>
            </w:r>
          </w:p>
          <w:p>
            <w:pPr>
              <w:keepNext w:val="0"/>
              <w:keepLines w:val="0"/>
              <w:pageBreakBefore w:val="0"/>
              <w:widowControl w:val="0"/>
              <w:numPr>
                <w:ilvl w:val="0"/>
                <w:numId w:val="0"/>
              </w:numPr>
              <w:kinsoku/>
              <w:wordWrap w:val="0"/>
              <w:overflowPunct/>
              <w:topLinePunct w:val="0"/>
              <w:autoSpaceDE/>
              <w:autoSpaceDN/>
              <w:bidi w:val="0"/>
              <w:adjustRightInd w:val="0"/>
              <w:spacing w:line="440" w:lineRule="exact"/>
              <w:rPr>
                <w:rFonts w:hint="eastAsia" w:ascii="宋体" w:hAnsi="宋体" w:eastAsia="宋体" w:cs="宋体"/>
                <w:bCs/>
                <w:color w:val="auto"/>
                <w:sz w:val="24"/>
                <w:szCs w:val="24"/>
                <w:highlight w:val="none"/>
                <w:lang w:val="zh-CN"/>
              </w:rPr>
            </w:pPr>
            <w:r>
              <w:rPr>
                <w:rFonts w:ascii="宋体" w:hAnsi="宋体" w:eastAsia="宋体" w:cs="宋体"/>
                <w:color w:val="auto"/>
                <w:sz w:val="24"/>
                <w:szCs w:val="24"/>
                <w:highlight w:val="none"/>
              </w:rPr>
              <w:t>1.参与不见面开标电脑须安装有清晰可用的摄像头、音响和麦克风设备。 2.参与不见面开标电脑须安装正确驱动，可在不见面开标系统登录界面的驱动下载页面进行下载及后续安装。3.为更好实时查看不见面开标室现场，推荐使用20M 及以上网络宽带。 4.操作系统为 win7 或 win10 系统，IE10 版本及以上，运存≥4G （二）投标文件制作及上传说明 1.供应商在政府采购云平台网注册入库成为正式供应商后，在平台上按《政府采购项目电子交易管理操作指南-供应商》进行投标操作。投标人须办理数字证书方可参加投标。2.收到 CA 锁以后在“政采云”登陆界面，点击CA 登录-CA驱动下载-下载并安装政采云投标客户端和CA 驱动，账号绑定CA后才能进行投标文件制作。 3.若对项目采购电子交易系统操作有疑问，可登录“政采云”平台，点击右侧咨询小采，获取采小蜜智能服务管家帮助，或拨打政采云服务热线 95763 获取帮助。4.根据</w:t>
            </w:r>
            <w:r>
              <w:rPr>
                <w:rFonts w:hint="eastAsia" w:ascii="宋体" w:hAnsi="宋体" w:eastAsia="宋体" w:cs="宋体"/>
                <w:color w:val="auto"/>
                <w:sz w:val="24"/>
                <w:szCs w:val="24"/>
                <w:highlight w:val="none"/>
                <w:lang w:eastAsia="zh-CN"/>
              </w:rPr>
              <w:t>相关</w:t>
            </w:r>
            <w:r>
              <w:rPr>
                <w:rFonts w:ascii="宋体" w:hAnsi="宋体" w:eastAsia="宋体" w:cs="宋体"/>
                <w:color w:val="auto"/>
                <w:sz w:val="24"/>
                <w:szCs w:val="24"/>
                <w:highlight w:val="none"/>
              </w:rPr>
              <w:t>要求使用对应版本的投标文件制作工具。（三）开标过程注意事项 1.开标当天，投标人务必于开标前提前登录系统，进入所投标项目，在项目签到界面进行线上签到。2.开标过程中请重点关注不见面开标系统互动区消息，及时查阅，并根据消息提醒及时进行投标文件在线解密等操作。3.项目进入投标文件在线解密阶段后，须在</w:t>
            </w:r>
            <w:r>
              <w:rPr>
                <w:rFonts w:hint="eastAsia" w:ascii="宋体" w:hAnsi="宋体" w:cs="宋体"/>
                <w:color w:val="auto"/>
                <w:sz w:val="24"/>
                <w:szCs w:val="24"/>
                <w:highlight w:val="none"/>
                <w:lang w:eastAsia="zh-CN"/>
              </w:rPr>
              <w:t>招标文件</w:t>
            </w:r>
            <w:r>
              <w:rPr>
                <w:rFonts w:ascii="宋体" w:hAnsi="宋体" w:eastAsia="宋体" w:cs="宋体"/>
                <w:color w:val="auto"/>
                <w:sz w:val="24"/>
                <w:szCs w:val="24"/>
                <w:highlight w:val="none"/>
              </w:rPr>
              <w:t>规定解密时间内使用相应的投标文件 CA 证书进行在线解密，否则将无法解密。 四、技术支持 1.若遇问题可联系工作人员，通过以下方式：可登录“政采云”平台，点击右侧咨询小采，获取采小蜜智能服务管家帮助，或拨打政采云服务热线95763 获取帮助。2.为更直观了解、掌握本系统使用方法，建议在具体项目开标前先行浏览本系统相关操作手册，可在本系统登录界面的操作手册页面进行下载、查看。 3.关于后续相关常见问题及注意事项，请及时关注政府采购云平台（网址：http:// www.zcygov.cn）</w:t>
            </w:r>
            <w:r>
              <w:rPr>
                <w:rFonts w:hint="eastAsia" w:ascii="宋体" w:hAnsi="宋体" w:eastAsia="宋体" w:cs="宋体"/>
                <w:bCs/>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964"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0" w:lineRule="atLeas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须知前附表”用于修改、补充和完善正文中的相关事宜，前附表与正文如有冲突以正文为准。</w:t>
            </w:r>
          </w:p>
        </w:tc>
      </w:tr>
    </w:tbl>
    <w:p>
      <w:pPr>
        <w:pageBreakBefore w:val="0"/>
        <w:kinsoku/>
        <w:overflowPunct/>
        <w:topLinePunct w:val="0"/>
        <w:bidi w:val="0"/>
        <w:spacing w:line="288" w:lineRule="auto"/>
        <w:textAlignment w:val="auto"/>
        <w:rPr>
          <w:rFonts w:hint="eastAsia" w:ascii="宋体" w:hAnsi="宋体" w:eastAsia="宋体" w:cs="宋体"/>
          <w:color w:val="auto"/>
          <w:sz w:val="24"/>
          <w:szCs w:val="24"/>
          <w:highlight w:val="none"/>
        </w:rPr>
      </w:pPr>
    </w:p>
    <w:p>
      <w:pPr>
        <w:pStyle w:val="10"/>
        <w:pageBreakBefore w:val="0"/>
        <w:kinsoku/>
        <w:overflowPunct/>
        <w:topLinePunct w:val="0"/>
        <w:bidi w:val="0"/>
        <w:spacing w:line="288" w:lineRule="auto"/>
        <w:jc w:val="both"/>
        <w:textAlignment w:val="auto"/>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0"/>
        <w:pageBreakBefore w:val="0"/>
        <w:kinsoku/>
        <w:overflowPunct/>
        <w:topLinePunct w:val="0"/>
        <w:bidi w:val="0"/>
        <w:spacing w:line="288" w:lineRule="auto"/>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供应商须知</w:t>
      </w:r>
      <w:bookmarkEnd w:id="0"/>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1.总则</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1.1 招标项目概况</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 xml:space="preserve">1.1.1 </w:t>
      </w:r>
      <w:r>
        <w:rPr>
          <w:rFonts w:hint="eastAsia" w:ascii="宋体" w:hAnsi="宋体" w:eastAsia="宋体" w:cs="宋体"/>
          <w:bCs/>
          <w:color w:val="auto"/>
          <w:sz w:val="24"/>
          <w:szCs w:val="24"/>
          <w:highlight w:val="none"/>
        </w:rPr>
        <w:t>本次招标适用法律法规为《中华人民共和国政府采购法》、《中华人民共和国政府采购法实施条例》、《政府采购货物和服务招标投标管理办法》及政府采购其它相关法规。</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采购人：见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采购代理机构：见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 项目名称：见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 供货地点：见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1.1.6 投标人</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lang w:val="en-US" w:eastAsia="zh-CN"/>
        </w:rPr>
        <w:t>：是指向采购人提供货物、工程或者服务的法人、其他组织或者自然人。</w:t>
      </w:r>
    </w:p>
    <w:p>
      <w:pPr>
        <w:wordWrap w:val="0"/>
        <w:adjustRightInd w:val="0"/>
        <w:spacing w:line="440" w:lineRule="exact"/>
        <w:ind w:firstLine="482"/>
        <w:rPr>
          <w:rFonts w:hint="eastAsia"/>
          <w:color w:val="auto"/>
          <w:highlight w:val="none"/>
          <w:lang w:val="zh-CN"/>
        </w:rPr>
      </w:pPr>
      <w:r>
        <w:rPr>
          <w:rFonts w:hint="eastAsia" w:ascii="宋体" w:hAnsi="宋体" w:cs="宋体"/>
          <w:color w:val="auto"/>
          <w:sz w:val="24"/>
          <w:szCs w:val="24"/>
          <w:highlight w:val="none"/>
        </w:rPr>
        <w:t>1.1.</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投标人代表</w:t>
      </w:r>
      <w:r>
        <w:rPr>
          <w:rFonts w:hint="eastAsia" w:ascii="宋体" w:hAnsi="宋体" w:cs="宋体"/>
          <w:color w:val="auto"/>
          <w:sz w:val="24"/>
          <w:szCs w:val="24"/>
          <w:highlight w:val="none"/>
        </w:rPr>
        <w:t>：是指法人</w:t>
      </w:r>
      <w:r>
        <w:rPr>
          <w:rFonts w:hint="eastAsia" w:ascii="宋体" w:hAnsi="宋体" w:cs="宋体"/>
          <w:color w:val="auto"/>
          <w:sz w:val="24"/>
          <w:szCs w:val="24"/>
          <w:highlight w:val="none"/>
          <w:lang w:eastAsia="zh-CN"/>
        </w:rPr>
        <w:t>及被授权人</w:t>
      </w:r>
      <w:r>
        <w:rPr>
          <w:rFonts w:hint="eastAsia" w:ascii="宋体" w:hAnsi="宋体" w:cs="宋体"/>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1.2 资金来源和落实情况</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1.2.1 资金来源及比例：见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1.2.2 资金落实情况：见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w:t>
      </w:r>
    </w:p>
    <w:p>
      <w:pPr>
        <w:keepNext w:val="0"/>
        <w:keepLines w:val="0"/>
        <w:pageBreakBefore w:val="0"/>
        <w:widowControl w:val="0"/>
        <w:tabs>
          <w:tab w:val="center" w:pos="4737"/>
        </w:tabs>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1.3 招标范围、供货及安装工期和质量标准</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1.3.1 招标范围：见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1.3.2 供货期：见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1.3.3 质量标准：见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1.4 供应商资格要求</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 xml:space="preserve">1.4.1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应具备承担本采购项目的资格条件、能力和信誉：</w:t>
      </w:r>
      <w:r>
        <w:rPr>
          <w:rFonts w:hint="eastAsia" w:ascii="宋体" w:hAnsi="宋体" w:eastAsia="宋体" w:cs="宋体"/>
          <w:color w:val="auto"/>
          <w:sz w:val="24"/>
          <w:szCs w:val="24"/>
          <w:highlight w:val="none"/>
        </w:rPr>
        <w:t>参加本项目政府采购活动的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必须完全具备《中华人民共和国政府采购法》第二十二条规定的资格要求，同时对招标文件作出实质性响应，在上传提交投标文件的同时按招标文件要求提供</w:t>
      </w:r>
      <w:r>
        <w:rPr>
          <w:rFonts w:hint="eastAsia" w:ascii="宋体" w:hAnsi="宋体" w:eastAsia="宋体" w:cs="宋体"/>
          <w:bCs/>
          <w:color w:val="auto"/>
          <w:sz w:val="24"/>
          <w:szCs w:val="24"/>
          <w:highlight w:val="none"/>
        </w:rPr>
        <w:t>有关</w:t>
      </w:r>
      <w:r>
        <w:rPr>
          <w:rFonts w:hint="eastAsia" w:ascii="宋体" w:hAnsi="宋体" w:eastAsia="宋体" w:cs="宋体"/>
          <w:bCs/>
          <w:color w:val="auto"/>
          <w:sz w:val="24"/>
          <w:szCs w:val="24"/>
          <w:highlight w:val="none"/>
          <w:lang w:eastAsia="zh-CN"/>
        </w:rPr>
        <w:t>资格证明</w:t>
      </w:r>
      <w:r>
        <w:rPr>
          <w:rFonts w:hint="eastAsia" w:ascii="宋体" w:hAnsi="宋体" w:eastAsia="宋体" w:cs="宋体"/>
          <w:bCs/>
          <w:color w:val="auto"/>
          <w:sz w:val="24"/>
          <w:szCs w:val="24"/>
          <w:highlight w:val="none"/>
        </w:rPr>
        <w:t>文件原件，具体要求见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须知前附表第1.4.1项和第3.1.1项</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以上各款关于合格</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资格条件的要求均须提供中文文本，否则无效，</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应按《投标文件格式》的相关规定提交。</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 xml:space="preserve">1.4.2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须知前附表规定接受联合体投标的，联合体除应符合本章第 1.4.1 款和</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须知前附表的要求外，还应遵守以下规定：</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（1）联合体各方应按招标文件提供的格式签订联合体协议书，明确联合体牵头人和各方权利义务，并承诺就中标项目向采购人承担连带责任；</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（2）联合体各方不得再以自己名义单独或参加其他联合体在本招标项目中投标，否则各相关投标均无效。</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1.4.3 供应商不得存在下列情形之一：</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（1）为采购人不具有独立法人资格的附属机构（单位）；</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（2）与采购人存在利害关系且可能影响招标公正性；</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（3）与本采购项目的其他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为同一个单位负责人；</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（4）与本采购项目的其他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存在控股、管理关系；</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（5）为本采购标项目的采购代理机构；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（6）与本采购项目的采购代理机构同为一个法定代表人；</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（7）与本采购项目的采购代理机构存在控股或参股关系；</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（8）被依法暂停或者取消投标资格；</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（9）被责令停产停业、暂扣或者吊销许可证、暂扣或者吊销执照；</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（10）进入清算程序，或被宣告破产，或其他丧失履约能力的情形；</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（11）在最近三年内发生重大供货质量问题（以相关行业主管部门的行政处罚决定或司法机关出具的有关法律文书为准）；</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（12）被工商行政管理机关在“信用中国”网站中</w:t>
      </w:r>
      <w:r>
        <w:rPr>
          <w:rFonts w:hint="eastAsia" w:ascii="宋体" w:hAnsi="宋体" w:eastAsia="宋体" w:cs="宋体"/>
          <w:color w:val="auto"/>
          <w:sz w:val="24"/>
          <w:szCs w:val="24"/>
          <w:highlight w:val="none"/>
        </w:rPr>
        <w:t>列入失信被执行人名单、</w:t>
      </w:r>
      <w:r>
        <w:rPr>
          <w:rFonts w:hint="eastAsia" w:ascii="宋体" w:hAnsi="宋体" w:eastAsia="宋体" w:cs="宋体"/>
          <w:color w:val="auto"/>
          <w:sz w:val="24"/>
          <w:szCs w:val="24"/>
          <w:highlight w:val="none"/>
          <w:lang w:eastAsia="zh-CN"/>
        </w:rPr>
        <w:t>税收违法黑名单</w:t>
      </w:r>
      <w:r>
        <w:rPr>
          <w:rFonts w:hint="eastAsia" w:ascii="宋体" w:hAnsi="宋体" w:eastAsia="宋体" w:cs="宋体"/>
          <w:color w:val="auto"/>
          <w:sz w:val="24"/>
          <w:szCs w:val="24"/>
          <w:highlight w:val="none"/>
        </w:rPr>
        <w:t>名单</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中国政府采购网</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列入政府采购严重违法失信行为记录名单；</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（13）被最高人民法院在各级信用信息共享平台中列入失信被执行人名单；</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（14）在近三年内</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或其法定代表人有行贿犯罪行为的（以中国裁判文书网的查询结果为准）；</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（15）法律法规或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须知前附表规定的其他情形。</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1.5 费用承担</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供应商准备和参加投标活动发生的费用自理，</w:t>
      </w:r>
      <w:r>
        <w:rPr>
          <w:rFonts w:hint="eastAsia" w:ascii="宋体" w:hAnsi="宋体" w:eastAsia="宋体" w:cs="宋体"/>
          <w:color w:val="auto"/>
          <w:sz w:val="24"/>
          <w:szCs w:val="24"/>
          <w:highlight w:val="none"/>
          <w:lang w:val="zh-CN"/>
        </w:rPr>
        <w:t>无论投标的结果如何，</w:t>
      </w:r>
      <w:r>
        <w:rPr>
          <w:rFonts w:hint="eastAsia" w:ascii="宋体" w:hAnsi="宋体" w:eastAsia="宋体" w:cs="宋体"/>
          <w:bCs/>
          <w:color w:val="auto"/>
          <w:sz w:val="24"/>
          <w:szCs w:val="24"/>
          <w:highlight w:val="none"/>
          <w:lang w:val="zh-CN"/>
        </w:rPr>
        <w:t>采购人和采购代理机构在任何情况下均无义务和责任承担这些费用。</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1.6 保密和披露</w:t>
      </w:r>
    </w:p>
    <w:p>
      <w:pPr>
        <w:keepNext w:val="0"/>
        <w:keepLines w:val="0"/>
        <w:pageBreakBefore w:val="0"/>
        <w:widowControl w:val="0"/>
        <w:kinsoku/>
        <w:wordWrap w:val="0"/>
        <w:overflowPunct/>
        <w:topLinePunct w:val="0"/>
        <w:autoSpaceDE/>
        <w:autoSpaceDN/>
        <w:bidi w:val="0"/>
        <w:adjustRightInd w:val="0"/>
        <w:spacing w:line="440" w:lineRule="exact"/>
        <w:ind w:firstLine="48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1.6.1 参与招标投标活动的各方应对招标文件和投标文件中的商业和技术等秘密保密</w:t>
      </w:r>
      <w:r>
        <w:rPr>
          <w:rFonts w:hint="eastAsia" w:ascii="宋体" w:hAnsi="宋体" w:eastAsia="宋体" w:cs="宋体"/>
          <w:bCs/>
          <w:color w:val="auto"/>
          <w:sz w:val="24"/>
          <w:szCs w:val="24"/>
          <w:highlight w:val="none"/>
        </w:rPr>
        <w:t>，否则应承担相应的法律责任。</w:t>
      </w:r>
    </w:p>
    <w:p>
      <w:pPr>
        <w:keepNext w:val="0"/>
        <w:keepLines w:val="0"/>
        <w:pageBreakBefore w:val="0"/>
        <w:widowControl w:val="0"/>
        <w:tabs>
          <w:tab w:val="left" w:pos="709"/>
        </w:tabs>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1.6.2 </w:t>
      </w:r>
      <w:r>
        <w:rPr>
          <w:rFonts w:hint="eastAsia" w:ascii="宋体" w:hAnsi="宋体" w:eastAsia="宋体" w:cs="宋体"/>
          <w:color w:val="auto"/>
          <w:sz w:val="24"/>
          <w:szCs w:val="24"/>
          <w:highlight w:val="none"/>
          <w:lang w:val="zh-CN"/>
        </w:rPr>
        <w:t>采购人有权将供应商提供的所有资料向其他政府部门或有关的非政府机构负责评审标书的人员或与评标有关的人员披露。</w:t>
      </w:r>
    </w:p>
    <w:p>
      <w:pPr>
        <w:keepNext w:val="0"/>
        <w:keepLines w:val="0"/>
        <w:pageBreakBefore w:val="0"/>
        <w:widowControl w:val="0"/>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1.6.3 在下列情形下：当发布中标公告和其它公告时，当国家机关调查、审查、审计时，以及在其他符合法律规定的情形下，采购人无须事先征求供应商/中标供应商同意而可以披露关于采购过程、投标文件、合同文本、合同签署情况的资料、供应商/中标供应商的名称及地址、采购内容的有关信息以及补充条款等，并且对任何已经公布过的内容或与之内容相同的资料无须再承担保密责任。</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1.7 语言文字</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bCs/>
          <w:color w:val="auto"/>
          <w:sz w:val="24"/>
          <w:szCs w:val="24"/>
          <w:highlight w:val="none"/>
        </w:rPr>
        <w:t>与招标投标有关的语言均使用中文，专用术语使用外文的，应附有中文注释。</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1.8 计量单位</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所有计量均采用中华人民共和国法定计量单位。</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1.9 踏勘现场</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1.9.1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须知前附表规定组织踏勘现场的，采购人按</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须知前附表规定的时间、地点组织</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踏勘项目现场。部分</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未按时参加踏勘现场的，不影响踏勘现场的正常进行。</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1.9.2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踏勘现场发生的费用自理。</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1.9.3 除采购人的原因外，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自行负责在踏勘现场中所发生的人员伤亡和财产损失。</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1.9.4 采购人在踏勘现场中获取的相关情况，供</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在编制投标文件时参考，采购人不对</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据此作出的判断和决策负责。</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1.10 投标预备会</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1.10.1</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须知前附表规定召开投标预备会的，采购人按</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须知前附表规定的时间和地点召开投标预备会，澄清</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提出的问题。</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1.10.2</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应按</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须知前附表规定的时间和形式将提出的问题送达采购人，以便采购人在会议期间澄清。</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
          <w:color w:val="auto"/>
          <w:sz w:val="24"/>
          <w:szCs w:val="24"/>
          <w:highlight w:val="none"/>
          <w:lang w:val="zh-CN"/>
        </w:rPr>
      </w:pPr>
      <w:r>
        <w:rPr>
          <w:rFonts w:hint="eastAsia" w:ascii="宋体" w:hAnsi="宋体" w:eastAsia="宋体" w:cs="宋体"/>
          <w:bCs/>
          <w:color w:val="auto"/>
          <w:sz w:val="24"/>
          <w:szCs w:val="24"/>
          <w:highlight w:val="none"/>
          <w:lang w:val="zh-CN"/>
        </w:rPr>
        <w:t>1.10.3</w:t>
      </w:r>
      <w:r>
        <w:rPr>
          <w:rFonts w:hint="eastAsia" w:ascii="宋体" w:hAnsi="宋体" w:eastAsia="宋体" w:cs="宋体"/>
          <w:bCs/>
          <w:color w:val="auto"/>
          <w:sz w:val="24"/>
          <w:szCs w:val="24"/>
          <w:highlight w:val="none"/>
        </w:rPr>
        <w:t>投标预备会后，采购人将对</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所提问题的澄清，以</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须知前附表规定的形式通知所有获取招标文件的</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。该澄清内容为招标文件的组成部分。</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1.11 分包</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1.11.1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拟在中标后将中标项目的非主体、非关键性工作进行分包的，应符合</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须知前附表规定的分包内容、分包金额和资格要求等限制性条件，除</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须知前附表规定的非主体、非关键性工作外，其他工作不得分包。</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1.11.2 </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不得向他人转让中标项目，接受分包的人不得再次分包。</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应当就分包项目向采购人负责，接受分包的人就分包项目承担连带责任。</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zh-CN"/>
        </w:rPr>
        <w:t xml:space="preserve">1.12 </w:t>
      </w:r>
      <w:r>
        <w:rPr>
          <w:rFonts w:hint="eastAsia" w:ascii="宋体" w:hAnsi="宋体" w:eastAsia="宋体" w:cs="宋体"/>
          <w:b/>
          <w:color w:val="auto"/>
          <w:sz w:val="24"/>
          <w:szCs w:val="24"/>
          <w:highlight w:val="none"/>
        </w:rPr>
        <w:t>响应和偏差</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 投标文件应当对招标文件的</w:t>
      </w:r>
      <w:r>
        <w:rPr>
          <w:rFonts w:hint="eastAsia" w:ascii="宋体" w:hAnsi="宋体" w:eastAsia="宋体" w:cs="宋体"/>
          <w:color w:val="auto"/>
          <w:sz w:val="24"/>
          <w:szCs w:val="24"/>
          <w:highlight w:val="none"/>
          <w:lang w:eastAsia="zh-CN"/>
        </w:rPr>
        <w:t>所有条款的</w:t>
      </w:r>
      <w:r>
        <w:rPr>
          <w:rFonts w:hint="eastAsia" w:ascii="宋体" w:hAnsi="宋体" w:eastAsia="宋体" w:cs="宋体"/>
          <w:color w:val="auto"/>
          <w:sz w:val="24"/>
          <w:szCs w:val="24"/>
          <w:highlight w:val="none"/>
        </w:rPr>
        <w:t>实质性要求和条件作出满足性或更有利于采购人的响应，否则，</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的投标将被否决。实质性要求和条件见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1.12.2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应根据招标文件的要求提供投标技术文件等内容以对招标文件作出响应。</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1.12.3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须知前附表允许</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偏离</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某些要求的，偏差应当符合</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规定的偏差范围和幅度。</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2.招标文件</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 招标文件的组成</w:t>
      </w:r>
    </w:p>
    <w:p>
      <w:pPr>
        <w:keepNext w:val="0"/>
        <w:keepLines w:val="0"/>
        <w:pageBreakBefore w:val="0"/>
        <w:widowControl w:val="0"/>
        <w:kinsoku/>
        <w:wordWrap w:val="0"/>
        <w:overflowPunct/>
        <w:topLinePunct w:val="0"/>
        <w:autoSpaceDE/>
        <w:autoSpaceDN/>
        <w:bidi w:val="0"/>
        <w:adjustRightInd w:val="0"/>
        <w:spacing w:line="440" w:lineRule="exact"/>
        <w:ind w:firstLine="600" w:firstLineChars="2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本招标文件包括：</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（3）评标办法；</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CN"/>
        </w:rPr>
        <w:t>采购需求</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zh-CN"/>
        </w:rPr>
        <w:t>合同格式</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（6）投标文件格式；</w:t>
      </w:r>
    </w:p>
    <w:p>
      <w:pPr>
        <w:keepNext w:val="0"/>
        <w:keepLines w:val="0"/>
        <w:pageBreakBefore w:val="0"/>
        <w:widowControl w:val="0"/>
        <w:kinsoku/>
        <w:wordWrap w:val="0"/>
        <w:overflowPunct/>
        <w:topLinePunct w:val="0"/>
        <w:autoSpaceDE/>
        <w:autoSpaceDN/>
        <w:bidi w:val="0"/>
        <w:adjustRightInd w:val="0"/>
        <w:spacing w:line="440" w:lineRule="exact"/>
        <w:ind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）附件。</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根据本章第 1.10 款、第 2.2 款和第 2.3 款对招标文件所作的澄清、修改，构成招标文件的组成部分，</w:t>
      </w:r>
      <w:r>
        <w:rPr>
          <w:rFonts w:hint="eastAsia" w:ascii="宋体" w:hAnsi="宋体" w:eastAsia="宋体" w:cs="宋体"/>
          <w:color w:val="auto"/>
          <w:sz w:val="24"/>
          <w:szCs w:val="24"/>
          <w:highlight w:val="none"/>
          <w:lang w:val="zh-CN"/>
        </w:rPr>
        <w:t>供应商应认真阅读招标文件中所有事项、格式、条款和规范等要求。如果供应商没有按照招标文件要求提交全部文件资料或投标文件没有对招标文件在各方面都做出实质性响应，是供应商的风险。</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2.2 招标文件的澄清</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2.2.1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应仔细阅读和检查招标文件的全部内容。如发现缺页或附件不全，应及时向采购人提出，以便补齐。如有疑问，应按</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须知前附表规定的时间和形式将提出的问题送达采购人，要求采购人对招标文件予以澄清。</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2.2.2 招标文件的澄清以</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须知前附表规定的形式发给所有获取招标文件的</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，但不指明澄清问题的来源。澄清发出的时间距本章第 4.2.1 款规定的投标截止时间不足 15 日的，并且澄清内容可能影响投标文件编制的，将相应延长投标截止时间。</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2.2.3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在收到澄清后，应按</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须知前附表规定的时间和形式通知采购人，确认已收到该澄清。</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2.2.4 除非采购人认为确有必要答复，否则，采购人有权拒绝回复</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在本章第 2.2.1 款规定的时间后的任何澄清要求。</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2.3 招标文件的修改</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2.3.1 采购人以</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须知前附表规定的形式修改招标文件，并通知所有已获取招标文件的</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。修改招标文件的时间距本章第 4.2.1 款规定的投标截止时间不足 15 日的，并且修改内容可能影响投标文件编制的，将相应延长投标截止时间。</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b/>
          <w:color w:val="auto"/>
          <w:sz w:val="24"/>
          <w:szCs w:val="24"/>
          <w:highlight w:val="none"/>
          <w:lang w:val="zh-CN"/>
        </w:rPr>
      </w:pPr>
      <w:r>
        <w:rPr>
          <w:rFonts w:hint="eastAsia" w:ascii="宋体" w:hAnsi="宋体" w:eastAsia="宋体" w:cs="宋体"/>
          <w:bCs/>
          <w:color w:val="auto"/>
          <w:sz w:val="24"/>
          <w:szCs w:val="24"/>
          <w:highlight w:val="none"/>
        </w:rPr>
        <w:t xml:space="preserve">2.3.2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收到修改内容后，应按</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须知前附表规定的时间和形式通知采购人，确认已收到该修改。</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zh-CN"/>
        </w:rPr>
        <w:t>2.3.3 招标文件的澄清、修改、补充文件均构成招标文件的组成部分，对所有供应商具有约束力，而无论其是否已经实际收到该澄清、修改、补充文件（包括答疑会纪要）。供应商都</w:t>
      </w:r>
      <w:r>
        <w:rPr>
          <w:rFonts w:hint="eastAsia" w:ascii="宋体" w:hAnsi="宋体" w:eastAsia="宋体" w:cs="宋体"/>
          <w:bCs/>
          <w:color w:val="auto"/>
          <w:sz w:val="24"/>
          <w:szCs w:val="24"/>
          <w:highlight w:val="none"/>
        </w:rPr>
        <w:t>应按</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须知前附表规定的时间和形式</w:t>
      </w:r>
      <w:r>
        <w:rPr>
          <w:rFonts w:hint="eastAsia" w:ascii="宋体" w:hAnsi="宋体" w:eastAsia="宋体" w:cs="宋体"/>
          <w:color w:val="auto"/>
          <w:sz w:val="24"/>
          <w:szCs w:val="24"/>
          <w:highlight w:val="none"/>
          <w:lang w:val="zh-CN"/>
        </w:rPr>
        <w:t>回复并</w:t>
      </w:r>
      <w:r>
        <w:rPr>
          <w:rFonts w:hint="eastAsia" w:ascii="宋体" w:hAnsi="宋体" w:eastAsia="宋体" w:cs="宋体"/>
          <w:bCs/>
          <w:color w:val="auto"/>
          <w:sz w:val="24"/>
          <w:szCs w:val="24"/>
          <w:highlight w:val="none"/>
        </w:rPr>
        <w:t>通知采购人</w:t>
      </w:r>
      <w:r>
        <w:rPr>
          <w:rFonts w:hint="eastAsia" w:ascii="宋体" w:hAnsi="宋体" w:eastAsia="宋体" w:cs="宋体"/>
          <w:color w:val="auto"/>
          <w:sz w:val="24"/>
          <w:szCs w:val="24"/>
          <w:highlight w:val="none"/>
          <w:lang w:val="zh-CN"/>
        </w:rPr>
        <w:t>确认已收到</w:t>
      </w:r>
      <w:r>
        <w:rPr>
          <w:rFonts w:hint="eastAsia" w:ascii="宋体" w:hAnsi="宋体" w:eastAsia="宋体" w:cs="宋体"/>
          <w:bCs/>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zh-CN"/>
        </w:rPr>
        <w:t>2.3.4 为使供应商有充分的时间对招标文件的澄清、修改、补充部分进行研究，采购人可在投标截止时间3日前（含）自行决定酌情延长投标截止时间，延长投标截止时间的公告将在原公告发布媒体发上发布，并</w:t>
      </w:r>
      <w:r>
        <w:rPr>
          <w:rFonts w:hint="eastAsia" w:ascii="宋体" w:hAnsi="宋体" w:eastAsia="宋体" w:cs="宋体"/>
          <w:bCs/>
          <w:color w:val="auto"/>
          <w:sz w:val="24"/>
          <w:szCs w:val="24"/>
          <w:highlight w:val="none"/>
        </w:rPr>
        <w:t>以补遗文件形式发送到</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zh-CN"/>
        </w:rPr>
        <w:t>答疑文件</w:t>
      </w:r>
      <w:r>
        <w:rPr>
          <w:rFonts w:hint="eastAsia" w:ascii="宋体" w:hAnsi="宋体" w:eastAsia="宋体" w:cs="宋体"/>
          <w:bCs/>
          <w:color w:val="auto"/>
          <w:sz w:val="24"/>
          <w:szCs w:val="24"/>
          <w:highlight w:val="none"/>
        </w:rPr>
        <w:t>中，</w:t>
      </w:r>
      <w:r>
        <w:rPr>
          <w:rFonts w:hint="eastAsia" w:ascii="宋体" w:hAnsi="宋体" w:eastAsia="宋体" w:cs="宋体"/>
          <w:color w:val="auto"/>
          <w:sz w:val="24"/>
          <w:szCs w:val="24"/>
          <w:highlight w:val="none"/>
          <w:lang w:val="zh-CN"/>
        </w:rPr>
        <w:t>向所有潜在供应商发出</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w:t>
      </w:r>
      <w:r>
        <w:rPr>
          <w:rFonts w:hint="eastAsia" w:ascii="宋体" w:hAnsi="宋体" w:eastAsia="宋体" w:cs="宋体"/>
          <w:color w:val="auto"/>
          <w:sz w:val="24"/>
          <w:szCs w:val="24"/>
          <w:highlight w:val="none"/>
          <w:lang w:val="zh-CN"/>
        </w:rPr>
        <w:t>在供应商系统中</w:t>
      </w:r>
      <w:r>
        <w:rPr>
          <w:rFonts w:hint="eastAsia" w:ascii="宋体" w:hAnsi="宋体" w:eastAsia="宋体" w:cs="宋体"/>
          <w:bCs/>
          <w:color w:val="auto"/>
          <w:sz w:val="24"/>
          <w:szCs w:val="24"/>
          <w:highlight w:val="none"/>
        </w:rPr>
        <w:t>自行下载答疑文件。</w:t>
      </w:r>
      <w:r>
        <w:rPr>
          <w:rFonts w:hint="eastAsia" w:ascii="宋体" w:hAnsi="宋体" w:eastAsia="宋体" w:cs="宋体"/>
          <w:color w:val="auto"/>
          <w:sz w:val="24"/>
          <w:szCs w:val="24"/>
          <w:highlight w:val="none"/>
          <w:lang w:val="zh-CN"/>
        </w:rPr>
        <w:t>在这种情况下，采购人和供应商受投标截止时间制约的所有权利和义务均相应延长至新的投标截止时间。</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3.投标文件</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3.1 投标文件的组成</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3.1.1 </w:t>
      </w:r>
      <w:r>
        <w:rPr>
          <w:rFonts w:hint="eastAsia" w:ascii="宋体" w:hAnsi="宋体" w:eastAsia="宋体" w:cs="宋体"/>
          <w:color w:val="auto"/>
          <w:sz w:val="24"/>
          <w:szCs w:val="24"/>
          <w:highlight w:val="none"/>
        </w:rPr>
        <w:t>投标文件分为商务部分和技术部分。商务部分是</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提交的证明其具有合格的投标资格和中标后有能力履行合同的文件。技术部分是能够证明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所提供货物和服务的合格性和符合招标文件规定的文件，</w:t>
      </w:r>
      <w:r>
        <w:rPr>
          <w:rFonts w:hint="eastAsia" w:ascii="宋体" w:hAnsi="宋体" w:eastAsia="宋体" w:cs="宋体"/>
          <w:color w:val="auto"/>
          <w:sz w:val="24"/>
          <w:szCs w:val="24"/>
          <w:highlight w:val="none"/>
          <w:lang w:eastAsia="zh-CN"/>
        </w:rPr>
        <w:t>所有复印件为加盖公章鲜章的彩色复印件原件，标书内附其扫描件。</w:t>
      </w:r>
      <w:r>
        <w:rPr>
          <w:rFonts w:hint="eastAsia" w:ascii="宋体" w:hAnsi="宋体" w:eastAsia="宋体" w:cs="宋体"/>
          <w:color w:val="auto"/>
          <w:sz w:val="24"/>
          <w:szCs w:val="24"/>
          <w:highlight w:val="none"/>
        </w:rPr>
        <w:t>构成投标文件的其他材料具体见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3.1.2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应提交本招标文件第六章《投标文件格式》规定的全部商务文件和技术文件以及招标文件规定的构成投标文件的其他证明材料，若有缺失、无效或者不符合招标文件要求，将导致其投标被拒绝。</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3.1.3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在评标过程中作出的符合法律法规和招标文件规定的澄清确认，构成投标文件的组成部分。</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3.2 投标报价</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 投标报价应包括国家规定的增值税税金，除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须知前附表另有规定外，增值税税金按一般计税方法计算。</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应按第六章“投标文件格式”的要求在投标函</w:t>
      </w:r>
      <w:r>
        <w:rPr>
          <w:rFonts w:hint="eastAsia" w:ascii="宋体" w:hAnsi="宋体" w:cs="宋体"/>
          <w:color w:val="auto"/>
          <w:sz w:val="24"/>
          <w:szCs w:val="24"/>
          <w:highlight w:val="none"/>
        </w:rPr>
        <w:t>要求在投标函</w:t>
      </w:r>
      <w:r>
        <w:rPr>
          <w:rFonts w:hint="eastAsia" w:ascii="宋体" w:hAnsi="宋体" w:cs="宋体"/>
          <w:color w:val="auto"/>
          <w:sz w:val="24"/>
          <w:szCs w:val="24"/>
          <w:highlight w:val="none"/>
          <w:lang w:eastAsia="zh-CN"/>
        </w:rPr>
        <w:t>、开标一览表</w:t>
      </w:r>
      <w:r>
        <w:rPr>
          <w:rFonts w:hint="eastAsia" w:ascii="宋体" w:hAnsi="宋体" w:cs="宋体"/>
          <w:color w:val="auto"/>
          <w:sz w:val="24"/>
          <w:szCs w:val="24"/>
          <w:highlight w:val="none"/>
        </w:rPr>
        <w:t>中进行报价并填写</w:t>
      </w:r>
      <w:r>
        <w:rPr>
          <w:rFonts w:hint="eastAsia" w:ascii="宋体" w:hAnsi="宋体" w:cs="宋体"/>
          <w:bCs/>
          <w:color w:val="auto"/>
          <w:sz w:val="24"/>
          <w:szCs w:val="24"/>
          <w:highlight w:val="none"/>
        </w:rPr>
        <w:t>投标报价明细表</w:t>
      </w:r>
      <w:r>
        <w:rPr>
          <w:rFonts w:hint="eastAsia" w:ascii="宋体" w:hAnsi="宋体" w:cs="宋体"/>
          <w:bCs/>
          <w:color w:val="auto"/>
          <w:sz w:val="24"/>
          <w:szCs w:val="24"/>
          <w:highlight w:val="none"/>
          <w:lang w:eastAsia="zh-CN"/>
        </w:rPr>
        <w:t>，必须在开标一览表空白处签</w:t>
      </w:r>
      <w:r>
        <w:rPr>
          <w:rFonts w:hint="eastAsia" w:ascii="宋体" w:hAnsi="宋体" w:cs="宋体"/>
          <w:bCs/>
          <w:color w:val="auto"/>
          <w:sz w:val="24"/>
          <w:szCs w:val="24"/>
          <w:highlight w:val="none"/>
          <w:lang w:val="en-US" w:eastAsia="zh-CN"/>
        </w:rPr>
        <w:t xml:space="preserve"> </w:t>
      </w:r>
      <w:r>
        <w:rPr>
          <w:rFonts w:hint="eastAsia" w:ascii="宋体" w:hAnsi="宋体" w:cs="宋体"/>
          <w:bCs/>
          <w:color w:val="auto"/>
          <w:sz w:val="24"/>
          <w:szCs w:val="24"/>
          <w:highlight w:val="none"/>
          <w:lang w:eastAsia="zh-CN"/>
        </w:rPr>
        <w:t>字和加盖公章</w:t>
      </w:r>
      <w:r>
        <w:rPr>
          <w:rFonts w:hint="eastAsia" w:ascii="宋体" w:hAnsi="宋体" w:cs="宋体"/>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3.2.2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应充分了解该项目的总体情况以及影响投标报价的其他要素。</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3.2.3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在投标截止时间前修改投标函中的投标报价总额，应同时修改投标文件“</w:t>
      </w:r>
      <w:r>
        <w:rPr>
          <w:rFonts w:hint="eastAsia" w:ascii="宋体" w:hAnsi="宋体" w:eastAsia="宋体" w:cs="宋体"/>
          <w:bCs/>
          <w:color w:val="auto"/>
          <w:sz w:val="24"/>
          <w:szCs w:val="24"/>
          <w:highlight w:val="none"/>
        </w:rPr>
        <w:t>投标报价明细表</w:t>
      </w:r>
      <w:r>
        <w:rPr>
          <w:rFonts w:hint="eastAsia" w:ascii="宋体" w:hAnsi="宋体" w:eastAsia="宋体" w:cs="宋体"/>
          <w:color w:val="auto"/>
          <w:sz w:val="24"/>
          <w:szCs w:val="24"/>
          <w:highlight w:val="none"/>
        </w:rPr>
        <w:t>”中的相应报价。此修改须符合本章第 4.3 款的有关要求。</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 采购人设有最高投标限价的，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的投标报价不得超过最高投标限价，最高投标限价在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须知前附表中载明。</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3.2.5</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Cs/>
          <w:color w:val="auto"/>
          <w:sz w:val="24"/>
          <w:szCs w:val="24"/>
          <w:highlight w:val="none"/>
          <w:lang w:val="zh-CN"/>
        </w:rPr>
        <w:t>投标货币：所有投标报价均以人民币元为计算单位。</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3.2.6</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val="zh-CN"/>
        </w:rPr>
        <w:t>供应商应一次性报出投标货物的单价和总价，每种货物只允许有一个报价，任何有选择的报价将不予接受。供应商所报价格应为在本招标文件指定地点交货、由供应商负责安装调试、验收合格并交付的全部价格。</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3.2.7</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val="zh-CN"/>
        </w:rPr>
        <w:t>供应商所报的价格在合同执行过程中是固定不变的，不得以任何理由予以变更。以可调整的价格提交的投标将作为非响应性投标予以拒绝。</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bCs/>
          <w:color w:val="auto"/>
          <w:sz w:val="24"/>
          <w:szCs w:val="24"/>
          <w:highlight w:val="none"/>
          <w:lang w:val="zh-CN"/>
        </w:rPr>
        <w:t>3.2.8</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val="zh-CN"/>
        </w:rPr>
        <w:t>最低报价不能作为中标的保证和唯一依据。</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3.3 投标有效期</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3.3.1 除</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须知前附表另有规定外，投标有效期为 90 天。</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3.3.2 在投标有效期内，</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撤销投标文件的，应承担招标文件和法律规定的责任。</w:t>
      </w:r>
    </w:p>
    <w:p>
      <w:pPr>
        <w:keepNext w:val="0"/>
        <w:keepLines w:val="0"/>
        <w:pageBreakBefore w:val="0"/>
        <w:widowControl w:val="0"/>
        <w:kinsoku/>
        <w:wordWrap w:val="0"/>
        <w:overflowPunct/>
        <w:topLinePunct w:val="0"/>
        <w:autoSpaceDE/>
        <w:autoSpaceDN/>
        <w:bidi w:val="0"/>
        <w:adjustRightInd w:val="0"/>
        <w:spacing w:line="440" w:lineRule="exact"/>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3.3.3 出现特殊情况需要延长投标有效期的，采购人或采购代理机构</w:t>
      </w:r>
      <w:r>
        <w:rPr>
          <w:rFonts w:hint="eastAsia" w:ascii="宋体" w:hAnsi="宋体" w:eastAsia="宋体" w:cs="宋体"/>
          <w:color w:val="auto"/>
          <w:sz w:val="24"/>
          <w:szCs w:val="24"/>
          <w:highlight w:val="none"/>
          <w:lang w:val="zh-CN"/>
        </w:rPr>
        <w:t>将</w:t>
      </w:r>
      <w:r>
        <w:rPr>
          <w:rFonts w:hint="eastAsia" w:ascii="宋体" w:hAnsi="宋体" w:eastAsia="宋体" w:cs="宋体"/>
          <w:bCs/>
          <w:color w:val="auto"/>
          <w:sz w:val="24"/>
          <w:szCs w:val="24"/>
          <w:highlight w:val="none"/>
        </w:rPr>
        <w:t>以补遗文件形式发送到</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zh-CN"/>
        </w:rPr>
        <w:t>答疑文件</w:t>
      </w:r>
      <w:r>
        <w:rPr>
          <w:rFonts w:hint="eastAsia" w:ascii="宋体" w:hAnsi="宋体" w:eastAsia="宋体" w:cs="宋体"/>
          <w:bCs/>
          <w:color w:val="auto"/>
          <w:sz w:val="24"/>
          <w:szCs w:val="24"/>
          <w:highlight w:val="none"/>
        </w:rPr>
        <w:t>中，</w:t>
      </w:r>
      <w:r>
        <w:rPr>
          <w:rFonts w:hint="eastAsia" w:ascii="宋体" w:hAnsi="宋体" w:eastAsia="宋体" w:cs="宋体"/>
          <w:color w:val="auto"/>
          <w:sz w:val="24"/>
          <w:szCs w:val="24"/>
          <w:highlight w:val="none"/>
          <w:lang w:val="zh-CN"/>
        </w:rPr>
        <w:t>向所有潜在供应商发出</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w:t>
      </w:r>
      <w:r>
        <w:rPr>
          <w:rFonts w:hint="eastAsia" w:ascii="宋体" w:hAnsi="宋体" w:eastAsia="宋体" w:cs="宋体"/>
          <w:color w:val="auto"/>
          <w:sz w:val="24"/>
          <w:szCs w:val="24"/>
          <w:highlight w:val="none"/>
          <w:lang w:val="zh-CN"/>
        </w:rPr>
        <w:t>在供应商系统中</w:t>
      </w:r>
      <w:r>
        <w:rPr>
          <w:rFonts w:hint="eastAsia" w:ascii="宋体" w:hAnsi="宋体" w:eastAsia="宋体" w:cs="宋体"/>
          <w:bCs/>
          <w:color w:val="auto"/>
          <w:sz w:val="24"/>
          <w:szCs w:val="24"/>
          <w:highlight w:val="none"/>
        </w:rPr>
        <w:t>自行下载答疑文件。</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应予以书面答复，同时将书面答复函送达采购人或采购代理机构，同意延长的，应相应延长其投标保证金的有效期，但不得要求或被允许修改其投标文件；</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拒绝延长的，其投标失效，但</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有权收回其投标保证金及以现金或者支票形式递交的投标保证金的银行同期存款利息。</w:t>
      </w:r>
    </w:p>
    <w:p>
      <w:pPr>
        <w:keepNext w:val="0"/>
        <w:keepLines w:val="0"/>
        <w:pageBreakBefore w:val="0"/>
        <w:widowControl w:val="0"/>
        <w:tabs>
          <w:tab w:val="left" w:pos="1365"/>
        </w:tabs>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zh-CN"/>
        </w:rPr>
        <w:t>3.4 投标保证金</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3.4.1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在递交投标文件的同时，应按</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须知前附表规定的金额、形式和第六章“投标文件格式”规定的投标保证金格式递交投标保证金，并作为其投标文件的组成部分。联合体投标的，其投标保证金可以由牵头人递交，并应符合</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须知前附表的规定。</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3.4.2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不按本章第 3.4.1 款要求提交投标保证金的，</w:t>
      </w:r>
      <w:r>
        <w:rPr>
          <w:rFonts w:hint="eastAsia" w:ascii="宋体" w:hAnsi="宋体" w:eastAsia="宋体" w:cs="宋体"/>
          <w:bCs/>
          <w:color w:val="auto"/>
          <w:sz w:val="24"/>
          <w:szCs w:val="24"/>
          <w:highlight w:val="none"/>
          <w:lang w:eastAsia="zh-CN"/>
        </w:rPr>
        <w:t>投标无效，</w:t>
      </w:r>
      <w:r>
        <w:rPr>
          <w:rFonts w:hint="eastAsia" w:ascii="宋体" w:hAnsi="宋体" w:eastAsia="宋体" w:cs="宋体"/>
          <w:bCs/>
          <w:color w:val="auto"/>
          <w:sz w:val="24"/>
          <w:szCs w:val="24"/>
          <w:highlight w:val="none"/>
        </w:rPr>
        <w:t>评标委员会将否决其投标。</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3.4.3 </w:t>
      </w:r>
      <w:r>
        <w:rPr>
          <w:rFonts w:hint="eastAsia" w:ascii="宋体" w:hAnsi="宋体" w:eastAsia="宋体" w:cs="宋体"/>
          <w:color w:val="auto"/>
          <w:sz w:val="24"/>
          <w:szCs w:val="24"/>
          <w:highlight w:val="none"/>
        </w:rPr>
        <w:t>除因处理质疑、投诉等原因外，未中标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的投标保证金在中标通知书发出之日起5个工作日内退还,</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的投标保证金自采购合同签订之日起5个工作日内退还或者转为</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的履约保证金</w:t>
      </w:r>
      <w:r>
        <w:rPr>
          <w:rFonts w:hint="eastAsia" w:ascii="宋体" w:hAnsi="宋体" w:eastAsia="宋体" w:cs="宋体"/>
          <w:color w:val="auto"/>
          <w:sz w:val="24"/>
          <w:szCs w:val="24"/>
          <w:highlight w:val="none"/>
          <w:lang w:eastAsia="zh-CN"/>
        </w:rPr>
        <w:t>或质量保证金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被质疑、投诉的，在调查处理期间该项目的投标保证金暂不退还，待处理结果明确后按规定处理。</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3.4.4 有下列情形之一的，投标保证金将不予退还：</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在投标有效期内撤销投标文件；</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在收到中标通知书后，无正当理由不与采购人订立合同，在签订合同时向采购人提出附加条件，或者不按照招标文件要求提交履约保证金</w:t>
      </w:r>
      <w:r>
        <w:rPr>
          <w:rFonts w:hint="eastAsia" w:ascii="宋体" w:hAnsi="宋体" w:eastAsia="宋体" w:cs="宋体"/>
          <w:color w:val="auto"/>
          <w:sz w:val="24"/>
          <w:szCs w:val="24"/>
          <w:highlight w:val="none"/>
          <w:lang w:eastAsia="zh-CN"/>
        </w:rPr>
        <w:t>或质量保证金</w:t>
      </w:r>
      <w:r>
        <w:rPr>
          <w:rFonts w:hint="eastAsia" w:ascii="宋体" w:hAnsi="宋体" w:eastAsia="宋体" w:cs="宋体"/>
          <w:bCs/>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highlight w:val="none"/>
        </w:rPr>
      </w:pPr>
      <w:r>
        <w:rPr>
          <w:rFonts w:hint="eastAsia" w:ascii="宋体" w:hAnsi="宋体" w:eastAsia="宋体" w:cs="宋体"/>
          <w:bCs/>
          <w:color w:val="auto"/>
          <w:sz w:val="24"/>
          <w:szCs w:val="24"/>
          <w:highlight w:val="none"/>
        </w:rPr>
        <w:t>（3）经</w:t>
      </w:r>
      <w:r>
        <w:rPr>
          <w:rFonts w:hint="eastAsia" w:ascii="宋体" w:hAnsi="宋体" w:eastAsia="宋体" w:cs="宋体"/>
          <w:color w:val="auto"/>
          <w:sz w:val="24"/>
          <w:szCs w:val="24"/>
          <w:highlight w:val="none"/>
          <w:lang w:val="zh-CN"/>
        </w:rPr>
        <w:t>评标委员会评标过程中发现</w:t>
      </w:r>
      <w:r>
        <w:rPr>
          <w:rFonts w:hint="eastAsia" w:ascii="宋体" w:hAnsi="宋体" w:eastAsia="宋体" w:cs="宋体"/>
          <w:bCs/>
          <w:color w:val="auto"/>
          <w:sz w:val="24"/>
          <w:szCs w:val="24"/>
          <w:highlight w:val="none"/>
          <w:lang w:eastAsia="zh-CN"/>
        </w:rPr>
        <w:t>供应商</w:t>
      </w:r>
      <w:r>
        <w:rPr>
          <w:rFonts w:hint="eastAsia" w:ascii="宋体" w:hAnsi="宋体" w:eastAsia="宋体" w:cs="宋体"/>
          <w:color w:val="auto"/>
          <w:sz w:val="24"/>
          <w:szCs w:val="24"/>
          <w:highlight w:val="none"/>
          <w:lang w:val="zh-CN"/>
        </w:rPr>
        <w:t>符合“6.3.4 审查供应商是否存在串通投标行为”情形的；</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（4）其他可以不予退还投标保证金的情形，具体详见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3.5 资格审查资料</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除</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须知前附表另有规定外，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应按</w:t>
      </w:r>
      <w:r>
        <w:rPr>
          <w:rFonts w:hint="eastAsia" w:ascii="宋体" w:hAnsi="宋体" w:eastAsia="宋体" w:cs="宋体"/>
          <w:bCs/>
          <w:color w:val="auto"/>
          <w:sz w:val="24"/>
          <w:szCs w:val="24"/>
          <w:highlight w:val="none"/>
          <w:lang w:eastAsia="zh-CN"/>
        </w:rPr>
        <w:t>《投标文件格式》及</w:t>
      </w:r>
      <w:r>
        <w:rPr>
          <w:rFonts w:hint="eastAsia" w:ascii="宋体" w:hAnsi="宋体" w:eastAsia="宋体" w:cs="宋体"/>
          <w:bCs/>
          <w:color w:val="auto"/>
          <w:sz w:val="24"/>
          <w:szCs w:val="24"/>
          <w:highlight w:val="none"/>
        </w:rPr>
        <w:t>下列规定提供资格审查资料，以证明其满足本章第 1.4 款规定的资质、财务、业绩、信誉等要求。</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0000FF"/>
          <w:sz w:val="24"/>
          <w:szCs w:val="24"/>
          <w:highlight w:val="none"/>
        </w:rPr>
      </w:pPr>
      <w:r>
        <w:rPr>
          <w:rFonts w:hint="eastAsia" w:ascii="宋体" w:hAnsi="宋体" w:eastAsia="宋体" w:cs="宋体"/>
          <w:bCs/>
          <w:color w:val="auto"/>
          <w:sz w:val="24"/>
          <w:szCs w:val="24"/>
          <w:highlight w:val="none"/>
        </w:rPr>
        <w:t>3.5.1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基本情况”应附</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营业执照和组织机构代码证的复印件（按照“三证合一”或“五证合一”登记制度进行登记的，可仅提供营业执照副本复印件）、</w:t>
      </w:r>
      <w:r>
        <w:rPr>
          <w:rFonts w:hint="eastAsia" w:ascii="宋体" w:hAnsi="宋体" w:eastAsia="宋体" w:cs="宋体"/>
          <w:bCs/>
          <w:color w:val="000000" w:themeColor="text1"/>
          <w:sz w:val="24"/>
          <w:szCs w:val="24"/>
          <w:highlight w:val="none"/>
          <w14:textFill>
            <w14:solidFill>
              <w14:schemeClr w14:val="tx1"/>
            </w14:solidFill>
          </w14:textFill>
        </w:rPr>
        <w:t>开户许可证</w:t>
      </w:r>
      <w:r>
        <w:rPr>
          <w:rFonts w:hint="eastAsia" w:ascii="宋体" w:hAnsi="宋体" w:cs="宋体"/>
          <w:bCs/>
          <w:color w:val="000000" w:themeColor="text1"/>
          <w:sz w:val="24"/>
          <w:szCs w:val="24"/>
          <w:highlight w:val="none"/>
          <w:lang w:val="en-US" w:eastAsia="zh-CN"/>
          <w14:textFill>
            <w14:solidFill>
              <w14:schemeClr w14:val="tx1"/>
            </w14:solidFill>
          </w14:textFill>
        </w:rPr>
        <w:t>或开户证明材料</w:t>
      </w:r>
      <w:r>
        <w:rPr>
          <w:rFonts w:hint="eastAsia" w:ascii="宋体" w:hAnsi="宋体" w:eastAsia="宋体" w:cs="宋体"/>
          <w:bCs/>
          <w:color w:val="000000" w:themeColor="text1"/>
          <w:sz w:val="24"/>
          <w:szCs w:val="24"/>
          <w:highlight w:val="none"/>
          <w14:textFill>
            <w14:solidFill>
              <w14:schemeClr w14:val="tx1"/>
            </w14:solidFill>
          </w14:textFill>
        </w:rPr>
        <w:t>等材料的复印件。</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3.5.2 “公司财务状况”应附财务报表或财务审计报告，包括资产负债表、现金流量表、利润表和财务情况说明书的复印件，具体年份要求见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3.5.3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的信誉情况”应附①参加政府采购活动前3年内在经营活动中没有重大违法记录的书面声明，格式自拟；②“信用中国”及“中国政府采购网”官网截图，具体要求见本章“</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须知前附表”第3.1.1款；③“中国裁判文书网”行贿犯罪记录官网截图，具体要求见本章“</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须知前附表”第3.1.1款；</w:t>
      </w:r>
      <w:r>
        <w:rPr>
          <w:rFonts w:hint="eastAsia" w:ascii="宋体" w:hAnsi="宋体" w:eastAsia="宋体" w:cs="宋体"/>
          <w:bCs/>
          <w:color w:val="auto"/>
          <w:sz w:val="24"/>
          <w:szCs w:val="24"/>
          <w:highlight w:val="none"/>
        </w:rPr>
        <w:sym w:font="Wingdings" w:char="F084"/>
      </w:r>
      <w:r>
        <w:rPr>
          <w:rFonts w:hint="eastAsia" w:ascii="宋体" w:hAnsi="宋体" w:eastAsia="宋体" w:cs="宋体"/>
          <w:bCs/>
          <w:color w:val="auto"/>
          <w:sz w:val="24"/>
          <w:szCs w:val="24"/>
          <w:highlight w:val="none"/>
          <w:lang w:val="zh-CN"/>
        </w:rPr>
        <w:t>发生的诉讼及仲裁情况，如有须提供</w:t>
      </w:r>
      <w:r>
        <w:rPr>
          <w:rFonts w:hint="eastAsia" w:ascii="宋体" w:hAnsi="宋体" w:eastAsia="宋体" w:cs="宋体"/>
          <w:bCs/>
          <w:color w:val="auto"/>
          <w:sz w:val="24"/>
          <w:szCs w:val="24"/>
          <w:highlight w:val="none"/>
        </w:rPr>
        <w:t>法院或仲裁机构作出的判决、裁决等有关法律文书复印件；具体时间要求见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3.5.</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须知前附表规定接受联合体投标的，本章第 3.5.1 款至第 3.5.</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 xml:space="preserve"> 款规定的表格和资料应包括联合体各方相关情况。</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3.6 备选投标方案</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3.6.1 除</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须知前附表规定允许外，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不得递交备选投标方案，否则其投标将被否决。</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3.6.2 允许</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递交备选投标方案的，只有</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所递交的备选投标方案方可予以考虑。评标委员会认为</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的备选投标方案优于其按照招标文件要求编制的投标方案的，采购人可以接受该备选投标方案。</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3.6.3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提供两个或两个以上投标报价，或者在投标文件中提供一个报价，但同时提供两个或两个以上技术方案的，视为提供备选方案。</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3.7 投标文件的编制</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3.7.1 投标文件应按第六章“投标文件格式”</w:t>
      </w:r>
      <w:r>
        <w:rPr>
          <w:rFonts w:hint="eastAsia" w:ascii="宋体" w:hAnsi="宋体" w:eastAsia="宋体" w:cs="宋体"/>
          <w:bCs/>
          <w:color w:val="auto"/>
          <w:sz w:val="24"/>
          <w:szCs w:val="24"/>
          <w:highlight w:val="none"/>
          <w:lang w:eastAsia="zh-CN"/>
        </w:rPr>
        <w:t>及本章条款要求</w:t>
      </w:r>
      <w:r>
        <w:rPr>
          <w:rFonts w:hint="eastAsia" w:ascii="宋体" w:hAnsi="宋体" w:eastAsia="宋体" w:cs="宋体"/>
          <w:bCs/>
          <w:color w:val="auto"/>
          <w:sz w:val="24"/>
          <w:szCs w:val="24"/>
          <w:highlight w:val="none"/>
        </w:rPr>
        <w:t>进行编写，</w:t>
      </w:r>
      <w:r>
        <w:rPr>
          <w:rFonts w:hint="eastAsia" w:ascii="宋体" w:hAnsi="宋体" w:eastAsia="宋体" w:cs="宋体"/>
          <w:bCs/>
          <w:color w:val="auto"/>
          <w:sz w:val="24"/>
          <w:szCs w:val="24"/>
          <w:highlight w:val="none"/>
          <w:lang w:eastAsia="zh-CN"/>
        </w:rPr>
        <w:t>否则均视为无效投标情形，由此引发的</w:t>
      </w:r>
      <w:r>
        <w:rPr>
          <w:rFonts w:hint="eastAsia" w:ascii="宋体" w:hAnsi="宋体" w:eastAsia="宋体" w:cs="宋体"/>
          <w:bCs/>
          <w:color w:val="auto"/>
          <w:sz w:val="24"/>
          <w:szCs w:val="24"/>
          <w:highlight w:val="none"/>
        </w:rPr>
        <w:t>后果由</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自行负责。如有必要，可以增加附页，作为投标文件的组成部分。其中，商务条款在满足招标文件实质性要求的基础上，可以提出比招标文件要求更有利于采购人的承诺。</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3.7.2 投标文件应当对招标文件有关供货期、投标有效期、招标范围等实质性内容作出响应。</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3.7.3（1）投标文件应按招标文件所提供的投标文件格式标准制作，签字或盖章应清晰，易于识别，要求签字盖章处必须签字盖章，严禁代签和仿造行为。电子</w:t>
      </w:r>
      <w:r>
        <w:rPr>
          <w:rFonts w:hint="eastAsia" w:ascii="宋体" w:hAnsi="宋体" w:eastAsia="宋体" w:cs="宋体"/>
          <w:bCs/>
          <w:color w:val="auto"/>
          <w:sz w:val="24"/>
          <w:szCs w:val="24"/>
          <w:highlight w:val="none"/>
          <w:lang w:eastAsia="zh-CN"/>
        </w:rPr>
        <w:t>版</w:t>
      </w:r>
      <w:r>
        <w:rPr>
          <w:rFonts w:hint="eastAsia" w:ascii="宋体" w:hAnsi="宋体" w:eastAsia="宋体" w:cs="宋体"/>
          <w:bCs/>
          <w:color w:val="auto"/>
          <w:sz w:val="24"/>
          <w:szCs w:val="24"/>
          <w:highlight w:val="none"/>
        </w:rPr>
        <w:t>投标文件加盖的公章盖电子印章、</w:t>
      </w:r>
      <w:r>
        <w:rPr>
          <w:rFonts w:hint="eastAsia" w:ascii="宋体" w:hAnsi="宋体" w:eastAsia="宋体" w:cs="宋体"/>
          <w:bCs/>
          <w:color w:val="auto"/>
          <w:sz w:val="24"/>
          <w:szCs w:val="24"/>
          <w:highlight w:val="none"/>
          <w:lang w:eastAsia="zh-CN"/>
        </w:rPr>
        <w:t>法定代表人或</w:t>
      </w:r>
      <w:r>
        <w:rPr>
          <w:rFonts w:hint="eastAsia" w:ascii="宋体" w:hAnsi="宋体" w:eastAsia="宋体" w:cs="宋体"/>
          <w:bCs/>
          <w:color w:val="auto"/>
          <w:sz w:val="24"/>
          <w:szCs w:val="24"/>
          <w:highlight w:val="none"/>
        </w:rPr>
        <w:t>委托代理人</w:t>
      </w:r>
      <w:r>
        <w:rPr>
          <w:rFonts w:hint="eastAsia" w:ascii="宋体" w:hAnsi="宋体" w:eastAsia="宋体" w:cs="宋体"/>
          <w:bCs/>
          <w:color w:val="auto"/>
          <w:sz w:val="24"/>
          <w:szCs w:val="24"/>
          <w:highlight w:val="none"/>
          <w:lang w:eastAsia="zh-CN"/>
        </w:rPr>
        <w:t>手写签字</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纸质版投标文件必须使用从投标文件制作工具中生成的投标文件（打印版）进行单面打印</w:t>
      </w:r>
      <w:r>
        <w:rPr>
          <w:rFonts w:hint="eastAsia" w:ascii="宋体" w:hAnsi="宋体" w:eastAsia="宋体" w:cs="宋体"/>
          <w:bCs/>
          <w:color w:val="auto"/>
          <w:sz w:val="24"/>
          <w:szCs w:val="24"/>
          <w:highlight w:val="none"/>
          <w:lang w:eastAsia="zh-CN"/>
        </w:rPr>
        <w:t>并</w:t>
      </w:r>
      <w:r>
        <w:rPr>
          <w:rFonts w:hint="eastAsia" w:ascii="宋体" w:hAnsi="宋体" w:eastAsia="宋体" w:cs="宋体"/>
          <w:bCs/>
          <w:color w:val="auto"/>
          <w:sz w:val="24"/>
          <w:szCs w:val="24"/>
          <w:highlight w:val="none"/>
        </w:rPr>
        <w:t>加盖公章鲜章</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签字必须由</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的法定代表人或委托代理人亲笔手写签字（包括姓和名），</w:t>
      </w:r>
      <w:r>
        <w:rPr>
          <w:rFonts w:hint="eastAsia" w:ascii="宋体" w:hAnsi="宋体" w:eastAsia="宋体" w:cs="宋体"/>
          <w:bCs/>
          <w:color w:val="auto"/>
          <w:sz w:val="24"/>
          <w:szCs w:val="24"/>
          <w:highlight w:val="none"/>
          <w:lang w:eastAsia="zh-CN"/>
        </w:rPr>
        <w:t>签字处</w:t>
      </w:r>
      <w:r>
        <w:rPr>
          <w:rFonts w:hint="eastAsia" w:ascii="宋体" w:hAnsi="宋体" w:eastAsia="宋体" w:cs="宋体"/>
          <w:bCs/>
          <w:color w:val="auto"/>
          <w:sz w:val="24"/>
          <w:szCs w:val="24"/>
          <w:highlight w:val="none"/>
        </w:rPr>
        <w:t>不得</w:t>
      </w:r>
      <w:r>
        <w:rPr>
          <w:rFonts w:hint="eastAsia" w:ascii="宋体" w:hAnsi="宋体" w:eastAsia="宋体" w:cs="宋体"/>
          <w:bCs/>
          <w:color w:val="auto"/>
          <w:sz w:val="24"/>
          <w:szCs w:val="24"/>
          <w:highlight w:val="none"/>
          <w:lang w:eastAsia="zh-CN"/>
        </w:rPr>
        <w:t>使</w:t>
      </w:r>
      <w:r>
        <w:rPr>
          <w:rFonts w:hint="eastAsia" w:ascii="宋体" w:hAnsi="宋体" w:eastAsia="宋体" w:cs="宋体"/>
          <w:bCs/>
          <w:color w:val="auto"/>
          <w:sz w:val="24"/>
          <w:szCs w:val="24"/>
          <w:highlight w:val="none"/>
        </w:rPr>
        <w:t>用</w:t>
      </w:r>
      <w:r>
        <w:rPr>
          <w:rFonts w:hint="eastAsia" w:ascii="宋体" w:hAnsi="宋体" w:eastAsia="宋体" w:cs="宋体"/>
          <w:bCs/>
          <w:color w:val="auto"/>
          <w:sz w:val="24"/>
          <w:szCs w:val="24"/>
          <w:highlight w:val="none"/>
          <w:lang w:eastAsia="zh-CN"/>
        </w:rPr>
        <w:t>印</w:t>
      </w:r>
      <w:r>
        <w:rPr>
          <w:rFonts w:hint="eastAsia" w:ascii="宋体" w:hAnsi="宋体" w:eastAsia="宋体" w:cs="宋体"/>
          <w:bCs/>
          <w:color w:val="auto"/>
          <w:sz w:val="24"/>
          <w:szCs w:val="24"/>
          <w:highlight w:val="none"/>
        </w:rPr>
        <w:t>章（如签名章、签字章等）代替</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也不得由他人代签，由委托代理人签字的，投标文件应附法定代表人签署的授权委托书。投标文件应尽量避免涂改、行间插字或删除。如果出现上述情况，改动之处应加盖公章并由</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的法定代表人或委托代理人签字确认。</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（2）纸质版投标文件应用不褪色的材料书写或打印，正本必须彩色打印并加盖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公章鲜章，副本可以是正本的复印件，但应加盖骑页公章，并在封面标明“正本”、“副本”字样，当正本与副本内容不一致时，以正本为准。投标文件因内容不全或关键字迹模糊、无法辨认、字迹潦草或表达不清引起的后果，由</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自行负责。</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（3）纸质版投标文件的装订要整齐、牢固、采用左侧纵向无线胶订机胶订，</w:t>
      </w:r>
      <w:r>
        <w:rPr>
          <w:rFonts w:hint="eastAsia" w:ascii="宋体" w:hAnsi="宋体" w:eastAsia="宋体" w:cs="宋体"/>
          <w:bCs/>
          <w:color w:val="auto"/>
          <w:sz w:val="24"/>
          <w:szCs w:val="24"/>
          <w:highlight w:val="none"/>
          <w:lang w:eastAsia="zh-CN"/>
        </w:rPr>
        <w:t>自行</w:t>
      </w:r>
      <w:r>
        <w:rPr>
          <w:rFonts w:hint="eastAsia" w:ascii="宋体" w:hAnsi="宋体" w:eastAsia="宋体" w:cs="宋体"/>
          <w:bCs/>
          <w:color w:val="auto"/>
          <w:sz w:val="24"/>
          <w:szCs w:val="24"/>
          <w:highlight w:val="none"/>
        </w:rPr>
        <w:t>编制目录</w:t>
      </w:r>
      <w:r>
        <w:rPr>
          <w:rFonts w:hint="eastAsia" w:ascii="宋体" w:hAnsi="宋体" w:eastAsia="宋体" w:cs="宋体"/>
          <w:bCs/>
          <w:color w:val="auto"/>
          <w:sz w:val="24"/>
          <w:szCs w:val="24"/>
          <w:highlight w:val="none"/>
          <w:lang w:eastAsia="zh-CN"/>
        </w:rPr>
        <w:t>（对应</w:t>
      </w:r>
      <w:r>
        <w:rPr>
          <w:rFonts w:hint="eastAsia" w:ascii="宋体" w:hAnsi="宋体" w:eastAsia="宋体" w:cs="宋体"/>
          <w:bCs/>
          <w:color w:val="auto"/>
          <w:sz w:val="24"/>
          <w:szCs w:val="24"/>
          <w:highlight w:val="none"/>
        </w:rPr>
        <w:t>页码</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，使用标准的宋体字、A4纸打印胶装装订成册，投标文件需分册装订的，具体要求见</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须知前附表规定。</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val="zh-CN"/>
        </w:rPr>
        <w:t>投标文件的补充递交，具体要求见供应商须知前附表规定。</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4.投标</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bCs/>
          <w:color w:val="auto"/>
          <w:sz w:val="24"/>
          <w:szCs w:val="24"/>
          <w:highlight w:val="none"/>
          <w:lang w:val="zh-CN"/>
        </w:rPr>
      </w:pPr>
      <w:bookmarkStart w:id="7" w:name="_Toc201719090"/>
      <w:bookmarkStart w:id="8" w:name="_Toc30156082"/>
      <w:bookmarkStart w:id="9" w:name="_Toc10534"/>
      <w:bookmarkStart w:id="10" w:name="_Toc28681"/>
      <w:r>
        <w:rPr>
          <w:rFonts w:hint="eastAsia" w:ascii="宋体" w:hAnsi="宋体" w:eastAsia="宋体" w:cs="宋体"/>
          <w:b/>
          <w:bCs/>
          <w:color w:val="auto"/>
          <w:sz w:val="24"/>
          <w:szCs w:val="24"/>
          <w:highlight w:val="none"/>
          <w:lang w:val="zh-CN"/>
        </w:rPr>
        <w:t xml:space="preserve">4.1 </w:t>
      </w:r>
      <w:bookmarkEnd w:id="7"/>
      <w:bookmarkEnd w:id="8"/>
      <w:r>
        <w:rPr>
          <w:rFonts w:hint="eastAsia" w:ascii="宋体" w:hAnsi="宋体" w:eastAsia="宋体" w:cs="宋体"/>
          <w:b/>
          <w:bCs/>
          <w:color w:val="auto"/>
          <w:sz w:val="24"/>
          <w:szCs w:val="24"/>
          <w:highlight w:val="none"/>
          <w:lang w:val="zh-CN"/>
        </w:rPr>
        <w:t>投标文件的保密</w:t>
      </w:r>
      <w:bookmarkEnd w:id="9"/>
      <w:bookmarkEnd w:id="10"/>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投标文件应独立制作，包封按招标文件</w:t>
      </w:r>
      <w:r>
        <w:rPr>
          <w:rFonts w:hint="eastAsia" w:ascii="宋体" w:hAnsi="宋体" w:eastAsia="宋体" w:cs="宋体"/>
          <w:color w:val="auto"/>
          <w:sz w:val="24"/>
          <w:szCs w:val="24"/>
          <w:highlight w:val="none"/>
          <w:lang w:val="zh-CN" w:eastAsia="zh-CN"/>
        </w:rPr>
        <w:t>要求进行密封</w:t>
      </w:r>
      <w:r>
        <w:rPr>
          <w:rFonts w:hint="eastAsia" w:ascii="宋体" w:hAnsi="宋体" w:eastAsia="宋体" w:cs="宋体"/>
          <w:color w:val="auto"/>
          <w:sz w:val="24"/>
          <w:szCs w:val="24"/>
          <w:highlight w:val="none"/>
          <w:lang w:val="zh-CN"/>
        </w:rPr>
        <w:t>，并在封套的封口处加盖投标供应商公章</w:t>
      </w:r>
      <w:r>
        <w:rPr>
          <w:rFonts w:hint="eastAsia" w:ascii="宋体" w:hAnsi="宋体" w:eastAsia="宋体" w:cs="宋体"/>
          <w:color w:val="auto"/>
          <w:sz w:val="24"/>
          <w:szCs w:val="24"/>
          <w:highlight w:val="none"/>
          <w:lang w:val="zh-CN" w:eastAsia="zh-CN"/>
        </w:rPr>
        <w:t>、法人章及法定代表人手书签字，包封格式详见附件</w:t>
      </w:r>
      <w:r>
        <w:rPr>
          <w:rFonts w:hint="eastAsia" w:ascii="宋体" w:hAnsi="宋体" w:eastAsia="宋体" w:cs="宋体"/>
          <w:color w:val="auto"/>
          <w:sz w:val="24"/>
          <w:szCs w:val="24"/>
          <w:highlight w:val="none"/>
          <w:lang w:val="zh-CN"/>
        </w:rPr>
        <w:t>。</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bCs/>
          <w:color w:val="auto"/>
          <w:sz w:val="24"/>
          <w:szCs w:val="24"/>
          <w:highlight w:val="none"/>
          <w:lang w:val="zh-CN"/>
        </w:rPr>
      </w:pPr>
      <w:bookmarkStart w:id="11" w:name="_Toc10334"/>
      <w:bookmarkStart w:id="12" w:name="_Toc31814"/>
      <w:r>
        <w:rPr>
          <w:rFonts w:hint="eastAsia" w:ascii="宋体" w:hAnsi="宋体" w:eastAsia="宋体" w:cs="宋体"/>
          <w:b/>
          <w:bCs/>
          <w:color w:val="auto"/>
          <w:sz w:val="24"/>
          <w:szCs w:val="24"/>
          <w:highlight w:val="none"/>
          <w:lang w:val="zh-CN"/>
        </w:rPr>
        <w:t>4.2 投标文件的递交</w:t>
      </w:r>
      <w:bookmarkEnd w:id="11"/>
      <w:bookmarkEnd w:id="12"/>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4.2.1 供应商应在供应商须知前附表规定的供应商上传提交投标文件的截止时间(开标时间）前递交投标文件。</w:t>
      </w:r>
    </w:p>
    <w:p>
      <w:pPr>
        <w:keepNext w:val="0"/>
        <w:keepLines w:val="0"/>
        <w:pageBreakBefore w:val="0"/>
        <w:widowControl w:val="0"/>
        <w:kinsoku/>
        <w:wordWrap w:val="0"/>
        <w:overflowPunct/>
        <w:topLinePunct w:val="0"/>
        <w:autoSpaceDE/>
        <w:autoSpaceDN/>
        <w:bidi w:val="0"/>
        <w:adjustRightInd w:val="0"/>
        <w:spacing w:line="440" w:lineRule="exact"/>
        <w:ind w:firstLine="480"/>
        <w:jc w:val="lef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4.2.2 供应商上传提交投标文件的平台：见供应商须知前附表。</w:t>
      </w:r>
    </w:p>
    <w:p>
      <w:pPr>
        <w:keepNext w:val="0"/>
        <w:keepLines w:val="0"/>
        <w:pageBreakBefore w:val="0"/>
        <w:widowControl w:val="0"/>
        <w:kinsoku/>
        <w:wordWrap w:val="0"/>
        <w:overflowPunct/>
        <w:topLinePunct w:val="0"/>
        <w:autoSpaceDE/>
        <w:autoSpaceDN/>
        <w:bidi w:val="0"/>
        <w:adjustRightInd w:val="0"/>
        <w:spacing w:line="440" w:lineRule="exact"/>
        <w:ind w:firstLine="480"/>
        <w:jc w:val="lef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4.2.3 除供应商须知前附表另有规定外，供应商所递交的投标文件不予退还。</w:t>
      </w:r>
    </w:p>
    <w:p>
      <w:pPr>
        <w:keepNext w:val="0"/>
        <w:keepLines w:val="0"/>
        <w:pageBreakBefore w:val="0"/>
        <w:widowControl w:val="0"/>
        <w:kinsoku/>
        <w:wordWrap w:val="0"/>
        <w:overflowPunct/>
        <w:topLinePunct w:val="0"/>
        <w:autoSpaceDE/>
        <w:autoSpaceDN/>
        <w:bidi w:val="0"/>
        <w:adjustRightInd w:val="0"/>
        <w:spacing w:line="440" w:lineRule="exact"/>
        <w:ind w:firstLine="480"/>
        <w:jc w:val="lef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4.2.</w:t>
      </w:r>
      <w:r>
        <w:rPr>
          <w:rFonts w:hint="eastAsia" w:ascii="宋体" w:hAnsi="宋体" w:eastAsia="宋体" w:cs="宋体"/>
          <w:bCs/>
          <w:color w:val="auto"/>
          <w:sz w:val="24"/>
          <w:highlight w:val="none"/>
        </w:rPr>
        <w:t>4</w:t>
      </w:r>
      <w:r>
        <w:rPr>
          <w:rFonts w:hint="eastAsia" w:ascii="宋体" w:hAnsi="宋体" w:eastAsia="宋体" w:cs="宋体"/>
          <w:bCs/>
          <w:color w:val="auto"/>
          <w:sz w:val="24"/>
          <w:highlight w:val="none"/>
          <w:lang w:val="zh-CN"/>
        </w:rPr>
        <w:t xml:space="preserve"> 首次招标投标截止时间结束后供应商不足三家的，将重新招标；重新招标仍出现本款前述情形的，可按本须知正文第11款的规定办理。</w:t>
      </w:r>
    </w:p>
    <w:p>
      <w:pPr>
        <w:keepNext w:val="0"/>
        <w:keepLines w:val="0"/>
        <w:pageBreakBefore w:val="0"/>
        <w:widowControl w:val="0"/>
        <w:kinsoku/>
        <w:wordWrap w:val="0"/>
        <w:overflowPunct/>
        <w:topLinePunct w:val="0"/>
        <w:autoSpaceDE/>
        <w:autoSpaceDN/>
        <w:bidi w:val="0"/>
        <w:adjustRightInd w:val="0"/>
        <w:spacing w:line="440" w:lineRule="exact"/>
        <w:ind w:firstLine="480"/>
        <w:jc w:val="lef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4.2.</w:t>
      </w:r>
      <w:r>
        <w:rPr>
          <w:rFonts w:hint="eastAsia" w:ascii="宋体" w:hAnsi="宋体" w:eastAsia="宋体" w:cs="宋体"/>
          <w:bCs/>
          <w:color w:val="auto"/>
          <w:sz w:val="24"/>
          <w:highlight w:val="none"/>
        </w:rPr>
        <w:t>5</w:t>
      </w:r>
      <w:r>
        <w:rPr>
          <w:rFonts w:hint="eastAsia" w:ascii="宋体" w:hAnsi="宋体" w:eastAsia="宋体" w:cs="宋体"/>
          <w:bCs/>
          <w:color w:val="auto"/>
          <w:sz w:val="24"/>
          <w:highlight w:val="none"/>
          <w:lang w:val="zh-CN"/>
        </w:rPr>
        <w:t xml:space="preserve"> 采购人在任何时候发现供应商提交的投标文件内容有下列情形之一时，将给予废标、解除合同及赔偿损失，同时有权依法追究供应商的责任：</w:t>
      </w:r>
    </w:p>
    <w:p>
      <w:pPr>
        <w:keepNext w:val="0"/>
        <w:keepLines w:val="0"/>
        <w:pageBreakBefore w:val="0"/>
        <w:widowControl w:val="0"/>
        <w:kinsoku/>
        <w:wordWrap w:val="0"/>
        <w:overflowPunct/>
        <w:topLinePunct w:val="0"/>
        <w:autoSpaceDE/>
        <w:autoSpaceDN/>
        <w:bidi w:val="0"/>
        <w:adjustRightInd w:val="0"/>
        <w:spacing w:line="440" w:lineRule="exact"/>
        <w:ind w:firstLine="480"/>
        <w:jc w:val="lef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（1）虚假的资料。</w:t>
      </w:r>
    </w:p>
    <w:p>
      <w:pPr>
        <w:keepNext w:val="0"/>
        <w:keepLines w:val="0"/>
        <w:pageBreakBefore w:val="0"/>
        <w:widowControl w:val="0"/>
        <w:kinsoku/>
        <w:wordWrap w:val="0"/>
        <w:overflowPunct/>
        <w:topLinePunct w:val="0"/>
        <w:autoSpaceDE/>
        <w:autoSpaceDN/>
        <w:bidi w:val="0"/>
        <w:adjustRightInd w:val="0"/>
        <w:spacing w:line="440" w:lineRule="exact"/>
        <w:ind w:firstLine="480"/>
        <w:jc w:val="lef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（2）在实质性方面失实。</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5.开标</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5.1</w:t>
      </w:r>
      <w:r>
        <w:rPr>
          <w:rFonts w:hint="eastAsia" w:ascii="宋体" w:hAnsi="宋体" w:eastAsia="宋体" w:cs="宋体"/>
          <w:b/>
          <w:bCs/>
          <w:color w:val="auto"/>
          <w:sz w:val="24"/>
          <w:szCs w:val="24"/>
          <w:highlight w:val="none"/>
        </w:rPr>
        <w:t>开标时间</w:t>
      </w:r>
      <w:r>
        <w:rPr>
          <w:rFonts w:hint="eastAsia" w:ascii="宋体" w:hAnsi="宋体" w:eastAsia="宋体" w:cs="宋体"/>
          <w:b/>
          <w:bCs/>
          <w:color w:val="auto"/>
          <w:sz w:val="24"/>
          <w:szCs w:val="24"/>
          <w:highlight w:val="none"/>
          <w:lang w:val="zh-CN"/>
        </w:rPr>
        <w:t>和地点</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t>采购人在本章第4.</w:t>
      </w:r>
      <w:r>
        <w:rPr>
          <w:rFonts w:hint="eastAsia" w:ascii="宋体" w:hAnsi="宋体" w:eastAsia="宋体" w:cs="宋体"/>
          <w:bCs/>
          <w:color w:val="auto"/>
          <w:sz w:val="24"/>
          <w:highlight w:val="none"/>
        </w:rPr>
        <w:t>2.1</w:t>
      </w:r>
      <w:r>
        <w:rPr>
          <w:rFonts w:hint="eastAsia" w:ascii="宋体" w:hAnsi="宋体" w:eastAsia="宋体" w:cs="宋体"/>
          <w:bCs/>
          <w:color w:val="auto"/>
          <w:sz w:val="24"/>
          <w:highlight w:val="none"/>
          <w:lang w:val="zh-CN"/>
        </w:rPr>
        <w:t>项规定的供应商上传提交投标文件的截止时间(开标时间）和供应商须知前附表规定的网址、地点公开开标。</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5.2 开标程序</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开标由采购人或者采购代理机构主持</w:t>
      </w:r>
      <w:r>
        <w:rPr>
          <w:rFonts w:hint="eastAsia" w:ascii="宋体" w:hAnsi="宋体" w:eastAsia="宋体" w:cs="宋体"/>
          <w:bCs/>
          <w:color w:val="auto"/>
          <w:sz w:val="24"/>
          <w:szCs w:val="24"/>
          <w:highlight w:val="none"/>
          <w:lang w:val="zh-CN"/>
        </w:rPr>
        <w:t>。开标时未宣读的投标价格等实质性内容，评标时不予承认。</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主持人按下列程序进行开标：</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（1）宣布开标纪律；</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（2）查看并公布投标报名名单；</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（3）宣布开标人、唱标人、监标人等有关人员；</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4）采购人或者采购代理机构将按照供应商电子投标文件解密后的开标记录，当众宣读供应商名称、修改和撤回投标的通知、投标价格、交货时间、是否提交了投标保证金等内容；并在开标后由供应商代表、采购人或者监督人员签字确认。</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Cs/>
          <w:color w:val="auto"/>
          <w:sz w:val="24"/>
          <w:szCs w:val="24"/>
          <w:highlight w:val="none"/>
          <w:lang w:val="zh-CN"/>
        </w:rPr>
        <w:t>（5）开标结束。</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5.3 开标质疑</w:t>
      </w:r>
    </w:p>
    <w:p>
      <w:pPr>
        <w:keepNext w:val="0"/>
        <w:keepLines w:val="0"/>
        <w:pageBreakBefore w:val="0"/>
        <w:widowControl w:val="0"/>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代表对开标过程和开标记录有异议，以及认为采购人、采购代理机构相关工作人员有需要回避的情形的，应当场提出询问或者回避申请。采购人、采购代理机构对</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代表提出的询问或者回避申请应当及时处理，如当场未提出，过后不予受理。</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5.4、供应商</w:t>
      </w:r>
      <w:r>
        <w:rPr>
          <w:rFonts w:hint="eastAsia" w:ascii="宋体" w:hAnsi="宋体" w:eastAsia="宋体" w:cs="宋体"/>
          <w:b/>
          <w:bCs/>
          <w:color w:val="auto"/>
          <w:sz w:val="24"/>
          <w:szCs w:val="24"/>
          <w:highlight w:val="none"/>
        </w:rPr>
        <w:t>存在下列情况之一的，投标无效:</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（1）投标文件在规定的投标截止时间以后未上传的；</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（2）未按招标文件的规定提交投标保证金的；</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（3）上传的</w:t>
      </w:r>
      <w:r>
        <w:rPr>
          <w:rFonts w:hint="eastAsia" w:ascii="宋体" w:hAnsi="宋体" w:eastAsia="宋体" w:cs="宋体"/>
          <w:color w:val="auto"/>
          <w:sz w:val="24"/>
          <w:szCs w:val="24"/>
          <w:highlight w:val="none"/>
        </w:rPr>
        <w:t>投标文件未按招标文件要求签署、盖章</w:t>
      </w:r>
      <w:r>
        <w:rPr>
          <w:rFonts w:hint="eastAsia" w:ascii="宋体" w:hAnsi="宋体" w:eastAsia="宋体" w:cs="宋体"/>
          <w:color w:val="auto"/>
          <w:sz w:val="24"/>
          <w:szCs w:val="24"/>
          <w:highlight w:val="none"/>
          <w:lang w:val="zh-CN"/>
        </w:rPr>
        <w:t>的；</w:t>
      </w:r>
    </w:p>
    <w:p>
      <w:pPr>
        <w:pStyle w:val="7"/>
        <w:keepNext w:val="0"/>
        <w:keepLines w:val="0"/>
        <w:pageBreakBefore w:val="0"/>
        <w:widowControl w:val="0"/>
        <w:kinsoku/>
        <w:wordWrap w:val="0"/>
        <w:overflowPunct/>
        <w:topLinePunct w:val="0"/>
        <w:autoSpaceDE/>
        <w:autoSpaceDN/>
        <w:bidi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CN"/>
        </w:rPr>
        <w:t>）上传的投标文件签署、盖章不一致的情形；</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zh-CN"/>
        </w:rPr>
        <w:t>）供应商所提交的投标文件无效、缺失或者不符合招标文件的规定；</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不具备招标文件中规定的资格要求的；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zh-CN"/>
        </w:rPr>
        <w:t>）未实质性响应招标文件要求的其他情形；</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报价超过招标文件中规定的预算金额或者最高限价的；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（9）投标文件含有采购人不能接受的附加条件的；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（10）法律、法规和招标文件规定的其他无效情形。</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存在以上任何一种情况，相关</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的投标无效，做废标处理。</w:t>
      </w:r>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5.5、开标时有下列情形之一的，采购人有权宣布本项目废标：</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（1）交货时间符合招标文件要求的供应商不足三家的；</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（2）所有供应商的报价均超过采购项目预算，采购人不能支付的。</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首次招标废标后将重新招标，重新招标仍出现本款情形的，可按本须知第11款的规定处理。</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6.评标</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6.1 评标委员会</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zh-CN"/>
        </w:rPr>
        <w:t>6.1.1 评标由采购人依法组建的评标委员会负责。评标委员会由采购人或其委托的采购代理机构熟悉相关业务的代表，以及有关技术、经济等方面的专家组成。评标委员会成员人数以及技术、经济等方面专家的确定方式见供应商须知前附表。</w:t>
      </w:r>
      <w:r>
        <w:rPr>
          <w:rFonts w:hint="eastAsia" w:ascii="宋体" w:hAnsi="宋体" w:eastAsia="宋体" w:cs="宋体"/>
          <w:color w:val="auto"/>
          <w:sz w:val="24"/>
          <w:szCs w:val="24"/>
          <w:highlight w:val="none"/>
          <w:lang w:val="zh-CN"/>
        </w:rPr>
        <w:t>需要设立评标委员会主任的，评标委员会主任由专家担任，由评标委员会成员选举产生，负责主持具体评标工作。评标委员会根据有关法律法规和招标文件规定的评标方法和标准，</w:t>
      </w:r>
      <w:r>
        <w:rPr>
          <w:rFonts w:hint="eastAsia" w:ascii="宋体" w:hAnsi="宋体" w:eastAsia="宋体" w:cs="宋体"/>
          <w:color w:val="auto"/>
          <w:sz w:val="24"/>
          <w:szCs w:val="24"/>
          <w:highlight w:val="none"/>
        </w:rPr>
        <w:t>对符合性审查合格的投标文件进行商务和技术评估，综合比较与评价</w:t>
      </w:r>
      <w:r>
        <w:rPr>
          <w:rFonts w:hint="eastAsia" w:ascii="宋体" w:hAnsi="宋体" w:eastAsia="宋体" w:cs="宋体"/>
          <w:color w:val="auto"/>
          <w:sz w:val="24"/>
          <w:szCs w:val="24"/>
          <w:highlight w:val="none"/>
          <w:lang w:val="zh-CN"/>
        </w:rPr>
        <w:t>，负责完成评标的全过程直至评定预中标供应商。</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6.1.2 评标委员会成员有下列情形之一的，应当回避：</w:t>
      </w:r>
    </w:p>
    <w:p>
      <w:pPr>
        <w:keepNext w:val="0"/>
        <w:keepLines w:val="0"/>
        <w:pageBreakBefore w:val="0"/>
        <w:widowControl w:val="0"/>
        <w:tabs>
          <w:tab w:val="left" w:pos="760"/>
        </w:tabs>
        <w:kinsoku/>
        <w:wordWrap w:val="0"/>
        <w:overflowPunct/>
        <w:topLinePunct w:val="0"/>
        <w:autoSpaceDE/>
        <w:autoSpaceDN/>
        <w:bidi w:val="0"/>
        <w:spacing w:line="440" w:lineRule="exact"/>
        <w:ind w:firstLine="360" w:firstLineChars="15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（1）供应商或供应商主要负责人的近亲属；</w:t>
      </w:r>
    </w:p>
    <w:p>
      <w:pPr>
        <w:keepNext w:val="0"/>
        <w:keepLines w:val="0"/>
        <w:pageBreakBefore w:val="0"/>
        <w:widowControl w:val="0"/>
        <w:tabs>
          <w:tab w:val="left" w:pos="760"/>
        </w:tabs>
        <w:kinsoku/>
        <w:wordWrap w:val="0"/>
        <w:overflowPunct/>
        <w:topLinePunct w:val="0"/>
        <w:autoSpaceDE/>
        <w:autoSpaceDN/>
        <w:bidi w:val="0"/>
        <w:spacing w:line="440" w:lineRule="exact"/>
        <w:ind w:firstLine="360" w:firstLineChars="15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（2）项目主管部门或者行政监督部门的人员；</w:t>
      </w:r>
    </w:p>
    <w:p>
      <w:pPr>
        <w:keepNext w:val="0"/>
        <w:keepLines w:val="0"/>
        <w:pageBreakBefore w:val="0"/>
        <w:widowControl w:val="0"/>
        <w:tabs>
          <w:tab w:val="left" w:pos="760"/>
        </w:tabs>
        <w:kinsoku/>
        <w:wordWrap w:val="0"/>
        <w:overflowPunct/>
        <w:topLinePunct w:val="0"/>
        <w:autoSpaceDE/>
        <w:autoSpaceDN/>
        <w:bidi w:val="0"/>
        <w:spacing w:line="440" w:lineRule="exact"/>
        <w:ind w:firstLine="360" w:firstLineChars="15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（3）与供应商有经济利益关系，可能影响对投标公正评审的；</w:t>
      </w:r>
    </w:p>
    <w:p>
      <w:pPr>
        <w:keepNext w:val="0"/>
        <w:keepLines w:val="0"/>
        <w:pageBreakBefore w:val="0"/>
        <w:widowControl w:val="0"/>
        <w:tabs>
          <w:tab w:val="left" w:pos="760"/>
        </w:tabs>
        <w:kinsoku/>
        <w:wordWrap w:val="0"/>
        <w:overflowPunct/>
        <w:topLinePunct w:val="0"/>
        <w:autoSpaceDE/>
        <w:autoSpaceDN/>
        <w:bidi w:val="0"/>
        <w:spacing w:line="440" w:lineRule="exact"/>
        <w:ind w:firstLine="360" w:firstLineChars="15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（4）曾因在招标、评标以及其他与招标投标有关活动中从事违法行为而受过行政处罚或刑事处罚的；</w:t>
      </w:r>
    </w:p>
    <w:p>
      <w:pPr>
        <w:keepNext w:val="0"/>
        <w:keepLines w:val="0"/>
        <w:pageBreakBefore w:val="0"/>
        <w:widowControl w:val="0"/>
        <w:tabs>
          <w:tab w:val="left" w:pos="760"/>
        </w:tabs>
        <w:kinsoku/>
        <w:wordWrap w:val="0"/>
        <w:overflowPunct/>
        <w:topLinePunct w:val="0"/>
        <w:autoSpaceDE/>
        <w:autoSpaceDN/>
        <w:bidi w:val="0"/>
        <w:spacing w:line="440" w:lineRule="exact"/>
        <w:ind w:firstLine="360" w:firstLineChars="15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（5）与供应商有其他利害关系。</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CN"/>
        </w:rPr>
        <w:t>6.1.3 评标过程中，</w:t>
      </w:r>
      <w:r>
        <w:rPr>
          <w:rFonts w:hint="eastAsia" w:ascii="宋体" w:hAnsi="宋体" w:eastAsia="宋体" w:cs="宋体"/>
          <w:bCs/>
          <w:color w:val="auto"/>
          <w:sz w:val="24"/>
          <w:szCs w:val="24"/>
          <w:highlight w:val="none"/>
        </w:rPr>
        <w:t>因评标委员会成员缺席、回避或者健康等特殊原因导致评标委员会组成不符合本办法规定的，采购人或者采购代理机构应当依法补足后继续评标。被更换的评标委员会成员所作出的评标意见无效。</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6.2 评标原则</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评标活动遵循公平、公正、科学和择优的原则。</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6.3 评标</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6.3.1</w:t>
      </w:r>
      <w:r>
        <w:rPr>
          <w:rFonts w:hint="eastAsia" w:ascii="宋体" w:hAnsi="宋体" w:eastAsia="宋体" w:cs="宋体"/>
          <w:color w:val="auto"/>
          <w:sz w:val="24"/>
          <w:szCs w:val="24"/>
          <w:highlight w:val="none"/>
          <w:lang w:val="zh-CN"/>
        </w:rPr>
        <w:t xml:space="preserve"> </w:t>
      </w:r>
      <w:r>
        <w:rPr>
          <w:rFonts w:hint="eastAsia" w:ascii="宋体" w:hAnsi="宋体" w:eastAsia="宋体" w:cs="宋体"/>
          <w:bCs/>
          <w:color w:val="auto"/>
          <w:sz w:val="24"/>
          <w:szCs w:val="24"/>
          <w:highlight w:val="none"/>
          <w:lang w:val="zh-CN"/>
        </w:rPr>
        <w:t>按照本章及第三章“评标办法”规定的方法、评审因素、标准和程序对投标文件进行评审。本章及第三章“评标办法”没有规定的方法、评审因素和标准，不作为评标依据。</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6.3.2 评标完成后，评标委员会应当向采购人提交书面评标报告和中标候选人名单。评标委员会推荐中标候选人的人数见供应商须知前附表。</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6.3.3 审查是否所有供应商的报价均超过最高投标限价：</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根据《中华人民共和国政府采购法》的规定，所有供应商的报价均超过最高投标限价，采购人不能支付的，应予废标。</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6.3.4 审查供应商是否存在串通投标行为：</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评标委员会发现供应商有下列情形之一的，将认定属于串通投标行为，相关供应商的投标应作废标处理。评标结束后，招标机构将以书面形式报告本级财政部门：</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（1）不同供应商的投标文件中错、漏之处相同的；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（2）不同供应商的投标文件相互混装的，或者相互加盖了对方公章的，或者相互出现了对方法定代表人或者委托代理人签名的，或者相互书写了对方名称的；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（3）一家供应商的投标文件中加盖了另一家供应商公章的；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w:t>
      </w:r>
      <w:r>
        <w:rPr>
          <w:rFonts w:hint="eastAsia" w:ascii="宋体" w:hAnsi="宋体" w:eastAsia="宋体" w:cs="宋体"/>
          <w:color w:val="auto"/>
          <w:sz w:val="24"/>
          <w:szCs w:val="24"/>
          <w:highlight w:val="none"/>
        </w:rPr>
        <w:t>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的投标文件载明的项目管理成员或者联系人员为同一人</w:t>
      </w:r>
      <w:r>
        <w:rPr>
          <w:rFonts w:hint="eastAsia" w:ascii="宋体" w:hAnsi="宋体" w:eastAsia="宋体" w:cs="宋体"/>
          <w:color w:val="auto"/>
          <w:sz w:val="24"/>
          <w:szCs w:val="24"/>
          <w:highlight w:val="none"/>
          <w:lang w:val="zh-CN"/>
        </w:rPr>
        <w:t>；</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（5）</w:t>
      </w:r>
      <w:r>
        <w:rPr>
          <w:rFonts w:hint="eastAsia" w:ascii="宋体" w:hAnsi="宋体" w:eastAsia="宋体" w:cs="宋体"/>
          <w:color w:val="auto"/>
          <w:sz w:val="24"/>
          <w:szCs w:val="24"/>
          <w:highlight w:val="none"/>
        </w:rPr>
        <w:t>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的投标文件异常一致或者投标报价呈规律性差异</w:t>
      </w:r>
      <w:r>
        <w:rPr>
          <w:rFonts w:hint="eastAsia" w:ascii="宋体" w:hAnsi="宋体" w:eastAsia="宋体" w:cs="宋体"/>
          <w:color w:val="auto"/>
          <w:sz w:val="24"/>
          <w:szCs w:val="24"/>
          <w:highlight w:val="none"/>
          <w:lang w:val="zh-CN"/>
        </w:rPr>
        <w:t>；</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（6）不同供应商的投标文件中相关内容的段落、字句、售后服务电话、联系人姓名等非正常一致的；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（7）一家供应商的投标文件中装订了标有另一家供应商名称的文件材料，或者出现了另一家法定代表人或者授予代理人签名的，其投标作废标处理；</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（8）不同供应商的投标文件由同一单位或者个人编制；</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（9）不同供应商委托同一单位或者个人办理投标事宜；</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（10）不同供应商的投标文件由同一台电脑编制。</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（11）电子招投标时不同供应商的电子投标文件机器制作码或创建标识码一致的；</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）不同供应商的投标保证金从同一单位或者个</w:t>
      </w:r>
      <w:r>
        <w:rPr>
          <w:rFonts w:hint="eastAsia" w:ascii="宋体" w:hAnsi="宋体" w:eastAsia="宋体" w:cs="宋体"/>
          <w:color w:val="auto"/>
          <w:sz w:val="24"/>
          <w:szCs w:val="24"/>
          <w:highlight w:val="none"/>
        </w:rPr>
        <w:t>人账户转出。</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）《关于禁止串通招标投标行为的暂行规定》（国家工商行政管理局令第82号）第三条规定的串通投标行为；</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CN"/>
        </w:rPr>
        <w:t>）供应商串通投标的其他情形。</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6.3.5 对投标文件商务部分（资格性）进行审查：</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评标委员会将审查每个供应商提交的商务文件是否齐全完整，是否合法有效，是否有重大偏离和保留，是否符合招标文件的全部要求。商务（供应商资格）审查不符合招标文件要求的投标文件将被拒绝。</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bCs/>
          <w:color w:val="auto"/>
          <w:sz w:val="24"/>
          <w:szCs w:val="24"/>
          <w:highlight w:val="none"/>
          <w:lang w:val="zh-CN"/>
        </w:rPr>
        <w:t>6.3.6  对投标文件技术部分（符合性）进行审查：</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6.3.6.1 对于商务审查合格的供应商，评标委员会将审查其投标文件技术部分是否对招标文件规定的事项、格式及内容、条款、技术规格及要求等都做出了实质性响应。</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6.3.6.2 实质性响应的投标是指与招标文件规定的事项、格式及内容、条款、技术规格及要求等如实进行响应，没有重大偏离和保留。没有实质性响应招标文件要求的投标将被拒绝。</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6.3.7 重大偏离和保留是指实质上影响合同的供货范围、质量和性能，或者实质上限制了合同中采购人的权利或供应商的义务。投标文件有下列情形之一的属于重大偏离和保留，将作废标处理：</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（1）供应商未按招标文件规定提交所要求提交的全部文件或者提交的文件无效、缺失、漏项或者不符合招标文件的规定；</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（2）投标文件未按招标文件的规定密封、签署或盖章；</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（3）投标文件载明的项目完成期限超过招标文件规定的期限；</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（4）投标文件技术部分存在明显雷同响应、响应内容与证明资料不一致、提供虚假证明资料或虚假描述的；</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（5）投标文件技术规格、标准和技术参数与文件中证明材料不符合及不响应的；</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（6）投标文件载明的货物包装方式、检验方法和标准等不符合招标文件要求；</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（7）投标文件附有采购人不能接受的条件；</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（8）不符合招标文件规定的其他实质性要求。</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6.3.8 评标委员会将允许修正投标文件中不构成重大偏离的细微偏离，但这些修正应不会对实质上响应招标文件要求的供应商的竞争地位（相互排序）产生不公正的影响。</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6.3.9 评标委员会对投标文件的判定，只依据投标文件内容本身，不依据任何外来证明。</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6.3.10 投标报价的审查：评标委员会将对商务审查、技术审查合格的投标文件的报价进行审核，看其是否有计算和累加上的错误或前后不一致的，按下列规定修正：</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rPr>
        <w:t>投标文件中开标一览表（报价表）内容与投标文件中相应内容不一致的，以开标一览表（报价表）为准；</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（3）总价金额与按单价汇总金额不一致的，以单价金额计算结果为准。</w:t>
      </w:r>
    </w:p>
    <w:p>
      <w:pPr>
        <w:keepNext w:val="0"/>
        <w:keepLines w:val="0"/>
        <w:pageBreakBefore w:val="0"/>
        <w:widowControl w:val="0"/>
        <w:kinsoku/>
        <w:wordWrap w:val="0"/>
        <w:overflowPunct/>
        <w:topLinePunct w:val="0"/>
        <w:autoSpaceDE/>
        <w:autoSpaceDN/>
        <w:bidi w:val="0"/>
        <w:adjustRightInd w:val="0"/>
        <w:spacing w:line="440" w:lineRule="exact"/>
        <w:ind w:firstLine="48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6.3.11</w:t>
      </w:r>
      <w:r>
        <w:rPr>
          <w:rFonts w:hint="eastAsia" w:ascii="宋体" w:hAnsi="宋体" w:eastAsia="宋体" w:cs="宋体"/>
          <w:b/>
          <w:color w:val="auto"/>
          <w:sz w:val="24"/>
          <w:szCs w:val="24"/>
          <w:highlight w:val="none"/>
          <w:lang w:val="zh-CN"/>
        </w:rPr>
        <w:t xml:space="preserve"> </w:t>
      </w:r>
      <w:r>
        <w:rPr>
          <w:rFonts w:hint="eastAsia" w:ascii="宋体" w:hAnsi="宋体" w:eastAsia="宋体" w:cs="宋体"/>
          <w:color w:val="auto"/>
          <w:sz w:val="24"/>
          <w:szCs w:val="24"/>
          <w:highlight w:val="none"/>
          <w:lang w:val="zh-CN"/>
        </w:rPr>
        <w:t>公开开标后，直至向中标的供应商授予合同时止，除按招标文件规定予以公开的评标结果外，凡与审查、澄清、评价和比较投标有关的资料以及授标意见等，均不得向供应商及与评标无关的其他人透露。</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6.3.12 </w:t>
      </w:r>
      <w:r>
        <w:rPr>
          <w:rFonts w:hint="eastAsia" w:ascii="宋体" w:hAnsi="宋体" w:eastAsia="宋体" w:cs="宋体"/>
          <w:color w:val="auto"/>
          <w:sz w:val="24"/>
          <w:szCs w:val="24"/>
          <w:highlight w:val="none"/>
        </w:rPr>
        <w:t>对于投标文件中含义不明确、同类问题表述不一致或者有明显文字和计算错误的内容，评标委员会</w:t>
      </w:r>
      <w:r>
        <w:rPr>
          <w:rFonts w:hint="eastAsia" w:ascii="宋体" w:hAnsi="宋体" w:eastAsia="宋体" w:cs="宋体"/>
          <w:color w:val="auto"/>
          <w:sz w:val="24"/>
          <w:szCs w:val="24"/>
          <w:highlight w:val="none"/>
          <w:lang w:val="zh-CN"/>
        </w:rPr>
        <w:t>将以书面形式（澄清细微偏离由评标委员会依据招标文件集体决定并由评标委员会专家签字）要求供应商在规定的时限内（在评标结束前）作出必要的澄清、说明或者补正。供应商的澄清、说明或者补正应当采用书面形式，由供应商法定代表人或其委托代理人签字（须提交签字人身份证件并与投标文件签字人一致）并加盖公章，供应商的澄清、说明或者补正不得超出投标文件的范围或者改变投标文件的实质性内容。供应商拒不进行澄清、说明、补正的，或者不能在规定时间内作出书面澄清、说明、补正的，评标委员会将拒绝其投标。</w:t>
      </w:r>
    </w:p>
    <w:p>
      <w:pPr>
        <w:keepNext w:val="0"/>
        <w:keepLines w:val="0"/>
        <w:pageBreakBefore w:val="0"/>
        <w:widowControl w:val="0"/>
        <w:tabs>
          <w:tab w:val="left" w:pos="3675"/>
        </w:tabs>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6.3.13本项目采用综合评分法，评标委员会将按不同供应商评审后得分由高到低的顺序推荐前三名中标候选人；得分相同的，按投标报价由低到高顺序排列；得分且投标报价也相同的，按技术标评审得分由高到低顺序排列。投标文件在满足招标文件全部实质性要求，且按照评审因素的量化指标评审后得分最高的供应商为第一中标候选人，依次排列。提供相同品牌产品且通过资格审查、符合性审查的不同供应商参加同一合同项下投标的，按一家供应商计算，评审后得分最高的同品牌供应商获得中标供应商推荐资格；得分相同的，按投标报价最低的同品牌供应商确定一个供应商获得中标供应商推荐资格；得分且投标报价也相同的，按技术标评审得分最高的同品牌供应商确定一个供应商获得中标供应商推荐资格。</w:t>
      </w:r>
    </w:p>
    <w:p>
      <w:pPr>
        <w:keepNext w:val="0"/>
        <w:keepLines w:val="0"/>
        <w:pageBreakBefore w:val="0"/>
        <w:widowControl w:val="0"/>
        <w:tabs>
          <w:tab w:val="left" w:pos="3675"/>
        </w:tabs>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6.3.14评标结果汇总完成后，除下列情形外，任何人不得修改评标结果：</w:t>
      </w:r>
    </w:p>
    <w:p>
      <w:pPr>
        <w:keepNext w:val="0"/>
        <w:keepLines w:val="0"/>
        <w:pageBreakBefore w:val="0"/>
        <w:widowControl w:val="0"/>
        <w:tabs>
          <w:tab w:val="left" w:pos="3675"/>
        </w:tabs>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（1）分值汇总计算错误的；</w:t>
      </w:r>
    </w:p>
    <w:p>
      <w:pPr>
        <w:keepNext w:val="0"/>
        <w:keepLines w:val="0"/>
        <w:pageBreakBefore w:val="0"/>
        <w:widowControl w:val="0"/>
        <w:tabs>
          <w:tab w:val="left" w:pos="3675"/>
        </w:tabs>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（2）分项评分超出评分标准范围的；</w:t>
      </w:r>
    </w:p>
    <w:p>
      <w:pPr>
        <w:keepNext w:val="0"/>
        <w:keepLines w:val="0"/>
        <w:pageBreakBefore w:val="0"/>
        <w:widowControl w:val="0"/>
        <w:tabs>
          <w:tab w:val="left" w:pos="3675"/>
        </w:tabs>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（3）评标委员会成员对客观评审因素评分不一致的；</w:t>
      </w:r>
    </w:p>
    <w:p>
      <w:pPr>
        <w:keepNext w:val="0"/>
        <w:keepLines w:val="0"/>
        <w:pageBreakBefore w:val="0"/>
        <w:widowControl w:val="0"/>
        <w:tabs>
          <w:tab w:val="left" w:pos="3675"/>
        </w:tabs>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（4）经评标委员会认定评分畸高、畸低的。</w:t>
      </w:r>
    </w:p>
    <w:p>
      <w:pPr>
        <w:keepNext w:val="0"/>
        <w:keepLines w:val="0"/>
        <w:pageBreakBefore w:val="0"/>
        <w:widowControl w:val="0"/>
        <w:tabs>
          <w:tab w:val="left" w:pos="3675"/>
        </w:tabs>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widowControl w:val="0"/>
        <w:tabs>
          <w:tab w:val="left" w:pos="3675"/>
        </w:tabs>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对本条第一款情形提出质疑的，采购人或者采购代理机构可以组织原评标委员会进行重新评审，重新评审改变评标结果的，应当书面报告本级财政部门。</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7.合同授予</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7.1 中标公告</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采购代理机构应当在评标结束后2个工作日内将评标报告送采购人，采购人应当自收到评标报告之日起5个工作日内，在评标报告确定的中标候选人名单中按顺序确定</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按照供应商须知前附表规定的公告媒介和期限公告中标结果，</w:t>
      </w:r>
      <w:r>
        <w:rPr>
          <w:rFonts w:hint="eastAsia" w:ascii="宋体" w:hAnsi="宋体" w:eastAsia="宋体" w:cs="宋体"/>
          <w:bCs/>
          <w:color w:val="auto"/>
          <w:sz w:val="24"/>
          <w:szCs w:val="24"/>
          <w:highlight w:val="none"/>
        </w:rPr>
        <w:t>中标公告期限为1个工作日</w:t>
      </w:r>
      <w:r>
        <w:rPr>
          <w:rFonts w:hint="eastAsia" w:ascii="宋体" w:hAnsi="宋体" w:eastAsia="宋体" w:cs="宋体"/>
          <w:bCs/>
          <w:color w:val="auto"/>
          <w:sz w:val="24"/>
          <w:szCs w:val="24"/>
          <w:highlight w:val="none"/>
          <w:lang w:val="zh-CN"/>
        </w:rPr>
        <w:t>。</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7.2 评标结果异议</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供应商认为中标、成交结果使自己的权益受到损害的，可以在发布中标、成交结果公告之日起七个工作日内，以书面形式向采购人提出质疑。采购人应当在收到供应商的书面质疑后七</w:t>
      </w:r>
      <w:r>
        <w:rPr>
          <w:rFonts w:hint="eastAsia" w:ascii="宋体" w:hAnsi="宋体" w:eastAsia="宋体" w:cs="宋体"/>
          <w:bCs/>
          <w:color w:val="auto"/>
          <w:sz w:val="24"/>
          <w:szCs w:val="24"/>
          <w:highlight w:val="none"/>
        </w:rPr>
        <w:t>个工作日内</w:t>
      </w:r>
      <w:r>
        <w:rPr>
          <w:rFonts w:hint="eastAsia" w:ascii="宋体" w:hAnsi="宋体" w:eastAsia="宋体" w:cs="宋体"/>
          <w:bCs/>
          <w:color w:val="auto"/>
          <w:sz w:val="24"/>
          <w:szCs w:val="24"/>
          <w:highlight w:val="none"/>
          <w:lang w:val="zh-CN"/>
        </w:rPr>
        <w:t>作出答复。</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7.3 中标候选人履约能力审查</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lang w:val="zh-CN"/>
        </w:rPr>
        <w:t>中标候选人的经营、财务状况发生较大变化或存在违法行为以及经采购人考察中标候选人提供中标货物的技术参数、技术规格、技术标准与招标文件的要求不符，采购人认为可能影响其履约能力的，将在发出中标通知书前提请原评标委员会按照招标文件规定的标准和方法进行审查确认。</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7.4 定标</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按照供应商须知前附表的规定，采购人或采购人授权的评标委员会依法确定中标供应商。</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7.5 中标通知</w:t>
      </w:r>
    </w:p>
    <w:p>
      <w:pPr>
        <w:keepNext w:val="0"/>
        <w:keepLines w:val="0"/>
        <w:pageBreakBefore w:val="0"/>
        <w:widowControl w:val="0"/>
        <w:kinsoku/>
        <w:wordWrap w:val="0"/>
        <w:overflowPunct/>
        <w:topLinePunct w:val="0"/>
        <w:autoSpaceDE/>
        <w:autoSpaceDN/>
        <w:bidi w:val="0"/>
        <w:adjustRightInd w:val="0"/>
        <w:spacing w:line="440" w:lineRule="exact"/>
        <w:ind w:firstLine="482"/>
        <w:textAlignment w:val="auto"/>
        <w:rPr>
          <w:rFonts w:hint="eastAsia" w:ascii="宋体" w:hAnsi="宋体" w:eastAsia="宋体" w:cs="宋体"/>
          <w:color w:val="auto"/>
          <w:sz w:val="24"/>
          <w:szCs w:val="24"/>
          <w:highlight w:val="none"/>
          <w:lang w:val="zh-CN"/>
        </w:rPr>
      </w:pPr>
      <w:r>
        <w:rPr>
          <w:rFonts w:hint="eastAsia" w:ascii="宋体" w:hAnsi="宋体" w:eastAsia="宋体" w:cs="宋体"/>
          <w:bCs/>
          <w:color w:val="auto"/>
          <w:sz w:val="24"/>
          <w:szCs w:val="24"/>
          <w:highlight w:val="none"/>
          <w:lang w:val="zh-CN"/>
        </w:rPr>
        <w:t>在本章第 3.3 款规定的投标有效期内，采购人以书面形式向中标供应商发出中标通知书，</w:t>
      </w:r>
      <w:r>
        <w:rPr>
          <w:rFonts w:hint="eastAsia" w:ascii="宋体" w:hAnsi="宋体" w:eastAsia="宋体" w:cs="宋体"/>
          <w:color w:val="auto"/>
          <w:sz w:val="24"/>
          <w:szCs w:val="24"/>
          <w:highlight w:val="none"/>
          <w:lang w:val="zh-CN"/>
        </w:rPr>
        <w:t>中标通知书是合同的组成部分，对采购人和中标供应商均具有法律约束力。</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7.6 技术成果经济补偿</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采购人对符合招标文件规定的未中标供应商的技术成果进行补偿的，采购人将在供应商须知前附表中规定给予经济补偿标准，未规定的不予经济补偿。</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7.7 履约保证金</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jc w:val="left"/>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本项目不收取</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7.8 签订合同</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7.8.1 采购人和中标供应商应当自中标通知书发出之日起 30 日内，按照招标文件和中标供应商投标文件的规定订立书面合同。中标供应商无正当理由拒签合同，在签订合同时向采购人提出附加条件，或者不按照招标文件要求提交履约保证金的，采购人有权取消其中标资格，其投标保证金不予退还，同时</w:t>
      </w:r>
      <w:r>
        <w:rPr>
          <w:rFonts w:hint="eastAsia" w:ascii="宋体" w:hAnsi="宋体" w:eastAsia="宋体" w:cs="宋体"/>
          <w:color w:val="auto"/>
          <w:sz w:val="24"/>
          <w:szCs w:val="24"/>
          <w:highlight w:val="none"/>
          <w:lang w:val="zh-CN"/>
        </w:rPr>
        <w:t>列入不良行为记录名单，在一至三年内禁止参加政府采购活动并予以公告。供应商在被评标委员会评定为预中标供应商（中标供应商）之后、中标通知书发出之前放弃中标的，按本条规定处理</w:t>
      </w:r>
      <w:r>
        <w:rPr>
          <w:rFonts w:hint="eastAsia" w:ascii="宋体" w:hAnsi="宋体" w:eastAsia="宋体" w:cs="宋体"/>
          <w:bCs/>
          <w:color w:val="auto"/>
          <w:sz w:val="24"/>
          <w:szCs w:val="24"/>
          <w:highlight w:val="none"/>
          <w:lang w:val="zh-CN"/>
        </w:rPr>
        <w:t>给采购人造成的损失超过投标保证金数额的，中标供应商还应当对超过部分予以赔偿。</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7.8.2 发出中标通知书后，采购人无正当理由拒签合同，或者在签订合同时向中标供应商提出附加条件的，采购人向中标供应商退还投标保证金，给中标供应商造成损失的，还应当赔偿损失。</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7.8.3 联合体中标的，联合体各方应当共同与采购人签订合同，就中标项目向采购人承担连带责任。</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8.纪律和监督</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8.1 对采购人的纪律要求</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采购人不得泄露招标投标活动中应当保密的情况和资料，不得与供应商串通损害国家利益、社会公共利益或者他人合法权益。</w:t>
      </w:r>
      <w:r>
        <w:rPr>
          <w:rFonts w:hint="eastAsia" w:ascii="宋体" w:hAnsi="宋体" w:eastAsia="宋体" w:cs="宋体"/>
          <w:color w:val="auto"/>
          <w:sz w:val="24"/>
          <w:szCs w:val="24"/>
          <w:highlight w:val="none"/>
          <w:lang w:val="zh-CN"/>
        </w:rPr>
        <w:t>采购人只负责评标组织工作，不参加评标。</w:t>
      </w:r>
      <w:r>
        <w:rPr>
          <w:rFonts w:hint="eastAsia" w:ascii="宋体" w:hAnsi="宋体" w:eastAsia="宋体" w:cs="宋体"/>
          <w:color w:val="auto"/>
          <w:sz w:val="24"/>
          <w:szCs w:val="24"/>
          <w:highlight w:val="none"/>
        </w:rPr>
        <w:t>采购人委托的采购代理机构工作人员不得参加由本机构代理的政府采购项目的评标。</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8.2 对供应商的纪律要求</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供应商不得相互串通投标或者与采购人串通投标，不得向采购人或者评标委员会成员行贿谋取中标，不得以他人名义投标或者以其他方式弄虚作假骗取中标；供应商不得以任何方式干扰、影响评标工作。</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8.3 对评标委员会成员的纪律要求</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8.4 对与评标活动有关的工作人员的纪律要求</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9.是否采用电子招标投标</w:t>
      </w:r>
    </w:p>
    <w:p>
      <w:pPr>
        <w:keepNext w:val="0"/>
        <w:keepLines w:val="0"/>
        <w:pageBreakBefore w:val="0"/>
        <w:widowControl w:val="0"/>
        <w:tabs>
          <w:tab w:val="left" w:pos="760"/>
        </w:tabs>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本招标项目是否采用电子招标投标方式，见供应商须知前附表。</w:t>
      </w:r>
    </w:p>
    <w:p>
      <w:pPr>
        <w:keepNext w:val="0"/>
        <w:keepLines w:val="0"/>
        <w:pageBreakBefore w:val="0"/>
        <w:widowControl w:val="0"/>
        <w:kinsoku/>
        <w:wordWrap w:val="0"/>
        <w:overflowPunct/>
        <w:topLinePunct w:val="0"/>
        <w:autoSpaceDE/>
        <w:autoSpaceDN/>
        <w:bidi w:val="0"/>
        <w:adjustRightInd w:val="0"/>
        <w:spacing w:line="440" w:lineRule="exact"/>
        <w:jc w:val="left"/>
        <w:textAlignment w:val="auto"/>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10.需要补充的其他内容</w:t>
      </w:r>
    </w:p>
    <w:p>
      <w:pPr>
        <w:keepNext w:val="0"/>
        <w:keepLines w:val="0"/>
        <w:pageBreakBefore w:val="0"/>
        <w:widowControl w:val="0"/>
        <w:kinsoku/>
        <w:wordWrap w:val="0"/>
        <w:overflowPunct/>
        <w:topLinePunct w:val="0"/>
        <w:autoSpaceDE/>
        <w:autoSpaceDN/>
        <w:bidi w:val="0"/>
        <w:adjustRightIn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zh-CN"/>
        </w:rPr>
        <w:t>需要补充的其他内容：见供应商须知前附表</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kern w:val="0"/>
          <w:sz w:val="28"/>
          <w:szCs w:val="28"/>
          <w:highlight w:val="none"/>
        </w:rPr>
        <w:t>1</w:t>
      </w:r>
      <w:r>
        <w:rPr>
          <w:rFonts w:hint="eastAsia" w:ascii="宋体" w:hAnsi="宋体" w:eastAsia="宋体" w:cs="宋体"/>
          <w:b/>
          <w:color w:val="auto"/>
          <w:sz w:val="28"/>
          <w:szCs w:val="28"/>
          <w:highlight w:val="none"/>
          <w:lang w:val="zh-CN"/>
        </w:rPr>
        <w:t>1. 重新招标及采购方式变更</w:t>
      </w:r>
    </w:p>
    <w:p>
      <w:pPr>
        <w:keepNext w:val="0"/>
        <w:keepLines w:val="0"/>
        <w:pageBreakBefore w:val="0"/>
        <w:widowControl w:val="0"/>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公开招标数额标准以上的采购项目，投标截止后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不足3家或者通过资格审查或符合性审查的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不足3家的，除采购任务取消情形外，按照以下方式处理：</w:t>
      </w:r>
    </w:p>
    <w:p>
      <w:pPr>
        <w:keepNext w:val="0"/>
        <w:keepLines w:val="0"/>
        <w:pageBreakBefore w:val="0"/>
        <w:widowControl w:val="0"/>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 采用公开招标采购的项目，如果</w:t>
      </w:r>
      <w:r>
        <w:rPr>
          <w:rFonts w:hint="eastAsia" w:ascii="宋体" w:hAnsi="宋体" w:eastAsia="宋体" w:cs="宋体"/>
          <w:bCs/>
          <w:color w:val="auto"/>
          <w:sz w:val="24"/>
          <w:szCs w:val="24"/>
          <w:highlight w:val="none"/>
        </w:rPr>
        <w:t>招标</w:t>
      </w:r>
      <w:r>
        <w:rPr>
          <w:rFonts w:hint="eastAsia" w:ascii="宋体" w:hAnsi="宋体" w:eastAsia="宋体" w:cs="宋体"/>
          <w:color w:val="auto"/>
          <w:kern w:val="0"/>
          <w:sz w:val="24"/>
          <w:szCs w:val="24"/>
          <w:highlight w:val="none"/>
        </w:rPr>
        <w:t>文件存在不合理条款或者招标程序不符合规定的，采购人、采购代理机构改正后依法重新招标；如果招标文件没有不合理条款、招标程序符合规定，需要采用其他采购方式采购的，采购人应当依法报财政部门批准。</w:t>
      </w:r>
    </w:p>
    <w:p>
      <w:pPr>
        <w:keepNext w:val="0"/>
        <w:keepLines w:val="0"/>
        <w:pageBreakBefore w:val="0"/>
        <w:widowControl w:val="0"/>
        <w:kinsoku/>
        <w:wordWrap w:val="0"/>
        <w:overflowPunct/>
        <w:topLinePunct w:val="0"/>
        <w:autoSpaceDE/>
        <w:autoSpaceDN/>
        <w:bidi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（2）采用竞争性谈判方式采购的项目，如果</w:t>
      </w:r>
      <w:r>
        <w:rPr>
          <w:rFonts w:hint="eastAsia" w:ascii="宋体" w:hAnsi="宋体" w:eastAsia="宋体" w:cs="宋体"/>
          <w:color w:val="auto"/>
          <w:kern w:val="0"/>
          <w:sz w:val="24"/>
          <w:szCs w:val="24"/>
          <w:highlight w:val="none"/>
        </w:rPr>
        <w:t>公开招标的货物、服务采购项目，在招标过程中提交投标文件或者经评审实质性响应招标文件要求的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只有两家时，采购人拟采用非招标采购方式</w:t>
      </w:r>
      <w:r>
        <w:rPr>
          <w:rFonts w:hint="eastAsia" w:ascii="宋体" w:hAnsi="宋体" w:eastAsia="宋体" w:cs="宋体"/>
          <w:color w:val="auto"/>
          <w:sz w:val="24"/>
          <w:szCs w:val="24"/>
          <w:highlight w:val="none"/>
        </w:rPr>
        <w:t>竞争性谈判</w:t>
      </w:r>
      <w:r>
        <w:rPr>
          <w:rFonts w:hint="eastAsia" w:ascii="宋体" w:hAnsi="宋体" w:eastAsia="宋体" w:cs="宋体"/>
          <w:color w:val="auto"/>
          <w:kern w:val="0"/>
          <w:sz w:val="24"/>
          <w:szCs w:val="24"/>
          <w:highlight w:val="none"/>
        </w:rPr>
        <w:t>的，采购人应当在采购活动开始前，经主管预算单位同意后，向设区的市、自治州以上人民政府财政部门申请批准后可以与该两家</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进行竞争性谈判采购，采购人、采购代理机构应当根据采购需求编制</w:t>
      </w:r>
      <w:r>
        <w:rPr>
          <w:rFonts w:hint="eastAsia" w:ascii="宋体" w:hAnsi="宋体" w:eastAsia="宋体" w:cs="宋体"/>
          <w:color w:val="auto"/>
          <w:kern w:val="0"/>
          <w:sz w:val="24"/>
          <w:szCs w:val="24"/>
          <w:highlight w:val="none"/>
          <w:lang w:eastAsia="zh-CN"/>
        </w:rPr>
        <w:t>谈判文件</w:t>
      </w:r>
      <w:r>
        <w:rPr>
          <w:rFonts w:hint="eastAsia" w:ascii="宋体" w:hAnsi="宋体" w:eastAsia="宋体" w:cs="宋体"/>
          <w:color w:val="auto"/>
          <w:kern w:val="0"/>
          <w:sz w:val="24"/>
          <w:szCs w:val="24"/>
          <w:highlight w:val="none"/>
        </w:rPr>
        <w:t>，成立谈判小组，由谈判小组对</w:t>
      </w:r>
      <w:r>
        <w:rPr>
          <w:rFonts w:hint="eastAsia" w:ascii="宋体" w:hAnsi="宋体" w:eastAsia="宋体" w:cs="宋体"/>
          <w:color w:val="auto"/>
          <w:kern w:val="0"/>
          <w:sz w:val="24"/>
          <w:szCs w:val="24"/>
          <w:highlight w:val="none"/>
          <w:lang w:eastAsia="zh-CN"/>
        </w:rPr>
        <w:t>谈判文件</w:t>
      </w:r>
      <w:r>
        <w:rPr>
          <w:rFonts w:hint="eastAsia" w:ascii="宋体" w:hAnsi="宋体" w:eastAsia="宋体" w:cs="宋体"/>
          <w:color w:val="auto"/>
          <w:kern w:val="0"/>
          <w:sz w:val="24"/>
          <w:szCs w:val="24"/>
          <w:highlight w:val="none"/>
        </w:rPr>
        <w:t>进行确认。符合本款情形的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最低数量可以为两家。</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（3）采用单一来源方式采购的项目，如果</w:t>
      </w:r>
      <w:r>
        <w:rPr>
          <w:rFonts w:hint="eastAsia" w:ascii="宋体" w:hAnsi="宋体" w:eastAsia="宋体" w:cs="宋体"/>
          <w:color w:val="auto"/>
          <w:kern w:val="0"/>
          <w:sz w:val="24"/>
          <w:szCs w:val="24"/>
          <w:highlight w:val="none"/>
        </w:rPr>
        <w:t>公开招标的货物、服务采购项目，在招标过程中提交投标文件或者经评审实质性响应招标文件要求的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只有一家时，</w:t>
      </w:r>
      <w:r>
        <w:rPr>
          <w:rFonts w:hint="eastAsia" w:ascii="宋体" w:hAnsi="宋体" w:eastAsia="宋体" w:cs="宋体"/>
          <w:color w:val="auto"/>
          <w:sz w:val="24"/>
          <w:szCs w:val="24"/>
          <w:highlight w:val="none"/>
        </w:rPr>
        <w:t>不得直接变更为单一来源方式采购，</w:t>
      </w:r>
      <w:r>
        <w:rPr>
          <w:rFonts w:hint="eastAsia" w:ascii="宋体" w:hAnsi="宋体" w:eastAsia="宋体" w:cs="宋体"/>
          <w:color w:val="auto"/>
          <w:kern w:val="0"/>
          <w:sz w:val="24"/>
          <w:szCs w:val="24"/>
          <w:highlight w:val="none"/>
        </w:rPr>
        <w:t>采购人拟采用非招标采购方式</w:t>
      </w:r>
      <w:r>
        <w:rPr>
          <w:rFonts w:hint="eastAsia" w:ascii="宋体" w:hAnsi="宋体" w:eastAsia="宋体" w:cs="宋体"/>
          <w:color w:val="auto"/>
          <w:sz w:val="24"/>
          <w:szCs w:val="24"/>
          <w:highlight w:val="none"/>
        </w:rPr>
        <w:t>单一来源</w:t>
      </w:r>
      <w:r>
        <w:rPr>
          <w:rFonts w:hint="eastAsia" w:ascii="宋体" w:hAnsi="宋体" w:eastAsia="宋体" w:cs="宋体"/>
          <w:color w:val="auto"/>
          <w:kern w:val="0"/>
          <w:sz w:val="24"/>
          <w:szCs w:val="24"/>
          <w:highlight w:val="none"/>
        </w:rPr>
        <w:t>的，采购人、采购代理机构应当先做废标处理，然后经主管预算单位同意后，向设区的市、自治州以上人民政府财政部门申请批准前在省级以上财政部门指定媒体上公示，并将公示情况一并报财政部门，公示期不得少于5个工作日。</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8"/>
          <w:szCs w:val="28"/>
          <w:highlight w:val="none"/>
        </w:rPr>
        <w:t>12.</w:t>
      </w:r>
      <w:r>
        <w:rPr>
          <w:rFonts w:hint="eastAsia" w:ascii="宋体" w:hAnsi="宋体" w:eastAsia="宋体" w:cs="宋体"/>
          <w:b/>
          <w:bCs/>
          <w:color w:val="auto"/>
          <w:sz w:val="28"/>
          <w:szCs w:val="28"/>
          <w:highlight w:val="none"/>
        </w:rPr>
        <w:t>质疑</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对采购活动及有关事项有质疑的，可以向采购人或采购代理机构提出询问或质疑，但应符合相关法律法规的规定。</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认为采购文件、采购过程和中标、成交结果使自己的权益受到损害的，可以在知道或者应知其权益受到损害之日起七个工作日内，</w:t>
      </w:r>
      <w:r>
        <w:rPr>
          <w:rFonts w:hint="eastAsia" w:ascii="宋体" w:hAnsi="宋体" w:eastAsia="宋体" w:cs="宋体"/>
          <w:color w:val="auto"/>
          <w:sz w:val="24"/>
          <w:szCs w:val="24"/>
          <w:highlight w:val="none"/>
          <w:lang w:eastAsia="zh-CN"/>
        </w:rPr>
        <w:t>“政采云”平台(</w:t>
      </w:r>
      <w:r>
        <w:rPr>
          <w:rFonts w:hint="eastAsia" w:ascii="宋体" w:hAnsi="宋体" w:cs="宋体"/>
          <w:color w:val="auto"/>
          <w:sz w:val="24"/>
          <w:szCs w:val="24"/>
          <w:highlight w:val="none"/>
          <w:lang w:eastAsia="zh-CN"/>
        </w:rPr>
        <w:t>https://www.zcygov.cn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问的形式向采购人或采购代理机构提出质疑，并在法定质疑期内一次性提出针对同一采购程序环节的质疑，同时将书面质疑送至采购人或采购代理机构。网站质疑和书面质疑均应在质疑期内送至采购人或采购代理机构，否则采购人或采购代理机构视其质疑为无效，接收质疑函的联系部门、联系电话和通讯地址等信息详见招标公告中的采购人信息或采购代理机构信息。</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.3 采购人或采购代理机构应在收到</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网站质疑和书面质疑后七个工作日内作出答复，</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应自主在网上查看，同时通知质疑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领取书面回复和通知其他有关</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，但回复内容不涉及商业秘密。</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.4 对采购代理机构提出质疑的，若质疑内容超出招标代理范围的，应明确告知质疑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向采购人提出质疑或协调采购人答复质疑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质疑应当按照（财政部94号令）《政府采购质疑和投诉办法》规定执行，否则采购人或采购代理机构有权拒绝。</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.投诉</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 已提出质疑的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对答复内容不满意或采购人未在规定时间内作出答复的，可以在答复期满后十五个工作日内向同级政府采购监督管理部门投诉。</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 投诉应当按照（财政部94号令）《政府采购质疑和投诉办法》规定执行，否则监督部门有权拒绝受理。</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投诉事项必须与质疑事项保持一致，不得超出质疑事项范围。</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.4 监督部门受理投诉后可以进行调查取证或抄送有关单位进行质证，并在三十个工作日内对投诉事项作出处理决定，并以书面方式通知投诉人与投诉事项有关的当事人。</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.5 投诉人对政府采购监督管理部门的投诉处理决定不服或者政府采购监督管理部门逾期未作出处理的，可以依法申请行政复议或者向人民法院提起行政诉讼。</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eastAsia="zh-CN"/>
        </w:rPr>
        <w:t>验收</w:t>
      </w:r>
    </w:p>
    <w:p>
      <w:pPr>
        <w:pageBreakBefore w:val="0"/>
        <w:widowControl/>
        <w:kinsoku/>
        <w:wordWrap/>
        <w:overflowPunct/>
        <w:topLinePunct w:val="0"/>
        <w:bidi w:val="0"/>
        <w:adjustRightInd/>
        <w:snapToGrid/>
        <w:spacing w:line="288" w:lineRule="auto"/>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采购人应当及时对采购项目进行验收。采购人可以邀请参加本项目的其他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或者第三方机构参与验收。参与验收的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或者第三方机构的意见作为验收书的参考资料一并存档</w:t>
      </w:r>
      <w:r>
        <w:rPr>
          <w:rFonts w:hint="eastAsia" w:ascii="宋体" w:hAnsi="宋体" w:eastAsia="宋体" w:cs="宋体"/>
          <w:color w:val="auto"/>
          <w:kern w:val="0"/>
          <w:sz w:val="24"/>
          <w:szCs w:val="24"/>
          <w:highlight w:val="none"/>
          <w:lang w:eastAsia="zh-CN"/>
        </w:rPr>
        <w:t>。</w:t>
      </w:r>
    </w:p>
    <w:p>
      <w:pPr>
        <w:rPr>
          <w:rFonts w:hint="eastAsia" w:ascii="宋体" w:hAnsi="宋体" w:eastAsia="宋体" w:cs="宋体"/>
          <w:color w:val="auto"/>
          <w:highlight w:val="none"/>
        </w:rPr>
      </w:pPr>
      <w:bookmarkStart w:id="13" w:name="_Toc98580422"/>
      <w:bookmarkStart w:id="14" w:name="_Toc24696155"/>
      <w:r>
        <w:rPr>
          <w:rFonts w:hint="eastAsia" w:ascii="宋体" w:hAnsi="宋体" w:eastAsia="宋体" w:cs="宋体"/>
          <w:color w:val="auto"/>
          <w:sz w:val="21"/>
          <w:szCs w:val="21"/>
          <w:highlight w:val="none"/>
        </w:rPr>
        <w:br w:type="page"/>
      </w:r>
    </w:p>
    <w:p>
      <w:pPr>
        <w:rPr>
          <w:rFonts w:hint="eastAsia" w:ascii="宋体" w:hAnsi="宋体" w:eastAsia="宋体" w:cs="宋体"/>
          <w:color w:val="auto"/>
          <w:highlight w:val="none"/>
        </w:rPr>
      </w:pPr>
    </w:p>
    <w:p>
      <w:pPr>
        <w:pStyle w:val="3"/>
        <w:spacing w:before="0" w:after="0" w:line="360" w:lineRule="auto"/>
        <w:jc w:val="center"/>
        <w:rPr>
          <w:rFonts w:hint="eastAsia" w:ascii="宋体" w:hAnsi="宋体" w:eastAsia="宋体" w:cs="宋体"/>
          <w:color w:val="auto"/>
          <w:sz w:val="30"/>
          <w:szCs w:val="30"/>
          <w:highlight w:val="none"/>
        </w:rPr>
      </w:pPr>
      <w:bookmarkStart w:id="15" w:name="_Toc8440"/>
      <w:r>
        <w:rPr>
          <w:rFonts w:hint="eastAsia" w:ascii="宋体" w:hAnsi="宋体" w:eastAsia="宋体" w:cs="宋体"/>
          <w:color w:val="auto"/>
          <w:highlight w:val="none"/>
        </w:rPr>
        <w:t>第三部分  评标办法</w:t>
      </w:r>
      <w:bookmarkEnd w:id="15"/>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按照国家相关部门的规定，遵循公开、公平、公正和诚实信用的原则，结合本招标项目的实际情况，制定本招标项目评标办法。</w:t>
      </w:r>
    </w:p>
    <w:p>
      <w:pPr>
        <w:spacing w:line="440" w:lineRule="exact"/>
        <w:jc w:val="both"/>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一、评标程序</w:t>
      </w:r>
    </w:p>
    <w:p>
      <w:pPr>
        <w:spacing w:line="4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（一）组成评标委员会</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国家有关部委及省、市的相关规定，从专家库中随机抽取技术、经济等方面的专家共5人组成评标委员会（以下简称“评委会”）。为保证评标工作的顺利进行，推荐一名评委担任评委会主任，负责评标全面工作。</w:t>
      </w:r>
    </w:p>
    <w:p>
      <w:pPr>
        <w:pStyle w:val="88"/>
        <w:spacing w:line="4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（二）评审方法：综合评分法</w:t>
      </w:r>
    </w:p>
    <w:p>
      <w:pPr>
        <w:spacing w:line="44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综合评分法，是指投标文件满足招标文件全部实质性要求，且按照评审因素的量化指标评审得分最高的供应商为中标候选人的评标方法。</w:t>
      </w:r>
    </w:p>
    <w:p>
      <w:pPr>
        <w:pStyle w:val="88"/>
        <w:spacing w:line="4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（三）评标工作</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评标本着客观公正、公平竞争、择优推荐、规范合法的原则进行。评标工作分为</w:t>
      </w:r>
      <w:r>
        <w:rPr>
          <w:rFonts w:hint="eastAsia" w:ascii="宋体" w:hAnsi="宋体" w:cs="宋体"/>
          <w:color w:val="auto"/>
          <w:sz w:val="24"/>
          <w:szCs w:val="24"/>
          <w:highlight w:val="none"/>
          <w:lang w:val="en-US" w:eastAsia="zh-CN"/>
        </w:rPr>
        <w:t>形式评审、</w:t>
      </w:r>
      <w:r>
        <w:rPr>
          <w:rFonts w:hint="eastAsia" w:ascii="宋体" w:hAnsi="宋体" w:eastAsia="宋体" w:cs="宋体"/>
          <w:color w:val="auto"/>
          <w:sz w:val="24"/>
          <w:szCs w:val="24"/>
          <w:highlight w:val="none"/>
        </w:rPr>
        <w:t>资格</w:t>
      </w:r>
      <w:r>
        <w:rPr>
          <w:rFonts w:hint="eastAsia" w:ascii="宋体" w:hAnsi="宋体" w:cs="宋体"/>
          <w:color w:val="auto"/>
          <w:sz w:val="24"/>
          <w:szCs w:val="24"/>
          <w:highlight w:val="none"/>
          <w:lang w:val="en-US" w:eastAsia="zh-CN"/>
        </w:rPr>
        <w:t>评审响应</w:t>
      </w:r>
      <w:r>
        <w:rPr>
          <w:rFonts w:hint="eastAsia" w:ascii="宋体" w:hAnsi="宋体" w:eastAsia="宋体" w:cs="宋体"/>
          <w:color w:val="auto"/>
          <w:sz w:val="24"/>
          <w:szCs w:val="24"/>
          <w:highlight w:val="none"/>
        </w:rPr>
        <w:t>性</w:t>
      </w:r>
      <w:r>
        <w:rPr>
          <w:rFonts w:hint="eastAsia" w:ascii="宋体" w:hAnsi="宋体" w:cs="宋体"/>
          <w:color w:val="auto"/>
          <w:sz w:val="24"/>
          <w:szCs w:val="24"/>
          <w:highlight w:val="none"/>
          <w:lang w:val="en-US" w:eastAsia="zh-CN"/>
        </w:rPr>
        <w:t>评审</w:t>
      </w:r>
      <w:r>
        <w:rPr>
          <w:rFonts w:hint="eastAsia" w:ascii="宋体" w:hAnsi="宋体" w:eastAsia="宋体" w:cs="宋体"/>
          <w:color w:val="auto"/>
          <w:sz w:val="24"/>
          <w:szCs w:val="24"/>
          <w:highlight w:val="none"/>
        </w:rPr>
        <w:t>和详细评审三个步骤。</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形式</w:t>
      </w:r>
      <w:r>
        <w:rPr>
          <w:rFonts w:hint="eastAsia" w:ascii="宋体" w:hAnsi="宋体" w:eastAsia="宋体" w:cs="宋体"/>
          <w:color w:val="auto"/>
          <w:sz w:val="24"/>
          <w:szCs w:val="24"/>
          <w:highlight w:val="none"/>
        </w:rPr>
        <w:t>审查。采购人或代理机构对各供应商的</w:t>
      </w:r>
      <w:r>
        <w:rPr>
          <w:rFonts w:hint="eastAsia" w:ascii="宋体" w:hAnsi="宋体" w:cs="宋体"/>
          <w:color w:val="auto"/>
          <w:sz w:val="24"/>
          <w:szCs w:val="24"/>
          <w:highlight w:val="none"/>
          <w:lang w:val="en-US" w:eastAsia="zh-CN"/>
        </w:rPr>
        <w:t>形式</w:t>
      </w:r>
      <w:r>
        <w:rPr>
          <w:rFonts w:hint="eastAsia" w:ascii="宋体" w:hAnsi="宋体" w:eastAsia="宋体" w:cs="宋体"/>
          <w:color w:val="auto"/>
          <w:sz w:val="24"/>
          <w:szCs w:val="24"/>
          <w:highlight w:val="none"/>
        </w:rPr>
        <w:t>进行审查。</w:t>
      </w:r>
      <w:r>
        <w:rPr>
          <w:rFonts w:hint="eastAsia" w:ascii="宋体" w:hAnsi="宋体" w:cs="宋体"/>
          <w:color w:val="auto"/>
          <w:sz w:val="24"/>
          <w:szCs w:val="24"/>
          <w:highlight w:val="none"/>
          <w:lang w:val="en-US" w:eastAsia="zh-CN"/>
        </w:rPr>
        <w:t>形式</w:t>
      </w:r>
      <w:r>
        <w:rPr>
          <w:rFonts w:hint="eastAsia" w:ascii="宋体" w:hAnsi="宋体" w:eastAsia="宋体" w:cs="宋体"/>
          <w:color w:val="auto"/>
          <w:sz w:val="24"/>
          <w:szCs w:val="24"/>
          <w:highlight w:val="none"/>
        </w:rPr>
        <w:t>审查合格的供应商方可进入</w:t>
      </w:r>
      <w:r>
        <w:rPr>
          <w:rFonts w:hint="eastAsia" w:ascii="宋体" w:hAnsi="宋体" w:cs="宋体"/>
          <w:color w:val="auto"/>
          <w:sz w:val="24"/>
          <w:szCs w:val="24"/>
          <w:highlight w:val="none"/>
          <w:lang w:val="en-US" w:eastAsia="zh-CN"/>
        </w:rPr>
        <w:t>资格</w:t>
      </w:r>
      <w:r>
        <w:rPr>
          <w:rFonts w:hint="eastAsia" w:ascii="宋体" w:hAnsi="宋体" w:eastAsia="宋体" w:cs="宋体"/>
          <w:color w:val="auto"/>
          <w:sz w:val="24"/>
          <w:szCs w:val="24"/>
          <w:highlight w:val="none"/>
        </w:rPr>
        <w:t>审查。</w:t>
      </w:r>
      <w:r>
        <w:rPr>
          <w:rFonts w:hint="eastAsia" w:ascii="宋体" w:hAnsi="宋体" w:eastAsia="宋体" w:cs="宋体"/>
          <w:color w:val="auto"/>
          <w:sz w:val="24"/>
          <w:highlight w:val="none"/>
        </w:rPr>
        <w:t>不具备招标文件中规定的要求的，投标无效。合格供应商不足3家的，不得评标。</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.资格审查。采购人或代理机构对各供应商的资格进行审查。资格审查合格的供应商方可进入</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rPr>
        <w:t>性审查。</w:t>
      </w:r>
      <w:r>
        <w:rPr>
          <w:rFonts w:hint="eastAsia" w:ascii="宋体" w:hAnsi="宋体" w:eastAsia="宋体" w:cs="宋体"/>
          <w:color w:val="auto"/>
          <w:sz w:val="24"/>
          <w:highlight w:val="none"/>
        </w:rPr>
        <w:t>不具备招标文件中规定的资格要求的，投标无效。合格供应商不足3家的，不得评标。</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rPr>
        <w:t>性审查。评委会对供应商的投标文件进行符合性审查。符合性审查合格的供应商方可进入详细评审。</w:t>
      </w:r>
      <w:r>
        <w:rPr>
          <w:rFonts w:hint="eastAsia" w:ascii="宋体" w:hAnsi="宋体" w:eastAsia="宋体" w:cs="宋体"/>
          <w:color w:val="auto"/>
          <w:sz w:val="24"/>
          <w:highlight w:val="none"/>
        </w:rPr>
        <w:t>有一项不符合的，投标无效。</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.1</w:t>
      </w:r>
      <w:r>
        <w:rPr>
          <w:rFonts w:hint="eastAsia" w:ascii="宋体" w:hAnsi="宋体" w:eastAsia="宋体" w:cs="宋体"/>
          <w:bCs/>
          <w:color w:val="auto"/>
          <w:sz w:val="24"/>
          <w:highlight w:val="none"/>
        </w:rPr>
        <w:t>政府采购应当采购本国货物。按照财政部《政府采购进口产品管理办法》规定确需采购进口产品的，实行审核管理。经审核允许采购进口产品的，不得排斥符合要求的本国产品。在</w:t>
      </w:r>
      <w:r>
        <w:rPr>
          <w:rFonts w:hint="eastAsia" w:ascii="宋体" w:hAnsi="宋体" w:eastAsia="宋体" w:cs="宋体"/>
          <w:color w:val="auto"/>
          <w:sz w:val="24"/>
          <w:highlight w:val="none"/>
        </w:rPr>
        <w:t>招标文件</w:t>
      </w:r>
      <w:r>
        <w:rPr>
          <w:rFonts w:hint="eastAsia" w:ascii="宋体" w:hAnsi="宋体" w:eastAsia="宋体" w:cs="宋体"/>
          <w:bCs/>
          <w:color w:val="auto"/>
          <w:sz w:val="24"/>
          <w:highlight w:val="none"/>
        </w:rPr>
        <w:t>中未标明采购进口产品的，均为采购本国产品。供应商必须投标本国产品，投标进口产品的，投标无效。进口产品是指通过中国海关报关验放进入中国境内且产自关境外的产品。</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.2</w:t>
      </w:r>
      <w:r>
        <w:rPr>
          <w:rFonts w:hint="eastAsia" w:ascii="宋体" w:hAnsi="宋体" w:cs="宋体"/>
          <w:color w:val="auto"/>
          <w:sz w:val="24"/>
          <w:highlight w:val="none"/>
          <w:lang w:eastAsia="zh-CN"/>
        </w:rPr>
        <w:t>核心产品</w:t>
      </w:r>
      <w:r>
        <w:rPr>
          <w:rFonts w:hint="eastAsia" w:ascii="宋体" w:hAnsi="宋体" w:eastAsia="宋体" w:cs="宋体"/>
          <w:color w:val="auto"/>
          <w:sz w:val="24"/>
          <w:highlight w:val="none"/>
        </w:rPr>
        <w:t>提供相同品牌</w:t>
      </w:r>
      <w:r>
        <w:rPr>
          <w:rFonts w:hint="eastAsia" w:ascii="宋体" w:hAnsi="宋体" w:cs="宋体"/>
          <w:color w:val="auto"/>
          <w:sz w:val="24"/>
          <w:highlight w:val="none"/>
          <w:lang w:eastAsia="zh-CN"/>
        </w:rPr>
        <w:t>、相同型号</w:t>
      </w:r>
      <w:r>
        <w:rPr>
          <w:rFonts w:hint="eastAsia" w:ascii="宋体" w:hAnsi="宋体" w:eastAsia="宋体" w:cs="宋体"/>
          <w:color w:val="auto"/>
          <w:sz w:val="24"/>
          <w:highlight w:val="none"/>
        </w:rPr>
        <w:t>且通过资格审查、符合性审查的不同</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参加同一合同项下投标的，按一家</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计算，评审后得分最高的同品牌</w:t>
      </w:r>
      <w:r>
        <w:rPr>
          <w:rFonts w:hint="eastAsia" w:ascii="宋体" w:hAnsi="宋体" w:cs="宋体"/>
          <w:color w:val="auto"/>
          <w:sz w:val="24"/>
          <w:highlight w:val="none"/>
          <w:lang w:eastAsia="zh-CN"/>
        </w:rPr>
        <w:t>同型号</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获得中标人推荐资格；评审得分相同的，参照5.1规定确定一个</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获得中标人推荐资格，其他同品牌</w:t>
      </w:r>
      <w:r>
        <w:rPr>
          <w:rFonts w:hint="eastAsia" w:ascii="宋体" w:hAnsi="宋体" w:cs="宋体"/>
          <w:color w:val="auto"/>
          <w:sz w:val="24"/>
          <w:highlight w:val="none"/>
          <w:lang w:eastAsia="zh-CN"/>
        </w:rPr>
        <w:t>同型号</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不作为中标候选人。符合性审查后，因提供相同品牌</w:t>
      </w:r>
      <w:r>
        <w:rPr>
          <w:rFonts w:hint="eastAsia" w:ascii="宋体" w:hAnsi="宋体" w:cs="宋体"/>
          <w:color w:val="auto"/>
          <w:sz w:val="24"/>
          <w:highlight w:val="none"/>
          <w:lang w:eastAsia="zh-CN"/>
        </w:rPr>
        <w:t>、相同型号</w:t>
      </w:r>
      <w:r>
        <w:rPr>
          <w:rFonts w:hint="eastAsia" w:ascii="宋体" w:hAnsi="宋体" w:eastAsia="宋体" w:cs="宋体"/>
          <w:color w:val="auto"/>
          <w:sz w:val="24"/>
          <w:highlight w:val="none"/>
        </w:rPr>
        <w:t>产品的不同</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按一家计算而导致有效</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不足3家的，应予废标。</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.详细评审。详细评审采用综合评分法。评委依据评标办法分别对各供应商的投标文件进行评审、赋分。如果通过资格审查和符合性审查的供应商不足三家，则采购人重新招标。</w:t>
      </w:r>
    </w:p>
    <w:p>
      <w:pPr>
        <w:spacing w:line="44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（四）询标（必要时）</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评标委员会对投标文件需要澄清的问题，采用集体询标方式进行。</w:t>
      </w:r>
    </w:p>
    <w:p>
      <w:pPr>
        <w:spacing w:line="4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（五）推荐中标候选人</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5.1汇总各评委得分,</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最终得分按各位评委打分平均值计取,保留小数点后两位。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为排名第一的中标候选人。评标委员会根据综合评审结果，按照综合得分由高到低的顺序，推荐三名中标候选人，由采购人确定排名第一的供应商为中标人。</w:t>
      </w:r>
    </w:p>
    <w:p>
      <w:pPr>
        <w:spacing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5.2评标委员会成员对需要共同认定的事项存在争议的，应当按照少数服从多数的原则作出结论。持不同意见的评标委员会成员应当在评标报告上签署不同意见及理由，否则视为同意评标报告。</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440" w:lineRule="exact"/>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二、评标办法和标准</w:t>
      </w:r>
    </w:p>
    <w:tbl>
      <w:tblPr>
        <w:tblStyle w:val="45"/>
        <w:tblW w:w="9898"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11"/>
        <w:gridCol w:w="1946"/>
        <w:gridCol w:w="5553"/>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2399" w:type="dxa"/>
            <w:gridSpan w:val="2"/>
            <w:tcBorders>
              <w:top w:val="single" w:color="000000" w:sz="12" w:space="0"/>
            </w:tcBorders>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1946" w:type="dxa"/>
            <w:tcBorders>
              <w:top w:val="single" w:color="000000" w:sz="12" w:space="0"/>
            </w:tcBorders>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评审因素</w:t>
            </w:r>
          </w:p>
        </w:tc>
        <w:tc>
          <w:tcPr>
            <w:tcW w:w="5553" w:type="dxa"/>
            <w:tcBorders>
              <w:top w:val="single" w:color="000000" w:sz="12" w:space="0"/>
            </w:tcBorders>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评审标准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8"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w:t>
            </w:r>
          </w:p>
        </w:tc>
        <w:tc>
          <w:tcPr>
            <w:tcW w:w="1311"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形式评审标准</w:t>
            </w: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与营业执照一致为合格，否则为不合格。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签字和盖章要求</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符合招标文件规定的要求为合格，否则为不合格。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投标文件的编制</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按照招标文件规定的要求编制</w:t>
            </w:r>
            <w:r>
              <w:rPr>
                <w:rFonts w:hint="eastAsia" w:ascii="宋体" w:hAnsi="宋体" w:eastAsia="宋体" w:cs="宋体"/>
                <w:bCs/>
                <w:color w:val="auto"/>
                <w:sz w:val="24"/>
                <w:szCs w:val="24"/>
                <w:highlight w:val="none"/>
              </w:rPr>
              <w:t>，内容齐全、关键字迹清晰，符合投标文件格式的要求为合格；未按</w:t>
            </w:r>
            <w:r>
              <w:rPr>
                <w:rFonts w:hint="eastAsia" w:ascii="宋体" w:hAnsi="宋体" w:eastAsia="宋体" w:cs="宋体"/>
                <w:color w:val="auto"/>
                <w:sz w:val="24"/>
                <w:szCs w:val="24"/>
                <w:highlight w:val="none"/>
              </w:rPr>
              <w:t>招标文件</w:t>
            </w:r>
            <w:r>
              <w:rPr>
                <w:rFonts w:hint="eastAsia" w:ascii="宋体" w:hAnsi="宋体" w:eastAsia="宋体" w:cs="宋体"/>
                <w:bCs/>
                <w:color w:val="auto"/>
                <w:sz w:val="24"/>
                <w:szCs w:val="24"/>
                <w:highlight w:val="none"/>
              </w:rPr>
              <w:t>规定的要求编制，内容不全或关键字迹模糊、无法辨认，不符合投标文件格式的要求为不合格。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报价唯一</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合格：只能有一个有效报价；</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不合格：有两个或多个报价，且未声明哪一个有效（按招标文件规定提交备选投标方案的除外）。</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7499" w:type="dxa"/>
            <w:gridSpan w:val="2"/>
            <w:noWrap w:val="0"/>
            <w:vAlign w:val="center"/>
          </w:tcPr>
          <w:p>
            <w:pPr>
              <w:keepNext w:val="0"/>
              <w:keepLines w:val="0"/>
              <w:pageBreakBefore w:val="0"/>
              <w:widowControl w:val="0"/>
              <w:kinsoku/>
              <w:wordWrap w:val="0"/>
              <w:overflowPunct/>
              <w:topLinePunct w:val="0"/>
              <w:autoSpaceDE/>
              <w:autoSpaceDN/>
              <w:bidi w:val="0"/>
              <w:spacing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上述评审因素都合格为形式评审合格，有一项不合格为</w:t>
            </w:r>
            <w:r>
              <w:rPr>
                <w:rFonts w:hint="eastAsia" w:ascii="宋体" w:hAnsi="宋体" w:eastAsia="宋体" w:cs="宋体"/>
                <w:color w:val="auto"/>
                <w:sz w:val="24"/>
                <w:szCs w:val="24"/>
                <w:highlight w:val="none"/>
                <w:lang w:val="en-US" w:eastAsia="zh-CN"/>
              </w:rPr>
              <w:t>无效投标</w:t>
            </w:r>
            <w:r>
              <w:rPr>
                <w:rFonts w:hint="eastAsia" w:ascii="宋体" w:hAnsi="宋体" w:eastAsia="宋体" w:cs="宋体"/>
                <w:color w:val="auto"/>
                <w:sz w:val="24"/>
                <w:szCs w:val="24"/>
                <w:highlight w:val="none"/>
              </w:rPr>
              <w:t>，不再进行下一步评审。</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88"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w:t>
            </w:r>
          </w:p>
        </w:tc>
        <w:tc>
          <w:tcPr>
            <w:tcW w:w="1311"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资格评审标准</w:t>
            </w: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须知”第 1.4.1 和3.1.1项的规定</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投标文件</w:t>
            </w:r>
            <w:r>
              <w:rPr>
                <w:rFonts w:hint="eastAsia" w:ascii="宋体" w:hAnsi="宋体" w:cs="宋体"/>
                <w:color w:val="auto"/>
                <w:sz w:val="24"/>
                <w:szCs w:val="24"/>
                <w:highlight w:val="none"/>
                <w:lang w:val="en-US" w:eastAsia="zh-CN"/>
              </w:rPr>
              <w:t>内提供</w:t>
            </w:r>
            <w:r>
              <w:rPr>
                <w:rFonts w:hint="eastAsia" w:ascii="宋体" w:hAnsi="宋体" w:eastAsia="宋体" w:cs="宋体"/>
                <w:color w:val="auto"/>
                <w:sz w:val="24"/>
                <w:szCs w:val="24"/>
                <w:highlight w:val="none"/>
              </w:rPr>
              <w:t>年检有效期内的营业执照。</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财务要求</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须知”第 1.4.1 和3.1.1项的规定</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投标文件</w:t>
            </w:r>
            <w:r>
              <w:rPr>
                <w:rFonts w:hint="eastAsia" w:ascii="宋体" w:hAnsi="宋体" w:cs="宋体"/>
                <w:color w:val="auto"/>
                <w:sz w:val="24"/>
                <w:szCs w:val="24"/>
                <w:highlight w:val="none"/>
                <w:lang w:val="en-US" w:eastAsia="zh-CN"/>
              </w:rPr>
              <w:t>内提供</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 年至 </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的审计报务或企业财务报表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投标人的成立时间少于规定年份的，应提供成立以来至202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val="zh-CN"/>
              </w:rPr>
              <w:t>；202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年新成立企业需提供当年银行出具的公司资信证明）。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纳税</w:t>
            </w:r>
            <w:r>
              <w:rPr>
                <w:rFonts w:hint="eastAsia" w:ascii="宋体" w:hAnsi="宋体" w:eastAsia="宋体" w:cs="宋体"/>
                <w:color w:val="auto"/>
                <w:sz w:val="24"/>
                <w:szCs w:val="24"/>
                <w:highlight w:val="none"/>
                <w:lang w:eastAsia="zh-CN"/>
              </w:rPr>
              <w:t>及</w:t>
            </w:r>
            <w:r>
              <w:rPr>
                <w:rFonts w:hint="eastAsia" w:ascii="宋体" w:hAnsi="宋体" w:eastAsia="宋体" w:cs="宋体"/>
                <w:color w:val="auto"/>
                <w:sz w:val="24"/>
                <w:szCs w:val="24"/>
                <w:highlight w:val="none"/>
              </w:rPr>
              <w:t>社保</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具有依法缴纳税收和社会保障金的良好记录。</w:t>
            </w:r>
          </w:p>
          <w:p>
            <w:pPr>
              <w:keepNext w:val="0"/>
              <w:keepLines w:val="0"/>
              <w:pageBreakBefore w:val="0"/>
              <w:widowControl w:val="0"/>
              <w:kinsoku/>
              <w:wordWrap w:val="0"/>
              <w:overflowPunct/>
              <w:topLinePunct w:val="0"/>
              <w:autoSpaceDE/>
              <w:autoSpaceDN/>
              <w:bidi w:val="0"/>
              <w:spacing w:line="44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投标文件内</w:t>
            </w:r>
            <w:r>
              <w:rPr>
                <w:rFonts w:hint="eastAsia" w:ascii="宋体" w:hAnsi="宋体" w:eastAsia="宋体" w:cs="宋体"/>
                <w:color w:val="auto"/>
                <w:sz w:val="24"/>
                <w:szCs w:val="24"/>
                <w:highlight w:val="none"/>
                <w:lang w:val="en-US" w:eastAsia="zh-CN"/>
              </w:rPr>
              <w:t>提供2023</w:t>
            </w:r>
            <w:r>
              <w:rPr>
                <w:rFonts w:hint="eastAsia" w:ascii="宋体" w:hAnsi="宋体" w:eastAsia="宋体" w:cs="宋体"/>
                <w:color w:val="auto"/>
                <w:sz w:val="24"/>
                <w:szCs w:val="24"/>
                <w:highlight w:val="none"/>
                <w:lang w:val="zh-CN" w:eastAsia="zh-CN"/>
              </w:rPr>
              <w:t>年</w:t>
            </w:r>
            <w:r>
              <w:rPr>
                <w:rFonts w:hint="eastAsia" w:ascii="宋体" w:hAnsi="宋体" w:cs="宋体"/>
                <w:color w:val="auto"/>
                <w:sz w:val="24"/>
                <w:szCs w:val="24"/>
                <w:highlight w:val="none"/>
                <w:lang w:val="en-US" w:eastAsia="zh-CN"/>
              </w:rPr>
              <w:t>内</w:t>
            </w:r>
            <w:r>
              <w:rPr>
                <w:rFonts w:hint="eastAsia" w:ascii="宋体" w:hAnsi="宋体" w:eastAsia="宋体" w:cs="宋体"/>
                <w:color w:val="auto"/>
                <w:sz w:val="24"/>
                <w:szCs w:val="24"/>
                <w:highlight w:val="none"/>
                <w:lang w:val="zh-CN" w:eastAsia="zh-CN"/>
              </w:rPr>
              <w:t>任意一个月纳税证明及社会保障资金缴纳证明复印件加盖公章。依法免</w:t>
            </w:r>
            <w:r>
              <w:rPr>
                <w:rFonts w:hint="eastAsia" w:ascii="宋体" w:hAnsi="宋体" w:cs="宋体"/>
                <w:color w:val="auto"/>
                <w:sz w:val="24"/>
                <w:szCs w:val="24"/>
                <w:highlight w:val="none"/>
                <w:lang w:val="en-US" w:eastAsia="zh-CN"/>
              </w:rPr>
              <w:t>缴</w:t>
            </w:r>
            <w:r>
              <w:rPr>
                <w:rFonts w:hint="eastAsia" w:ascii="宋体" w:hAnsi="宋体" w:eastAsia="宋体" w:cs="宋体"/>
                <w:color w:val="auto"/>
                <w:sz w:val="24"/>
                <w:szCs w:val="24"/>
                <w:highlight w:val="none"/>
                <w:lang w:val="zh-CN" w:eastAsia="zh-CN"/>
              </w:rPr>
              <w:t>的，应提供其依法免</w:t>
            </w:r>
            <w:r>
              <w:rPr>
                <w:rFonts w:hint="eastAsia" w:ascii="宋体" w:hAnsi="宋体" w:cs="宋体"/>
                <w:color w:val="auto"/>
                <w:sz w:val="24"/>
                <w:szCs w:val="24"/>
                <w:highlight w:val="none"/>
                <w:lang w:val="en-US" w:eastAsia="zh-CN"/>
              </w:rPr>
              <w:t>缴</w:t>
            </w:r>
            <w:r>
              <w:rPr>
                <w:rFonts w:hint="eastAsia" w:ascii="宋体" w:hAnsi="宋体" w:eastAsia="宋体" w:cs="宋体"/>
                <w:color w:val="auto"/>
                <w:sz w:val="24"/>
                <w:szCs w:val="24"/>
                <w:highlight w:val="none"/>
                <w:lang w:val="zh-CN" w:eastAsia="zh-CN"/>
              </w:rPr>
              <w:t>证明。</w:t>
            </w:r>
            <w:r>
              <w:rPr>
                <w:rFonts w:hint="eastAsia" w:ascii="宋体" w:hAnsi="宋体" w:cs="宋体"/>
                <w:color w:val="auto"/>
                <w:sz w:val="24"/>
                <w:szCs w:val="24"/>
                <w:highlight w:val="none"/>
                <w:lang w:val="en-US" w:eastAsia="zh-CN"/>
              </w:rPr>
              <w:t>新成立公司提供情况说明复印件加盖公章。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信誉要求</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须知”第 1.4.1 和3.1.1项的规定</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（1）参加政府采购活动前3年内在经营活动中没有重大违法记录的书面声明；</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（2）“信用中国”及“中国政府采购网”查询截图；</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（3）“中国裁判文书网”无行贿犯罪记录查询截图；</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其它要求</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sz w:val="24"/>
                <w:szCs w:val="24"/>
                <w:highlight w:val="none"/>
              </w:rPr>
              <w:t>对招标文件的全部条款做出实质性响应；</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2、本项目不接受联合体投标、不允许分包；</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3、不存在招标文件要求的其他</w:t>
            </w:r>
            <w:r>
              <w:rPr>
                <w:rFonts w:hint="eastAsia" w:ascii="宋体" w:hAnsi="宋体" w:eastAsia="宋体" w:cs="宋体"/>
                <w:color w:val="auto"/>
                <w:sz w:val="24"/>
                <w:szCs w:val="24"/>
                <w:highlight w:val="none"/>
                <w:lang w:val="zh-CN"/>
              </w:rPr>
              <w:t>无效投标的情形；</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zh-CN"/>
              </w:rPr>
              <w:t>4、不存在</w:t>
            </w:r>
            <w:r>
              <w:rPr>
                <w:rFonts w:hint="eastAsia" w:ascii="宋体" w:hAnsi="宋体" w:eastAsia="宋体" w:cs="宋体"/>
                <w:color w:val="auto"/>
                <w:sz w:val="24"/>
                <w:szCs w:val="24"/>
                <w:highlight w:val="none"/>
              </w:rPr>
              <w:t>招标文件中规定的其他废标条款</w:t>
            </w:r>
            <w:r>
              <w:rPr>
                <w:rFonts w:hint="eastAsia" w:ascii="宋体" w:hAnsi="宋体" w:eastAsia="宋体" w:cs="宋体"/>
                <w:bCs/>
                <w:color w:val="auto"/>
                <w:sz w:val="24"/>
                <w:szCs w:val="24"/>
                <w:highlight w:val="none"/>
              </w:rPr>
              <w:t>。</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符合招标文件的要求为合格，否则为不合格。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7499" w:type="dxa"/>
            <w:gridSpan w:val="2"/>
            <w:noWrap w:val="0"/>
            <w:vAlign w:val="center"/>
          </w:tcPr>
          <w:p>
            <w:pPr>
              <w:keepNext w:val="0"/>
              <w:keepLines w:val="0"/>
              <w:pageBreakBefore w:val="0"/>
              <w:widowControl w:val="0"/>
              <w:kinsoku/>
              <w:wordWrap w:val="0"/>
              <w:overflowPunct/>
              <w:topLinePunct w:val="0"/>
              <w:autoSpaceDE/>
              <w:autoSpaceDN/>
              <w:bidi w:val="0"/>
              <w:spacing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上述评审因素都合格为资格评审合格，有一项不合格为</w:t>
            </w:r>
            <w:r>
              <w:rPr>
                <w:rFonts w:hint="eastAsia" w:ascii="宋体" w:hAnsi="宋体" w:eastAsia="宋体" w:cs="宋体"/>
                <w:color w:val="auto"/>
                <w:sz w:val="24"/>
                <w:szCs w:val="24"/>
                <w:highlight w:val="none"/>
                <w:lang w:val="en-US" w:eastAsia="zh-CN"/>
              </w:rPr>
              <w:t>无效投标</w:t>
            </w:r>
            <w:r>
              <w:rPr>
                <w:rFonts w:hint="eastAsia" w:ascii="宋体" w:hAnsi="宋体" w:eastAsia="宋体" w:cs="宋体"/>
                <w:color w:val="auto"/>
                <w:sz w:val="24"/>
                <w:szCs w:val="24"/>
                <w:highlight w:val="none"/>
              </w:rPr>
              <w:t>，不再进行下一步评审。</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88"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w:t>
            </w:r>
          </w:p>
        </w:tc>
        <w:tc>
          <w:tcPr>
            <w:tcW w:w="1311"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响应性评审标准</w:t>
            </w: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投标内容</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符合招标文件要求</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供货期</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合同签订后至202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年12月31日</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5553"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lang w:eastAsia="zh-CN"/>
              </w:rPr>
              <w:t>符合国家及相关行业合格标准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须知”第3.3.1项的规定。</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须知”第3.4.1项的规定，有缴纳凭证加盖公章或财务章【要求清晰可见】。</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权利义务</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符合第五章“合同格式”中的实质性要求和条件。</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须知”第3.2.4项的规定，不超过最高投标限价。</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88"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1311" w:type="dxa"/>
            <w:vMerge w:val="continue"/>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p>
        </w:tc>
        <w:tc>
          <w:tcPr>
            <w:tcW w:w="7499" w:type="dxa"/>
            <w:gridSpan w:val="2"/>
            <w:noWrap w:val="0"/>
            <w:vAlign w:val="center"/>
          </w:tcPr>
          <w:p>
            <w:pPr>
              <w:keepNext w:val="0"/>
              <w:keepLines w:val="0"/>
              <w:pageBreakBefore w:val="0"/>
              <w:widowControl w:val="0"/>
              <w:kinsoku/>
              <w:wordWrap w:val="0"/>
              <w:overflowPunct/>
              <w:topLinePunct w:val="0"/>
              <w:autoSpaceDE/>
              <w:autoSpaceDN/>
              <w:bidi w:val="0"/>
              <w:spacing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上述评审因素都合格为响应性评审合格，有一项不合格为</w:t>
            </w:r>
            <w:r>
              <w:rPr>
                <w:rFonts w:hint="eastAsia" w:ascii="宋体" w:hAnsi="宋体" w:eastAsia="宋体" w:cs="宋体"/>
                <w:color w:val="auto"/>
                <w:sz w:val="24"/>
                <w:szCs w:val="24"/>
                <w:highlight w:val="none"/>
                <w:lang w:val="en-US" w:eastAsia="zh-CN"/>
              </w:rPr>
              <w:t>无效投标</w:t>
            </w:r>
            <w:r>
              <w:rPr>
                <w:rFonts w:hint="eastAsia" w:ascii="宋体" w:hAnsi="宋体" w:eastAsia="宋体" w:cs="宋体"/>
                <w:color w:val="auto"/>
                <w:sz w:val="24"/>
                <w:szCs w:val="24"/>
                <w:highlight w:val="none"/>
              </w:rPr>
              <w:t>，不再进行下一步评审。</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898" w:type="dxa"/>
            <w:gridSpan w:val="4"/>
            <w:noWrap w:val="0"/>
            <w:vAlign w:val="top"/>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注：</w:t>
            </w:r>
            <w:r>
              <w:rPr>
                <w:rFonts w:hint="eastAsia" w:ascii="宋体" w:hAnsi="宋体" w:eastAsia="宋体" w:cs="宋体"/>
                <w:color w:val="auto"/>
                <w:sz w:val="24"/>
                <w:szCs w:val="24"/>
                <w:highlight w:val="none"/>
              </w:rPr>
              <w:t>1、“通过”表示该项评审标准符合招标文件的要求，“不通过”表示该项评审标准不符合招标文件的要求；</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2、结论汇总意见采取少数服从多数原则，即超过半数评委的结论为“通过”，该</w:t>
            </w:r>
            <w:r>
              <w:rPr>
                <w:rFonts w:hint="eastAsia" w:ascii="宋体" w:hAnsi="宋体" w:eastAsia="宋体" w:cs="宋体"/>
                <w:color w:val="auto"/>
                <w:sz w:val="24"/>
                <w:szCs w:val="24"/>
                <w:highlight w:val="none"/>
                <w:lang w:eastAsia="zh-CN"/>
              </w:rPr>
              <w:t>供应商</w:t>
            </w:r>
            <w:r>
              <w:rPr>
                <w:rFonts w:hint="eastAsia" w:ascii="宋体" w:hAnsi="宋体" w:eastAsia="宋体" w:cs="宋体"/>
                <w:bCs/>
                <w:color w:val="auto"/>
                <w:sz w:val="24"/>
                <w:szCs w:val="24"/>
                <w:highlight w:val="none"/>
              </w:rPr>
              <w:t>初步评审合格，否则不合格</w:t>
            </w:r>
            <w:r>
              <w:rPr>
                <w:rFonts w:hint="eastAsia" w:ascii="宋体" w:hAnsi="宋体" w:eastAsia="宋体" w:cs="宋体"/>
                <w:color w:val="auto"/>
                <w:sz w:val="24"/>
                <w:szCs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399" w:type="dxa"/>
            <w:gridSpan w:val="2"/>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zh-CN"/>
              </w:rPr>
              <w:t>2.2.1</w:t>
            </w:r>
          </w:p>
        </w:tc>
        <w:tc>
          <w:tcPr>
            <w:tcW w:w="1946"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分值构成</w:t>
            </w:r>
          </w:p>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zh-CN"/>
              </w:rPr>
              <w:t>(总分100分)</w:t>
            </w:r>
          </w:p>
        </w:tc>
        <w:tc>
          <w:tcPr>
            <w:tcW w:w="5553"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商务部分：</w:t>
            </w:r>
            <w:r>
              <w:rPr>
                <w:rFonts w:hint="eastAsia" w:ascii="宋体"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u w:val="single"/>
                <w:lang w:val="en-US" w:eastAsia="zh-CN"/>
              </w:rPr>
              <w:t>40</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分（其中投标报价</w:t>
            </w:r>
            <w:r>
              <w:rPr>
                <w:rFonts w:hint="eastAsia" w:ascii="宋体" w:hAnsi="宋体" w:eastAsia="宋体" w:cs="宋体"/>
                <w:color w:val="auto"/>
                <w:spacing w:val="-6"/>
                <w:sz w:val="24"/>
                <w:szCs w:val="24"/>
                <w:highlight w:val="none"/>
                <w:u w:val="single"/>
              </w:rPr>
              <w:t xml:space="preserve"> 30 </w:t>
            </w:r>
            <w:r>
              <w:rPr>
                <w:rFonts w:hint="eastAsia" w:ascii="宋体" w:hAnsi="宋体" w:eastAsia="宋体" w:cs="宋体"/>
                <w:color w:val="auto"/>
                <w:spacing w:val="-6"/>
                <w:sz w:val="24"/>
                <w:szCs w:val="24"/>
                <w:highlight w:val="none"/>
              </w:rPr>
              <w:t>分）</w:t>
            </w:r>
          </w:p>
          <w:p>
            <w:pPr>
              <w:keepNext w:val="0"/>
              <w:keepLines w:val="0"/>
              <w:pageBreakBefore w:val="0"/>
              <w:widowControl w:val="0"/>
              <w:kinsoku/>
              <w:wordWrap w:val="0"/>
              <w:overflowPunct/>
              <w:topLinePunct w:val="0"/>
              <w:autoSpaceDE/>
              <w:autoSpaceDN/>
              <w:bidi w:val="0"/>
              <w:adjustRightInd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color w:val="auto"/>
                <w:spacing w:val="-6"/>
                <w:sz w:val="24"/>
                <w:szCs w:val="24"/>
                <w:highlight w:val="none"/>
              </w:rPr>
              <w:t>技术部分：</w:t>
            </w:r>
            <w:r>
              <w:rPr>
                <w:rFonts w:hint="eastAsia" w:ascii="宋体"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u w:val="single"/>
                <w:lang w:val="en-US" w:eastAsia="zh-CN"/>
              </w:rPr>
              <w:t>60</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9" w:type="dxa"/>
            <w:gridSpan w:val="2"/>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zh-CN"/>
              </w:rPr>
              <w:t>2.2.2</w:t>
            </w:r>
          </w:p>
        </w:tc>
        <w:tc>
          <w:tcPr>
            <w:tcW w:w="1946" w:type="dxa"/>
            <w:noWrap w:val="0"/>
            <w:vAlign w:val="center"/>
          </w:tcPr>
          <w:p>
            <w:pPr>
              <w:keepNext w:val="0"/>
              <w:keepLines w:val="0"/>
              <w:pageBreakBefore w:val="0"/>
              <w:widowControl w:val="0"/>
              <w:kinsoku/>
              <w:wordWrap w:val="0"/>
              <w:overflowPunct/>
              <w:topLinePunct w:val="0"/>
              <w:autoSpaceDE/>
              <w:autoSpaceDN/>
              <w:bidi w:val="0"/>
              <w:adjustRightInd w:val="0"/>
              <w:spacing w:line="44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zh-CN"/>
              </w:rPr>
              <w:t>评标基准价计算方法</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以满足招标文件要求且报价最低的价格为评标基准价</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88"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2.2.3（1）</w:t>
            </w:r>
          </w:p>
        </w:tc>
        <w:tc>
          <w:tcPr>
            <w:tcW w:w="1311"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商务部分评分标准</w:t>
            </w:r>
          </w:p>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cs="宋体"/>
                <w:bCs/>
                <w:color w:val="auto"/>
                <w:sz w:val="24"/>
                <w:szCs w:val="24"/>
                <w:highlight w:val="none"/>
                <w:lang w:val="en-US" w:eastAsia="zh-CN"/>
              </w:rPr>
              <w:t>40</w:t>
            </w:r>
            <w:r>
              <w:rPr>
                <w:rFonts w:hint="eastAsia" w:ascii="宋体" w:hAnsi="宋体" w:eastAsia="宋体" w:cs="宋体"/>
                <w:bCs/>
                <w:color w:val="auto"/>
                <w:sz w:val="24"/>
                <w:szCs w:val="24"/>
                <w:highlight w:val="none"/>
              </w:rPr>
              <w:t>分）</w:t>
            </w: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投标报价</w:t>
            </w:r>
          </w:p>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color w:val="auto"/>
                <w:spacing w:val="-6"/>
                <w:sz w:val="24"/>
                <w:szCs w:val="24"/>
                <w:highlight w:val="none"/>
              </w:rPr>
              <w:t>（ 30 分）</w:t>
            </w:r>
          </w:p>
        </w:tc>
        <w:tc>
          <w:tcPr>
            <w:tcW w:w="5553" w:type="dxa"/>
            <w:noWrap w:val="0"/>
            <w:vAlign w:val="top"/>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以满足招标文件要求且报价最低的价格为评标基准价，其价格分为满分 30分，其他供应商的价格分按照下列公式计算：报价得分=（评标基准价/投标报价）×30，结果保留两位小数。</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088"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311"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946" w:type="dxa"/>
            <w:noWrap w:val="0"/>
            <w:vAlign w:val="center"/>
          </w:tcPr>
          <w:p>
            <w:pPr>
              <w:keepNext w:val="0"/>
              <w:keepLines w:val="0"/>
              <w:pageBreakBefore w:val="0"/>
              <w:kinsoku/>
              <w:wordWrap/>
              <w:overflowPunct/>
              <w:topLinePunct w:val="0"/>
              <w:autoSpaceDE w:val="0"/>
              <w:autoSpaceDN w:val="0"/>
              <w:bidi w:val="0"/>
              <w:adjustRightInd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服务承诺</w:t>
            </w:r>
          </w:p>
          <w:p>
            <w:pPr>
              <w:keepNext w:val="0"/>
              <w:keepLines w:val="0"/>
              <w:pageBreakBefore w:val="0"/>
              <w:kinsoku/>
              <w:wordWrap/>
              <w:overflowPunct/>
              <w:topLinePunct w:val="0"/>
              <w:autoSpaceDE w:val="0"/>
              <w:autoSpaceDN w:val="0"/>
              <w:bidi w:val="0"/>
              <w:adjustRightInd w:val="0"/>
              <w:snapToGrid/>
              <w:spacing w:line="288" w:lineRule="auto"/>
              <w:jc w:val="center"/>
              <w:textAlignment w:val="auto"/>
              <w:rPr>
                <w:rFonts w:hint="eastAsia" w:ascii="宋体" w:hAnsi="宋体" w:eastAsia="宋体" w:cs="宋体"/>
                <w:bCs/>
                <w:color w:val="auto"/>
                <w:sz w:val="24"/>
                <w:szCs w:val="24"/>
                <w:highlight w:val="none"/>
                <w:lang w:val="zh-CN" w:eastAsia="zh-CN" w:bidi="ar-SA"/>
              </w:rPr>
            </w:pPr>
            <w:r>
              <w:rPr>
                <w:rFonts w:hint="eastAsia" w:ascii="宋体" w:hAnsi="宋体" w:eastAsia="宋体" w:cs="宋体"/>
                <w:color w:val="auto"/>
                <w:spacing w:val="-6"/>
                <w:sz w:val="24"/>
                <w:szCs w:val="24"/>
                <w:highlight w:val="none"/>
              </w:rPr>
              <w:t>（</w:t>
            </w:r>
            <w:r>
              <w:rPr>
                <w:rFonts w:hint="eastAsia" w:ascii="宋体" w:hAnsi="宋体" w:cs="宋体"/>
                <w:color w:val="auto"/>
                <w:spacing w:val="-6"/>
                <w:sz w:val="24"/>
                <w:szCs w:val="24"/>
                <w:highlight w:val="none"/>
                <w:lang w:val="en-US" w:eastAsia="zh-CN"/>
              </w:rPr>
              <w:t>5</w:t>
            </w:r>
            <w:r>
              <w:rPr>
                <w:rFonts w:hint="eastAsia" w:ascii="宋体" w:hAnsi="宋体" w:eastAsia="宋体" w:cs="宋体"/>
                <w:color w:val="auto"/>
                <w:spacing w:val="-6"/>
                <w:sz w:val="24"/>
                <w:szCs w:val="24"/>
                <w:highlight w:val="none"/>
              </w:rPr>
              <w:t>分）</w:t>
            </w:r>
          </w:p>
        </w:tc>
        <w:tc>
          <w:tcPr>
            <w:tcW w:w="5553" w:type="dxa"/>
            <w:noWrap w:val="0"/>
            <w:vAlign w:val="center"/>
          </w:tcPr>
          <w:p>
            <w:pPr>
              <w:keepNext w:val="0"/>
              <w:keepLines w:val="0"/>
              <w:pageBreakBefore w:val="0"/>
              <w:kinsoku/>
              <w:wordWrap/>
              <w:overflowPunct/>
              <w:topLinePunct w:val="0"/>
              <w:bidi w:val="0"/>
              <w:snapToGrid/>
              <w:spacing w:line="288" w:lineRule="auto"/>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zh-CN" w:eastAsia="zh-CN"/>
              </w:rPr>
              <w:t>采购人可接受的合理服务承诺，全面详尽、合理得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zh-CN" w:eastAsia="zh-CN"/>
              </w:rPr>
              <w:t>分，基本合理、可行得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eastAsia="zh-CN"/>
              </w:rPr>
              <w:t>分，</w:t>
            </w:r>
            <w:r>
              <w:rPr>
                <w:rFonts w:hint="eastAsia" w:ascii="宋体" w:hAnsi="宋体" w:eastAsia="宋体" w:cs="宋体"/>
                <w:color w:val="auto"/>
                <w:sz w:val="24"/>
                <w:szCs w:val="24"/>
                <w:highlight w:val="none"/>
                <w:lang w:val="en-US" w:eastAsia="zh-CN"/>
              </w:rPr>
              <w:t>差</w:t>
            </w:r>
            <w:r>
              <w:rPr>
                <w:rFonts w:hint="eastAsia" w:ascii="宋体" w:hAnsi="宋体" w:eastAsia="宋体" w:cs="宋体"/>
                <w:color w:val="auto"/>
                <w:sz w:val="24"/>
                <w:szCs w:val="24"/>
                <w:highlight w:val="none"/>
                <w:lang w:val="zh-CN" w:eastAsia="zh-CN"/>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分，无不得分。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1088"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311"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946" w:type="dxa"/>
            <w:noWrap w:val="0"/>
            <w:vAlign w:val="center"/>
          </w:tcPr>
          <w:p>
            <w:pPr>
              <w:keepNext w:val="0"/>
              <w:keepLines w:val="0"/>
              <w:pageBreakBefore w:val="0"/>
              <w:kinsoku/>
              <w:wordWrap/>
              <w:overflowPunct/>
              <w:topLinePunct w:val="0"/>
              <w:autoSpaceDE w:val="0"/>
              <w:autoSpaceDN w:val="0"/>
              <w:bidi w:val="0"/>
              <w:adjustRightInd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优惠条件</w:t>
            </w:r>
          </w:p>
          <w:p>
            <w:pPr>
              <w:keepNext w:val="0"/>
              <w:keepLines w:val="0"/>
              <w:pageBreakBefore w:val="0"/>
              <w:kinsoku/>
              <w:wordWrap/>
              <w:overflowPunct/>
              <w:topLinePunct w:val="0"/>
              <w:autoSpaceDE w:val="0"/>
              <w:autoSpaceDN w:val="0"/>
              <w:bidi w:val="0"/>
              <w:adjustRightInd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分）</w:t>
            </w:r>
          </w:p>
        </w:tc>
        <w:tc>
          <w:tcPr>
            <w:tcW w:w="5553" w:type="dxa"/>
            <w:noWrap w:val="0"/>
            <w:vAlign w:val="center"/>
          </w:tcPr>
          <w:p>
            <w:pPr>
              <w:spacing w:line="400" w:lineRule="exact"/>
              <w:jc w:val="lef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对投标人提出的</w:t>
            </w:r>
            <w:r>
              <w:rPr>
                <w:rFonts w:hint="eastAsia" w:ascii="宋体" w:hAnsi="宋体" w:eastAsia="宋体" w:cs="宋体"/>
                <w:color w:val="auto"/>
                <w:sz w:val="24"/>
                <w:szCs w:val="24"/>
                <w:highlight w:val="none"/>
                <w:lang w:val="zh-CN" w:eastAsia="zh-CN"/>
              </w:rPr>
              <w:t>采购人可接受的合理</w:t>
            </w:r>
            <w:r>
              <w:rPr>
                <w:rFonts w:hint="eastAsia" w:ascii="宋体" w:hAnsi="宋体" w:eastAsia="宋体" w:cs="宋体"/>
                <w:color w:val="auto"/>
                <w:sz w:val="24"/>
                <w:szCs w:val="24"/>
                <w:highlight w:val="none"/>
                <w:lang w:val="en-US" w:eastAsia="zh-CN"/>
              </w:rPr>
              <w:t>优惠条件进行综合评价</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en-US" w:eastAsia="zh-CN"/>
              </w:rPr>
              <w:t>优得5分，良得3分，一般得1分，无不得分。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088"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2.2.3（2）</w:t>
            </w:r>
          </w:p>
        </w:tc>
        <w:tc>
          <w:tcPr>
            <w:tcW w:w="1311" w:type="dxa"/>
            <w:vMerge w:val="restart"/>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技术部分评分标准</w:t>
            </w:r>
          </w:p>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项目实施方案</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val="zh-CN"/>
              </w:rPr>
              <w:t>分）</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根据供应商针对本项目所提供的项目实施方案，包括但不限于交货进度安排，项目验收方案，进度计划、质量保证措施进行综合评审：①交货及进度安排非常合理，项目验收方案非常详细，质量保证措施非常完善、系统全面，可行性非常强的得</w:t>
            </w:r>
            <w:r>
              <w:rPr>
                <w:rFonts w:hint="eastAsia" w:ascii="宋体" w:hAnsi="宋体" w:eastAsia="宋体" w:cs="宋体"/>
                <w:color w:val="auto"/>
                <w:sz w:val="24"/>
                <w:szCs w:val="24"/>
                <w:highlight w:val="none"/>
                <w:lang w:val="en-US" w:eastAsia="zh-CN"/>
              </w:rPr>
              <w:t>16-20</w:t>
            </w:r>
            <w:r>
              <w:rPr>
                <w:rFonts w:hint="eastAsia" w:ascii="宋体" w:hAnsi="宋体" w:eastAsia="宋体" w:cs="宋体"/>
                <w:color w:val="auto"/>
                <w:sz w:val="24"/>
                <w:szCs w:val="24"/>
                <w:highlight w:val="none"/>
              </w:rPr>
              <w:t>分；②交货及进度安排较为合理，项目验收方案详细，质量保证措施较为完善、系统全面，可行性较强的得</w:t>
            </w:r>
            <w:r>
              <w:rPr>
                <w:rFonts w:hint="eastAsia" w:ascii="宋体" w:hAnsi="宋体" w:eastAsia="宋体" w:cs="宋体"/>
                <w:color w:val="auto"/>
                <w:sz w:val="24"/>
                <w:szCs w:val="24"/>
                <w:highlight w:val="none"/>
                <w:lang w:val="en-US" w:eastAsia="zh-CN"/>
              </w:rPr>
              <w:t>10-15</w:t>
            </w:r>
            <w:r>
              <w:rPr>
                <w:rFonts w:hint="eastAsia" w:ascii="宋体" w:hAnsi="宋体" w:eastAsia="宋体" w:cs="宋体"/>
                <w:color w:val="auto"/>
                <w:sz w:val="24"/>
                <w:szCs w:val="24"/>
                <w:highlight w:val="none"/>
              </w:rPr>
              <w:t>分；③交货及进度安排基本合理，项目验收方案不太详细，质量保证措施基本完善，具有一定可行性的得</w:t>
            </w:r>
            <w:r>
              <w:rPr>
                <w:rFonts w:hint="eastAsia" w:ascii="宋体" w:hAnsi="宋体" w:eastAsia="宋体" w:cs="宋体"/>
                <w:color w:val="auto"/>
                <w:sz w:val="24"/>
                <w:szCs w:val="24"/>
                <w:highlight w:val="none"/>
                <w:lang w:val="en-US" w:eastAsia="zh-CN"/>
              </w:rPr>
              <w:t>5-9</w:t>
            </w:r>
            <w:r>
              <w:rPr>
                <w:rFonts w:hint="eastAsia" w:ascii="宋体" w:hAnsi="宋体" w:eastAsia="宋体" w:cs="宋体"/>
                <w:color w:val="auto"/>
                <w:sz w:val="24"/>
                <w:szCs w:val="24"/>
                <w:highlight w:val="none"/>
              </w:rPr>
              <w:t>分；④交货及进度安排</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项目验收方案不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质量保证措施</w:t>
            </w:r>
            <w:r>
              <w:rPr>
                <w:rFonts w:hint="eastAsia" w:ascii="宋体" w:hAnsi="宋体" w:eastAsia="宋体" w:cs="宋体"/>
                <w:color w:val="auto"/>
                <w:sz w:val="24"/>
                <w:szCs w:val="24"/>
                <w:highlight w:val="none"/>
                <w:lang w:val="en-US" w:eastAsia="zh-CN"/>
              </w:rPr>
              <w:t>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但质量较差</w:t>
            </w:r>
            <w:r>
              <w:rPr>
                <w:rFonts w:hint="eastAsia" w:ascii="宋体" w:hAnsi="宋体" w:eastAsia="宋体" w:cs="宋体"/>
                <w:color w:val="auto"/>
                <w:sz w:val="24"/>
                <w:szCs w:val="24"/>
                <w:highlight w:val="none"/>
              </w:rPr>
              <w:t>的得</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zh-CN"/>
              </w:rPr>
              <w:t>⑤</w:t>
            </w:r>
            <w:r>
              <w:rPr>
                <w:rFonts w:hint="eastAsia" w:ascii="宋体" w:hAnsi="宋体" w:eastAsia="宋体" w:cs="宋体"/>
                <w:color w:val="auto"/>
                <w:sz w:val="24"/>
                <w:szCs w:val="24"/>
                <w:highlight w:val="none"/>
              </w:rPr>
              <w:t>未提供对应方案不得分。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931" w:hRule="atLeast"/>
          <w:jc w:val="center"/>
        </w:trPr>
        <w:tc>
          <w:tcPr>
            <w:tcW w:w="1088"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p>
        </w:tc>
        <w:tc>
          <w:tcPr>
            <w:tcW w:w="1311"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供货包装、运输实施方案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综合比较各投标人的供货包装、运输实施方案，切实可行得</w:t>
            </w:r>
            <w:r>
              <w:rPr>
                <w:rFonts w:hint="eastAsia" w:ascii="宋体" w:hAnsi="宋体" w:eastAsia="宋体" w:cs="宋体"/>
                <w:color w:val="auto"/>
                <w:sz w:val="24"/>
                <w:szCs w:val="24"/>
                <w:highlight w:val="none"/>
                <w:lang w:val="en-US" w:eastAsia="zh-CN"/>
              </w:rPr>
              <w:t>8-10</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供货包装、运输实施方案，相对可行，得</w:t>
            </w:r>
            <w:r>
              <w:rPr>
                <w:rFonts w:hint="eastAsia" w:ascii="宋体" w:hAnsi="宋体" w:eastAsia="宋体" w:cs="宋体"/>
                <w:color w:val="auto"/>
                <w:sz w:val="24"/>
                <w:szCs w:val="24"/>
                <w:highlight w:val="none"/>
                <w:lang w:val="en-US" w:eastAsia="zh-CN"/>
              </w:rPr>
              <w:t>4-7</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供货包装、运输实施方案，基本可行，得</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未提供不得分。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088"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311"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紧急情况的处理措施、预案以及抵抗风险的措施</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分）</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根据投标提供的紧急情况的处理措施、预案以及抵抗风险的措施进行综合比较，</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紧急情况的处理措施、预案全面、有效，抵抗风险的措施能够充分满足本项目要求的得11-15分，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紧急情况的处理措施、预案较全面、有效，抵抗风险的措施未充分满足本项目要求的得6-10</w:t>
            </w:r>
            <w:r>
              <w:rPr>
                <w:rFonts w:hint="eastAsia" w:ascii="宋体" w:hAnsi="宋体" w:eastAsia="宋体" w:cs="宋体"/>
                <w:color w:val="auto"/>
                <w:sz w:val="24"/>
                <w:szCs w:val="24"/>
                <w:highlight w:val="none"/>
                <w:lang w:val="zh-CN" w:eastAsia="zh-CN"/>
              </w:rPr>
              <w:t>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紧急情况的处理措施、预案不全面，抵抗风险的措施未充分满足本项目要求的</w:t>
            </w:r>
            <w:r>
              <w:rPr>
                <w:rFonts w:hint="eastAsia" w:ascii="宋体" w:hAnsi="宋体" w:eastAsia="宋体" w:cs="宋体"/>
                <w:color w:val="auto"/>
                <w:sz w:val="24"/>
                <w:szCs w:val="24"/>
                <w:highlight w:val="none"/>
                <w:lang w:val="zh-CN" w:eastAsia="zh-CN"/>
              </w:rPr>
              <w:t>得</w:t>
            </w:r>
            <w:r>
              <w:rPr>
                <w:rFonts w:hint="eastAsia" w:ascii="宋体" w:hAnsi="宋体" w:eastAsia="宋体" w:cs="宋体"/>
                <w:color w:val="auto"/>
                <w:sz w:val="24"/>
                <w:szCs w:val="24"/>
                <w:highlight w:val="none"/>
                <w:lang w:val="en-US" w:eastAsia="zh-CN"/>
              </w:rPr>
              <w:t>1-5分，未提供不得分。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88"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311" w:type="dxa"/>
            <w:vMerge w:val="continue"/>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946" w:type="dxa"/>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5553" w:type="dxa"/>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根据供应商针对本项目所提供的售后服务计划和方案进行综合评审：</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①供应商的售后服务计划和方案非常详细完整，能够快速响应采购人的需求，可行性非常强的得</w:t>
            </w:r>
            <w:r>
              <w:rPr>
                <w:rFonts w:hint="eastAsia" w:ascii="宋体" w:hAnsi="宋体" w:eastAsia="宋体" w:cs="宋体"/>
                <w:color w:val="auto"/>
                <w:sz w:val="24"/>
                <w:szCs w:val="24"/>
                <w:highlight w:val="none"/>
                <w:lang w:val="en-US" w:eastAsia="zh-CN"/>
              </w:rPr>
              <w:t>9-10</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②供应商的售后服务计划和方案比较完整，能够及时响应采购人需求，可行性较强的得</w:t>
            </w:r>
            <w:r>
              <w:rPr>
                <w:rFonts w:hint="eastAsia" w:ascii="宋体" w:hAnsi="宋体" w:eastAsia="宋体" w:cs="宋体"/>
                <w:color w:val="auto"/>
                <w:sz w:val="24"/>
                <w:szCs w:val="24"/>
                <w:highlight w:val="none"/>
                <w:lang w:val="en-US" w:eastAsia="zh-CN"/>
              </w:rPr>
              <w:t>6-8</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③供应商的售后服务计划和方案简单，基本能及时响应采购人的需求，可行性一般的得</w:t>
            </w:r>
            <w:r>
              <w:rPr>
                <w:rFonts w:hint="eastAsia" w:ascii="宋体" w:hAnsi="宋体" w:eastAsia="宋体" w:cs="宋体"/>
                <w:color w:val="auto"/>
                <w:sz w:val="24"/>
                <w:szCs w:val="24"/>
                <w:highlight w:val="none"/>
                <w:lang w:val="en-US" w:eastAsia="zh-CN"/>
              </w:rPr>
              <w:t>4-5</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④供应商的售后服务计划和方案</w:t>
            </w:r>
            <w:r>
              <w:rPr>
                <w:rFonts w:hint="eastAsia" w:ascii="宋体" w:hAnsi="宋体" w:eastAsia="宋体" w:cs="宋体"/>
                <w:color w:val="auto"/>
                <w:sz w:val="24"/>
                <w:szCs w:val="24"/>
                <w:highlight w:val="none"/>
                <w:lang w:val="en-US" w:eastAsia="zh-CN"/>
              </w:rPr>
              <w:t>有，但</w:t>
            </w:r>
            <w:r>
              <w:rPr>
                <w:rFonts w:hint="eastAsia" w:ascii="宋体" w:hAnsi="宋体" w:eastAsia="宋体" w:cs="宋体"/>
                <w:color w:val="auto"/>
                <w:sz w:val="24"/>
                <w:szCs w:val="24"/>
                <w:highlight w:val="none"/>
              </w:rPr>
              <w:t>不完整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不能够及时响应采购人需求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可行性差的得</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⑤</w:t>
            </w:r>
            <w:r>
              <w:rPr>
                <w:rFonts w:hint="eastAsia" w:ascii="宋体" w:hAnsi="宋体" w:eastAsia="宋体" w:cs="宋体"/>
                <w:color w:val="auto"/>
                <w:sz w:val="24"/>
                <w:szCs w:val="24"/>
                <w:highlight w:val="none"/>
                <w:lang w:val="en-US" w:eastAsia="zh-CN"/>
              </w:rPr>
              <w:t>无</w:t>
            </w:r>
            <w:r>
              <w:rPr>
                <w:rFonts w:hint="eastAsia" w:ascii="宋体" w:hAnsi="宋体" w:eastAsia="宋体" w:cs="宋体"/>
                <w:color w:val="auto"/>
                <w:sz w:val="24"/>
                <w:szCs w:val="24"/>
                <w:highlight w:val="none"/>
                <w:lang w:val="zh-CN"/>
              </w:rPr>
              <w:t>不得分。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88" w:type="dxa"/>
            <w:vMerge w:val="continue"/>
            <w:tcBorders>
              <w:bottom w:val="single" w:color="000000" w:sz="12" w:space="0"/>
            </w:tcBorders>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311" w:type="dxa"/>
            <w:vMerge w:val="continue"/>
            <w:tcBorders>
              <w:bottom w:val="single" w:color="000000" w:sz="12" w:space="0"/>
            </w:tcBorders>
            <w:noWrap w:val="0"/>
            <w:vAlign w:val="center"/>
          </w:tcPr>
          <w:p>
            <w:pPr>
              <w:keepNext w:val="0"/>
              <w:keepLines w:val="0"/>
              <w:pageBreakBefore w:val="0"/>
              <w:widowControl w:val="0"/>
              <w:kinsoku/>
              <w:wordWrap w:val="0"/>
              <w:overflowPunct/>
              <w:topLinePunct w:val="0"/>
              <w:autoSpaceDE/>
              <w:autoSpaceDN/>
              <w:bidi w:val="0"/>
              <w:spacing w:line="440" w:lineRule="exact"/>
              <w:jc w:val="center"/>
              <w:textAlignment w:val="auto"/>
              <w:rPr>
                <w:rFonts w:hint="eastAsia" w:ascii="宋体" w:hAnsi="宋体" w:eastAsia="宋体" w:cs="宋体"/>
                <w:bCs/>
                <w:color w:val="auto"/>
                <w:sz w:val="24"/>
                <w:szCs w:val="24"/>
                <w:highlight w:val="none"/>
              </w:rPr>
            </w:pPr>
          </w:p>
        </w:tc>
        <w:tc>
          <w:tcPr>
            <w:tcW w:w="1946" w:type="dxa"/>
            <w:tcBorders>
              <w:bottom w:val="single" w:color="000000" w:sz="12" w:space="0"/>
            </w:tcBorders>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合理化建议（</w:t>
            </w:r>
            <w:r>
              <w:rPr>
                <w:rFonts w:hint="eastAsia" w:ascii="宋体" w:hAnsi="宋体" w:eastAsia="宋体" w:cs="宋体"/>
                <w:color w:val="auto"/>
                <w:sz w:val="24"/>
                <w:szCs w:val="24"/>
                <w:highlight w:val="none"/>
                <w:lang w:val="en-US" w:eastAsia="zh-CN"/>
              </w:rPr>
              <w:t>5分</w:t>
            </w:r>
            <w:r>
              <w:rPr>
                <w:rFonts w:hint="eastAsia" w:ascii="宋体" w:hAnsi="宋体" w:eastAsia="宋体" w:cs="宋体"/>
                <w:color w:val="auto"/>
                <w:sz w:val="24"/>
                <w:szCs w:val="24"/>
                <w:highlight w:val="none"/>
                <w:lang w:eastAsia="zh-CN"/>
              </w:rPr>
              <w:t>）</w:t>
            </w:r>
          </w:p>
        </w:tc>
        <w:tc>
          <w:tcPr>
            <w:tcW w:w="5553" w:type="dxa"/>
            <w:tcBorders>
              <w:bottom w:val="single" w:color="000000" w:sz="12" w:space="0"/>
            </w:tcBorders>
            <w:noWrap w:val="0"/>
            <w:vAlign w:val="center"/>
          </w:tcPr>
          <w:p>
            <w:pPr>
              <w:keepNext w:val="0"/>
              <w:keepLines w:val="0"/>
              <w:pageBreakBefore w:val="0"/>
              <w:widowControl w:val="0"/>
              <w:kinsoku/>
              <w:wordWrap w:val="0"/>
              <w:overflowPunct/>
              <w:topLinePunct w:val="0"/>
              <w:autoSpaceDE/>
              <w:autoSpaceDN/>
              <w:bidi w:val="0"/>
              <w:spacing w:line="440" w:lineRule="exact"/>
              <w:ind w:left="11" w:leftChars="0" w:right="11" w:right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根据项目实际情况，提出可行</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eastAsia="zh-CN"/>
              </w:rPr>
              <w:t>合理化建议，</w:t>
            </w:r>
            <w:r>
              <w:rPr>
                <w:rFonts w:hint="eastAsia" w:ascii="宋体" w:hAnsi="宋体" w:eastAsia="宋体" w:cs="宋体"/>
                <w:color w:val="auto"/>
                <w:sz w:val="24"/>
                <w:szCs w:val="24"/>
                <w:highlight w:val="none"/>
                <w:lang w:val="en-US" w:eastAsia="zh-CN"/>
              </w:rPr>
              <w:t>每提供一条得1分</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en-US" w:eastAsia="zh-CN"/>
              </w:rPr>
              <w:t>满分5分，未提供不得分。</w:t>
            </w:r>
          </w:p>
        </w:tc>
      </w:tr>
    </w:tbl>
    <w:p>
      <w:pPr>
        <w:ind w:firstLine="48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4"/>
          <w:szCs w:val="24"/>
          <w:highlight w:val="none"/>
        </w:rPr>
        <w:t xml:space="preserve"> </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一、评标须知</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1.关于评标方案</w:t>
      </w:r>
    </w:p>
    <w:p>
      <w:pPr>
        <w:keepNext w:val="0"/>
        <w:keepLines w:val="0"/>
        <w:pageBreakBefore w:val="0"/>
        <w:widowControl w:val="0"/>
        <w:kinsoku/>
        <w:wordWrap w:val="0"/>
        <w:overflowPunct/>
        <w:topLinePunct w:val="0"/>
        <w:autoSpaceDE/>
        <w:autoSpaceDN/>
        <w:bidi w:val="0"/>
        <w:spacing w:line="44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（1）评标委员会的每位成员（简称评委）应认真地阅读并确认已经正确理解了评标方案；</w:t>
      </w:r>
    </w:p>
    <w:p>
      <w:pPr>
        <w:keepNext w:val="0"/>
        <w:keepLines w:val="0"/>
        <w:pageBreakBefore w:val="0"/>
        <w:widowControl w:val="0"/>
        <w:kinsoku/>
        <w:wordWrap w:val="0"/>
        <w:overflowPunct/>
        <w:topLinePunct w:val="0"/>
        <w:autoSpaceDE/>
        <w:autoSpaceDN/>
        <w:bidi w:val="0"/>
        <w:spacing w:line="44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（2）评委如对评标方案有异议，应在评标开始前提出。</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2.关于评标纪律</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评标委员会及其成员不得有下列行为：</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（一）确定参与评标至评标结束前私自接触</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（二）接受</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提出的与投标文件不一致的澄清或者说明；</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（三）违反评标纪律发表倾向性意见或者征询采购人的倾向性意见；</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（四）对需要专业判断的主观评审因素协商评分；</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（五）在评标过程中擅离职守，影响评标程序正常进行的；</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（六）记录、复制或者带走任何评标资料；</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（七）其他不遵守评标纪律的行为。</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评标委员会成员有前款第一至五项行为之一的，其评审意见无效，并不得获取评审劳务报酬和报销异地评审差旅费。</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3.关于评标责任</w:t>
      </w:r>
    </w:p>
    <w:p>
      <w:pPr>
        <w:keepNext w:val="0"/>
        <w:keepLines w:val="0"/>
        <w:pageBreakBefore w:val="0"/>
        <w:widowControl w:val="0"/>
        <w:kinsoku/>
        <w:wordWrap w:val="0"/>
        <w:overflowPunct/>
        <w:topLinePunct w:val="0"/>
        <w:autoSpaceDE/>
        <w:autoSpaceDN/>
        <w:bidi w:val="0"/>
        <w:spacing w:line="44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（1）评委应在其书面评审意见上签字确认；</w:t>
      </w:r>
    </w:p>
    <w:p>
      <w:pPr>
        <w:keepNext w:val="0"/>
        <w:keepLines w:val="0"/>
        <w:pageBreakBefore w:val="0"/>
        <w:widowControl w:val="0"/>
        <w:kinsoku/>
        <w:wordWrap w:val="0"/>
        <w:overflowPunct/>
        <w:topLinePunct w:val="0"/>
        <w:autoSpaceDE/>
        <w:autoSpaceDN/>
        <w:bidi w:val="0"/>
        <w:spacing w:line="44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（2）评委对其所提出的评审意见承担个人责任。</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4.关于回避</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有下列情形之一的，不得担任评标委员会成员，如事先不知情的，应在宣读</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名单及评标纪律后主动提出回避：</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主要负责人的近亲属；</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（2）项目主管部门或者行政监督部门的人员；</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（3）与</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有经济利益关系，可能影响对投标公正评审的；</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（4）曾因在招标、评标以及其他与招标投标有关活动中从事违法行为而受过行政处罚或刑事处罚的；</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（5）与</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有其他利害关系。</w:t>
      </w:r>
    </w:p>
    <w:p>
      <w:pPr>
        <w:keepNext w:val="0"/>
        <w:keepLines w:val="0"/>
        <w:pageBreakBefore w:val="0"/>
        <w:widowControl w:val="0"/>
        <w:kinsoku/>
        <w:wordWrap w:val="0"/>
        <w:overflowPunct/>
        <w:topLinePunct w:val="0"/>
        <w:autoSpaceDE/>
        <w:autoSpaceDN/>
        <w:bidi w:val="0"/>
        <w:spacing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5.关于保密</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评标委员会成员和与评标活动有关的工作人员不得透露对投标文件的评审和比较、中标候选人的推荐情况以及评标有关的其他情况。</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前款所称与评标活动有关的工作人员，是指评标委员会成员以外的因参与评标监督工作或者事务性工作而知悉有关评标情况的所有人员。</w:t>
      </w:r>
    </w:p>
    <w:p>
      <w:pPr>
        <w:keepNext w:val="0"/>
        <w:keepLines w:val="0"/>
        <w:pageBreakBefore w:val="0"/>
        <w:widowControl w:val="0"/>
        <w:kinsoku/>
        <w:wordWrap w:val="0"/>
        <w:overflowPunct/>
        <w:topLinePunct w:val="0"/>
        <w:autoSpaceDE/>
        <w:autoSpaceDN/>
        <w:bidi w:val="0"/>
        <w:spacing w:line="440" w:lineRule="exact"/>
        <w:jc w:val="center"/>
        <w:textAlignment w:val="auto"/>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二、评标原则</w:t>
      </w:r>
    </w:p>
    <w:p>
      <w:pPr>
        <w:keepNext w:val="0"/>
        <w:keepLines w:val="0"/>
        <w:pageBreakBefore w:val="0"/>
        <w:widowControl w:val="0"/>
        <w:kinsoku/>
        <w:wordWrap w:val="0"/>
        <w:overflowPunct/>
        <w:topLinePunct w:val="0"/>
        <w:autoSpaceDE/>
        <w:autoSpaceDN/>
        <w:bidi w:val="0"/>
        <w:spacing w:line="440" w:lineRule="exac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1.评标方法</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次评标采用综合评分法。评标委员会对满足招标文件全部实质性要求的投标文件，按照本章第2.2款规定的评分标准进行打分，并按得分由高到低顺序推荐中标候选人，但投标报价低于其成本的除外。综合评分相等时，以投标报价低的优先；得分且投标报价相同的并列。投标文件满足招标文件全部实质性要求，且按照评审因素的量化指标评审得分最高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为排名第一的中标候选人，依次排列。提供相同品牌产品且通过资格审查、符合性审查的不同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参加同一合同项下投标的，按一家</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计算，评审后得分最高的同品牌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获得</w:t>
      </w:r>
      <w:r>
        <w:rPr>
          <w:rFonts w:hint="eastAsia" w:ascii="宋体" w:hAnsi="宋体" w:eastAsia="宋体" w:cs="宋体"/>
          <w:color w:val="auto"/>
          <w:kern w:val="0"/>
          <w:sz w:val="24"/>
          <w:szCs w:val="24"/>
          <w:highlight w:val="none"/>
          <w:lang w:eastAsia="zh-CN"/>
        </w:rPr>
        <w:t>中标供应商</w:t>
      </w:r>
      <w:r>
        <w:rPr>
          <w:rFonts w:hint="eastAsia" w:ascii="宋体" w:hAnsi="宋体" w:eastAsia="宋体" w:cs="宋体"/>
          <w:color w:val="auto"/>
          <w:kern w:val="0"/>
          <w:sz w:val="24"/>
          <w:szCs w:val="24"/>
          <w:highlight w:val="none"/>
        </w:rPr>
        <w:t>推荐资格；得分相同的，按投标报价最低的同品牌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确定一个</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获得</w:t>
      </w:r>
      <w:r>
        <w:rPr>
          <w:rFonts w:hint="eastAsia" w:ascii="宋体" w:hAnsi="宋体" w:eastAsia="宋体" w:cs="宋体"/>
          <w:color w:val="auto"/>
          <w:kern w:val="0"/>
          <w:sz w:val="24"/>
          <w:szCs w:val="24"/>
          <w:highlight w:val="none"/>
          <w:lang w:eastAsia="zh-CN"/>
        </w:rPr>
        <w:t>中标供应商</w:t>
      </w:r>
      <w:r>
        <w:rPr>
          <w:rFonts w:hint="eastAsia" w:ascii="宋体" w:hAnsi="宋体" w:eastAsia="宋体" w:cs="宋体"/>
          <w:color w:val="auto"/>
          <w:kern w:val="0"/>
          <w:sz w:val="24"/>
          <w:szCs w:val="24"/>
          <w:highlight w:val="none"/>
        </w:rPr>
        <w:t>推荐资格；得分且投标报价也相同的，按技术标评审得分最高的同品牌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确定一个</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获得</w:t>
      </w:r>
      <w:r>
        <w:rPr>
          <w:rFonts w:hint="eastAsia" w:ascii="宋体" w:hAnsi="宋体" w:eastAsia="宋体" w:cs="宋体"/>
          <w:color w:val="auto"/>
          <w:kern w:val="0"/>
          <w:sz w:val="24"/>
          <w:szCs w:val="24"/>
          <w:highlight w:val="none"/>
          <w:lang w:eastAsia="zh-CN"/>
        </w:rPr>
        <w:t>中标供应商</w:t>
      </w:r>
      <w:r>
        <w:rPr>
          <w:rFonts w:hint="eastAsia" w:ascii="宋体" w:hAnsi="宋体" w:eastAsia="宋体" w:cs="宋体"/>
          <w:color w:val="auto"/>
          <w:kern w:val="0"/>
          <w:sz w:val="24"/>
          <w:szCs w:val="24"/>
          <w:highlight w:val="none"/>
        </w:rPr>
        <w:t>推荐资格。</w:t>
      </w:r>
    </w:p>
    <w:p>
      <w:pPr>
        <w:keepNext w:val="0"/>
        <w:keepLines w:val="0"/>
        <w:pageBreakBefore w:val="0"/>
        <w:widowControl w:val="0"/>
        <w:kinsoku/>
        <w:wordWrap w:val="0"/>
        <w:overflowPunct/>
        <w:topLinePunct w:val="0"/>
        <w:autoSpaceDE/>
        <w:autoSpaceDN/>
        <w:bidi w:val="0"/>
        <w:spacing w:line="440" w:lineRule="exact"/>
        <w:textAlignment w:val="auto"/>
        <w:outlineLvl w:val="1"/>
        <w:rPr>
          <w:rFonts w:hint="eastAsia" w:ascii="宋体" w:hAnsi="宋体" w:eastAsia="宋体" w:cs="宋体"/>
          <w:b/>
          <w:color w:val="auto"/>
          <w:sz w:val="24"/>
          <w:szCs w:val="24"/>
          <w:highlight w:val="none"/>
        </w:rPr>
      </w:pPr>
      <w:bookmarkStart w:id="16" w:name="_Toc16369"/>
      <w:bookmarkStart w:id="17" w:name="_Toc22499"/>
      <w:bookmarkStart w:id="18" w:name="_Toc29384712"/>
      <w:r>
        <w:rPr>
          <w:rFonts w:hint="eastAsia" w:ascii="宋体" w:hAnsi="宋体" w:eastAsia="宋体" w:cs="宋体"/>
          <w:b/>
          <w:color w:val="auto"/>
          <w:sz w:val="24"/>
          <w:szCs w:val="24"/>
          <w:highlight w:val="none"/>
        </w:rPr>
        <w:t>2.评审标准</w:t>
      </w:r>
      <w:bookmarkEnd w:id="16"/>
      <w:bookmarkEnd w:id="17"/>
      <w:bookmarkEnd w:id="18"/>
    </w:p>
    <w:p>
      <w:pPr>
        <w:keepNext w:val="0"/>
        <w:keepLines w:val="0"/>
        <w:pageBreakBefore w:val="0"/>
        <w:widowControl w:val="0"/>
        <w:kinsoku/>
        <w:wordWrap w:val="0"/>
        <w:overflowPunct/>
        <w:topLinePunct w:val="0"/>
        <w:autoSpaceDE/>
        <w:autoSpaceDN/>
        <w:bidi w:val="0"/>
        <w:spacing w:line="440" w:lineRule="exact"/>
        <w:textAlignment w:val="auto"/>
        <w:outlineLvl w:val="2"/>
        <w:rPr>
          <w:rFonts w:hint="eastAsia" w:ascii="宋体" w:hAnsi="宋体" w:eastAsia="宋体" w:cs="宋体"/>
          <w:b/>
          <w:bCs/>
          <w:color w:val="auto"/>
          <w:sz w:val="24"/>
          <w:szCs w:val="24"/>
          <w:highlight w:val="none"/>
        </w:rPr>
      </w:pPr>
      <w:bookmarkStart w:id="19" w:name="_Toc29384713"/>
      <w:bookmarkStart w:id="20" w:name="_Toc22191"/>
      <w:bookmarkStart w:id="21" w:name="_Toc26592"/>
      <w:r>
        <w:rPr>
          <w:rFonts w:hint="eastAsia" w:ascii="宋体" w:hAnsi="宋体" w:eastAsia="宋体" w:cs="宋体"/>
          <w:b/>
          <w:bCs/>
          <w:color w:val="auto"/>
          <w:sz w:val="24"/>
          <w:szCs w:val="24"/>
          <w:highlight w:val="none"/>
        </w:rPr>
        <w:t>2.1 初步评审标准</w:t>
      </w:r>
      <w:bookmarkEnd w:id="19"/>
      <w:bookmarkEnd w:id="20"/>
      <w:bookmarkEnd w:id="21"/>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 形式评审标准：见评标办法前附表。</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2.1.2 资格评审标准：见评标办法前附表。</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2.1.3 响应性评审标准：见评标办法前附表。</w:t>
      </w:r>
    </w:p>
    <w:p>
      <w:pPr>
        <w:keepNext w:val="0"/>
        <w:keepLines w:val="0"/>
        <w:pageBreakBefore w:val="0"/>
        <w:widowControl w:val="0"/>
        <w:kinsoku/>
        <w:wordWrap w:val="0"/>
        <w:overflowPunct/>
        <w:topLinePunct w:val="0"/>
        <w:autoSpaceDE/>
        <w:autoSpaceDN/>
        <w:bidi w:val="0"/>
        <w:spacing w:line="440" w:lineRule="exact"/>
        <w:textAlignment w:val="auto"/>
        <w:outlineLvl w:val="2"/>
        <w:rPr>
          <w:rFonts w:hint="eastAsia" w:ascii="宋体" w:hAnsi="宋体" w:eastAsia="宋体" w:cs="宋体"/>
          <w:b/>
          <w:bCs/>
          <w:color w:val="auto"/>
          <w:sz w:val="24"/>
          <w:szCs w:val="24"/>
          <w:highlight w:val="none"/>
        </w:rPr>
      </w:pPr>
      <w:bookmarkStart w:id="22" w:name="_Toc29384714"/>
      <w:bookmarkStart w:id="23" w:name="_Toc16309"/>
      <w:bookmarkStart w:id="24" w:name="_Toc31207"/>
      <w:r>
        <w:rPr>
          <w:rFonts w:hint="eastAsia" w:ascii="宋体" w:hAnsi="宋体" w:eastAsia="宋体" w:cs="宋体"/>
          <w:b/>
          <w:bCs/>
          <w:color w:val="auto"/>
          <w:sz w:val="24"/>
          <w:szCs w:val="24"/>
          <w:highlight w:val="none"/>
        </w:rPr>
        <w:t>2.2 分值构成与评分标准</w:t>
      </w:r>
      <w:bookmarkEnd w:id="22"/>
      <w:bookmarkEnd w:id="23"/>
      <w:bookmarkEnd w:id="24"/>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2.2.1 分值构成</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（1）商务部分：见评标办法前附表；</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（2）技术部分：见评标办法前附表；</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2.2.2 评标基准价计算</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评标基准价计算方法：见评标办法前附表。</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2.2.3 评分标准</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（1）商务部分评分标准：见评标办法前附表；</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（2）技术部分评分标准：见评标办法前附表；</w:t>
      </w:r>
    </w:p>
    <w:p>
      <w:pPr>
        <w:keepNext w:val="0"/>
        <w:keepLines w:val="0"/>
        <w:pageBreakBefore w:val="0"/>
        <w:widowControl w:val="0"/>
        <w:kinsoku/>
        <w:wordWrap w:val="0"/>
        <w:overflowPunct/>
        <w:topLinePunct w:val="0"/>
        <w:autoSpaceDE/>
        <w:autoSpaceDN/>
        <w:bidi w:val="0"/>
        <w:spacing w:line="440" w:lineRule="exact"/>
        <w:textAlignment w:val="auto"/>
        <w:outlineLvl w:val="1"/>
        <w:rPr>
          <w:rFonts w:hint="eastAsia" w:ascii="宋体" w:hAnsi="宋体" w:eastAsia="宋体" w:cs="宋体"/>
          <w:b/>
          <w:color w:val="auto"/>
          <w:sz w:val="24"/>
          <w:szCs w:val="24"/>
          <w:highlight w:val="none"/>
        </w:rPr>
      </w:pPr>
      <w:bookmarkStart w:id="25" w:name="_Toc29384715"/>
      <w:bookmarkStart w:id="26" w:name="_Toc25483"/>
      <w:bookmarkStart w:id="27" w:name="_Toc17939"/>
      <w:r>
        <w:rPr>
          <w:rFonts w:hint="eastAsia" w:ascii="宋体" w:hAnsi="宋体" w:eastAsia="宋体" w:cs="宋体"/>
          <w:b/>
          <w:color w:val="auto"/>
          <w:sz w:val="24"/>
          <w:szCs w:val="24"/>
          <w:highlight w:val="none"/>
        </w:rPr>
        <w:t>3.评标程序</w:t>
      </w:r>
      <w:bookmarkEnd w:id="25"/>
      <w:bookmarkEnd w:id="26"/>
      <w:bookmarkEnd w:id="27"/>
    </w:p>
    <w:p>
      <w:pPr>
        <w:keepNext w:val="0"/>
        <w:keepLines w:val="0"/>
        <w:pageBreakBefore w:val="0"/>
        <w:widowControl w:val="0"/>
        <w:kinsoku/>
        <w:wordWrap w:val="0"/>
        <w:overflowPunct/>
        <w:topLinePunct w:val="0"/>
        <w:autoSpaceDE/>
        <w:autoSpaceDN/>
        <w:bidi w:val="0"/>
        <w:spacing w:line="440" w:lineRule="exact"/>
        <w:textAlignment w:val="auto"/>
        <w:outlineLvl w:val="2"/>
        <w:rPr>
          <w:rFonts w:hint="eastAsia" w:ascii="宋体" w:hAnsi="宋体" w:eastAsia="宋体" w:cs="宋体"/>
          <w:b/>
          <w:bCs/>
          <w:color w:val="auto"/>
          <w:sz w:val="24"/>
          <w:szCs w:val="24"/>
          <w:highlight w:val="none"/>
        </w:rPr>
      </w:pPr>
      <w:bookmarkStart w:id="28" w:name="_Toc22121"/>
      <w:bookmarkStart w:id="29" w:name="_Toc29384716"/>
      <w:bookmarkStart w:id="30" w:name="_Toc21277"/>
      <w:r>
        <w:rPr>
          <w:rFonts w:hint="eastAsia" w:ascii="宋体" w:hAnsi="宋体" w:eastAsia="宋体" w:cs="宋体"/>
          <w:b/>
          <w:bCs/>
          <w:color w:val="auto"/>
          <w:sz w:val="24"/>
          <w:szCs w:val="24"/>
          <w:highlight w:val="none"/>
        </w:rPr>
        <w:t>3.1 初步评审</w:t>
      </w:r>
      <w:bookmarkEnd w:id="28"/>
      <w:bookmarkEnd w:id="29"/>
      <w:bookmarkEnd w:id="30"/>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3.1.1 评标委员会可以要求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提交第二章“</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须知”规定的有关证明和证件的原件，以便核验。评标委员会依据本章第 2.1 款规定的标准对投标文件进行初步评审。有一项不符合评审标准的，评标委员会应当否决其投标。</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有以下情形之一的，评标委员会应当否决其投标：</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(1)第二章“</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须知”前附表及正文规定的任何一种投标无效、废标、否决投标的情况；</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(2)串通投标或弄虚作假或有其他违法行为的：</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(3)不按评标委员会要求澄清、说明或补正的。</w:t>
      </w:r>
    </w:p>
    <w:p>
      <w:pPr>
        <w:keepNext w:val="0"/>
        <w:keepLines w:val="0"/>
        <w:pageBreakBefore w:val="0"/>
        <w:widowControl w:val="0"/>
        <w:kinsoku/>
        <w:wordWrap w:val="0"/>
        <w:overflowPunct/>
        <w:topLinePunct w:val="0"/>
        <w:autoSpaceDE/>
        <w:autoSpaceDN/>
        <w:bidi w:val="0"/>
        <w:spacing w:line="440" w:lineRule="exact"/>
        <w:textAlignment w:val="auto"/>
        <w:outlineLvl w:val="2"/>
        <w:rPr>
          <w:rFonts w:hint="eastAsia" w:ascii="宋体" w:hAnsi="宋体" w:eastAsia="宋体" w:cs="宋体"/>
          <w:color w:val="auto"/>
          <w:sz w:val="24"/>
          <w:szCs w:val="24"/>
          <w:highlight w:val="none"/>
        </w:rPr>
      </w:pPr>
      <w:bookmarkStart w:id="31" w:name="_Toc24126"/>
      <w:bookmarkStart w:id="32" w:name="_Toc29384717"/>
      <w:bookmarkStart w:id="33" w:name="_Toc415"/>
      <w:r>
        <w:rPr>
          <w:rFonts w:hint="eastAsia" w:ascii="宋体" w:hAnsi="宋体" w:eastAsia="宋体" w:cs="宋体"/>
          <w:b/>
          <w:bCs/>
          <w:color w:val="auto"/>
          <w:sz w:val="24"/>
          <w:szCs w:val="24"/>
          <w:highlight w:val="none"/>
        </w:rPr>
        <w:t>3.2 详细评审</w:t>
      </w:r>
      <w:bookmarkEnd w:id="31"/>
      <w:bookmarkEnd w:id="32"/>
      <w:bookmarkEnd w:id="33"/>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3.2.1 评标委员会按本章第 2.2 款规定的量化因素和分值进行打分，并计算出综合评估得分。</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（1）按本章第 2.2.3（1）目规定的评审因素和分值对商务部分计算出得分 A；</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（2）按本章第 2.2.4（2）目规定的评审因素和分值对技术部分计算出得分 B；</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3.2.2 评分分值计算保留小数点后两位，小数点后第三位“四舍五入”。</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得分=A+B。</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评标委员会发现</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的报价明显低于其他通过符合性审查</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的报价，或者在设有标底时明显低于标底，使得其投标报价可能低于其个别成本的，可能影响产品质量或者不能诚信履约的，应当要求其在评标现场合理的时间内提供书面说明，必要时提交相关证明材料；</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不能证明其报价合理性的，评标委员会应当将其作为无效投标处理。以低于成本报价竞标，其投标将被否决。</w:t>
      </w:r>
    </w:p>
    <w:p>
      <w:pPr>
        <w:keepNext w:val="0"/>
        <w:keepLines w:val="0"/>
        <w:pageBreakBefore w:val="0"/>
        <w:widowControl w:val="0"/>
        <w:kinsoku/>
        <w:wordWrap w:val="0"/>
        <w:overflowPunct/>
        <w:topLinePunct w:val="0"/>
        <w:autoSpaceDE/>
        <w:autoSpaceDN/>
        <w:bidi w:val="0"/>
        <w:spacing w:line="440" w:lineRule="exact"/>
        <w:textAlignment w:val="auto"/>
        <w:outlineLvl w:val="2"/>
        <w:rPr>
          <w:rFonts w:hint="eastAsia" w:ascii="宋体" w:hAnsi="宋体" w:eastAsia="宋体" w:cs="宋体"/>
          <w:b/>
          <w:bCs/>
          <w:color w:val="auto"/>
          <w:sz w:val="24"/>
          <w:szCs w:val="24"/>
          <w:highlight w:val="none"/>
        </w:rPr>
      </w:pPr>
      <w:bookmarkStart w:id="34" w:name="_Toc29384718"/>
      <w:bookmarkStart w:id="35" w:name="_Toc31488"/>
      <w:bookmarkStart w:id="36" w:name="_Toc11784"/>
      <w:r>
        <w:rPr>
          <w:rFonts w:hint="eastAsia" w:ascii="宋体" w:hAnsi="宋体" w:eastAsia="宋体" w:cs="宋体"/>
          <w:b/>
          <w:bCs/>
          <w:color w:val="auto"/>
          <w:sz w:val="24"/>
          <w:szCs w:val="24"/>
          <w:highlight w:val="none"/>
        </w:rPr>
        <w:t>3.3 投标文件的澄清</w:t>
      </w:r>
      <w:bookmarkEnd w:id="34"/>
      <w:bookmarkEnd w:id="35"/>
      <w:bookmarkEnd w:id="36"/>
      <w:r>
        <w:rPr>
          <w:rFonts w:hint="eastAsia" w:ascii="宋体" w:hAnsi="宋体" w:eastAsia="宋体" w:cs="宋体"/>
          <w:b/>
          <w:bCs/>
          <w:color w:val="auto"/>
          <w:sz w:val="24"/>
          <w:szCs w:val="24"/>
          <w:highlight w:val="none"/>
        </w:rPr>
        <w:t>和补正</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3.3.1 在评标过程中，评标委员会可以书面形式要求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对所提交投标文件中不明确的内容进行书面澄清或说明，或者对细微偏差进行补正。评标委员会不接受</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主动提出的澄清、说明或补正。</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 澄清、说明和补正不得改变投标文件的实质性内容(算术性错误修正的除外)。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的书面澄清、说明和补正属于投标文件的组成部分。</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3.3.3 评标委员会对</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提交的澄清、说明或补正有疑问的，可以要求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进一步澄清、说明或补正，直至满足评标委员会的要求。</w:t>
      </w:r>
    </w:p>
    <w:p>
      <w:pPr>
        <w:keepNext w:val="0"/>
        <w:keepLines w:val="0"/>
        <w:pageBreakBefore w:val="0"/>
        <w:widowControl w:val="0"/>
        <w:kinsoku/>
        <w:wordWrap w:val="0"/>
        <w:overflowPunct/>
        <w:topLinePunct w:val="0"/>
        <w:autoSpaceDE/>
        <w:autoSpaceDN/>
        <w:bidi w:val="0"/>
        <w:spacing w:line="440" w:lineRule="exact"/>
        <w:textAlignment w:val="auto"/>
        <w:outlineLvl w:val="2"/>
        <w:rPr>
          <w:rFonts w:hint="eastAsia" w:ascii="宋体" w:hAnsi="宋体" w:eastAsia="宋体" w:cs="宋体"/>
          <w:b/>
          <w:bCs/>
          <w:color w:val="auto"/>
          <w:sz w:val="24"/>
          <w:szCs w:val="24"/>
          <w:highlight w:val="none"/>
        </w:rPr>
      </w:pPr>
      <w:bookmarkStart w:id="37" w:name="_Toc4950"/>
      <w:bookmarkStart w:id="38" w:name="_Toc29384719"/>
      <w:bookmarkStart w:id="39" w:name="_Toc19075"/>
      <w:r>
        <w:rPr>
          <w:rFonts w:hint="eastAsia" w:ascii="宋体" w:hAnsi="宋体" w:eastAsia="宋体" w:cs="宋体"/>
          <w:b/>
          <w:bCs/>
          <w:color w:val="auto"/>
          <w:sz w:val="24"/>
          <w:szCs w:val="24"/>
          <w:highlight w:val="none"/>
        </w:rPr>
        <w:t>3.4 评标结果</w:t>
      </w:r>
      <w:bookmarkEnd w:id="37"/>
      <w:bookmarkEnd w:id="38"/>
      <w:bookmarkEnd w:id="39"/>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除第二章“</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须知”前附表授权直接确定</w:t>
      </w:r>
      <w:r>
        <w:rPr>
          <w:rFonts w:hint="eastAsia" w:ascii="宋体" w:hAnsi="宋体" w:eastAsia="宋体" w:cs="宋体"/>
          <w:color w:val="auto"/>
          <w:kern w:val="0"/>
          <w:sz w:val="24"/>
          <w:szCs w:val="24"/>
          <w:highlight w:val="none"/>
          <w:lang w:eastAsia="zh-CN"/>
        </w:rPr>
        <w:t>中标供应商</w:t>
      </w:r>
      <w:r>
        <w:rPr>
          <w:rFonts w:hint="eastAsia" w:ascii="宋体" w:hAnsi="宋体" w:eastAsia="宋体" w:cs="宋体"/>
          <w:color w:val="auto"/>
          <w:kern w:val="0"/>
          <w:sz w:val="24"/>
          <w:szCs w:val="24"/>
          <w:highlight w:val="none"/>
        </w:rPr>
        <w:t>外，评标委员会按照得分由高到低的顺序推荐中标候选人，排名第一的中标候选人放弃中标、因不可抗力不能履行合同、不按照招标文件要求提交履约保证金，或者被查实存在影响中标结果的违法行为等情形，不符合中标条件的，采购人可以选择重新招标，或按照评标委员会提出的中标候选人名单排序依次确定其他中标候选人为</w:t>
      </w:r>
      <w:r>
        <w:rPr>
          <w:rFonts w:hint="eastAsia" w:ascii="宋体" w:hAnsi="宋体" w:eastAsia="宋体" w:cs="宋体"/>
          <w:color w:val="auto"/>
          <w:kern w:val="0"/>
          <w:sz w:val="24"/>
          <w:szCs w:val="24"/>
          <w:highlight w:val="none"/>
          <w:lang w:eastAsia="zh-CN"/>
        </w:rPr>
        <w:t>中标供应商</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val="0"/>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3.4.2 评标委员会完成评标后，应当向招标人提交书面评标报告和中标候选人名单。</w:t>
      </w:r>
    </w:p>
    <w:p>
      <w:pPr>
        <w:shd w:val="clear"/>
        <w:autoSpaceDE w:val="0"/>
        <w:autoSpaceDN w:val="0"/>
        <w:adjustRightInd w:val="0"/>
        <w:spacing w:line="400" w:lineRule="exact"/>
        <w:ind w:firstLine="420" w:firstLineChars="200"/>
        <w:rPr>
          <w:rFonts w:hint="eastAsia" w:ascii="宋体" w:hAnsi="宋体" w:cs="宋体"/>
          <w:color w:val="auto"/>
          <w:sz w:val="21"/>
          <w:szCs w:val="18"/>
          <w:highlight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288"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br w:type="page"/>
      </w:r>
    </w:p>
    <w:p>
      <w:pPr>
        <w:rPr>
          <w:rFonts w:hint="eastAsia" w:ascii="宋体" w:hAnsi="宋体" w:eastAsia="宋体" w:cs="宋体"/>
          <w:color w:val="auto"/>
          <w:highlight w:val="yellow"/>
        </w:rPr>
      </w:pPr>
    </w:p>
    <w:p>
      <w:pPr>
        <w:pStyle w:val="3"/>
        <w:keepNext/>
        <w:keepLines/>
        <w:pageBreakBefore w:val="0"/>
        <w:widowControl/>
        <w:numPr>
          <w:ilvl w:val="0"/>
          <w:numId w:val="4"/>
        </w:numPr>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 xml:space="preserve"> </w:t>
      </w:r>
      <w:bookmarkStart w:id="40" w:name="_Toc13415"/>
      <w:r>
        <w:rPr>
          <w:rFonts w:hint="eastAsia" w:ascii="宋体" w:hAnsi="宋体" w:eastAsia="宋体" w:cs="宋体"/>
          <w:color w:val="auto"/>
          <w:sz w:val="36"/>
          <w:szCs w:val="36"/>
          <w:highlight w:val="none"/>
        </w:rPr>
        <w:t>采购需求</w:t>
      </w:r>
      <w:bookmarkEnd w:id="40"/>
      <w:bookmarkStart w:id="41" w:name="_第五部分__"/>
      <w:bookmarkEnd w:id="41"/>
    </w:p>
    <w:p>
      <w:pPr>
        <w:spacing w:line="360" w:lineRule="auto"/>
        <w:ind w:left="418" w:hanging="417" w:hangingChars="174"/>
        <w:rPr>
          <w:rFonts w:hint="eastAsia" w:ascii="宋体" w:hAnsi="宋体" w:eastAsia="宋体" w:cs="宋体"/>
          <w:sz w:val="24"/>
          <w:lang w:val="en-US" w:eastAsia="zh-CN"/>
        </w:rPr>
      </w:pPr>
      <w:r>
        <w:rPr>
          <w:rFonts w:hint="eastAsia" w:ascii="宋体" w:hAnsi="宋体" w:cs="宋体"/>
          <w:sz w:val="24"/>
          <w:lang w:val="zh-CN"/>
        </w:rPr>
        <w:t>1、有机非氯环保除冰液（融雪剂）：浅色、均匀的</w:t>
      </w:r>
      <w:r>
        <w:rPr>
          <w:rFonts w:hint="eastAsia" w:ascii="宋体" w:hAnsi="宋体" w:cs="宋体"/>
          <w:sz w:val="24"/>
          <w:lang w:val="en-US" w:eastAsia="zh-CN"/>
        </w:rPr>
        <w:t>固体颗粒</w:t>
      </w:r>
    </w:p>
    <w:p>
      <w:pPr>
        <w:spacing w:line="360" w:lineRule="auto"/>
        <w:ind w:left="418" w:hanging="417" w:hangingChars="174"/>
        <w:rPr>
          <w:rFonts w:ascii="宋体" w:hAnsi="宋体" w:cs="宋体"/>
          <w:sz w:val="24"/>
          <w:lang w:val="zh-CN"/>
        </w:rPr>
      </w:pPr>
      <w:r>
        <w:rPr>
          <w:rFonts w:hint="eastAsia" w:ascii="宋体" w:hAnsi="宋体" w:cs="宋体"/>
          <w:sz w:val="24"/>
          <w:lang w:val="zh-CN"/>
        </w:rPr>
        <w:t>★2、氯化物（cl-）w/%≤1.0</w:t>
      </w:r>
    </w:p>
    <w:p>
      <w:pPr>
        <w:spacing w:line="360" w:lineRule="auto"/>
        <w:ind w:left="418" w:hanging="417" w:hangingChars="174"/>
        <w:rPr>
          <w:rFonts w:ascii="宋体" w:hAnsi="宋体" w:cs="宋体"/>
          <w:sz w:val="24"/>
          <w:lang w:val="zh-CN"/>
        </w:rPr>
      </w:pPr>
      <w:r>
        <w:rPr>
          <w:rFonts w:hint="eastAsia" w:ascii="宋体" w:hAnsi="宋体" w:cs="宋体"/>
          <w:sz w:val="24"/>
          <w:lang w:val="zh-CN"/>
        </w:rPr>
        <w:t>★3、冰点＜-</w:t>
      </w:r>
      <w:r>
        <w:rPr>
          <w:rFonts w:hint="eastAsia" w:ascii="宋体" w:hAnsi="宋体" w:cs="宋体"/>
          <w:sz w:val="24"/>
        </w:rPr>
        <w:t>2</w:t>
      </w:r>
      <w:r>
        <w:rPr>
          <w:rFonts w:ascii="宋体" w:hAnsi="宋体" w:cs="宋体"/>
          <w:sz w:val="24"/>
          <w:lang w:val="zh-CN"/>
        </w:rPr>
        <w:t>5</w:t>
      </w:r>
      <w:r>
        <w:rPr>
          <w:rFonts w:hint="eastAsia" w:ascii="宋体" w:hAnsi="宋体" w:cs="宋体"/>
          <w:sz w:val="24"/>
          <w:lang w:val="zh-CN"/>
        </w:rPr>
        <w:t xml:space="preserve">℃ </w:t>
      </w:r>
    </w:p>
    <w:p>
      <w:pPr>
        <w:spacing w:line="360" w:lineRule="auto"/>
        <w:ind w:left="418" w:hanging="417" w:hangingChars="174"/>
        <w:rPr>
          <w:rFonts w:ascii="宋体" w:hAnsi="宋体" w:cs="宋体"/>
          <w:sz w:val="24"/>
          <w:lang w:val="zh-CN"/>
        </w:rPr>
      </w:pPr>
      <w:r>
        <w:rPr>
          <w:rFonts w:hint="eastAsia" w:ascii="宋体" w:hAnsi="宋体" w:cs="宋体"/>
          <w:sz w:val="24"/>
          <w:lang w:val="zh-CN"/>
        </w:rPr>
        <w:t>★4、相对融雪化冰能力%≥90</w:t>
      </w:r>
    </w:p>
    <w:p>
      <w:pPr>
        <w:spacing w:line="360" w:lineRule="auto"/>
        <w:ind w:left="418" w:hanging="417" w:hangingChars="174"/>
        <w:rPr>
          <w:rFonts w:hint="eastAsia" w:ascii="宋体" w:hAnsi="宋体" w:eastAsia="宋体" w:cs="宋体"/>
          <w:sz w:val="24"/>
          <w:lang w:val="en-US" w:eastAsia="zh-CN"/>
        </w:rPr>
      </w:pPr>
      <w:r>
        <w:rPr>
          <w:rFonts w:hint="eastAsia" w:ascii="宋体" w:hAnsi="宋体" w:cs="宋体"/>
          <w:sz w:val="24"/>
          <w:lang w:val="zh-CN"/>
        </w:rPr>
        <w:t>★5、路面摩擦衰减率（%）：半湿基≤</w:t>
      </w:r>
      <w:r>
        <w:rPr>
          <w:rFonts w:hint="eastAsia" w:ascii="宋体" w:hAnsi="宋体" w:cs="宋体"/>
          <w:sz w:val="24"/>
          <w:lang w:val="en-US" w:eastAsia="zh-CN"/>
        </w:rPr>
        <w:t>3</w:t>
      </w:r>
      <w:r>
        <w:rPr>
          <w:rFonts w:hint="eastAsia" w:ascii="宋体" w:hAnsi="宋体" w:cs="宋体"/>
          <w:sz w:val="24"/>
          <w:lang w:val="zh-CN"/>
        </w:rPr>
        <w:t xml:space="preserve">   湿基≤</w:t>
      </w:r>
      <w:r>
        <w:rPr>
          <w:rFonts w:hint="eastAsia" w:ascii="宋体" w:hAnsi="宋体" w:cs="宋体"/>
          <w:sz w:val="24"/>
          <w:lang w:val="en-US" w:eastAsia="zh-CN"/>
        </w:rPr>
        <w:t>8</w:t>
      </w:r>
    </w:p>
    <w:p>
      <w:pPr>
        <w:spacing w:line="360" w:lineRule="auto"/>
        <w:ind w:left="418" w:hanging="417" w:hangingChars="174"/>
        <w:rPr>
          <w:rFonts w:ascii="宋体" w:hAnsi="宋体" w:cs="宋体"/>
          <w:sz w:val="24"/>
          <w:lang w:val="zh-CN"/>
        </w:rPr>
      </w:pPr>
      <w:r>
        <w:rPr>
          <w:rFonts w:hint="eastAsia" w:ascii="宋体" w:hAnsi="宋体" w:cs="宋体"/>
          <w:sz w:val="24"/>
          <w:lang w:val="zh-CN"/>
        </w:rPr>
        <w:t>★6、碳钢腐蚀率（mm/a）≤0.11</w:t>
      </w:r>
    </w:p>
    <w:p>
      <w:pPr>
        <w:spacing w:line="360" w:lineRule="auto"/>
        <w:ind w:left="418" w:hanging="417" w:hangingChars="174"/>
        <w:rPr>
          <w:rFonts w:hint="default" w:ascii="宋体" w:hAnsi="宋体" w:cs="宋体"/>
          <w:sz w:val="24"/>
          <w:lang w:val="en-US"/>
        </w:rPr>
      </w:pPr>
      <w:r>
        <w:rPr>
          <w:rFonts w:hint="eastAsia" w:ascii="宋体" w:hAnsi="宋体" w:cs="宋体"/>
          <w:sz w:val="24"/>
          <w:lang w:val="zh-CN"/>
        </w:rPr>
        <w:t>7、</w:t>
      </w:r>
      <w:r>
        <w:rPr>
          <w:rFonts w:hint="eastAsia" w:ascii="宋体" w:hAnsi="宋体" w:cs="宋体"/>
          <w:sz w:val="24"/>
          <w:lang w:val="en-US" w:eastAsia="zh-CN"/>
        </w:rPr>
        <w:t>皮肤刺激性：无刺激性</w:t>
      </w:r>
    </w:p>
    <w:p>
      <w:pPr>
        <w:spacing w:line="360" w:lineRule="auto"/>
        <w:ind w:left="418" w:hanging="417" w:hangingChars="174"/>
        <w:rPr>
          <w:rFonts w:ascii="宋体" w:hAnsi="宋体" w:cs="宋体"/>
          <w:sz w:val="24"/>
          <w:lang w:val="zh-CN"/>
        </w:rPr>
      </w:pPr>
      <w:r>
        <w:rPr>
          <w:rFonts w:hint="eastAsia" w:ascii="宋体" w:hAnsi="宋体" w:cs="宋体"/>
          <w:sz w:val="24"/>
          <w:lang w:val="zh-CN"/>
        </w:rPr>
        <w:t>8、PH值：6-10</w:t>
      </w:r>
    </w:p>
    <w:p>
      <w:pPr>
        <w:spacing w:line="360" w:lineRule="auto"/>
        <w:ind w:left="418" w:hanging="417" w:hangingChars="174"/>
        <w:rPr>
          <w:rFonts w:ascii="宋体" w:hAnsi="宋体" w:cs="宋体"/>
          <w:sz w:val="24"/>
          <w:lang w:val="zh-CN"/>
        </w:rPr>
      </w:pPr>
      <w:r>
        <w:rPr>
          <w:rFonts w:hint="eastAsia" w:ascii="宋体" w:hAnsi="宋体" w:cs="宋体"/>
          <w:sz w:val="24"/>
          <w:lang w:val="zh-CN"/>
        </w:rPr>
        <w:t>★9、植物种子相对受害率%≤</w:t>
      </w:r>
      <w:r>
        <w:rPr>
          <w:rFonts w:ascii="宋体" w:hAnsi="宋体" w:cs="宋体"/>
          <w:sz w:val="24"/>
          <w:lang w:val="zh-CN"/>
        </w:rPr>
        <w:t>50</w:t>
      </w:r>
    </w:p>
    <w:p>
      <w:pPr>
        <w:spacing w:line="360" w:lineRule="auto"/>
        <w:ind w:left="418" w:hanging="417" w:hangingChars="174"/>
        <w:rPr>
          <w:rFonts w:ascii="宋体" w:hAnsi="宋体" w:cs="宋体"/>
          <w:sz w:val="24"/>
          <w:lang w:val="zh-CN"/>
        </w:rPr>
      </w:pPr>
      <w:r>
        <w:rPr>
          <w:rFonts w:hint="eastAsia" w:ascii="宋体" w:hAnsi="宋体" w:cs="宋体"/>
          <w:sz w:val="24"/>
          <w:lang w:val="zh-CN"/>
        </w:rPr>
        <w:t>10、汞（mg/kg）≤1</w:t>
      </w:r>
    </w:p>
    <w:p>
      <w:pPr>
        <w:spacing w:line="360" w:lineRule="auto"/>
        <w:ind w:left="418" w:hanging="417" w:hangingChars="174"/>
        <w:rPr>
          <w:rFonts w:ascii="宋体" w:hAnsi="宋体" w:cs="宋体"/>
          <w:sz w:val="24"/>
          <w:lang w:val="zh-CN"/>
        </w:rPr>
      </w:pPr>
      <w:r>
        <w:rPr>
          <w:rFonts w:hint="eastAsia" w:ascii="宋体" w:hAnsi="宋体" w:cs="宋体"/>
          <w:sz w:val="24"/>
          <w:lang w:val="zh-CN"/>
        </w:rPr>
        <w:t>11、镉（mg/kg）≤5</w:t>
      </w:r>
    </w:p>
    <w:p>
      <w:pPr>
        <w:spacing w:line="360" w:lineRule="auto"/>
        <w:ind w:left="418" w:hanging="417" w:hangingChars="174"/>
        <w:rPr>
          <w:rFonts w:ascii="宋体" w:hAnsi="宋体" w:cs="宋体"/>
          <w:sz w:val="24"/>
          <w:lang w:val="zh-CN"/>
        </w:rPr>
      </w:pPr>
      <w:r>
        <w:rPr>
          <w:rFonts w:hint="eastAsia" w:ascii="宋体" w:hAnsi="宋体" w:cs="宋体"/>
          <w:sz w:val="24"/>
          <w:lang w:val="zh-CN"/>
        </w:rPr>
        <w:t>12、铬（mg/kg）≤15</w:t>
      </w:r>
    </w:p>
    <w:p>
      <w:pPr>
        <w:spacing w:line="360" w:lineRule="auto"/>
        <w:ind w:left="418" w:hanging="417" w:hangingChars="174"/>
        <w:rPr>
          <w:rFonts w:ascii="宋体" w:hAnsi="宋体" w:cs="宋体"/>
          <w:sz w:val="24"/>
          <w:lang w:val="zh-CN"/>
        </w:rPr>
      </w:pPr>
      <w:r>
        <w:rPr>
          <w:rFonts w:hint="eastAsia" w:ascii="宋体" w:hAnsi="宋体" w:cs="宋体"/>
          <w:sz w:val="24"/>
          <w:lang w:val="zh-CN"/>
        </w:rPr>
        <w:t>13、铅（mg/kg）≤25</w:t>
      </w:r>
    </w:p>
    <w:p>
      <w:pPr>
        <w:spacing w:line="360" w:lineRule="auto"/>
        <w:ind w:left="418" w:hanging="417" w:hangingChars="174"/>
        <w:rPr>
          <w:rFonts w:ascii="宋体" w:hAnsi="宋体" w:cs="宋体"/>
          <w:sz w:val="24"/>
          <w:lang w:val="zh-CN"/>
        </w:rPr>
      </w:pPr>
      <w:r>
        <w:rPr>
          <w:rFonts w:hint="eastAsia" w:ascii="宋体" w:hAnsi="宋体" w:cs="宋体"/>
          <w:sz w:val="24"/>
          <w:lang w:val="zh-CN"/>
        </w:rPr>
        <w:t>14、砷（mg/kg）≤5</w:t>
      </w:r>
    </w:p>
    <w:p>
      <w:pPr>
        <w:spacing w:line="360" w:lineRule="auto"/>
        <w:ind w:left="418" w:hanging="417" w:hangingChars="174"/>
      </w:pPr>
      <w:r>
        <w:rPr>
          <w:rFonts w:hint="eastAsia" w:ascii="宋体" w:hAnsi="宋体" w:cs="宋体"/>
          <w:sz w:val="24"/>
          <w:lang w:val="zh-CN"/>
        </w:rPr>
        <w:t>1</w:t>
      </w:r>
      <w:r>
        <w:rPr>
          <w:rFonts w:hint="eastAsia" w:ascii="宋体" w:hAnsi="宋体" w:cs="宋体"/>
          <w:sz w:val="24"/>
          <w:lang w:val="en-US" w:eastAsia="zh-CN"/>
        </w:rPr>
        <w:t>5</w:t>
      </w:r>
      <w:r>
        <w:rPr>
          <w:rFonts w:hint="eastAsia" w:ascii="宋体" w:hAnsi="宋体" w:cs="宋体"/>
          <w:sz w:val="24"/>
          <w:lang w:val="zh-CN"/>
        </w:rPr>
        <w:t>、混凝土腐蚀率≤0.2kg/m</w:t>
      </w:r>
      <w:r>
        <w:rPr>
          <w:rFonts w:hint="eastAsia" w:ascii="宋体" w:hAnsi="宋体" w:cs="宋体"/>
          <w:sz w:val="24"/>
          <w:vertAlign w:val="superscript"/>
          <w:lang w:val="zh-CN"/>
        </w:rPr>
        <w:t>2</w:t>
      </w:r>
      <w:r>
        <w:rPr>
          <w:rFonts w:hint="eastAsia" w:ascii="宋体" w:hAnsi="宋体" w:cs="宋体"/>
          <w:sz w:val="24"/>
          <w:lang w:val="zh-CN"/>
        </w:rPr>
        <w:t xml:space="preserve">；  </w:t>
      </w:r>
    </w:p>
    <w:p>
      <w:pPr>
        <w:spacing w:line="360" w:lineRule="auto"/>
        <w:ind w:left="418" w:hanging="417" w:hangingChars="174"/>
        <w:rPr>
          <w:rFonts w:hint="eastAsia" w:ascii="宋体" w:hAnsi="宋体" w:cs="宋体"/>
          <w:sz w:val="24"/>
          <w:lang w:val="zh-CN" w:eastAsia="zh-CN"/>
        </w:rPr>
      </w:pPr>
      <w:r>
        <w:rPr>
          <w:rFonts w:hint="eastAsia" w:ascii="宋体" w:hAnsi="宋体" w:cs="宋体"/>
          <w:sz w:val="24"/>
          <w:lang w:val="en-US" w:eastAsia="zh-CN"/>
        </w:rPr>
        <w:t>16、</w:t>
      </w:r>
      <w:r>
        <w:rPr>
          <w:rFonts w:hint="eastAsia" w:ascii="宋体" w:hAnsi="宋体" w:cs="宋体"/>
          <w:sz w:val="24"/>
          <w:lang w:val="zh-CN" w:eastAsia="zh-CN"/>
        </w:rPr>
        <w:t>质量标准：符合国家及相关行业合格标准；</w:t>
      </w:r>
    </w:p>
    <w:p>
      <w:pPr>
        <w:spacing w:line="360" w:lineRule="auto"/>
        <w:ind w:left="418" w:hanging="417" w:hangingChars="174"/>
        <w:rPr>
          <w:rFonts w:hint="eastAsia" w:ascii="宋体" w:hAnsi="宋体" w:cs="宋体"/>
          <w:sz w:val="24"/>
          <w:lang w:val="zh-CN"/>
        </w:rPr>
      </w:pPr>
      <w:r>
        <w:rPr>
          <w:rFonts w:hint="eastAsia" w:ascii="宋体" w:hAnsi="宋体" w:cs="宋体"/>
          <w:sz w:val="24"/>
          <w:lang w:val="en-US" w:eastAsia="zh-CN"/>
        </w:rPr>
        <w:t>17、</w:t>
      </w:r>
      <w:r>
        <w:rPr>
          <w:rFonts w:hint="eastAsia" w:ascii="宋体" w:hAnsi="宋体" w:cs="宋体"/>
          <w:sz w:val="24"/>
          <w:lang w:val="zh-CN" w:eastAsia="zh-CN"/>
        </w:rPr>
        <w:t>供货期：合同签订后至202</w:t>
      </w:r>
      <w:r>
        <w:rPr>
          <w:rFonts w:hint="eastAsia" w:ascii="宋体" w:hAnsi="宋体" w:cs="宋体"/>
          <w:sz w:val="24"/>
          <w:lang w:val="en-US" w:eastAsia="zh-CN"/>
        </w:rPr>
        <w:t>4</w:t>
      </w:r>
      <w:r>
        <w:rPr>
          <w:rFonts w:hint="eastAsia" w:ascii="宋体" w:hAnsi="宋体" w:cs="宋体"/>
          <w:sz w:val="24"/>
          <w:lang w:val="zh-CN" w:eastAsia="zh-CN"/>
        </w:rPr>
        <w:t>年12月31日</w:t>
      </w:r>
      <w:r>
        <w:rPr>
          <w:rFonts w:hint="eastAsia" w:ascii="宋体" w:hAnsi="宋体" w:cs="宋体"/>
          <w:sz w:val="24"/>
          <w:lang w:val="en-US" w:eastAsia="zh-CN"/>
        </w:rPr>
        <w:t>；</w:t>
      </w:r>
    </w:p>
    <w:p>
      <w:pPr>
        <w:spacing w:line="360" w:lineRule="auto"/>
        <w:ind w:left="418" w:hanging="417" w:hangingChars="174"/>
        <w:rPr>
          <w:rFonts w:hint="eastAsia" w:ascii="宋体" w:hAnsi="宋体" w:cs="宋体"/>
          <w:sz w:val="24"/>
          <w:lang w:val="zh-CN"/>
        </w:rPr>
      </w:pPr>
      <w:r>
        <w:rPr>
          <w:rFonts w:hint="eastAsia" w:ascii="宋体" w:hAnsi="宋体" w:cs="宋体"/>
          <w:sz w:val="24"/>
          <w:lang w:val="en-US" w:eastAsia="zh-CN"/>
        </w:rPr>
        <w:t>18、</w:t>
      </w:r>
      <w:r>
        <w:rPr>
          <w:rFonts w:hint="eastAsia" w:ascii="宋体" w:hAnsi="宋体" w:cs="宋体"/>
          <w:sz w:val="24"/>
          <w:lang w:val="zh-CN"/>
        </w:rPr>
        <w:t>供货地点：</w:t>
      </w:r>
      <w:r>
        <w:rPr>
          <w:rFonts w:hint="eastAsia" w:ascii="宋体" w:hAnsi="宋体" w:cs="宋体"/>
          <w:sz w:val="24"/>
          <w:lang w:val="en-US" w:eastAsia="zh-CN"/>
        </w:rPr>
        <w:t>招标人指定地点</w:t>
      </w:r>
      <w:r>
        <w:rPr>
          <w:rFonts w:hint="eastAsia" w:ascii="宋体" w:hAnsi="宋体" w:cs="宋体"/>
          <w:sz w:val="24"/>
          <w:lang w:val="zh-CN"/>
        </w:rPr>
        <w:t>；</w:t>
      </w:r>
    </w:p>
    <w:p>
      <w:pPr>
        <w:pStyle w:val="63"/>
        <w:rPr>
          <w:rFonts w:hint="eastAsia" w:ascii="宋体" w:hAnsi="宋体" w:eastAsia="宋体" w:cs="宋体"/>
          <w:color w:val="auto"/>
          <w:highlight w:val="none"/>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bookmarkStart w:id="42" w:name="_Toc18914"/>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p>
    <w:p>
      <w:pP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第五部分  合同格式</w:t>
      </w:r>
      <w:bookmarkEnd w:id="42"/>
    </w:p>
    <w:p>
      <w:pPr>
        <w:pStyle w:val="5"/>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政府采购合同条款及格式</w:t>
      </w:r>
      <w:r>
        <w:rPr>
          <w:rFonts w:hint="eastAsia" w:ascii="宋体" w:hAnsi="宋体" w:eastAsia="宋体" w:cs="宋体"/>
          <w:color w:val="auto"/>
          <w:sz w:val="36"/>
          <w:szCs w:val="36"/>
          <w:highlight w:val="none"/>
          <w:lang w:eastAsia="zh-CN"/>
        </w:rPr>
        <w:t>（参考）</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合同编号：</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签订地点： </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签订日期：</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采购任务编号：</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（需方）需求的“</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（货物名称）经</w:t>
      </w:r>
      <w:r>
        <w:rPr>
          <w:rFonts w:hint="eastAsia" w:ascii="宋体" w:hAnsi="宋体" w:eastAsia="宋体" w:cs="宋体"/>
          <w:bCs/>
          <w:color w:val="auto"/>
          <w:sz w:val="24"/>
          <w:szCs w:val="24"/>
          <w:highlight w:val="none"/>
          <w:u w:val="single"/>
        </w:rPr>
        <w:t xml:space="preserve">        以编号为      </w:t>
      </w:r>
      <w:r>
        <w:rPr>
          <w:rFonts w:hint="eastAsia" w:ascii="宋体" w:hAnsi="宋体" w:eastAsia="宋体" w:cs="宋体"/>
          <w:bCs/>
          <w:color w:val="auto"/>
          <w:sz w:val="24"/>
          <w:szCs w:val="24"/>
          <w:highlight w:val="none"/>
        </w:rPr>
        <w:t>的招标文件在国内公开招标，经评标委员会评定</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（供方）（包号）为中标单位。供需双方按照《中华人民共和国合同法》和有关法律法规，遵循平等、自愿、公平和诚实信用原则，同意按照下面的条款和条件订立本合同，共同信守。</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一、货物名称、品牌、规格、数量</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1152"/>
        <w:gridCol w:w="2520"/>
        <w:gridCol w:w="900"/>
        <w:gridCol w:w="1260"/>
        <w:gridCol w:w="20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trPr>
        <w:tc>
          <w:tcPr>
            <w:tcW w:w="1548"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1152" w:type="dxa"/>
            <w:vAlign w:val="center"/>
          </w:tcPr>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252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规格型号及配置</w:t>
            </w:r>
          </w:p>
        </w:tc>
        <w:tc>
          <w:tcPr>
            <w:tcW w:w="90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26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单价(元)</w:t>
            </w:r>
          </w:p>
        </w:tc>
        <w:tc>
          <w:tcPr>
            <w:tcW w:w="2004"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小计金额(元)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48"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152"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252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90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26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2004"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48"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152"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252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90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26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2004"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1548"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152"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252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90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260"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2004"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r>
    </w:tbl>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二、合同价款</w:t>
      </w:r>
    </w:p>
    <w:p>
      <w:pPr>
        <w:keepNext w:val="0"/>
        <w:keepLines w:val="0"/>
        <w:pageBreakBefore w:val="0"/>
        <w:kinsoku/>
        <w:wordWrap/>
        <w:overflowPunct/>
        <w:topLinePunct w:val="0"/>
        <w:autoSpaceDE/>
        <w:autoSpaceDN/>
        <w:bidi w:val="0"/>
        <w:adjustRightInd/>
        <w:snapToGrid/>
        <w:spacing w:line="28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2.1合同总价：人民币（大写）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三、交货地点及交货时间</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合同订立后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个工作日内，将相关设备送至需方指定位置，并负责相关要求安装调试。</w:t>
      </w:r>
      <w:r>
        <w:rPr>
          <w:rFonts w:hint="eastAsia" w:ascii="宋体" w:hAnsi="宋体" w:eastAsia="宋体" w:cs="宋体"/>
          <w:color w:val="auto"/>
          <w:sz w:val="24"/>
          <w:szCs w:val="24"/>
          <w:highlight w:val="none"/>
          <w:lang w:val="zh-CN"/>
        </w:rPr>
        <w:t>如果供方没有按照合同规定的时间交货和提供服务，供方应向需方支付误期赔偿费。误期赔偿费每天按迟交货物的交货价或延期服务的服务费用的百分之一（1%）计收，直至交货或提供服务为止。一天按24小时计算，不足一天按一天计算。但误期赔偿费的最高限额不超过合同价的百分之五（5%）。</w:t>
      </w:r>
    </w:p>
    <w:p>
      <w:pPr>
        <w:pStyle w:val="94"/>
        <w:keepNext w:val="0"/>
        <w:keepLines w:val="0"/>
        <w:pageBreakBefore w:val="0"/>
        <w:numPr>
          <w:ilvl w:val="0"/>
          <w:numId w:val="5"/>
        </w:numPr>
        <w:kinsoku/>
        <w:wordWrap/>
        <w:overflowPunct/>
        <w:topLinePunct w:val="0"/>
        <w:autoSpaceDE/>
        <w:autoSpaceDN/>
        <w:bidi w:val="0"/>
        <w:adjustRightInd/>
        <w:snapToGrid/>
        <w:spacing w:line="288" w:lineRule="auto"/>
        <w:ind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付款 </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lang w:val="zh-CN"/>
        </w:rPr>
        <w:t xml:space="preserve"> 4.1</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货到验收合格后付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货款</w:t>
      </w:r>
      <w:r>
        <w:rPr>
          <w:rFonts w:hint="eastAsia" w:ascii="宋体" w:hAnsi="宋体" w:eastAsia="宋体" w:cs="宋体"/>
          <w:color w:val="auto"/>
          <w:sz w:val="24"/>
          <w:szCs w:val="24"/>
          <w:highlight w:val="none"/>
          <w:lang w:val="zh-CN"/>
        </w:rPr>
        <w:t>。</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五、施工</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六、验收（严格执行国家相关标准和招标文件要求）。</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七、知识产权及有关规定</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供方应保证需方在使用本合同项下的货物或其任何一部分时免受第三方提出侵犯其知识产权、商标权或工业设计权的起诉。如果发生此类问题，供方应负责交涉并承担一切费用和责任。</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 供方应保证所供货物符合国家的有关规定。</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八、伴随服务</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8.1供方应提供所交付货物的全套技术文件资料，包括产品目录、图纸、操作手册、使用说明、维护手册和服务指南等。</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供方还应提供下列服务：货物的运输、集成和试运行；提供货物组装和维修所需的工具；在质量保证期内对所交付货物提供运行监督、维修、保养等；在制造厂家和/或在项目现场就货物的安装调试、运行、维护等对需方人员进行培训。</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8.3上述伴随服务的费用应包含在合同价中，不单独进行支付。</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九、质量保证期及售后服务</w:t>
      </w:r>
    </w:p>
    <w:p>
      <w:pPr>
        <w:keepNext w:val="0"/>
        <w:keepLines w:val="0"/>
        <w:pageBreakBefore w:val="0"/>
        <w:kinsoku/>
        <w:wordWrap/>
        <w:overflowPunct/>
        <w:topLinePunct w:val="0"/>
        <w:autoSpaceDE/>
        <w:autoSpaceDN/>
        <w:bidi w:val="0"/>
        <w:adjustRightInd/>
        <w:snapToGrid/>
        <w:spacing w:line="288"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9.1 质量保证期：  </w:t>
      </w:r>
    </w:p>
    <w:p>
      <w:pPr>
        <w:keepNext w:val="0"/>
        <w:keepLines w:val="0"/>
        <w:pageBreakBefore w:val="0"/>
        <w:kinsoku/>
        <w:wordWrap/>
        <w:overflowPunct/>
        <w:topLinePunct w:val="0"/>
        <w:autoSpaceDE/>
        <w:autoSpaceDN/>
        <w:bidi w:val="0"/>
        <w:adjustRightInd/>
        <w:snapToGrid/>
        <w:spacing w:line="288"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9.2 售后服务要求：</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十、质量保证</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 供方应保证所提供的货物是原制造厂商制造的、经过合法销售渠道取得的、全新的、未使用过的，并完全符合合同规定的品牌、规格型号、技术性能、配置、质量、数量等要求。供方应保证其所提供的货物在正常使用和保养条件下，在其使用寿命期内具有满意的性能。在货物最终验收合格交付后不少于本合同第八条约定的质量保证期内，供方应对其交付的货物由于设计、工艺或材料的缺陷而产生的故障负责。</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 在质量保证期内，如果货物的规格型号、技术性能、原产地及制造厂商以及其他质量技术指标与合同约定不符，或证实货物是有缺陷的，包括潜在的缺陷或使用不符合要求的材料等，需方应尽快以书面形式向供方提出本保证下的索赔。</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10.3在质量保证期内，供方在接到需方的通知后，应在本合同第八条约定的响应时间内,免费维修和/或更换有缺陷的货物或部件。</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 如果供方在接到需方通知后，在本合同第八条约定的响应时间内没有弥补缺陷，需方可采取必要的补救措施，但其风险和费用将由供方负担，并且需方根据合同规定对供方行使的其他权利不受影响。</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十一、索赔</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11.1需方有权根据当地国家技术监督局、进出口商品检验局或其他具有法定资格的质检机构出具的检验证书向供方提出索赔。</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11.2如果供方对缺陷负有责任而需方提出索赔，供方应按照需方同意的下列一种或多种方式解决索赔事宜：</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（1）供方同意退货并用合同规定的货币将货款退还给需方，并承担由此发生的一切损失和费用，包括利息、银行手续费、运费、保险费、检验费、仓储费、装卸费以及为保护退回货物所需的其他必要费用。</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（2）根据货物低劣、损坏程度以及需方所遭受损失的金额，经过供需双方商定降低货物的价格。</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用符合合同规定的规格、质量和性能要求的新零件、部件和／或设备来更换有缺陷的部分和／或修补缺陷部分，供方应承担一切费用和风险，并负担需方蒙受的全部直接损失。供方应同时按合同第八条的规定，相应延长修补和／或更换件的质量保证期。</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如果在需方发出索赔通知后十天内，供方未作答复，上述索赔应视为已被供方接受。如供方未能在接到需方索赔通知后十天内或需方同意的延长期限内，按照本合同第10.2条规定的任何一种或多种方式解决索赔事宜并征得需方同意，需方有权通过采购方从应付货款或从供方提交的履约保证金中扣回索赔金额，并拥有对赔偿不足部分进一步索赔的权利。</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十二、供方履约延误</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供方应按照合同规定的时间、地点交货和提供服务。</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 如供方无正当理由拖延交货或不按投标文件提供服务，将受到以下制裁：没收履约保证金、加收误期赔偿和／或违约终止合同。</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 在履行合同过程中，如果供方遇到可能妨碍其按时交货和提供服务的情况，应及时以书面形式将拖延的事实，可能拖延的期限和理由通知需方。需方在收到供方通知后，应尽快对情况进行评价，并确定是否通过修改合同，酌情延长交货时间和/或延期提供服务，或者终止合同。</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十三、误期赔偿</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除合同第14条规定外，如果供方没有按照合同规定的时间交货和提供服务，供方应向需方支付误期赔偿费。误期赔偿费每天按迟交货物的交货价或延期服务的服务费用的百分之一（1%）计收，直至交货或提供服务为止。一天按24小时计算，不足一天按一一天计算。但误期赔偿费的最高限额不超过合同价的百分之五（5%）。</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13.2误期赔偿费可从应付货款和/或履约保证金中扣除。</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13.3收取误期赔偿费不影响需方采取合同规定的其他补救措施的权利。</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13.4供方如未能按本合同第九条规定进行售后服务，在收到需方县级远程办书面故障处理通知之日起一个月内仍未能解决故障，需方将按出现故障设备供货价格扣除质量保证金。</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13.5在收取误期赔偿费期间，需方有权决定是否终止合同。</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十四、履约保证金</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中标供应商接到中标通知书后，合同签订前向采购人缴纳中标金额的5%做为履约保证金。</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履约金返还的时间和条件：</w:t>
      </w:r>
      <w:r>
        <w:rPr>
          <w:rFonts w:hint="eastAsia" w:ascii="宋体" w:hAnsi="宋体" w:cs="宋体"/>
          <w:color w:val="auto"/>
          <w:sz w:val="24"/>
          <w:szCs w:val="24"/>
          <w:highlight w:val="none"/>
          <w:lang w:val="en-US" w:eastAsia="zh-CN"/>
        </w:rPr>
        <w:t>按相关规定执行</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十五、不可抗力</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15.1 如果供需双方因不可抗力而导致合同实施延误或不能履行合同义务，不应该承担误期赔偿或不能履行合同义务的责任。</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15.2 本条所述的“不可抗力”系指那些双方无法控制，不可预见的事件，但不包括供需双方的违约或疏忽。这些事件包括但不限于：战争、严重火灾、洪水、台风、地震以及其它供需双方商定的事件(供需双方认定国家政策重大变化属不可抗力)。</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 在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十六、税费</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16.1 根据现行法律规定对需方征收的与本合同有关的一切税费均由需方负担。</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16.2 根据现行法律规定对供方征收的与本合同有关的一切税费均由供方负担。</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 在中国境外发生的与执行本合同有关的一切税费均由供方负担。</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十七、争端的解决</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17.1 供需双方应通过友好协商，解决在执行本合同过程中所发生的或与本合同有关的一切争端。如从协商开始十（10）天内仍不能解决，可以向有关合同管理部门提请调解。</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 如果调解不成，供需双方的任何一方可以向人民法院提起诉讼。诉讼由合同签订地人民法院管辖。</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17.3诉讼费除法院另有裁决外均由败诉方负担。</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17.4在诉讼期间，除正在进行诉讼的部分外，本合同的其它部分应继续执行。</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十八、违约终止合同</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18.1 在需方因供方违约而按合同约定采取的任何补救措施不受影响的情况下，需方可在下列情况下向供方发出书面通知，提出终止部分或全部合同。</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（1）如果供方未能在合同规定的限期或需方同意延长的限期内提供部分或全部货物和服务。</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（2）如果供方未能履行合同规定的其它任何义务。</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如果需方认为供方在本合同的竞争或实施中有腐败和欺诈行为。为此，定义如下：“腐败行为”是指提供、给予、接受或索取任何有价值的东西来影响采购人员在采购过程或合同实施过程中的行为；“欺诈行为”是指为了影响采购过程或合同实施过程而谎报事实，损害采购人的利益，包括供货单位之间串通，人为地使供货活动丧失竞争性，损害采购人所能获得的权益。</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 如果需方根据上述第18.1款的规定，终止了全部或部分合同，需方可以依其认为适当的条件和方法购买与未交货物类似的货物，供方应对购买类似货物所超出的那部分费用负责。供方提交的履约保证金将被作为需方采取上述补救措施的购买资金的一部分。并且，供方应继续履行合同中未终止的部分。</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十九、破产终止合同</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 如果供方破产或丧失清偿能力，需方可在任何时候以书面形式通知供方终止合同而不给供方补偿。该终止合同将不损害或影响需方已经采取或将要采取任何补救措施的权力。</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二十、合同转让和分包</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 供方不得部分转让和分包或全部转让和分包其应履行的合同义务。</w:t>
      </w:r>
    </w:p>
    <w:p>
      <w:pPr>
        <w:keepNext w:val="0"/>
        <w:keepLines w:val="0"/>
        <w:pageBreakBefore w:val="0"/>
        <w:kinsoku/>
        <w:wordWrap/>
        <w:overflowPunct/>
        <w:topLinePunct w:val="0"/>
        <w:autoSpaceDE/>
        <w:autoSpaceDN/>
        <w:bidi w:val="0"/>
        <w:adjustRightInd/>
        <w:snapToGrid/>
        <w:spacing w:line="288" w:lineRule="auto"/>
        <w:ind w:right="-76" w:rightChars="-38"/>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二十一、需要补充的合同条款</w:t>
      </w:r>
    </w:p>
    <w:p>
      <w:pPr>
        <w:keepNext w:val="0"/>
        <w:keepLines w:val="0"/>
        <w:pageBreakBefore w:val="0"/>
        <w:kinsoku/>
        <w:wordWrap/>
        <w:overflowPunct/>
        <w:topLinePunct w:val="0"/>
        <w:autoSpaceDE/>
        <w:autoSpaceDN/>
        <w:bidi w:val="0"/>
        <w:adjustRightInd/>
        <w:snapToGrid/>
        <w:spacing w:line="288" w:lineRule="auto"/>
        <w:ind w:right="-76" w:rightChars="-38" w:firstLine="540" w:firstLineChars="2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 根据评标过程中或者商务谈判时商定的条款和条件在订立合同时标明。</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二十二、适用法律</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本合同按照中华人民共和国的现行法律进行解释。</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二十三、合同生效</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23.1 本合同在供需双方法定代表人或其授权代理人签字并加盖公章并且采购方收到供方提交的履约保证金后生效。 </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二十四、合同附件</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24.1下列文件构成本合同不可分割的组成部分，与本合同具有同等法律效力：</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1、招标文件及澄清、补充文件；</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2、供方的投标文件、在投标期间的书面承诺文件和售后服务承诺书；        </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3、产品样本、说明书、图纸（与合同配置不符之处，以合同为准）；</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4、中标通知书；</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5、政府采购验收报告单；</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6、合同的其他附件：</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上述合同附件如果有不一致之处，以日期在后的和对需方有利的为准。</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二十五、合同修改</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25.1除供需双方和采购方签署书面修改、补充协议，并成为本合同不可分割的一部分之外，本合同条件不得有任何变化或修改。</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二十六、合同备案</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26.1自本合同订立之日起七个工作日内，向本级政府采购监督管理部门备案。</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二十七、政府采购法对政府采购合同变更终止的规定：</w:t>
      </w:r>
      <w:r>
        <w:rPr>
          <w:rFonts w:hint="eastAsia" w:ascii="宋体" w:hAnsi="宋体" w:eastAsia="宋体" w:cs="宋体"/>
          <w:color w:val="auto"/>
          <w:sz w:val="24"/>
          <w:szCs w:val="24"/>
          <w:highlight w:val="none"/>
        </w:rPr>
        <w:t>“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在本合同中，双方当事人指供需双方。</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需方：                                  供方：</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                                  地址：</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                           法定代表人 :              </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或授权委托人：                          或授权代理人：</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签字日期：                              签字日期：</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                              邮政编码：</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                                  电话：</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                                  传真：</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                                联系人：</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                              开户银行：</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帐户名称:                               帐户名称：</w:t>
      </w:r>
    </w:p>
    <w:p>
      <w:pPr>
        <w:keepNext w:val="0"/>
        <w:keepLines w:val="0"/>
        <w:pageBreakBefore w:val="0"/>
        <w:kinsoku/>
        <w:wordWrap/>
        <w:overflowPunct/>
        <w:topLinePunct w:val="0"/>
        <w:autoSpaceDE/>
        <w:autoSpaceDN/>
        <w:bidi w:val="0"/>
        <w:adjustRightInd/>
        <w:snapToGrid/>
        <w:spacing w:line="288" w:lineRule="auto"/>
        <w:ind w:firstLine="240" w:firstLineChars="100"/>
        <w:textAlignment w:val="auto"/>
        <w:rPr>
          <w:rFonts w:hint="eastAsia" w:ascii="宋体" w:hAnsi="宋体" w:eastAsia="宋体" w:cs="宋体"/>
          <w:b/>
          <w:color w:val="auto"/>
          <w:kern w:val="44"/>
          <w:sz w:val="24"/>
          <w:szCs w:val="24"/>
          <w:highlight w:val="none"/>
        </w:rPr>
      </w:pPr>
      <w:r>
        <w:rPr>
          <w:rFonts w:hint="eastAsia" w:ascii="宋体" w:hAnsi="宋体" w:eastAsia="宋体" w:cs="宋体"/>
          <w:color w:val="auto"/>
          <w:sz w:val="24"/>
          <w:szCs w:val="24"/>
          <w:highlight w:val="none"/>
        </w:rPr>
        <w:t>帐号：                                  帐号：</w:t>
      </w:r>
    </w:p>
    <w:p>
      <w:pPr>
        <w:rPr>
          <w:rFonts w:hint="eastAsia" w:ascii="宋体" w:hAnsi="宋体" w:eastAsia="宋体" w:cs="宋体"/>
          <w:b/>
          <w:color w:val="auto"/>
          <w:kern w:val="44"/>
          <w:sz w:val="24"/>
          <w:szCs w:val="24"/>
          <w:highlight w:val="none"/>
          <w:lang w:eastAsia="zh-CN"/>
        </w:rPr>
      </w:pPr>
    </w:p>
    <w:p>
      <w:pPr>
        <w:rPr>
          <w:rFonts w:hint="eastAsia" w:ascii="宋体" w:hAnsi="宋体" w:eastAsia="宋体" w:cs="宋体"/>
          <w:b/>
          <w:color w:val="auto"/>
          <w:kern w:val="44"/>
          <w:sz w:val="24"/>
          <w:szCs w:val="24"/>
          <w:highlight w:val="none"/>
          <w:lang w:eastAsia="zh-CN"/>
        </w:rPr>
      </w:pP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kern w:val="44"/>
          <w:sz w:val="24"/>
          <w:szCs w:val="24"/>
          <w:highlight w:val="none"/>
          <w:lang w:eastAsia="zh-CN"/>
        </w:rPr>
      </w:pPr>
      <w:r>
        <w:rPr>
          <w:rFonts w:hint="eastAsia" w:ascii="宋体" w:hAnsi="宋体" w:eastAsia="宋体" w:cs="宋体"/>
          <w:b/>
          <w:color w:val="auto"/>
          <w:kern w:val="44"/>
          <w:sz w:val="24"/>
          <w:szCs w:val="24"/>
          <w:highlight w:val="none"/>
          <w:lang w:eastAsia="zh-CN"/>
        </w:rPr>
        <w:t>注：此合同为参考模板，具体以双方实际签订为准。</w:t>
      </w: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p>
    <w:p>
      <w:pPr>
        <w:pStyle w:val="3"/>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6"/>
          <w:szCs w:val="36"/>
          <w:highlight w:val="none"/>
        </w:rPr>
      </w:pPr>
      <w:bookmarkStart w:id="43" w:name="_Toc19534"/>
      <w:r>
        <w:rPr>
          <w:rFonts w:hint="eastAsia" w:ascii="宋体" w:hAnsi="宋体" w:eastAsia="宋体" w:cs="宋体"/>
          <w:color w:val="auto"/>
          <w:sz w:val="36"/>
          <w:szCs w:val="36"/>
          <w:highlight w:val="none"/>
        </w:rPr>
        <w:t xml:space="preserve">第六部分  </w:t>
      </w:r>
      <w:bookmarkEnd w:id="13"/>
      <w:r>
        <w:rPr>
          <w:rFonts w:hint="eastAsia" w:ascii="宋体" w:hAnsi="宋体" w:eastAsia="宋体" w:cs="宋体"/>
          <w:color w:val="auto"/>
          <w:sz w:val="36"/>
          <w:szCs w:val="36"/>
          <w:highlight w:val="none"/>
        </w:rPr>
        <w:t>投标文件格式</w:t>
      </w:r>
      <w:bookmarkEnd w:id="43"/>
    </w:p>
    <w:p>
      <w:pPr>
        <w:spacing w:line="440" w:lineRule="exact"/>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63"/>
        <w:rPr>
          <w:rFonts w:hint="eastAsia" w:ascii="宋体" w:hAnsi="宋体" w:eastAsia="宋体" w:cs="宋体"/>
          <w:color w:val="auto"/>
          <w:highlight w:val="none"/>
        </w:rPr>
      </w:pPr>
    </w:p>
    <w:p>
      <w:pPr>
        <w:spacing w:line="440" w:lineRule="exact"/>
        <w:rPr>
          <w:rFonts w:hint="eastAsia" w:ascii="宋体" w:hAnsi="宋体" w:eastAsia="宋体" w:cs="宋体"/>
          <w:color w:val="auto"/>
          <w:highlight w:val="none"/>
        </w:rPr>
      </w:pPr>
    </w:p>
    <w:p>
      <w:pPr>
        <w:pStyle w:val="63"/>
        <w:jc w:val="right"/>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eastAsia="zh-CN"/>
        </w:rPr>
        <w:t>正</w:t>
      </w:r>
      <w:r>
        <w:rPr>
          <w:rFonts w:hint="eastAsia" w:ascii="宋体" w:hAnsi="宋体" w:eastAsia="宋体" w:cs="宋体"/>
          <w:b/>
          <w:bCs/>
          <w:color w:val="auto"/>
          <w:sz w:val="36"/>
          <w:szCs w:val="36"/>
          <w:highlight w:val="none"/>
          <w:lang w:val="en-US" w:eastAsia="zh-CN"/>
        </w:rPr>
        <w:t>/副本</w:t>
      </w:r>
    </w:p>
    <w:p>
      <w:pPr>
        <w:pStyle w:val="63"/>
        <w:rPr>
          <w:rFonts w:hint="eastAsia" w:ascii="宋体" w:hAnsi="宋体" w:eastAsia="宋体" w:cs="宋体"/>
          <w:color w:val="auto"/>
          <w:highlight w:val="none"/>
        </w:rPr>
      </w:pPr>
    </w:p>
    <w:p>
      <w:pPr>
        <w:pStyle w:val="63"/>
        <w:rPr>
          <w:rFonts w:hint="eastAsia" w:ascii="宋体" w:hAnsi="宋体" w:eastAsia="宋体" w:cs="宋体"/>
          <w:color w:val="auto"/>
          <w:highlight w:val="none"/>
        </w:rPr>
      </w:pPr>
    </w:p>
    <w:p>
      <w:pPr>
        <w:spacing w:line="440" w:lineRule="exact"/>
        <w:rPr>
          <w:rFonts w:hint="eastAsia" w:ascii="宋体" w:hAnsi="宋体" w:eastAsia="宋体" w:cs="宋体"/>
          <w:color w:val="auto"/>
          <w:highlight w:val="none"/>
        </w:rPr>
      </w:pPr>
    </w:p>
    <w:p>
      <w:pPr>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（项目名称）</w:t>
      </w:r>
    </w:p>
    <w:p>
      <w:pPr>
        <w:jc w:val="cente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3"/>
        <w:rPr>
          <w:rFonts w:hint="eastAsia" w:ascii="宋体" w:hAnsi="宋体" w:eastAsia="宋体" w:cs="宋体"/>
          <w:color w:val="auto"/>
          <w:highlight w:val="none"/>
        </w:rPr>
      </w:pPr>
    </w:p>
    <w:p>
      <w:pPr>
        <w:jc w:val="center"/>
        <w:rPr>
          <w:rFonts w:hint="eastAsia" w:ascii="宋体" w:hAnsi="宋体" w:eastAsia="宋体" w:cs="宋体"/>
          <w:color w:val="auto"/>
          <w:sz w:val="144"/>
          <w:szCs w:val="144"/>
          <w:highlight w:val="none"/>
        </w:rPr>
      </w:pPr>
      <w:r>
        <w:rPr>
          <w:rFonts w:hint="eastAsia" w:ascii="宋体" w:hAnsi="宋体" w:eastAsia="宋体" w:cs="宋体"/>
          <w:color w:val="auto"/>
          <w:sz w:val="144"/>
          <w:szCs w:val="144"/>
          <w:highlight w:val="none"/>
        </w:rPr>
        <w:t>投标文件</w:t>
      </w: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项目</w:t>
      </w:r>
      <w:r>
        <w:rPr>
          <w:rFonts w:hint="eastAsia" w:ascii="宋体" w:hAnsi="宋体" w:eastAsia="宋体" w:cs="宋体"/>
          <w:color w:val="auto"/>
          <w:sz w:val="28"/>
          <w:szCs w:val="28"/>
          <w:highlight w:val="none"/>
        </w:rPr>
        <w:t>编号：</w:t>
      </w: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p>
    <w:p>
      <w:pPr>
        <w:keepNext w:val="0"/>
        <w:keepLines w:val="0"/>
        <w:pageBreakBefore w:val="0"/>
        <w:widowControl/>
        <w:kinsoku/>
        <w:wordWrap/>
        <w:overflowPunct/>
        <w:topLinePunct w:val="0"/>
        <w:autoSpaceDE/>
        <w:autoSpaceDN/>
        <w:bidi w:val="0"/>
        <w:adjustRightInd/>
        <w:snapToGrid/>
        <w:spacing w:line="480" w:lineRule="auto"/>
        <w:ind w:firstLine="1120" w:firstLineChars="400"/>
        <w:jc w:val="both"/>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供应商名称：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（盖单位章）</w:t>
      </w:r>
    </w:p>
    <w:p>
      <w:pPr>
        <w:keepNext w:val="0"/>
        <w:keepLines w:val="0"/>
        <w:pageBreakBefore w:val="0"/>
        <w:widowControl/>
        <w:kinsoku/>
        <w:wordWrap/>
        <w:overflowPunct/>
        <w:topLinePunct w:val="0"/>
        <w:autoSpaceDE/>
        <w:autoSpaceDN/>
        <w:bidi w:val="0"/>
        <w:adjustRightInd/>
        <w:snapToGrid/>
        <w:spacing w:line="480" w:lineRule="auto"/>
        <w:ind w:firstLine="1120" w:firstLineChars="4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（签字）</w:t>
      </w:r>
    </w:p>
    <w:p>
      <w:pPr>
        <w:keepNext w:val="0"/>
        <w:keepLines w:val="0"/>
        <w:pageBreakBefore w:val="0"/>
        <w:widowControl/>
        <w:kinsoku/>
        <w:wordWrap/>
        <w:overflowPunct/>
        <w:topLinePunct w:val="0"/>
        <w:autoSpaceDE/>
        <w:autoSpaceDN/>
        <w:bidi w:val="0"/>
        <w:adjustRightInd/>
        <w:snapToGrid/>
        <w:spacing w:line="480" w:lineRule="auto"/>
        <w:ind w:firstLine="1120" w:firstLineChars="4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none"/>
          <w:lang w:eastAsia="zh-CN"/>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rPr>
          <w:rFonts w:hint="eastAsia" w:ascii="宋体" w:hAnsi="宋体" w:eastAsia="宋体" w:cs="宋体"/>
          <w:color w:val="auto"/>
          <w:sz w:val="32"/>
          <w:highlight w:val="none"/>
        </w:rPr>
      </w:pPr>
      <w:r>
        <w:rPr>
          <w:rFonts w:hint="eastAsia" w:ascii="宋体" w:hAnsi="宋体" w:eastAsia="宋体" w:cs="宋体"/>
          <w:color w:val="auto"/>
          <w:sz w:val="32"/>
          <w:highlight w:val="none"/>
        </w:rPr>
        <w:br w:type="page"/>
      </w:r>
    </w:p>
    <w:bookmarkEnd w:id="14"/>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b/>
          <w:color w:val="auto"/>
          <w:sz w:val="36"/>
          <w:szCs w:val="36"/>
          <w:highlight w:val="none"/>
        </w:rPr>
        <w:t>目  录</w:t>
      </w:r>
    </w:p>
    <w:p>
      <w:pPr>
        <w:spacing w:line="360" w:lineRule="auto"/>
        <w:ind w:firstLine="480" w:firstLineChars="200"/>
        <w:jc w:val="both"/>
        <w:rPr>
          <w:rFonts w:hint="eastAsia" w:ascii="宋体" w:hAnsi="宋体" w:eastAsia="宋体" w:cs="宋体"/>
          <w:color w:val="auto"/>
          <w:sz w:val="24"/>
          <w:highlight w:val="none"/>
        </w:rPr>
      </w:pP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开标一览表</w:t>
      </w: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76" w:firstLineChars="170"/>
        <w:textAlignment w:val="auto"/>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投标明细报价表</w:t>
      </w:r>
    </w:p>
    <w:p>
      <w:pPr>
        <w:pStyle w:val="135"/>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投标函</w:t>
      </w:r>
    </w:p>
    <w:p>
      <w:pPr>
        <w:pStyle w:val="135"/>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法定代表人身份证明书</w:t>
      </w:r>
    </w:p>
    <w:p>
      <w:pPr>
        <w:pStyle w:val="135"/>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法定代表人授权委托书</w:t>
      </w:r>
    </w:p>
    <w:p>
      <w:pPr>
        <w:pStyle w:val="135"/>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供应商基本情况说明</w:t>
      </w:r>
    </w:p>
    <w:p>
      <w:pPr>
        <w:pStyle w:val="135"/>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承诺书</w:t>
      </w:r>
    </w:p>
    <w:p>
      <w:pPr>
        <w:pStyle w:val="135"/>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商务偏离表</w:t>
      </w:r>
    </w:p>
    <w:p>
      <w:pPr>
        <w:pStyle w:val="135"/>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企业业绩表</w:t>
      </w:r>
    </w:p>
    <w:p>
      <w:pPr>
        <w:pStyle w:val="135"/>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资格声明</w:t>
      </w: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技术参数偏离表</w:t>
      </w: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技术参数承诺书</w:t>
      </w: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528"/>
        <w:textAlignment w:val="auto"/>
        <w:rPr>
          <w:rFonts w:hint="eastAsia" w:ascii="宋体" w:hAnsi="宋体" w:eastAsia="宋体" w:cs="宋体"/>
          <w:color w:val="auto"/>
          <w:sz w:val="24"/>
          <w:szCs w:val="24"/>
          <w:highlight w:val="none"/>
        </w:rPr>
      </w:pPr>
      <w:r>
        <w:rPr>
          <w:rStyle w:val="48"/>
          <w:rFonts w:hint="eastAsia" w:ascii="宋体" w:hAnsi="宋体" w:eastAsia="宋体" w:cs="宋体"/>
          <w:b w:val="0"/>
          <w:color w:val="auto"/>
          <w:spacing w:val="12"/>
          <w:sz w:val="24"/>
          <w:szCs w:val="24"/>
          <w:highlight w:val="none"/>
        </w:rPr>
        <w:t>投标货物详细说明</w:t>
      </w: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具备履行合同所必需设备和专业技术能力承诺书</w:t>
      </w: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项目实施方案</w:t>
      </w:r>
      <w:r>
        <w:rPr>
          <w:rFonts w:hint="eastAsia" w:ascii="宋体" w:hAnsi="宋体" w:eastAsia="宋体" w:cs="宋体"/>
          <w:color w:val="auto"/>
          <w:sz w:val="24"/>
          <w:szCs w:val="24"/>
          <w:highlight w:val="none"/>
        </w:rPr>
        <w:t>（供应商自行编写）</w:t>
      </w: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投标保证金汇入情况说明</w:t>
      </w:r>
    </w:p>
    <w:p>
      <w:pPr>
        <w:pStyle w:val="94"/>
        <w:keepNext w:val="0"/>
        <w:keepLines w:val="0"/>
        <w:pageBreakBefore w:val="0"/>
        <w:widowControl w:val="0"/>
        <w:numPr>
          <w:ilvl w:val="0"/>
          <w:numId w:val="6"/>
        </w:numPr>
        <w:tabs>
          <w:tab w:val="left" w:pos="567"/>
        </w:tabs>
        <w:kinsoku/>
        <w:wordWrap/>
        <w:overflowPunct/>
        <w:topLinePunct w:val="0"/>
        <w:autoSpaceDE/>
        <w:autoSpaceDN/>
        <w:bidi w:val="0"/>
        <w:adjustRightInd/>
        <w:snapToGrid/>
        <w:spacing w:line="288"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供应商认为有必要提供的其他材料</w:t>
      </w:r>
    </w:p>
    <w:p>
      <w:pPr>
        <w:spacing w:line="360" w:lineRule="auto"/>
        <w:rPr>
          <w:rFonts w:hint="eastAsia" w:ascii="宋体" w:hAnsi="宋体" w:eastAsia="宋体" w:cs="宋体"/>
          <w:color w:val="auto"/>
          <w:szCs w:val="21"/>
          <w:highlight w:val="none"/>
        </w:rPr>
      </w:pPr>
    </w:p>
    <w:p>
      <w:pPr>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br w:type="page"/>
      </w:r>
    </w:p>
    <w:p>
      <w:pPr>
        <w:spacing w:line="360" w:lineRule="auto"/>
        <w:jc w:val="center"/>
        <w:rPr>
          <w:rFonts w:hint="eastAsia" w:ascii="宋体" w:hAnsi="宋体" w:eastAsia="宋体" w:cs="宋体"/>
          <w:b/>
          <w:color w:val="auto"/>
          <w:sz w:val="36"/>
          <w:szCs w:val="36"/>
          <w:highlight w:val="none"/>
          <w:lang w:val="zh-CN"/>
        </w:rPr>
      </w:pPr>
    </w:p>
    <w:p>
      <w:pPr>
        <w:spacing w:line="360" w:lineRule="auto"/>
        <w:jc w:val="center"/>
        <w:rPr>
          <w:rFonts w:hint="eastAsia" w:ascii="宋体" w:hAnsi="宋体" w:eastAsia="宋体" w:cs="宋体"/>
          <w:b/>
          <w:color w:val="auto"/>
          <w:sz w:val="36"/>
          <w:szCs w:val="36"/>
          <w:highlight w:val="none"/>
          <w:lang w:val="zh-CN"/>
        </w:rPr>
      </w:pPr>
      <w:r>
        <w:rPr>
          <w:rFonts w:hint="eastAsia" w:ascii="宋体" w:hAnsi="宋体" w:eastAsia="宋体" w:cs="宋体"/>
          <w:b/>
          <w:color w:val="auto"/>
          <w:sz w:val="36"/>
          <w:szCs w:val="36"/>
          <w:highlight w:val="none"/>
          <w:lang w:val="zh-CN"/>
        </w:rPr>
        <w:t>一、</w:t>
      </w:r>
      <w:r>
        <w:rPr>
          <w:rFonts w:hint="eastAsia" w:ascii="宋体" w:hAnsi="宋体" w:eastAsia="宋体" w:cs="宋体"/>
          <w:b/>
          <w:color w:val="auto"/>
          <w:sz w:val="36"/>
          <w:szCs w:val="36"/>
          <w:highlight w:val="none"/>
        </w:rPr>
        <w:t>开 标 一 览 表</w:t>
      </w:r>
    </w:p>
    <w:p>
      <w:pPr>
        <w:rPr>
          <w:rFonts w:hint="eastAsia" w:ascii="宋体" w:hAnsi="宋体" w:eastAsia="宋体" w:cs="宋体"/>
          <w:color w:val="auto"/>
          <w:szCs w:val="21"/>
          <w:highlight w:val="none"/>
        </w:rPr>
      </w:pPr>
    </w:p>
    <w:p>
      <w:pPr>
        <w:ind w:left="152" w:leftChars="-109" w:hanging="370" w:hangingChars="185"/>
        <w:rPr>
          <w:rFonts w:hint="eastAsia" w:ascii="宋体" w:hAnsi="宋体" w:eastAsia="宋体" w:cs="宋体"/>
          <w:color w:val="auto"/>
          <w:szCs w:val="21"/>
          <w:highlight w:val="none"/>
        </w:rPr>
      </w:pP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项目名称：      （一包/二包</w:t>
      </w:r>
      <w:bookmarkStart w:id="53" w:name="_GoBack"/>
      <w:bookmarkEnd w:id="53"/>
      <w:r>
        <w:rPr>
          <w:rFonts w:hint="eastAsia" w:ascii="宋体" w:hAnsi="宋体" w:cs="宋体"/>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                                                开标时间：</w:t>
      </w:r>
    </w:p>
    <w:tbl>
      <w:tblPr>
        <w:tblStyle w:val="45"/>
        <w:tblW w:w="9180" w:type="dxa"/>
        <w:tblInd w:w="80" w:type="dxa"/>
        <w:tblLayout w:type="fixed"/>
        <w:tblCellMar>
          <w:top w:w="0" w:type="dxa"/>
          <w:left w:w="108" w:type="dxa"/>
          <w:bottom w:w="0" w:type="dxa"/>
          <w:right w:w="108" w:type="dxa"/>
        </w:tblCellMar>
      </w:tblPr>
      <w:tblGrid>
        <w:gridCol w:w="1731"/>
        <w:gridCol w:w="1488"/>
        <w:gridCol w:w="1416"/>
        <w:gridCol w:w="1506"/>
        <w:gridCol w:w="1254"/>
        <w:gridCol w:w="1785"/>
      </w:tblGrid>
      <w:tr>
        <w:tblPrEx>
          <w:tblCellMar>
            <w:top w:w="0" w:type="dxa"/>
            <w:left w:w="108" w:type="dxa"/>
            <w:bottom w:w="0" w:type="dxa"/>
            <w:right w:w="108" w:type="dxa"/>
          </w:tblCellMar>
        </w:tblPrEx>
        <w:trPr>
          <w:trHeight w:val="724" w:hRule="atLeast"/>
        </w:trPr>
        <w:tc>
          <w:tcPr>
            <w:tcW w:w="1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总</w:t>
            </w:r>
            <w:r>
              <w:rPr>
                <w:rFonts w:hint="eastAsia" w:ascii="宋体" w:hAnsi="宋体" w:eastAsia="宋体" w:cs="宋体"/>
                <w:color w:val="auto"/>
                <w:sz w:val="24"/>
                <w:szCs w:val="24"/>
                <w:highlight w:val="none"/>
              </w:rPr>
              <w:t>投标报价</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（万元）</w:t>
            </w:r>
          </w:p>
        </w:tc>
        <w:tc>
          <w:tcPr>
            <w:tcW w:w="14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投标保证金</w:t>
            </w:r>
          </w:p>
        </w:tc>
        <w:tc>
          <w:tcPr>
            <w:tcW w:w="150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供货期</w:t>
            </w:r>
          </w:p>
        </w:tc>
        <w:tc>
          <w:tcPr>
            <w:tcW w:w="12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质量标准</w:t>
            </w:r>
          </w:p>
        </w:tc>
        <w:tc>
          <w:tcPr>
            <w:tcW w:w="17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服务承诺</w:t>
            </w:r>
          </w:p>
        </w:tc>
      </w:tr>
      <w:tr>
        <w:tblPrEx>
          <w:tblCellMar>
            <w:top w:w="0" w:type="dxa"/>
            <w:left w:w="108" w:type="dxa"/>
            <w:bottom w:w="0" w:type="dxa"/>
            <w:right w:w="108" w:type="dxa"/>
          </w:tblCellMar>
        </w:tblPrEx>
        <w:trPr>
          <w:trHeight w:val="1003" w:hRule="atLeast"/>
        </w:trPr>
        <w:tc>
          <w:tcPr>
            <w:tcW w:w="1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4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（有/无）</w:t>
            </w:r>
          </w:p>
        </w:tc>
        <w:tc>
          <w:tcPr>
            <w:tcW w:w="15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2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p>
        </w:tc>
        <w:tc>
          <w:tcPr>
            <w:tcW w:w="17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（有/无）</w:t>
            </w:r>
          </w:p>
        </w:tc>
      </w:tr>
    </w:tbl>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注：1、本表只作唱标用，但本表的一切内容均具有法律效力，不得更改；</w:t>
      </w:r>
    </w:p>
    <w:p>
      <w:pPr>
        <w:keepNext w:val="0"/>
        <w:keepLines w:val="0"/>
        <w:pageBreakBefore w:val="0"/>
        <w:widowControl/>
        <w:kinsoku/>
        <w:wordWrap/>
        <w:overflowPunct/>
        <w:topLinePunct w:val="0"/>
        <w:autoSpaceDE/>
        <w:autoSpaceDN/>
        <w:bidi w:val="0"/>
        <w:adjustRightInd/>
        <w:snapToGrid/>
        <w:spacing w:line="288" w:lineRule="auto"/>
        <w:ind w:firstLine="408"/>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2、投标报价</w:t>
      </w:r>
      <w:r>
        <w:rPr>
          <w:rFonts w:hint="eastAsia" w:ascii="宋体" w:hAnsi="宋体" w:eastAsia="宋体" w:cs="宋体"/>
          <w:b/>
          <w:color w:val="auto"/>
          <w:sz w:val="24"/>
          <w:szCs w:val="24"/>
          <w:highlight w:val="none"/>
        </w:rPr>
        <w:t>不超过</w:t>
      </w:r>
      <w:r>
        <w:rPr>
          <w:rFonts w:hint="eastAsia" w:ascii="宋体" w:hAnsi="宋体" w:eastAsia="宋体" w:cs="宋体"/>
          <w:b/>
          <w:color w:val="auto"/>
          <w:sz w:val="24"/>
          <w:szCs w:val="24"/>
          <w:highlight w:val="none"/>
          <w:lang w:val="zh-CN"/>
        </w:rPr>
        <w:t>预算金额</w:t>
      </w:r>
      <w:r>
        <w:rPr>
          <w:rFonts w:hint="eastAsia" w:ascii="宋体" w:hAnsi="宋体" w:eastAsia="宋体" w:cs="宋体"/>
          <w:b/>
          <w:color w:val="auto"/>
          <w:sz w:val="24"/>
          <w:szCs w:val="24"/>
          <w:highlight w:val="none"/>
        </w:rPr>
        <w:t>，超过为无效报价。</w:t>
      </w:r>
      <w:r>
        <w:rPr>
          <w:rFonts w:hint="eastAsia" w:ascii="宋体" w:hAnsi="宋体" w:eastAsia="宋体" w:cs="宋体"/>
          <w:b/>
          <w:bCs/>
          <w:color w:val="auto"/>
          <w:sz w:val="24"/>
          <w:szCs w:val="24"/>
          <w:highlight w:val="none"/>
        </w:rPr>
        <w:t>本表中填写的投标报价应与投标函中填写的投标报价相一致，如果不一致</w:t>
      </w:r>
      <w:r>
        <w:rPr>
          <w:rFonts w:hint="eastAsia" w:ascii="宋体" w:hAnsi="宋体" w:cs="宋体"/>
          <w:b/>
          <w:bCs/>
          <w:color w:val="auto"/>
          <w:sz w:val="24"/>
          <w:szCs w:val="24"/>
          <w:highlight w:val="none"/>
          <w:lang w:eastAsia="zh-CN"/>
        </w:rPr>
        <w:t>以本表为准</w:t>
      </w:r>
      <w:r>
        <w:rPr>
          <w:rFonts w:hint="eastAsia" w:ascii="宋体" w:hAnsi="宋体" w:eastAsia="宋体" w:cs="宋体"/>
          <w:b/>
          <w:bCs/>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288" w:lineRule="auto"/>
        <w:ind w:firstLine="408"/>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3、本开表一览表须装订在投标文件内，然后再单独打印一份签字和加盖印章后，单独密封在一个小信封内，随投标文件一同递交，以便开标时唱标用</w:t>
      </w:r>
      <w:r>
        <w:rPr>
          <w:rFonts w:hint="eastAsia" w:ascii="宋体" w:hAnsi="宋体" w:eastAsia="宋体" w:cs="宋体"/>
          <w:b/>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88" w:lineRule="auto"/>
        <w:ind w:firstLine="408"/>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投标报价保留至小数点后四位。</w:t>
      </w:r>
    </w:p>
    <w:p>
      <w:pPr>
        <w:pStyle w:val="63"/>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288" w:lineRule="auto"/>
        <w:ind w:firstLine="472" w:firstLine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            （公章）                    </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w:t>
      </w:r>
      <w:r>
        <w:rPr>
          <w:rFonts w:hint="eastAsia" w:ascii="宋体" w:hAnsi="宋体" w:eastAsia="宋体" w:cs="宋体"/>
          <w:color w:val="auto"/>
          <w:sz w:val="24"/>
          <w:szCs w:val="24"/>
          <w:highlight w:val="none"/>
          <w:lang w:eastAsia="zh-CN"/>
        </w:rPr>
        <w:t>签字</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盖章）</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委托代理人：            （签字）  </w:t>
      </w:r>
    </w:p>
    <w:p>
      <w:pPr>
        <w:keepNext w:val="0"/>
        <w:keepLines w:val="0"/>
        <w:pageBreakBefore w:val="0"/>
        <w:widowControl/>
        <w:kinsoku/>
        <w:wordWrap/>
        <w:overflowPunct/>
        <w:topLinePunct w:val="0"/>
        <w:autoSpaceDE/>
        <w:autoSpaceDN/>
        <w:bidi w:val="0"/>
        <w:adjustRightInd/>
        <w:snapToGrid/>
        <w:spacing w:line="288" w:lineRule="auto"/>
        <w:ind w:firstLine="4560" w:firstLineChars="19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288" w:lineRule="auto"/>
        <w:ind w:firstLine="6480" w:firstLineChars="2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日　　期：</w:t>
      </w: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二、投标明细报价表</w:t>
      </w:r>
    </w:p>
    <w:tbl>
      <w:tblPr>
        <w:tblStyle w:val="45"/>
        <w:tblW w:w="927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281"/>
        <w:gridCol w:w="1075"/>
        <w:gridCol w:w="1180"/>
        <w:gridCol w:w="1623"/>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276" w:type="dxa"/>
            <w:gridSpan w:val="6"/>
            <w:vAlign w:val="center"/>
          </w:tcPr>
          <w:p>
            <w:pPr>
              <w:keepNext w:val="0"/>
              <w:keepLines w:val="0"/>
              <w:pageBreakBefore w:val="0"/>
              <w:kinsoku/>
              <w:wordWrap/>
              <w:topLinePunct w:val="0"/>
              <w:bidi w:val="0"/>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 xml:space="preserve">项目名称：                                                    </w:t>
            </w:r>
            <w:r>
              <w:rPr>
                <w:rFonts w:hint="eastAsia" w:ascii="宋体" w:hAnsi="宋体" w:eastAsia="宋体" w:cs="宋体"/>
                <w:b/>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276" w:type="dxa"/>
            <w:gridSpan w:val="6"/>
            <w:vAlign w:val="center"/>
          </w:tcPr>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货物明细表：（单位：元）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8"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281"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1075"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品牌型号</w:t>
            </w:r>
          </w:p>
        </w:tc>
        <w:tc>
          <w:tcPr>
            <w:tcW w:w="1180"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623"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2249"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8"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81"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075"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180"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623"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49"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8"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281"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075"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180"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623"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49"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8"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81"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w:t>
            </w:r>
          </w:p>
        </w:tc>
        <w:tc>
          <w:tcPr>
            <w:tcW w:w="1075"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180"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623"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49"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276" w:type="dxa"/>
            <w:gridSpan w:val="6"/>
            <w:vAlign w:val="center"/>
          </w:tcPr>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其他费用明细表：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68"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281"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2255" w:type="dxa"/>
            <w:gridSpan w:val="2"/>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内容和标准</w:t>
            </w:r>
          </w:p>
        </w:tc>
        <w:tc>
          <w:tcPr>
            <w:tcW w:w="1623"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p>
        </w:tc>
        <w:tc>
          <w:tcPr>
            <w:tcW w:w="2249"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68"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81"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55" w:type="dxa"/>
            <w:gridSpan w:val="2"/>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623"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49"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8"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281"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55" w:type="dxa"/>
            <w:gridSpan w:val="2"/>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1623"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c>
          <w:tcPr>
            <w:tcW w:w="2249" w:type="dxa"/>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276" w:type="dxa"/>
            <w:gridSpan w:val="6"/>
            <w:vAlign w:val="center"/>
          </w:tcPr>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明细报价汇总表：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5404" w:type="dxa"/>
            <w:gridSpan w:val="4"/>
            <w:vAlign w:val="center"/>
          </w:tcPr>
          <w:p>
            <w:pPr>
              <w:keepNext w:val="0"/>
              <w:keepLines w:val="0"/>
              <w:pageBreakBefore w:val="0"/>
              <w:kinsoku/>
              <w:wordWrap/>
              <w:topLinePunct w:val="0"/>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报价总计（货物报价合计+其他费用合计）</w:t>
            </w:r>
          </w:p>
        </w:tc>
        <w:tc>
          <w:tcPr>
            <w:tcW w:w="3872" w:type="dxa"/>
            <w:gridSpan w:val="2"/>
            <w:vAlign w:val="center"/>
          </w:tcPr>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大写：人民币</w:t>
            </w:r>
            <w:r>
              <w:rPr>
                <w:rFonts w:hint="eastAsia" w:ascii="宋体" w:hAnsi="宋体" w:eastAsia="宋体" w:cs="宋体"/>
                <w:color w:val="auto"/>
                <w:sz w:val="24"/>
                <w:szCs w:val="24"/>
                <w:highlight w:val="none"/>
                <w:u w:val="single"/>
              </w:rPr>
              <w:t xml:space="preserve">          元</w:t>
            </w:r>
          </w:p>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小写：￥ </w:t>
            </w:r>
            <w:r>
              <w:rPr>
                <w:rFonts w:hint="eastAsia" w:ascii="宋体" w:hAnsi="宋体" w:eastAsia="宋体" w:cs="宋体"/>
                <w:color w:val="auto"/>
                <w:sz w:val="24"/>
                <w:szCs w:val="24"/>
                <w:highlight w:val="none"/>
                <w:u w:val="single"/>
              </w:rPr>
              <w:t xml:space="preserve">             元</w:t>
            </w:r>
          </w:p>
        </w:tc>
      </w:tr>
    </w:tbl>
    <w:p>
      <w:pPr>
        <w:keepNext w:val="0"/>
        <w:keepLines w:val="0"/>
        <w:pageBreakBefore w:val="0"/>
        <w:kinsoku/>
        <w:wordWrap/>
        <w:topLinePunct w:val="0"/>
        <w:bidi w:val="0"/>
        <w:snapToGrid/>
        <w:spacing w:before="240" w:beforeLines="10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注明：</w:t>
      </w:r>
    </w:p>
    <w:p>
      <w:pPr>
        <w:pStyle w:val="94"/>
        <w:keepNext w:val="0"/>
        <w:keepLines w:val="0"/>
        <w:pageBreakBefore w:val="0"/>
        <w:numPr>
          <w:ilvl w:val="0"/>
          <w:numId w:val="7"/>
        </w:numPr>
        <w:kinsoku/>
        <w:wordWrap/>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此表为报价总表的明细表。</w:t>
      </w:r>
    </w:p>
    <w:p>
      <w:pPr>
        <w:pStyle w:val="94"/>
        <w:keepNext w:val="0"/>
        <w:keepLines w:val="0"/>
        <w:pageBreakBefore w:val="0"/>
        <w:numPr>
          <w:ilvl w:val="0"/>
          <w:numId w:val="7"/>
        </w:numPr>
        <w:kinsoku/>
        <w:wordWrap/>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如果单价和总价不符时，以单价为准，修正总价。</w:t>
      </w:r>
    </w:p>
    <w:p>
      <w:pPr>
        <w:pStyle w:val="94"/>
        <w:keepNext w:val="0"/>
        <w:keepLines w:val="0"/>
        <w:pageBreakBefore w:val="0"/>
        <w:numPr>
          <w:ilvl w:val="0"/>
          <w:numId w:val="7"/>
        </w:numPr>
        <w:kinsoku/>
        <w:wordWrap/>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供应商应列明按“采购需求”所要求提供的所有报价项的价格明细。</w:t>
      </w:r>
    </w:p>
    <w:p>
      <w:pPr>
        <w:pStyle w:val="94"/>
        <w:keepNext w:val="0"/>
        <w:keepLines w:val="0"/>
        <w:pageBreakBefore w:val="0"/>
        <w:numPr>
          <w:ilvl w:val="0"/>
          <w:numId w:val="7"/>
        </w:numPr>
        <w:kinsoku/>
        <w:wordWrap/>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货物名称与产品注册证登记名称保持一致。</w:t>
      </w:r>
    </w:p>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p>
    <w:tbl>
      <w:tblPr>
        <w:tblStyle w:val="45"/>
        <w:tblW w:w="9345" w:type="dxa"/>
        <w:tblInd w:w="0" w:type="dxa"/>
        <w:tblLayout w:type="fixed"/>
        <w:tblCellMar>
          <w:top w:w="0" w:type="dxa"/>
          <w:left w:w="108" w:type="dxa"/>
          <w:bottom w:w="0" w:type="dxa"/>
          <w:right w:w="108" w:type="dxa"/>
        </w:tblCellMar>
      </w:tblPr>
      <w:tblGrid>
        <w:gridCol w:w="5353"/>
        <w:gridCol w:w="3992"/>
      </w:tblGrid>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overflowPunct w:val="0"/>
              <w:topLinePunct w:val="0"/>
              <w:bidi w:val="0"/>
              <w:adjustRightInd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c>
          <w:tcPr>
            <w:tcW w:w="3992" w:type="dxa"/>
            <w:shd w:val="clear" w:color="auto" w:fill="auto"/>
          </w:tcPr>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c>
          <w:tcPr>
            <w:tcW w:w="3992" w:type="dxa"/>
            <w:shd w:val="clear" w:color="auto" w:fill="auto"/>
          </w:tcPr>
          <w:p>
            <w:pPr>
              <w:keepNext w:val="0"/>
              <w:keepLines w:val="0"/>
              <w:pageBreakBefore w:val="0"/>
              <w:kinsoku/>
              <w:wordWrap/>
              <w:topLinePunct w:val="0"/>
              <w:bidi w:val="0"/>
              <w:snapToGrid/>
              <w:spacing w:line="288" w:lineRule="auto"/>
              <w:textAlignment w:val="auto"/>
              <w:rPr>
                <w:rFonts w:hint="eastAsia" w:ascii="宋体" w:hAnsi="宋体" w:eastAsia="宋体" w:cs="宋体"/>
                <w:color w:val="auto"/>
                <w:sz w:val="24"/>
                <w:szCs w:val="24"/>
                <w:highlight w:val="none"/>
              </w:rPr>
            </w:pPr>
          </w:p>
        </w:tc>
      </w:tr>
    </w:tbl>
    <w:p>
      <w:pPr>
        <w:keepNext w:val="0"/>
        <w:keepLines w:val="0"/>
        <w:pageBreakBefore w:val="0"/>
        <w:kinsoku/>
        <w:wordWrap/>
        <w:topLinePunct w:val="0"/>
        <w:autoSpaceDE w:val="0"/>
        <w:autoSpaceDN w:val="0"/>
        <w:bidi w:val="0"/>
        <w:adjustRightInd w:val="0"/>
        <w:snapToGrid/>
        <w:spacing w:before="120" w:beforeLines="50" w:after="120" w:afterLines="50" w:line="288" w:lineRule="auto"/>
        <w:jc w:val="center"/>
        <w:textAlignment w:val="auto"/>
        <w:rPr>
          <w:rFonts w:hint="eastAsia" w:ascii="宋体" w:hAnsi="宋体" w:eastAsia="宋体" w:cs="宋体"/>
          <w:b/>
          <w:color w:val="auto"/>
          <w:sz w:val="24"/>
          <w:szCs w:val="24"/>
          <w:highlight w:val="none"/>
        </w:rPr>
      </w:pP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三、投标函</w:t>
      </w:r>
    </w:p>
    <w:p>
      <w:pPr>
        <w:keepNext w:val="0"/>
        <w:keepLines w:val="0"/>
        <w:pageBreakBefore w:val="0"/>
        <w:kinsoku/>
        <w:wordWrap/>
        <w:overflowPunct/>
        <w:topLinePunct w:val="0"/>
        <w:bidi w:val="0"/>
        <w:snapToGrid/>
        <w:spacing w:before="120" w:beforeLines="50" w:after="120" w:afterLines="50"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致：</w:t>
      </w:r>
      <w:r>
        <w:rPr>
          <w:rFonts w:hint="eastAsia" w:ascii="宋体" w:hAnsi="宋体" w:eastAsia="宋体" w:cs="宋体"/>
          <w:b/>
          <w:color w:val="auto"/>
          <w:sz w:val="24"/>
          <w:szCs w:val="24"/>
          <w:highlight w:val="none"/>
          <w:u w:val="single"/>
        </w:rPr>
        <w:t>(采购代理机构名称)</w:t>
      </w:r>
    </w:p>
    <w:p>
      <w:pPr>
        <w:keepNext w:val="0"/>
        <w:keepLines w:val="0"/>
        <w:pageBreakBefore w:val="0"/>
        <w:kinsoku/>
        <w:wordWrap/>
        <w:overflowPunct/>
        <w:topLinePunct w:val="0"/>
        <w:autoSpaceDE w:val="0"/>
        <w:autoSpaceDN w:val="0"/>
        <w:bidi w:val="0"/>
        <w:adjustRightInd w:val="0"/>
        <w:snapToGrid/>
        <w:spacing w:line="288" w:lineRule="auto"/>
        <w:ind w:right="26"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依据贵方</w:t>
      </w:r>
      <w:r>
        <w:rPr>
          <w:rFonts w:hint="eastAsia" w:ascii="宋体" w:hAnsi="宋体" w:eastAsia="宋体" w:cs="宋体"/>
          <w:b/>
          <w:bCs/>
          <w:color w:val="auto"/>
          <w:sz w:val="24"/>
          <w:szCs w:val="24"/>
          <w:highlight w:val="none"/>
          <w:u w:val="single"/>
        </w:rPr>
        <w:t>项目名称</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w:t>
      </w:r>
      <w:r>
        <w:rPr>
          <w:rFonts w:hint="eastAsia" w:ascii="宋体" w:hAnsi="宋体" w:eastAsia="宋体" w:cs="宋体"/>
          <w:b/>
          <w:bCs/>
          <w:color w:val="auto"/>
          <w:sz w:val="24"/>
          <w:szCs w:val="24"/>
          <w:highlight w:val="none"/>
          <w:u w:val="single"/>
        </w:rPr>
        <w:t>项目编号：</w:t>
      </w:r>
      <w:r>
        <w:rPr>
          <w:rFonts w:hint="eastAsia" w:ascii="宋体" w:hAnsi="宋体" w:eastAsia="宋体" w:cs="宋体"/>
          <w:bCs/>
          <w:color w:val="auto"/>
          <w:sz w:val="24"/>
          <w:szCs w:val="24"/>
          <w:highlight w:val="none"/>
          <w:u w:val="single"/>
        </w:rPr>
        <w:t xml:space="preserve">        ) </w:t>
      </w:r>
      <w:r>
        <w:rPr>
          <w:rFonts w:hint="eastAsia" w:ascii="宋体" w:hAnsi="宋体" w:eastAsia="宋体" w:cs="宋体"/>
          <w:bCs/>
          <w:color w:val="auto"/>
          <w:sz w:val="24"/>
          <w:szCs w:val="24"/>
          <w:highlight w:val="none"/>
        </w:rPr>
        <w:t>招标货物及服务的投标，我方代表</w:t>
      </w:r>
      <w:r>
        <w:rPr>
          <w:rFonts w:hint="eastAsia" w:ascii="宋体" w:hAnsi="宋体" w:eastAsia="宋体" w:cs="宋体"/>
          <w:b/>
          <w:bCs/>
          <w:color w:val="auto"/>
          <w:sz w:val="24"/>
          <w:szCs w:val="24"/>
          <w:highlight w:val="none"/>
          <w:u w:val="single"/>
        </w:rPr>
        <w:t>（姓名、职务）</w:t>
      </w:r>
      <w:r>
        <w:rPr>
          <w:rFonts w:hint="eastAsia" w:ascii="宋体" w:hAnsi="宋体" w:eastAsia="宋体" w:cs="宋体"/>
          <w:bCs/>
          <w:color w:val="auto"/>
          <w:sz w:val="24"/>
          <w:szCs w:val="24"/>
          <w:highlight w:val="none"/>
        </w:rPr>
        <w:t>经正式授权并代表</w:t>
      </w:r>
      <w:r>
        <w:rPr>
          <w:rFonts w:hint="eastAsia" w:ascii="宋体" w:hAnsi="宋体" w:eastAsia="宋体" w:cs="宋体"/>
          <w:b/>
          <w:bCs/>
          <w:color w:val="auto"/>
          <w:sz w:val="24"/>
          <w:szCs w:val="24"/>
          <w:highlight w:val="none"/>
          <w:u w:val="single"/>
        </w:rPr>
        <w:t>（供应商名称）</w:t>
      </w:r>
      <w:r>
        <w:rPr>
          <w:rFonts w:hint="eastAsia" w:ascii="宋体" w:hAnsi="宋体" w:eastAsia="宋体" w:cs="宋体"/>
          <w:bCs/>
          <w:color w:val="auto"/>
          <w:sz w:val="24"/>
          <w:szCs w:val="24"/>
          <w:highlight w:val="none"/>
        </w:rPr>
        <w:t>提交开标一览表一份、投标文件正本一份，副本</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Cs/>
          <w:color w:val="auto"/>
          <w:sz w:val="24"/>
          <w:szCs w:val="24"/>
          <w:highlight w:val="none"/>
        </w:rPr>
        <w:t>份。</w:t>
      </w:r>
    </w:p>
    <w:p>
      <w:pPr>
        <w:keepNext w:val="0"/>
        <w:keepLines w:val="0"/>
        <w:pageBreakBefore w:val="0"/>
        <w:kinsoku/>
        <w:wordWrap/>
        <w:overflowPunct/>
        <w:topLinePunct w:val="0"/>
        <w:autoSpaceDE w:val="0"/>
        <w:autoSpaceDN w:val="0"/>
        <w:bidi w:val="0"/>
        <w:adjustRightInd w:val="0"/>
        <w:snapToGrid/>
        <w:spacing w:line="288" w:lineRule="auto"/>
        <w:ind w:right="24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在此，我方声明如下：</w:t>
      </w:r>
    </w:p>
    <w:p>
      <w:pPr>
        <w:pStyle w:val="94"/>
        <w:keepNext w:val="0"/>
        <w:keepLines w:val="0"/>
        <w:pageBreakBefore w:val="0"/>
        <w:numPr>
          <w:ilvl w:val="0"/>
          <w:numId w:val="8"/>
        </w:numPr>
        <w:kinsoku/>
        <w:wordWrap/>
        <w:overflowPunct/>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同意并接受招标文件的各项要求，遵守招标文件中的各项规定，按招标文件的要求提供报价</w:t>
      </w:r>
      <w:r>
        <w:rPr>
          <w:rFonts w:hint="eastAsia" w:ascii="宋体" w:hAnsi="宋体" w:eastAsia="宋体" w:cs="宋体"/>
          <w:color w:val="auto"/>
          <w:sz w:val="24"/>
          <w:szCs w:val="24"/>
          <w:highlight w:val="none"/>
        </w:rPr>
        <w:t>。</w:t>
      </w:r>
    </w:p>
    <w:p>
      <w:pPr>
        <w:pStyle w:val="94"/>
        <w:keepNext w:val="0"/>
        <w:keepLines w:val="0"/>
        <w:pageBreakBefore w:val="0"/>
        <w:numPr>
          <w:ilvl w:val="0"/>
          <w:numId w:val="8"/>
        </w:numPr>
        <w:kinsoku/>
        <w:wordWrap/>
        <w:overflowPunct/>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投标有效期为递交投标文件截止日后90天，中标人投标有效期延至合同验收之日。</w:t>
      </w:r>
    </w:p>
    <w:p>
      <w:pPr>
        <w:pStyle w:val="94"/>
        <w:keepNext w:val="0"/>
        <w:keepLines w:val="0"/>
        <w:pageBreakBefore w:val="0"/>
        <w:numPr>
          <w:ilvl w:val="0"/>
          <w:numId w:val="8"/>
        </w:numPr>
        <w:kinsoku/>
        <w:wordWrap/>
        <w:overflowPunct/>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94"/>
        <w:keepNext w:val="0"/>
        <w:keepLines w:val="0"/>
        <w:pageBreakBefore w:val="0"/>
        <w:numPr>
          <w:ilvl w:val="0"/>
          <w:numId w:val="8"/>
        </w:numPr>
        <w:kinsoku/>
        <w:wordWrap/>
        <w:overflowPunct/>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我方已毫无保留地向贵方提供一切所需的证明材料。</w:t>
      </w:r>
    </w:p>
    <w:p>
      <w:pPr>
        <w:pStyle w:val="94"/>
        <w:keepNext w:val="0"/>
        <w:keepLines w:val="0"/>
        <w:pageBreakBefore w:val="0"/>
        <w:numPr>
          <w:ilvl w:val="0"/>
          <w:numId w:val="8"/>
        </w:numPr>
        <w:kinsoku/>
        <w:wordWrap/>
        <w:overflowPunct/>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我方承诺在本次投标文件中提供的一切文件，无论是原件还是复印件均为真实和准确的，绝无任何虚假、伪造和夸大的成份，否则，愿承担相应的后果和法律责任。</w:t>
      </w:r>
    </w:p>
    <w:p>
      <w:pPr>
        <w:pStyle w:val="94"/>
        <w:keepNext w:val="0"/>
        <w:keepLines w:val="0"/>
        <w:pageBreakBefore w:val="0"/>
        <w:numPr>
          <w:ilvl w:val="0"/>
          <w:numId w:val="8"/>
        </w:numPr>
        <w:kinsoku/>
        <w:wordWrap/>
        <w:overflowPunct/>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我方完全服从和尊重评委会所作的评定结果，同时清楚理解到报价最低并非意味着必定获得中标资格。</w:t>
      </w:r>
    </w:p>
    <w:p>
      <w:pPr>
        <w:pStyle w:val="94"/>
        <w:keepNext w:val="0"/>
        <w:keepLines w:val="0"/>
        <w:pageBreakBefore w:val="0"/>
        <w:numPr>
          <w:ilvl w:val="0"/>
          <w:numId w:val="8"/>
        </w:numPr>
        <w:kinsoku/>
        <w:wordWrap/>
        <w:overflowPunct/>
        <w:topLinePunct w:val="0"/>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我方同意按招标文件规定向采购代理机构缴纳中标服务费。</w:t>
      </w:r>
    </w:p>
    <w:p>
      <w:pPr>
        <w:pStyle w:val="94"/>
        <w:keepNext w:val="0"/>
        <w:keepLines w:val="0"/>
        <w:pageBreakBefore w:val="0"/>
        <w:kinsoku/>
        <w:wordWrap/>
        <w:overflowPunct/>
        <w:topLinePunct w:val="0"/>
        <w:bidi w:val="0"/>
        <w:snapToGrid/>
        <w:spacing w:line="288" w:lineRule="auto"/>
        <w:ind w:left="420" w:firstLine="0" w:firstLineChars="0"/>
        <w:textAlignment w:val="auto"/>
        <w:rPr>
          <w:rFonts w:hint="eastAsia" w:ascii="宋体" w:hAnsi="宋体" w:eastAsia="宋体" w:cs="宋体"/>
          <w:color w:val="auto"/>
          <w:sz w:val="24"/>
          <w:szCs w:val="24"/>
          <w:highlight w:val="none"/>
        </w:rPr>
      </w:pPr>
    </w:p>
    <w:tbl>
      <w:tblPr>
        <w:tblStyle w:val="45"/>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shd w:val="clear" w:color="auto" w:fill="auto"/>
          </w:tcPr>
          <w:p>
            <w:pPr>
              <w:keepNext w:val="0"/>
              <w:keepLines w:val="0"/>
              <w:pageBreakBefore w:val="0"/>
              <w:kinsoku/>
              <w:wordWrap/>
              <w:overflowPunct/>
              <w:topLinePunct w:val="0"/>
              <w:bidi w:val="0"/>
              <w:snapToGrid/>
              <w:spacing w:before="120" w:beforeLines="5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供应商地址：</w:t>
            </w:r>
          </w:p>
        </w:tc>
        <w:tc>
          <w:tcPr>
            <w:tcW w:w="4264" w:type="dxa"/>
            <w:shd w:val="clear" w:color="auto" w:fill="auto"/>
          </w:tcPr>
          <w:p>
            <w:pPr>
              <w:keepNext w:val="0"/>
              <w:keepLines w:val="0"/>
              <w:pageBreakBefore w:val="0"/>
              <w:kinsoku/>
              <w:wordWrap/>
              <w:overflowPunct/>
              <w:topLinePunct w:val="0"/>
              <w:bidi w:val="0"/>
              <w:snapToGrid/>
              <w:spacing w:before="120" w:beforeLines="5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p>
        </w:tc>
      </w:tr>
      <w:tr>
        <w:tblPrEx>
          <w:tblCellMar>
            <w:top w:w="0" w:type="dxa"/>
            <w:left w:w="108" w:type="dxa"/>
            <w:bottom w:w="0" w:type="dxa"/>
            <w:right w:w="108" w:type="dxa"/>
          </w:tblCellMar>
        </w:tblPrEx>
        <w:trPr>
          <w:jc w:val="center"/>
        </w:trPr>
        <w:tc>
          <w:tcPr>
            <w:tcW w:w="4264" w:type="dxa"/>
            <w:shd w:val="clear" w:color="auto" w:fill="auto"/>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4264" w:type="dxa"/>
            <w:shd w:val="clear" w:color="auto" w:fill="auto"/>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r>
      <w:tr>
        <w:tblPrEx>
          <w:tblCellMar>
            <w:top w:w="0" w:type="dxa"/>
            <w:left w:w="108" w:type="dxa"/>
            <w:bottom w:w="0" w:type="dxa"/>
            <w:right w:w="108" w:type="dxa"/>
          </w:tblCellMar>
        </w:tblPrEx>
        <w:trPr>
          <w:jc w:val="center"/>
        </w:trPr>
        <w:tc>
          <w:tcPr>
            <w:tcW w:w="4264" w:type="dxa"/>
            <w:shd w:val="clear" w:color="auto" w:fill="auto"/>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w:t>
            </w:r>
          </w:p>
        </w:tc>
        <w:tc>
          <w:tcPr>
            <w:tcW w:w="4264" w:type="dxa"/>
            <w:shd w:val="clear" w:color="auto" w:fill="auto"/>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tc>
      </w:tr>
      <w:tr>
        <w:tblPrEx>
          <w:tblCellMar>
            <w:top w:w="0" w:type="dxa"/>
            <w:left w:w="108" w:type="dxa"/>
            <w:bottom w:w="0" w:type="dxa"/>
            <w:right w:w="108" w:type="dxa"/>
          </w:tblCellMar>
        </w:tblPrEx>
        <w:trPr>
          <w:jc w:val="center"/>
        </w:trPr>
        <w:tc>
          <w:tcPr>
            <w:tcW w:w="8528" w:type="dxa"/>
            <w:gridSpan w:val="2"/>
            <w:shd w:val="clear" w:color="auto" w:fill="auto"/>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r>
      <w:tr>
        <w:tblPrEx>
          <w:tblCellMar>
            <w:top w:w="0" w:type="dxa"/>
            <w:left w:w="108" w:type="dxa"/>
            <w:bottom w:w="0" w:type="dxa"/>
            <w:right w:w="108" w:type="dxa"/>
          </w:tblCellMar>
        </w:tblPrEx>
        <w:trPr>
          <w:jc w:val="center"/>
        </w:trPr>
        <w:tc>
          <w:tcPr>
            <w:tcW w:w="8528" w:type="dxa"/>
            <w:gridSpan w:val="2"/>
            <w:shd w:val="clear" w:color="auto" w:fill="auto"/>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供应商法定代表人或被授权人（签名或盖章）：</w:t>
            </w:r>
          </w:p>
        </w:tc>
      </w:tr>
      <w:tr>
        <w:tblPrEx>
          <w:tblCellMar>
            <w:top w:w="0" w:type="dxa"/>
            <w:left w:w="108" w:type="dxa"/>
            <w:bottom w:w="0" w:type="dxa"/>
            <w:right w:w="108" w:type="dxa"/>
          </w:tblCellMar>
        </w:tblPrEx>
        <w:trPr>
          <w:jc w:val="center"/>
        </w:trPr>
        <w:tc>
          <w:tcPr>
            <w:tcW w:w="8528" w:type="dxa"/>
            <w:gridSpan w:val="2"/>
            <w:shd w:val="clear" w:color="auto" w:fill="auto"/>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r>
    </w:tbl>
    <w:p>
      <w:pPr>
        <w:spacing w:before="120" w:beforeLines="50" w:after="120" w:afterLines="50" w:line="360" w:lineRule="auto"/>
        <w:jc w:val="center"/>
        <w:rPr>
          <w:rFonts w:hint="eastAsia" w:ascii="宋体" w:hAnsi="宋体" w:eastAsia="宋体" w:cs="宋体"/>
          <w:b/>
          <w:color w:val="auto"/>
          <w:spacing w:val="20"/>
          <w:sz w:val="30"/>
          <w:szCs w:val="30"/>
          <w:highlight w:val="none"/>
        </w:rPr>
      </w:pPr>
    </w:p>
    <w:p>
      <w:pPr>
        <w:rPr>
          <w:rFonts w:hint="eastAsia" w:ascii="宋体" w:hAnsi="宋体" w:eastAsia="宋体" w:cs="宋体"/>
          <w:b/>
          <w:color w:val="auto"/>
          <w:spacing w:val="20"/>
          <w:sz w:val="30"/>
          <w:szCs w:val="30"/>
          <w:highlight w:val="none"/>
        </w:rPr>
      </w:pPr>
      <w:r>
        <w:rPr>
          <w:rFonts w:hint="eastAsia" w:ascii="宋体" w:hAnsi="宋体" w:eastAsia="宋体" w:cs="宋体"/>
          <w:b/>
          <w:color w:val="auto"/>
          <w:spacing w:val="20"/>
          <w:sz w:val="30"/>
          <w:szCs w:val="30"/>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四、法定代表人身份证明书</w:t>
      </w:r>
    </w:p>
    <w:p>
      <w:pPr>
        <w:keepNext w:val="0"/>
        <w:keepLines w:val="0"/>
        <w:pageBreakBefore w:val="0"/>
        <w:kinsoku/>
        <w:wordWrap/>
        <w:overflowPunct/>
        <w:topLinePunct w:val="0"/>
        <w:autoSpaceDE/>
        <w:autoSpaceDN/>
        <w:bidi w:val="0"/>
        <w:adjustRightInd/>
        <w:snapToGrid/>
        <w:spacing w:before="240" w:beforeLines="100" w:after="120" w:afterLines="50"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致：</w:t>
      </w:r>
      <w:r>
        <w:rPr>
          <w:rFonts w:hint="eastAsia" w:ascii="宋体" w:hAnsi="宋体" w:eastAsia="宋体" w:cs="宋体"/>
          <w:b/>
          <w:color w:val="auto"/>
          <w:sz w:val="24"/>
          <w:szCs w:val="24"/>
          <w:highlight w:val="none"/>
          <w:u w:val="single"/>
        </w:rPr>
        <w:t>(采购代理机构名称)</w:t>
      </w:r>
    </w:p>
    <w:tbl>
      <w:tblPr>
        <w:tblStyle w:val="45"/>
        <w:tblW w:w="8528" w:type="dxa"/>
        <w:jc w:val="center"/>
        <w:tblLayout w:type="fixed"/>
        <w:tblCellMar>
          <w:top w:w="0" w:type="dxa"/>
          <w:left w:w="108" w:type="dxa"/>
          <w:bottom w:w="0" w:type="dxa"/>
          <w:right w:w="108" w:type="dxa"/>
        </w:tblCellMar>
      </w:tblPr>
      <w:tblGrid>
        <w:gridCol w:w="2802"/>
        <w:gridCol w:w="1462"/>
        <w:gridCol w:w="4264"/>
      </w:tblGrid>
      <w:tr>
        <w:tblPrEx>
          <w:tblCellMar>
            <w:top w:w="0" w:type="dxa"/>
            <w:left w:w="108" w:type="dxa"/>
            <w:bottom w:w="0" w:type="dxa"/>
            <w:right w:w="108" w:type="dxa"/>
          </w:tblCellMar>
        </w:tblPrEx>
        <w:trPr>
          <w:jc w:val="center"/>
        </w:trPr>
        <w:tc>
          <w:tcPr>
            <w:tcW w:w="8528" w:type="dxa"/>
            <w:gridSpan w:val="3"/>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同志，现任我单位职务，为法定代表人，特此证明。</w:t>
            </w:r>
          </w:p>
        </w:tc>
      </w:tr>
      <w:tr>
        <w:tblPrEx>
          <w:tblCellMar>
            <w:top w:w="0" w:type="dxa"/>
            <w:left w:w="108" w:type="dxa"/>
            <w:bottom w:w="0" w:type="dxa"/>
            <w:right w:w="108" w:type="dxa"/>
          </w:tblCellMar>
        </w:tblPrEx>
        <w:trPr>
          <w:jc w:val="center"/>
        </w:trPr>
        <w:tc>
          <w:tcPr>
            <w:tcW w:w="8528" w:type="dxa"/>
            <w:gridSpan w:val="3"/>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单位名称：</w:t>
            </w:r>
          </w:p>
        </w:tc>
      </w:tr>
      <w:tr>
        <w:tblPrEx>
          <w:tblCellMar>
            <w:top w:w="0" w:type="dxa"/>
            <w:left w:w="108" w:type="dxa"/>
            <w:bottom w:w="0" w:type="dxa"/>
            <w:right w:w="108" w:type="dxa"/>
          </w:tblCellMar>
        </w:tblPrEx>
        <w:trPr>
          <w:jc w:val="center"/>
        </w:trPr>
        <w:tc>
          <w:tcPr>
            <w:tcW w:w="8528" w:type="dxa"/>
            <w:gridSpan w:val="3"/>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单位地址：</w:t>
            </w:r>
          </w:p>
        </w:tc>
      </w:tr>
      <w:tr>
        <w:tblPrEx>
          <w:tblCellMar>
            <w:top w:w="0" w:type="dxa"/>
            <w:left w:w="108" w:type="dxa"/>
            <w:bottom w:w="0" w:type="dxa"/>
            <w:right w:w="108" w:type="dxa"/>
          </w:tblCellMar>
        </w:tblPrEx>
        <w:trPr>
          <w:jc w:val="center"/>
        </w:trPr>
        <w:tc>
          <w:tcPr>
            <w:tcW w:w="4264" w:type="dxa"/>
            <w:gridSpan w:val="2"/>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代表人姓名：</w:t>
            </w:r>
          </w:p>
        </w:tc>
        <w:tc>
          <w:tcPr>
            <w:tcW w:w="4264"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代表人联系电话：</w:t>
            </w:r>
          </w:p>
        </w:tc>
      </w:tr>
      <w:tr>
        <w:tblPrEx>
          <w:tblCellMar>
            <w:top w:w="0" w:type="dxa"/>
            <w:left w:w="108" w:type="dxa"/>
            <w:bottom w:w="0" w:type="dxa"/>
            <w:right w:w="108" w:type="dxa"/>
          </w:tblCellMar>
        </w:tblPrEx>
        <w:trPr>
          <w:jc w:val="center"/>
        </w:trPr>
        <w:tc>
          <w:tcPr>
            <w:tcW w:w="4264" w:type="dxa"/>
            <w:gridSpan w:val="2"/>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代表人性别：</w:t>
            </w:r>
          </w:p>
        </w:tc>
        <w:tc>
          <w:tcPr>
            <w:tcW w:w="4264"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代表人年龄：</w:t>
            </w:r>
          </w:p>
        </w:tc>
      </w:tr>
      <w:tr>
        <w:tblPrEx>
          <w:tblCellMar>
            <w:top w:w="0" w:type="dxa"/>
            <w:left w:w="108" w:type="dxa"/>
            <w:bottom w:w="0" w:type="dxa"/>
            <w:right w:w="108" w:type="dxa"/>
          </w:tblCellMar>
        </w:tblPrEx>
        <w:trPr>
          <w:jc w:val="center"/>
        </w:trPr>
        <w:tc>
          <w:tcPr>
            <w:tcW w:w="4264" w:type="dxa"/>
            <w:gridSpan w:val="2"/>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代表人身份证号码：</w:t>
            </w:r>
          </w:p>
        </w:tc>
        <w:tc>
          <w:tcPr>
            <w:tcW w:w="4264"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营业执照或事业单位法人证书号码：</w:t>
            </w:r>
          </w:p>
        </w:tc>
      </w:tr>
      <w:tr>
        <w:tblPrEx>
          <w:tblCellMar>
            <w:top w:w="0" w:type="dxa"/>
            <w:left w:w="108" w:type="dxa"/>
            <w:bottom w:w="0" w:type="dxa"/>
            <w:right w:w="108" w:type="dxa"/>
          </w:tblCellMar>
        </w:tblPrEx>
        <w:trPr>
          <w:jc w:val="center"/>
        </w:trPr>
        <w:tc>
          <w:tcPr>
            <w:tcW w:w="4264" w:type="dxa"/>
            <w:gridSpan w:val="2"/>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p>
        </w:tc>
        <w:tc>
          <w:tcPr>
            <w:tcW w:w="4264"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p>
        </w:tc>
      </w:tr>
      <w:tr>
        <w:tblPrEx>
          <w:tblCellMar>
            <w:top w:w="0" w:type="dxa"/>
            <w:left w:w="108" w:type="dxa"/>
            <w:bottom w:w="0" w:type="dxa"/>
            <w:right w:w="108" w:type="dxa"/>
          </w:tblCellMar>
        </w:tblPrEx>
        <w:trPr>
          <w:jc w:val="center"/>
        </w:trPr>
        <w:tc>
          <w:tcPr>
            <w:tcW w:w="8528" w:type="dxa"/>
            <w:gridSpan w:val="3"/>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主营（产）：</w:t>
            </w:r>
          </w:p>
        </w:tc>
      </w:tr>
      <w:tr>
        <w:tblPrEx>
          <w:tblCellMar>
            <w:top w:w="0" w:type="dxa"/>
            <w:left w:w="108" w:type="dxa"/>
            <w:bottom w:w="0" w:type="dxa"/>
            <w:right w:w="108" w:type="dxa"/>
          </w:tblCellMar>
        </w:tblPrEx>
        <w:trPr>
          <w:jc w:val="center"/>
        </w:trPr>
        <w:tc>
          <w:tcPr>
            <w:tcW w:w="8528" w:type="dxa"/>
            <w:gridSpan w:val="3"/>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兼营（产）：</w:t>
            </w:r>
          </w:p>
        </w:tc>
      </w:tr>
      <w:tr>
        <w:tblPrEx>
          <w:tblCellMar>
            <w:top w:w="0" w:type="dxa"/>
            <w:left w:w="108" w:type="dxa"/>
            <w:bottom w:w="0" w:type="dxa"/>
            <w:right w:w="108" w:type="dxa"/>
          </w:tblCellMar>
        </w:tblPrEx>
        <w:trPr>
          <w:trHeight w:val="461" w:hRule="atLeast"/>
          <w:jc w:val="center"/>
        </w:trPr>
        <w:tc>
          <w:tcPr>
            <w:tcW w:w="852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tc>
      </w:tr>
      <w:tr>
        <w:tblPrEx>
          <w:tblCellMar>
            <w:top w:w="0" w:type="dxa"/>
            <w:left w:w="108" w:type="dxa"/>
            <w:bottom w:w="0" w:type="dxa"/>
            <w:right w:w="108" w:type="dxa"/>
          </w:tblCellMar>
        </w:tblPrEx>
        <w:trPr>
          <w:jc w:val="center"/>
        </w:trPr>
        <w:tc>
          <w:tcPr>
            <w:tcW w:w="2802"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tc>
        <w:tc>
          <w:tcPr>
            <w:tcW w:w="5726" w:type="dxa"/>
            <w:gridSpan w:val="2"/>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r>
      <w:tr>
        <w:tblPrEx>
          <w:tblCellMar>
            <w:top w:w="0" w:type="dxa"/>
            <w:left w:w="108" w:type="dxa"/>
            <w:bottom w:w="0" w:type="dxa"/>
            <w:right w:w="108" w:type="dxa"/>
          </w:tblCellMar>
        </w:tblPrEx>
        <w:trPr>
          <w:jc w:val="center"/>
        </w:trPr>
        <w:tc>
          <w:tcPr>
            <w:tcW w:w="2802"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tc>
        <w:tc>
          <w:tcPr>
            <w:tcW w:w="5726" w:type="dxa"/>
            <w:gridSpan w:val="2"/>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法定代表人（签名或盖章）：</w:t>
            </w:r>
          </w:p>
        </w:tc>
      </w:tr>
      <w:tr>
        <w:tblPrEx>
          <w:tblCellMar>
            <w:top w:w="0" w:type="dxa"/>
            <w:left w:w="108" w:type="dxa"/>
            <w:bottom w:w="0" w:type="dxa"/>
            <w:right w:w="108" w:type="dxa"/>
          </w:tblCellMar>
        </w:tblPrEx>
        <w:trPr>
          <w:jc w:val="center"/>
        </w:trPr>
        <w:tc>
          <w:tcPr>
            <w:tcW w:w="2802"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tc>
        <w:tc>
          <w:tcPr>
            <w:tcW w:w="5726" w:type="dxa"/>
            <w:gridSpan w:val="2"/>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r>
    </w:tbl>
    <w:p>
      <w:pPr>
        <w:keepNext w:val="0"/>
        <w:keepLines w:val="0"/>
        <w:pageBreakBefore w:val="0"/>
        <w:kinsoku/>
        <w:wordWrap/>
        <w:overflowPunct/>
        <w:topLinePunct w:val="0"/>
        <w:autoSpaceDE/>
        <w:autoSpaceDN/>
        <w:bidi w:val="0"/>
        <w:adjustRightInd/>
        <w:snapToGrid/>
        <w:spacing w:before="120" w:beforeLines="50" w:after="72" w:afterLines="3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须附：法定代表人有效期内身份证复印件</w:t>
      </w:r>
    </w:p>
    <w:tbl>
      <w:tblPr>
        <w:tblStyle w:val="45"/>
        <w:tblW w:w="8941"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677"/>
        <w:gridCol w:w="426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833" w:hRule="atLeast"/>
          <w:jc w:val="center"/>
        </w:trPr>
        <w:tc>
          <w:tcPr>
            <w:tcW w:w="4677" w:type="dxa"/>
            <w:vAlign w:val="center"/>
          </w:tcPr>
          <w:p>
            <w:pPr>
              <w:pStyle w:val="135"/>
              <w:keepNext w:val="0"/>
              <w:keepLines w:val="0"/>
              <w:pageBreakBefore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正面</w:t>
            </w:r>
          </w:p>
        </w:tc>
        <w:tc>
          <w:tcPr>
            <w:tcW w:w="4264" w:type="dxa"/>
            <w:vAlign w:val="center"/>
          </w:tcPr>
          <w:p>
            <w:pPr>
              <w:pStyle w:val="135"/>
              <w:keepNext w:val="0"/>
              <w:keepLines w:val="0"/>
              <w:pageBreakBefore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背面</w:t>
            </w:r>
          </w:p>
        </w:tc>
      </w:tr>
    </w:tbl>
    <w:p>
      <w:pPr>
        <w:keepNext w:val="0"/>
        <w:keepLines w:val="0"/>
        <w:pageBreakBefore w:val="0"/>
        <w:kinsoku/>
        <w:wordWrap/>
        <w:overflowPunct/>
        <w:topLinePunct w:val="0"/>
        <w:autoSpaceDE/>
        <w:autoSpaceDN/>
        <w:bidi w:val="0"/>
        <w:adjustRightInd/>
        <w:snapToGrid/>
        <w:spacing w:before="120" w:beforeLines="50" w:after="120" w:afterLines="50" w:line="288" w:lineRule="auto"/>
        <w:jc w:val="center"/>
        <w:textAlignment w:val="auto"/>
        <w:rPr>
          <w:rFonts w:hint="eastAsia" w:ascii="宋体" w:hAnsi="宋体" w:eastAsia="宋体" w:cs="宋体"/>
          <w:b/>
          <w:color w:val="auto"/>
          <w:spacing w:val="20"/>
          <w:sz w:val="24"/>
          <w:szCs w:val="24"/>
          <w:highlight w:val="none"/>
        </w:rPr>
      </w:pP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auto"/>
          <w:spacing w:val="20"/>
          <w:sz w:val="30"/>
          <w:szCs w:val="30"/>
          <w:highlight w:val="none"/>
        </w:rPr>
      </w:pPr>
      <w:r>
        <w:rPr>
          <w:rFonts w:hint="eastAsia" w:ascii="宋体" w:hAnsi="宋体" w:eastAsia="宋体" w:cs="宋体"/>
          <w:b/>
          <w:color w:val="auto"/>
          <w:spacing w:val="20"/>
          <w:sz w:val="24"/>
          <w:szCs w:val="24"/>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五、法定代表人授权委托书</w:t>
      </w:r>
    </w:p>
    <w:p>
      <w:pPr>
        <w:keepNext w:val="0"/>
        <w:keepLines w:val="0"/>
        <w:pageBreakBefore w:val="0"/>
        <w:kinsoku/>
        <w:wordWrap/>
        <w:overflowPunct/>
        <w:topLinePunct w:val="0"/>
        <w:autoSpaceDE/>
        <w:autoSpaceDN/>
        <w:bidi w:val="0"/>
        <w:adjustRightInd/>
        <w:snapToGrid/>
        <w:spacing w:before="360" w:beforeLines="150" w:after="240" w:afterLines="100"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致：</w:t>
      </w:r>
      <w:r>
        <w:rPr>
          <w:rFonts w:hint="eastAsia" w:ascii="宋体" w:hAnsi="宋体" w:eastAsia="宋体" w:cs="宋体"/>
          <w:b/>
          <w:color w:val="auto"/>
          <w:sz w:val="24"/>
          <w:szCs w:val="24"/>
          <w:highlight w:val="none"/>
          <w:u w:val="single"/>
        </w:rPr>
        <w:t>(采购代理机构名称)</w:t>
      </w:r>
    </w:p>
    <w:p>
      <w:pPr>
        <w:pStyle w:val="135"/>
        <w:keepNext w:val="0"/>
        <w:keepLines w:val="0"/>
        <w:pageBreakBefore w:val="0"/>
        <w:kinsoku/>
        <w:wordWrap/>
        <w:overflowPunct/>
        <w:topLinePunct w:val="0"/>
        <w:autoSpaceDE/>
        <w:autoSpaceDN/>
        <w:bidi w:val="0"/>
        <w:adjustRightInd/>
        <w:snapToGrid/>
        <w:spacing w:line="288" w:lineRule="auto"/>
        <w:ind w:firstLine="45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（姓名）</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（供应商名称）    </w:t>
      </w:r>
      <w:r>
        <w:rPr>
          <w:rFonts w:hint="eastAsia" w:ascii="宋体" w:hAnsi="宋体" w:eastAsia="宋体" w:cs="宋体"/>
          <w:color w:val="auto"/>
          <w:sz w:val="24"/>
          <w:szCs w:val="24"/>
          <w:highlight w:val="none"/>
        </w:rPr>
        <w:t>的法定代表人，现委托</w:t>
      </w:r>
      <w:r>
        <w:rPr>
          <w:rFonts w:hint="eastAsia" w:ascii="宋体" w:hAnsi="宋体" w:eastAsia="宋体" w:cs="宋体"/>
          <w:color w:val="auto"/>
          <w:sz w:val="24"/>
          <w:szCs w:val="24"/>
          <w:highlight w:val="none"/>
          <w:u w:val="single"/>
        </w:rPr>
        <w:t xml:space="preserve"> （姓名） </w:t>
      </w:r>
      <w:r>
        <w:rPr>
          <w:rFonts w:hint="eastAsia" w:ascii="宋体" w:hAnsi="宋体" w:eastAsia="宋体" w:cs="宋体"/>
          <w:color w:val="auto"/>
          <w:sz w:val="24"/>
          <w:szCs w:val="24"/>
          <w:highlight w:val="none"/>
        </w:rPr>
        <w:t>为我方合法代理人。代理人根据授权，以我方名义签署、澄清、说明、补正、递交、撤回、修改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项目</w:t>
      </w:r>
      <w:r>
        <w:rPr>
          <w:rFonts w:hint="eastAsia" w:ascii="宋体" w:hAnsi="宋体" w:eastAsia="宋体" w:cs="宋体"/>
          <w:color w:val="auto"/>
          <w:sz w:val="24"/>
          <w:szCs w:val="24"/>
          <w:highlight w:val="none"/>
          <w:u w:val="single"/>
        </w:rPr>
        <w:t xml:space="preserve">名称）      </w:t>
      </w:r>
      <w:r>
        <w:rPr>
          <w:rFonts w:hint="eastAsia" w:ascii="宋体" w:hAnsi="宋体" w:eastAsia="宋体" w:cs="宋体"/>
          <w:color w:val="auto"/>
          <w:sz w:val="24"/>
          <w:szCs w:val="24"/>
          <w:highlight w:val="none"/>
        </w:rPr>
        <w:t>（</w:t>
      </w:r>
      <w:r>
        <w:rPr>
          <w:rFonts w:hint="eastAsia" w:asci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编号：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）投标文件、签订合同和处理有关事宜，其法律后果由我方承担。</w:t>
      </w:r>
    </w:p>
    <w:p>
      <w:pPr>
        <w:pStyle w:val="135"/>
        <w:keepNext w:val="0"/>
        <w:keepLines w:val="0"/>
        <w:pageBreakBefore w:val="0"/>
        <w:kinsoku/>
        <w:wordWrap/>
        <w:overflowPunct/>
        <w:topLinePunct w:val="0"/>
        <w:autoSpaceDE/>
        <w:autoSpaceDN/>
        <w:bidi w:val="0"/>
        <w:adjustRightInd/>
        <w:snapToGrid/>
        <w:spacing w:line="288" w:lineRule="auto"/>
        <w:ind w:firstLine="489" w:firstLineChars="2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本委托书于</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日签字生效，特此证明。</w:t>
      </w:r>
    </w:p>
    <w:p>
      <w:pPr>
        <w:pStyle w:val="135"/>
        <w:keepNext w:val="0"/>
        <w:keepLines w:val="0"/>
        <w:pageBreakBefore w:val="0"/>
        <w:kinsoku/>
        <w:wordWrap/>
        <w:overflowPunct/>
        <w:topLinePunct w:val="0"/>
        <w:autoSpaceDE/>
        <w:autoSpaceDN/>
        <w:bidi w:val="0"/>
        <w:adjustRightInd/>
        <w:snapToGrid/>
        <w:spacing w:line="288" w:lineRule="auto"/>
        <w:ind w:firstLine="489" w:firstLineChars="2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被授权人无转委托权。</w:t>
      </w:r>
    </w:p>
    <w:p>
      <w:pPr>
        <w:pStyle w:val="135"/>
        <w:keepNext w:val="0"/>
        <w:keepLines w:val="0"/>
        <w:pageBreakBefore w:val="0"/>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color w:val="auto"/>
          <w:sz w:val="24"/>
          <w:szCs w:val="24"/>
          <w:highlight w:val="none"/>
        </w:rPr>
      </w:pPr>
    </w:p>
    <w:p>
      <w:pPr>
        <w:pStyle w:val="135"/>
        <w:keepNext w:val="0"/>
        <w:keepLines w:val="0"/>
        <w:pageBreakBefore w:val="0"/>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color w:val="auto"/>
          <w:sz w:val="24"/>
          <w:szCs w:val="24"/>
          <w:highlight w:val="none"/>
        </w:rPr>
      </w:pPr>
    </w:p>
    <w:tbl>
      <w:tblPr>
        <w:tblStyle w:val="45"/>
        <w:tblW w:w="5726" w:type="dxa"/>
        <w:tblInd w:w="0" w:type="dxa"/>
        <w:tblLayout w:type="fixed"/>
        <w:tblCellMar>
          <w:top w:w="0" w:type="dxa"/>
          <w:left w:w="108" w:type="dxa"/>
          <w:bottom w:w="0" w:type="dxa"/>
          <w:right w:w="108" w:type="dxa"/>
        </w:tblCellMar>
      </w:tblPr>
      <w:tblGrid>
        <w:gridCol w:w="5726"/>
      </w:tblGrid>
      <w:tr>
        <w:tblPrEx>
          <w:tblCellMar>
            <w:top w:w="0" w:type="dxa"/>
            <w:left w:w="108" w:type="dxa"/>
            <w:bottom w:w="0" w:type="dxa"/>
            <w:right w:w="108" w:type="dxa"/>
          </w:tblCellMar>
        </w:tblPrEx>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r>
      <w:tr>
        <w:tblPrEx>
          <w:tblCellMar>
            <w:top w:w="0" w:type="dxa"/>
            <w:left w:w="108" w:type="dxa"/>
            <w:bottom w:w="0" w:type="dxa"/>
            <w:right w:w="108" w:type="dxa"/>
          </w:tblCellMar>
        </w:tblPrEx>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法定代表人（签名或盖章）：</w:t>
            </w:r>
          </w:p>
        </w:tc>
      </w:tr>
      <w:tr>
        <w:tblPrEx>
          <w:tblCellMar>
            <w:top w:w="0" w:type="dxa"/>
            <w:left w:w="108" w:type="dxa"/>
            <w:bottom w:w="0" w:type="dxa"/>
            <w:right w:w="108" w:type="dxa"/>
          </w:tblCellMar>
        </w:tblPrEx>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tc>
      </w:tr>
      <w:tr>
        <w:tblPrEx>
          <w:tblCellMar>
            <w:top w:w="0" w:type="dxa"/>
            <w:left w:w="108" w:type="dxa"/>
            <w:bottom w:w="0" w:type="dxa"/>
            <w:right w:w="108" w:type="dxa"/>
          </w:tblCellMar>
        </w:tblPrEx>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被授权人（签名或盖章）：</w:t>
            </w:r>
          </w:p>
        </w:tc>
      </w:tr>
      <w:tr>
        <w:tblPrEx>
          <w:tblCellMar>
            <w:top w:w="0" w:type="dxa"/>
            <w:left w:w="108" w:type="dxa"/>
            <w:bottom w:w="0" w:type="dxa"/>
            <w:right w:w="108" w:type="dxa"/>
          </w:tblCellMar>
        </w:tblPrEx>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tc>
      </w:tr>
      <w:tr>
        <w:tblPrEx>
          <w:tblCellMar>
            <w:top w:w="0" w:type="dxa"/>
            <w:left w:w="108" w:type="dxa"/>
            <w:bottom w:w="0" w:type="dxa"/>
            <w:right w:w="108" w:type="dxa"/>
          </w:tblCellMar>
        </w:tblPrEx>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tc>
      </w:tr>
    </w:tbl>
    <w:p>
      <w:pPr>
        <w:pStyle w:val="135"/>
        <w:keepNext w:val="0"/>
        <w:keepLines w:val="0"/>
        <w:pageBreakBefore w:val="0"/>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color w:val="auto"/>
          <w:sz w:val="24"/>
          <w:szCs w:val="24"/>
          <w:highlight w:val="none"/>
        </w:rPr>
      </w:pPr>
    </w:p>
    <w:p>
      <w:pPr>
        <w:pStyle w:val="135"/>
        <w:keepNext w:val="0"/>
        <w:keepLines w:val="0"/>
        <w:pageBreakBefore w:val="0"/>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snapToGrid/>
        <w:spacing w:after="120" w:afterLines="5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须附：被授权人有效期内身份证复印件</w:t>
      </w:r>
    </w:p>
    <w:tbl>
      <w:tblPr>
        <w:tblStyle w:val="45"/>
        <w:tblW w:w="8799"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5"/>
        <w:gridCol w:w="426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4535" w:type="dxa"/>
            <w:vAlign w:val="center"/>
          </w:tcPr>
          <w:p>
            <w:pPr>
              <w:pStyle w:val="135"/>
              <w:keepNext w:val="0"/>
              <w:keepLines w:val="0"/>
              <w:pageBreakBefore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正面</w:t>
            </w:r>
          </w:p>
        </w:tc>
        <w:tc>
          <w:tcPr>
            <w:tcW w:w="4264" w:type="dxa"/>
            <w:vAlign w:val="center"/>
          </w:tcPr>
          <w:p>
            <w:pPr>
              <w:pStyle w:val="135"/>
              <w:keepNext w:val="0"/>
              <w:keepLines w:val="0"/>
              <w:pageBreakBefore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背面</w:t>
            </w:r>
          </w:p>
        </w:tc>
      </w:tr>
    </w:tbl>
    <w:p>
      <w:pPr>
        <w:keepNext w:val="0"/>
        <w:keepLines w:val="0"/>
        <w:pageBreakBefore w:val="0"/>
        <w:kinsoku/>
        <w:wordWrap/>
        <w:overflowPunct/>
        <w:topLinePunct w:val="0"/>
        <w:autoSpaceDE/>
        <w:autoSpaceDN/>
        <w:bidi w:val="0"/>
        <w:adjustRightInd/>
        <w:snapToGrid/>
        <w:spacing w:before="120" w:beforeLines="50" w:after="120" w:afterLines="50" w:line="288" w:lineRule="auto"/>
        <w:jc w:val="center"/>
        <w:textAlignment w:val="auto"/>
        <w:rPr>
          <w:rFonts w:hint="eastAsia" w:ascii="宋体" w:hAnsi="宋体" w:eastAsia="宋体" w:cs="宋体"/>
          <w:b/>
          <w:color w:val="auto"/>
          <w:spacing w:val="20"/>
          <w:sz w:val="24"/>
          <w:szCs w:val="24"/>
          <w:highlight w:val="none"/>
        </w:rPr>
      </w:pPr>
    </w:p>
    <w:p>
      <w:pPr>
        <w:rPr>
          <w:rFonts w:hint="eastAsia" w:ascii="宋体" w:hAnsi="宋体" w:eastAsia="宋体" w:cs="宋体"/>
          <w:b/>
          <w:color w:val="auto"/>
          <w:spacing w:val="20"/>
          <w:sz w:val="30"/>
          <w:szCs w:val="30"/>
          <w:highlight w:val="none"/>
        </w:rPr>
      </w:pPr>
      <w:r>
        <w:rPr>
          <w:rFonts w:hint="eastAsia" w:ascii="宋体" w:hAnsi="宋体" w:eastAsia="宋体" w:cs="宋体"/>
          <w:b/>
          <w:color w:val="auto"/>
          <w:spacing w:val="20"/>
          <w:sz w:val="30"/>
          <w:szCs w:val="30"/>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六、供应商基本情况说明</w:t>
      </w:r>
    </w:p>
    <w:p>
      <w:pPr>
        <w:pStyle w:val="94"/>
        <w:keepNext w:val="0"/>
        <w:keepLines w:val="0"/>
        <w:pageBreakBefore w:val="0"/>
        <w:numPr>
          <w:ilvl w:val="0"/>
          <w:numId w:val="9"/>
        </w:numPr>
        <w:kinsoku/>
        <w:wordWrap/>
        <w:topLinePunct w:val="0"/>
        <w:autoSpaceDE/>
        <w:autoSpaceDN/>
        <w:bidi w:val="0"/>
        <w:snapToGrid/>
        <w:spacing w:after="120" w:afterLines="50"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公司基本情况</w:t>
      </w:r>
    </w:p>
    <w:tbl>
      <w:tblPr>
        <w:tblStyle w:val="45"/>
        <w:tblW w:w="9096" w:type="dxa"/>
        <w:jc w:val="center"/>
        <w:tblLayout w:type="fixed"/>
        <w:tblCellMar>
          <w:top w:w="0" w:type="dxa"/>
          <w:left w:w="108" w:type="dxa"/>
          <w:bottom w:w="0" w:type="dxa"/>
          <w:right w:w="108" w:type="dxa"/>
        </w:tblCellMar>
      </w:tblPr>
      <w:tblGrid>
        <w:gridCol w:w="2114"/>
        <w:gridCol w:w="2372"/>
        <w:gridCol w:w="1039"/>
        <w:gridCol w:w="1371"/>
        <w:gridCol w:w="2200"/>
      </w:tblGrid>
      <w:tr>
        <w:trPr>
          <w:jc w:val="center"/>
        </w:trPr>
        <w:tc>
          <w:tcPr>
            <w:tcW w:w="5525" w:type="dxa"/>
            <w:gridSpan w:val="3"/>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公司名称：</w:t>
            </w:r>
          </w:p>
        </w:tc>
        <w:tc>
          <w:tcPr>
            <w:tcW w:w="3571" w:type="dxa"/>
            <w:gridSpan w:val="2"/>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公司固话：</w:t>
            </w:r>
          </w:p>
        </w:tc>
      </w:tr>
      <w:tr>
        <w:tblPrEx>
          <w:tblCellMar>
            <w:top w:w="0" w:type="dxa"/>
            <w:left w:w="108" w:type="dxa"/>
            <w:bottom w:w="0" w:type="dxa"/>
            <w:right w:w="108" w:type="dxa"/>
          </w:tblCellMar>
        </w:tblPrEx>
        <w:trPr>
          <w:jc w:val="center"/>
        </w:trPr>
        <w:tc>
          <w:tcPr>
            <w:tcW w:w="5525" w:type="dxa"/>
            <w:gridSpan w:val="3"/>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单位地址：</w:t>
            </w:r>
          </w:p>
        </w:tc>
        <w:tc>
          <w:tcPr>
            <w:tcW w:w="3571" w:type="dxa"/>
            <w:gridSpan w:val="2"/>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公司传真：</w:t>
            </w:r>
          </w:p>
        </w:tc>
      </w:tr>
      <w:tr>
        <w:tblPrEx>
          <w:tblCellMar>
            <w:top w:w="0" w:type="dxa"/>
            <w:left w:w="108" w:type="dxa"/>
            <w:bottom w:w="0" w:type="dxa"/>
            <w:right w:w="108" w:type="dxa"/>
          </w:tblCellMar>
        </w:tblPrEx>
        <w:trPr>
          <w:jc w:val="center"/>
        </w:trPr>
        <w:tc>
          <w:tcPr>
            <w:tcW w:w="5525" w:type="dxa"/>
            <w:gridSpan w:val="3"/>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3571" w:type="dxa"/>
            <w:gridSpan w:val="2"/>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p>
        </w:tc>
      </w:tr>
      <w:tr>
        <w:tblPrEx>
          <w:tblCellMar>
            <w:top w:w="0" w:type="dxa"/>
            <w:left w:w="108" w:type="dxa"/>
            <w:bottom w:w="0" w:type="dxa"/>
            <w:right w:w="108" w:type="dxa"/>
          </w:tblCellMar>
        </w:tblPrEx>
        <w:trPr>
          <w:jc w:val="center"/>
        </w:trPr>
        <w:tc>
          <w:tcPr>
            <w:tcW w:w="5525" w:type="dxa"/>
            <w:gridSpan w:val="3"/>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公司开户银行名称：</w:t>
            </w:r>
          </w:p>
        </w:tc>
        <w:tc>
          <w:tcPr>
            <w:tcW w:w="3571" w:type="dxa"/>
            <w:gridSpan w:val="2"/>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w:t>
            </w:r>
          </w:p>
        </w:tc>
      </w:tr>
      <w:tr>
        <w:tblPrEx>
          <w:tblCellMar>
            <w:top w:w="0" w:type="dxa"/>
            <w:left w:w="108" w:type="dxa"/>
            <w:bottom w:w="0" w:type="dxa"/>
            <w:right w:w="108" w:type="dxa"/>
          </w:tblCellMar>
        </w:tblPrEx>
        <w:trPr>
          <w:jc w:val="center"/>
        </w:trPr>
        <w:tc>
          <w:tcPr>
            <w:tcW w:w="9096" w:type="dxa"/>
            <w:gridSpan w:val="5"/>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营业注册执照或事业单位法人证书号：</w:t>
            </w:r>
          </w:p>
        </w:tc>
      </w:tr>
      <w:tr>
        <w:tblPrEx>
          <w:tblCellMar>
            <w:top w:w="0" w:type="dxa"/>
            <w:left w:w="108" w:type="dxa"/>
            <w:bottom w:w="0" w:type="dxa"/>
            <w:right w:w="108" w:type="dxa"/>
          </w:tblCellMar>
        </w:tblPrEx>
        <w:trPr>
          <w:trHeight w:val="583" w:hRule="atLeast"/>
          <w:jc w:val="center"/>
        </w:trPr>
        <w:tc>
          <w:tcPr>
            <w:tcW w:w="9096" w:type="dxa"/>
            <w:gridSpan w:val="5"/>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公司财务状况：（如需）                            【价格单位：（人民币）元】</w:t>
            </w:r>
          </w:p>
        </w:tc>
      </w:tr>
      <w:tr>
        <w:tblPrEx>
          <w:tblCellMar>
            <w:top w:w="0" w:type="dxa"/>
            <w:left w:w="108" w:type="dxa"/>
            <w:bottom w:w="0" w:type="dxa"/>
            <w:right w:w="108" w:type="dxa"/>
          </w:tblCellMar>
        </w:tblPrEx>
        <w:trPr>
          <w:jc w:val="center"/>
        </w:trPr>
        <w:tc>
          <w:tcPr>
            <w:tcW w:w="211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度</w:t>
            </w:r>
          </w:p>
        </w:tc>
        <w:tc>
          <w:tcPr>
            <w:tcW w:w="23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总资产（元）</w:t>
            </w:r>
          </w:p>
        </w:tc>
        <w:tc>
          <w:tcPr>
            <w:tcW w:w="241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年营业额（元）</w:t>
            </w:r>
          </w:p>
        </w:tc>
        <w:tc>
          <w:tcPr>
            <w:tcW w:w="22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年净利润（元）</w:t>
            </w:r>
          </w:p>
        </w:tc>
      </w:tr>
      <w:tr>
        <w:tblPrEx>
          <w:tblCellMar>
            <w:top w:w="0" w:type="dxa"/>
            <w:left w:w="108" w:type="dxa"/>
            <w:bottom w:w="0" w:type="dxa"/>
            <w:right w:w="108" w:type="dxa"/>
          </w:tblCellMar>
        </w:tblPrEx>
        <w:trPr>
          <w:jc w:val="center"/>
        </w:trPr>
        <w:tc>
          <w:tcPr>
            <w:tcW w:w="2114" w:type="dxa"/>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c>
          <w:tcPr>
            <w:tcW w:w="2372" w:type="dxa"/>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c>
          <w:tcPr>
            <w:tcW w:w="2410" w:type="dxa"/>
            <w:gridSpan w:val="2"/>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c>
          <w:tcPr>
            <w:tcW w:w="2200" w:type="dxa"/>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jc w:val="center"/>
        </w:trPr>
        <w:tc>
          <w:tcPr>
            <w:tcW w:w="2114" w:type="dxa"/>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c>
          <w:tcPr>
            <w:tcW w:w="2372" w:type="dxa"/>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c>
          <w:tcPr>
            <w:tcW w:w="2410" w:type="dxa"/>
            <w:gridSpan w:val="2"/>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c>
          <w:tcPr>
            <w:tcW w:w="2200" w:type="dxa"/>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bl>
    <w:p>
      <w:pPr>
        <w:keepNext w:val="0"/>
        <w:keepLines w:val="0"/>
        <w:pageBreakBefore w:val="0"/>
        <w:kinsoku/>
        <w:wordWrap/>
        <w:topLinePunct w:val="0"/>
        <w:autoSpaceDE/>
        <w:autoSpaceDN/>
        <w:bidi w:val="0"/>
        <w:snapToGrid/>
        <w:spacing w:before="120" w:beforeLines="50" w:after="120" w:afterLines="50" w:line="288"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备注：需提供证明资料内容详见</w:t>
      </w:r>
      <w:r>
        <w:rPr>
          <w:rFonts w:hint="eastAsia" w:ascii="宋体" w:hAnsi="宋体" w:eastAsia="宋体" w:cs="宋体"/>
          <w:color w:val="auto"/>
          <w:sz w:val="24"/>
          <w:szCs w:val="24"/>
          <w:highlight w:val="none"/>
          <w:u w:val="single"/>
        </w:rPr>
        <w:t>（评标方法）</w:t>
      </w:r>
      <w:r>
        <w:rPr>
          <w:rFonts w:hint="eastAsia" w:ascii="宋体" w:hAnsi="宋体" w:eastAsia="宋体" w:cs="宋体"/>
          <w:color w:val="auto"/>
          <w:sz w:val="24"/>
          <w:szCs w:val="24"/>
          <w:highlight w:val="none"/>
        </w:rPr>
        <w:t>。</w:t>
      </w:r>
    </w:p>
    <w:p>
      <w:pPr>
        <w:keepNext w:val="0"/>
        <w:keepLines w:val="0"/>
        <w:pageBreakBefore w:val="0"/>
        <w:kinsoku/>
        <w:wordWrap/>
        <w:topLinePunct w:val="0"/>
        <w:autoSpaceDE/>
        <w:autoSpaceDN/>
        <w:bidi w:val="0"/>
        <w:snapToGrid/>
        <w:spacing w:before="120" w:beforeLines="50" w:after="360" w:afterLines="150" w:line="288"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before="120" w:beforeLines="50" w:after="360" w:afterLines="150"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兹证明上述声明是真实、正确的，并提供了全部能提供的资料和数据，我方同意遵照贵方要求出示有关证明文件。</w:t>
      </w:r>
    </w:p>
    <w:tbl>
      <w:tblPr>
        <w:tblStyle w:val="45"/>
        <w:tblW w:w="8528" w:type="dxa"/>
        <w:tblInd w:w="0" w:type="dxa"/>
        <w:tblLayout w:type="fixed"/>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overflowPunct w:val="0"/>
              <w:topLinePunct w:val="0"/>
              <w:autoSpaceDE/>
              <w:autoSpaceDN/>
              <w:bidi w:val="0"/>
              <w:adjustRightInd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c>
          <w:tcPr>
            <w:tcW w:w="3175"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c>
          <w:tcPr>
            <w:tcW w:w="3175"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bl>
    <w:p>
      <w:pPr>
        <w:rPr>
          <w:rFonts w:hint="eastAsia" w:ascii="宋体" w:hAnsi="宋体" w:eastAsia="宋体" w:cs="宋体"/>
          <w:b/>
          <w:color w:val="auto"/>
          <w:spacing w:val="20"/>
          <w:sz w:val="21"/>
          <w:szCs w:val="21"/>
          <w:highlight w:val="none"/>
        </w:rPr>
      </w:pPr>
      <w:r>
        <w:rPr>
          <w:rFonts w:hint="eastAsia" w:ascii="宋体" w:hAnsi="宋体" w:eastAsia="宋体" w:cs="宋体"/>
          <w:b/>
          <w:color w:val="auto"/>
          <w:spacing w:val="20"/>
          <w:sz w:val="21"/>
          <w:szCs w:val="21"/>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七、承诺书</w:t>
      </w:r>
    </w:p>
    <w:p>
      <w:pPr>
        <w:pStyle w:val="135"/>
        <w:keepNext w:val="0"/>
        <w:keepLines w:val="0"/>
        <w:pageBreakBefore w:val="0"/>
        <w:kinsoku/>
        <w:wordWrap/>
        <w:overflowPunct/>
        <w:topLinePunct w:val="0"/>
        <w:autoSpaceDE/>
        <w:autoSpaceDN/>
        <w:bidi w:val="0"/>
        <w:adjustRightInd/>
        <w:snapToGrid/>
        <w:spacing w:line="288" w:lineRule="auto"/>
        <w:ind w:firstLine="441"/>
        <w:textAlignment w:val="auto"/>
        <w:rPr>
          <w:rFonts w:hint="eastAsia" w:ascii="宋体" w:hAnsi="宋体" w:eastAsia="宋体" w:cs="宋体"/>
          <w:color w:val="auto"/>
          <w:spacing w:val="2"/>
          <w:sz w:val="24"/>
          <w:szCs w:val="24"/>
          <w:highlight w:val="none"/>
        </w:rPr>
      </w:pPr>
      <w:bookmarkStart w:id="44" w:name="_Toc313537922"/>
      <w:r>
        <w:rPr>
          <w:rFonts w:hint="eastAsia" w:ascii="宋体" w:hAnsi="宋体" w:eastAsia="宋体" w:cs="宋体"/>
          <w:color w:val="auto"/>
          <w:spacing w:val="2"/>
          <w:sz w:val="24"/>
          <w:szCs w:val="24"/>
          <w:highlight w:val="none"/>
        </w:rPr>
        <w:t>我方已完整阅读了</w:t>
      </w:r>
      <w:r>
        <w:rPr>
          <w:rFonts w:hint="eastAsia" w:ascii="宋体" w:hAnsi="宋体" w:eastAsia="宋体" w:cs="宋体"/>
          <w:color w:val="auto"/>
          <w:spacing w:val="2"/>
          <w:sz w:val="24"/>
          <w:szCs w:val="24"/>
          <w:highlight w:val="none"/>
          <w:u w:val="single"/>
        </w:rPr>
        <w:t>（</w:t>
      </w:r>
      <w:r>
        <w:rPr>
          <w:rFonts w:hint="eastAsia" w:ascii="宋体" w:hAnsi="宋体" w:eastAsia="宋体" w:cs="宋体"/>
          <w:b/>
          <w:color w:val="auto"/>
          <w:spacing w:val="2"/>
          <w:sz w:val="24"/>
          <w:szCs w:val="24"/>
          <w:highlight w:val="none"/>
          <w:u w:val="single"/>
        </w:rPr>
        <w:t>项目名称</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（项目编号：</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）招标文件的所有内容（包括澄清，以及所有已提供的参考资料和有关附件），并完全理解上述文件所表达的意思，该项目递交投标文件时间截止后，我方承诺不再对上述文件内容进行询问或质疑。</w:t>
      </w:r>
      <w:bookmarkEnd w:id="44"/>
      <w:r>
        <w:rPr>
          <w:rFonts w:hint="eastAsia" w:ascii="宋体" w:hAnsi="宋体" w:eastAsia="宋体" w:cs="宋体"/>
          <w:color w:val="auto"/>
          <w:spacing w:val="2"/>
          <w:sz w:val="24"/>
          <w:szCs w:val="24"/>
          <w:highlight w:val="none"/>
        </w:rPr>
        <w:cr/>
      </w:r>
    </w:p>
    <w:p>
      <w:pPr>
        <w:pStyle w:val="135"/>
        <w:keepNext w:val="0"/>
        <w:keepLines w:val="0"/>
        <w:pageBreakBefore w:val="0"/>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color w:val="auto"/>
          <w:spacing w:val="2"/>
          <w:sz w:val="24"/>
          <w:szCs w:val="24"/>
          <w:highlight w:val="none"/>
        </w:rPr>
      </w:pP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tbl>
      <w:tblPr>
        <w:tblStyle w:val="45"/>
        <w:tblW w:w="8528" w:type="dxa"/>
        <w:tblInd w:w="0" w:type="dxa"/>
        <w:tblLayout w:type="fixed"/>
        <w:tblCellMar>
          <w:top w:w="0" w:type="dxa"/>
          <w:left w:w="108" w:type="dxa"/>
          <w:bottom w:w="0" w:type="dxa"/>
          <w:right w:w="108" w:type="dxa"/>
        </w:tblCellMar>
      </w:tblPr>
      <w:tblGrid>
        <w:gridCol w:w="2802"/>
        <w:gridCol w:w="5726"/>
      </w:tblGrid>
      <w:tr>
        <w:tblPrEx>
          <w:tblCellMar>
            <w:top w:w="0" w:type="dxa"/>
            <w:left w:w="108" w:type="dxa"/>
            <w:bottom w:w="0" w:type="dxa"/>
            <w:right w:w="108" w:type="dxa"/>
          </w:tblCellMar>
        </w:tblPrEx>
        <w:tc>
          <w:tcPr>
            <w:tcW w:w="2802"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tc>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r>
      <w:tr>
        <w:tblPrEx>
          <w:tblCellMar>
            <w:top w:w="0" w:type="dxa"/>
            <w:left w:w="108" w:type="dxa"/>
            <w:bottom w:w="0" w:type="dxa"/>
            <w:right w:w="108" w:type="dxa"/>
          </w:tblCellMar>
        </w:tblPrEx>
        <w:tc>
          <w:tcPr>
            <w:tcW w:w="2802"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tc>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法定代表人或被授权人（签名或盖章）：</w:t>
            </w:r>
          </w:p>
        </w:tc>
      </w:tr>
      <w:tr>
        <w:tblPrEx>
          <w:tblCellMar>
            <w:top w:w="0" w:type="dxa"/>
            <w:left w:w="108" w:type="dxa"/>
            <w:bottom w:w="0" w:type="dxa"/>
            <w:right w:w="108" w:type="dxa"/>
          </w:tblCellMar>
        </w:tblPrEx>
        <w:tc>
          <w:tcPr>
            <w:tcW w:w="2802"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tc>
        <w:tc>
          <w:tcPr>
            <w:tcW w:w="5726"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r>
    </w:tbl>
    <w:p>
      <w:pPr>
        <w:spacing w:line="360" w:lineRule="auto"/>
        <w:rPr>
          <w:rFonts w:hint="eastAsia" w:ascii="宋体" w:hAnsi="宋体" w:eastAsia="宋体" w:cs="宋体"/>
          <w:color w:val="auto"/>
          <w:szCs w:val="21"/>
          <w:highlight w:val="none"/>
        </w:rPr>
      </w:pPr>
    </w:p>
    <w:p>
      <w:pPr>
        <w:rPr>
          <w:rFonts w:hint="eastAsia" w:ascii="宋体" w:hAnsi="宋体" w:eastAsia="宋体" w:cs="宋体"/>
          <w:b/>
          <w:color w:val="auto"/>
          <w:spacing w:val="20"/>
          <w:sz w:val="30"/>
          <w:szCs w:val="30"/>
          <w:highlight w:val="none"/>
        </w:rPr>
      </w:pPr>
      <w:r>
        <w:rPr>
          <w:rFonts w:hint="eastAsia" w:ascii="宋体" w:hAnsi="宋体" w:eastAsia="宋体" w:cs="宋体"/>
          <w:b/>
          <w:color w:val="auto"/>
          <w:spacing w:val="20"/>
          <w:sz w:val="30"/>
          <w:szCs w:val="30"/>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八、商务偏离表</w:t>
      </w:r>
    </w:p>
    <w:tbl>
      <w:tblPr>
        <w:tblStyle w:val="45"/>
        <w:tblW w:w="9262"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567"/>
        <w:gridCol w:w="2700"/>
        <w:gridCol w:w="140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262" w:type="dxa"/>
            <w:gridSpan w:val="5"/>
            <w:vAlign w:val="center"/>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项目名称：                              </w:t>
            </w:r>
            <w:r>
              <w:rPr>
                <w:rFonts w:hint="eastAsia" w:ascii="宋体" w:hAnsi="宋体" w:eastAsia="宋体" w:cs="宋体"/>
                <w:b/>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2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567"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招标文件要求</w:t>
            </w:r>
          </w:p>
        </w:tc>
        <w:tc>
          <w:tcPr>
            <w:tcW w:w="27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投标文件响应内容</w:t>
            </w:r>
          </w:p>
        </w:tc>
        <w:tc>
          <w:tcPr>
            <w:tcW w:w="140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偏离情况</w:t>
            </w:r>
          </w:p>
        </w:tc>
        <w:tc>
          <w:tcPr>
            <w:tcW w:w="185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567"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700" w:type="dxa"/>
            <w:vAlign w:val="center"/>
          </w:tcPr>
          <w:p>
            <w:pPr>
              <w:pStyle w:val="30"/>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0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5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2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567"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7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0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5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2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567"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7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0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5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2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567"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7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0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5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2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567"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7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0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5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567"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7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0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58"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bl>
    <w:p>
      <w:pPr>
        <w:keepNext w:val="0"/>
        <w:keepLines w:val="0"/>
        <w:pageBreakBefore w:val="0"/>
        <w:kinsoku/>
        <w:wordWrap/>
        <w:topLinePunct w:val="0"/>
        <w:autoSpaceDE/>
        <w:autoSpaceDN/>
        <w:bidi w:val="0"/>
        <w:snapToGrid/>
        <w:spacing w:before="120" w:beforeLines="5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注明：</w:t>
      </w:r>
    </w:p>
    <w:p>
      <w:pPr>
        <w:pStyle w:val="94"/>
        <w:keepNext w:val="0"/>
        <w:keepLines w:val="0"/>
        <w:pageBreakBefore w:val="0"/>
        <w:numPr>
          <w:ilvl w:val="0"/>
          <w:numId w:val="10"/>
        </w:numPr>
        <w:kinsoku/>
        <w:wordWrap/>
        <w:topLinePunct w:val="0"/>
        <w:autoSpaceDE/>
        <w:autoSpaceDN/>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偏离情况项填写“正”、“负”或“无”，说明项中填写原因。</w:t>
      </w:r>
    </w:p>
    <w:p>
      <w:pPr>
        <w:pStyle w:val="94"/>
        <w:keepNext w:val="0"/>
        <w:keepLines w:val="0"/>
        <w:pageBreakBefore w:val="0"/>
        <w:numPr>
          <w:ilvl w:val="0"/>
          <w:numId w:val="10"/>
        </w:numPr>
        <w:kinsoku/>
        <w:wordWrap/>
        <w:topLinePunct w:val="0"/>
        <w:autoSpaceDE/>
        <w:autoSpaceDN/>
        <w:bidi w:val="0"/>
        <w:snapToGrid/>
        <w:spacing w:line="288" w:lineRule="auto"/>
        <w:ind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供应商应按照招标文件要求，对响应有偏离的，则说明偏离的内容，若有要求提供相关证明资料的，须按要求提供，否则视为负偏离。</w:t>
      </w: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bl>
      <w:tblPr>
        <w:tblStyle w:val="45"/>
        <w:tblW w:w="8528" w:type="dxa"/>
        <w:tblInd w:w="0" w:type="dxa"/>
        <w:tblLayout w:type="fixed"/>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overflowPunct w:val="0"/>
              <w:topLinePunct w:val="0"/>
              <w:autoSpaceDE/>
              <w:autoSpaceDN/>
              <w:bidi w:val="0"/>
              <w:adjustRightInd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c>
          <w:tcPr>
            <w:tcW w:w="3175"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c>
          <w:tcPr>
            <w:tcW w:w="3175"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color w:val="auto"/>
          <w:sz w:val="21"/>
          <w:szCs w:val="21"/>
          <w:highlight w:val="none"/>
        </w:rPr>
      </w:pPr>
    </w:p>
    <w:p>
      <w:pPr>
        <w:rPr>
          <w:rFonts w:hint="eastAsia" w:ascii="宋体" w:hAnsi="宋体" w:eastAsia="宋体" w:cs="宋体"/>
          <w:b/>
          <w:color w:val="auto"/>
          <w:spacing w:val="20"/>
          <w:sz w:val="30"/>
          <w:szCs w:val="30"/>
          <w:highlight w:val="none"/>
        </w:rPr>
      </w:pPr>
      <w:r>
        <w:rPr>
          <w:rFonts w:hint="eastAsia" w:ascii="宋体" w:hAnsi="宋体" w:eastAsia="宋体" w:cs="宋体"/>
          <w:b/>
          <w:color w:val="auto"/>
          <w:spacing w:val="20"/>
          <w:sz w:val="30"/>
          <w:szCs w:val="30"/>
          <w:highlight w:val="none"/>
        </w:rPr>
        <w:br w:type="page"/>
      </w:r>
    </w:p>
    <w:p>
      <w:pPr>
        <w:spacing w:line="360" w:lineRule="auto"/>
        <w:jc w:val="center"/>
        <w:rPr>
          <w:rFonts w:hint="eastAsia" w:ascii="宋体" w:hAnsi="宋体" w:eastAsia="宋体" w:cs="宋体"/>
          <w:b/>
          <w:color w:val="auto"/>
          <w:sz w:val="36"/>
          <w:szCs w:val="36"/>
          <w:highlight w:val="none"/>
        </w:rPr>
      </w:pPr>
    </w:p>
    <w:p>
      <w:pPr>
        <w:pStyle w:val="17"/>
        <w:spacing w:after="0" w:line="360" w:lineRule="auto"/>
        <w:ind w:firstLine="723" w:firstLineChars="400"/>
        <w:rPr>
          <w:rFonts w:hint="eastAsia" w:ascii="宋体" w:hAnsi="宋体"/>
          <w:b/>
          <w:bCs/>
          <w:color w:val="auto"/>
          <w:sz w:val="18"/>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cs="宋体"/>
          <w:b/>
          <w:color w:val="auto"/>
          <w:sz w:val="36"/>
          <w:szCs w:val="36"/>
          <w:highlight w:val="none"/>
          <w:lang w:eastAsia="zh-CN"/>
        </w:rPr>
        <w:t>九</w:t>
      </w:r>
      <w:r>
        <w:rPr>
          <w:rFonts w:hint="eastAsia" w:ascii="宋体" w:hAnsi="宋体" w:eastAsia="宋体" w:cs="宋体"/>
          <w:b/>
          <w:color w:val="auto"/>
          <w:sz w:val="36"/>
          <w:szCs w:val="36"/>
          <w:highlight w:val="none"/>
        </w:rPr>
        <w:t>、近三年（</w:t>
      </w:r>
      <w:r>
        <w:rPr>
          <w:rFonts w:hint="eastAsia" w:ascii="宋体" w:hAnsi="宋体" w:eastAsia="宋体" w:cs="宋体"/>
          <w:b/>
          <w:color w:val="auto"/>
          <w:sz w:val="36"/>
          <w:szCs w:val="36"/>
          <w:highlight w:val="none"/>
          <w:lang w:val="en-US" w:eastAsia="zh-CN"/>
        </w:rPr>
        <w:t>2020</w:t>
      </w:r>
      <w:r>
        <w:rPr>
          <w:rFonts w:hint="eastAsia" w:ascii="宋体" w:hAnsi="宋体" w:eastAsia="宋体" w:cs="宋体"/>
          <w:b/>
          <w:color w:val="auto"/>
          <w:sz w:val="36"/>
          <w:szCs w:val="36"/>
          <w:highlight w:val="none"/>
        </w:rPr>
        <w:t>-至今）企业业绩表</w:t>
      </w:r>
    </w:p>
    <w:tbl>
      <w:tblPr>
        <w:tblStyle w:val="45"/>
        <w:tblW w:w="907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094"/>
        <w:gridCol w:w="1562"/>
        <w:gridCol w:w="1557"/>
        <w:gridCol w:w="184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071" w:type="dxa"/>
            <w:gridSpan w:val="6"/>
            <w:vAlign w:val="center"/>
          </w:tcPr>
          <w:p>
            <w:pPr>
              <w:keepNext w:val="0"/>
              <w:keepLines w:val="0"/>
              <w:pageBreakBefore w:val="0"/>
              <w:widowControl/>
              <w:kinsoku/>
              <w:wordWrap/>
              <w:topLinePunct w:val="0"/>
              <w:autoSpaceDE/>
              <w:autoSpaceDN/>
              <w:bidi w:val="0"/>
              <w:snapToGrid/>
              <w:spacing w:before="156" w:after="156"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项目名称：                              </w:t>
            </w:r>
            <w:r>
              <w:rPr>
                <w:rFonts w:hint="eastAsia" w:ascii="宋体" w:hAnsi="宋体" w:eastAsia="宋体" w:cs="宋体"/>
                <w:b/>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项目名称</w:t>
            </w: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合同金额</w:t>
            </w: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签约时间</w:t>
            </w: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完成情况</w:t>
            </w: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2094"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6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557"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842"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c>
          <w:tcPr>
            <w:tcW w:w="1288" w:type="dxa"/>
            <w:vAlign w:val="center"/>
          </w:tcPr>
          <w:p>
            <w:pPr>
              <w:keepNext w:val="0"/>
              <w:keepLines w:val="0"/>
              <w:pageBreakBefore w:val="0"/>
              <w:widowControl/>
              <w:kinsoku/>
              <w:wordWrap/>
              <w:topLinePunct w:val="0"/>
              <w:autoSpaceDE/>
              <w:autoSpaceDN/>
              <w:bidi w:val="0"/>
              <w:snapToGrid/>
              <w:spacing w:before="156" w:after="156" w:line="288" w:lineRule="auto"/>
              <w:jc w:val="center"/>
              <w:textAlignment w:val="auto"/>
              <w:rPr>
                <w:rFonts w:hint="eastAsia" w:ascii="宋体" w:hAnsi="宋体" w:eastAsia="宋体" w:cs="宋体"/>
                <w:color w:val="auto"/>
                <w:sz w:val="24"/>
                <w:szCs w:val="24"/>
                <w:highlight w:val="none"/>
              </w:rPr>
            </w:pPr>
          </w:p>
        </w:tc>
      </w:tr>
    </w:tbl>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备注：需提供证明资料内容详见</w:t>
      </w:r>
      <w:r>
        <w:rPr>
          <w:rFonts w:hint="eastAsia" w:ascii="宋体" w:hAnsi="宋体" w:eastAsia="宋体" w:cs="宋体"/>
          <w:color w:val="auto"/>
          <w:sz w:val="24"/>
          <w:szCs w:val="24"/>
          <w:highlight w:val="none"/>
          <w:u w:val="single"/>
        </w:rPr>
        <w:t>评标方法</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lang w:val="en-US" w:eastAsia="zh-CN"/>
        </w:rPr>
        <w:t>如有时</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rPr>
        <w:t>。</w:t>
      </w:r>
    </w:p>
    <w:p>
      <w:pPr>
        <w:pStyle w:val="4"/>
        <w:rPr>
          <w:rFonts w:hint="eastAsia"/>
        </w:rPr>
      </w:pPr>
    </w:p>
    <w:tbl>
      <w:tblPr>
        <w:tblStyle w:val="45"/>
        <w:tblW w:w="8528" w:type="dxa"/>
        <w:tblInd w:w="0" w:type="dxa"/>
        <w:tblLayout w:type="fixed"/>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shd w:val="clear" w:color="auto" w:fill="auto"/>
          </w:tcPr>
          <w:p>
            <w:pPr>
              <w:keepNext w:val="0"/>
              <w:keepLines w:val="0"/>
              <w:pageBreakBefore w:val="0"/>
              <w:widowControl/>
              <w:kinsoku/>
              <w:wordWrap/>
              <w:overflowPunct w:val="0"/>
              <w:topLinePunct w:val="0"/>
              <w:autoSpaceDE/>
              <w:autoSpaceDN/>
              <w:bidi w:val="0"/>
              <w:adjustRightInd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c>
          <w:tcPr>
            <w:tcW w:w="3175" w:type="dxa"/>
            <w:shd w:val="clear" w:color="auto" w:fill="auto"/>
          </w:tcPr>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c>
          <w:tcPr>
            <w:tcW w:w="5353" w:type="dxa"/>
            <w:shd w:val="clear" w:color="auto" w:fill="auto"/>
          </w:tcPr>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c>
          <w:tcPr>
            <w:tcW w:w="3175" w:type="dxa"/>
            <w:shd w:val="clear" w:color="auto" w:fill="auto"/>
          </w:tcPr>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color w:val="auto"/>
          <w:szCs w:val="21"/>
          <w:highlight w:val="none"/>
        </w:rPr>
      </w:pPr>
    </w:p>
    <w:p>
      <w:pPr>
        <w:rPr>
          <w:rFonts w:hint="eastAsia" w:ascii="宋体" w:hAnsi="宋体" w:eastAsia="宋体" w:cs="宋体"/>
          <w:b/>
          <w:color w:val="auto"/>
          <w:spacing w:val="20"/>
          <w:sz w:val="30"/>
          <w:szCs w:val="30"/>
          <w:highlight w:val="none"/>
        </w:rPr>
      </w:pPr>
      <w:r>
        <w:rPr>
          <w:rFonts w:hint="eastAsia" w:ascii="宋体" w:hAnsi="宋体" w:eastAsia="宋体" w:cs="宋体"/>
          <w:b/>
          <w:color w:val="auto"/>
          <w:spacing w:val="20"/>
          <w:sz w:val="30"/>
          <w:szCs w:val="30"/>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十、资格声明</w:t>
      </w:r>
    </w:p>
    <w:p>
      <w:pPr>
        <w:keepNext w:val="0"/>
        <w:keepLines w:val="0"/>
        <w:pageBreakBefore w:val="0"/>
        <w:kinsoku/>
        <w:wordWrap/>
        <w:overflowPunct/>
        <w:topLinePunct w:val="0"/>
        <w:autoSpaceDE/>
        <w:autoSpaceDN/>
        <w:bidi w:val="0"/>
        <w:adjustRightInd w:val="0"/>
        <w:snapToGrid w:val="0"/>
        <w:spacing w:after="120" w:afterLines="50"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u w:val="single"/>
        </w:rPr>
        <w:t>（采购代理机构）</w:t>
      </w:r>
      <w:r>
        <w:rPr>
          <w:rFonts w:hint="eastAsia" w:ascii="宋体" w:hAnsi="宋体" w:eastAsia="宋体" w:cs="宋体"/>
          <w:b/>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288"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我方愿响应贵方关于</w:t>
      </w:r>
      <w:r>
        <w:rPr>
          <w:rFonts w:hint="eastAsia" w:ascii="宋体" w:hAnsi="宋体" w:eastAsia="宋体" w:cs="宋体"/>
          <w:b/>
          <w:bCs/>
          <w:color w:val="auto"/>
          <w:sz w:val="24"/>
          <w:szCs w:val="24"/>
          <w:highlight w:val="none"/>
          <w:u w:val="single"/>
        </w:rPr>
        <w:t xml:space="preserve">    （项目名称）    </w:t>
      </w:r>
      <w:r>
        <w:rPr>
          <w:rFonts w:hint="eastAsia" w:ascii="宋体" w:hAnsi="宋体" w:eastAsia="宋体" w:cs="宋体"/>
          <w:b/>
          <w:bCs/>
          <w:color w:val="auto"/>
          <w:sz w:val="24"/>
          <w:szCs w:val="24"/>
          <w:highlight w:val="none"/>
        </w:rPr>
        <w:t>（项目编号：</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）的投标，参与投标，提供用户需求书中规定的货物及相关服务，并按招标文件要求提交所附资格文件且声明和保证如下：</w:t>
      </w:r>
    </w:p>
    <w:p>
      <w:pPr>
        <w:keepNext w:val="0"/>
        <w:keepLines w:val="0"/>
        <w:pageBreakBefore w:val="0"/>
        <w:kinsoku/>
        <w:wordWrap/>
        <w:overflowPunct/>
        <w:topLinePunct w:val="0"/>
        <w:autoSpaceDE/>
        <w:autoSpaceDN/>
        <w:bidi w:val="0"/>
        <w:adjustRightInd w:val="0"/>
        <w:snapToGrid w:val="0"/>
        <w:spacing w:line="288" w:lineRule="auto"/>
        <w:ind w:firstLine="36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本公司（企业）</w:t>
      </w:r>
      <w:r>
        <w:rPr>
          <w:rFonts w:hint="eastAsia" w:ascii="宋体" w:hAnsi="宋体" w:eastAsia="宋体" w:cs="宋体"/>
          <w:bCs/>
          <w:color w:val="auto"/>
          <w:sz w:val="24"/>
          <w:szCs w:val="24"/>
          <w:highlight w:val="none"/>
        </w:rPr>
        <w:t>具备招标文件中资格要求。</w:t>
      </w:r>
    </w:p>
    <w:p>
      <w:pPr>
        <w:pStyle w:val="94"/>
        <w:keepNext w:val="0"/>
        <w:keepLines w:val="0"/>
        <w:pageBreakBefore w:val="0"/>
        <w:numPr>
          <w:ilvl w:val="0"/>
          <w:numId w:val="11"/>
        </w:numPr>
        <w:kinsoku/>
        <w:wordWrap/>
        <w:overflowPunct/>
        <w:topLinePunct w:val="0"/>
        <w:autoSpaceDE/>
        <w:autoSpaceDN/>
        <w:bidi w:val="0"/>
        <w:adjustRightInd w:val="0"/>
        <w:snapToGrid w:val="0"/>
        <w:spacing w:line="288" w:lineRule="auto"/>
        <w:ind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根据《中华人民共和国政府采购法实施条例》的规定，本公司（企业）如为招标项目提供整体设计、规范编制或者项目管理、监理、检测等服务的供应商，不再参加该招标项目的其他招标活动。</w:t>
      </w:r>
    </w:p>
    <w:p>
      <w:pPr>
        <w:pStyle w:val="94"/>
        <w:keepNext w:val="0"/>
        <w:keepLines w:val="0"/>
        <w:pageBreakBefore w:val="0"/>
        <w:numPr>
          <w:ilvl w:val="0"/>
          <w:numId w:val="11"/>
        </w:numPr>
        <w:kinsoku/>
        <w:wordWrap/>
        <w:overflowPunct/>
        <w:topLinePunct w:val="0"/>
        <w:autoSpaceDE/>
        <w:autoSpaceDN/>
        <w:bidi w:val="0"/>
        <w:adjustRightInd w:val="0"/>
        <w:snapToGrid w:val="0"/>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我方承诺单位负责人为同一人或者存在直接控股、管理关系的不同供应商，不得参加同一合同项下的政府采购活动。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484" w:firstLineChars="20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本公司（企业）承诺在本次招标招标活动中，如有违法、违规、弄虚作假行为，所造成的损失、不良后果及法律责任，一律由我公司（企业）承担。</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keepNext w:val="0"/>
        <w:keepLines w:val="0"/>
        <w:pageBreakBefore w:val="0"/>
        <w:kinsoku/>
        <w:wordWrap/>
        <w:overflowPunct/>
        <w:topLinePunct w:val="0"/>
        <w:autoSpaceDE/>
        <w:autoSpaceDN/>
        <w:bidi w:val="0"/>
        <w:adjustRightInd w:val="0"/>
        <w:snapToGrid w:val="0"/>
        <w:spacing w:before="240" w:beforeLines="100" w:line="288" w:lineRule="auto"/>
        <w:ind w:firstLine="42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备注：1.本声明函必须提供且内容不得擅自删改，否则视为无效投标。</w:t>
      </w:r>
    </w:p>
    <w:p>
      <w:pPr>
        <w:keepNext w:val="0"/>
        <w:keepLines w:val="0"/>
        <w:pageBreakBefore w:val="0"/>
        <w:kinsoku/>
        <w:wordWrap/>
        <w:overflowPunct/>
        <w:topLinePunct w:val="0"/>
        <w:autoSpaceDE/>
        <w:autoSpaceDN/>
        <w:bidi w:val="0"/>
        <w:adjustRightInd w:val="0"/>
        <w:snapToGrid w:val="0"/>
        <w:spacing w:line="288" w:lineRule="auto"/>
        <w:ind w:firstLine="1301" w:firstLineChars="54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2.本声明函如有虚假或与事实不符的，作无效投标处理。</w:t>
      </w:r>
    </w:p>
    <w:p>
      <w:pPr>
        <w:keepNext w:val="0"/>
        <w:keepLines w:val="0"/>
        <w:pageBreakBefore w:val="0"/>
        <w:kinsoku/>
        <w:wordWrap/>
        <w:overflowPunct/>
        <w:topLinePunct w:val="0"/>
        <w:autoSpaceDE/>
        <w:autoSpaceDN/>
        <w:bidi w:val="0"/>
        <w:adjustRightInd w:val="0"/>
        <w:snapToGrid w:val="0"/>
        <w:spacing w:after="120" w:afterLines="50" w:line="288" w:lineRule="auto"/>
        <w:textAlignment w:val="auto"/>
        <w:rPr>
          <w:rFonts w:hint="eastAsia" w:ascii="宋体" w:hAnsi="宋体" w:eastAsia="宋体" w:cs="宋体"/>
          <w:b/>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after="120" w:afterLines="50" w:line="288" w:lineRule="auto"/>
        <w:textAlignment w:val="auto"/>
        <w:rPr>
          <w:rFonts w:hint="eastAsia" w:ascii="宋体" w:hAnsi="宋体" w:eastAsia="宋体" w:cs="宋体"/>
          <w:b/>
          <w:color w:val="auto"/>
          <w:sz w:val="24"/>
          <w:szCs w:val="24"/>
          <w:highlight w:val="none"/>
        </w:rPr>
      </w:pPr>
    </w:p>
    <w:tbl>
      <w:tblPr>
        <w:tblStyle w:val="45"/>
        <w:tblW w:w="8528" w:type="dxa"/>
        <w:tblInd w:w="0" w:type="dxa"/>
        <w:tblLayout w:type="fixed"/>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c>
          <w:tcPr>
            <w:tcW w:w="3175" w:type="dxa"/>
            <w:shd w:val="clear" w:color="auto" w:fill="auto"/>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法定代表人（签字）：</w:t>
            </w:r>
          </w:p>
        </w:tc>
        <w:tc>
          <w:tcPr>
            <w:tcW w:w="3175" w:type="dxa"/>
            <w:shd w:val="clear" w:color="auto" w:fill="auto"/>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c>
          <w:tcPr>
            <w:tcW w:w="3175" w:type="dxa"/>
            <w:shd w:val="clear" w:color="auto" w:fill="auto"/>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 w:val="24"/>
                <w:szCs w:val="24"/>
                <w:highlight w:val="none"/>
              </w:rPr>
            </w:pPr>
          </w:p>
        </w:tc>
      </w:tr>
    </w:tbl>
    <w:p>
      <w:pPr>
        <w:keepNext w:val="0"/>
        <w:keepLines w:val="0"/>
        <w:pageBreakBefore w:val="0"/>
        <w:kinsoku/>
        <w:wordWrap/>
        <w:overflowPunct/>
        <w:topLinePunct w:val="0"/>
        <w:autoSpaceDE/>
        <w:autoSpaceDN/>
        <w:bidi w:val="0"/>
        <w:spacing w:before="480" w:beforeLines="200" w:after="360" w:afterLines="150" w:line="288" w:lineRule="auto"/>
        <w:jc w:val="center"/>
        <w:textAlignment w:val="auto"/>
        <w:rPr>
          <w:rFonts w:hint="eastAsia" w:ascii="宋体" w:hAnsi="宋体" w:eastAsia="宋体" w:cs="宋体"/>
          <w:b/>
          <w:color w:val="auto"/>
          <w:spacing w:val="20"/>
          <w:sz w:val="24"/>
          <w:szCs w:val="24"/>
          <w:highlight w:val="none"/>
        </w:rPr>
      </w:pPr>
    </w:p>
    <w:p>
      <w:pPr>
        <w:rPr>
          <w:rFonts w:hint="eastAsia" w:ascii="宋体" w:hAnsi="宋体" w:eastAsia="宋体" w:cs="宋体"/>
          <w:b/>
          <w:color w:val="auto"/>
          <w:spacing w:val="20"/>
          <w:sz w:val="30"/>
          <w:szCs w:val="30"/>
          <w:highlight w:val="none"/>
        </w:rPr>
      </w:pPr>
      <w:r>
        <w:rPr>
          <w:rFonts w:hint="eastAsia" w:ascii="宋体" w:hAnsi="宋体" w:eastAsia="宋体" w:cs="宋体"/>
          <w:b/>
          <w:color w:val="auto"/>
          <w:spacing w:val="20"/>
          <w:sz w:val="30"/>
          <w:szCs w:val="30"/>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w:t>
      </w:r>
      <w:r>
        <w:rPr>
          <w:rFonts w:hint="eastAsia" w:ascii="宋体" w:hAnsi="宋体" w:cs="宋体"/>
          <w:b/>
          <w:color w:val="auto"/>
          <w:sz w:val="36"/>
          <w:szCs w:val="36"/>
          <w:highlight w:val="none"/>
          <w:lang w:eastAsia="zh-CN"/>
        </w:rPr>
        <w:t>一</w:t>
      </w:r>
      <w:r>
        <w:rPr>
          <w:rFonts w:hint="eastAsia" w:ascii="宋体" w:hAnsi="宋体" w:eastAsia="宋体" w:cs="宋体"/>
          <w:b/>
          <w:color w:val="auto"/>
          <w:sz w:val="36"/>
          <w:szCs w:val="36"/>
          <w:highlight w:val="none"/>
        </w:rPr>
        <w:t>、技术参数偏离表</w:t>
      </w:r>
    </w:p>
    <w:tbl>
      <w:tblPr>
        <w:tblStyle w:val="45"/>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352"/>
        <w:gridCol w:w="2379"/>
        <w:gridCol w:w="1500"/>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207" w:type="dxa"/>
            <w:gridSpan w:val="5"/>
            <w:vAlign w:val="center"/>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 xml:space="preserve">项目名称：                                         </w:t>
            </w:r>
            <w:r>
              <w:rPr>
                <w:rFonts w:hint="eastAsia" w:ascii="宋体" w:hAnsi="宋体" w:eastAsia="宋体" w:cs="宋体"/>
                <w:b/>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2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2352"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招标文件要求</w:t>
            </w:r>
          </w:p>
        </w:tc>
        <w:tc>
          <w:tcPr>
            <w:tcW w:w="237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投标文件响应内容</w:t>
            </w:r>
          </w:p>
        </w:tc>
        <w:tc>
          <w:tcPr>
            <w:tcW w:w="1500" w:type="dxa"/>
            <w:vAlign w:val="center"/>
          </w:tcPr>
          <w:p>
            <w:pPr>
              <w:keepNext w:val="0"/>
              <w:keepLines w:val="0"/>
              <w:pageBreakBefore w:val="0"/>
              <w:kinsoku/>
              <w:wordWrap/>
              <w:topLinePunct w:val="0"/>
              <w:autoSpaceDE/>
              <w:autoSpaceDN/>
              <w:bidi w:val="0"/>
              <w:snapToGrid/>
              <w:spacing w:line="288" w:lineRule="auto"/>
              <w:ind w:left="293" w:hanging="335" w:hangingChars="139"/>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偏离情况</w:t>
            </w:r>
          </w:p>
        </w:tc>
        <w:tc>
          <w:tcPr>
            <w:tcW w:w="2056"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2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52"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7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5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056"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2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52"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7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5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056"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2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52"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7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5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056"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2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52"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7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5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056"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2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52"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379"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500"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056" w:type="dxa"/>
            <w:vAlign w:val="center"/>
          </w:tcPr>
          <w:p>
            <w:pPr>
              <w:keepNext w:val="0"/>
              <w:keepLines w:val="0"/>
              <w:pageBreakBefore w:val="0"/>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bl>
    <w:p>
      <w:pPr>
        <w:keepNext w:val="0"/>
        <w:keepLines w:val="0"/>
        <w:pageBreakBefore w:val="0"/>
        <w:kinsoku/>
        <w:wordWrap/>
        <w:topLinePunct w:val="0"/>
        <w:autoSpaceDE/>
        <w:autoSpaceDN/>
        <w:bidi w:val="0"/>
        <w:snapToGrid/>
        <w:spacing w:before="120" w:beforeLines="5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注明：</w:t>
      </w:r>
    </w:p>
    <w:p>
      <w:pPr>
        <w:pStyle w:val="94"/>
        <w:keepNext w:val="0"/>
        <w:keepLines w:val="0"/>
        <w:pageBreakBefore w:val="0"/>
        <w:numPr>
          <w:ilvl w:val="0"/>
          <w:numId w:val="12"/>
        </w:numPr>
        <w:kinsoku/>
        <w:wordWrap/>
        <w:topLinePunct w:val="0"/>
        <w:autoSpaceDE/>
        <w:autoSpaceDN/>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偏离情况项填写“正”、“负”或“无”，说明项中填写原因。</w:t>
      </w:r>
    </w:p>
    <w:p>
      <w:pPr>
        <w:pStyle w:val="94"/>
        <w:keepNext w:val="0"/>
        <w:keepLines w:val="0"/>
        <w:pageBreakBefore w:val="0"/>
        <w:numPr>
          <w:ilvl w:val="0"/>
          <w:numId w:val="12"/>
        </w:numPr>
        <w:kinsoku/>
        <w:wordWrap/>
        <w:topLinePunct w:val="0"/>
        <w:autoSpaceDE/>
        <w:autoSpaceDN/>
        <w:bidi w:val="0"/>
        <w:snapToGrid/>
        <w:spacing w:line="288" w:lineRule="auto"/>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供应商应按照招标文件要求作出全面响应。对响应有偏离的，则说明偏离的内容。若有要求提供相关证明资料的，须按要求提供，否则视为负偏离。</w:t>
      </w: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bl>
      <w:tblPr>
        <w:tblStyle w:val="45"/>
        <w:tblW w:w="8528" w:type="dxa"/>
        <w:tblInd w:w="0" w:type="dxa"/>
        <w:tblLayout w:type="fixed"/>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overflowPunct w:val="0"/>
              <w:topLinePunct w:val="0"/>
              <w:autoSpaceDE/>
              <w:autoSpaceDN/>
              <w:bidi w:val="0"/>
              <w:adjustRightInd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c>
          <w:tcPr>
            <w:tcW w:w="3175"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c>
          <w:tcPr>
            <w:tcW w:w="5353"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c>
          <w:tcPr>
            <w:tcW w:w="3175" w:type="dxa"/>
            <w:shd w:val="clear" w:color="auto" w:fill="auto"/>
          </w:tcPr>
          <w:p>
            <w:pPr>
              <w:keepNext w:val="0"/>
              <w:keepLines w:val="0"/>
              <w:pageBreakBefore w:val="0"/>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rPr>
          <w:rStyle w:val="48"/>
          <w:rFonts w:hint="eastAsia" w:ascii="宋体" w:hAnsi="宋体" w:eastAsia="宋体" w:cs="宋体"/>
          <w:bCs w:val="0"/>
          <w:color w:val="auto"/>
          <w:spacing w:val="12"/>
          <w:highlight w:val="none"/>
        </w:rPr>
      </w:pPr>
      <w:bookmarkStart w:id="45" w:name="_Toc3236439"/>
      <w:bookmarkStart w:id="46" w:name="_Toc494567328"/>
      <w:bookmarkStart w:id="47" w:name="_Toc391627770"/>
      <w:bookmarkStart w:id="48" w:name="_Toc405313974"/>
      <w:r>
        <w:rPr>
          <w:rStyle w:val="48"/>
          <w:rFonts w:hint="eastAsia" w:ascii="宋体" w:hAnsi="宋体" w:eastAsia="宋体" w:cs="宋体"/>
          <w:color w:val="auto"/>
          <w:spacing w:val="12"/>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w:t>
      </w:r>
      <w:r>
        <w:rPr>
          <w:rFonts w:hint="eastAsia" w:ascii="宋体" w:hAnsi="宋体" w:cs="宋体"/>
          <w:b/>
          <w:color w:val="auto"/>
          <w:sz w:val="36"/>
          <w:szCs w:val="36"/>
          <w:highlight w:val="none"/>
          <w:lang w:eastAsia="zh-CN"/>
        </w:rPr>
        <w:t>二</w:t>
      </w:r>
      <w:r>
        <w:rPr>
          <w:rFonts w:hint="eastAsia" w:ascii="宋体" w:hAnsi="宋体" w:eastAsia="宋体" w:cs="宋体"/>
          <w:b/>
          <w:color w:val="auto"/>
          <w:sz w:val="36"/>
          <w:szCs w:val="36"/>
          <w:highlight w:val="none"/>
        </w:rPr>
        <w:t>、技术参数承诺书</w:t>
      </w:r>
    </w:p>
    <w:p>
      <w:pPr>
        <w:rPr>
          <w:rStyle w:val="48"/>
          <w:rFonts w:hint="eastAsia" w:ascii="宋体" w:hAnsi="宋体" w:eastAsia="宋体" w:cs="宋体"/>
          <w:color w:val="auto"/>
          <w:spacing w:val="12"/>
          <w:highlight w:val="none"/>
        </w:rPr>
      </w:pPr>
    </w:p>
    <w:p>
      <w:pPr>
        <w:pageBreakBefore w:val="0"/>
        <w:widowControl/>
        <w:kinsoku/>
        <w:overflowPunct/>
        <w:topLinePunct w:val="0"/>
        <w:autoSpaceDE/>
        <w:autoSpaceDN/>
        <w:bidi w:val="0"/>
        <w:adjustRightInd/>
        <w:snapToGrid/>
        <w:spacing w:line="288" w:lineRule="auto"/>
        <w:textAlignment w:val="auto"/>
        <w:rPr>
          <w:rStyle w:val="48"/>
          <w:rFonts w:hint="eastAsia" w:ascii="宋体" w:hAnsi="宋体" w:eastAsia="宋体" w:cs="宋体"/>
          <w:b w:val="0"/>
          <w:color w:val="auto"/>
          <w:spacing w:val="12"/>
          <w:sz w:val="24"/>
          <w:szCs w:val="24"/>
          <w:highlight w:val="none"/>
        </w:rPr>
      </w:pPr>
      <w:r>
        <w:rPr>
          <w:rStyle w:val="48"/>
          <w:rFonts w:hint="eastAsia" w:ascii="宋体" w:hAnsi="宋体" w:eastAsia="宋体" w:cs="宋体"/>
          <w:color w:val="auto"/>
          <w:spacing w:val="12"/>
          <w:sz w:val="24"/>
          <w:szCs w:val="24"/>
          <w:highlight w:val="none"/>
        </w:rPr>
        <w:t>致：（采购人名称）</w:t>
      </w:r>
    </w:p>
    <w:p>
      <w:pPr>
        <w:pStyle w:val="4"/>
        <w:pageBreakBefore w:val="0"/>
        <w:widowControl/>
        <w:kinsoku/>
        <w:overflowPunct/>
        <w:topLinePunct w:val="0"/>
        <w:autoSpaceDE/>
        <w:autoSpaceDN/>
        <w:bidi w:val="0"/>
        <w:adjustRightInd/>
        <w:snapToGrid/>
        <w:spacing w:line="288" w:lineRule="auto"/>
        <w:textAlignment w:val="auto"/>
        <w:rPr>
          <w:rStyle w:val="48"/>
          <w:rFonts w:hint="eastAsia" w:ascii="宋体" w:hAnsi="宋体" w:eastAsia="宋体" w:cs="宋体"/>
          <w:b w:val="0"/>
          <w:bCs w:val="0"/>
          <w:color w:val="auto"/>
          <w:spacing w:val="12"/>
          <w:sz w:val="24"/>
          <w:szCs w:val="24"/>
          <w:highlight w:val="none"/>
        </w:rPr>
      </w:pPr>
      <w:r>
        <w:rPr>
          <w:rStyle w:val="48"/>
          <w:rFonts w:hint="eastAsia" w:ascii="宋体" w:hAnsi="宋体" w:eastAsia="宋体" w:cs="宋体"/>
          <w:b w:val="0"/>
          <w:bCs w:val="0"/>
          <w:color w:val="auto"/>
          <w:spacing w:val="12"/>
          <w:sz w:val="24"/>
          <w:szCs w:val="24"/>
          <w:highlight w:val="none"/>
        </w:rPr>
        <w:t xml:space="preserve">    我公司承诺：如我公司在参与</w:t>
      </w:r>
      <w:r>
        <w:rPr>
          <w:rStyle w:val="48"/>
          <w:rFonts w:hint="eastAsia" w:ascii="宋体" w:hAnsi="宋体" w:eastAsia="宋体" w:cs="宋体"/>
          <w:b w:val="0"/>
          <w:bCs w:val="0"/>
          <w:color w:val="auto"/>
          <w:spacing w:val="12"/>
          <w:sz w:val="24"/>
          <w:szCs w:val="24"/>
          <w:highlight w:val="none"/>
          <w:u w:val="single"/>
        </w:rPr>
        <w:t xml:space="preserve">   （项目名称）    </w:t>
      </w:r>
      <w:r>
        <w:rPr>
          <w:rStyle w:val="48"/>
          <w:rFonts w:hint="eastAsia" w:ascii="宋体" w:hAnsi="宋体" w:eastAsia="宋体" w:cs="宋体"/>
          <w:b w:val="0"/>
          <w:bCs w:val="0"/>
          <w:color w:val="auto"/>
          <w:spacing w:val="12"/>
          <w:sz w:val="24"/>
          <w:szCs w:val="24"/>
          <w:highlight w:val="none"/>
        </w:rPr>
        <w:t>中标后，所投货物经采购人验收后若与技术参数偏离表上偏离情况不符合，出现的所有后果由我公司自行承担。</w:t>
      </w:r>
    </w:p>
    <w:p>
      <w:pPr>
        <w:pageBreakBefore w:val="0"/>
        <w:widowControl/>
        <w:kinsoku/>
        <w:overflowPunct/>
        <w:topLinePunct w:val="0"/>
        <w:autoSpaceDE/>
        <w:autoSpaceDN/>
        <w:bidi w:val="0"/>
        <w:adjustRightInd/>
        <w:snapToGrid/>
        <w:spacing w:line="288" w:lineRule="auto"/>
        <w:textAlignment w:val="auto"/>
        <w:rPr>
          <w:rStyle w:val="48"/>
          <w:rFonts w:hint="eastAsia" w:ascii="宋体" w:hAnsi="宋体" w:eastAsia="宋体" w:cs="宋体"/>
          <w:b w:val="0"/>
          <w:color w:val="auto"/>
          <w:spacing w:val="12"/>
          <w:sz w:val="24"/>
          <w:szCs w:val="24"/>
          <w:highlight w:val="none"/>
        </w:rPr>
      </w:pPr>
    </w:p>
    <w:p>
      <w:pPr>
        <w:pStyle w:val="4"/>
        <w:pageBreakBefore w:val="0"/>
        <w:widowControl/>
        <w:kinsoku/>
        <w:overflowPunct/>
        <w:topLinePunct w:val="0"/>
        <w:autoSpaceDE/>
        <w:autoSpaceDN/>
        <w:bidi w:val="0"/>
        <w:adjustRightInd/>
        <w:snapToGrid/>
        <w:spacing w:line="288" w:lineRule="auto"/>
        <w:textAlignment w:val="auto"/>
        <w:rPr>
          <w:rStyle w:val="48"/>
          <w:rFonts w:hint="eastAsia" w:ascii="宋体" w:hAnsi="宋体" w:eastAsia="宋体" w:cs="宋体"/>
          <w:b w:val="0"/>
          <w:bCs w:val="0"/>
          <w:color w:val="auto"/>
          <w:spacing w:val="12"/>
          <w:sz w:val="24"/>
          <w:szCs w:val="24"/>
          <w:highlight w:val="none"/>
        </w:rPr>
      </w:pPr>
    </w:p>
    <w:p>
      <w:pPr>
        <w:pageBreakBefore w:val="0"/>
        <w:widowControl/>
        <w:kinsoku/>
        <w:wordWrap w:val="0"/>
        <w:overflowPunct/>
        <w:topLinePunct w:val="0"/>
        <w:autoSpaceDE/>
        <w:autoSpaceDN/>
        <w:bidi w:val="0"/>
        <w:adjustRightInd/>
        <w:snapToGrid/>
        <w:spacing w:line="288" w:lineRule="auto"/>
        <w:jc w:val="right"/>
        <w:textAlignment w:val="auto"/>
        <w:rPr>
          <w:rStyle w:val="48"/>
          <w:rFonts w:hint="eastAsia" w:ascii="宋体" w:hAnsi="宋体" w:eastAsia="宋体" w:cs="宋体"/>
          <w:b w:val="0"/>
          <w:color w:val="auto"/>
          <w:spacing w:val="12"/>
          <w:sz w:val="24"/>
          <w:szCs w:val="24"/>
          <w:highlight w:val="none"/>
          <w:u w:val="single"/>
        </w:rPr>
      </w:pPr>
      <w:r>
        <w:rPr>
          <w:rStyle w:val="48"/>
          <w:rFonts w:hint="eastAsia" w:ascii="宋体" w:hAnsi="宋体" w:eastAsia="宋体" w:cs="宋体"/>
          <w:b w:val="0"/>
          <w:color w:val="auto"/>
          <w:spacing w:val="12"/>
          <w:sz w:val="24"/>
          <w:szCs w:val="24"/>
          <w:highlight w:val="none"/>
        </w:rPr>
        <w:t>供应商名称：       （盖单位章）</w:t>
      </w:r>
    </w:p>
    <w:p>
      <w:pPr>
        <w:pStyle w:val="4"/>
        <w:pageBreakBefore w:val="0"/>
        <w:widowControl/>
        <w:kinsoku/>
        <w:wordWrap w:val="0"/>
        <w:overflowPunct/>
        <w:topLinePunct w:val="0"/>
        <w:autoSpaceDE/>
        <w:autoSpaceDN/>
        <w:bidi w:val="0"/>
        <w:adjustRightInd/>
        <w:snapToGrid/>
        <w:spacing w:line="288" w:lineRule="auto"/>
        <w:ind w:right="-1" w:firstLine="264" w:firstLineChars="100"/>
        <w:jc w:val="right"/>
        <w:textAlignment w:val="auto"/>
        <w:rPr>
          <w:rFonts w:hint="eastAsia" w:ascii="宋体" w:hAnsi="宋体" w:eastAsia="宋体" w:cs="宋体"/>
          <w:b w:val="0"/>
          <w:color w:val="auto"/>
          <w:sz w:val="24"/>
          <w:szCs w:val="24"/>
          <w:highlight w:val="none"/>
        </w:rPr>
      </w:pPr>
      <w:r>
        <w:rPr>
          <w:rStyle w:val="48"/>
          <w:rFonts w:hint="eastAsia" w:ascii="宋体" w:hAnsi="宋体" w:eastAsia="宋体" w:cs="宋体"/>
          <w:b w:val="0"/>
          <w:bCs w:val="0"/>
          <w:color w:val="auto"/>
          <w:spacing w:val="12"/>
          <w:sz w:val="24"/>
          <w:szCs w:val="24"/>
          <w:highlight w:val="none"/>
        </w:rPr>
        <w:t>日     期：     年   月   日</w:t>
      </w:r>
    </w:p>
    <w:bookmarkEnd w:id="45"/>
    <w:bookmarkEnd w:id="46"/>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w:t>
      </w:r>
      <w:r>
        <w:rPr>
          <w:rFonts w:hint="eastAsia" w:ascii="宋体" w:hAnsi="宋体" w:cs="宋体"/>
          <w:b/>
          <w:color w:val="auto"/>
          <w:sz w:val="36"/>
          <w:szCs w:val="36"/>
          <w:highlight w:val="none"/>
          <w:lang w:eastAsia="zh-CN"/>
        </w:rPr>
        <w:t>三</w:t>
      </w:r>
      <w:r>
        <w:rPr>
          <w:rFonts w:hint="eastAsia" w:ascii="宋体" w:hAnsi="宋体" w:eastAsia="宋体" w:cs="宋体"/>
          <w:b/>
          <w:color w:val="auto"/>
          <w:sz w:val="36"/>
          <w:szCs w:val="36"/>
          <w:highlight w:val="none"/>
        </w:rPr>
        <w:t>、投标货物详细说明</w:t>
      </w:r>
    </w:p>
    <w:tbl>
      <w:tblPr>
        <w:tblStyle w:val="45"/>
        <w:tblW w:w="911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701"/>
        <w:gridCol w:w="993"/>
        <w:gridCol w:w="1417"/>
        <w:gridCol w:w="2408"/>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113" w:type="dxa"/>
            <w:gridSpan w:val="6"/>
            <w:vAlign w:val="center"/>
          </w:tcPr>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 xml:space="preserve">项目名称：                                              </w:t>
            </w:r>
            <w:r>
              <w:rPr>
                <w:rFonts w:hint="eastAsia" w:ascii="宋体" w:hAnsi="宋体" w:eastAsia="宋体" w:cs="宋体"/>
                <w:b/>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品牌型号</w:t>
            </w: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性能及技术参数</w:t>
            </w: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70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993"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417"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2408"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c>
          <w:tcPr>
            <w:tcW w:w="1871" w:type="dxa"/>
            <w:vAlign w:val="center"/>
          </w:tcPr>
          <w:p>
            <w:pPr>
              <w:keepNext w:val="0"/>
              <w:keepLines w:val="0"/>
              <w:pageBreakBefore w:val="0"/>
              <w:widowControl/>
              <w:kinsoku/>
              <w:wordWrap/>
              <w:topLinePunct w:val="0"/>
              <w:autoSpaceDE/>
              <w:autoSpaceDN/>
              <w:bidi w:val="0"/>
              <w:snapToGrid/>
              <w:spacing w:line="288" w:lineRule="auto"/>
              <w:jc w:val="center"/>
              <w:textAlignment w:val="auto"/>
              <w:rPr>
                <w:rFonts w:hint="eastAsia" w:ascii="宋体" w:hAnsi="宋体" w:eastAsia="宋体" w:cs="宋体"/>
                <w:color w:val="auto"/>
                <w:sz w:val="24"/>
                <w:szCs w:val="24"/>
                <w:highlight w:val="none"/>
              </w:rPr>
            </w:pPr>
          </w:p>
        </w:tc>
      </w:tr>
    </w:tbl>
    <w:p>
      <w:pPr>
        <w:pStyle w:val="17"/>
        <w:keepNext w:val="0"/>
        <w:keepLines w:val="0"/>
        <w:pageBreakBefore w:val="0"/>
        <w:widowControl/>
        <w:kinsoku/>
        <w:wordWrap/>
        <w:overflowPunct w:val="0"/>
        <w:topLinePunct w:val="0"/>
        <w:autoSpaceDE/>
        <w:autoSpaceDN/>
        <w:bidi w:val="0"/>
        <w:snapToGrid/>
        <w:spacing w:before="120" w:beforeLines="50" w:after="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注明：供应商应按招标文件要求，根据“采购需求”详细列出产品的各项技术要求、技术措施或处理（须提供“采购需求”中要求提交的证明资料）</w:t>
      </w:r>
    </w:p>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tbl>
      <w:tblPr>
        <w:tblStyle w:val="45"/>
        <w:tblW w:w="5353" w:type="dxa"/>
        <w:tblInd w:w="0" w:type="dxa"/>
        <w:tblLayout w:type="fixed"/>
        <w:tblCellMar>
          <w:top w:w="0" w:type="dxa"/>
          <w:left w:w="108" w:type="dxa"/>
          <w:bottom w:w="0" w:type="dxa"/>
          <w:right w:w="108" w:type="dxa"/>
        </w:tblCellMar>
      </w:tblPr>
      <w:tblGrid>
        <w:gridCol w:w="5353"/>
      </w:tblGrid>
      <w:tr>
        <w:tc>
          <w:tcPr>
            <w:tcW w:w="5353" w:type="dxa"/>
            <w:shd w:val="clear" w:color="auto" w:fill="auto"/>
          </w:tcPr>
          <w:p>
            <w:pPr>
              <w:keepNext w:val="0"/>
              <w:keepLines w:val="0"/>
              <w:pageBreakBefore w:val="0"/>
              <w:widowControl/>
              <w:kinsoku/>
              <w:wordWrap/>
              <w:overflowPunct w:val="0"/>
              <w:topLinePunct w:val="0"/>
              <w:autoSpaceDE/>
              <w:autoSpaceDN/>
              <w:bidi w:val="0"/>
              <w:adjustRightInd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r>
      <w:tr>
        <w:tblPrEx>
          <w:tblCellMar>
            <w:top w:w="0" w:type="dxa"/>
            <w:left w:w="108" w:type="dxa"/>
            <w:bottom w:w="0" w:type="dxa"/>
            <w:right w:w="108" w:type="dxa"/>
          </w:tblCellMar>
        </w:tblPrEx>
        <w:tc>
          <w:tcPr>
            <w:tcW w:w="5353" w:type="dxa"/>
            <w:shd w:val="clear" w:color="auto" w:fill="auto"/>
          </w:tcPr>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tc>
      </w:tr>
    </w:tbl>
    <w:p>
      <w:pPr>
        <w:keepNext w:val="0"/>
        <w:keepLines w:val="0"/>
        <w:pageBreakBefore w:val="0"/>
        <w:widowControl/>
        <w:kinsoku/>
        <w:wordWrap/>
        <w:topLinePunct w:val="0"/>
        <w:autoSpaceDE/>
        <w:autoSpaceDN/>
        <w:bidi w:val="0"/>
        <w:snapToGrid/>
        <w:spacing w:line="288" w:lineRule="auto"/>
        <w:textAlignment w:val="auto"/>
        <w:rPr>
          <w:rFonts w:hint="eastAsia" w:ascii="宋体" w:hAnsi="宋体" w:eastAsia="宋体" w:cs="宋体"/>
          <w:color w:val="auto"/>
          <w:sz w:val="24"/>
          <w:szCs w:val="24"/>
          <w:highlight w:val="none"/>
        </w:rPr>
      </w:pPr>
    </w:p>
    <w:bookmarkEnd w:id="47"/>
    <w:bookmarkEnd w:id="48"/>
    <w:p>
      <w:pP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w:t>
      </w:r>
      <w:r>
        <w:rPr>
          <w:rFonts w:hint="eastAsia" w:ascii="宋体" w:hAnsi="宋体" w:cs="宋体"/>
          <w:b/>
          <w:color w:val="auto"/>
          <w:sz w:val="36"/>
          <w:szCs w:val="36"/>
          <w:highlight w:val="none"/>
          <w:lang w:eastAsia="zh-CN"/>
        </w:rPr>
        <w:t>四</w:t>
      </w:r>
      <w:r>
        <w:rPr>
          <w:rFonts w:hint="eastAsia" w:ascii="宋体" w:hAnsi="宋体" w:eastAsia="宋体" w:cs="宋体"/>
          <w:b/>
          <w:color w:val="auto"/>
          <w:sz w:val="36"/>
          <w:szCs w:val="36"/>
          <w:highlight w:val="none"/>
        </w:rPr>
        <w:t>、具备履行合同所必需设备和专业技术能力承诺书</w:t>
      </w:r>
    </w:p>
    <w:p>
      <w:pPr>
        <w:keepNext w:val="0"/>
        <w:keepLines w:val="0"/>
        <w:pageBreakBefore w:val="0"/>
        <w:widowControl/>
        <w:kinsoku/>
        <w:wordWrap/>
        <w:topLinePunct w:val="0"/>
        <w:autoSpaceDE w:val="0"/>
        <w:autoSpaceDN w:val="0"/>
        <w:bidi w:val="0"/>
        <w:adjustRightInd w:val="0"/>
        <w:snapToGrid/>
        <w:spacing w:before="120" w:beforeLines="50" w:after="120" w:afterLines="50" w:line="288" w:lineRule="auto"/>
        <w:jc w:val="center"/>
        <w:textAlignment w:val="auto"/>
        <w:rPr>
          <w:rFonts w:hint="eastAsia" w:ascii="宋体" w:hAnsi="宋体" w:eastAsia="宋体" w:cs="宋体"/>
          <w:b/>
          <w:color w:val="auto"/>
          <w:sz w:val="24"/>
          <w:szCs w:val="24"/>
          <w:highlight w:val="none"/>
        </w:rPr>
      </w:pPr>
    </w:p>
    <w:p>
      <w:pPr>
        <w:pStyle w:val="17"/>
        <w:keepNext w:val="0"/>
        <w:keepLines w:val="0"/>
        <w:pageBreakBefore w:val="0"/>
        <w:widowControl/>
        <w:kinsoku/>
        <w:wordWrap/>
        <w:overflowPunct w:val="0"/>
        <w:topLinePunct w:val="0"/>
        <w:bidi w:val="0"/>
        <w:snapToGrid/>
        <w:spacing w:before="120" w:beforeLines="50" w:after="0" w:line="288" w:lineRule="auto"/>
        <w:textAlignment w:val="auto"/>
        <w:rPr>
          <w:rFonts w:hint="eastAsia" w:ascii="宋体" w:hAnsi="宋体" w:eastAsia="宋体" w:cs="宋体"/>
          <w:b/>
          <w:color w:val="auto"/>
          <w:spacing w:val="10"/>
          <w:sz w:val="24"/>
          <w:szCs w:val="24"/>
          <w:highlight w:val="none"/>
        </w:rPr>
      </w:pPr>
    </w:p>
    <w:p>
      <w:pPr>
        <w:pStyle w:val="17"/>
        <w:keepNext w:val="0"/>
        <w:keepLines w:val="0"/>
        <w:pageBreakBefore w:val="0"/>
        <w:widowControl/>
        <w:kinsoku/>
        <w:wordWrap/>
        <w:overflowPunct w:val="0"/>
        <w:topLinePunct w:val="0"/>
        <w:bidi w:val="0"/>
        <w:snapToGrid/>
        <w:spacing w:before="120" w:beforeLines="50" w:after="0"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pacing w:val="10"/>
          <w:sz w:val="24"/>
          <w:szCs w:val="24"/>
          <w:highlight w:val="none"/>
        </w:rPr>
        <w:t>供应商需提供承诺书，格式自拟。</w:t>
      </w:r>
    </w:p>
    <w:p>
      <w:pPr>
        <w:pStyle w:val="17"/>
        <w:keepNext w:val="0"/>
        <w:keepLines w:val="0"/>
        <w:pageBreakBefore w:val="0"/>
        <w:widowControl/>
        <w:kinsoku/>
        <w:wordWrap/>
        <w:overflowPunct w:val="0"/>
        <w:topLinePunct w:val="0"/>
        <w:bidi w:val="0"/>
        <w:snapToGrid/>
        <w:spacing w:before="120" w:beforeLines="50" w:after="0" w:line="288" w:lineRule="auto"/>
        <w:textAlignment w:val="auto"/>
        <w:rPr>
          <w:rFonts w:hint="eastAsia" w:ascii="宋体" w:hAnsi="宋体" w:eastAsia="宋体" w:cs="宋体"/>
          <w:color w:val="auto"/>
          <w:sz w:val="24"/>
          <w:szCs w:val="24"/>
          <w:highlight w:val="none"/>
        </w:rPr>
      </w:pPr>
    </w:p>
    <w:p>
      <w:pPr>
        <w:pStyle w:val="17"/>
        <w:keepNext w:val="0"/>
        <w:keepLines w:val="0"/>
        <w:pageBreakBefore w:val="0"/>
        <w:widowControl/>
        <w:kinsoku/>
        <w:wordWrap/>
        <w:overflowPunct w:val="0"/>
        <w:topLinePunct w:val="0"/>
        <w:bidi w:val="0"/>
        <w:snapToGrid/>
        <w:spacing w:before="120" w:beforeLines="50" w:after="0"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topLinePunct w:val="0"/>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topLinePunct w:val="0"/>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topLinePunct w:val="0"/>
        <w:bidi w:val="0"/>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topLinePunct w:val="0"/>
        <w:bidi w:val="0"/>
        <w:snapToGrid/>
        <w:spacing w:line="288" w:lineRule="auto"/>
        <w:textAlignment w:val="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Cs w:val="21"/>
          <w:highlight w:val="none"/>
        </w:rPr>
      </w:pPr>
    </w:p>
    <w:tbl>
      <w:tblPr>
        <w:tblStyle w:val="45"/>
        <w:tblW w:w="5738" w:type="dxa"/>
        <w:tblInd w:w="0" w:type="dxa"/>
        <w:tblLayout w:type="fixed"/>
        <w:tblCellMar>
          <w:top w:w="0" w:type="dxa"/>
          <w:left w:w="108" w:type="dxa"/>
          <w:bottom w:w="0" w:type="dxa"/>
          <w:right w:w="108" w:type="dxa"/>
        </w:tblCellMar>
      </w:tblPr>
      <w:tblGrid>
        <w:gridCol w:w="5738"/>
      </w:tblGrid>
      <w:tr>
        <w:tblPrEx>
          <w:tblCellMar>
            <w:top w:w="0" w:type="dxa"/>
            <w:left w:w="108" w:type="dxa"/>
            <w:bottom w:w="0" w:type="dxa"/>
            <w:right w:w="108" w:type="dxa"/>
          </w:tblCellMar>
        </w:tblPrEx>
        <w:tc>
          <w:tcPr>
            <w:tcW w:w="5738"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供应商名称（加盖公章）：</w:t>
            </w:r>
          </w:p>
        </w:tc>
      </w:tr>
      <w:tr>
        <w:tblPrEx>
          <w:tblCellMar>
            <w:top w:w="0" w:type="dxa"/>
            <w:left w:w="108" w:type="dxa"/>
            <w:bottom w:w="0" w:type="dxa"/>
            <w:right w:w="108" w:type="dxa"/>
          </w:tblCellMar>
        </w:tblPrEx>
        <w:tc>
          <w:tcPr>
            <w:tcW w:w="5738"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法定代表人或被授权人（签名或盖章）：</w:t>
            </w:r>
          </w:p>
        </w:tc>
      </w:tr>
      <w:tr>
        <w:tblPrEx>
          <w:tblCellMar>
            <w:top w:w="0" w:type="dxa"/>
            <w:left w:w="108" w:type="dxa"/>
            <w:bottom w:w="0" w:type="dxa"/>
            <w:right w:w="108" w:type="dxa"/>
          </w:tblCellMar>
        </w:tblPrEx>
        <w:tc>
          <w:tcPr>
            <w:tcW w:w="5738" w:type="dxa"/>
            <w:shd w:val="clear" w:color="auto" w:fill="auto"/>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r>
    </w:tbl>
    <w:p>
      <w:pPr>
        <w:spacing w:line="360" w:lineRule="auto"/>
        <w:rPr>
          <w:rFonts w:hint="eastAsia" w:ascii="宋体" w:hAnsi="宋体" w:eastAsia="宋体" w:cs="宋体"/>
          <w:color w:val="auto"/>
          <w:szCs w:val="21"/>
          <w:highlight w:val="none"/>
        </w:rPr>
      </w:pP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w:t>
      </w:r>
      <w:r>
        <w:rPr>
          <w:rFonts w:hint="eastAsia" w:ascii="宋体" w:hAnsi="宋体" w:cs="宋体"/>
          <w:b/>
          <w:color w:val="auto"/>
          <w:sz w:val="36"/>
          <w:szCs w:val="36"/>
          <w:highlight w:val="none"/>
          <w:lang w:eastAsia="zh-CN"/>
        </w:rPr>
        <w:t>五</w:t>
      </w:r>
      <w:r>
        <w:rPr>
          <w:rFonts w:hint="eastAsia" w:ascii="宋体" w:hAnsi="宋体" w:eastAsia="宋体" w:cs="宋体"/>
          <w:b/>
          <w:color w:val="auto"/>
          <w:sz w:val="36"/>
          <w:szCs w:val="36"/>
          <w:highlight w:val="none"/>
        </w:rPr>
        <w:t>、项目实施方案</w:t>
      </w:r>
    </w:p>
    <w:p>
      <w:pPr>
        <w:rPr>
          <w:rFonts w:hint="eastAsia" w:ascii="宋体" w:hAnsi="宋体" w:eastAsia="宋体" w:cs="宋体"/>
          <w:color w:val="auto"/>
          <w:sz w:val="32"/>
          <w:szCs w:val="32"/>
          <w:highlight w:val="none"/>
        </w:rPr>
      </w:pPr>
    </w:p>
    <w:p>
      <w:pPr>
        <w:keepNext w:val="0"/>
        <w:keepLines w:val="0"/>
        <w:pageBreakBefore w:val="0"/>
        <w:widowControl/>
        <w:tabs>
          <w:tab w:val="left" w:pos="378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供应商根据“评标办法”自行编写</w:t>
      </w:r>
    </w:p>
    <w:p>
      <w:pPr>
        <w:rPr>
          <w:rFonts w:hint="eastAsia" w:ascii="宋体" w:hAnsi="宋体" w:eastAsia="宋体" w:cs="宋体"/>
          <w:b/>
          <w:color w:val="auto"/>
          <w:spacing w:val="20"/>
          <w:sz w:val="30"/>
          <w:szCs w:val="30"/>
          <w:highlight w:val="none"/>
        </w:rPr>
      </w:pPr>
      <w:r>
        <w:rPr>
          <w:rFonts w:hint="eastAsia" w:ascii="宋体" w:hAnsi="宋体" w:eastAsia="宋体" w:cs="宋体"/>
          <w:b/>
          <w:color w:val="auto"/>
          <w:spacing w:val="20"/>
          <w:sz w:val="30"/>
          <w:szCs w:val="30"/>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w:t>
      </w:r>
      <w:r>
        <w:rPr>
          <w:rFonts w:hint="eastAsia" w:ascii="宋体" w:hAnsi="宋体" w:cs="宋体"/>
          <w:b/>
          <w:color w:val="auto"/>
          <w:sz w:val="36"/>
          <w:szCs w:val="36"/>
          <w:highlight w:val="none"/>
          <w:lang w:eastAsia="zh-CN"/>
        </w:rPr>
        <w:t>六</w:t>
      </w:r>
      <w:r>
        <w:rPr>
          <w:rFonts w:hint="eastAsia" w:ascii="宋体" w:hAnsi="宋体" w:eastAsia="宋体" w:cs="宋体"/>
          <w:b/>
          <w:color w:val="auto"/>
          <w:sz w:val="36"/>
          <w:szCs w:val="36"/>
          <w:highlight w:val="none"/>
        </w:rPr>
        <w:t>、投标保证金汇入情况说明</w:t>
      </w:r>
    </w:p>
    <w:p>
      <w:pPr>
        <w:keepNext w:val="0"/>
        <w:keepLines w:val="0"/>
        <w:pageBreakBefore w:val="0"/>
        <w:widowControl/>
        <w:kinsoku/>
        <w:overflowPunct/>
        <w:topLinePunct w:val="0"/>
        <w:autoSpaceDE/>
        <w:autoSpaceDN/>
        <w:bidi w:val="0"/>
        <w:adjustRightInd/>
        <w:snapToGrid/>
        <w:spacing w:before="360" w:beforeLines="150" w:after="240" w:afterLines="100"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致：采购代理机构名称</w:t>
      </w:r>
    </w:p>
    <w:p>
      <w:pPr>
        <w:keepNext w:val="0"/>
        <w:keepLines w:val="0"/>
        <w:pageBreakBefore w:val="0"/>
        <w:widowControl/>
        <w:kinsoku/>
        <w:overflowPunct/>
        <w:topLinePunct w:val="0"/>
        <w:autoSpaceDE/>
        <w:autoSpaceDN/>
        <w:bidi w:val="0"/>
        <w:adjustRightInd/>
        <w:snapToGrid/>
        <w:spacing w:line="288"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本单位已按</w:t>
      </w:r>
      <w:r>
        <w:rPr>
          <w:rFonts w:hint="eastAsia" w:ascii="宋体" w:hAnsi="宋体" w:eastAsia="宋体" w:cs="宋体"/>
          <w:b/>
          <w:bCs/>
          <w:color w:val="auto"/>
          <w:sz w:val="24"/>
          <w:szCs w:val="24"/>
          <w:highlight w:val="none"/>
          <w:u w:val="single"/>
        </w:rPr>
        <w:t xml:space="preserve">     （项目名称）</w:t>
      </w:r>
      <w:r>
        <w:rPr>
          <w:rFonts w:hint="eastAsia" w:ascii="宋体" w:hAnsi="宋体" w:eastAsia="宋体" w:cs="宋体"/>
          <w:b/>
          <w:bCs/>
          <w:color w:val="auto"/>
          <w:sz w:val="24"/>
          <w:szCs w:val="24"/>
          <w:highlight w:val="none"/>
        </w:rPr>
        <w:t>（项目编号：）的招标文件要求，于  年  月  日前以（付款形式）方式汇入指定帐户（帐户名称：，帐号：，开户银行：）。</w:t>
      </w:r>
    </w:p>
    <w:p>
      <w:pPr>
        <w:keepNext w:val="0"/>
        <w:keepLines w:val="0"/>
        <w:pageBreakBefore w:val="0"/>
        <w:widowControl/>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本单位投标保证金的汇款情况：（详见附件－投标保证金汇款凭证）</w:t>
      </w:r>
    </w:p>
    <w:p>
      <w:pPr>
        <w:keepNext w:val="0"/>
        <w:keepLines w:val="0"/>
        <w:pageBreakBefore w:val="0"/>
        <w:widowControl/>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汇出时间：年月日；</w:t>
      </w:r>
    </w:p>
    <w:p>
      <w:pPr>
        <w:keepNext w:val="0"/>
        <w:keepLines w:val="0"/>
        <w:pageBreakBefore w:val="0"/>
        <w:widowControl/>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汇款金额：（大写）人民币元（小写：￥元），</w:t>
      </w:r>
    </w:p>
    <w:p>
      <w:pPr>
        <w:keepNext w:val="0"/>
        <w:keepLines w:val="0"/>
        <w:pageBreakBefore w:val="0"/>
        <w:widowControl/>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汇款帐户名称：</w:t>
      </w:r>
      <w:r>
        <w:rPr>
          <w:rFonts w:hint="eastAsia" w:ascii="宋体" w:hAnsi="宋体" w:eastAsia="宋体" w:cs="宋体"/>
          <w:color w:val="auto"/>
          <w:sz w:val="24"/>
          <w:szCs w:val="24"/>
          <w:highlight w:val="none"/>
          <w:u w:val="single"/>
        </w:rPr>
        <w:t xml:space="preserve">         （必须是投标时使用的帐户名          </w:t>
      </w:r>
    </w:p>
    <w:p>
      <w:pPr>
        <w:keepNext w:val="0"/>
        <w:keepLines w:val="0"/>
        <w:pageBreakBefore w:val="0"/>
        <w:widowControl/>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帐号：</w:t>
      </w:r>
      <w:r>
        <w:rPr>
          <w:rFonts w:hint="eastAsia" w:ascii="宋体" w:hAnsi="宋体" w:eastAsia="宋体" w:cs="宋体"/>
          <w:color w:val="auto"/>
          <w:sz w:val="24"/>
          <w:szCs w:val="24"/>
          <w:highlight w:val="none"/>
          <w:u w:val="single"/>
        </w:rPr>
        <w:t xml:space="preserve">        （必须是投标时使用的帐号）                   </w:t>
      </w:r>
    </w:p>
    <w:p>
      <w:pPr>
        <w:keepNext w:val="0"/>
        <w:keepLines w:val="0"/>
        <w:pageBreakBefore w:val="0"/>
        <w:widowControl/>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p>
    <w:p>
      <w:pPr>
        <w:keepNext w:val="0"/>
        <w:keepLines w:val="0"/>
        <w:pageBreakBefore w:val="0"/>
        <w:widowControl/>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本单位谨承诺上述资料是正确、真实的，如因上述证明与事实不符导致的一切损失，本单位保证承担赔偿等一切法律责任。</w:t>
      </w:r>
    </w:p>
    <w:p>
      <w:pPr>
        <w:keepNext w:val="0"/>
        <w:keepLines w:val="0"/>
        <w:pageBreakBefore w:val="0"/>
        <w:widowControl/>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投标保证金退回时，请按上述资料退回。</w:t>
      </w:r>
    </w:p>
    <w:p>
      <w:pPr>
        <w:keepNext w:val="0"/>
        <w:keepLines w:val="0"/>
        <w:pageBreakBefore w:val="0"/>
        <w:widowControl/>
        <w:kinsoku/>
        <w:overflowPunct/>
        <w:topLinePunct w:val="0"/>
        <w:autoSpaceDE/>
        <w:autoSpaceDN/>
        <w:bidi w:val="0"/>
        <w:adjustRightInd/>
        <w:snapToGrid/>
        <w:spacing w:line="288" w:lineRule="auto"/>
        <w:ind w:right="804" w:rightChars="402"/>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（单位公章）</w:t>
      </w:r>
    </w:p>
    <w:p>
      <w:pPr>
        <w:keepNext w:val="0"/>
        <w:keepLines w:val="0"/>
        <w:pageBreakBefore w:val="0"/>
        <w:widowControl/>
        <w:kinsoku/>
        <w:wordWrap w:val="0"/>
        <w:overflowPunct/>
        <w:topLinePunct w:val="0"/>
        <w:autoSpaceDE/>
        <w:autoSpaceDN/>
        <w:bidi w:val="0"/>
        <w:adjustRightInd/>
        <w:snapToGrid/>
        <w:spacing w:line="288" w:lineRule="auto"/>
        <w:ind w:right="598" w:rightChars="299"/>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keepNext w:val="0"/>
        <w:keepLines w:val="0"/>
        <w:pageBreakBefore w:val="0"/>
        <w:widowControl/>
        <w:kinsoku/>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单位名称：</w:t>
      </w:r>
    </w:p>
    <w:p>
      <w:pPr>
        <w:keepNext w:val="0"/>
        <w:keepLines w:val="0"/>
        <w:pageBreakBefore w:val="0"/>
        <w:widowControl/>
        <w:kinsoku/>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单位地址：</w:t>
      </w:r>
    </w:p>
    <w:p>
      <w:pPr>
        <w:keepNext w:val="0"/>
        <w:keepLines w:val="0"/>
        <w:pageBreakBefore w:val="0"/>
        <w:widowControl/>
        <w:kinsoku/>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i/>
          <w:color w:val="auto"/>
          <w:sz w:val="24"/>
          <w:szCs w:val="24"/>
          <w:highlight w:val="none"/>
          <w:u w:val="single"/>
        </w:rPr>
        <w:t>（投标单位财务）</w:t>
      </w:r>
    </w:p>
    <w:p>
      <w:pPr>
        <w:keepNext w:val="0"/>
        <w:keepLines w:val="0"/>
        <w:pageBreakBefore w:val="0"/>
        <w:widowControl/>
        <w:kinsoku/>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单位电话：      联系人手机：</w:t>
      </w:r>
    </w:p>
    <w:tbl>
      <w:tblPr>
        <w:tblStyle w:val="45"/>
        <w:tblW w:w="9145"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14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9145" w:type="dxa"/>
            <w:vAlign w:val="center"/>
          </w:tcPr>
          <w:p>
            <w:pPr>
              <w:keepNext w:val="0"/>
              <w:keepLines w:val="0"/>
              <w:pageBreakBefore w:val="0"/>
              <w:widowControl/>
              <w:kinsoku/>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附件一：我方投标保证金汇款凭证（复印件加盖供应商公章）</w:t>
            </w:r>
          </w:p>
        </w:tc>
      </w:tr>
    </w:tbl>
    <w:p>
      <w:pPr>
        <w:keepNext w:val="0"/>
        <w:keepLines w:val="0"/>
        <w:pageBreakBefore w:val="0"/>
        <w:widowControl/>
        <w:kinsoku/>
        <w:overflowPunct/>
        <w:topLinePunct w:val="0"/>
        <w:autoSpaceDE/>
        <w:autoSpaceDN/>
        <w:bidi w:val="0"/>
        <w:adjustRightInd/>
        <w:snapToGrid/>
        <w:spacing w:line="288" w:lineRule="auto"/>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注：本情况说明手写无效。</w:t>
      </w:r>
    </w:p>
    <w:p>
      <w:pPr>
        <w:autoSpaceDE w:val="0"/>
        <w:autoSpaceDN w:val="0"/>
        <w:adjustRightInd w:val="0"/>
        <w:spacing w:before="120" w:beforeLines="50" w:after="120" w:afterLines="50"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w:t>
      </w:r>
      <w:r>
        <w:rPr>
          <w:rFonts w:hint="eastAsia" w:ascii="宋体" w:hAnsi="宋体" w:cs="宋体"/>
          <w:b/>
          <w:color w:val="auto"/>
          <w:sz w:val="36"/>
          <w:szCs w:val="36"/>
          <w:highlight w:val="none"/>
          <w:lang w:eastAsia="zh-CN"/>
        </w:rPr>
        <w:t>七</w:t>
      </w:r>
      <w:r>
        <w:rPr>
          <w:rFonts w:hint="eastAsia" w:ascii="宋体" w:hAnsi="宋体" w:eastAsia="宋体" w:cs="宋体"/>
          <w:b/>
          <w:color w:val="auto"/>
          <w:sz w:val="36"/>
          <w:szCs w:val="36"/>
          <w:highlight w:val="none"/>
        </w:rPr>
        <w:t>、供应商认为有必要提供的其他材料</w:t>
      </w:r>
    </w:p>
    <w:p>
      <w:pP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供应商按招标文件要求自行填写，不作统一格式要求。</w:t>
      </w:r>
      <w:r>
        <w:rPr>
          <w:rFonts w:hint="eastAsia" w:ascii="宋体" w:hAnsi="宋体" w:eastAsia="宋体" w:cs="宋体"/>
          <w:b/>
          <w:color w:val="auto"/>
          <w:sz w:val="24"/>
          <w:szCs w:val="24"/>
          <w:highlight w:val="none"/>
        </w:rPr>
        <w:br w:type="page"/>
      </w:r>
    </w:p>
    <w:p>
      <w:pPr>
        <w:spacing w:line="360" w:lineRule="auto"/>
        <w:jc w:val="center"/>
        <w:rPr>
          <w:rFonts w:hint="eastAsia" w:ascii="宋体" w:hAnsi="宋体" w:eastAsia="宋体" w:cs="宋体"/>
          <w:b/>
          <w:color w:val="auto"/>
          <w:sz w:val="36"/>
          <w:szCs w:val="36"/>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评标办法目录索引表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按招标文件中评标方法、步骤、标准相对应条款填写</w:t>
      </w:r>
      <w:r>
        <w:rPr>
          <w:rFonts w:hint="eastAsia" w:ascii="宋体" w:hAnsi="宋体" w:eastAsia="宋体" w:cs="宋体"/>
          <w:b/>
          <w:bCs/>
          <w:color w:val="auto"/>
          <w:sz w:val="24"/>
          <w:szCs w:val="24"/>
          <w:highlight w:val="none"/>
        </w:rPr>
        <w:t>（此表格必须放置在目录处）</w:t>
      </w: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jc w:val="center"/>
        <w:rPr>
          <w:rFonts w:hint="eastAsia"/>
          <w:b/>
          <w:bCs/>
          <w:color w:val="auto"/>
          <w:sz w:val="44"/>
          <w:szCs w:val="44"/>
        </w:rPr>
      </w:pPr>
      <w:r>
        <w:rPr>
          <w:rFonts w:hint="eastAsia"/>
          <w:b/>
          <w:bCs/>
          <w:color w:val="auto"/>
          <w:sz w:val="44"/>
          <w:szCs w:val="44"/>
        </w:rPr>
        <w:t>中小企业声明函（货物）</w:t>
      </w:r>
    </w:p>
    <w:p>
      <w:pPr>
        <w:ind w:firstLine="640" w:firstLineChars="200"/>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sz w:val="32"/>
          <w:szCs w:val="32"/>
        </w:rPr>
      </w:pPr>
      <w:r>
        <w:rPr>
          <w:rFonts w:hint="eastAsia"/>
          <w:color w:val="auto"/>
          <w:sz w:val="32"/>
          <w:szCs w:val="32"/>
        </w:rPr>
        <w:t>本公司郑重声明，根据《政府采购促进中小企业发展管理办法》（财库﹝2020﹞46 号）的规定，本公司参加</w:t>
      </w:r>
      <w:r>
        <w:rPr>
          <w:rFonts w:hint="eastAsia" w:eastAsia="宋体"/>
          <w:i/>
          <w:color w:val="auto"/>
          <w:sz w:val="32"/>
          <w:szCs w:val="32"/>
          <w:u w:val="words"/>
        </w:rPr>
        <w:t>（单位名称）</w:t>
      </w:r>
      <w:r>
        <w:rPr>
          <w:rFonts w:hint="eastAsia"/>
          <w:color w:val="auto"/>
          <w:sz w:val="32"/>
          <w:szCs w:val="32"/>
        </w:rPr>
        <w:t>的</w:t>
      </w:r>
      <w:r>
        <w:rPr>
          <w:rFonts w:hint="eastAsia" w:eastAsia="宋体"/>
          <w:i/>
          <w:color w:val="auto"/>
          <w:sz w:val="32"/>
          <w:szCs w:val="32"/>
          <w:u w:val="words"/>
        </w:rPr>
        <w:t>（项目名称）</w:t>
      </w:r>
      <w:r>
        <w:rPr>
          <w:rFonts w:hint="eastAsia"/>
          <w:color w:val="auto"/>
          <w:sz w:val="32"/>
          <w:szCs w:val="32"/>
        </w:rPr>
        <w:t>采购活动，提供的货物全部由符合政策要求的中小企业制造。相关企业的具体情况如下：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sz w:val="32"/>
          <w:szCs w:val="32"/>
        </w:rPr>
      </w:pPr>
      <w:r>
        <w:rPr>
          <w:rFonts w:hint="eastAsia"/>
          <w:color w:val="auto"/>
          <w:sz w:val="32"/>
          <w:szCs w:val="32"/>
        </w:rPr>
        <w:t xml:space="preserve">1. </w:t>
      </w:r>
      <w:r>
        <w:rPr>
          <w:rFonts w:hint="eastAsia" w:eastAsia="宋体"/>
          <w:i/>
          <w:color w:val="auto"/>
          <w:sz w:val="32"/>
          <w:szCs w:val="32"/>
          <w:u w:val="words"/>
        </w:rPr>
        <w:t>（标的名称）</w:t>
      </w:r>
      <w:r>
        <w:rPr>
          <w:rFonts w:hint="eastAsia"/>
          <w:color w:val="auto"/>
          <w:sz w:val="32"/>
          <w:szCs w:val="32"/>
        </w:rPr>
        <w:t>，属于</w:t>
      </w:r>
      <w:r>
        <w:rPr>
          <w:rFonts w:hint="eastAsia" w:eastAsia="宋体"/>
          <w:i/>
          <w:color w:val="auto"/>
          <w:sz w:val="32"/>
          <w:szCs w:val="32"/>
          <w:u w:val="words"/>
        </w:rPr>
        <w:t>（</w:t>
      </w:r>
      <w:r>
        <w:rPr>
          <w:rFonts w:hint="eastAsia"/>
          <w:i/>
          <w:color w:val="auto"/>
          <w:sz w:val="32"/>
          <w:szCs w:val="32"/>
          <w:u w:val="words"/>
          <w:lang w:eastAsia="zh-CN"/>
        </w:rPr>
        <w:t>对照“中小企业声明函附件”中</w:t>
      </w:r>
      <w:r>
        <w:rPr>
          <w:rFonts w:hint="eastAsia" w:eastAsia="宋体"/>
          <w:i/>
          <w:color w:val="auto"/>
          <w:sz w:val="32"/>
          <w:szCs w:val="32"/>
          <w:u w:val="words"/>
        </w:rPr>
        <w:t>的所属行业</w:t>
      </w:r>
      <w:r>
        <w:rPr>
          <w:rFonts w:hint="eastAsia"/>
          <w:i/>
          <w:color w:val="auto"/>
          <w:sz w:val="32"/>
          <w:szCs w:val="32"/>
          <w:u w:val="words"/>
          <w:lang w:eastAsia="zh-CN"/>
        </w:rPr>
        <w:t>及划型标准填写</w:t>
      </w:r>
      <w:r>
        <w:rPr>
          <w:rFonts w:hint="eastAsia" w:eastAsia="宋体"/>
          <w:i/>
          <w:color w:val="auto"/>
          <w:sz w:val="32"/>
          <w:szCs w:val="32"/>
          <w:u w:val="words"/>
        </w:rPr>
        <w:t>）行业</w:t>
      </w:r>
      <w:r>
        <w:rPr>
          <w:rFonts w:hint="eastAsia"/>
          <w:color w:val="auto"/>
          <w:sz w:val="32"/>
          <w:szCs w:val="32"/>
        </w:rPr>
        <w:t>；制造商为</w:t>
      </w:r>
      <w:r>
        <w:rPr>
          <w:rFonts w:hint="eastAsia" w:eastAsia="宋体"/>
          <w:i/>
          <w:color w:val="auto"/>
          <w:sz w:val="32"/>
          <w:szCs w:val="32"/>
          <w:u w:val="words"/>
        </w:rPr>
        <w:t>（企业名称）</w:t>
      </w:r>
      <w:r>
        <w:rPr>
          <w:rFonts w:hint="eastAsia"/>
          <w:color w:val="auto"/>
          <w:sz w:val="32"/>
          <w:szCs w:val="32"/>
        </w:rPr>
        <w:t>，从业人员</w:t>
      </w:r>
      <w:r>
        <w:rPr>
          <w:rFonts w:hint="eastAsia" w:eastAsia="宋体"/>
          <w:color w:val="auto"/>
          <w:sz w:val="32"/>
          <w:szCs w:val="32"/>
          <w:u w:val="single"/>
        </w:rPr>
        <w:t xml:space="preserve"> </w:t>
      </w:r>
      <w:r>
        <w:rPr>
          <w:rFonts w:hint="eastAsia" w:eastAsia="宋体"/>
          <w:color w:val="auto"/>
          <w:sz w:val="32"/>
          <w:szCs w:val="32"/>
          <w:u w:val="single"/>
          <w:lang w:val="en-US" w:eastAsia="zh-CN"/>
        </w:rPr>
        <w:t xml:space="preserve">    </w:t>
      </w:r>
      <w:r>
        <w:rPr>
          <w:rFonts w:hint="eastAsia"/>
          <w:color w:val="auto"/>
          <w:sz w:val="32"/>
          <w:szCs w:val="32"/>
        </w:rPr>
        <w:t>人，营业收入为</w:t>
      </w:r>
      <w:r>
        <w:rPr>
          <w:rFonts w:hint="eastAsia" w:eastAsia="宋体"/>
          <w:color w:val="auto"/>
          <w:sz w:val="32"/>
          <w:szCs w:val="32"/>
          <w:u w:val="single"/>
          <w:lang w:val="en-US" w:eastAsia="zh-CN"/>
        </w:rPr>
        <w:t xml:space="preserve">      </w:t>
      </w:r>
      <w:r>
        <w:rPr>
          <w:rFonts w:hint="eastAsia"/>
          <w:color w:val="auto"/>
          <w:sz w:val="32"/>
          <w:szCs w:val="32"/>
        </w:rPr>
        <w:t>万元，资产总额为</w:t>
      </w:r>
      <w:r>
        <w:rPr>
          <w:rFonts w:hint="eastAsia" w:eastAsia="宋体"/>
          <w:color w:val="auto"/>
          <w:sz w:val="32"/>
          <w:szCs w:val="32"/>
          <w:u w:val="single"/>
          <w:lang w:val="en-US" w:eastAsia="zh-CN"/>
        </w:rPr>
        <w:t xml:space="preserve">      </w:t>
      </w:r>
      <w:r>
        <w:rPr>
          <w:rFonts w:hint="eastAsia"/>
          <w:color w:val="auto"/>
          <w:sz w:val="32"/>
          <w:szCs w:val="32"/>
        </w:rPr>
        <w:t>万元，属于</w:t>
      </w:r>
      <w:r>
        <w:rPr>
          <w:rFonts w:hint="eastAsia" w:eastAsia="宋体"/>
          <w:i/>
          <w:color w:val="auto"/>
          <w:sz w:val="32"/>
          <w:szCs w:val="32"/>
          <w:u w:val="words"/>
        </w:rPr>
        <w:t>（中型企业、小型企业、微型企业）</w:t>
      </w:r>
      <w:r>
        <w:rPr>
          <w:rFonts w:hint="eastAsia"/>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sz w:val="32"/>
          <w:szCs w:val="32"/>
        </w:rPr>
      </w:pPr>
      <w:r>
        <w:rPr>
          <w:rFonts w:hint="eastAsia"/>
          <w:color w:val="auto"/>
          <w:sz w:val="32"/>
          <w:szCs w:val="32"/>
        </w:rPr>
        <w:t xml:space="preserve">2. </w:t>
      </w:r>
      <w:r>
        <w:rPr>
          <w:rFonts w:hint="eastAsia" w:eastAsia="宋体"/>
          <w:i/>
          <w:color w:val="auto"/>
          <w:sz w:val="32"/>
          <w:szCs w:val="32"/>
          <w:u w:val="words"/>
        </w:rPr>
        <w:t>（标的名称）</w:t>
      </w:r>
      <w:r>
        <w:rPr>
          <w:rFonts w:hint="eastAsia"/>
          <w:color w:val="auto"/>
          <w:sz w:val="32"/>
          <w:szCs w:val="32"/>
        </w:rPr>
        <w:t>，属于</w:t>
      </w:r>
      <w:r>
        <w:rPr>
          <w:rFonts w:hint="eastAsia" w:eastAsia="宋体"/>
          <w:i/>
          <w:color w:val="auto"/>
          <w:sz w:val="32"/>
          <w:szCs w:val="32"/>
          <w:u w:val="words"/>
        </w:rPr>
        <w:t>（</w:t>
      </w:r>
      <w:r>
        <w:rPr>
          <w:rFonts w:hint="eastAsia"/>
          <w:i/>
          <w:color w:val="auto"/>
          <w:sz w:val="32"/>
          <w:szCs w:val="32"/>
          <w:u w:val="words"/>
          <w:lang w:eastAsia="zh-CN"/>
        </w:rPr>
        <w:t>对照“中小企业声明函附件”中</w:t>
      </w:r>
      <w:r>
        <w:rPr>
          <w:rFonts w:hint="eastAsia" w:eastAsia="宋体"/>
          <w:i/>
          <w:color w:val="auto"/>
          <w:sz w:val="32"/>
          <w:szCs w:val="32"/>
          <w:u w:val="words"/>
        </w:rPr>
        <w:t>的所属行业</w:t>
      </w:r>
      <w:r>
        <w:rPr>
          <w:rFonts w:hint="eastAsia"/>
          <w:i/>
          <w:color w:val="auto"/>
          <w:sz w:val="32"/>
          <w:szCs w:val="32"/>
          <w:u w:val="words"/>
          <w:lang w:eastAsia="zh-CN"/>
        </w:rPr>
        <w:t>及划型标准填写</w:t>
      </w:r>
      <w:r>
        <w:rPr>
          <w:rFonts w:hint="eastAsia" w:eastAsia="宋体"/>
          <w:i/>
          <w:color w:val="auto"/>
          <w:sz w:val="32"/>
          <w:szCs w:val="32"/>
          <w:u w:val="words"/>
        </w:rPr>
        <w:t>）行业</w:t>
      </w:r>
      <w:r>
        <w:rPr>
          <w:rFonts w:hint="eastAsia"/>
          <w:color w:val="auto"/>
          <w:sz w:val="32"/>
          <w:szCs w:val="32"/>
        </w:rPr>
        <w:t>；制造商为</w:t>
      </w:r>
      <w:r>
        <w:rPr>
          <w:rFonts w:hint="eastAsia" w:eastAsia="宋体"/>
          <w:i/>
          <w:color w:val="auto"/>
          <w:sz w:val="32"/>
          <w:szCs w:val="32"/>
          <w:u w:val="words"/>
        </w:rPr>
        <w:t>（企业名称）</w:t>
      </w:r>
      <w:r>
        <w:rPr>
          <w:rFonts w:hint="eastAsia"/>
          <w:color w:val="auto"/>
          <w:sz w:val="32"/>
          <w:szCs w:val="32"/>
        </w:rPr>
        <w:t>，从业人员</w:t>
      </w:r>
      <w:r>
        <w:rPr>
          <w:rFonts w:hint="eastAsia" w:eastAsia="宋体"/>
          <w:color w:val="auto"/>
          <w:sz w:val="32"/>
          <w:szCs w:val="32"/>
          <w:u w:val="single"/>
        </w:rPr>
        <w:t xml:space="preserve"> </w:t>
      </w:r>
      <w:r>
        <w:rPr>
          <w:rFonts w:hint="eastAsia" w:eastAsia="宋体"/>
          <w:color w:val="auto"/>
          <w:sz w:val="32"/>
          <w:szCs w:val="32"/>
          <w:u w:val="single"/>
          <w:lang w:val="en-US" w:eastAsia="zh-CN"/>
        </w:rPr>
        <w:t xml:space="preserve">    </w:t>
      </w:r>
      <w:r>
        <w:rPr>
          <w:rFonts w:hint="eastAsia"/>
          <w:color w:val="auto"/>
          <w:sz w:val="32"/>
          <w:szCs w:val="32"/>
        </w:rPr>
        <w:t>人，营业收入为</w:t>
      </w:r>
      <w:r>
        <w:rPr>
          <w:rFonts w:hint="eastAsia" w:eastAsia="宋体"/>
          <w:color w:val="auto"/>
          <w:sz w:val="32"/>
          <w:szCs w:val="32"/>
          <w:u w:val="single"/>
          <w:lang w:val="en-US" w:eastAsia="zh-CN"/>
        </w:rPr>
        <w:t xml:space="preserve">      </w:t>
      </w:r>
      <w:r>
        <w:rPr>
          <w:rFonts w:hint="eastAsia"/>
          <w:color w:val="auto"/>
          <w:sz w:val="32"/>
          <w:szCs w:val="32"/>
        </w:rPr>
        <w:t>万元，资产总额为</w:t>
      </w:r>
      <w:r>
        <w:rPr>
          <w:rFonts w:hint="eastAsia" w:eastAsia="宋体"/>
          <w:color w:val="auto"/>
          <w:sz w:val="32"/>
          <w:szCs w:val="32"/>
          <w:u w:val="single"/>
          <w:lang w:val="en-US" w:eastAsia="zh-CN"/>
        </w:rPr>
        <w:t xml:space="preserve">      </w:t>
      </w:r>
      <w:r>
        <w:rPr>
          <w:rFonts w:hint="eastAsia"/>
          <w:color w:val="auto"/>
          <w:sz w:val="32"/>
          <w:szCs w:val="32"/>
        </w:rPr>
        <w:t>万元，属于</w:t>
      </w:r>
      <w:r>
        <w:rPr>
          <w:rFonts w:hint="eastAsia" w:eastAsia="宋体"/>
          <w:i/>
          <w:color w:val="auto"/>
          <w:sz w:val="32"/>
          <w:szCs w:val="32"/>
          <w:u w:val="words"/>
        </w:rPr>
        <w:t>（中型企业、小型企业、微型企业）</w:t>
      </w:r>
      <w:r>
        <w:rPr>
          <w:rFonts w:hint="eastAsia"/>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sz w:val="32"/>
          <w:szCs w:val="32"/>
        </w:rPr>
      </w:pPr>
      <w:r>
        <w:rPr>
          <w:rFonts w:hint="eastAsia"/>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sz w:val="32"/>
          <w:szCs w:val="32"/>
        </w:rPr>
      </w:pPr>
      <w:r>
        <w:rPr>
          <w:rFonts w:hint="eastAsia"/>
          <w:color w:val="auto"/>
          <w:sz w:val="32"/>
          <w:szCs w:val="32"/>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sz w:val="32"/>
          <w:szCs w:val="32"/>
        </w:rPr>
      </w:pPr>
      <w:r>
        <w:rPr>
          <w:rFonts w:hint="eastAsia"/>
          <w:color w:val="auto"/>
          <w:sz w:val="32"/>
          <w:szCs w:val="32"/>
        </w:rPr>
        <w:t>本企业对上述声明内容的真实性负责。如有虚假，将依法承担相应责任。</w:t>
      </w:r>
    </w:p>
    <w:p>
      <w:pPr>
        <w:ind w:firstLine="4160" w:firstLineChars="1300"/>
        <w:rPr>
          <w:rFonts w:hint="eastAsia"/>
          <w:color w:val="auto"/>
          <w:sz w:val="32"/>
          <w:szCs w:val="32"/>
        </w:rPr>
      </w:pPr>
      <w:r>
        <w:rPr>
          <w:rFonts w:hint="eastAsia"/>
          <w:color w:val="auto"/>
          <w:sz w:val="32"/>
          <w:szCs w:val="32"/>
        </w:rPr>
        <w:t>企业名称（盖章）：</w:t>
      </w:r>
    </w:p>
    <w:p>
      <w:pPr>
        <w:ind w:firstLine="4160" w:firstLineChars="1300"/>
        <w:rPr>
          <w:rFonts w:hint="eastAsia"/>
          <w:color w:val="auto"/>
          <w:sz w:val="32"/>
          <w:szCs w:val="32"/>
        </w:rPr>
      </w:pPr>
      <w:r>
        <w:rPr>
          <w:rFonts w:hint="eastAsia"/>
          <w:color w:val="auto"/>
          <w:sz w:val="32"/>
          <w:szCs w:val="32"/>
        </w:rPr>
        <w:t>日 期：</w:t>
      </w:r>
    </w:p>
    <w:p>
      <w:pPr>
        <w:rPr>
          <w:rFonts w:hint="eastAsia"/>
          <w:b/>
          <w:bCs/>
          <w:color w:val="auto"/>
          <w:sz w:val="21"/>
          <w:szCs w:val="21"/>
          <w:lang w:eastAsia="zh-CN"/>
        </w:rPr>
      </w:pPr>
      <w:r>
        <w:rPr>
          <w:rFonts w:hint="eastAsia"/>
          <w:b/>
          <w:bCs/>
          <w:color w:val="auto"/>
          <w:sz w:val="21"/>
          <w:szCs w:val="21"/>
          <w:lang w:eastAsia="zh-CN"/>
        </w:rPr>
        <w:t>备注：</w:t>
      </w:r>
    </w:p>
    <w:p>
      <w:pPr>
        <w:rPr>
          <w:rFonts w:hint="default"/>
          <w:b/>
          <w:bCs/>
          <w:color w:val="auto"/>
          <w:sz w:val="21"/>
          <w:szCs w:val="21"/>
          <w:lang w:val="en-US" w:eastAsia="zh-CN"/>
        </w:rPr>
      </w:pPr>
      <w:r>
        <w:rPr>
          <w:rFonts w:hint="eastAsia"/>
          <w:b/>
          <w:bCs/>
          <w:color w:val="auto"/>
          <w:sz w:val="21"/>
          <w:szCs w:val="21"/>
          <w:lang w:val="en-US" w:eastAsia="zh-CN"/>
        </w:rPr>
        <w:t>1、</w:t>
      </w:r>
      <w:r>
        <w:rPr>
          <w:rFonts w:hint="eastAsia" w:ascii="新宋体" w:hAnsi="新宋体" w:eastAsia="新宋体"/>
          <w:b/>
          <w:color w:val="auto"/>
          <w:sz w:val="21"/>
          <w:szCs w:val="21"/>
          <w:highlight w:val="none"/>
        </w:rPr>
        <w:t>如</w:t>
      </w:r>
      <w:r>
        <w:rPr>
          <w:rFonts w:hint="eastAsia" w:ascii="新宋体" w:hAnsi="新宋体" w:eastAsia="新宋体"/>
          <w:b/>
          <w:color w:val="auto"/>
          <w:sz w:val="21"/>
          <w:szCs w:val="21"/>
          <w:highlight w:val="none"/>
          <w:lang w:eastAsia="zh-CN"/>
        </w:rPr>
        <w:t>货物制造商</w:t>
      </w:r>
      <w:r>
        <w:rPr>
          <w:rFonts w:hint="eastAsia" w:ascii="新宋体" w:hAnsi="新宋体" w:eastAsia="新宋体"/>
          <w:b/>
          <w:color w:val="auto"/>
          <w:sz w:val="21"/>
          <w:szCs w:val="21"/>
          <w:highlight w:val="none"/>
        </w:rPr>
        <w:t>非小微企业，本声明函无需填写。</w:t>
      </w:r>
    </w:p>
    <w:p>
      <w:pPr>
        <w:numPr>
          <w:ilvl w:val="0"/>
          <w:numId w:val="0"/>
        </w:numPr>
        <w:rPr>
          <w:rFonts w:hint="eastAsia"/>
          <w:b/>
          <w:bCs/>
          <w:color w:val="auto"/>
          <w:sz w:val="21"/>
          <w:szCs w:val="21"/>
          <w:lang w:eastAsia="zh-CN"/>
        </w:rPr>
      </w:pPr>
      <w:r>
        <w:rPr>
          <w:rFonts w:hint="eastAsia"/>
          <w:b/>
          <w:bCs/>
          <w:color w:val="auto"/>
          <w:sz w:val="21"/>
          <w:szCs w:val="21"/>
          <w:lang w:val="en-US" w:eastAsia="zh-CN"/>
        </w:rPr>
        <w:t>2、</w:t>
      </w:r>
      <w:r>
        <w:rPr>
          <w:rFonts w:hint="eastAsia"/>
          <w:b/>
          <w:bCs/>
          <w:color w:val="auto"/>
          <w:sz w:val="21"/>
          <w:szCs w:val="21"/>
        </w:rPr>
        <w:t>从业人员、营业收入、资产总额填报上一年度数据，无上一年度数据的新成立企业可不填报</w:t>
      </w:r>
      <w:r>
        <w:rPr>
          <w:rFonts w:hint="eastAsia"/>
          <w:b/>
          <w:bCs/>
          <w:color w:val="auto"/>
          <w:sz w:val="21"/>
          <w:szCs w:val="21"/>
          <w:lang w:eastAsia="zh-CN"/>
        </w:rPr>
        <w:t>。</w:t>
      </w:r>
    </w:p>
    <w:p>
      <w:pPr>
        <w:numPr>
          <w:ilvl w:val="0"/>
          <w:numId w:val="0"/>
        </w:numPr>
        <w:rPr>
          <w:rFonts w:hint="eastAsia"/>
          <w:b/>
          <w:color w:val="auto"/>
          <w:sz w:val="32"/>
          <w:szCs w:val="32"/>
          <w:highlight w:val="none"/>
        </w:rPr>
      </w:pPr>
      <w:r>
        <w:rPr>
          <w:rFonts w:hint="eastAsia"/>
          <w:b/>
          <w:bCs/>
          <w:color w:val="auto"/>
          <w:sz w:val="21"/>
          <w:szCs w:val="21"/>
          <w:lang w:val="en-US" w:eastAsia="zh-CN"/>
        </w:rPr>
        <w:t>3、</w:t>
      </w:r>
      <w:r>
        <w:rPr>
          <w:rFonts w:hint="eastAsia"/>
          <w:b/>
          <w:bCs/>
          <w:color w:val="auto"/>
          <w:sz w:val="21"/>
          <w:szCs w:val="21"/>
          <w:lang w:eastAsia="zh-CN"/>
        </w:rPr>
        <w:t>中小企业划分标准所属行业详见“中小企业声明函附件”。</w:t>
      </w:r>
    </w:p>
    <w:p>
      <w:pPr>
        <w:jc w:val="center"/>
        <w:rPr>
          <w:color w:val="auto"/>
          <w:sz w:val="36"/>
          <w:szCs w:val="36"/>
          <w:highlight w:val="none"/>
        </w:rPr>
      </w:pPr>
      <w:bookmarkStart w:id="49" w:name="OLE_LINK14"/>
      <w:bookmarkStart w:id="50" w:name="OLE_LINK13"/>
      <w:r>
        <w:rPr>
          <w:rFonts w:hint="eastAsia"/>
          <w:color w:val="auto"/>
          <w:sz w:val="36"/>
          <w:szCs w:val="36"/>
          <w:highlight w:val="none"/>
        </w:rPr>
        <w:br w:type="page"/>
      </w:r>
      <w:r>
        <w:rPr>
          <w:rFonts w:hint="eastAsia"/>
          <w:color w:val="auto"/>
          <w:sz w:val="36"/>
          <w:szCs w:val="36"/>
          <w:highlight w:val="none"/>
        </w:rPr>
        <w:t>残疾人福利性单位声明函</w:t>
      </w:r>
    </w:p>
    <w:bookmarkEnd w:id="49"/>
    <w:bookmarkEnd w:id="50"/>
    <w:p>
      <w:pPr>
        <w:spacing w:line="588" w:lineRule="exact"/>
        <w:rPr>
          <w:rFonts w:ascii="仿宋_GB2312" w:eastAsia="仿宋_GB2312"/>
          <w:b/>
          <w:color w:val="auto"/>
          <w:spacing w:val="6"/>
          <w:sz w:val="30"/>
          <w:szCs w:val="30"/>
          <w:highlight w:val="none"/>
        </w:rPr>
      </w:pPr>
    </w:p>
    <w:p>
      <w:pPr>
        <w:spacing w:line="588" w:lineRule="exact"/>
        <w:ind w:firstLine="640" w:firstLineChars="200"/>
        <w:rPr>
          <w:color w:val="auto"/>
          <w:sz w:val="32"/>
          <w:szCs w:val="32"/>
          <w:highlight w:val="none"/>
        </w:rPr>
      </w:pPr>
      <w:r>
        <w:rPr>
          <w:rFonts w:hint="eastAsia"/>
          <w:color w:val="auto"/>
          <w:sz w:val="32"/>
          <w:szCs w:val="32"/>
          <w:highlight w:val="none"/>
        </w:rPr>
        <w:t>本单位郑重声明，根据《财政部</w:t>
      </w:r>
      <w:r>
        <w:rPr>
          <w:color w:val="auto"/>
          <w:sz w:val="32"/>
          <w:szCs w:val="32"/>
          <w:highlight w:val="none"/>
        </w:rPr>
        <w:t xml:space="preserve"> </w:t>
      </w:r>
      <w:r>
        <w:rPr>
          <w:rFonts w:hint="eastAsia"/>
          <w:color w:val="auto"/>
          <w:sz w:val="32"/>
          <w:szCs w:val="32"/>
          <w:highlight w:val="none"/>
        </w:rPr>
        <w:t>民政部</w:t>
      </w:r>
      <w:r>
        <w:rPr>
          <w:color w:val="auto"/>
          <w:sz w:val="32"/>
          <w:szCs w:val="32"/>
          <w:highlight w:val="none"/>
        </w:rPr>
        <w:t xml:space="preserve"> </w:t>
      </w:r>
      <w:r>
        <w:rPr>
          <w:rFonts w:hint="eastAsia"/>
          <w:color w:val="auto"/>
          <w:sz w:val="32"/>
          <w:szCs w:val="32"/>
          <w:highlight w:val="none"/>
        </w:rPr>
        <w:t>中国残疾人联合会关于促进残疾人就业政府采购政策的通知》（财库〔</w:t>
      </w:r>
      <w:r>
        <w:rPr>
          <w:color w:val="auto"/>
          <w:sz w:val="32"/>
          <w:szCs w:val="32"/>
          <w:highlight w:val="none"/>
        </w:rPr>
        <w:t>2017</w:t>
      </w:r>
      <w:r>
        <w:rPr>
          <w:rFonts w:hint="eastAsia"/>
          <w:color w:val="auto"/>
          <w:sz w:val="32"/>
          <w:szCs w:val="32"/>
          <w:highlight w:val="none"/>
        </w:rPr>
        <w:t>〕</w:t>
      </w:r>
      <w:r>
        <w:rPr>
          <w:color w:val="auto"/>
          <w:sz w:val="32"/>
          <w:szCs w:val="32"/>
          <w:highlight w:val="none"/>
        </w:rPr>
        <w:t xml:space="preserve"> 141</w:t>
      </w:r>
      <w:r>
        <w:rPr>
          <w:rFonts w:hint="eastAsia"/>
          <w:color w:val="auto"/>
          <w:sz w:val="32"/>
          <w:szCs w:val="32"/>
          <w:highlight w:val="none"/>
        </w:rPr>
        <w:t>号）的规定，本单位为符合条件的残疾人福利性单位，且本单位参加</w:t>
      </w:r>
      <w:r>
        <w:rPr>
          <w:color w:val="auto"/>
          <w:sz w:val="32"/>
          <w:szCs w:val="32"/>
          <w:highlight w:val="none"/>
        </w:rPr>
        <w:t>______</w:t>
      </w:r>
      <w:r>
        <w:rPr>
          <w:rFonts w:hint="eastAsia"/>
          <w:color w:val="auto"/>
          <w:sz w:val="32"/>
          <w:szCs w:val="32"/>
          <w:highlight w:val="none"/>
        </w:rPr>
        <w:t>单位的</w:t>
      </w:r>
      <w:r>
        <w:rPr>
          <w:color w:val="auto"/>
          <w:sz w:val="32"/>
          <w:szCs w:val="32"/>
          <w:highlight w:val="none"/>
        </w:rPr>
        <w:t>______</w:t>
      </w:r>
      <w:r>
        <w:rPr>
          <w:rFonts w:hint="eastAsia"/>
          <w:color w:val="auto"/>
          <w:sz w:val="32"/>
          <w:szCs w:val="32"/>
          <w:highlight w:val="none"/>
        </w:rPr>
        <w:t>项目采购活动提供本单位制造的货物（由本单位承担工程</w:t>
      </w:r>
      <w:r>
        <w:rPr>
          <w:color w:val="auto"/>
          <w:sz w:val="32"/>
          <w:szCs w:val="32"/>
          <w:highlight w:val="none"/>
        </w:rPr>
        <w:t>/</w:t>
      </w:r>
      <w:r>
        <w:rPr>
          <w:rFonts w:hint="eastAsia"/>
          <w:color w:val="auto"/>
          <w:sz w:val="32"/>
          <w:szCs w:val="32"/>
          <w:highlight w:val="none"/>
        </w:rPr>
        <w:t>提供服务），或者提供其他残疾人福利性单位制造的货物（不包括使用非残疾人福利性单位注册商标的货物）。</w:t>
      </w:r>
    </w:p>
    <w:p>
      <w:pPr>
        <w:spacing w:line="588" w:lineRule="exact"/>
        <w:ind w:firstLine="640" w:firstLineChars="200"/>
        <w:rPr>
          <w:color w:val="auto"/>
          <w:sz w:val="32"/>
          <w:szCs w:val="32"/>
          <w:highlight w:val="none"/>
        </w:rPr>
      </w:pPr>
      <w:r>
        <w:rPr>
          <w:rFonts w:hint="eastAsia"/>
          <w:color w:val="auto"/>
          <w:sz w:val="32"/>
          <w:szCs w:val="32"/>
          <w:highlight w:val="none"/>
        </w:rPr>
        <w:t>本单位对上述声明的真实性负责。如有虚假，将依法承担相应责任。</w:t>
      </w:r>
    </w:p>
    <w:p>
      <w:pPr>
        <w:spacing w:line="588" w:lineRule="exact"/>
        <w:ind w:firstLine="640" w:firstLineChars="200"/>
        <w:rPr>
          <w:color w:val="auto"/>
          <w:sz w:val="32"/>
          <w:szCs w:val="32"/>
          <w:highlight w:val="none"/>
        </w:rPr>
      </w:pPr>
    </w:p>
    <w:p>
      <w:pPr>
        <w:spacing w:line="588" w:lineRule="exact"/>
        <w:ind w:firstLine="640" w:firstLineChars="200"/>
        <w:rPr>
          <w:color w:val="auto"/>
          <w:sz w:val="32"/>
          <w:szCs w:val="32"/>
          <w:highlight w:val="none"/>
        </w:rPr>
      </w:pPr>
    </w:p>
    <w:p>
      <w:pPr>
        <w:tabs>
          <w:tab w:val="left" w:pos="4860"/>
        </w:tabs>
        <w:spacing w:line="588" w:lineRule="exact"/>
        <w:ind w:right="1560" w:firstLine="640" w:firstLineChars="200"/>
        <w:jc w:val="center"/>
        <w:rPr>
          <w:rFonts w:hint="eastAsia"/>
          <w:color w:val="auto"/>
          <w:sz w:val="32"/>
          <w:szCs w:val="32"/>
          <w:highlight w:val="none"/>
        </w:rPr>
      </w:pPr>
      <w:r>
        <w:rPr>
          <w:color w:val="auto"/>
          <w:sz w:val="32"/>
          <w:szCs w:val="32"/>
          <w:highlight w:val="none"/>
        </w:rPr>
        <w:t xml:space="preserve">              </w:t>
      </w:r>
    </w:p>
    <w:p>
      <w:pPr>
        <w:tabs>
          <w:tab w:val="left" w:pos="4860"/>
        </w:tabs>
        <w:spacing w:line="588" w:lineRule="exact"/>
        <w:ind w:right="1560" w:firstLine="640" w:firstLineChars="200"/>
        <w:jc w:val="center"/>
        <w:rPr>
          <w:rFonts w:hint="eastAsia"/>
          <w:color w:val="auto"/>
          <w:sz w:val="32"/>
          <w:szCs w:val="32"/>
          <w:highlight w:val="none"/>
        </w:rPr>
      </w:pPr>
    </w:p>
    <w:p>
      <w:pPr>
        <w:tabs>
          <w:tab w:val="left" w:pos="4860"/>
        </w:tabs>
        <w:spacing w:line="588" w:lineRule="exact"/>
        <w:ind w:right="1560" w:firstLine="640" w:firstLineChars="200"/>
        <w:jc w:val="center"/>
        <w:rPr>
          <w:rFonts w:hint="eastAsia"/>
          <w:color w:val="auto"/>
          <w:sz w:val="32"/>
          <w:szCs w:val="32"/>
          <w:highlight w:val="none"/>
        </w:rPr>
      </w:pPr>
    </w:p>
    <w:p>
      <w:pPr>
        <w:tabs>
          <w:tab w:val="left" w:pos="4860"/>
        </w:tabs>
        <w:spacing w:line="588" w:lineRule="exact"/>
        <w:ind w:right="1560" w:firstLine="640" w:firstLineChars="200"/>
        <w:jc w:val="center"/>
        <w:rPr>
          <w:color w:val="auto"/>
          <w:sz w:val="32"/>
          <w:szCs w:val="32"/>
          <w:highlight w:val="none"/>
        </w:rPr>
      </w:pPr>
      <w:r>
        <w:rPr>
          <w:color w:val="auto"/>
          <w:sz w:val="32"/>
          <w:szCs w:val="32"/>
          <w:highlight w:val="none"/>
        </w:rPr>
        <w:t xml:space="preserve"> </w:t>
      </w:r>
      <w:r>
        <w:rPr>
          <w:rFonts w:hint="eastAsia"/>
          <w:color w:val="auto"/>
          <w:sz w:val="32"/>
          <w:szCs w:val="32"/>
          <w:highlight w:val="none"/>
        </w:rPr>
        <w:t>单位名称（盖章）：</w:t>
      </w:r>
    </w:p>
    <w:p>
      <w:pPr>
        <w:tabs>
          <w:tab w:val="left" w:pos="4860"/>
        </w:tabs>
        <w:spacing w:line="588" w:lineRule="exact"/>
        <w:ind w:right="1560" w:firstLine="640" w:firstLineChars="200"/>
        <w:jc w:val="center"/>
        <w:rPr>
          <w:color w:val="auto"/>
          <w:sz w:val="32"/>
          <w:szCs w:val="32"/>
          <w:highlight w:val="none"/>
        </w:rPr>
      </w:pPr>
      <w:r>
        <w:rPr>
          <w:color w:val="auto"/>
          <w:sz w:val="32"/>
          <w:szCs w:val="32"/>
          <w:highlight w:val="none"/>
        </w:rPr>
        <w:t xml:space="preserve">       </w:t>
      </w:r>
      <w:r>
        <w:rPr>
          <w:rFonts w:hint="eastAsia"/>
          <w:color w:val="auto"/>
          <w:sz w:val="32"/>
          <w:szCs w:val="32"/>
          <w:highlight w:val="none"/>
        </w:rPr>
        <w:t>日</w:t>
      </w:r>
      <w:r>
        <w:rPr>
          <w:color w:val="auto"/>
          <w:sz w:val="32"/>
          <w:szCs w:val="32"/>
          <w:highlight w:val="none"/>
        </w:rPr>
        <w:t xml:space="preserve">  </w:t>
      </w:r>
      <w:r>
        <w:rPr>
          <w:rFonts w:hint="eastAsia"/>
          <w:color w:val="auto"/>
          <w:sz w:val="32"/>
          <w:szCs w:val="32"/>
          <w:highlight w:val="none"/>
        </w:rPr>
        <w:t>期：</w:t>
      </w: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r>
        <w:rPr>
          <w:rFonts w:hint="eastAsia"/>
          <w:b/>
          <w:color w:val="auto"/>
          <w:sz w:val="32"/>
          <w:szCs w:val="32"/>
          <w:highlight w:val="none"/>
        </w:rPr>
        <w:t>注：如非残疾人福利性单位，本声明函无需填写。</w:t>
      </w:r>
    </w:p>
    <w:p>
      <w:pPr>
        <w:jc w:val="center"/>
        <w:rPr>
          <w:rFonts w:hint="eastAsia"/>
          <w:color w:val="auto"/>
          <w:sz w:val="36"/>
          <w:szCs w:val="36"/>
          <w:highlight w:val="none"/>
        </w:rPr>
      </w:pPr>
    </w:p>
    <w:p>
      <w:pPr>
        <w:jc w:val="center"/>
        <w:rPr>
          <w:rFonts w:hint="eastAsia"/>
          <w:color w:val="auto"/>
          <w:sz w:val="36"/>
          <w:szCs w:val="36"/>
          <w:highlight w:val="none"/>
        </w:rPr>
      </w:pPr>
    </w:p>
    <w:p>
      <w:pPr>
        <w:jc w:val="center"/>
        <w:rPr>
          <w:rFonts w:hint="eastAsia"/>
          <w:color w:val="auto"/>
          <w:sz w:val="36"/>
          <w:szCs w:val="36"/>
          <w:highlight w:val="none"/>
        </w:rPr>
      </w:pPr>
    </w:p>
    <w:p>
      <w:pPr>
        <w:jc w:val="center"/>
        <w:rPr>
          <w:rFonts w:hint="eastAsia"/>
          <w:color w:val="auto"/>
          <w:sz w:val="36"/>
          <w:szCs w:val="36"/>
          <w:highlight w:val="none"/>
        </w:rPr>
      </w:pPr>
    </w:p>
    <w:p>
      <w:pPr>
        <w:jc w:val="center"/>
        <w:rPr>
          <w:rFonts w:hint="eastAsia"/>
          <w:color w:val="auto"/>
          <w:sz w:val="36"/>
          <w:szCs w:val="36"/>
          <w:highlight w:val="none"/>
        </w:rPr>
      </w:pPr>
    </w:p>
    <w:p>
      <w:pPr>
        <w:jc w:val="center"/>
        <w:rPr>
          <w:rFonts w:hint="eastAsia"/>
          <w:color w:val="auto"/>
          <w:sz w:val="36"/>
          <w:szCs w:val="36"/>
          <w:highlight w:val="none"/>
        </w:rPr>
      </w:pPr>
      <w:r>
        <w:rPr>
          <w:rFonts w:hint="eastAsia"/>
          <w:color w:val="auto"/>
          <w:sz w:val="36"/>
          <w:szCs w:val="36"/>
          <w:highlight w:val="none"/>
        </w:rPr>
        <w:t>监狱企业证明文件</w:t>
      </w:r>
    </w:p>
    <w:p>
      <w:pPr>
        <w:jc w:val="center"/>
        <w:rPr>
          <w:rFonts w:hint="eastAsia"/>
          <w:color w:val="auto"/>
          <w:sz w:val="32"/>
          <w:szCs w:val="32"/>
          <w:highlight w:val="none"/>
        </w:rPr>
      </w:pPr>
    </w:p>
    <w:p>
      <w:pPr>
        <w:spacing w:line="360" w:lineRule="auto"/>
        <w:jc w:val="center"/>
        <w:rPr>
          <w:rFonts w:hint="eastAsia" w:ascii="新宋体" w:hAnsi="新宋体" w:eastAsia="新宋体"/>
          <w:color w:val="auto"/>
          <w:sz w:val="32"/>
          <w:szCs w:val="32"/>
          <w:highlight w:val="none"/>
        </w:rPr>
      </w:pPr>
      <w:r>
        <w:rPr>
          <w:rFonts w:hint="eastAsia" w:ascii="新宋体" w:hAnsi="新宋体" w:eastAsia="新宋体"/>
          <w:color w:val="auto"/>
          <w:sz w:val="32"/>
          <w:szCs w:val="32"/>
          <w:highlight w:val="none"/>
        </w:rPr>
        <w:t>提供由省级以上监狱管理局、戒毒管理局（含新疆生产建设兵团）出具的属于监狱企业的证明文件。</w:t>
      </w:r>
    </w:p>
    <w:p>
      <w:pPr>
        <w:spacing w:line="360" w:lineRule="auto"/>
        <w:jc w:val="center"/>
        <w:rPr>
          <w:rFonts w:hint="eastAsia" w:ascii="新宋体" w:hAnsi="新宋体" w:eastAsia="新宋体"/>
          <w:color w:val="auto"/>
          <w:sz w:val="32"/>
          <w:szCs w:val="32"/>
          <w:highlight w:val="none"/>
        </w:rPr>
      </w:pPr>
    </w:p>
    <w:p>
      <w:pPr>
        <w:spacing w:line="360" w:lineRule="auto"/>
        <w:jc w:val="center"/>
        <w:rPr>
          <w:rFonts w:hint="eastAsia" w:ascii="新宋体" w:hAnsi="新宋体" w:eastAsia="新宋体"/>
          <w:color w:val="auto"/>
          <w:sz w:val="32"/>
          <w:szCs w:val="32"/>
          <w:highlight w:val="none"/>
        </w:rPr>
      </w:pPr>
    </w:p>
    <w:p>
      <w:pPr>
        <w:spacing w:line="360" w:lineRule="auto"/>
        <w:jc w:val="center"/>
        <w:rPr>
          <w:rFonts w:hint="eastAsia" w:ascii="新宋体" w:hAnsi="新宋体" w:eastAsia="新宋体"/>
          <w:color w:val="auto"/>
          <w:sz w:val="32"/>
          <w:szCs w:val="32"/>
          <w:highlight w:val="none"/>
        </w:rPr>
      </w:pPr>
    </w:p>
    <w:p>
      <w:pPr>
        <w:spacing w:line="360" w:lineRule="auto"/>
        <w:jc w:val="center"/>
        <w:rPr>
          <w:rFonts w:hint="eastAsia" w:ascii="新宋体" w:hAnsi="新宋体" w:eastAsia="新宋体"/>
          <w:color w:val="auto"/>
          <w:sz w:val="32"/>
          <w:szCs w:val="32"/>
          <w:highlight w:val="none"/>
        </w:rPr>
      </w:pPr>
    </w:p>
    <w:p>
      <w:pPr>
        <w:spacing w:line="360" w:lineRule="auto"/>
        <w:jc w:val="center"/>
        <w:rPr>
          <w:rFonts w:hint="eastAsia" w:ascii="新宋体" w:hAnsi="新宋体" w:eastAsia="新宋体"/>
          <w:color w:val="auto"/>
          <w:sz w:val="32"/>
          <w:szCs w:val="32"/>
          <w:highlight w:val="none"/>
        </w:rPr>
      </w:pPr>
    </w:p>
    <w:p>
      <w:pPr>
        <w:pStyle w:val="30"/>
        <w:rPr>
          <w:rFonts w:hint="eastAsia" w:ascii="新宋体" w:hAnsi="新宋体" w:eastAsia="新宋体"/>
          <w:color w:val="auto"/>
          <w:sz w:val="32"/>
          <w:szCs w:val="32"/>
          <w:highlight w:val="none"/>
        </w:rPr>
      </w:pPr>
    </w:p>
    <w:p>
      <w:pPr>
        <w:rPr>
          <w:rFonts w:hint="eastAsia" w:ascii="新宋体" w:hAnsi="新宋体" w:eastAsia="新宋体"/>
          <w:color w:val="auto"/>
          <w:sz w:val="32"/>
          <w:szCs w:val="32"/>
          <w:highlight w:val="none"/>
        </w:rPr>
      </w:pPr>
    </w:p>
    <w:p>
      <w:pPr>
        <w:pStyle w:val="30"/>
        <w:rPr>
          <w:rFonts w:hint="eastAsia" w:ascii="新宋体" w:hAnsi="新宋体" w:eastAsia="新宋体"/>
          <w:color w:val="auto"/>
          <w:sz w:val="32"/>
          <w:szCs w:val="32"/>
          <w:highlight w:val="none"/>
        </w:rPr>
      </w:pPr>
    </w:p>
    <w:p>
      <w:pPr>
        <w:rPr>
          <w:rFonts w:hint="eastAsia" w:ascii="新宋体" w:hAnsi="新宋体" w:eastAsia="新宋体"/>
          <w:color w:val="auto"/>
          <w:sz w:val="32"/>
          <w:szCs w:val="32"/>
          <w:highlight w:val="none"/>
        </w:rPr>
      </w:pPr>
    </w:p>
    <w:p>
      <w:pPr>
        <w:pStyle w:val="30"/>
        <w:rPr>
          <w:rFonts w:hint="eastAsia" w:ascii="新宋体" w:hAnsi="新宋体" w:eastAsia="新宋体"/>
          <w:color w:val="auto"/>
          <w:sz w:val="32"/>
          <w:szCs w:val="32"/>
          <w:highlight w:val="none"/>
        </w:rPr>
      </w:pPr>
    </w:p>
    <w:p>
      <w:pPr>
        <w:rPr>
          <w:rFonts w:hint="eastAsia" w:ascii="新宋体" w:hAnsi="新宋体" w:eastAsia="新宋体"/>
          <w:color w:val="auto"/>
          <w:sz w:val="32"/>
          <w:szCs w:val="32"/>
          <w:highlight w:val="none"/>
        </w:rPr>
      </w:pPr>
    </w:p>
    <w:p>
      <w:pPr>
        <w:pStyle w:val="30"/>
        <w:rPr>
          <w:rFonts w:hint="eastAsia" w:ascii="新宋体" w:hAnsi="新宋体" w:eastAsia="新宋体"/>
          <w:color w:val="auto"/>
          <w:sz w:val="32"/>
          <w:szCs w:val="32"/>
          <w:highlight w:val="none"/>
        </w:rPr>
      </w:pPr>
    </w:p>
    <w:p>
      <w:pPr>
        <w:rPr>
          <w:rFonts w:hint="eastAsia" w:ascii="新宋体" w:hAnsi="新宋体" w:eastAsia="新宋体"/>
          <w:color w:val="auto"/>
          <w:sz w:val="32"/>
          <w:szCs w:val="32"/>
          <w:highlight w:val="none"/>
        </w:rPr>
      </w:pPr>
    </w:p>
    <w:p>
      <w:pPr>
        <w:pStyle w:val="30"/>
        <w:rPr>
          <w:rFonts w:hint="eastAsia" w:ascii="新宋体" w:hAnsi="新宋体" w:eastAsia="新宋体"/>
          <w:color w:val="auto"/>
          <w:sz w:val="32"/>
          <w:szCs w:val="32"/>
          <w:highlight w:val="none"/>
        </w:rPr>
      </w:pPr>
    </w:p>
    <w:p>
      <w:pPr>
        <w:rPr>
          <w:rFonts w:hint="eastAsia" w:ascii="新宋体" w:hAnsi="新宋体" w:eastAsia="新宋体"/>
          <w:color w:val="auto"/>
          <w:sz w:val="32"/>
          <w:szCs w:val="32"/>
          <w:highlight w:val="none"/>
        </w:rPr>
      </w:pPr>
    </w:p>
    <w:p>
      <w:pPr>
        <w:pStyle w:val="30"/>
        <w:rPr>
          <w:rFonts w:hint="eastAsia"/>
        </w:rPr>
      </w:pPr>
    </w:p>
    <w:p>
      <w:pPr>
        <w:spacing w:line="360" w:lineRule="auto"/>
        <w:jc w:val="center"/>
        <w:rPr>
          <w:rFonts w:hint="eastAsia" w:ascii="新宋体" w:hAnsi="新宋体" w:eastAsia="新宋体"/>
          <w:color w:val="auto"/>
          <w:sz w:val="32"/>
          <w:szCs w:val="32"/>
          <w:highlight w:val="none"/>
        </w:rPr>
      </w:pPr>
    </w:p>
    <w:p>
      <w:pPr>
        <w:spacing w:line="360" w:lineRule="auto"/>
        <w:jc w:val="center"/>
        <w:rPr>
          <w:rFonts w:hint="eastAsia" w:ascii="新宋体" w:hAnsi="新宋体" w:eastAsia="新宋体"/>
          <w:color w:val="auto"/>
          <w:sz w:val="32"/>
          <w:szCs w:val="32"/>
          <w:highlight w:val="none"/>
        </w:rPr>
      </w:pPr>
    </w:p>
    <w:p>
      <w:pPr>
        <w:spacing w:line="360" w:lineRule="auto"/>
        <w:jc w:val="center"/>
        <w:rPr>
          <w:rFonts w:hint="eastAsia" w:ascii="新宋体" w:hAnsi="新宋体" w:eastAsia="新宋体"/>
          <w:color w:val="auto"/>
          <w:sz w:val="32"/>
          <w:szCs w:val="32"/>
          <w:highlight w:val="none"/>
        </w:rPr>
      </w:pPr>
    </w:p>
    <w:p>
      <w:pPr>
        <w:spacing w:line="360" w:lineRule="auto"/>
        <w:jc w:val="center"/>
        <w:rPr>
          <w:rFonts w:hint="eastAsia" w:ascii="新宋体" w:hAnsi="新宋体" w:eastAsia="新宋体"/>
          <w:color w:val="auto"/>
          <w:sz w:val="32"/>
          <w:szCs w:val="32"/>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lang w:val="en-US" w:eastAsia="zh-CN"/>
        </w:rPr>
        <w:t>政府采购促进中小企业发展管理办法</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财库〔2020〕46号</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 xml:space="preserve">    </w:t>
      </w:r>
      <w:r>
        <w:rPr>
          <w:rStyle w:val="48"/>
          <w:rFonts w:hint="eastAsia" w:ascii="宋体" w:hAnsi="宋体" w:eastAsia="宋体" w:cs="宋体"/>
          <w:bCs w:val="0"/>
          <w:color w:val="auto"/>
          <w:kern w:val="0"/>
          <w:sz w:val="24"/>
          <w:szCs w:val="24"/>
          <w:highlight w:val="none"/>
          <w:lang w:val="en-US" w:eastAsia="zh-CN" w:bidi="ar"/>
        </w:rPr>
        <w:t>第一条</w:t>
      </w:r>
      <w:r>
        <w:rPr>
          <w:rFonts w:hint="eastAsia" w:ascii="宋体" w:hAnsi="宋体" w:eastAsia="宋体" w:cs="宋体"/>
          <w:b w:val="0"/>
          <w:bCs w:val="0"/>
          <w:color w:val="auto"/>
          <w:kern w:val="0"/>
          <w:sz w:val="24"/>
          <w:szCs w:val="24"/>
          <w:highlight w:val="none"/>
          <w:lang w:val="en-US" w:eastAsia="zh-CN" w:bidi="ar"/>
        </w:rPr>
        <w:t xml:space="preserve">  为了发挥政府采购的政策功能，促进中小企业健康发展，根据《中华人民共和国政府采购法》、《中华人民共和国中小企业促进法》等有关法律法规，制定本办法。</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第二条</w:t>
      </w:r>
      <w:r>
        <w:rPr>
          <w:rFonts w:hint="eastAsia" w:ascii="宋体" w:hAnsi="宋体" w:eastAsia="宋体" w:cs="宋体"/>
          <w:b w:val="0"/>
          <w:bCs w:val="0"/>
          <w:color w:val="auto"/>
          <w:kern w:val="0"/>
          <w:sz w:val="24"/>
          <w:szCs w:val="24"/>
          <w:highlight w:val="none"/>
          <w:lang w:val="en-US" w:eastAsia="zh-CN" w:bidi="ar"/>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符合中小企业划分标准的个体工商户，在政府采购活动中视同中小企业。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 xml:space="preserve">   </w:t>
      </w:r>
      <w:r>
        <w:rPr>
          <w:rStyle w:val="48"/>
          <w:rFonts w:hint="eastAsia" w:ascii="宋体" w:hAnsi="宋体" w:eastAsia="宋体" w:cs="宋体"/>
          <w:bCs w:val="0"/>
          <w:color w:val="auto"/>
          <w:kern w:val="0"/>
          <w:sz w:val="24"/>
          <w:szCs w:val="24"/>
          <w:highlight w:val="none"/>
          <w:lang w:val="en-US" w:eastAsia="zh-CN" w:bidi="ar"/>
        </w:rPr>
        <w:t xml:space="preserve"> 第三条</w:t>
      </w:r>
      <w:r>
        <w:rPr>
          <w:rFonts w:hint="eastAsia" w:ascii="宋体" w:hAnsi="宋体" w:eastAsia="宋体" w:cs="宋体"/>
          <w:b w:val="0"/>
          <w:bCs w:val="0"/>
          <w:color w:val="auto"/>
          <w:kern w:val="0"/>
          <w:sz w:val="24"/>
          <w:szCs w:val="24"/>
          <w:highlight w:val="none"/>
          <w:lang w:val="en-US" w:eastAsia="zh-CN" w:bidi="ar"/>
        </w:rPr>
        <w:t xml:space="preserve">  采购人在政府采购活动中应当通过加强采购需求管理，落实预留采购份额、价格评审优惠、优先采购等措施，提高中小企业在政府采购中的份额，支持中小企业发展。</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第四条</w:t>
      </w:r>
      <w:r>
        <w:rPr>
          <w:rFonts w:hint="eastAsia" w:ascii="宋体" w:hAnsi="宋体" w:eastAsia="宋体" w:cs="宋体"/>
          <w:b w:val="0"/>
          <w:bCs w:val="0"/>
          <w:color w:val="auto"/>
          <w:kern w:val="0"/>
          <w:sz w:val="24"/>
          <w:szCs w:val="24"/>
          <w:highlight w:val="none"/>
          <w:lang w:val="en-US" w:eastAsia="zh-CN" w:bidi="ar"/>
        </w:rPr>
        <w:t xml:space="preserve">  在政府采购活动中，供应商提供的货物、工程或者服务符合下列情形的，享受本办法规定的中小企业扶持政策：</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（一）在货物采购项目中，货物由中小企业制造，即货物由中小企业生产且使用该中小企业商号或者注册商标；</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（二）在工程采购项目中，工程由中小企业承建，即工程施工单位为中小企业；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（三）在服务采购项目中，服务由中小企业承接，即提供服务的人员为中小企业依照《中华人民共和国劳动合同法》订立劳动合同的从业人员。</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在货物采购项目中，供应商提供的货物既有中小企业制造货物，也有大型企业制造货物的，不享受本办法规定的中小企业扶持政策。</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以联合体形式参加政府采购活动，联合体各方均为中小企业的，联合体视同中小企业。其中，联合体各方均为小微企业的，联合体视同小微企业。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第五条</w:t>
      </w:r>
      <w:r>
        <w:rPr>
          <w:rFonts w:hint="eastAsia" w:ascii="宋体" w:hAnsi="宋体" w:eastAsia="宋体" w:cs="宋体"/>
          <w:b w:val="0"/>
          <w:bCs w:val="0"/>
          <w:color w:val="auto"/>
          <w:kern w:val="0"/>
          <w:sz w:val="24"/>
          <w:szCs w:val="24"/>
          <w:highlight w:val="none"/>
          <w:lang w:val="en-US" w:eastAsia="zh-CN" w:bidi="ar"/>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第六条</w:t>
      </w:r>
      <w:r>
        <w:rPr>
          <w:rFonts w:hint="eastAsia" w:ascii="宋体" w:hAnsi="宋体" w:eastAsia="宋体" w:cs="宋体"/>
          <w:b w:val="0"/>
          <w:bCs w:val="0"/>
          <w:color w:val="auto"/>
          <w:kern w:val="0"/>
          <w:sz w:val="24"/>
          <w:szCs w:val="24"/>
          <w:highlight w:val="none"/>
          <w:lang w:val="en-US" w:eastAsia="zh-CN" w:bidi="ar"/>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符合下列情形之一的，可不专门面向中小企业预留采购份额：</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（一）法律法规和国家有关政策明确规定优先或者应当面向事业单位、社会组织等非企业主体采购的；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（二）因确需使用不可替代的专利、专有技术，基础设施限制，或者提供特定公共服务等原因，只能从中小企业之外的供应商处采购的；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（三）按照本办法规定预留采购份额无法确保充分供应、充分竞争，或者存在可能影响政府采购目标实现的情形；</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（四）框架协议采购项目；</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（五）省级以上人民政府财政部门规定的其他情形。</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除上述情形外，其他均为适宜由中小企业提供的情形。</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第七条</w:t>
      </w:r>
      <w:r>
        <w:rPr>
          <w:rFonts w:hint="eastAsia" w:ascii="宋体" w:hAnsi="宋体" w:eastAsia="宋体" w:cs="宋体"/>
          <w:b w:val="0"/>
          <w:bCs w:val="0"/>
          <w:color w:val="auto"/>
          <w:kern w:val="0"/>
          <w:sz w:val="24"/>
          <w:szCs w:val="24"/>
          <w:highlight w:val="none"/>
          <w:lang w:val="en-US" w:eastAsia="zh-CN" w:bidi="ar"/>
        </w:rPr>
        <w:t xml:space="preserve">  采购限额标准以上，200 万元以下的货物和服务采购项目、400 万元以下的工程采购项目，适宜由中小企业提供的，采购人应当专门面向中小企业采购。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第八条</w:t>
      </w:r>
      <w:r>
        <w:rPr>
          <w:rFonts w:hint="eastAsia" w:ascii="宋体" w:hAnsi="宋体" w:eastAsia="宋体" w:cs="宋体"/>
          <w:b w:val="0"/>
          <w:bCs w:val="0"/>
          <w:color w:val="auto"/>
          <w:kern w:val="0"/>
          <w:sz w:val="24"/>
          <w:szCs w:val="24"/>
          <w:highlight w:val="none"/>
          <w:lang w:val="en-US" w:eastAsia="zh-CN" w:bidi="ar"/>
        </w:rPr>
        <w:t xml:space="preserve">  超过 200 万元的货物和服务采购项目、超过400 万元的工程采购项目中适宜由中小企业提供的，预留该部分采购项目预算总额的 30%以上专门面向中小企业采购，其中预留给小微企业的比例不低于 60%。预留份额通过下列措施进行：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（一）将采购项目整体或者设置采购包专门面向中小企业采购；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（二）要求供应商以联合体形式参加采购活动，且联合体中中小企业承担的部分达到一定比例；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（三）要求获得采购合同的供应商将采购项目中的一定比例分包给一家或者多家中小企业。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组成联合体或者接受分包合同的中小企业与联合体内其他企业、分包企业之间不得存在直接控股、管理关系。</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第九条</w:t>
      </w:r>
      <w:r>
        <w:rPr>
          <w:rFonts w:hint="eastAsia" w:ascii="宋体" w:hAnsi="宋体" w:eastAsia="宋体" w:cs="宋体"/>
          <w:b w:val="0"/>
          <w:bCs w:val="0"/>
          <w:color w:val="auto"/>
          <w:kern w:val="0"/>
          <w:sz w:val="24"/>
          <w:szCs w:val="24"/>
          <w:highlight w:val="none"/>
          <w:lang w:val="en-US" w:eastAsia="zh-CN" w:bidi="ar"/>
        </w:rPr>
        <w:t xml:space="preserve">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第十条</w:t>
      </w:r>
      <w:r>
        <w:rPr>
          <w:rFonts w:hint="eastAsia" w:ascii="宋体" w:hAnsi="宋体" w:eastAsia="宋体" w:cs="宋体"/>
          <w:b w:val="0"/>
          <w:bCs w:val="0"/>
          <w:color w:val="auto"/>
          <w:kern w:val="0"/>
          <w:sz w:val="24"/>
          <w:szCs w:val="24"/>
          <w:highlight w:val="none"/>
          <w:lang w:val="en-US" w:eastAsia="zh-CN" w:bidi="ar"/>
        </w:rPr>
        <w:t xml:space="preserve">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第十一条</w:t>
      </w:r>
      <w:r>
        <w:rPr>
          <w:rFonts w:hint="eastAsia" w:ascii="宋体" w:hAnsi="宋体" w:eastAsia="宋体" w:cs="宋体"/>
          <w:b w:val="0"/>
          <w:bCs w:val="0"/>
          <w:color w:val="auto"/>
          <w:kern w:val="0"/>
          <w:sz w:val="24"/>
          <w:szCs w:val="24"/>
          <w:highlight w:val="none"/>
          <w:lang w:val="en-US" w:eastAsia="zh-CN" w:bidi="ar"/>
        </w:rPr>
        <w:t xml:space="preserve">  中小企业参加政府采购活动，应当出具本办法规定的《中小企业声明函》（附 1），否则不得享受相关中小企业扶持政策。任何单位和个人不得要求供应商提供《中小企业声明函》之外的中小企业身份证明文件。</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第十二条</w:t>
      </w:r>
      <w:r>
        <w:rPr>
          <w:rFonts w:hint="eastAsia" w:ascii="宋体" w:hAnsi="宋体" w:eastAsia="宋体" w:cs="宋体"/>
          <w:b w:val="0"/>
          <w:bCs w:val="0"/>
          <w:color w:val="auto"/>
          <w:kern w:val="0"/>
          <w:sz w:val="24"/>
          <w:szCs w:val="24"/>
          <w:highlight w:val="none"/>
          <w:lang w:val="en-US" w:eastAsia="zh-CN" w:bidi="ar"/>
        </w:rPr>
        <w:t xml:space="preserve">  采购项目涉及中小企业采购的，采购文件应当明确以下内容：</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（一）预留份额的采购项目或者采购包，明确该项目或相关采购包专门面向中小企业采购，以及相关标的及预算金额；</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（二）要求以联合体形式参加或者合同分包的，明确联合协议或者分包意向协议中中小企业合同金额应当达到的比例，并作为供应商资格条件；</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（三）非预留份额的采购项目或者采购包，明确有关价格扣除比例或者价格分加分比例；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（四）规定依据本办法规定享受扶持政策获得政府采购合同的，小微企业不得将合同分包给大中型企业，中型企业不得将合同分包给大型企业；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（五）采购人认为具备相关条件的，明确对中小企业在资金支付期限、预付款比例等方面的优惠措施；</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（六）明确采购标的对应的中小企业划分标准所属行业；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（七）法律法规和省级以上人民政府财政部门规定的其他事项。</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第十三条</w:t>
      </w:r>
      <w:r>
        <w:rPr>
          <w:rFonts w:hint="eastAsia" w:ascii="宋体" w:hAnsi="宋体" w:eastAsia="宋体" w:cs="宋体"/>
          <w:b w:val="0"/>
          <w:bCs w:val="0"/>
          <w:color w:val="auto"/>
          <w:kern w:val="0"/>
          <w:sz w:val="24"/>
          <w:szCs w:val="24"/>
          <w:highlight w:val="none"/>
          <w:lang w:val="en-US" w:eastAsia="zh-CN" w:bidi="ar"/>
        </w:rPr>
        <w:t xml:space="preserve">  中标、成交供应商享受本办法规定的中小企业扶持政策的，采购人、采购代理机构应当随中标、成交结果公开中标、成交供应商的《中小企业声明函》。</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适用招标投标法的政府采购工程建设项目，应当在公示中标候选人时公开中标候选人的《中小企业声明函》。</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第十四条</w:t>
      </w:r>
      <w:r>
        <w:rPr>
          <w:rFonts w:hint="eastAsia" w:ascii="宋体" w:hAnsi="宋体" w:eastAsia="宋体" w:cs="宋体"/>
          <w:b w:val="0"/>
          <w:bCs w:val="0"/>
          <w:color w:val="auto"/>
          <w:kern w:val="0"/>
          <w:sz w:val="24"/>
          <w:szCs w:val="24"/>
          <w:highlight w:val="none"/>
          <w:lang w:val="en-US" w:eastAsia="zh-CN" w:bidi="ar"/>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第十五条</w:t>
      </w:r>
      <w:r>
        <w:rPr>
          <w:rFonts w:hint="eastAsia" w:ascii="宋体" w:hAnsi="宋体" w:eastAsia="宋体" w:cs="宋体"/>
          <w:b w:val="0"/>
          <w:bCs w:val="0"/>
          <w:color w:val="auto"/>
          <w:kern w:val="0"/>
          <w:sz w:val="24"/>
          <w:szCs w:val="24"/>
          <w:highlight w:val="none"/>
          <w:lang w:val="en-US" w:eastAsia="zh-CN" w:bidi="ar"/>
        </w:rPr>
        <w:t xml:space="preserve">  鼓励各地区、各部门在采购活动中允许中小企业引入信用担保手段，为中小企业在投标（响应）保证、履约保证等方面提供专业化服务。鼓励中小企业依法合规通过政府采购合同融资。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第十六条</w:t>
      </w:r>
      <w:r>
        <w:rPr>
          <w:rFonts w:hint="eastAsia" w:ascii="宋体" w:hAnsi="宋体" w:eastAsia="宋体" w:cs="宋体"/>
          <w:b w:val="0"/>
          <w:bCs w:val="0"/>
          <w:color w:val="auto"/>
          <w:kern w:val="0"/>
          <w:sz w:val="24"/>
          <w:szCs w:val="24"/>
          <w:highlight w:val="none"/>
          <w:lang w:val="en-US" w:eastAsia="zh-CN" w:bidi="ar"/>
        </w:rPr>
        <w:t xml:space="preserve">  政府采购监督检查、投诉处理及政府采购行政处罚中对中小企业的认定，由货物制造商或者工程、服务供应商注册登记所在地的县级以上人民政府中小企业主管部门负责。</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中小企业主管部门应当在收到财政部门或者有关招标投标行政监督部门关于协助开展中小企业认定函后 10 个工作日内做出书面答复。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第十七条</w:t>
      </w:r>
      <w:r>
        <w:rPr>
          <w:rFonts w:hint="eastAsia" w:ascii="宋体" w:hAnsi="宋体" w:eastAsia="宋体" w:cs="宋体"/>
          <w:b w:val="0"/>
          <w:bCs w:val="0"/>
          <w:color w:val="auto"/>
          <w:kern w:val="0"/>
          <w:sz w:val="24"/>
          <w:szCs w:val="24"/>
          <w:highlight w:val="none"/>
          <w:lang w:val="en-US" w:eastAsia="zh-CN" w:bidi="ar"/>
        </w:rPr>
        <w:t xml:space="preserve">  各地区、各部门应当对涉及中小企业采购的预算项目实施全过程绩效管理，合理设置绩效目标和指标，落实扶持中小企业有关政策要求，定期开展绩效监控和评价，强化绩效评价结果应用。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第十八条</w:t>
      </w:r>
      <w:r>
        <w:rPr>
          <w:rFonts w:hint="eastAsia" w:ascii="宋体" w:hAnsi="宋体" w:eastAsia="宋体" w:cs="宋体"/>
          <w:b w:val="0"/>
          <w:bCs w:val="0"/>
          <w:color w:val="auto"/>
          <w:kern w:val="0"/>
          <w:sz w:val="24"/>
          <w:szCs w:val="24"/>
          <w:highlight w:val="none"/>
          <w:lang w:val="en-US" w:eastAsia="zh-CN" w:bidi="ar"/>
        </w:rPr>
        <w:t xml:space="preserve">  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第十九条</w:t>
      </w:r>
      <w:r>
        <w:rPr>
          <w:rFonts w:hint="eastAsia" w:ascii="宋体" w:hAnsi="宋体" w:eastAsia="宋体" w:cs="宋体"/>
          <w:b w:val="0"/>
          <w:bCs w:val="0"/>
          <w:color w:val="auto"/>
          <w:kern w:val="0"/>
          <w:sz w:val="24"/>
          <w:szCs w:val="24"/>
          <w:highlight w:val="none"/>
          <w:lang w:val="en-US" w:eastAsia="zh-CN" w:bidi="ar"/>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第二十条</w:t>
      </w:r>
      <w:r>
        <w:rPr>
          <w:rFonts w:hint="eastAsia" w:ascii="宋体" w:hAnsi="宋体" w:eastAsia="宋体" w:cs="宋体"/>
          <w:b w:val="0"/>
          <w:bCs w:val="0"/>
          <w:color w:val="auto"/>
          <w:kern w:val="0"/>
          <w:sz w:val="24"/>
          <w:szCs w:val="24"/>
          <w:highlight w:val="none"/>
          <w:lang w:val="en-US" w:eastAsia="zh-CN" w:bidi="ar"/>
        </w:rPr>
        <w:t xml:space="preserve">  供应商按照本办法规定提供声明函内容不实的，属于提供虚假材料谋取中标、成交，依照《中华人民共和国政府采购法》等国家有关规定追究相应责任。</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适用招标投标法的政府采购工程建设项目，</w:t>
      </w:r>
      <w:r>
        <w:rPr>
          <w:rFonts w:hint="eastAsia" w:ascii="宋体" w:hAnsi="宋体" w:cs="宋体"/>
          <w:b w:val="0"/>
          <w:bCs w:val="0"/>
          <w:color w:val="auto"/>
          <w:kern w:val="0"/>
          <w:sz w:val="24"/>
          <w:szCs w:val="24"/>
          <w:highlight w:val="none"/>
          <w:lang w:val="en-US" w:eastAsia="zh-CN" w:bidi="ar"/>
        </w:rPr>
        <w:t>供应商</w:t>
      </w:r>
      <w:r>
        <w:rPr>
          <w:rFonts w:hint="eastAsia" w:ascii="宋体" w:hAnsi="宋体" w:eastAsia="宋体" w:cs="宋体"/>
          <w:b w:val="0"/>
          <w:bCs w:val="0"/>
          <w:color w:val="auto"/>
          <w:kern w:val="0"/>
          <w:sz w:val="24"/>
          <w:szCs w:val="24"/>
          <w:highlight w:val="none"/>
          <w:lang w:val="en-US" w:eastAsia="zh-CN" w:bidi="ar"/>
        </w:rPr>
        <w:t>按照本办法规定提供声明函内容不实的，属于弄虚作假骗取中标，依照《中华人民共和国招标投标法》等国家有关规定追究相应责任。</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第二十一条</w:t>
      </w:r>
      <w:r>
        <w:rPr>
          <w:rFonts w:hint="eastAsia" w:ascii="宋体" w:hAnsi="宋体" w:eastAsia="宋体" w:cs="宋体"/>
          <w:b w:val="0"/>
          <w:bCs w:val="0"/>
          <w:color w:val="auto"/>
          <w:kern w:val="0"/>
          <w:sz w:val="24"/>
          <w:szCs w:val="24"/>
          <w:highlight w:val="none"/>
          <w:lang w:val="en-US" w:eastAsia="zh-CN" w:bidi="ar"/>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第二十二条</w:t>
      </w:r>
      <w:r>
        <w:rPr>
          <w:rFonts w:hint="eastAsia" w:ascii="宋体" w:hAnsi="宋体" w:eastAsia="宋体" w:cs="宋体"/>
          <w:b w:val="0"/>
          <w:bCs w:val="0"/>
          <w:color w:val="auto"/>
          <w:kern w:val="0"/>
          <w:sz w:val="24"/>
          <w:szCs w:val="24"/>
          <w:highlight w:val="none"/>
          <w:lang w:val="en-US" w:eastAsia="zh-CN" w:bidi="ar"/>
        </w:rPr>
        <w:t xml:space="preserve">  对外援助项目、国家相关资格或者资质管理制度另有规定的项目，不适用本办法。</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第二十三条</w:t>
      </w:r>
      <w:r>
        <w:rPr>
          <w:rFonts w:hint="eastAsia" w:ascii="宋体" w:hAnsi="宋体" w:eastAsia="宋体" w:cs="宋体"/>
          <w:b w:val="0"/>
          <w:bCs w:val="0"/>
          <w:color w:val="auto"/>
          <w:kern w:val="0"/>
          <w:sz w:val="24"/>
          <w:szCs w:val="24"/>
          <w:highlight w:val="none"/>
          <w:lang w:val="en-US" w:eastAsia="zh-CN" w:bidi="ar"/>
        </w:rPr>
        <w:t xml:space="preserve">  关于视同中小企业的其他主体的政府采购扶持政策，由财政部会同有关部门另行规定。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第二十四条</w:t>
      </w:r>
      <w:r>
        <w:rPr>
          <w:rFonts w:hint="eastAsia" w:ascii="宋体" w:hAnsi="宋体" w:eastAsia="宋体" w:cs="宋体"/>
          <w:b w:val="0"/>
          <w:bCs w:val="0"/>
          <w:color w:val="auto"/>
          <w:kern w:val="0"/>
          <w:sz w:val="24"/>
          <w:szCs w:val="24"/>
          <w:highlight w:val="none"/>
          <w:lang w:val="en-US" w:eastAsia="zh-CN" w:bidi="ar"/>
        </w:rPr>
        <w:t xml:space="preserve">  省级财政部门可以会同中小企业主管部门根据本办法的规定制定具体实施办法。</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firstLine="482" w:firstLineChars="200"/>
        <w:jc w:val="left"/>
        <w:textAlignment w:val="auto"/>
        <w:rPr>
          <w:rFonts w:hint="eastAsia" w:ascii="宋体" w:hAnsi="宋体" w:eastAsia="宋体" w:cs="宋体"/>
          <w:color w:val="auto"/>
          <w:sz w:val="24"/>
          <w:szCs w:val="24"/>
          <w:highlight w:val="none"/>
        </w:rPr>
      </w:pPr>
      <w:r>
        <w:rPr>
          <w:rStyle w:val="48"/>
          <w:rFonts w:hint="eastAsia" w:ascii="宋体" w:hAnsi="宋体" w:eastAsia="宋体" w:cs="宋体"/>
          <w:bCs w:val="0"/>
          <w:color w:val="auto"/>
          <w:kern w:val="0"/>
          <w:sz w:val="24"/>
          <w:szCs w:val="24"/>
          <w:highlight w:val="none"/>
          <w:lang w:val="en-US" w:eastAsia="zh-CN" w:bidi="ar"/>
        </w:rPr>
        <w:t>第二十五条</w:t>
      </w:r>
      <w:r>
        <w:rPr>
          <w:rFonts w:hint="eastAsia" w:ascii="宋体" w:hAnsi="宋体" w:eastAsia="宋体" w:cs="宋体"/>
          <w:b w:val="0"/>
          <w:bCs w:val="0"/>
          <w:color w:val="auto"/>
          <w:kern w:val="0"/>
          <w:sz w:val="24"/>
          <w:szCs w:val="24"/>
          <w:highlight w:val="none"/>
          <w:lang w:val="en-US" w:eastAsia="zh-CN" w:bidi="ar"/>
        </w:rPr>
        <w:t xml:space="preserve">  本办法自 2021 年 1 月 1 日起施行。 财政部 工业和信息化部关于印发〈政府采购促进中小企业发展暂行办法〉的通知》（财库﹝2011﹞181 号）同时废止。</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88"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
        </w:rPr>
        <w:t>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center"/>
        <w:textAlignment w:val="auto"/>
        <w:rPr>
          <w:rFonts w:hint="eastAsia" w:ascii="宋体" w:hAnsi="宋体" w:eastAsia="宋体" w:cs="宋体"/>
          <w:b/>
          <w:bCs/>
          <w:i w:val="0"/>
          <w:iCs w:val="0"/>
          <w:caps w:val="0"/>
          <w:color w:val="auto"/>
          <w:spacing w:val="0"/>
          <w:sz w:val="30"/>
          <w:szCs w:val="30"/>
          <w:highlight w:val="none"/>
        </w:rPr>
      </w:pPr>
      <w:r>
        <w:rPr>
          <w:rFonts w:hint="eastAsia" w:ascii="宋体" w:hAnsi="宋体" w:eastAsia="宋体" w:cs="宋体"/>
          <w:b/>
          <w:bCs/>
          <w:color w:val="auto"/>
          <w:sz w:val="21"/>
          <w:szCs w:val="21"/>
          <w:highlight w:val="none"/>
        </w:rPr>
        <w:br w:type="page"/>
      </w:r>
      <w:r>
        <w:rPr>
          <w:rFonts w:hint="eastAsia" w:ascii="宋体" w:hAnsi="宋体" w:eastAsia="宋体" w:cs="宋体"/>
          <w:b/>
          <w:bCs/>
          <w:i w:val="0"/>
          <w:iCs w:val="0"/>
          <w:caps w:val="0"/>
          <w:color w:val="auto"/>
          <w:spacing w:val="0"/>
          <w:kern w:val="0"/>
          <w:sz w:val="30"/>
          <w:szCs w:val="30"/>
          <w:highlight w:val="none"/>
          <w:shd w:val="clear" w:color="auto" w:fill="FFFFFF"/>
          <w:lang w:val="en-US" w:eastAsia="zh-CN" w:bidi="ar"/>
        </w:rPr>
        <w:t>财政部关于进一步加大政府采购支持中小企业力度的通知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right="0" w:firstLine="0"/>
        <w:jc w:val="center"/>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bidi="ar"/>
        </w:rPr>
        <w:t>（财库〔2022〕19号）</w:t>
      </w:r>
    </w:p>
    <w:p>
      <w:pPr>
        <w:pStyle w:val="17"/>
        <w:spacing w:after="0" w:line="340" w:lineRule="exact"/>
        <w:ind w:firstLine="480" w:firstLineChars="200"/>
        <w:rPr>
          <w:rFonts w:hint="eastAsia" w:ascii="宋体" w:hAnsi="宋体" w:cs="宋体"/>
          <w:bCs/>
          <w:color w:val="auto"/>
          <w:sz w:val="21"/>
          <w:szCs w:val="21"/>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bidi="ar"/>
        </w:rPr>
        <w:t> </w:t>
      </w:r>
      <w:r>
        <w:rPr>
          <w:rFonts w:hint="eastAsia" w:ascii="宋体" w:hAnsi="宋体" w:cs="宋体"/>
          <w:bCs/>
          <w:color w:val="auto"/>
          <w:sz w:val="21"/>
          <w:szCs w:val="21"/>
          <w:highlight w:val="none"/>
          <w:lang w:val="en-US" w:eastAsia="zh-CN"/>
        </w:rPr>
        <w:t>各中央预算单位，各省、自治区、直辖市、计划单列市财政厅（局），新疆生产建设兵团财政局：</w:t>
      </w:r>
    </w:p>
    <w:p>
      <w:pPr>
        <w:pStyle w:val="17"/>
        <w:spacing w:after="0" w:line="34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pStyle w:val="17"/>
        <w:spacing w:after="0" w:line="34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pStyle w:val="17"/>
        <w:spacing w:after="0" w:line="34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pStyle w:val="17"/>
        <w:spacing w:after="0" w:line="34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pStyle w:val="17"/>
        <w:spacing w:after="0" w:line="34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四、认真做好组织实施。各地区、各部门应当加强组织领导，明确工作责任，细化执行要求，强化监督检查，确保国务院部署落实到位，对通知执行中出现的问题要及时向财政部报告。</w:t>
      </w:r>
    </w:p>
    <w:p>
      <w:pPr>
        <w:pStyle w:val="17"/>
        <w:spacing w:after="0" w:line="34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本通知自2022年7月1日起执行。</w:t>
      </w:r>
    </w:p>
    <w:p>
      <w:pPr>
        <w:pStyle w:val="17"/>
        <w:spacing w:after="0" w:line="34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 xml:space="preserve">                                                                        财政部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宋体"/>
          <w:bCs/>
          <w:color w:val="auto"/>
          <w:sz w:val="28"/>
          <w:szCs w:val="28"/>
          <w:highlight w:val="none"/>
          <w:shd w:val="clear" w:color="auto" w:fill="FFFFFF"/>
        </w:rPr>
      </w:pPr>
      <w:r>
        <w:rPr>
          <w:rFonts w:hint="eastAsia" w:ascii="宋体" w:hAnsi="宋体" w:cs="宋体"/>
          <w:bCs/>
          <w:color w:val="auto"/>
          <w:sz w:val="21"/>
          <w:szCs w:val="21"/>
          <w:highlight w:val="none"/>
          <w:lang w:val="en-US" w:eastAsia="zh-CN"/>
        </w:rPr>
        <w:t>2022年5月30日</w:t>
      </w:r>
      <w:r>
        <w:rPr>
          <w:rFonts w:hint="eastAsia" w:ascii="宋体" w:hAnsi="宋体" w:eastAsia="宋体" w:cs="宋体"/>
          <w:b/>
          <w:bCs/>
          <w:color w:val="auto"/>
          <w:sz w:val="21"/>
          <w:szCs w:val="21"/>
          <w:highlight w:val="none"/>
        </w:rPr>
        <w:br w:type="page"/>
      </w:r>
      <w:r>
        <w:rPr>
          <w:rFonts w:hint="eastAsia" w:ascii="黑体" w:hAnsi="黑体" w:eastAsia="黑体" w:cs="宋体"/>
          <w:bCs/>
          <w:color w:val="auto"/>
          <w:sz w:val="28"/>
          <w:szCs w:val="28"/>
          <w:highlight w:val="none"/>
          <w:shd w:val="clear" w:color="auto" w:fill="FFFFFF"/>
          <w:lang w:val="en-US" w:eastAsia="zh-CN"/>
        </w:rPr>
        <w:t>关于印发《吉林省强化政府采购政策支持中小企业发展落实举措》的通知</w:t>
      </w:r>
    </w:p>
    <w:p>
      <w:pPr>
        <w:pStyle w:val="3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00" w:lineRule="exact"/>
        <w:ind w:left="0" w:right="0"/>
        <w:jc w:val="center"/>
        <w:textAlignment w:val="auto"/>
        <w:rPr>
          <w:color w:val="auto"/>
          <w:sz w:val="24"/>
          <w:szCs w:val="24"/>
          <w:highlight w:val="none"/>
        </w:rPr>
      </w:pPr>
      <w:r>
        <w:rPr>
          <w:rFonts w:ascii="宋体" w:hAnsi="宋体" w:eastAsia="宋体" w:cs="宋体"/>
          <w:color w:val="auto"/>
          <w:sz w:val="24"/>
          <w:szCs w:val="24"/>
          <w:highlight w:val="none"/>
        </w:rPr>
        <w:t>吉财采购〔2022〕478号</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color w:val="auto"/>
          <w:sz w:val="24"/>
          <w:szCs w:val="24"/>
          <w:highlight w:val="none"/>
        </w:rPr>
      </w:pPr>
      <w:r>
        <w:rPr>
          <w:rFonts w:hint="eastAsia" w:ascii="宋体" w:hAnsi="宋体" w:eastAsia="宋体" w:cs="宋体"/>
          <w:color w:val="auto"/>
          <w:sz w:val="24"/>
          <w:szCs w:val="24"/>
          <w:highlight w:val="none"/>
        </w:rPr>
        <w:t>各省级主管预算单位，各市（州）、县（市、区）财政局，长白山管委会、长春新区、中韩（长春）国际合作示范区管委会财政局，各政府采购代理机构：</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rPr>
          <w:color w:val="auto"/>
          <w:sz w:val="24"/>
          <w:szCs w:val="24"/>
          <w:highlight w:val="none"/>
        </w:rPr>
      </w:pPr>
      <w:r>
        <w:rPr>
          <w:rFonts w:hint="eastAsia" w:ascii="宋体" w:hAnsi="宋体" w:eastAsia="宋体" w:cs="宋体"/>
          <w:color w:val="auto"/>
          <w:sz w:val="24"/>
          <w:szCs w:val="24"/>
          <w:highlight w:val="none"/>
        </w:rPr>
        <w:t>现将《吉林省强化政府采购政策支持中小企业发展落实举措》印发给你们，请遵照执行。</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rPr>
          <w:color w:val="auto"/>
          <w:sz w:val="24"/>
          <w:szCs w:val="24"/>
          <w:highlight w:val="none"/>
        </w:rPr>
      </w:pPr>
      <w:r>
        <w:rPr>
          <w:rFonts w:hint="eastAsia" w:ascii="宋体" w:hAnsi="宋体" w:eastAsia="宋体" w:cs="宋体"/>
          <w:color w:val="auto"/>
          <w:sz w:val="24"/>
          <w:szCs w:val="24"/>
          <w:highlight w:val="none"/>
        </w:rPr>
        <w:t>附件：吉林省强化政府采购政策支持中小企业发展落实举措</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jc w:val="right"/>
        <w:textAlignment w:val="auto"/>
        <w:rPr>
          <w:color w:val="auto"/>
          <w:sz w:val="24"/>
          <w:szCs w:val="24"/>
          <w:highlight w:val="none"/>
        </w:rPr>
      </w:pPr>
      <w:r>
        <w:rPr>
          <w:rFonts w:hint="eastAsia" w:ascii="宋体" w:hAnsi="宋体" w:eastAsia="宋体" w:cs="宋体"/>
          <w:color w:val="auto"/>
          <w:sz w:val="24"/>
          <w:szCs w:val="24"/>
          <w:highlight w:val="none"/>
        </w:rPr>
        <w:t>吉林省财政厅</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jc w:val="right"/>
        <w:textAlignment w:val="auto"/>
        <w:rPr>
          <w:color w:val="auto"/>
          <w:sz w:val="24"/>
          <w:szCs w:val="24"/>
          <w:highlight w:val="none"/>
        </w:rPr>
      </w:pPr>
      <w:r>
        <w:rPr>
          <w:rFonts w:ascii="宋体" w:hAnsi="宋体" w:eastAsia="宋体" w:cs="宋体"/>
          <w:color w:val="auto"/>
          <w:sz w:val="24"/>
          <w:szCs w:val="24"/>
          <w:highlight w:val="none"/>
        </w:rPr>
        <w:t>2022年6月6日</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color w:val="auto"/>
          <w:sz w:val="24"/>
          <w:szCs w:val="24"/>
          <w:highlight w:val="none"/>
        </w:rPr>
      </w:pPr>
      <w:r>
        <w:rPr>
          <w:rFonts w:hint="eastAsia" w:ascii="宋体" w:hAnsi="宋体" w:eastAsia="宋体" w:cs="宋体"/>
          <w:color w:val="auto"/>
          <w:sz w:val="24"/>
          <w:szCs w:val="24"/>
          <w:highlight w:val="none"/>
        </w:rPr>
        <w:t>附件：</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4"/>
          <w:szCs w:val="24"/>
          <w:highlight w:val="none"/>
        </w:rPr>
      </w:pPr>
      <w:r>
        <w:rPr>
          <w:rFonts w:hint="eastAsia" w:ascii="宋体" w:hAnsi="宋体" w:eastAsia="宋体" w:cs="宋体"/>
          <w:color w:val="auto"/>
          <w:sz w:val="24"/>
          <w:szCs w:val="24"/>
          <w:highlight w:val="none"/>
        </w:rPr>
        <w:t> </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color w:val="auto"/>
          <w:sz w:val="28"/>
          <w:szCs w:val="28"/>
          <w:highlight w:val="none"/>
        </w:rPr>
      </w:pPr>
      <w:r>
        <w:rPr>
          <w:rFonts w:hint="eastAsia" w:ascii="宋体" w:hAnsi="宋体" w:eastAsia="宋体" w:cs="宋体"/>
          <w:color w:val="auto"/>
          <w:sz w:val="28"/>
          <w:szCs w:val="28"/>
          <w:highlight w:val="none"/>
        </w:rPr>
        <w:t>吉林省强化政府采购政策支持中小企业发展落实举措</w:t>
      </w:r>
      <w:r>
        <w:rPr>
          <w:color w:val="auto"/>
          <w:sz w:val="28"/>
          <w:szCs w:val="28"/>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4"/>
          <w:szCs w:val="24"/>
          <w:highlight w:val="none"/>
        </w:rPr>
      </w:pPr>
      <w:r>
        <w:rPr>
          <w:rFonts w:hint="eastAsia" w:ascii="宋体" w:hAnsi="宋体" w:eastAsia="宋体" w:cs="宋体"/>
          <w:color w:val="auto"/>
          <w:sz w:val="24"/>
          <w:szCs w:val="24"/>
          <w:highlight w:val="none"/>
        </w:rPr>
        <w:t> </w:t>
      </w:r>
      <w:r>
        <w:rPr>
          <w:color w:val="auto"/>
          <w:sz w:val="24"/>
          <w:szCs w:val="24"/>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1"/>
          <w:szCs w:val="21"/>
          <w:highlight w:val="none"/>
        </w:rPr>
      </w:pPr>
      <w:r>
        <w:rPr>
          <w:rFonts w:ascii="宋体" w:hAnsi="宋体" w:eastAsia="宋体" w:cs="宋体"/>
          <w:color w:val="auto"/>
          <w:sz w:val="21"/>
          <w:szCs w:val="21"/>
          <w:highlight w:val="none"/>
        </w:rPr>
        <w:t>为贯彻落实《国务院关于印发扎实稳住经济一揽子政策措施的通知》（国发〔2022〕12号）和省政府《稳定全省经济若干措施》要求，积极应对突发疫情对我省经济社会影响，做好财政政策支持中小企业纾困解难工作，助力全省经济平稳健康发展，按照财政部《关于进一步加大政府采购支持中小企业力度的通知》（财库〔2022〕19号）规定，提出如下落实措施：</w:t>
      </w:r>
      <w:r>
        <w:rPr>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b/>
          <w:bCs/>
          <w:color w:val="auto"/>
          <w:sz w:val="21"/>
          <w:szCs w:val="21"/>
          <w:highlight w:val="none"/>
        </w:rPr>
      </w:pPr>
      <w:r>
        <w:rPr>
          <w:rFonts w:hint="eastAsia" w:ascii="宋体" w:hAnsi="宋体" w:eastAsia="宋体" w:cs="宋体"/>
          <w:b/>
          <w:bCs/>
          <w:color w:val="auto"/>
          <w:sz w:val="21"/>
          <w:szCs w:val="21"/>
          <w:highlight w:val="none"/>
        </w:rPr>
        <w:t>一、强化政策落实支持中小企业发展</w:t>
      </w:r>
      <w:r>
        <w:rPr>
          <w:b/>
          <w:bCs/>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1"/>
          <w:szCs w:val="21"/>
          <w:highlight w:val="none"/>
        </w:rPr>
      </w:pPr>
      <w:r>
        <w:rPr>
          <w:rFonts w:ascii="宋体" w:hAnsi="宋体" w:eastAsia="宋体" w:cs="宋体"/>
          <w:color w:val="auto"/>
          <w:sz w:val="21"/>
          <w:szCs w:val="21"/>
          <w:highlight w:val="none"/>
        </w:rPr>
        <w:t>各级预算单位要认真落实《政府采购促进中小企业发展管理办法》（财库〔2020〕46号，以下简称《办法》）的规定，加强采购需求管理，规范资格条件设置，降低中小企业参加政府采购活动门槛 。科学编制政府采购预算，提高中小企业预留份额。结合采购项目的实际情况，灵活采取项目整体预留、合理预留采购包、要求大企业与中小企业组成联合体或向中小企业分包等形式，确保中小企业合同份额。适用招标投标法的政府采购工程项目应严格落实政府采购支持中小企业政策。</w:t>
      </w:r>
      <w:r>
        <w:rPr>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b/>
          <w:bCs/>
          <w:color w:val="auto"/>
          <w:sz w:val="21"/>
          <w:szCs w:val="21"/>
          <w:highlight w:val="none"/>
        </w:rPr>
      </w:pPr>
      <w:r>
        <w:rPr>
          <w:rFonts w:hint="eastAsia" w:ascii="宋体" w:hAnsi="宋体" w:eastAsia="宋体" w:cs="宋体"/>
          <w:b/>
          <w:bCs/>
          <w:color w:val="auto"/>
          <w:sz w:val="21"/>
          <w:szCs w:val="21"/>
          <w:highlight w:val="none"/>
        </w:rPr>
        <w:t>二、提高政府采购项目价格评审优惠幅度</w:t>
      </w:r>
      <w:r>
        <w:rPr>
          <w:b/>
          <w:bCs/>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1"/>
          <w:szCs w:val="21"/>
          <w:highlight w:val="none"/>
        </w:rPr>
      </w:pPr>
      <w:r>
        <w:rPr>
          <w:rFonts w:ascii="宋体" w:hAnsi="宋体" w:eastAsia="宋体" w:cs="宋体"/>
          <w:color w:val="auto"/>
          <w:sz w:val="21"/>
          <w:szCs w:val="21"/>
          <w:highlight w:val="none"/>
        </w:rPr>
        <w:t>自2022年7月1日起发布采购公告或者发出采购邀请，未预留份额专门面向中小企业采购的货物、服务项目，给予小微企业的价格扣除优惠由《办法》规定的6%-10%提高至10%-20%；大中型企业与小微企业组成联合体或者大中型企业向小微企业分包的，评审优惠幅度由2%—3%提高至4%—6%。政府采购工程的价格评审优惠按照《办法》的规定执行。</w:t>
      </w:r>
      <w:r>
        <w:rPr>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b/>
          <w:bCs/>
          <w:color w:val="auto"/>
          <w:sz w:val="21"/>
          <w:szCs w:val="21"/>
          <w:highlight w:val="none"/>
        </w:rPr>
      </w:pPr>
      <w:r>
        <w:rPr>
          <w:rFonts w:hint="eastAsia" w:ascii="宋体" w:hAnsi="宋体" w:eastAsia="宋体" w:cs="宋体"/>
          <w:b/>
          <w:bCs/>
          <w:color w:val="auto"/>
          <w:sz w:val="21"/>
          <w:szCs w:val="21"/>
          <w:highlight w:val="none"/>
        </w:rPr>
        <w:t>三、提高政府采购工程项目预留份额比例</w:t>
      </w:r>
      <w:r>
        <w:rPr>
          <w:b/>
          <w:bCs/>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1"/>
          <w:szCs w:val="21"/>
          <w:highlight w:val="none"/>
        </w:rPr>
      </w:pPr>
      <w:r>
        <w:rPr>
          <w:rFonts w:ascii="宋体" w:hAnsi="宋体" w:eastAsia="宋体" w:cs="宋体"/>
          <w:color w:val="auto"/>
          <w:sz w:val="21"/>
          <w:szCs w:val="21"/>
          <w:highlight w:val="none"/>
        </w:rPr>
        <w:t>400万元以下的工程采购项目适宜由中小企业提供的，采购人应当专门面向中小企业采购。达到或超过400万元的工程采购项目中适宜由中小企业提供的，在坚持公开、公正、公平竞争和统一质量标准的前提下，2022年下半年面向中小企业的预留份额由30%以上提高至40%以上。省财政厅将协调发改、工信、住建、交通、水利、商务等部门，按照国家相关工程招投标行政监督部门对工程招投标领域落实政府采购支持中小企业的政策要求，及时调整完善工程招投标领域有关标准文本、评标制度等，支持督促各预算单位严格落实政府采购政策。</w:t>
      </w:r>
      <w:r>
        <w:rPr>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b/>
          <w:bCs/>
          <w:color w:val="auto"/>
          <w:sz w:val="21"/>
          <w:szCs w:val="21"/>
          <w:highlight w:val="none"/>
        </w:rPr>
      </w:pPr>
      <w:r>
        <w:rPr>
          <w:rFonts w:hint="eastAsia" w:ascii="宋体" w:hAnsi="宋体" w:eastAsia="宋体" w:cs="宋体"/>
          <w:b/>
          <w:bCs/>
          <w:color w:val="auto"/>
          <w:sz w:val="21"/>
          <w:szCs w:val="21"/>
          <w:highlight w:val="none"/>
        </w:rPr>
        <w:t>四、降低经营成本提高履约能力</w:t>
      </w:r>
      <w:r>
        <w:rPr>
          <w:b/>
          <w:bCs/>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1"/>
          <w:szCs w:val="21"/>
          <w:highlight w:val="none"/>
        </w:rPr>
      </w:pPr>
      <w:r>
        <w:rPr>
          <w:rFonts w:ascii="宋体" w:hAnsi="宋体" w:eastAsia="宋体" w:cs="宋体"/>
          <w:color w:val="auto"/>
          <w:sz w:val="21"/>
          <w:szCs w:val="21"/>
          <w:highlight w:val="none"/>
        </w:rPr>
        <w:t>鼓励采购人、采购代理机构在政府采购活动中免收中小企业保证金或降低收取比例。对确需依法收取保证金的，应明确收取标准、缴纳方式和退还时限等要求，允许中小企业自主选择以支票、汇票、本票、保函等非现金形式缴纳或提交，降低经营成本。采购人、采购代理机构应对2022年5月前实施完成的政府采购项目投标（响应）或履约保证金进行核查清理，对符合法定或合同约定退还条件的应及时退还，切实减轻中小企业资金压力。采购人在编制采购文件时可结合项目实际，明确中小企业获得合同后可采取分期付款的方式，最大限度的确定首期预付款比例，并尽量缩短资金支付期限。</w:t>
      </w:r>
      <w:r>
        <w:rPr>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b/>
          <w:bCs/>
          <w:color w:val="auto"/>
          <w:sz w:val="21"/>
          <w:szCs w:val="21"/>
          <w:highlight w:val="none"/>
        </w:rPr>
      </w:pPr>
      <w:r>
        <w:rPr>
          <w:rFonts w:hint="eastAsia" w:ascii="宋体" w:hAnsi="宋体" w:eastAsia="宋体" w:cs="宋体"/>
          <w:b/>
          <w:bCs/>
          <w:color w:val="auto"/>
          <w:sz w:val="21"/>
          <w:szCs w:val="21"/>
          <w:highlight w:val="none"/>
        </w:rPr>
        <w:t>五、优化政府采购程序推进全流程电子化</w:t>
      </w:r>
      <w:r>
        <w:rPr>
          <w:b/>
          <w:bCs/>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1"/>
          <w:szCs w:val="21"/>
          <w:highlight w:val="none"/>
        </w:rPr>
      </w:pPr>
      <w:r>
        <w:rPr>
          <w:rFonts w:hint="eastAsia" w:ascii="宋体" w:hAnsi="宋体" w:eastAsia="宋体" w:cs="宋体"/>
          <w:color w:val="auto"/>
          <w:sz w:val="21"/>
          <w:szCs w:val="21"/>
          <w:highlight w:val="none"/>
        </w:rPr>
        <w:t>中小企业参加政府采购活动，对于出具《中小企业声明函》的，任何单位和个人不得另行要求提供《中小企业声明函》之外的中小企业身份证明文件。对于法人代表已经出具委托书的，不得要求法人代表亲自领购采购文件或者到场参加开标、谈判等。加快推进全省政府采购全流程电子化建设，实现在线发布采购公告、提供采购文件、提交投标（响应）文件，实行电子开标、电子评审，提升中小企业参与政府采购活动的便利度。</w:t>
      </w:r>
      <w:r>
        <w:rPr>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b/>
          <w:bCs/>
          <w:color w:val="auto"/>
          <w:sz w:val="21"/>
          <w:szCs w:val="21"/>
          <w:highlight w:val="none"/>
        </w:rPr>
      </w:pPr>
      <w:r>
        <w:rPr>
          <w:rFonts w:hint="eastAsia" w:ascii="宋体" w:hAnsi="宋体" w:eastAsia="宋体" w:cs="宋体"/>
          <w:b/>
          <w:bCs/>
          <w:color w:val="auto"/>
          <w:sz w:val="21"/>
          <w:szCs w:val="21"/>
          <w:highlight w:val="none"/>
        </w:rPr>
        <w:t>六、加强项目执行管理提升政府采购透明度</w:t>
      </w:r>
      <w:r>
        <w:rPr>
          <w:b/>
          <w:bCs/>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1"/>
          <w:szCs w:val="21"/>
          <w:highlight w:val="none"/>
        </w:rPr>
      </w:pPr>
      <w:r>
        <w:rPr>
          <w:rFonts w:hint="eastAsia" w:ascii="宋体" w:hAnsi="宋体" w:eastAsia="宋体" w:cs="宋体"/>
          <w:color w:val="auto"/>
          <w:sz w:val="21"/>
          <w:szCs w:val="21"/>
          <w:highlight w:val="none"/>
        </w:rPr>
        <w:t>采购人、采购代理机构对投标（响应）文件的格式、形式要求应当简化明确，不得因非实质性的格式、形式问题限制和影响中小企业投标（响应）。实现电子化采购的，采购人、采购代理机构应当免费提供电子采购文件；暂未实现电子化采购的，鼓励采购人、采购代理机构向中小企业免费提供纸质采购文件。各级预算单位在公开政府采购意向时，必须标明是否专门面向中小企业采购，便于中小企业提前做好参与政府采购活动的各项准备工作。未按照规定进行政府采购意向公开的采购项目，原则上不得开展采购活动。</w:t>
      </w:r>
      <w:r>
        <w:rPr>
          <w:color w:val="auto"/>
          <w:sz w:val="21"/>
          <w:szCs w:val="21"/>
          <w:highlight w:val="none"/>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textAlignment w:val="auto"/>
        <w:rPr>
          <w:color w:val="auto"/>
          <w:sz w:val="21"/>
          <w:szCs w:val="21"/>
          <w:highlight w:val="none"/>
        </w:rPr>
      </w:pPr>
      <w:r>
        <w:rPr>
          <w:rFonts w:hint="eastAsia" w:ascii="宋体" w:hAnsi="宋体" w:eastAsia="宋体" w:cs="宋体"/>
          <w:color w:val="auto"/>
          <w:sz w:val="21"/>
          <w:szCs w:val="21"/>
          <w:highlight w:val="none"/>
        </w:rPr>
        <w:t>各级主管预算单位要加强对本部门、本系统政府采购项目的统筹把握，明确工作责任，周密安排部署，严格落实预留采购份额和价格评审优惠措施支持中小企业发展。同时，按照六条措施要求，要制定具体工作方案，确保政策执行不走样、显成效。各级财政部门应加强组织领导，结合本地区实际情况明确政策执行要求，加强对采购单位政策执行情况的监督检查，在政策执行中好的经验办法和遇到的问题及时向省财政厅报告。</w:t>
      </w:r>
    </w:p>
    <w:p>
      <w:pPr>
        <w:rPr>
          <w:rFonts w:ascii="宋体" w:hAnsi="宋体" w:cs="宋体"/>
          <w:b/>
          <w:bCs/>
          <w:color w:val="auto"/>
          <w:sz w:val="21"/>
          <w:szCs w:val="21"/>
          <w:highlight w:val="none"/>
        </w:rPr>
      </w:pPr>
      <w:r>
        <w:rPr>
          <w:rFonts w:ascii="宋体" w:hAnsi="宋体" w:cs="宋体"/>
          <w:b/>
          <w:bCs/>
          <w:color w:val="auto"/>
          <w:sz w:val="21"/>
          <w:szCs w:val="21"/>
          <w:highlight w:val="none"/>
        </w:rPr>
        <w:br w:type="page"/>
      </w:r>
    </w:p>
    <w:p>
      <w:pPr>
        <w:rPr>
          <w:rFonts w:hint="eastAsia" w:ascii="宋体" w:hAnsi="宋体" w:eastAsia="宋体" w:cs="宋体"/>
          <w:b/>
          <w:bCs/>
          <w:color w:val="auto"/>
          <w:sz w:val="21"/>
          <w:szCs w:val="21"/>
          <w:highlight w:val="none"/>
        </w:rPr>
      </w:pPr>
    </w:p>
    <w:p>
      <w:pPr>
        <w:spacing w:before="120" w:beforeLines="50" w:after="120" w:afterLines="50"/>
        <w:jc w:val="center"/>
        <w:textAlignment w:val="baseline"/>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财政部 司法部关于政府采购支持监狱企业发展有关问题的通知</w:t>
      </w:r>
    </w:p>
    <w:p>
      <w:pPr>
        <w:pStyle w:val="4"/>
        <w:keepNext w:val="0"/>
        <w:keepLines w:val="0"/>
        <w:pageBreakBefore w:val="0"/>
        <w:widowControl/>
        <w:kinsoku/>
        <w:wordWrap/>
        <w:overflowPunct/>
        <w:topLinePunct w:val="0"/>
        <w:autoSpaceDE/>
        <w:autoSpaceDN/>
        <w:bidi w:val="0"/>
        <w:adjustRightInd/>
        <w:snapToGrid/>
        <w:spacing w:before="120" w:beforeLines="50" w:after="120" w:afterLines="50" w:line="288" w:lineRule="auto"/>
        <w:jc w:val="center"/>
        <w:textAlignment w:val="baseline"/>
        <w:rPr>
          <w:rFonts w:hint="eastAsia" w:ascii="宋体" w:hAnsi="宋体" w:eastAsia="宋体" w:cs="宋体"/>
          <w:b w:val="0"/>
          <w:bCs/>
          <w:color w:val="auto"/>
          <w:sz w:val="24"/>
          <w:szCs w:val="24"/>
          <w:highlight w:val="none"/>
        </w:rPr>
      </w:pPr>
      <w:bookmarkStart w:id="51" w:name="_Toc21391"/>
      <w:r>
        <w:rPr>
          <w:rFonts w:hint="eastAsia" w:ascii="宋体" w:hAnsi="宋体" w:eastAsia="宋体" w:cs="宋体"/>
          <w:b w:val="0"/>
          <w:bCs/>
          <w:color w:val="auto"/>
          <w:sz w:val="24"/>
          <w:szCs w:val="24"/>
          <w:highlight w:val="none"/>
          <w:shd w:val="clear" w:color="auto" w:fill="FFFFFF"/>
        </w:rPr>
        <w:t>财库〔2014〕68号</w:t>
      </w:r>
      <w:bookmarkEnd w:id="51"/>
    </w:p>
    <w:p>
      <w:pPr>
        <w:pStyle w:val="39"/>
        <w:keepNext w:val="0"/>
        <w:keepLines w:val="0"/>
        <w:pageBreakBefore w:val="0"/>
        <w:widowControl/>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pStyle w:val="39"/>
        <w:keepNext w:val="0"/>
        <w:keepLines w:val="0"/>
        <w:pageBreakBefore w:val="0"/>
        <w:widowControl/>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pStyle w:val="39"/>
        <w:keepNext w:val="0"/>
        <w:keepLines w:val="0"/>
        <w:pageBreakBefore w:val="0"/>
        <w:widowControl/>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39"/>
        <w:keepNext w:val="0"/>
        <w:keepLines w:val="0"/>
        <w:pageBreakBefore w:val="0"/>
        <w:widowControl/>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二、在政府采购活动中，监狱企业视同小型、微型企业，享受预留份额、评审中价格扣除等政府采购促进中小企业发展的政府采购政策。向监狱企业采购的金额，计入面向中小企业采购的统计数据。</w:t>
      </w:r>
    </w:p>
    <w:p>
      <w:pPr>
        <w:pStyle w:val="39"/>
        <w:keepNext w:val="0"/>
        <w:keepLines w:val="0"/>
        <w:pageBreakBefore w:val="0"/>
        <w:widowControl/>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pStyle w:val="39"/>
        <w:keepNext w:val="0"/>
        <w:keepLines w:val="0"/>
        <w:pageBreakBefore w:val="0"/>
        <w:widowControl/>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四、各地区可以结合本地区实际，对监狱企业生产的办公用品、家具用具、车辆维修和提供的保养服务、消防设备等，提出预留份额等政府采购支持措施，加大对监狱企业产品的采购力度。</w:t>
      </w:r>
    </w:p>
    <w:p>
      <w:pPr>
        <w:pStyle w:val="39"/>
        <w:keepNext w:val="0"/>
        <w:keepLines w:val="0"/>
        <w:pageBreakBefore w:val="0"/>
        <w:widowControl/>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pStyle w:val="39"/>
        <w:keepNext w:val="0"/>
        <w:keepLines w:val="0"/>
        <w:pageBreakBefore w:val="0"/>
        <w:widowControl/>
        <w:kinsoku/>
        <w:wordWrap/>
        <w:overflowPunct/>
        <w:topLinePunct w:val="0"/>
        <w:autoSpaceDE/>
        <w:autoSpaceDN/>
        <w:bidi w:val="0"/>
        <w:adjustRightInd/>
        <w:snapToGrid/>
        <w:spacing w:line="288" w:lineRule="auto"/>
        <w:jc w:val="right"/>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中华人民共和国财政部</w:t>
      </w:r>
    </w:p>
    <w:p>
      <w:pPr>
        <w:pStyle w:val="39"/>
        <w:keepNext w:val="0"/>
        <w:keepLines w:val="0"/>
        <w:pageBreakBefore w:val="0"/>
        <w:widowControl/>
        <w:kinsoku/>
        <w:wordWrap/>
        <w:overflowPunct/>
        <w:topLinePunct w:val="0"/>
        <w:autoSpaceDE/>
        <w:autoSpaceDN/>
        <w:bidi w:val="0"/>
        <w:adjustRightInd/>
        <w:snapToGrid/>
        <w:spacing w:line="288" w:lineRule="auto"/>
        <w:jc w:val="right"/>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中华人民共和国司法部</w:t>
      </w:r>
    </w:p>
    <w:p>
      <w:pPr>
        <w:pStyle w:val="39"/>
        <w:keepNext w:val="0"/>
        <w:keepLines w:val="0"/>
        <w:pageBreakBefore w:val="0"/>
        <w:widowControl/>
        <w:kinsoku/>
        <w:wordWrap/>
        <w:overflowPunct/>
        <w:topLinePunct w:val="0"/>
        <w:autoSpaceDE/>
        <w:autoSpaceDN/>
        <w:bidi w:val="0"/>
        <w:adjustRightInd/>
        <w:snapToGrid/>
        <w:spacing w:line="288" w:lineRule="auto"/>
        <w:jc w:val="right"/>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2014年6月10日</w:t>
      </w:r>
    </w:p>
    <w:p>
      <w:pPr>
        <w:spacing w:before="120" w:beforeLines="50" w:after="120" w:afterLines="50"/>
        <w:jc w:val="center"/>
        <w:textAlignment w:val="baseline"/>
        <w:rPr>
          <w:rFonts w:hint="eastAsia" w:ascii="宋体" w:hAnsi="宋体" w:eastAsia="宋体" w:cs="宋体"/>
          <w:b/>
          <w:color w:val="auto"/>
          <w:sz w:val="36"/>
          <w:szCs w:val="36"/>
          <w:highlight w:val="none"/>
        </w:rPr>
      </w:pPr>
      <w:r>
        <w:rPr>
          <w:rFonts w:hint="eastAsia" w:ascii="宋体" w:hAnsi="宋体" w:eastAsia="宋体" w:cs="宋体"/>
          <w:color w:val="auto"/>
          <w:szCs w:val="21"/>
          <w:highlight w:val="none"/>
          <w:shd w:val="clear" w:color="auto" w:fill="FFFFFF"/>
        </w:rPr>
        <w:br w:type="page"/>
      </w:r>
      <w:r>
        <w:rPr>
          <w:rFonts w:hint="eastAsia" w:ascii="宋体" w:hAnsi="宋体" w:eastAsia="宋体" w:cs="宋体"/>
          <w:b/>
          <w:color w:val="auto"/>
          <w:sz w:val="36"/>
          <w:szCs w:val="36"/>
          <w:highlight w:val="none"/>
        </w:rPr>
        <w:t>关于促进残疾人就业政府采购政策的通知</w:t>
      </w:r>
    </w:p>
    <w:p>
      <w:pPr>
        <w:pStyle w:val="39"/>
        <w:keepNext w:val="0"/>
        <w:keepLines w:val="0"/>
        <w:pageBreakBefore w:val="0"/>
        <w:widowControl/>
        <w:kinsoku/>
        <w:wordWrap/>
        <w:overflowPunct/>
        <w:topLinePunct w:val="0"/>
        <w:autoSpaceDE/>
        <w:autoSpaceDN/>
        <w:bidi w:val="0"/>
        <w:adjustRightInd/>
        <w:snapToGrid/>
        <w:spacing w:before="48" w:beforeLines="20" w:after="48" w:afterLines="20" w:line="288" w:lineRule="auto"/>
        <w:jc w:val="center"/>
        <w:textAlignment w:val="baseline"/>
        <w:rPr>
          <w:rFonts w:hint="eastAsia" w:ascii="宋体" w:hAnsi="宋体" w:eastAsia="宋体" w:cs="宋体"/>
          <w:bCs/>
          <w:color w:val="auto"/>
          <w:sz w:val="24"/>
          <w:szCs w:val="24"/>
          <w:highlight w:val="none"/>
        </w:rPr>
      </w:pPr>
      <w:r>
        <w:rPr>
          <w:rStyle w:val="48"/>
          <w:rFonts w:hint="eastAsia" w:ascii="宋体" w:hAnsi="宋体" w:eastAsia="宋体" w:cs="宋体"/>
          <w:bCs w:val="0"/>
          <w:color w:val="auto"/>
          <w:sz w:val="24"/>
          <w:szCs w:val="24"/>
          <w:highlight w:val="none"/>
          <w:shd w:val="clear" w:color="auto" w:fill="FFFFFF"/>
        </w:rPr>
        <w:t>财库〔2017〕141号</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bookmarkStart w:id="52" w:name="toDeptId"/>
      <w:r>
        <w:rPr>
          <w:rFonts w:hint="eastAsia" w:ascii="宋体" w:hAnsi="宋体" w:eastAsia="宋体" w:cs="宋体"/>
          <w:color w:val="auto"/>
          <w:sz w:val="24"/>
          <w:szCs w:val="24"/>
          <w:highlight w:val="none"/>
          <w:shd w:val="clear" w:color="auto" w:fill="FFFFFF"/>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2"/>
      <w:r>
        <w:rPr>
          <w:rFonts w:hint="eastAsia" w:ascii="宋体" w:hAnsi="宋体" w:eastAsia="宋体" w:cs="宋体"/>
          <w:color w:val="auto"/>
          <w:sz w:val="24"/>
          <w:szCs w:val="24"/>
          <w:highlight w:val="none"/>
          <w:shd w:val="clear" w:color="auto" w:fill="FFFFFF"/>
        </w:rPr>
        <w:t>：</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为了发挥政府采购促进残疾人就业的作用，进一步保障残疾人权益，依照《政府采购法》、《残疾人保障法》等法律法规及相关规定，现就促进残疾人就业政府采购政策通知如下：</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一、享受政府采购支持政策的残疾人福利性单位应当同时满足以下条件：</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（一）安置的残疾人占本单位在职职工人数的比例不低于25%（含25%），并且安置的残疾人人数不少于10人（含10人）；</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（二）依法与安置的每位残疾人签订了一年以上（含一年）的劳动合同或服务协议；</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（三）为安置的每位残疾人按月足额缴纳了基本养老保险、基本医疗保险、失业保险、工伤保险和生育保险等社会保险费；</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（四）通过银行等金融机构向安置的每位残疾人，按月支付了不低于单位所在区县适用的经省级人民政府批准的月最低工资标准的工资；</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（五）提供本单位制造的货物、承担的工程或者服务（以下简称产品），或者提供其他残疾人福利性单位制造的货物（不包括使用非残疾人福利性单位注册商标的货物）。</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中标、成交供应商为残疾人福利性单位的，采购人或者其委托的采购代理机构应当随中标、成交结果同时公告其《残疾人福利性单位声明函》，接受社会监督。</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供应商提供的《残疾人福利性单位声明函》与事实不符的，依照《政府采购法》第七十七条第一款的规定追究法律责任。</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四、采购人采购公开招标数额标准以上的货物或者服务，因落实促进残疾人就业政策的需要，依法履行有关报批程序后，可采用公开招标以外的采购方式。</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39"/>
        <w:keepNext w:val="0"/>
        <w:keepLines w:val="0"/>
        <w:pageBreakBefore w:val="0"/>
        <w:widowControl/>
        <w:kinsoku/>
        <w:wordWrap/>
        <w:overflowPunct/>
        <w:topLinePunct w:val="0"/>
        <w:autoSpaceDE/>
        <w:autoSpaceDN/>
        <w:bidi w:val="0"/>
        <w:adjustRightInd/>
        <w:snapToGrid/>
        <w:spacing w:line="288"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七、本通知自2017年10月1日起执行。</w:t>
      </w:r>
    </w:p>
    <w:p>
      <w:pPr>
        <w:pStyle w:val="39"/>
        <w:keepNext w:val="0"/>
        <w:keepLines w:val="0"/>
        <w:pageBreakBefore w:val="0"/>
        <w:widowControl/>
        <w:kinsoku/>
        <w:wordWrap/>
        <w:overflowPunct/>
        <w:topLinePunct w:val="0"/>
        <w:autoSpaceDE/>
        <w:autoSpaceDN/>
        <w:bidi w:val="0"/>
        <w:adjustRightInd/>
        <w:snapToGrid/>
        <w:spacing w:line="288" w:lineRule="auto"/>
        <w:jc w:val="righ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财政部 民政部 中国残疾人联合会</w:t>
      </w:r>
    </w:p>
    <w:p>
      <w:pPr>
        <w:pStyle w:val="39"/>
        <w:keepNext w:val="0"/>
        <w:keepLines w:val="0"/>
        <w:pageBreakBefore w:val="0"/>
        <w:widowControl/>
        <w:kinsoku/>
        <w:wordWrap/>
        <w:overflowPunct/>
        <w:topLinePunct w:val="0"/>
        <w:autoSpaceDE/>
        <w:autoSpaceDN/>
        <w:bidi w:val="0"/>
        <w:adjustRightInd/>
        <w:snapToGrid/>
        <w:spacing w:line="288" w:lineRule="auto"/>
        <w:jc w:val="right"/>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2017年8月22日</w:t>
      </w:r>
    </w:p>
    <w:p>
      <w:pPr>
        <w:pStyle w:val="39"/>
        <w:spacing w:line="340" w:lineRule="exact"/>
        <w:jc w:val="center"/>
        <w:textAlignment w:val="baseline"/>
        <w:rPr>
          <w:rFonts w:hint="eastAsia" w:ascii="宋体" w:hAnsi="宋体" w:eastAsia="宋体" w:cs="宋体"/>
          <w:color w:val="auto"/>
          <w:sz w:val="21"/>
          <w:szCs w:val="21"/>
          <w:highlight w:val="none"/>
          <w:shd w:val="clear" w:color="auto" w:fill="FFFFFF"/>
        </w:rPr>
      </w:pPr>
    </w:p>
    <w:p>
      <w:pPr>
        <w:pStyle w:val="39"/>
        <w:spacing w:line="340" w:lineRule="exact"/>
        <w:jc w:val="center"/>
        <w:textAlignment w:val="baseline"/>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br w:type="page"/>
      </w:r>
    </w:p>
    <w:p>
      <w:pPr>
        <w:pStyle w:val="39"/>
        <w:spacing w:line="340" w:lineRule="exact"/>
        <w:jc w:val="center"/>
        <w:textAlignment w:val="baseline"/>
        <w:rPr>
          <w:rFonts w:hint="eastAsia" w:ascii="宋体" w:hAnsi="宋体" w:eastAsia="宋体" w:cs="宋体"/>
          <w:color w:val="auto"/>
          <w:sz w:val="21"/>
          <w:szCs w:val="21"/>
          <w:highlight w:val="none"/>
          <w:shd w:val="clear" w:color="auto" w:fill="FFFFFF"/>
        </w:rPr>
      </w:pPr>
    </w:p>
    <w:p>
      <w:pPr>
        <w:spacing w:before="120" w:beforeLines="50" w:after="120" w:afterLines="50"/>
        <w:jc w:val="center"/>
        <w:textAlignment w:val="baseline"/>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《统计上大中小微型企业划分办法（2017）》修订说明</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一、修订背景</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二、修订主要内容</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将交通运输业中包括的“装卸搬运和运输代理业”修改为“多式联运和运输代理业、装卸搬运”。</w:t>
      </w:r>
    </w:p>
    <w:p>
      <w:pPr>
        <w:keepNext w:val="0"/>
        <w:keepLines w:val="0"/>
        <w:pageBreakBefore w:val="0"/>
        <w:widowControl/>
        <w:kinsoku/>
        <w:wordWrap/>
        <w:overflowPunct/>
        <w:topLinePunct w:val="0"/>
        <w:autoSpaceDE/>
        <w:autoSpaceDN/>
        <w:bidi w:val="0"/>
        <w:adjustRightInd/>
        <w:snapToGrid/>
        <w:spacing w:line="288" w:lineRule="auto"/>
        <w:ind w:firstLine="512" w:firstLineChars="200"/>
        <w:textAlignment w:val="auto"/>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仓储业所包括的行业中类，根据《国民经济行业分类》</w:t>
      </w:r>
      <w:r>
        <w:rPr>
          <w:rFonts w:hint="eastAsia" w:ascii="宋体" w:hAnsi="宋体" w:eastAsia="宋体" w:cs="宋体"/>
          <w:color w:val="auto"/>
          <w:sz w:val="24"/>
          <w:szCs w:val="24"/>
          <w:highlight w:val="none"/>
        </w:rPr>
        <w:t>（GB/T 4754—2017）</w:t>
      </w:r>
      <w:r>
        <w:rPr>
          <w:rFonts w:hint="eastAsia" w:ascii="宋体" w:hAnsi="宋体" w:eastAsia="宋体" w:cs="宋体"/>
          <w:color w:val="auto"/>
          <w:spacing w:val="8"/>
          <w:sz w:val="24"/>
          <w:szCs w:val="24"/>
          <w:highlight w:val="none"/>
        </w:rPr>
        <w:t>调整为“通用仓储，低温仓储，危险品仓储，谷物、棉花等农产品仓储，中药材仓储和其他仓储业”。</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附表</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统计上大中小微型企业划分标准</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113"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行业名称</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指标名称</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计量</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大型</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中型</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小型</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农、林、牧、渔业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Y≥20000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500≤Y＜20000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50≤Y＜500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工业 *</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300≤X＜1000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20≤X＜300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Y≥40000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2000≤Y＜40000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300≤Y＜2000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建筑业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Y≥80000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6000≤Y＜80000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300≤Y＜6000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资产总额(Z)</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Z≥80000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5000≤Z＜80000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300≤Z＜5000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批发业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X≥200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20≤X＜200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5≤X＜20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Y≥40000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5000≤Y＜40000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ind w:left="-1" w:leftChars="-1" w:hanging="1"/>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1000≤Y＜5000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零售业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X≥300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50≤X＜300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ind w:left="-1" w:leftChars="-1" w:hanging="1"/>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10≤X＜50 </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Y≥20000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500≤Y＜20000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ind w:left="-1" w:leftChars="-1" w:hanging="1"/>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100≤Y＜500 </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交通运输业 *</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300≤X＜1000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20≤X＜300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Y≥30000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3000≤Y＜30000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200≤Y＜3000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仓储业*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X≥200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ind w:left="43" w:leftChars="-51" w:hanging="145" w:hangingChars="6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100≤X＜200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20≤X＜100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Y≥30000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1000≤Y＜30000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100≤Y＜1000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邮政业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300≤X＜1000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20≤X＜300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Y≥30000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2000≤Y＜30000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100≤Y＜2000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住宿业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X≥300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ind w:left="43" w:leftChars="-51" w:hanging="145" w:hangingChars="6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100≤X＜300 </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10≤X＜100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2000≤Y＜10000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100≤Y＜2000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餐饮业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X≥300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ind w:left="43" w:leftChars="-51" w:hanging="145" w:hangingChars="6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100≤X＜300 </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10≤X＜100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2000≤Y＜10000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100≤Y＜2000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信息传输业*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X≥2000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100≤X＜2000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10≤X＜100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1000≤Y＜100000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100≤Y＜1000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pacing w:val="-12"/>
                <w:sz w:val="24"/>
                <w:szCs w:val="24"/>
                <w:highlight w:val="none"/>
              </w:rPr>
            </w:pPr>
            <w:r>
              <w:rPr>
                <w:rFonts w:hint="eastAsia" w:ascii="宋体" w:hAnsi="宋体" w:eastAsia="宋体" w:cs="宋体"/>
                <w:b/>
                <w:color w:val="auto"/>
                <w:spacing w:val="-12"/>
                <w:sz w:val="24"/>
                <w:szCs w:val="24"/>
                <w:highlight w:val="none"/>
              </w:rPr>
              <w:t>软件和信息技术服</w:t>
            </w:r>
            <w:r>
              <w:rPr>
                <w:rFonts w:hint="eastAsia" w:ascii="宋体" w:hAnsi="宋体" w:eastAsia="宋体" w:cs="宋体"/>
                <w:b/>
                <w:color w:val="auto"/>
                <w:sz w:val="24"/>
                <w:szCs w:val="24"/>
                <w:highlight w:val="none"/>
              </w:rPr>
              <w:t>务业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X≥300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ind w:left="43" w:leftChars="-51" w:hanging="145" w:hangingChars="6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100≤X＜300 </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10≤X＜100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pacing w:val="-12"/>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1000≤Y＜10000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50≤Y＜1000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房地产开发经营</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Y≥200000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1000≤Y＜200000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100≤Y＜1000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资产总额(Z)</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Z≥10000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5000≤Z＜10000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2000≤Z＜5000   </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物业管理</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300≤X＜1000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100≤X＜300 </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营业收入(Y)</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Y≥5000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ind w:left="43" w:leftChars="-51" w:hanging="145" w:hangingChars="6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1000≤Y＜5000 </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500≤Y＜1000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租赁和商务服务业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X≥300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ind w:left="43" w:leftChars="-51" w:hanging="145" w:hangingChars="6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100≤X＜300 </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10≤X＜100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资产总额(Z)</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万元</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Z≥120000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8000≤Z＜120000</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100≤Z＜8000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13"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其他未列明行业*</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从业人员(X)</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X≥300</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288" w:lineRule="auto"/>
              <w:ind w:left="43" w:leftChars="-51" w:hanging="145" w:hangingChars="6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100≤X＜300 </w:t>
            </w:r>
          </w:p>
        </w:tc>
        <w:tc>
          <w:tcPr>
            <w:tcW w:w="14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10≤X＜100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X＜10</w:t>
            </w:r>
          </w:p>
        </w:tc>
      </w:tr>
    </w:tbl>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说明：</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　　1.大型、中型和小型企业须同时满足所列指标的下限，否则下划一档；微型企业只须满足所列指标中的一项即可。</w:t>
      </w:r>
    </w:p>
    <w:p>
      <w:pPr>
        <w:keepNext w:val="0"/>
        <w:keepLines w:val="0"/>
        <w:pageBreakBefore w:val="0"/>
        <w:widowControl/>
        <w:kinsoku/>
        <w:wordWrap/>
        <w:overflowPunct/>
        <w:topLinePunct w:val="0"/>
        <w:autoSpaceDE/>
        <w:autoSpaceDN/>
        <w:bidi w:val="0"/>
        <w:adjustRightInd/>
        <w:snapToGrid/>
        <w:spacing w:line="288" w:lineRule="auto"/>
        <w:ind w:firstLine="452"/>
        <w:textAlignment w:val="auto"/>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widowControl/>
        <w:kinsoku/>
        <w:wordWrap/>
        <w:overflowPunct/>
        <w:topLinePunct w:val="0"/>
        <w:autoSpaceDE/>
        <w:autoSpaceDN/>
        <w:bidi w:val="0"/>
        <w:adjustRightInd/>
        <w:snapToGrid/>
        <w:spacing w:line="288" w:lineRule="auto"/>
        <w:ind w:firstLine="452"/>
        <w:textAlignment w:val="auto"/>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b/>
          <w:color w:val="auto"/>
          <w:spacing w:val="20"/>
          <w:sz w:val="24"/>
          <w:szCs w:val="24"/>
          <w:highlight w:val="none"/>
        </w:rPr>
      </w:pP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p>
    <w:sectPr>
      <w:footerReference r:id="rId10" w:type="first"/>
      <w:footerReference r:id="rId9" w:type="default"/>
      <w:pgSz w:w="11906" w:h="16838"/>
      <w:pgMar w:top="1418" w:right="1247" w:bottom="1418"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separate"/>
    </w:r>
    <w:r>
      <w:rPr>
        <w:rStyle w:val="49"/>
      </w:rPr>
      <w:t>2</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separate"/>
    </w:r>
    <w:r>
      <w:rPr>
        <w:rStyle w:val="49"/>
      </w:rPr>
      <w:t>2</w:t>
    </w:r>
    <w:r>
      <w:fldChar w:fldCharType="end"/>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6" w:space="3"/>
      </w:pBdr>
      <w:jc w:val="both"/>
    </w:pPr>
    <w:r>
      <w:rPr>
        <w:rFonts w:ascii="宋体" w:hAnsi="宋体"/>
      </w:rPr>
      <w:drawing>
        <wp:inline distT="0" distB="0" distL="0" distR="0">
          <wp:extent cx="342900" cy="323850"/>
          <wp:effectExtent l="19050" t="0" r="0" b="0"/>
          <wp:docPr id="4" name="图片 4" descr="1502786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02786253(1)"/>
                  <pic:cNvPicPr>
                    <a:picLocks noChangeAspect="1" noChangeArrowheads="1"/>
                  </pic:cNvPicPr>
                </pic:nvPicPr>
                <pic:blipFill>
                  <a:blip r:embed="rId1"/>
                  <a:srcRect/>
                  <a:stretch>
                    <a:fillRect/>
                  </a:stretch>
                </pic:blipFill>
                <pic:spPr>
                  <a:xfrm>
                    <a:off x="0" y="0"/>
                    <a:ext cx="342900" cy="323850"/>
                  </a:xfrm>
                  <a:prstGeom prst="rect">
                    <a:avLst/>
                  </a:prstGeom>
                  <a:noFill/>
                  <a:ln w="9525">
                    <a:noFill/>
                    <a:miter lim="800000"/>
                    <a:headEnd/>
                    <a:tailEnd/>
                  </a:ln>
                </pic:spPr>
              </pic:pic>
            </a:graphicData>
          </a:graphic>
        </wp:inline>
      </w:drawing>
    </w:r>
    <w:r>
      <w:rPr>
        <w:rFonts w:hint="eastAsia"/>
      </w:rPr>
      <w:t xml:space="preserve">中恒一信项目管理咨询有限公司      　　                                                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D9ADA"/>
    <w:multiLevelType w:val="singleLevel"/>
    <w:tmpl w:val="A2FD9ADA"/>
    <w:lvl w:ilvl="0" w:tentative="0">
      <w:start w:val="1"/>
      <w:numFmt w:val="decimal"/>
      <w:lvlText w:val="%1."/>
      <w:lvlJc w:val="left"/>
      <w:pPr>
        <w:tabs>
          <w:tab w:val="left" w:pos="312"/>
        </w:tabs>
      </w:pPr>
    </w:lvl>
  </w:abstractNum>
  <w:abstractNum w:abstractNumId="1">
    <w:nsid w:val="DDC4BF2D"/>
    <w:multiLevelType w:val="singleLevel"/>
    <w:tmpl w:val="DDC4BF2D"/>
    <w:lvl w:ilvl="0" w:tentative="0">
      <w:start w:val="1"/>
      <w:numFmt w:val="chineseCounting"/>
      <w:suff w:val="nothing"/>
      <w:lvlText w:val="（%1）"/>
      <w:lvlJc w:val="left"/>
      <w:rPr>
        <w:rFonts w:hint="eastAsia"/>
      </w:rPr>
    </w:lvl>
  </w:abstractNum>
  <w:abstractNum w:abstractNumId="2">
    <w:nsid w:val="130F4B7E"/>
    <w:multiLevelType w:val="multilevel"/>
    <w:tmpl w:val="130F4B7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F46C8B"/>
    <w:multiLevelType w:val="singleLevel"/>
    <w:tmpl w:val="2FF46C8B"/>
    <w:lvl w:ilvl="0" w:tentative="0">
      <w:start w:val="4"/>
      <w:numFmt w:val="chineseCounting"/>
      <w:suff w:val="space"/>
      <w:lvlText w:val="第%1部分"/>
      <w:lvlJc w:val="left"/>
      <w:rPr>
        <w:rFonts w:hint="eastAsia"/>
      </w:rPr>
    </w:lvl>
  </w:abstractNum>
  <w:abstractNum w:abstractNumId="4">
    <w:nsid w:val="437F1085"/>
    <w:multiLevelType w:val="multilevel"/>
    <w:tmpl w:val="437F1085"/>
    <w:lvl w:ilvl="0" w:tentative="0">
      <w:start w:val="1"/>
      <w:numFmt w:val="chineseCountingThousand"/>
      <w:suff w:val="nothing"/>
      <w:lvlText w:val="%1、"/>
      <w:lvlJc w:val="left"/>
      <w:pPr>
        <w:ind w:left="420" w:hanging="420"/>
      </w:pPr>
      <w:rPr>
        <w:rFonts w:hint="eastAsia"/>
        <w:color w:val="auto"/>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
    <w:nsid w:val="49FB7819"/>
    <w:multiLevelType w:val="multilevel"/>
    <w:tmpl w:val="49FB78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02F0359"/>
    <w:multiLevelType w:val="singleLevel"/>
    <w:tmpl w:val="502F0359"/>
    <w:lvl w:ilvl="0" w:tentative="0">
      <w:start w:val="1"/>
      <w:numFmt w:val="chineseCounting"/>
      <w:suff w:val="nothing"/>
      <w:lvlText w:val="%1、"/>
      <w:lvlJc w:val="left"/>
      <w:rPr>
        <w:rFonts w:hint="eastAsia"/>
      </w:rPr>
    </w:lvl>
  </w:abstractNum>
  <w:abstractNum w:abstractNumId="7">
    <w:nsid w:val="506912C7"/>
    <w:multiLevelType w:val="multilevel"/>
    <w:tmpl w:val="506912C7"/>
    <w:lvl w:ilvl="0" w:tentative="0">
      <w:start w:val="1"/>
      <w:numFmt w:val="decimal"/>
      <w:lvlText w:val="%1、"/>
      <w:lvlJc w:val="left"/>
      <w:pPr>
        <w:ind w:left="420" w:hanging="420"/>
      </w:pPr>
      <w:rPr>
        <w:rFonts w:hint="eastAsia" w:ascii="黑体" w:hAnsi="黑体" w:eastAsia="黑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3BC7DAF"/>
    <w:multiLevelType w:val="multilevel"/>
    <w:tmpl w:val="63BC7D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5325F7C"/>
    <w:multiLevelType w:val="multilevel"/>
    <w:tmpl w:val="75325F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6345C4"/>
    <w:multiLevelType w:val="multilevel"/>
    <w:tmpl w:val="7C6345C4"/>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D823685"/>
    <w:multiLevelType w:val="multilevel"/>
    <w:tmpl w:val="7D823685"/>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1"/>
  </w:num>
  <w:num w:numId="4">
    <w:abstractNumId w:val="3"/>
  </w:num>
  <w:num w:numId="5">
    <w:abstractNumId w:val="10"/>
  </w:num>
  <w:num w:numId="6">
    <w:abstractNumId w:val="2"/>
  </w:num>
  <w:num w:numId="7">
    <w:abstractNumId w:val="8"/>
  </w:num>
  <w:num w:numId="8">
    <w:abstractNumId w:val="7"/>
  </w:num>
  <w:num w:numId="9">
    <w:abstractNumId w:val="1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YWQ3OTliMTQyNmYxNTJkZGM0MjFmMGE2NmJlZDkifQ=="/>
  </w:docVars>
  <w:rsids>
    <w:rsidRoot w:val="00D37C4B"/>
    <w:rsid w:val="0000063C"/>
    <w:rsid w:val="00000B64"/>
    <w:rsid w:val="00000FB0"/>
    <w:rsid w:val="00001038"/>
    <w:rsid w:val="00001438"/>
    <w:rsid w:val="00001823"/>
    <w:rsid w:val="000023B1"/>
    <w:rsid w:val="00006F1F"/>
    <w:rsid w:val="00007AE1"/>
    <w:rsid w:val="000101BD"/>
    <w:rsid w:val="0001063A"/>
    <w:rsid w:val="00010FB2"/>
    <w:rsid w:val="00011694"/>
    <w:rsid w:val="000133AB"/>
    <w:rsid w:val="000137CF"/>
    <w:rsid w:val="000139E0"/>
    <w:rsid w:val="00013EAE"/>
    <w:rsid w:val="000144DD"/>
    <w:rsid w:val="00014C99"/>
    <w:rsid w:val="00014E67"/>
    <w:rsid w:val="000157BA"/>
    <w:rsid w:val="0001631D"/>
    <w:rsid w:val="00016C0B"/>
    <w:rsid w:val="0002036F"/>
    <w:rsid w:val="00021436"/>
    <w:rsid w:val="00021C37"/>
    <w:rsid w:val="000223F9"/>
    <w:rsid w:val="00022933"/>
    <w:rsid w:val="000231ED"/>
    <w:rsid w:val="00024500"/>
    <w:rsid w:val="00026024"/>
    <w:rsid w:val="0002653C"/>
    <w:rsid w:val="00026779"/>
    <w:rsid w:val="0002782B"/>
    <w:rsid w:val="00027BD7"/>
    <w:rsid w:val="00030044"/>
    <w:rsid w:val="00030540"/>
    <w:rsid w:val="0003186C"/>
    <w:rsid w:val="0003233B"/>
    <w:rsid w:val="00032B92"/>
    <w:rsid w:val="00033FD8"/>
    <w:rsid w:val="0003441E"/>
    <w:rsid w:val="0003452C"/>
    <w:rsid w:val="000345AB"/>
    <w:rsid w:val="00036173"/>
    <w:rsid w:val="000369F2"/>
    <w:rsid w:val="00036D73"/>
    <w:rsid w:val="000402A6"/>
    <w:rsid w:val="0004321F"/>
    <w:rsid w:val="0004386B"/>
    <w:rsid w:val="00044218"/>
    <w:rsid w:val="00044541"/>
    <w:rsid w:val="0004470C"/>
    <w:rsid w:val="00044CBE"/>
    <w:rsid w:val="00044DE4"/>
    <w:rsid w:val="00045D32"/>
    <w:rsid w:val="00046687"/>
    <w:rsid w:val="00046AB3"/>
    <w:rsid w:val="00046E9D"/>
    <w:rsid w:val="000473F5"/>
    <w:rsid w:val="00047B6C"/>
    <w:rsid w:val="00047D0E"/>
    <w:rsid w:val="00050A1E"/>
    <w:rsid w:val="00050C1D"/>
    <w:rsid w:val="00051B94"/>
    <w:rsid w:val="0005210D"/>
    <w:rsid w:val="0005211E"/>
    <w:rsid w:val="000525F2"/>
    <w:rsid w:val="00054B71"/>
    <w:rsid w:val="0005531F"/>
    <w:rsid w:val="000571BC"/>
    <w:rsid w:val="00057A23"/>
    <w:rsid w:val="00057A9D"/>
    <w:rsid w:val="00057EC5"/>
    <w:rsid w:val="0006020D"/>
    <w:rsid w:val="0006042A"/>
    <w:rsid w:val="00060436"/>
    <w:rsid w:val="00061FE1"/>
    <w:rsid w:val="00061FFE"/>
    <w:rsid w:val="000624D3"/>
    <w:rsid w:val="0006334C"/>
    <w:rsid w:val="0006406C"/>
    <w:rsid w:val="000640C8"/>
    <w:rsid w:val="00064C41"/>
    <w:rsid w:val="00064EC3"/>
    <w:rsid w:val="0006528C"/>
    <w:rsid w:val="00065355"/>
    <w:rsid w:val="00065B68"/>
    <w:rsid w:val="00065E58"/>
    <w:rsid w:val="00066D80"/>
    <w:rsid w:val="00067044"/>
    <w:rsid w:val="00070B54"/>
    <w:rsid w:val="00071360"/>
    <w:rsid w:val="00071414"/>
    <w:rsid w:val="00072C89"/>
    <w:rsid w:val="00072DC4"/>
    <w:rsid w:val="00074791"/>
    <w:rsid w:val="00075905"/>
    <w:rsid w:val="00075A27"/>
    <w:rsid w:val="000818BC"/>
    <w:rsid w:val="00081C9B"/>
    <w:rsid w:val="00081DCC"/>
    <w:rsid w:val="000826E7"/>
    <w:rsid w:val="000842A6"/>
    <w:rsid w:val="00085497"/>
    <w:rsid w:val="0008577F"/>
    <w:rsid w:val="00087387"/>
    <w:rsid w:val="00090005"/>
    <w:rsid w:val="0009067A"/>
    <w:rsid w:val="00090A3B"/>
    <w:rsid w:val="00090F68"/>
    <w:rsid w:val="00091EA2"/>
    <w:rsid w:val="00093076"/>
    <w:rsid w:val="000932CA"/>
    <w:rsid w:val="00093FF9"/>
    <w:rsid w:val="00096A08"/>
    <w:rsid w:val="00096E3D"/>
    <w:rsid w:val="00096F7C"/>
    <w:rsid w:val="0009745C"/>
    <w:rsid w:val="0009768E"/>
    <w:rsid w:val="000A1441"/>
    <w:rsid w:val="000A1ABB"/>
    <w:rsid w:val="000A24F2"/>
    <w:rsid w:val="000A2912"/>
    <w:rsid w:val="000A332E"/>
    <w:rsid w:val="000A396A"/>
    <w:rsid w:val="000A3F73"/>
    <w:rsid w:val="000A41A3"/>
    <w:rsid w:val="000A4632"/>
    <w:rsid w:val="000A7438"/>
    <w:rsid w:val="000A7811"/>
    <w:rsid w:val="000A7FF5"/>
    <w:rsid w:val="000B00B2"/>
    <w:rsid w:val="000B05E3"/>
    <w:rsid w:val="000B133E"/>
    <w:rsid w:val="000B198D"/>
    <w:rsid w:val="000B3407"/>
    <w:rsid w:val="000B3530"/>
    <w:rsid w:val="000B3B88"/>
    <w:rsid w:val="000B3CF8"/>
    <w:rsid w:val="000B52AD"/>
    <w:rsid w:val="000B6067"/>
    <w:rsid w:val="000B6FE7"/>
    <w:rsid w:val="000B7C82"/>
    <w:rsid w:val="000B7D24"/>
    <w:rsid w:val="000C023A"/>
    <w:rsid w:val="000C0B27"/>
    <w:rsid w:val="000C0DE6"/>
    <w:rsid w:val="000C248C"/>
    <w:rsid w:val="000C2B24"/>
    <w:rsid w:val="000C31AA"/>
    <w:rsid w:val="000C36D1"/>
    <w:rsid w:val="000C4042"/>
    <w:rsid w:val="000C5810"/>
    <w:rsid w:val="000C5D64"/>
    <w:rsid w:val="000C5F6A"/>
    <w:rsid w:val="000C77CA"/>
    <w:rsid w:val="000D06BA"/>
    <w:rsid w:val="000D0922"/>
    <w:rsid w:val="000D0C4A"/>
    <w:rsid w:val="000D130E"/>
    <w:rsid w:val="000D158E"/>
    <w:rsid w:val="000D245C"/>
    <w:rsid w:val="000D3A8E"/>
    <w:rsid w:val="000D40C2"/>
    <w:rsid w:val="000D477C"/>
    <w:rsid w:val="000D49B6"/>
    <w:rsid w:val="000D7693"/>
    <w:rsid w:val="000D7950"/>
    <w:rsid w:val="000E057A"/>
    <w:rsid w:val="000E2037"/>
    <w:rsid w:val="000E2D94"/>
    <w:rsid w:val="000E36CC"/>
    <w:rsid w:val="000E4183"/>
    <w:rsid w:val="000E4224"/>
    <w:rsid w:val="000E4BA0"/>
    <w:rsid w:val="000E644C"/>
    <w:rsid w:val="000E666C"/>
    <w:rsid w:val="000E67B0"/>
    <w:rsid w:val="000E6FE2"/>
    <w:rsid w:val="000E7079"/>
    <w:rsid w:val="000E71D7"/>
    <w:rsid w:val="000E7342"/>
    <w:rsid w:val="000F04D7"/>
    <w:rsid w:val="000F07A1"/>
    <w:rsid w:val="000F0E75"/>
    <w:rsid w:val="000F1179"/>
    <w:rsid w:val="000F13B6"/>
    <w:rsid w:val="000F1B37"/>
    <w:rsid w:val="000F2394"/>
    <w:rsid w:val="000F26DC"/>
    <w:rsid w:val="000F2B19"/>
    <w:rsid w:val="000F3037"/>
    <w:rsid w:val="000F3213"/>
    <w:rsid w:val="000F4597"/>
    <w:rsid w:val="000F4D54"/>
    <w:rsid w:val="000F5658"/>
    <w:rsid w:val="000F5FD2"/>
    <w:rsid w:val="00102208"/>
    <w:rsid w:val="00102DE7"/>
    <w:rsid w:val="001035DB"/>
    <w:rsid w:val="00103640"/>
    <w:rsid w:val="0010403B"/>
    <w:rsid w:val="00104197"/>
    <w:rsid w:val="001044BD"/>
    <w:rsid w:val="001061F8"/>
    <w:rsid w:val="00110620"/>
    <w:rsid w:val="00110BBA"/>
    <w:rsid w:val="00110FFE"/>
    <w:rsid w:val="001114B9"/>
    <w:rsid w:val="001126B7"/>
    <w:rsid w:val="00112AC0"/>
    <w:rsid w:val="0011338E"/>
    <w:rsid w:val="001136AF"/>
    <w:rsid w:val="0011395F"/>
    <w:rsid w:val="00113982"/>
    <w:rsid w:val="00113BFC"/>
    <w:rsid w:val="00113E06"/>
    <w:rsid w:val="00113ED0"/>
    <w:rsid w:val="0011504E"/>
    <w:rsid w:val="0011530B"/>
    <w:rsid w:val="00115B9A"/>
    <w:rsid w:val="00116851"/>
    <w:rsid w:val="00121222"/>
    <w:rsid w:val="00121DC0"/>
    <w:rsid w:val="0012219F"/>
    <w:rsid w:val="001227E3"/>
    <w:rsid w:val="00123A74"/>
    <w:rsid w:val="001244FF"/>
    <w:rsid w:val="00124BFE"/>
    <w:rsid w:val="00124C45"/>
    <w:rsid w:val="001258F2"/>
    <w:rsid w:val="001260E7"/>
    <w:rsid w:val="001276D5"/>
    <w:rsid w:val="0013146D"/>
    <w:rsid w:val="001319A6"/>
    <w:rsid w:val="00131E40"/>
    <w:rsid w:val="00132A44"/>
    <w:rsid w:val="001373D4"/>
    <w:rsid w:val="00137702"/>
    <w:rsid w:val="001377DD"/>
    <w:rsid w:val="0014011A"/>
    <w:rsid w:val="001403D9"/>
    <w:rsid w:val="00140B10"/>
    <w:rsid w:val="00141467"/>
    <w:rsid w:val="00141E49"/>
    <w:rsid w:val="00142CBC"/>
    <w:rsid w:val="00143DD4"/>
    <w:rsid w:val="00144231"/>
    <w:rsid w:val="00144405"/>
    <w:rsid w:val="0014546C"/>
    <w:rsid w:val="00146021"/>
    <w:rsid w:val="00146C13"/>
    <w:rsid w:val="00146FFB"/>
    <w:rsid w:val="00147026"/>
    <w:rsid w:val="001473EB"/>
    <w:rsid w:val="0015116F"/>
    <w:rsid w:val="001512D5"/>
    <w:rsid w:val="0015159E"/>
    <w:rsid w:val="001521C4"/>
    <w:rsid w:val="001526E7"/>
    <w:rsid w:val="00153070"/>
    <w:rsid w:val="00153AC1"/>
    <w:rsid w:val="0015554C"/>
    <w:rsid w:val="00155E4D"/>
    <w:rsid w:val="001560ED"/>
    <w:rsid w:val="00160CA7"/>
    <w:rsid w:val="00161225"/>
    <w:rsid w:val="00161807"/>
    <w:rsid w:val="00161D34"/>
    <w:rsid w:val="0016317F"/>
    <w:rsid w:val="00163851"/>
    <w:rsid w:val="00163A5F"/>
    <w:rsid w:val="0016449D"/>
    <w:rsid w:val="00164A44"/>
    <w:rsid w:val="001655C8"/>
    <w:rsid w:val="00167610"/>
    <w:rsid w:val="0017126D"/>
    <w:rsid w:val="00171A35"/>
    <w:rsid w:val="00174569"/>
    <w:rsid w:val="00174DBA"/>
    <w:rsid w:val="001750AD"/>
    <w:rsid w:val="0017661F"/>
    <w:rsid w:val="00177878"/>
    <w:rsid w:val="00177CEB"/>
    <w:rsid w:val="001802AA"/>
    <w:rsid w:val="001805B6"/>
    <w:rsid w:val="00180B23"/>
    <w:rsid w:val="00180D84"/>
    <w:rsid w:val="0018144E"/>
    <w:rsid w:val="00182A9E"/>
    <w:rsid w:val="001832E4"/>
    <w:rsid w:val="00184C02"/>
    <w:rsid w:val="001853DA"/>
    <w:rsid w:val="00185A61"/>
    <w:rsid w:val="00185C2A"/>
    <w:rsid w:val="00186638"/>
    <w:rsid w:val="001867F8"/>
    <w:rsid w:val="001869A1"/>
    <w:rsid w:val="00187E2F"/>
    <w:rsid w:val="00190F1F"/>
    <w:rsid w:val="00191573"/>
    <w:rsid w:val="00192B5F"/>
    <w:rsid w:val="00193EAE"/>
    <w:rsid w:val="001941D4"/>
    <w:rsid w:val="00194AD6"/>
    <w:rsid w:val="00194B6E"/>
    <w:rsid w:val="0019791F"/>
    <w:rsid w:val="00197E0E"/>
    <w:rsid w:val="001A0B5C"/>
    <w:rsid w:val="001A1EAF"/>
    <w:rsid w:val="001A2168"/>
    <w:rsid w:val="001A2F0F"/>
    <w:rsid w:val="001A32C8"/>
    <w:rsid w:val="001A363B"/>
    <w:rsid w:val="001A3E73"/>
    <w:rsid w:val="001A58A5"/>
    <w:rsid w:val="001A58E5"/>
    <w:rsid w:val="001A6636"/>
    <w:rsid w:val="001A69E7"/>
    <w:rsid w:val="001A7230"/>
    <w:rsid w:val="001B08DD"/>
    <w:rsid w:val="001B15D1"/>
    <w:rsid w:val="001B1E0D"/>
    <w:rsid w:val="001B225D"/>
    <w:rsid w:val="001B284C"/>
    <w:rsid w:val="001B28F1"/>
    <w:rsid w:val="001B2F54"/>
    <w:rsid w:val="001B3D89"/>
    <w:rsid w:val="001B423E"/>
    <w:rsid w:val="001B513E"/>
    <w:rsid w:val="001C0129"/>
    <w:rsid w:val="001C0229"/>
    <w:rsid w:val="001C082B"/>
    <w:rsid w:val="001C0DC9"/>
    <w:rsid w:val="001C0F0B"/>
    <w:rsid w:val="001C1539"/>
    <w:rsid w:val="001C1546"/>
    <w:rsid w:val="001C1896"/>
    <w:rsid w:val="001C1A95"/>
    <w:rsid w:val="001C2122"/>
    <w:rsid w:val="001C2DBD"/>
    <w:rsid w:val="001C2E77"/>
    <w:rsid w:val="001C5F05"/>
    <w:rsid w:val="001C61AA"/>
    <w:rsid w:val="001C6C16"/>
    <w:rsid w:val="001C6EDB"/>
    <w:rsid w:val="001C7966"/>
    <w:rsid w:val="001C7B3E"/>
    <w:rsid w:val="001D0966"/>
    <w:rsid w:val="001D0E8E"/>
    <w:rsid w:val="001D140B"/>
    <w:rsid w:val="001D54FF"/>
    <w:rsid w:val="001D578E"/>
    <w:rsid w:val="001D5DAF"/>
    <w:rsid w:val="001E0896"/>
    <w:rsid w:val="001E1B4B"/>
    <w:rsid w:val="001E3E85"/>
    <w:rsid w:val="001E406D"/>
    <w:rsid w:val="001E6F8A"/>
    <w:rsid w:val="001E7903"/>
    <w:rsid w:val="001F0915"/>
    <w:rsid w:val="001F2450"/>
    <w:rsid w:val="001F3299"/>
    <w:rsid w:val="001F384C"/>
    <w:rsid w:val="001F49D3"/>
    <w:rsid w:val="001F515E"/>
    <w:rsid w:val="001F58C1"/>
    <w:rsid w:val="001F6505"/>
    <w:rsid w:val="001F7059"/>
    <w:rsid w:val="001F7374"/>
    <w:rsid w:val="002006B3"/>
    <w:rsid w:val="002007B5"/>
    <w:rsid w:val="00200891"/>
    <w:rsid w:val="00200F08"/>
    <w:rsid w:val="002011A0"/>
    <w:rsid w:val="00201D3C"/>
    <w:rsid w:val="00201FFF"/>
    <w:rsid w:val="00202156"/>
    <w:rsid w:val="00202DC2"/>
    <w:rsid w:val="00203578"/>
    <w:rsid w:val="00203DDB"/>
    <w:rsid w:val="0020494C"/>
    <w:rsid w:val="00204F54"/>
    <w:rsid w:val="00205291"/>
    <w:rsid w:val="00205E6C"/>
    <w:rsid w:val="00206F24"/>
    <w:rsid w:val="00206F94"/>
    <w:rsid w:val="002078B5"/>
    <w:rsid w:val="002105B4"/>
    <w:rsid w:val="00211423"/>
    <w:rsid w:val="00212E4E"/>
    <w:rsid w:val="00212F09"/>
    <w:rsid w:val="0021418A"/>
    <w:rsid w:val="00214309"/>
    <w:rsid w:val="00214376"/>
    <w:rsid w:val="002148DE"/>
    <w:rsid w:val="00214F95"/>
    <w:rsid w:val="002159CC"/>
    <w:rsid w:val="0021620B"/>
    <w:rsid w:val="0021724E"/>
    <w:rsid w:val="00217BB7"/>
    <w:rsid w:val="00217BC7"/>
    <w:rsid w:val="00220444"/>
    <w:rsid w:val="002215F6"/>
    <w:rsid w:val="0022178B"/>
    <w:rsid w:val="00221AEA"/>
    <w:rsid w:val="002221BA"/>
    <w:rsid w:val="002222A9"/>
    <w:rsid w:val="0022269B"/>
    <w:rsid w:val="002227A0"/>
    <w:rsid w:val="0022285B"/>
    <w:rsid w:val="00223A8A"/>
    <w:rsid w:val="002247B5"/>
    <w:rsid w:val="00224F3D"/>
    <w:rsid w:val="00225EF3"/>
    <w:rsid w:val="002265B7"/>
    <w:rsid w:val="0023090F"/>
    <w:rsid w:val="002312DC"/>
    <w:rsid w:val="00231322"/>
    <w:rsid w:val="00231713"/>
    <w:rsid w:val="00233135"/>
    <w:rsid w:val="0023333E"/>
    <w:rsid w:val="00235DE7"/>
    <w:rsid w:val="0023633D"/>
    <w:rsid w:val="00236F42"/>
    <w:rsid w:val="00237D56"/>
    <w:rsid w:val="00237EA1"/>
    <w:rsid w:val="00240494"/>
    <w:rsid w:val="002411C2"/>
    <w:rsid w:val="00241466"/>
    <w:rsid w:val="0024152C"/>
    <w:rsid w:val="00241E37"/>
    <w:rsid w:val="0024225C"/>
    <w:rsid w:val="002426FF"/>
    <w:rsid w:val="002434B0"/>
    <w:rsid w:val="0024461F"/>
    <w:rsid w:val="00245DE5"/>
    <w:rsid w:val="00246652"/>
    <w:rsid w:val="00246A94"/>
    <w:rsid w:val="00246CCA"/>
    <w:rsid w:val="00247AA1"/>
    <w:rsid w:val="0025197A"/>
    <w:rsid w:val="00251E8D"/>
    <w:rsid w:val="0025208A"/>
    <w:rsid w:val="0025225B"/>
    <w:rsid w:val="002529D0"/>
    <w:rsid w:val="0025413C"/>
    <w:rsid w:val="002548F5"/>
    <w:rsid w:val="0025509D"/>
    <w:rsid w:val="00255BB2"/>
    <w:rsid w:val="00255EC4"/>
    <w:rsid w:val="00256134"/>
    <w:rsid w:val="0025710A"/>
    <w:rsid w:val="00257AFE"/>
    <w:rsid w:val="002605FF"/>
    <w:rsid w:val="002606CC"/>
    <w:rsid w:val="00260E15"/>
    <w:rsid w:val="00260F25"/>
    <w:rsid w:val="00262391"/>
    <w:rsid w:val="0026275B"/>
    <w:rsid w:val="002631B3"/>
    <w:rsid w:val="00263320"/>
    <w:rsid w:val="00263BAA"/>
    <w:rsid w:val="00264344"/>
    <w:rsid w:val="002656EE"/>
    <w:rsid w:val="00265C86"/>
    <w:rsid w:val="0026640B"/>
    <w:rsid w:val="002670F3"/>
    <w:rsid w:val="00267C08"/>
    <w:rsid w:val="002701CC"/>
    <w:rsid w:val="00270238"/>
    <w:rsid w:val="00270EC7"/>
    <w:rsid w:val="00271949"/>
    <w:rsid w:val="00271D71"/>
    <w:rsid w:val="00272799"/>
    <w:rsid w:val="00272965"/>
    <w:rsid w:val="00272D1C"/>
    <w:rsid w:val="0027331D"/>
    <w:rsid w:val="002734E6"/>
    <w:rsid w:val="0027376C"/>
    <w:rsid w:val="0027377C"/>
    <w:rsid w:val="002737D1"/>
    <w:rsid w:val="00273E07"/>
    <w:rsid w:val="00274FE5"/>
    <w:rsid w:val="0027597F"/>
    <w:rsid w:val="00275DC3"/>
    <w:rsid w:val="002761CF"/>
    <w:rsid w:val="00276A04"/>
    <w:rsid w:val="00277B8E"/>
    <w:rsid w:val="00280063"/>
    <w:rsid w:val="00280529"/>
    <w:rsid w:val="00280C23"/>
    <w:rsid w:val="002813DA"/>
    <w:rsid w:val="00281919"/>
    <w:rsid w:val="00281B5F"/>
    <w:rsid w:val="00282319"/>
    <w:rsid w:val="00282904"/>
    <w:rsid w:val="002835CD"/>
    <w:rsid w:val="002845D3"/>
    <w:rsid w:val="002849E2"/>
    <w:rsid w:val="00284F4A"/>
    <w:rsid w:val="00285219"/>
    <w:rsid w:val="00285834"/>
    <w:rsid w:val="0028617D"/>
    <w:rsid w:val="00286E64"/>
    <w:rsid w:val="00290413"/>
    <w:rsid w:val="00290581"/>
    <w:rsid w:val="0029124F"/>
    <w:rsid w:val="00291830"/>
    <w:rsid w:val="00291A72"/>
    <w:rsid w:val="00291E65"/>
    <w:rsid w:val="002932FA"/>
    <w:rsid w:val="002933E1"/>
    <w:rsid w:val="002934EA"/>
    <w:rsid w:val="0029402D"/>
    <w:rsid w:val="00294D11"/>
    <w:rsid w:val="00294EAE"/>
    <w:rsid w:val="002958D6"/>
    <w:rsid w:val="00296036"/>
    <w:rsid w:val="0029689E"/>
    <w:rsid w:val="002968BE"/>
    <w:rsid w:val="00296C2A"/>
    <w:rsid w:val="002A061A"/>
    <w:rsid w:val="002A0E65"/>
    <w:rsid w:val="002A133D"/>
    <w:rsid w:val="002A194A"/>
    <w:rsid w:val="002A40B8"/>
    <w:rsid w:val="002A4B13"/>
    <w:rsid w:val="002A5926"/>
    <w:rsid w:val="002A78DA"/>
    <w:rsid w:val="002B033D"/>
    <w:rsid w:val="002B104F"/>
    <w:rsid w:val="002B2AC5"/>
    <w:rsid w:val="002B319C"/>
    <w:rsid w:val="002B32CF"/>
    <w:rsid w:val="002B59E5"/>
    <w:rsid w:val="002B6910"/>
    <w:rsid w:val="002B6CFB"/>
    <w:rsid w:val="002C02AC"/>
    <w:rsid w:val="002C07CD"/>
    <w:rsid w:val="002C0889"/>
    <w:rsid w:val="002C0BC8"/>
    <w:rsid w:val="002C0FDA"/>
    <w:rsid w:val="002C2633"/>
    <w:rsid w:val="002C2B63"/>
    <w:rsid w:val="002C2F6E"/>
    <w:rsid w:val="002C35DA"/>
    <w:rsid w:val="002C4121"/>
    <w:rsid w:val="002C499D"/>
    <w:rsid w:val="002C4D45"/>
    <w:rsid w:val="002C5B71"/>
    <w:rsid w:val="002C5F58"/>
    <w:rsid w:val="002C6763"/>
    <w:rsid w:val="002C78E2"/>
    <w:rsid w:val="002C7961"/>
    <w:rsid w:val="002D08D2"/>
    <w:rsid w:val="002D13C1"/>
    <w:rsid w:val="002D1577"/>
    <w:rsid w:val="002D21B2"/>
    <w:rsid w:val="002D295A"/>
    <w:rsid w:val="002D2E45"/>
    <w:rsid w:val="002D324B"/>
    <w:rsid w:val="002D4AD2"/>
    <w:rsid w:val="002D557E"/>
    <w:rsid w:val="002D597B"/>
    <w:rsid w:val="002D6C49"/>
    <w:rsid w:val="002D7C2C"/>
    <w:rsid w:val="002E00E0"/>
    <w:rsid w:val="002E1080"/>
    <w:rsid w:val="002E15FD"/>
    <w:rsid w:val="002E1B5E"/>
    <w:rsid w:val="002E1CB9"/>
    <w:rsid w:val="002E32D6"/>
    <w:rsid w:val="002E387E"/>
    <w:rsid w:val="002E4526"/>
    <w:rsid w:val="002E4B5E"/>
    <w:rsid w:val="002E4BD1"/>
    <w:rsid w:val="002E7409"/>
    <w:rsid w:val="002F035C"/>
    <w:rsid w:val="002F038C"/>
    <w:rsid w:val="002F1A92"/>
    <w:rsid w:val="002F1C7E"/>
    <w:rsid w:val="002F1EE1"/>
    <w:rsid w:val="002F1F96"/>
    <w:rsid w:val="002F4E62"/>
    <w:rsid w:val="002F683C"/>
    <w:rsid w:val="002F68E7"/>
    <w:rsid w:val="002F6CB2"/>
    <w:rsid w:val="002F7762"/>
    <w:rsid w:val="002F7BDB"/>
    <w:rsid w:val="002F7F72"/>
    <w:rsid w:val="00300246"/>
    <w:rsid w:val="00300974"/>
    <w:rsid w:val="003014DB"/>
    <w:rsid w:val="0030167C"/>
    <w:rsid w:val="0030210A"/>
    <w:rsid w:val="00302124"/>
    <w:rsid w:val="0030281F"/>
    <w:rsid w:val="0030292A"/>
    <w:rsid w:val="00302B82"/>
    <w:rsid w:val="00302E29"/>
    <w:rsid w:val="003030F5"/>
    <w:rsid w:val="003035BF"/>
    <w:rsid w:val="0030377D"/>
    <w:rsid w:val="00304523"/>
    <w:rsid w:val="00305A18"/>
    <w:rsid w:val="0030610E"/>
    <w:rsid w:val="00307726"/>
    <w:rsid w:val="003113A5"/>
    <w:rsid w:val="00311599"/>
    <w:rsid w:val="00312283"/>
    <w:rsid w:val="003124CA"/>
    <w:rsid w:val="00313340"/>
    <w:rsid w:val="00314488"/>
    <w:rsid w:val="00314FC1"/>
    <w:rsid w:val="0031604F"/>
    <w:rsid w:val="003163D7"/>
    <w:rsid w:val="0031699C"/>
    <w:rsid w:val="003176CF"/>
    <w:rsid w:val="00320568"/>
    <w:rsid w:val="00320677"/>
    <w:rsid w:val="0032155A"/>
    <w:rsid w:val="00321A2A"/>
    <w:rsid w:val="00321BED"/>
    <w:rsid w:val="00321E74"/>
    <w:rsid w:val="00321FAD"/>
    <w:rsid w:val="00322743"/>
    <w:rsid w:val="003243DE"/>
    <w:rsid w:val="0032441D"/>
    <w:rsid w:val="00324762"/>
    <w:rsid w:val="00324906"/>
    <w:rsid w:val="00326A31"/>
    <w:rsid w:val="00327A42"/>
    <w:rsid w:val="003307D0"/>
    <w:rsid w:val="00330984"/>
    <w:rsid w:val="00330B2E"/>
    <w:rsid w:val="003314F6"/>
    <w:rsid w:val="003319E7"/>
    <w:rsid w:val="00331E73"/>
    <w:rsid w:val="00332007"/>
    <w:rsid w:val="0033289D"/>
    <w:rsid w:val="00333D12"/>
    <w:rsid w:val="00333F75"/>
    <w:rsid w:val="00334B5F"/>
    <w:rsid w:val="00335944"/>
    <w:rsid w:val="00335AAB"/>
    <w:rsid w:val="00335F94"/>
    <w:rsid w:val="003376CD"/>
    <w:rsid w:val="00337712"/>
    <w:rsid w:val="00340513"/>
    <w:rsid w:val="00340844"/>
    <w:rsid w:val="00340C14"/>
    <w:rsid w:val="00342588"/>
    <w:rsid w:val="00342B93"/>
    <w:rsid w:val="00342F91"/>
    <w:rsid w:val="00344DCF"/>
    <w:rsid w:val="003455E5"/>
    <w:rsid w:val="00346FB4"/>
    <w:rsid w:val="003500E0"/>
    <w:rsid w:val="003502DA"/>
    <w:rsid w:val="00350537"/>
    <w:rsid w:val="00351C0F"/>
    <w:rsid w:val="00351CF4"/>
    <w:rsid w:val="00351F00"/>
    <w:rsid w:val="00352622"/>
    <w:rsid w:val="003526A9"/>
    <w:rsid w:val="00352743"/>
    <w:rsid w:val="00353C94"/>
    <w:rsid w:val="0035447F"/>
    <w:rsid w:val="0035559B"/>
    <w:rsid w:val="00355805"/>
    <w:rsid w:val="003560CF"/>
    <w:rsid w:val="00356C66"/>
    <w:rsid w:val="00357827"/>
    <w:rsid w:val="00357A07"/>
    <w:rsid w:val="00357B9B"/>
    <w:rsid w:val="00360B8B"/>
    <w:rsid w:val="00360B98"/>
    <w:rsid w:val="0036166A"/>
    <w:rsid w:val="00362656"/>
    <w:rsid w:val="00362A42"/>
    <w:rsid w:val="00362F09"/>
    <w:rsid w:val="00362F21"/>
    <w:rsid w:val="00363E23"/>
    <w:rsid w:val="0036475D"/>
    <w:rsid w:val="00364FAC"/>
    <w:rsid w:val="003650DB"/>
    <w:rsid w:val="003659CB"/>
    <w:rsid w:val="00366465"/>
    <w:rsid w:val="00366579"/>
    <w:rsid w:val="003667E8"/>
    <w:rsid w:val="0036772E"/>
    <w:rsid w:val="003701F5"/>
    <w:rsid w:val="00370326"/>
    <w:rsid w:val="0037122C"/>
    <w:rsid w:val="003717C7"/>
    <w:rsid w:val="00372158"/>
    <w:rsid w:val="0037298D"/>
    <w:rsid w:val="003732C5"/>
    <w:rsid w:val="00373D94"/>
    <w:rsid w:val="0037469C"/>
    <w:rsid w:val="00374937"/>
    <w:rsid w:val="00374AED"/>
    <w:rsid w:val="00375900"/>
    <w:rsid w:val="00375EC9"/>
    <w:rsid w:val="00376602"/>
    <w:rsid w:val="00376672"/>
    <w:rsid w:val="00377AF1"/>
    <w:rsid w:val="00380157"/>
    <w:rsid w:val="00380893"/>
    <w:rsid w:val="003808EF"/>
    <w:rsid w:val="00382FB3"/>
    <w:rsid w:val="003837BF"/>
    <w:rsid w:val="00383DB9"/>
    <w:rsid w:val="00383FD9"/>
    <w:rsid w:val="00384809"/>
    <w:rsid w:val="0038705A"/>
    <w:rsid w:val="003871A8"/>
    <w:rsid w:val="00387816"/>
    <w:rsid w:val="00387C68"/>
    <w:rsid w:val="00387DD5"/>
    <w:rsid w:val="003913F0"/>
    <w:rsid w:val="00394B8A"/>
    <w:rsid w:val="00395600"/>
    <w:rsid w:val="0039608E"/>
    <w:rsid w:val="003966CC"/>
    <w:rsid w:val="00396A14"/>
    <w:rsid w:val="00397527"/>
    <w:rsid w:val="003A05A6"/>
    <w:rsid w:val="003A0A2F"/>
    <w:rsid w:val="003A1535"/>
    <w:rsid w:val="003A17F4"/>
    <w:rsid w:val="003A2A59"/>
    <w:rsid w:val="003A2ED4"/>
    <w:rsid w:val="003A4384"/>
    <w:rsid w:val="003A47D5"/>
    <w:rsid w:val="003A48CC"/>
    <w:rsid w:val="003A4C1A"/>
    <w:rsid w:val="003A4C42"/>
    <w:rsid w:val="003A66D2"/>
    <w:rsid w:val="003A696E"/>
    <w:rsid w:val="003A6A3F"/>
    <w:rsid w:val="003A6B7A"/>
    <w:rsid w:val="003B0184"/>
    <w:rsid w:val="003B177F"/>
    <w:rsid w:val="003B1CAE"/>
    <w:rsid w:val="003B3079"/>
    <w:rsid w:val="003B457F"/>
    <w:rsid w:val="003B4BAF"/>
    <w:rsid w:val="003B5A24"/>
    <w:rsid w:val="003B5DD0"/>
    <w:rsid w:val="003B708B"/>
    <w:rsid w:val="003B7A3A"/>
    <w:rsid w:val="003C0227"/>
    <w:rsid w:val="003C0BC8"/>
    <w:rsid w:val="003C1378"/>
    <w:rsid w:val="003C1681"/>
    <w:rsid w:val="003C1862"/>
    <w:rsid w:val="003C2894"/>
    <w:rsid w:val="003C2B24"/>
    <w:rsid w:val="003C39DB"/>
    <w:rsid w:val="003C410F"/>
    <w:rsid w:val="003C4C1B"/>
    <w:rsid w:val="003C6220"/>
    <w:rsid w:val="003C73AC"/>
    <w:rsid w:val="003D34D4"/>
    <w:rsid w:val="003D4DE2"/>
    <w:rsid w:val="003D5386"/>
    <w:rsid w:val="003D549A"/>
    <w:rsid w:val="003D6411"/>
    <w:rsid w:val="003D6AD1"/>
    <w:rsid w:val="003D6B39"/>
    <w:rsid w:val="003E0178"/>
    <w:rsid w:val="003E0296"/>
    <w:rsid w:val="003E18CF"/>
    <w:rsid w:val="003E3DDD"/>
    <w:rsid w:val="003E5B11"/>
    <w:rsid w:val="003E5FD4"/>
    <w:rsid w:val="003E6285"/>
    <w:rsid w:val="003E6501"/>
    <w:rsid w:val="003E6747"/>
    <w:rsid w:val="003E6929"/>
    <w:rsid w:val="003E7481"/>
    <w:rsid w:val="003F0E69"/>
    <w:rsid w:val="003F169E"/>
    <w:rsid w:val="003F1B16"/>
    <w:rsid w:val="003F30A5"/>
    <w:rsid w:val="003F4088"/>
    <w:rsid w:val="003F4D1D"/>
    <w:rsid w:val="003F54D8"/>
    <w:rsid w:val="003F77D9"/>
    <w:rsid w:val="003F78FB"/>
    <w:rsid w:val="003F7D61"/>
    <w:rsid w:val="003F7FD6"/>
    <w:rsid w:val="00401670"/>
    <w:rsid w:val="004030E1"/>
    <w:rsid w:val="0040451B"/>
    <w:rsid w:val="0040455C"/>
    <w:rsid w:val="00404C1C"/>
    <w:rsid w:val="004059FE"/>
    <w:rsid w:val="004067EA"/>
    <w:rsid w:val="004117A7"/>
    <w:rsid w:val="00411942"/>
    <w:rsid w:val="00411A30"/>
    <w:rsid w:val="00411F39"/>
    <w:rsid w:val="00412C62"/>
    <w:rsid w:val="0041360E"/>
    <w:rsid w:val="00414151"/>
    <w:rsid w:val="0041454B"/>
    <w:rsid w:val="00414943"/>
    <w:rsid w:val="00415B9F"/>
    <w:rsid w:val="00416CE4"/>
    <w:rsid w:val="00416DEA"/>
    <w:rsid w:val="00416EE3"/>
    <w:rsid w:val="00420331"/>
    <w:rsid w:val="00420E36"/>
    <w:rsid w:val="0042214C"/>
    <w:rsid w:val="004234B3"/>
    <w:rsid w:val="00423E2D"/>
    <w:rsid w:val="0042414B"/>
    <w:rsid w:val="00424A87"/>
    <w:rsid w:val="00424C66"/>
    <w:rsid w:val="004254AC"/>
    <w:rsid w:val="00425777"/>
    <w:rsid w:val="00426DE2"/>
    <w:rsid w:val="004276C6"/>
    <w:rsid w:val="0043014C"/>
    <w:rsid w:val="00430511"/>
    <w:rsid w:val="00431C9D"/>
    <w:rsid w:val="0043209F"/>
    <w:rsid w:val="0043488B"/>
    <w:rsid w:val="004357D6"/>
    <w:rsid w:val="00435B26"/>
    <w:rsid w:val="00435D3A"/>
    <w:rsid w:val="00435EF6"/>
    <w:rsid w:val="00436320"/>
    <w:rsid w:val="0043680D"/>
    <w:rsid w:val="0043755C"/>
    <w:rsid w:val="00437DBF"/>
    <w:rsid w:val="00440461"/>
    <w:rsid w:val="004404FA"/>
    <w:rsid w:val="0044194E"/>
    <w:rsid w:val="00442E92"/>
    <w:rsid w:val="00442F79"/>
    <w:rsid w:val="00443731"/>
    <w:rsid w:val="00443F8B"/>
    <w:rsid w:val="00444665"/>
    <w:rsid w:val="004446B2"/>
    <w:rsid w:val="00444F03"/>
    <w:rsid w:val="00445981"/>
    <w:rsid w:val="004463CE"/>
    <w:rsid w:val="004473CC"/>
    <w:rsid w:val="004509A5"/>
    <w:rsid w:val="00450BC2"/>
    <w:rsid w:val="00451107"/>
    <w:rsid w:val="004514E8"/>
    <w:rsid w:val="0045152D"/>
    <w:rsid w:val="004518C9"/>
    <w:rsid w:val="004520E5"/>
    <w:rsid w:val="00452322"/>
    <w:rsid w:val="004524C8"/>
    <w:rsid w:val="00453064"/>
    <w:rsid w:val="004531AF"/>
    <w:rsid w:val="00453475"/>
    <w:rsid w:val="0045415D"/>
    <w:rsid w:val="00454431"/>
    <w:rsid w:val="0045497F"/>
    <w:rsid w:val="004555B7"/>
    <w:rsid w:val="00455A74"/>
    <w:rsid w:val="00455D65"/>
    <w:rsid w:val="00456AA1"/>
    <w:rsid w:val="00457946"/>
    <w:rsid w:val="004600C8"/>
    <w:rsid w:val="0046019D"/>
    <w:rsid w:val="00460C2F"/>
    <w:rsid w:val="00462B32"/>
    <w:rsid w:val="00462BBE"/>
    <w:rsid w:val="0046421E"/>
    <w:rsid w:val="00465658"/>
    <w:rsid w:val="0046589A"/>
    <w:rsid w:val="0046646B"/>
    <w:rsid w:val="0046662A"/>
    <w:rsid w:val="004700E7"/>
    <w:rsid w:val="004713D9"/>
    <w:rsid w:val="00471AB2"/>
    <w:rsid w:val="00472722"/>
    <w:rsid w:val="00472D4E"/>
    <w:rsid w:val="00473774"/>
    <w:rsid w:val="00473A76"/>
    <w:rsid w:val="00473BA5"/>
    <w:rsid w:val="00473BBB"/>
    <w:rsid w:val="0047418B"/>
    <w:rsid w:val="0047725B"/>
    <w:rsid w:val="004777DB"/>
    <w:rsid w:val="004779C4"/>
    <w:rsid w:val="00480581"/>
    <w:rsid w:val="00482825"/>
    <w:rsid w:val="00482BC7"/>
    <w:rsid w:val="00482EA9"/>
    <w:rsid w:val="00483E71"/>
    <w:rsid w:val="00484F1B"/>
    <w:rsid w:val="004852D0"/>
    <w:rsid w:val="00485E1A"/>
    <w:rsid w:val="00486669"/>
    <w:rsid w:val="00486C05"/>
    <w:rsid w:val="0048781C"/>
    <w:rsid w:val="00487C42"/>
    <w:rsid w:val="004907FB"/>
    <w:rsid w:val="004916A3"/>
    <w:rsid w:val="00491A7A"/>
    <w:rsid w:val="00491CC1"/>
    <w:rsid w:val="004926D1"/>
    <w:rsid w:val="0049299C"/>
    <w:rsid w:val="0049301E"/>
    <w:rsid w:val="0049373A"/>
    <w:rsid w:val="0049399F"/>
    <w:rsid w:val="00494A7A"/>
    <w:rsid w:val="004958B1"/>
    <w:rsid w:val="00495A6D"/>
    <w:rsid w:val="00496468"/>
    <w:rsid w:val="00497120"/>
    <w:rsid w:val="00497226"/>
    <w:rsid w:val="004979FC"/>
    <w:rsid w:val="00497CAC"/>
    <w:rsid w:val="00497EFA"/>
    <w:rsid w:val="004A07B9"/>
    <w:rsid w:val="004A1800"/>
    <w:rsid w:val="004A201E"/>
    <w:rsid w:val="004A20B9"/>
    <w:rsid w:val="004A2237"/>
    <w:rsid w:val="004A2EC2"/>
    <w:rsid w:val="004A373D"/>
    <w:rsid w:val="004A3D57"/>
    <w:rsid w:val="004A4424"/>
    <w:rsid w:val="004A4A8C"/>
    <w:rsid w:val="004A5342"/>
    <w:rsid w:val="004A5B6C"/>
    <w:rsid w:val="004A77DE"/>
    <w:rsid w:val="004B0407"/>
    <w:rsid w:val="004B13CF"/>
    <w:rsid w:val="004B190B"/>
    <w:rsid w:val="004B2B1F"/>
    <w:rsid w:val="004B378D"/>
    <w:rsid w:val="004B37DC"/>
    <w:rsid w:val="004B4077"/>
    <w:rsid w:val="004B5619"/>
    <w:rsid w:val="004B5EE9"/>
    <w:rsid w:val="004B609F"/>
    <w:rsid w:val="004B6806"/>
    <w:rsid w:val="004B684E"/>
    <w:rsid w:val="004B6C1C"/>
    <w:rsid w:val="004B6D81"/>
    <w:rsid w:val="004B7305"/>
    <w:rsid w:val="004B7C90"/>
    <w:rsid w:val="004C0707"/>
    <w:rsid w:val="004C093A"/>
    <w:rsid w:val="004C0DA4"/>
    <w:rsid w:val="004C0F05"/>
    <w:rsid w:val="004C144D"/>
    <w:rsid w:val="004C1639"/>
    <w:rsid w:val="004C1929"/>
    <w:rsid w:val="004C215B"/>
    <w:rsid w:val="004C254E"/>
    <w:rsid w:val="004C27E4"/>
    <w:rsid w:val="004C2AD6"/>
    <w:rsid w:val="004C464E"/>
    <w:rsid w:val="004C4E34"/>
    <w:rsid w:val="004C5BFA"/>
    <w:rsid w:val="004C5EB3"/>
    <w:rsid w:val="004C6D30"/>
    <w:rsid w:val="004C75BE"/>
    <w:rsid w:val="004D21B2"/>
    <w:rsid w:val="004D2775"/>
    <w:rsid w:val="004D2782"/>
    <w:rsid w:val="004D3481"/>
    <w:rsid w:val="004D379F"/>
    <w:rsid w:val="004D3DA3"/>
    <w:rsid w:val="004D5C82"/>
    <w:rsid w:val="004D5F96"/>
    <w:rsid w:val="004D72F5"/>
    <w:rsid w:val="004E06A0"/>
    <w:rsid w:val="004E071F"/>
    <w:rsid w:val="004E0C93"/>
    <w:rsid w:val="004E106F"/>
    <w:rsid w:val="004E1098"/>
    <w:rsid w:val="004E1DFF"/>
    <w:rsid w:val="004E220E"/>
    <w:rsid w:val="004E2ECF"/>
    <w:rsid w:val="004E3D58"/>
    <w:rsid w:val="004E431B"/>
    <w:rsid w:val="004E46B2"/>
    <w:rsid w:val="004E4E2C"/>
    <w:rsid w:val="004E5293"/>
    <w:rsid w:val="004E5A83"/>
    <w:rsid w:val="004F08B1"/>
    <w:rsid w:val="004F0B18"/>
    <w:rsid w:val="004F1F47"/>
    <w:rsid w:val="004F26FB"/>
    <w:rsid w:val="004F31BC"/>
    <w:rsid w:val="004F32A2"/>
    <w:rsid w:val="004F4215"/>
    <w:rsid w:val="004F4373"/>
    <w:rsid w:val="004F484A"/>
    <w:rsid w:val="004F4C12"/>
    <w:rsid w:val="004F51D5"/>
    <w:rsid w:val="004F625C"/>
    <w:rsid w:val="00500909"/>
    <w:rsid w:val="005014FB"/>
    <w:rsid w:val="00501697"/>
    <w:rsid w:val="005017E8"/>
    <w:rsid w:val="00502A21"/>
    <w:rsid w:val="00505E91"/>
    <w:rsid w:val="00506987"/>
    <w:rsid w:val="00507B51"/>
    <w:rsid w:val="00510AD1"/>
    <w:rsid w:val="00511B57"/>
    <w:rsid w:val="00511CB7"/>
    <w:rsid w:val="00512150"/>
    <w:rsid w:val="005130CF"/>
    <w:rsid w:val="00513178"/>
    <w:rsid w:val="00513BBF"/>
    <w:rsid w:val="00513C6B"/>
    <w:rsid w:val="00515A38"/>
    <w:rsid w:val="00515E45"/>
    <w:rsid w:val="00517BE2"/>
    <w:rsid w:val="00517F75"/>
    <w:rsid w:val="005214E1"/>
    <w:rsid w:val="00523C46"/>
    <w:rsid w:val="0052406C"/>
    <w:rsid w:val="0052435D"/>
    <w:rsid w:val="00524822"/>
    <w:rsid w:val="00524B00"/>
    <w:rsid w:val="00524D4D"/>
    <w:rsid w:val="005258CF"/>
    <w:rsid w:val="005279B5"/>
    <w:rsid w:val="005306E5"/>
    <w:rsid w:val="00532167"/>
    <w:rsid w:val="00532643"/>
    <w:rsid w:val="00532F9A"/>
    <w:rsid w:val="00533059"/>
    <w:rsid w:val="005330C2"/>
    <w:rsid w:val="00533185"/>
    <w:rsid w:val="0053425E"/>
    <w:rsid w:val="0053470D"/>
    <w:rsid w:val="00535082"/>
    <w:rsid w:val="0053517D"/>
    <w:rsid w:val="005369E6"/>
    <w:rsid w:val="00536CC3"/>
    <w:rsid w:val="00537A0A"/>
    <w:rsid w:val="00537A91"/>
    <w:rsid w:val="00540273"/>
    <w:rsid w:val="00540434"/>
    <w:rsid w:val="005406BE"/>
    <w:rsid w:val="00542E65"/>
    <w:rsid w:val="00542EBE"/>
    <w:rsid w:val="005437C9"/>
    <w:rsid w:val="00543906"/>
    <w:rsid w:val="00543D59"/>
    <w:rsid w:val="00544802"/>
    <w:rsid w:val="00545186"/>
    <w:rsid w:val="005451FA"/>
    <w:rsid w:val="0054799D"/>
    <w:rsid w:val="00550417"/>
    <w:rsid w:val="00550AD2"/>
    <w:rsid w:val="00550C75"/>
    <w:rsid w:val="00550D58"/>
    <w:rsid w:val="00551592"/>
    <w:rsid w:val="005527D0"/>
    <w:rsid w:val="00553871"/>
    <w:rsid w:val="00553F22"/>
    <w:rsid w:val="00553F66"/>
    <w:rsid w:val="00554E75"/>
    <w:rsid w:val="00554F14"/>
    <w:rsid w:val="00555326"/>
    <w:rsid w:val="005553CD"/>
    <w:rsid w:val="00555BAA"/>
    <w:rsid w:val="005579D6"/>
    <w:rsid w:val="005600CE"/>
    <w:rsid w:val="00560BC6"/>
    <w:rsid w:val="0056186E"/>
    <w:rsid w:val="0056196B"/>
    <w:rsid w:val="00563CA8"/>
    <w:rsid w:val="005641F8"/>
    <w:rsid w:val="00564F47"/>
    <w:rsid w:val="005654B8"/>
    <w:rsid w:val="00565E58"/>
    <w:rsid w:val="00566CA2"/>
    <w:rsid w:val="0056703E"/>
    <w:rsid w:val="00567280"/>
    <w:rsid w:val="005673E6"/>
    <w:rsid w:val="005702B3"/>
    <w:rsid w:val="00570ACB"/>
    <w:rsid w:val="00570CC9"/>
    <w:rsid w:val="0057161C"/>
    <w:rsid w:val="00571C5A"/>
    <w:rsid w:val="005720B2"/>
    <w:rsid w:val="005731FA"/>
    <w:rsid w:val="00573332"/>
    <w:rsid w:val="005743AF"/>
    <w:rsid w:val="0057456C"/>
    <w:rsid w:val="00574CE7"/>
    <w:rsid w:val="00575809"/>
    <w:rsid w:val="00575EA4"/>
    <w:rsid w:val="00575F2C"/>
    <w:rsid w:val="00576B9C"/>
    <w:rsid w:val="00576BCF"/>
    <w:rsid w:val="00576F31"/>
    <w:rsid w:val="00577DEA"/>
    <w:rsid w:val="005807BB"/>
    <w:rsid w:val="005822E6"/>
    <w:rsid w:val="00582F4D"/>
    <w:rsid w:val="0058376D"/>
    <w:rsid w:val="00584051"/>
    <w:rsid w:val="0058427C"/>
    <w:rsid w:val="005860C0"/>
    <w:rsid w:val="0058617F"/>
    <w:rsid w:val="00586389"/>
    <w:rsid w:val="005866A3"/>
    <w:rsid w:val="005868CE"/>
    <w:rsid w:val="00587269"/>
    <w:rsid w:val="00587B68"/>
    <w:rsid w:val="00587CA3"/>
    <w:rsid w:val="00590EE9"/>
    <w:rsid w:val="00591009"/>
    <w:rsid w:val="005911F5"/>
    <w:rsid w:val="005918CD"/>
    <w:rsid w:val="00591E12"/>
    <w:rsid w:val="00592032"/>
    <w:rsid w:val="00592297"/>
    <w:rsid w:val="005923FE"/>
    <w:rsid w:val="005924A9"/>
    <w:rsid w:val="0059286A"/>
    <w:rsid w:val="00592B16"/>
    <w:rsid w:val="00592DAE"/>
    <w:rsid w:val="005934CA"/>
    <w:rsid w:val="0059360F"/>
    <w:rsid w:val="00593B68"/>
    <w:rsid w:val="00593DF6"/>
    <w:rsid w:val="00594E07"/>
    <w:rsid w:val="00594E14"/>
    <w:rsid w:val="00595D61"/>
    <w:rsid w:val="00596CF6"/>
    <w:rsid w:val="00597057"/>
    <w:rsid w:val="00597148"/>
    <w:rsid w:val="0059723C"/>
    <w:rsid w:val="005973F3"/>
    <w:rsid w:val="0059772B"/>
    <w:rsid w:val="00597754"/>
    <w:rsid w:val="005979BA"/>
    <w:rsid w:val="00597A82"/>
    <w:rsid w:val="00597E0E"/>
    <w:rsid w:val="005A003B"/>
    <w:rsid w:val="005A1D5A"/>
    <w:rsid w:val="005A28B0"/>
    <w:rsid w:val="005A2EB5"/>
    <w:rsid w:val="005A2F89"/>
    <w:rsid w:val="005A368A"/>
    <w:rsid w:val="005A398C"/>
    <w:rsid w:val="005A3B70"/>
    <w:rsid w:val="005A3FD8"/>
    <w:rsid w:val="005A4B44"/>
    <w:rsid w:val="005A4E23"/>
    <w:rsid w:val="005A69F0"/>
    <w:rsid w:val="005A7208"/>
    <w:rsid w:val="005A7CEA"/>
    <w:rsid w:val="005B0ED4"/>
    <w:rsid w:val="005B20E6"/>
    <w:rsid w:val="005B2335"/>
    <w:rsid w:val="005B2CEE"/>
    <w:rsid w:val="005B568D"/>
    <w:rsid w:val="005B6AB3"/>
    <w:rsid w:val="005B713C"/>
    <w:rsid w:val="005B77D0"/>
    <w:rsid w:val="005B7AE3"/>
    <w:rsid w:val="005B7CC7"/>
    <w:rsid w:val="005C06FF"/>
    <w:rsid w:val="005C090D"/>
    <w:rsid w:val="005C0BA6"/>
    <w:rsid w:val="005C140C"/>
    <w:rsid w:val="005C1BD9"/>
    <w:rsid w:val="005C1FFD"/>
    <w:rsid w:val="005C2D74"/>
    <w:rsid w:val="005C3310"/>
    <w:rsid w:val="005C36BB"/>
    <w:rsid w:val="005C36C2"/>
    <w:rsid w:val="005C4BD3"/>
    <w:rsid w:val="005C5B33"/>
    <w:rsid w:val="005C78AD"/>
    <w:rsid w:val="005C78CD"/>
    <w:rsid w:val="005D0171"/>
    <w:rsid w:val="005D05C4"/>
    <w:rsid w:val="005D0B27"/>
    <w:rsid w:val="005D0F2A"/>
    <w:rsid w:val="005D144C"/>
    <w:rsid w:val="005D20BD"/>
    <w:rsid w:val="005D30D3"/>
    <w:rsid w:val="005D3E49"/>
    <w:rsid w:val="005D517E"/>
    <w:rsid w:val="005D51AC"/>
    <w:rsid w:val="005D5220"/>
    <w:rsid w:val="005D5853"/>
    <w:rsid w:val="005D68F9"/>
    <w:rsid w:val="005D6E16"/>
    <w:rsid w:val="005D744E"/>
    <w:rsid w:val="005D79A4"/>
    <w:rsid w:val="005E00D6"/>
    <w:rsid w:val="005E0104"/>
    <w:rsid w:val="005E06A4"/>
    <w:rsid w:val="005E1229"/>
    <w:rsid w:val="005E152C"/>
    <w:rsid w:val="005E1ECB"/>
    <w:rsid w:val="005E21CB"/>
    <w:rsid w:val="005E297E"/>
    <w:rsid w:val="005E29B8"/>
    <w:rsid w:val="005E3D7B"/>
    <w:rsid w:val="005E45EA"/>
    <w:rsid w:val="005E5849"/>
    <w:rsid w:val="005E6809"/>
    <w:rsid w:val="005E6BF7"/>
    <w:rsid w:val="005E71AF"/>
    <w:rsid w:val="005E7944"/>
    <w:rsid w:val="005E7FD1"/>
    <w:rsid w:val="005F1C3C"/>
    <w:rsid w:val="005F3C63"/>
    <w:rsid w:val="005F3FA6"/>
    <w:rsid w:val="005F41D6"/>
    <w:rsid w:val="005F575D"/>
    <w:rsid w:val="005F6710"/>
    <w:rsid w:val="005F6F40"/>
    <w:rsid w:val="005F6F9D"/>
    <w:rsid w:val="005F7157"/>
    <w:rsid w:val="006006B1"/>
    <w:rsid w:val="00600A04"/>
    <w:rsid w:val="00601C15"/>
    <w:rsid w:val="00602842"/>
    <w:rsid w:val="00602ECA"/>
    <w:rsid w:val="006032C2"/>
    <w:rsid w:val="006056E6"/>
    <w:rsid w:val="00605F40"/>
    <w:rsid w:val="00606C51"/>
    <w:rsid w:val="00606E89"/>
    <w:rsid w:val="006100E7"/>
    <w:rsid w:val="006108D4"/>
    <w:rsid w:val="00610D1E"/>
    <w:rsid w:val="00611239"/>
    <w:rsid w:val="00612350"/>
    <w:rsid w:val="006126A6"/>
    <w:rsid w:val="006137D0"/>
    <w:rsid w:val="00613AD3"/>
    <w:rsid w:val="00613BEF"/>
    <w:rsid w:val="006148C7"/>
    <w:rsid w:val="006153F0"/>
    <w:rsid w:val="00615745"/>
    <w:rsid w:val="00615780"/>
    <w:rsid w:val="00615B8F"/>
    <w:rsid w:val="00616B57"/>
    <w:rsid w:val="006178B8"/>
    <w:rsid w:val="00617B5D"/>
    <w:rsid w:val="006207F4"/>
    <w:rsid w:val="00621696"/>
    <w:rsid w:val="00622478"/>
    <w:rsid w:val="006225BF"/>
    <w:rsid w:val="00622783"/>
    <w:rsid w:val="00622824"/>
    <w:rsid w:val="00622A4A"/>
    <w:rsid w:val="00622B9F"/>
    <w:rsid w:val="0062345E"/>
    <w:rsid w:val="006235B2"/>
    <w:rsid w:val="00624D74"/>
    <w:rsid w:val="006253F3"/>
    <w:rsid w:val="00625A9B"/>
    <w:rsid w:val="00625C41"/>
    <w:rsid w:val="006266C0"/>
    <w:rsid w:val="00627F01"/>
    <w:rsid w:val="0063084E"/>
    <w:rsid w:val="0063189C"/>
    <w:rsid w:val="00634A06"/>
    <w:rsid w:val="00635636"/>
    <w:rsid w:val="00635D59"/>
    <w:rsid w:val="006361C2"/>
    <w:rsid w:val="00636659"/>
    <w:rsid w:val="00636ACF"/>
    <w:rsid w:val="00636F3C"/>
    <w:rsid w:val="00637185"/>
    <w:rsid w:val="006372F9"/>
    <w:rsid w:val="00637E93"/>
    <w:rsid w:val="0064003C"/>
    <w:rsid w:val="00640E12"/>
    <w:rsid w:val="0064111F"/>
    <w:rsid w:val="006420A9"/>
    <w:rsid w:val="00642B77"/>
    <w:rsid w:val="00642C23"/>
    <w:rsid w:val="00642E5C"/>
    <w:rsid w:val="00644D5B"/>
    <w:rsid w:val="00644DD5"/>
    <w:rsid w:val="00645900"/>
    <w:rsid w:val="006460BC"/>
    <w:rsid w:val="0064729C"/>
    <w:rsid w:val="006474F0"/>
    <w:rsid w:val="006511D1"/>
    <w:rsid w:val="0065190A"/>
    <w:rsid w:val="00651F60"/>
    <w:rsid w:val="00652A1E"/>
    <w:rsid w:val="00652FD7"/>
    <w:rsid w:val="00653546"/>
    <w:rsid w:val="00653817"/>
    <w:rsid w:val="00653892"/>
    <w:rsid w:val="00655EB5"/>
    <w:rsid w:val="00657887"/>
    <w:rsid w:val="0066049B"/>
    <w:rsid w:val="0066078D"/>
    <w:rsid w:val="00660B97"/>
    <w:rsid w:val="00663A8D"/>
    <w:rsid w:val="00664608"/>
    <w:rsid w:val="00664932"/>
    <w:rsid w:val="00664F2D"/>
    <w:rsid w:val="006654FC"/>
    <w:rsid w:val="00666D27"/>
    <w:rsid w:val="00667BF6"/>
    <w:rsid w:val="00667F22"/>
    <w:rsid w:val="0067066A"/>
    <w:rsid w:val="00670E56"/>
    <w:rsid w:val="006711E7"/>
    <w:rsid w:val="00671208"/>
    <w:rsid w:val="006712A4"/>
    <w:rsid w:val="006719C7"/>
    <w:rsid w:val="00671FF5"/>
    <w:rsid w:val="00672107"/>
    <w:rsid w:val="006726B4"/>
    <w:rsid w:val="00672800"/>
    <w:rsid w:val="00672B0E"/>
    <w:rsid w:val="006761C5"/>
    <w:rsid w:val="00676912"/>
    <w:rsid w:val="00677A01"/>
    <w:rsid w:val="006820D6"/>
    <w:rsid w:val="006828B7"/>
    <w:rsid w:val="00682C52"/>
    <w:rsid w:val="006869CC"/>
    <w:rsid w:val="00687AF1"/>
    <w:rsid w:val="00687B2D"/>
    <w:rsid w:val="00690892"/>
    <w:rsid w:val="00690DCC"/>
    <w:rsid w:val="00691BC8"/>
    <w:rsid w:val="006923D9"/>
    <w:rsid w:val="006926DE"/>
    <w:rsid w:val="00692D89"/>
    <w:rsid w:val="00692F61"/>
    <w:rsid w:val="00693AAD"/>
    <w:rsid w:val="00693BA5"/>
    <w:rsid w:val="00694829"/>
    <w:rsid w:val="00694B06"/>
    <w:rsid w:val="0069553E"/>
    <w:rsid w:val="00695689"/>
    <w:rsid w:val="0069637C"/>
    <w:rsid w:val="00697A0A"/>
    <w:rsid w:val="006A125C"/>
    <w:rsid w:val="006A1400"/>
    <w:rsid w:val="006A141B"/>
    <w:rsid w:val="006A1D83"/>
    <w:rsid w:val="006A1FF2"/>
    <w:rsid w:val="006A277E"/>
    <w:rsid w:val="006A3840"/>
    <w:rsid w:val="006A5689"/>
    <w:rsid w:val="006A6176"/>
    <w:rsid w:val="006A61B9"/>
    <w:rsid w:val="006A6531"/>
    <w:rsid w:val="006A6745"/>
    <w:rsid w:val="006A6A3A"/>
    <w:rsid w:val="006B019D"/>
    <w:rsid w:val="006B4359"/>
    <w:rsid w:val="006B5635"/>
    <w:rsid w:val="006B6057"/>
    <w:rsid w:val="006B7334"/>
    <w:rsid w:val="006C156B"/>
    <w:rsid w:val="006C19F7"/>
    <w:rsid w:val="006C24E3"/>
    <w:rsid w:val="006C32AB"/>
    <w:rsid w:val="006C59A6"/>
    <w:rsid w:val="006C5BF8"/>
    <w:rsid w:val="006C61DD"/>
    <w:rsid w:val="006C759A"/>
    <w:rsid w:val="006D021B"/>
    <w:rsid w:val="006D0432"/>
    <w:rsid w:val="006D05CD"/>
    <w:rsid w:val="006D0A93"/>
    <w:rsid w:val="006D0FA0"/>
    <w:rsid w:val="006D1028"/>
    <w:rsid w:val="006D109A"/>
    <w:rsid w:val="006D28F6"/>
    <w:rsid w:val="006D3276"/>
    <w:rsid w:val="006D3B66"/>
    <w:rsid w:val="006D4791"/>
    <w:rsid w:val="006D547A"/>
    <w:rsid w:val="006D55EB"/>
    <w:rsid w:val="006D5667"/>
    <w:rsid w:val="006D5DD0"/>
    <w:rsid w:val="006D705A"/>
    <w:rsid w:val="006E098F"/>
    <w:rsid w:val="006E11FC"/>
    <w:rsid w:val="006E171E"/>
    <w:rsid w:val="006E2165"/>
    <w:rsid w:val="006E22EB"/>
    <w:rsid w:val="006E247A"/>
    <w:rsid w:val="006E2EA4"/>
    <w:rsid w:val="006E3040"/>
    <w:rsid w:val="006E323B"/>
    <w:rsid w:val="006E3C71"/>
    <w:rsid w:val="006E478E"/>
    <w:rsid w:val="006E4CA4"/>
    <w:rsid w:val="006E7132"/>
    <w:rsid w:val="006E74BA"/>
    <w:rsid w:val="006E77DA"/>
    <w:rsid w:val="006E7A7F"/>
    <w:rsid w:val="006E7A98"/>
    <w:rsid w:val="006F11C3"/>
    <w:rsid w:val="006F1B43"/>
    <w:rsid w:val="006F25AB"/>
    <w:rsid w:val="006F2A29"/>
    <w:rsid w:val="006F395C"/>
    <w:rsid w:val="006F3C31"/>
    <w:rsid w:val="006F3C3E"/>
    <w:rsid w:val="006F3F25"/>
    <w:rsid w:val="006F3F6F"/>
    <w:rsid w:val="006F419A"/>
    <w:rsid w:val="006F472D"/>
    <w:rsid w:val="006F47B9"/>
    <w:rsid w:val="006F47ED"/>
    <w:rsid w:val="006F5070"/>
    <w:rsid w:val="006F5464"/>
    <w:rsid w:val="006F5A51"/>
    <w:rsid w:val="006F5E1E"/>
    <w:rsid w:val="006F5FCB"/>
    <w:rsid w:val="006F62BB"/>
    <w:rsid w:val="006F7F68"/>
    <w:rsid w:val="00701654"/>
    <w:rsid w:val="00701D35"/>
    <w:rsid w:val="007020FB"/>
    <w:rsid w:val="007023CD"/>
    <w:rsid w:val="00702574"/>
    <w:rsid w:val="00703206"/>
    <w:rsid w:val="00703B8F"/>
    <w:rsid w:val="00705820"/>
    <w:rsid w:val="00705CC9"/>
    <w:rsid w:val="00707D26"/>
    <w:rsid w:val="00710B35"/>
    <w:rsid w:val="00716003"/>
    <w:rsid w:val="00716380"/>
    <w:rsid w:val="00720DE2"/>
    <w:rsid w:val="007216D3"/>
    <w:rsid w:val="00722E29"/>
    <w:rsid w:val="00723BFC"/>
    <w:rsid w:val="00723C5F"/>
    <w:rsid w:val="00723E19"/>
    <w:rsid w:val="00723E36"/>
    <w:rsid w:val="00723EE7"/>
    <w:rsid w:val="00724992"/>
    <w:rsid w:val="00724DDC"/>
    <w:rsid w:val="0072504B"/>
    <w:rsid w:val="0072585D"/>
    <w:rsid w:val="007259F3"/>
    <w:rsid w:val="00726FAC"/>
    <w:rsid w:val="00727239"/>
    <w:rsid w:val="0072744E"/>
    <w:rsid w:val="007274F0"/>
    <w:rsid w:val="00727D8D"/>
    <w:rsid w:val="00730390"/>
    <w:rsid w:val="0073083B"/>
    <w:rsid w:val="00730931"/>
    <w:rsid w:val="007309BB"/>
    <w:rsid w:val="007310F2"/>
    <w:rsid w:val="00731C08"/>
    <w:rsid w:val="0073239D"/>
    <w:rsid w:val="00732811"/>
    <w:rsid w:val="00732D89"/>
    <w:rsid w:val="007330D3"/>
    <w:rsid w:val="00733E5C"/>
    <w:rsid w:val="00734DA7"/>
    <w:rsid w:val="0073649A"/>
    <w:rsid w:val="00736A33"/>
    <w:rsid w:val="0073728D"/>
    <w:rsid w:val="00737658"/>
    <w:rsid w:val="00737920"/>
    <w:rsid w:val="00737C83"/>
    <w:rsid w:val="00740DE5"/>
    <w:rsid w:val="00741536"/>
    <w:rsid w:val="007419A3"/>
    <w:rsid w:val="00741EC8"/>
    <w:rsid w:val="00742CD3"/>
    <w:rsid w:val="00742FE4"/>
    <w:rsid w:val="00743330"/>
    <w:rsid w:val="00743BA2"/>
    <w:rsid w:val="007461DD"/>
    <w:rsid w:val="00746907"/>
    <w:rsid w:val="00747A52"/>
    <w:rsid w:val="00750D78"/>
    <w:rsid w:val="00750E3D"/>
    <w:rsid w:val="00751908"/>
    <w:rsid w:val="0075586B"/>
    <w:rsid w:val="00756708"/>
    <w:rsid w:val="00756B83"/>
    <w:rsid w:val="00757513"/>
    <w:rsid w:val="007576C4"/>
    <w:rsid w:val="00760427"/>
    <w:rsid w:val="00761560"/>
    <w:rsid w:val="00762CB2"/>
    <w:rsid w:val="007635BA"/>
    <w:rsid w:val="00763C96"/>
    <w:rsid w:val="00763F65"/>
    <w:rsid w:val="00764631"/>
    <w:rsid w:val="00764D6B"/>
    <w:rsid w:val="00765A90"/>
    <w:rsid w:val="00765B7D"/>
    <w:rsid w:val="00765B8F"/>
    <w:rsid w:val="007661BB"/>
    <w:rsid w:val="0076650C"/>
    <w:rsid w:val="00766B9D"/>
    <w:rsid w:val="00767AE9"/>
    <w:rsid w:val="00767B52"/>
    <w:rsid w:val="00771490"/>
    <w:rsid w:val="00771536"/>
    <w:rsid w:val="00771B4C"/>
    <w:rsid w:val="00771B69"/>
    <w:rsid w:val="00771C6F"/>
    <w:rsid w:val="00771D95"/>
    <w:rsid w:val="00771FE2"/>
    <w:rsid w:val="0077314D"/>
    <w:rsid w:val="00773644"/>
    <w:rsid w:val="00773C1C"/>
    <w:rsid w:val="00774B3E"/>
    <w:rsid w:val="0077534C"/>
    <w:rsid w:val="007753F0"/>
    <w:rsid w:val="007758F0"/>
    <w:rsid w:val="00777569"/>
    <w:rsid w:val="007813A8"/>
    <w:rsid w:val="00782BF0"/>
    <w:rsid w:val="007831EF"/>
    <w:rsid w:val="00783AEF"/>
    <w:rsid w:val="00783DA7"/>
    <w:rsid w:val="00784BEF"/>
    <w:rsid w:val="00785A4E"/>
    <w:rsid w:val="00785EA8"/>
    <w:rsid w:val="00786E41"/>
    <w:rsid w:val="00787B77"/>
    <w:rsid w:val="0079043C"/>
    <w:rsid w:val="007905DC"/>
    <w:rsid w:val="007911F0"/>
    <w:rsid w:val="00791C90"/>
    <w:rsid w:val="00791D9F"/>
    <w:rsid w:val="007922AA"/>
    <w:rsid w:val="00792E62"/>
    <w:rsid w:val="00793804"/>
    <w:rsid w:val="00794A4B"/>
    <w:rsid w:val="007951CA"/>
    <w:rsid w:val="00795395"/>
    <w:rsid w:val="00795A73"/>
    <w:rsid w:val="00795C9A"/>
    <w:rsid w:val="00796559"/>
    <w:rsid w:val="007A18D2"/>
    <w:rsid w:val="007A1EC6"/>
    <w:rsid w:val="007A200F"/>
    <w:rsid w:val="007A268C"/>
    <w:rsid w:val="007A3087"/>
    <w:rsid w:val="007A3306"/>
    <w:rsid w:val="007A4916"/>
    <w:rsid w:val="007A60B7"/>
    <w:rsid w:val="007A6824"/>
    <w:rsid w:val="007A6996"/>
    <w:rsid w:val="007A6FF0"/>
    <w:rsid w:val="007B24BD"/>
    <w:rsid w:val="007B28C1"/>
    <w:rsid w:val="007B2DC4"/>
    <w:rsid w:val="007B3561"/>
    <w:rsid w:val="007B46E4"/>
    <w:rsid w:val="007B525F"/>
    <w:rsid w:val="007B5F1F"/>
    <w:rsid w:val="007B6D47"/>
    <w:rsid w:val="007B72E6"/>
    <w:rsid w:val="007B742D"/>
    <w:rsid w:val="007C1FDA"/>
    <w:rsid w:val="007C20A1"/>
    <w:rsid w:val="007C24A5"/>
    <w:rsid w:val="007C3B21"/>
    <w:rsid w:val="007C492D"/>
    <w:rsid w:val="007C5517"/>
    <w:rsid w:val="007C603A"/>
    <w:rsid w:val="007C615B"/>
    <w:rsid w:val="007C63F4"/>
    <w:rsid w:val="007C76BD"/>
    <w:rsid w:val="007C7848"/>
    <w:rsid w:val="007C7DC3"/>
    <w:rsid w:val="007C7E04"/>
    <w:rsid w:val="007D012C"/>
    <w:rsid w:val="007D0745"/>
    <w:rsid w:val="007D1245"/>
    <w:rsid w:val="007D13C6"/>
    <w:rsid w:val="007D348D"/>
    <w:rsid w:val="007D3841"/>
    <w:rsid w:val="007D41B8"/>
    <w:rsid w:val="007D4B38"/>
    <w:rsid w:val="007D53EB"/>
    <w:rsid w:val="007D555E"/>
    <w:rsid w:val="007D63FA"/>
    <w:rsid w:val="007D68F7"/>
    <w:rsid w:val="007D766A"/>
    <w:rsid w:val="007D77C1"/>
    <w:rsid w:val="007D7FDD"/>
    <w:rsid w:val="007E0604"/>
    <w:rsid w:val="007E0CE2"/>
    <w:rsid w:val="007E0D8B"/>
    <w:rsid w:val="007E15AA"/>
    <w:rsid w:val="007E2018"/>
    <w:rsid w:val="007E2B8C"/>
    <w:rsid w:val="007E4843"/>
    <w:rsid w:val="007E5921"/>
    <w:rsid w:val="007E6276"/>
    <w:rsid w:val="007E7748"/>
    <w:rsid w:val="007E7E1B"/>
    <w:rsid w:val="007F0144"/>
    <w:rsid w:val="007F17CB"/>
    <w:rsid w:val="007F40B8"/>
    <w:rsid w:val="007F47B5"/>
    <w:rsid w:val="007F48E8"/>
    <w:rsid w:val="007F50D4"/>
    <w:rsid w:val="007F5290"/>
    <w:rsid w:val="007F5E5D"/>
    <w:rsid w:val="007F6443"/>
    <w:rsid w:val="007F657D"/>
    <w:rsid w:val="007F6F31"/>
    <w:rsid w:val="007F7F65"/>
    <w:rsid w:val="008009B8"/>
    <w:rsid w:val="00800FE1"/>
    <w:rsid w:val="00802667"/>
    <w:rsid w:val="008044E4"/>
    <w:rsid w:val="00804AB1"/>
    <w:rsid w:val="00805541"/>
    <w:rsid w:val="00806066"/>
    <w:rsid w:val="00806232"/>
    <w:rsid w:val="008067B3"/>
    <w:rsid w:val="00806AA5"/>
    <w:rsid w:val="008071F4"/>
    <w:rsid w:val="008101BD"/>
    <w:rsid w:val="00810EB1"/>
    <w:rsid w:val="008118A2"/>
    <w:rsid w:val="00811F09"/>
    <w:rsid w:val="0081243E"/>
    <w:rsid w:val="00812C70"/>
    <w:rsid w:val="0081367A"/>
    <w:rsid w:val="00813BFB"/>
    <w:rsid w:val="008146E3"/>
    <w:rsid w:val="00814C0C"/>
    <w:rsid w:val="00814ED7"/>
    <w:rsid w:val="00815FFC"/>
    <w:rsid w:val="008168A6"/>
    <w:rsid w:val="00816D6A"/>
    <w:rsid w:val="0081742E"/>
    <w:rsid w:val="00817535"/>
    <w:rsid w:val="008176F0"/>
    <w:rsid w:val="0082041E"/>
    <w:rsid w:val="008207D8"/>
    <w:rsid w:val="00821BFB"/>
    <w:rsid w:val="0082285B"/>
    <w:rsid w:val="008235F9"/>
    <w:rsid w:val="00823F7D"/>
    <w:rsid w:val="00824F08"/>
    <w:rsid w:val="00825ABB"/>
    <w:rsid w:val="00825D61"/>
    <w:rsid w:val="0082640F"/>
    <w:rsid w:val="0082647D"/>
    <w:rsid w:val="008275D6"/>
    <w:rsid w:val="00827781"/>
    <w:rsid w:val="00827B16"/>
    <w:rsid w:val="00827CE0"/>
    <w:rsid w:val="00830E25"/>
    <w:rsid w:val="0083228C"/>
    <w:rsid w:val="00832AF9"/>
    <w:rsid w:val="00832F37"/>
    <w:rsid w:val="008347E1"/>
    <w:rsid w:val="00835A6D"/>
    <w:rsid w:val="00835CEF"/>
    <w:rsid w:val="00835FE4"/>
    <w:rsid w:val="008362CD"/>
    <w:rsid w:val="008364E7"/>
    <w:rsid w:val="0083661E"/>
    <w:rsid w:val="00836F3B"/>
    <w:rsid w:val="00840E75"/>
    <w:rsid w:val="00840E76"/>
    <w:rsid w:val="00840ED1"/>
    <w:rsid w:val="00841282"/>
    <w:rsid w:val="00841668"/>
    <w:rsid w:val="0084191E"/>
    <w:rsid w:val="00841A96"/>
    <w:rsid w:val="00842FFE"/>
    <w:rsid w:val="0084330C"/>
    <w:rsid w:val="008435D6"/>
    <w:rsid w:val="00843E65"/>
    <w:rsid w:val="008440FA"/>
    <w:rsid w:val="00844B4F"/>
    <w:rsid w:val="00844C5D"/>
    <w:rsid w:val="008451BC"/>
    <w:rsid w:val="00845C6C"/>
    <w:rsid w:val="00845E86"/>
    <w:rsid w:val="00846A4C"/>
    <w:rsid w:val="00846A9F"/>
    <w:rsid w:val="008502BC"/>
    <w:rsid w:val="008514D1"/>
    <w:rsid w:val="0085178A"/>
    <w:rsid w:val="00851CC5"/>
    <w:rsid w:val="00851FDA"/>
    <w:rsid w:val="0085274E"/>
    <w:rsid w:val="00853088"/>
    <w:rsid w:val="00853B58"/>
    <w:rsid w:val="0085439A"/>
    <w:rsid w:val="008549D7"/>
    <w:rsid w:val="00854C07"/>
    <w:rsid w:val="008602B1"/>
    <w:rsid w:val="00860476"/>
    <w:rsid w:val="00860731"/>
    <w:rsid w:val="0086097D"/>
    <w:rsid w:val="008616E7"/>
    <w:rsid w:val="00861CFE"/>
    <w:rsid w:val="0086322A"/>
    <w:rsid w:val="00863360"/>
    <w:rsid w:val="00863820"/>
    <w:rsid w:val="0086630B"/>
    <w:rsid w:val="00867BD3"/>
    <w:rsid w:val="008703C2"/>
    <w:rsid w:val="008706B6"/>
    <w:rsid w:val="00870F85"/>
    <w:rsid w:val="00871A21"/>
    <w:rsid w:val="008730B5"/>
    <w:rsid w:val="008733A3"/>
    <w:rsid w:val="008739F0"/>
    <w:rsid w:val="00873D83"/>
    <w:rsid w:val="00875196"/>
    <w:rsid w:val="00876A67"/>
    <w:rsid w:val="00880FCB"/>
    <w:rsid w:val="0088174C"/>
    <w:rsid w:val="00881980"/>
    <w:rsid w:val="0088264A"/>
    <w:rsid w:val="00882890"/>
    <w:rsid w:val="00882F50"/>
    <w:rsid w:val="00883FE8"/>
    <w:rsid w:val="008844C2"/>
    <w:rsid w:val="00884AA8"/>
    <w:rsid w:val="00884B90"/>
    <w:rsid w:val="0088554E"/>
    <w:rsid w:val="00885737"/>
    <w:rsid w:val="0088633E"/>
    <w:rsid w:val="008900FB"/>
    <w:rsid w:val="00890D04"/>
    <w:rsid w:val="00892045"/>
    <w:rsid w:val="008926BE"/>
    <w:rsid w:val="008927B3"/>
    <w:rsid w:val="00892819"/>
    <w:rsid w:val="00892B5F"/>
    <w:rsid w:val="0089307F"/>
    <w:rsid w:val="00894016"/>
    <w:rsid w:val="00894121"/>
    <w:rsid w:val="008945F0"/>
    <w:rsid w:val="00896773"/>
    <w:rsid w:val="00896C3D"/>
    <w:rsid w:val="0089752D"/>
    <w:rsid w:val="00897539"/>
    <w:rsid w:val="008A0F9A"/>
    <w:rsid w:val="008A1E87"/>
    <w:rsid w:val="008A1EB7"/>
    <w:rsid w:val="008A2591"/>
    <w:rsid w:val="008A334C"/>
    <w:rsid w:val="008A3414"/>
    <w:rsid w:val="008A347C"/>
    <w:rsid w:val="008A3AED"/>
    <w:rsid w:val="008A3B00"/>
    <w:rsid w:val="008A4A9B"/>
    <w:rsid w:val="008A6931"/>
    <w:rsid w:val="008A6B77"/>
    <w:rsid w:val="008A71EF"/>
    <w:rsid w:val="008A7801"/>
    <w:rsid w:val="008A7C8D"/>
    <w:rsid w:val="008B07BD"/>
    <w:rsid w:val="008B1CD1"/>
    <w:rsid w:val="008B2C96"/>
    <w:rsid w:val="008B2DBE"/>
    <w:rsid w:val="008B2E36"/>
    <w:rsid w:val="008B3B0D"/>
    <w:rsid w:val="008B4AC7"/>
    <w:rsid w:val="008B4D8D"/>
    <w:rsid w:val="008B548A"/>
    <w:rsid w:val="008B5527"/>
    <w:rsid w:val="008B5693"/>
    <w:rsid w:val="008B5CF5"/>
    <w:rsid w:val="008B5DF2"/>
    <w:rsid w:val="008B64C7"/>
    <w:rsid w:val="008B6E94"/>
    <w:rsid w:val="008B757C"/>
    <w:rsid w:val="008B796A"/>
    <w:rsid w:val="008B7D41"/>
    <w:rsid w:val="008C0CC9"/>
    <w:rsid w:val="008C17DD"/>
    <w:rsid w:val="008C30CA"/>
    <w:rsid w:val="008C440A"/>
    <w:rsid w:val="008C51DC"/>
    <w:rsid w:val="008C5304"/>
    <w:rsid w:val="008C5497"/>
    <w:rsid w:val="008C59C5"/>
    <w:rsid w:val="008C5AA1"/>
    <w:rsid w:val="008C5DF4"/>
    <w:rsid w:val="008D00F6"/>
    <w:rsid w:val="008D0443"/>
    <w:rsid w:val="008D0822"/>
    <w:rsid w:val="008D0B68"/>
    <w:rsid w:val="008D2802"/>
    <w:rsid w:val="008D2E3A"/>
    <w:rsid w:val="008D41AE"/>
    <w:rsid w:val="008D5618"/>
    <w:rsid w:val="008D594C"/>
    <w:rsid w:val="008D61CD"/>
    <w:rsid w:val="008D6300"/>
    <w:rsid w:val="008D673D"/>
    <w:rsid w:val="008D6EB2"/>
    <w:rsid w:val="008D7850"/>
    <w:rsid w:val="008D7BDF"/>
    <w:rsid w:val="008E11E7"/>
    <w:rsid w:val="008E1EA6"/>
    <w:rsid w:val="008E38E5"/>
    <w:rsid w:val="008E4E28"/>
    <w:rsid w:val="008E6C0B"/>
    <w:rsid w:val="008F0ADD"/>
    <w:rsid w:val="008F1469"/>
    <w:rsid w:val="008F22A1"/>
    <w:rsid w:val="008F2DAB"/>
    <w:rsid w:val="008F3863"/>
    <w:rsid w:val="008F3A00"/>
    <w:rsid w:val="008F3B5F"/>
    <w:rsid w:val="008F4F15"/>
    <w:rsid w:val="008F5814"/>
    <w:rsid w:val="008F61BD"/>
    <w:rsid w:val="008F798C"/>
    <w:rsid w:val="00900A57"/>
    <w:rsid w:val="00901E35"/>
    <w:rsid w:val="00901FDA"/>
    <w:rsid w:val="00902207"/>
    <w:rsid w:val="00904106"/>
    <w:rsid w:val="0090473E"/>
    <w:rsid w:val="00905192"/>
    <w:rsid w:val="009056C7"/>
    <w:rsid w:val="009068CC"/>
    <w:rsid w:val="00906E7A"/>
    <w:rsid w:val="0090731C"/>
    <w:rsid w:val="00907D44"/>
    <w:rsid w:val="009102F6"/>
    <w:rsid w:val="00910866"/>
    <w:rsid w:val="00911107"/>
    <w:rsid w:val="00911181"/>
    <w:rsid w:val="0091271D"/>
    <w:rsid w:val="00912E7A"/>
    <w:rsid w:val="00914BF0"/>
    <w:rsid w:val="009151C2"/>
    <w:rsid w:val="00916461"/>
    <w:rsid w:val="00921140"/>
    <w:rsid w:val="009216F5"/>
    <w:rsid w:val="00921F7E"/>
    <w:rsid w:val="009229FE"/>
    <w:rsid w:val="00923950"/>
    <w:rsid w:val="00924AF4"/>
    <w:rsid w:val="00925BEE"/>
    <w:rsid w:val="009264AC"/>
    <w:rsid w:val="00927069"/>
    <w:rsid w:val="009273A8"/>
    <w:rsid w:val="009273B5"/>
    <w:rsid w:val="00930CE2"/>
    <w:rsid w:val="00932510"/>
    <w:rsid w:val="009330AE"/>
    <w:rsid w:val="009345EE"/>
    <w:rsid w:val="009346B4"/>
    <w:rsid w:val="00940C73"/>
    <w:rsid w:val="00940DB9"/>
    <w:rsid w:val="00941A59"/>
    <w:rsid w:val="00941C8F"/>
    <w:rsid w:val="0094209B"/>
    <w:rsid w:val="009423C8"/>
    <w:rsid w:val="00942732"/>
    <w:rsid w:val="0094283D"/>
    <w:rsid w:val="0094312E"/>
    <w:rsid w:val="00943218"/>
    <w:rsid w:val="00943F8A"/>
    <w:rsid w:val="009444C8"/>
    <w:rsid w:val="00944A69"/>
    <w:rsid w:val="00944C33"/>
    <w:rsid w:val="00944E1D"/>
    <w:rsid w:val="00946D34"/>
    <w:rsid w:val="00946E39"/>
    <w:rsid w:val="0094719E"/>
    <w:rsid w:val="009473D1"/>
    <w:rsid w:val="009478D6"/>
    <w:rsid w:val="00947A26"/>
    <w:rsid w:val="00950BC9"/>
    <w:rsid w:val="00951CEE"/>
    <w:rsid w:val="00951E3B"/>
    <w:rsid w:val="00951F31"/>
    <w:rsid w:val="0095238E"/>
    <w:rsid w:val="00952F35"/>
    <w:rsid w:val="00952FF7"/>
    <w:rsid w:val="009537E5"/>
    <w:rsid w:val="009540A3"/>
    <w:rsid w:val="0095528A"/>
    <w:rsid w:val="00955480"/>
    <w:rsid w:val="009561B1"/>
    <w:rsid w:val="00956A29"/>
    <w:rsid w:val="009614C7"/>
    <w:rsid w:val="00963869"/>
    <w:rsid w:val="00963BC7"/>
    <w:rsid w:val="00963E75"/>
    <w:rsid w:val="00964014"/>
    <w:rsid w:val="00964189"/>
    <w:rsid w:val="00965262"/>
    <w:rsid w:val="00965C38"/>
    <w:rsid w:val="00970C60"/>
    <w:rsid w:val="00971BC1"/>
    <w:rsid w:val="0097203A"/>
    <w:rsid w:val="0097217D"/>
    <w:rsid w:val="00972C7D"/>
    <w:rsid w:val="00974038"/>
    <w:rsid w:val="00974897"/>
    <w:rsid w:val="00974D1F"/>
    <w:rsid w:val="00975D58"/>
    <w:rsid w:val="00975EB7"/>
    <w:rsid w:val="00975F9B"/>
    <w:rsid w:val="0097613E"/>
    <w:rsid w:val="0097629F"/>
    <w:rsid w:val="00977BAA"/>
    <w:rsid w:val="00980002"/>
    <w:rsid w:val="0098064F"/>
    <w:rsid w:val="00980E58"/>
    <w:rsid w:val="009814EF"/>
    <w:rsid w:val="00981F07"/>
    <w:rsid w:val="0098434D"/>
    <w:rsid w:val="009843D0"/>
    <w:rsid w:val="00984855"/>
    <w:rsid w:val="00984F1E"/>
    <w:rsid w:val="00985675"/>
    <w:rsid w:val="009859A4"/>
    <w:rsid w:val="00986204"/>
    <w:rsid w:val="0098649A"/>
    <w:rsid w:val="00986845"/>
    <w:rsid w:val="00986DD9"/>
    <w:rsid w:val="00986E74"/>
    <w:rsid w:val="00987249"/>
    <w:rsid w:val="009873B9"/>
    <w:rsid w:val="00987F64"/>
    <w:rsid w:val="00990A48"/>
    <w:rsid w:val="00990B64"/>
    <w:rsid w:val="009912A5"/>
    <w:rsid w:val="009913C0"/>
    <w:rsid w:val="009922EC"/>
    <w:rsid w:val="009924B2"/>
    <w:rsid w:val="00992787"/>
    <w:rsid w:val="00992837"/>
    <w:rsid w:val="009929E9"/>
    <w:rsid w:val="00992BB2"/>
    <w:rsid w:val="00993418"/>
    <w:rsid w:val="00993456"/>
    <w:rsid w:val="00993796"/>
    <w:rsid w:val="00993806"/>
    <w:rsid w:val="00993D41"/>
    <w:rsid w:val="00994774"/>
    <w:rsid w:val="0099625B"/>
    <w:rsid w:val="00996D85"/>
    <w:rsid w:val="00997177"/>
    <w:rsid w:val="00997912"/>
    <w:rsid w:val="00997956"/>
    <w:rsid w:val="00997C1B"/>
    <w:rsid w:val="00997C6F"/>
    <w:rsid w:val="009A0EAC"/>
    <w:rsid w:val="009A2A5D"/>
    <w:rsid w:val="009A2AEC"/>
    <w:rsid w:val="009A4EFA"/>
    <w:rsid w:val="009A7384"/>
    <w:rsid w:val="009B2C8A"/>
    <w:rsid w:val="009B3C6A"/>
    <w:rsid w:val="009B53BE"/>
    <w:rsid w:val="009B7EF2"/>
    <w:rsid w:val="009C0CD1"/>
    <w:rsid w:val="009C1458"/>
    <w:rsid w:val="009C2C4F"/>
    <w:rsid w:val="009C2D7E"/>
    <w:rsid w:val="009C313C"/>
    <w:rsid w:val="009C32D5"/>
    <w:rsid w:val="009C4170"/>
    <w:rsid w:val="009C4EEF"/>
    <w:rsid w:val="009C50B9"/>
    <w:rsid w:val="009D047A"/>
    <w:rsid w:val="009D0AD7"/>
    <w:rsid w:val="009D0C08"/>
    <w:rsid w:val="009D1DFD"/>
    <w:rsid w:val="009D20DB"/>
    <w:rsid w:val="009D2DEB"/>
    <w:rsid w:val="009D37A3"/>
    <w:rsid w:val="009D3ACB"/>
    <w:rsid w:val="009D4B0C"/>
    <w:rsid w:val="009D5269"/>
    <w:rsid w:val="009D5582"/>
    <w:rsid w:val="009D79E5"/>
    <w:rsid w:val="009D7AB0"/>
    <w:rsid w:val="009D7D6A"/>
    <w:rsid w:val="009E00EC"/>
    <w:rsid w:val="009E040F"/>
    <w:rsid w:val="009E0FA2"/>
    <w:rsid w:val="009E1001"/>
    <w:rsid w:val="009E1054"/>
    <w:rsid w:val="009E15C9"/>
    <w:rsid w:val="009E2416"/>
    <w:rsid w:val="009E252C"/>
    <w:rsid w:val="009E2B70"/>
    <w:rsid w:val="009E381F"/>
    <w:rsid w:val="009E4062"/>
    <w:rsid w:val="009E49E6"/>
    <w:rsid w:val="009E4E8B"/>
    <w:rsid w:val="009E6022"/>
    <w:rsid w:val="009E616D"/>
    <w:rsid w:val="009E69C2"/>
    <w:rsid w:val="009F03C9"/>
    <w:rsid w:val="009F16E0"/>
    <w:rsid w:val="009F206B"/>
    <w:rsid w:val="009F2E6D"/>
    <w:rsid w:val="009F357D"/>
    <w:rsid w:val="009F3A2F"/>
    <w:rsid w:val="009F45EF"/>
    <w:rsid w:val="009F4C63"/>
    <w:rsid w:val="009F51A3"/>
    <w:rsid w:val="009F5401"/>
    <w:rsid w:val="009F61BC"/>
    <w:rsid w:val="009F6FDE"/>
    <w:rsid w:val="009F7A7D"/>
    <w:rsid w:val="00A00015"/>
    <w:rsid w:val="00A00114"/>
    <w:rsid w:val="00A0109F"/>
    <w:rsid w:val="00A01361"/>
    <w:rsid w:val="00A014C9"/>
    <w:rsid w:val="00A03199"/>
    <w:rsid w:val="00A035F9"/>
    <w:rsid w:val="00A03B35"/>
    <w:rsid w:val="00A04082"/>
    <w:rsid w:val="00A04276"/>
    <w:rsid w:val="00A053C8"/>
    <w:rsid w:val="00A06532"/>
    <w:rsid w:val="00A100B0"/>
    <w:rsid w:val="00A10950"/>
    <w:rsid w:val="00A10C86"/>
    <w:rsid w:val="00A11E94"/>
    <w:rsid w:val="00A126DB"/>
    <w:rsid w:val="00A12BFC"/>
    <w:rsid w:val="00A13387"/>
    <w:rsid w:val="00A13F4C"/>
    <w:rsid w:val="00A13F4D"/>
    <w:rsid w:val="00A1437D"/>
    <w:rsid w:val="00A15456"/>
    <w:rsid w:val="00A15864"/>
    <w:rsid w:val="00A15EF0"/>
    <w:rsid w:val="00A162FC"/>
    <w:rsid w:val="00A165D8"/>
    <w:rsid w:val="00A16F3C"/>
    <w:rsid w:val="00A17A6E"/>
    <w:rsid w:val="00A20872"/>
    <w:rsid w:val="00A209AB"/>
    <w:rsid w:val="00A20E09"/>
    <w:rsid w:val="00A224AA"/>
    <w:rsid w:val="00A22623"/>
    <w:rsid w:val="00A22B7B"/>
    <w:rsid w:val="00A230BB"/>
    <w:rsid w:val="00A23267"/>
    <w:rsid w:val="00A237BE"/>
    <w:rsid w:val="00A25FA8"/>
    <w:rsid w:val="00A261A1"/>
    <w:rsid w:val="00A265D4"/>
    <w:rsid w:val="00A27A7B"/>
    <w:rsid w:val="00A3039F"/>
    <w:rsid w:val="00A30639"/>
    <w:rsid w:val="00A32090"/>
    <w:rsid w:val="00A32F30"/>
    <w:rsid w:val="00A33312"/>
    <w:rsid w:val="00A3375C"/>
    <w:rsid w:val="00A33DBE"/>
    <w:rsid w:val="00A3527A"/>
    <w:rsid w:val="00A35F3A"/>
    <w:rsid w:val="00A365AE"/>
    <w:rsid w:val="00A3717E"/>
    <w:rsid w:val="00A37301"/>
    <w:rsid w:val="00A40328"/>
    <w:rsid w:val="00A411C0"/>
    <w:rsid w:val="00A41B7E"/>
    <w:rsid w:val="00A421F2"/>
    <w:rsid w:val="00A43204"/>
    <w:rsid w:val="00A434C4"/>
    <w:rsid w:val="00A443CC"/>
    <w:rsid w:val="00A445D8"/>
    <w:rsid w:val="00A44CF5"/>
    <w:rsid w:val="00A45812"/>
    <w:rsid w:val="00A45BE7"/>
    <w:rsid w:val="00A50581"/>
    <w:rsid w:val="00A528DD"/>
    <w:rsid w:val="00A529D8"/>
    <w:rsid w:val="00A529F7"/>
    <w:rsid w:val="00A52D1B"/>
    <w:rsid w:val="00A53236"/>
    <w:rsid w:val="00A54931"/>
    <w:rsid w:val="00A55043"/>
    <w:rsid w:val="00A55974"/>
    <w:rsid w:val="00A55AEE"/>
    <w:rsid w:val="00A55EA7"/>
    <w:rsid w:val="00A571ED"/>
    <w:rsid w:val="00A578F8"/>
    <w:rsid w:val="00A57AB0"/>
    <w:rsid w:val="00A57BA6"/>
    <w:rsid w:val="00A6096D"/>
    <w:rsid w:val="00A61C17"/>
    <w:rsid w:val="00A62934"/>
    <w:rsid w:val="00A62A00"/>
    <w:rsid w:val="00A63E74"/>
    <w:rsid w:val="00A641BD"/>
    <w:rsid w:val="00A6499E"/>
    <w:rsid w:val="00A6521E"/>
    <w:rsid w:val="00A67633"/>
    <w:rsid w:val="00A677BE"/>
    <w:rsid w:val="00A67CA8"/>
    <w:rsid w:val="00A7120C"/>
    <w:rsid w:val="00A7181F"/>
    <w:rsid w:val="00A71D82"/>
    <w:rsid w:val="00A73487"/>
    <w:rsid w:val="00A7373B"/>
    <w:rsid w:val="00A73CAD"/>
    <w:rsid w:val="00A743E7"/>
    <w:rsid w:val="00A74D2C"/>
    <w:rsid w:val="00A74EE8"/>
    <w:rsid w:val="00A750B6"/>
    <w:rsid w:val="00A751C5"/>
    <w:rsid w:val="00A75A4B"/>
    <w:rsid w:val="00A76234"/>
    <w:rsid w:val="00A76975"/>
    <w:rsid w:val="00A7714C"/>
    <w:rsid w:val="00A77754"/>
    <w:rsid w:val="00A7788C"/>
    <w:rsid w:val="00A80AB1"/>
    <w:rsid w:val="00A819EB"/>
    <w:rsid w:val="00A830A4"/>
    <w:rsid w:val="00A8321D"/>
    <w:rsid w:val="00A843A1"/>
    <w:rsid w:val="00A843BF"/>
    <w:rsid w:val="00A846ED"/>
    <w:rsid w:val="00A855F8"/>
    <w:rsid w:val="00A85664"/>
    <w:rsid w:val="00A85CA2"/>
    <w:rsid w:val="00A8632A"/>
    <w:rsid w:val="00A864EB"/>
    <w:rsid w:val="00A86FFE"/>
    <w:rsid w:val="00A87536"/>
    <w:rsid w:val="00A901A5"/>
    <w:rsid w:val="00A91610"/>
    <w:rsid w:val="00A91864"/>
    <w:rsid w:val="00A92280"/>
    <w:rsid w:val="00A92526"/>
    <w:rsid w:val="00A92CA7"/>
    <w:rsid w:val="00A92D66"/>
    <w:rsid w:val="00A9302A"/>
    <w:rsid w:val="00A93429"/>
    <w:rsid w:val="00A93A58"/>
    <w:rsid w:val="00A94766"/>
    <w:rsid w:val="00A94C1B"/>
    <w:rsid w:val="00A94FCD"/>
    <w:rsid w:val="00A94FE0"/>
    <w:rsid w:val="00A95106"/>
    <w:rsid w:val="00A956BD"/>
    <w:rsid w:val="00A95E28"/>
    <w:rsid w:val="00A96B89"/>
    <w:rsid w:val="00A96DD8"/>
    <w:rsid w:val="00A97AEA"/>
    <w:rsid w:val="00A97B54"/>
    <w:rsid w:val="00A97E8F"/>
    <w:rsid w:val="00AA1480"/>
    <w:rsid w:val="00AA26E7"/>
    <w:rsid w:val="00AA2A9D"/>
    <w:rsid w:val="00AA2D6B"/>
    <w:rsid w:val="00AA35D9"/>
    <w:rsid w:val="00AA5016"/>
    <w:rsid w:val="00AA5017"/>
    <w:rsid w:val="00AA54F0"/>
    <w:rsid w:val="00AA5910"/>
    <w:rsid w:val="00AA688B"/>
    <w:rsid w:val="00AA6B7A"/>
    <w:rsid w:val="00AA6F63"/>
    <w:rsid w:val="00AB08D1"/>
    <w:rsid w:val="00AB0EEC"/>
    <w:rsid w:val="00AB2093"/>
    <w:rsid w:val="00AB3E38"/>
    <w:rsid w:val="00AB43FD"/>
    <w:rsid w:val="00AB55F5"/>
    <w:rsid w:val="00AB5AA2"/>
    <w:rsid w:val="00AB5AE2"/>
    <w:rsid w:val="00AB5BD3"/>
    <w:rsid w:val="00AB5F69"/>
    <w:rsid w:val="00AB6064"/>
    <w:rsid w:val="00AB62CE"/>
    <w:rsid w:val="00AB6856"/>
    <w:rsid w:val="00AB6E58"/>
    <w:rsid w:val="00AB77F7"/>
    <w:rsid w:val="00AB7E11"/>
    <w:rsid w:val="00AC13F4"/>
    <w:rsid w:val="00AC2975"/>
    <w:rsid w:val="00AC3756"/>
    <w:rsid w:val="00AC420E"/>
    <w:rsid w:val="00AC5065"/>
    <w:rsid w:val="00AC5247"/>
    <w:rsid w:val="00AC57E9"/>
    <w:rsid w:val="00AC645E"/>
    <w:rsid w:val="00AC6EFC"/>
    <w:rsid w:val="00AC717F"/>
    <w:rsid w:val="00AC78FA"/>
    <w:rsid w:val="00AD27AC"/>
    <w:rsid w:val="00AD3835"/>
    <w:rsid w:val="00AD4339"/>
    <w:rsid w:val="00AD4A76"/>
    <w:rsid w:val="00AD5854"/>
    <w:rsid w:val="00AD5936"/>
    <w:rsid w:val="00AD5FBA"/>
    <w:rsid w:val="00AD777A"/>
    <w:rsid w:val="00AE087E"/>
    <w:rsid w:val="00AE0B43"/>
    <w:rsid w:val="00AE1FA1"/>
    <w:rsid w:val="00AE2A92"/>
    <w:rsid w:val="00AE5070"/>
    <w:rsid w:val="00AE52A9"/>
    <w:rsid w:val="00AE63BB"/>
    <w:rsid w:val="00AE73FA"/>
    <w:rsid w:val="00AE75BF"/>
    <w:rsid w:val="00AF0208"/>
    <w:rsid w:val="00AF1251"/>
    <w:rsid w:val="00AF1D7E"/>
    <w:rsid w:val="00AF1DDF"/>
    <w:rsid w:val="00AF247C"/>
    <w:rsid w:val="00AF2746"/>
    <w:rsid w:val="00AF4194"/>
    <w:rsid w:val="00AF4DCB"/>
    <w:rsid w:val="00AF6046"/>
    <w:rsid w:val="00AF6250"/>
    <w:rsid w:val="00AF660D"/>
    <w:rsid w:val="00AF66F4"/>
    <w:rsid w:val="00AF705E"/>
    <w:rsid w:val="00B004A9"/>
    <w:rsid w:val="00B00943"/>
    <w:rsid w:val="00B00BC0"/>
    <w:rsid w:val="00B00BF1"/>
    <w:rsid w:val="00B014EA"/>
    <w:rsid w:val="00B01F26"/>
    <w:rsid w:val="00B025AA"/>
    <w:rsid w:val="00B02D05"/>
    <w:rsid w:val="00B030B3"/>
    <w:rsid w:val="00B030C2"/>
    <w:rsid w:val="00B0371C"/>
    <w:rsid w:val="00B0388F"/>
    <w:rsid w:val="00B04160"/>
    <w:rsid w:val="00B04815"/>
    <w:rsid w:val="00B04C28"/>
    <w:rsid w:val="00B05531"/>
    <w:rsid w:val="00B05B10"/>
    <w:rsid w:val="00B072D9"/>
    <w:rsid w:val="00B076B3"/>
    <w:rsid w:val="00B10565"/>
    <w:rsid w:val="00B1056C"/>
    <w:rsid w:val="00B10E88"/>
    <w:rsid w:val="00B1228D"/>
    <w:rsid w:val="00B124E3"/>
    <w:rsid w:val="00B1292C"/>
    <w:rsid w:val="00B14C34"/>
    <w:rsid w:val="00B155C7"/>
    <w:rsid w:val="00B161EF"/>
    <w:rsid w:val="00B16E4E"/>
    <w:rsid w:val="00B176DF"/>
    <w:rsid w:val="00B17AC8"/>
    <w:rsid w:val="00B20392"/>
    <w:rsid w:val="00B2039E"/>
    <w:rsid w:val="00B2151C"/>
    <w:rsid w:val="00B21C50"/>
    <w:rsid w:val="00B21D6D"/>
    <w:rsid w:val="00B223AB"/>
    <w:rsid w:val="00B2285E"/>
    <w:rsid w:val="00B22B1A"/>
    <w:rsid w:val="00B22C03"/>
    <w:rsid w:val="00B22D68"/>
    <w:rsid w:val="00B22F70"/>
    <w:rsid w:val="00B2385C"/>
    <w:rsid w:val="00B23DC6"/>
    <w:rsid w:val="00B24298"/>
    <w:rsid w:val="00B2432F"/>
    <w:rsid w:val="00B24733"/>
    <w:rsid w:val="00B249E5"/>
    <w:rsid w:val="00B2553B"/>
    <w:rsid w:val="00B25576"/>
    <w:rsid w:val="00B2596D"/>
    <w:rsid w:val="00B259CE"/>
    <w:rsid w:val="00B25EFB"/>
    <w:rsid w:val="00B261CD"/>
    <w:rsid w:val="00B2665C"/>
    <w:rsid w:val="00B26893"/>
    <w:rsid w:val="00B26A6D"/>
    <w:rsid w:val="00B2727B"/>
    <w:rsid w:val="00B30BA3"/>
    <w:rsid w:val="00B30BED"/>
    <w:rsid w:val="00B311D3"/>
    <w:rsid w:val="00B31246"/>
    <w:rsid w:val="00B31837"/>
    <w:rsid w:val="00B318F9"/>
    <w:rsid w:val="00B32669"/>
    <w:rsid w:val="00B337E3"/>
    <w:rsid w:val="00B33C33"/>
    <w:rsid w:val="00B33E07"/>
    <w:rsid w:val="00B3491E"/>
    <w:rsid w:val="00B35091"/>
    <w:rsid w:val="00B357FD"/>
    <w:rsid w:val="00B41D76"/>
    <w:rsid w:val="00B4321A"/>
    <w:rsid w:val="00B432BE"/>
    <w:rsid w:val="00B44CA3"/>
    <w:rsid w:val="00B44F0C"/>
    <w:rsid w:val="00B464F6"/>
    <w:rsid w:val="00B46E23"/>
    <w:rsid w:val="00B470BF"/>
    <w:rsid w:val="00B47EB6"/>
    <w:rsid w:val="00B509E0"/>
    <w:rsid w:val="00B526CA"/>
    <w:rsid w:val="00B526FE"/>
    <w:rsid w:val="00B53D5C"/>
    <w:rsid w:val="00B54103"/>
    <w:rsid w:val="00B5457C"/>
    <w:rsid w:val="00B545A6"/>
    <w:rsid w:val="00B5512A"/>
    <w:rsid w:val="00B559E7"/>
    <w:rsid w:val="00B5679B"/>
    <w:rsid w:val="00B5738E"/>
    <w:rsid w:val="00B57637"/>
    <w:rsid w:val="00B604E0"/>
    <w:rsid w:val="00B61F89"/>
    <w:rsid w:val="00B6233B"/>
    <w:rsid w:val="00B6292F"/>
    <w:rsid w:val="00B6327C"/>
    <w:rsid w:val="00B63579"/>
    <w:rsid w:val="00B65067"/>
    <w:rsid w:val="00B6506C"/>
    <w:rsid w:val="00B65C38"/>
    <w:rsid w:val="00B66512"/>
    <w:rsid w:val="00B668D0"/>
    <w:rsid w:val="00B669F7"/>
    <w:rsid w:val="00B674C5"/>
    <w:rsid w:val="00B67FF3"/>
    <w:rsid w:val="00B7059F"/>
    <w:rsid w:val="00B70A29"/>
    <w:rsid w:val="00B71828"/>
    <w:rsid w:val="00B71F21"/>
    <w:rsid w:val="00B72938"/>
    <w:rsid w:val="00B767E2"/>
    <w:rsid w:val="00B76BB1"/>
    <w:rsid w:val="00B77050"/>
    <w:rsid w:val="00B8003A"/>
    <w:rsid w:val="00B80041"/>
    <w:rsid w:val="00B80D13"/>
    <w:rsid w:val="00B810D7"/>
    <w:rsid w:val="00B813A8"/>
    <w:rsid w:val="00B820EB"/>
    <w:rsid w:val="00B8246D"/>
    <w:rsid w:val="00B82518"/>
    <w:rsid w:val="00B8345C"/>
    <w:rsid w:val="00B8353A"/>
    <w:rsid w:val="00B837DB"/>
    <w:rsid w:val="00B849C9"/>
    <w:rsid w:val="00B84A7B"/>
    <w:rsid w:val="00B84CC5"/>
    <w:rsid w:val="00B84F2D"/>
    <w:rsid w:val="00B8660B"/>
    <w:rsid w:val="00B86E8C"/>
    <w:rsid w:val="00B871CC"/>
    <w:rsid w:val="00B87DAA"/>
    <w:rsid w:val="00B87FD2"/>
    <w:rsid w:val="00B9003E"/>
    <w:rsid w:val="00B91180"/>
    <w:rsid w:val="00B91412"/>
    <w:rsid w:val="00B91919"/>
    <w:rsid w:val="00B92023"/>
    <w:rsid w:val="00B92080"/>
    <w:rsid w:val="00B93074"/>
    <w:rsid w:val="00B93191"/>
    <w:rsid w:val="00B947F9"/>
    <w:rsid w:val="00B94998"/>
    <w:rsid w:val="00B955E1"/>
    <w:rsid w:val="00B955F7"/>
    <w:rsid w:val="00B95AF7"/>
    <w:rsid w:val="00B95E85"/>
    <w:rsid w:val="00B96BEC"/>
    <w:rsid w:val="00B9732B"/>
    <w:rsid w:val="00B97577"/>
    <w:rsid w:val="00B978E5"/>
    <w:rsid w:val="00B9790D"/>
    <w:rsid w:val="00BA0286"/>
    <w:rsid w:val="00BA0846"/>
    <w:rsid w:val="00BA1E57"/>
    <w:rsid w:val="00BA269D"/>
    <w:rsid w:val="00BA2CA9"/>
    <w:rsid w:val="00BA32EC"/>
    <w:rsid w:val="00BA3E30"/>
    <w:rsid w:val="00BA41AC"/>
    <w:rsid w:val="00BA4C27"/>
    <w:rsid w:val="00BA53E2"/>
    <w:rsid w:val="00BA53F3"/>
    <w:rsid w:val="00BA57C9"/>
    <w:rsid w:val="00BA5D5B"/>
    <w:rsid w:val="00BA687C"/>
    <w:rsid w:val="00BA747D"/>
    <w:rsid w:val="00BA7A30"/>
    <w:rsid w:val="00BB08A8"/>
    <w:rsid w:val="00BB0B06"/>
    <w:rsid w:val="00BB1DCB"/>
    <w:rsid w:val="00BB25ED"/>
    <w:rsid w:val="00BB2D81"/>
    <w:rsid w:val="00BB3160"/>
    <w:rsid w:val="00BB3551"/>
    <w:rsid w:val="00BB37B1"/>
    <w:rsid w:val="00BB5736"/>
    <w:rsid w:val="00BB62B6"/>
    <w:rsid w:val="00BB7070"/>
    <w:rsid w:val="00BB76CA"/>
    <w:rsid w:val="00BB77BB"/>
    <w:rsid w:val="00BB78D8"/>
    <w:rsid w:val="00BC0C44"/>
    <w:rsid w:val="00BC189A"/>
    <w:rsid w:val="00BC284F"/>
    <w:rsid w:val="00BC2E60"/>
    <w:rsid w:val="00BC2F19"/>
    <w:rsid w:val="00BC3BDE"/>
    <w:rsid w:val="00BC51CD"/>
    <w:rsid w:val="00BC5421"/>
    <w:rsid w:val="00BC60C3"/>
    <w:rsid w:val="00BC7064"/>
    <w:rsid w:val="00BC7AE5"/>
    <w:rsid w:val="00BD0850"/>
    <w:rsid w:val="00BD08A3"/>
    <w:rsid w:val="00BD21A0"/>
    <w:rsid w:val="00BD298E"/>
    <w:rsid w:val="00BD2A44"/>
    <w:rsid w:val="00BD4312"/>
    <w:rsid w:val="00BD516D"/>
    <w:rsid w:val="00BD51E8"/>
    <w:rsid w:val="00BD6334"/>
    <w:rsid w:val="00BD6848"/>
    <w:rsid w:val="00BD6A5D"/>
    <w:rsid w:val="00BD7E72"/>
    <w:rsid w:val="00BE25E8"/>
    <w:rsid w:val="00BE382C"/>
    <w:rsid w:val="00BE469D"/>
    <w:rsid w:val="00BE51B7"/>
    <w:rsid w:val="00BE5324"/>
    <w:rsid w:val="00BE581D"/>
    <w:rsid w:val="00BE5C9C"/>
    <w:rsid w:val="00BE6895"/>
    <w:rsid w:val="00BE6FA8"/>
    <w:rsid w:val="00BE7954"/>
    <w:rsid w:val="00BF01D8"/>
    <w:rsid w:val="00BF069E"/>
    <w:rsid w:val="00BF1E49"/>
    <w:rsid w:val="00BF2D73"/>
    <w:rsid w:val="00BF2F3E"/>
    <w:rsid w:val="00BF311F"/>
    <w:rsid w:val="00BF3F48"/>
    <w:rsid w:val="00BF5543"/>
    <w:rsid w:val="00BF5550"/>
    <w:rsid w:val="00BF5A7F"/>
    <w:rsid w:val="00BF5C4E"/>
    <w:rsid w:val="00BF60A4"/>
    <w:rsid w:val="00BF7067"/>
    <w:rsid w:val="00BF730E"/>
    <w:rsid w:val="00C0008F"/>
    <w:rsid w:val="00C0012E"/>
    <w:rsid w:val="00C013A1"/>
    <w:rsid w:val="00C01FF9"/>
    <w:rsid w:val="00C02EB3"/>
    <w:rsid w:val="00C03363"/>
    <w:rsid w:val="00C04A88"/>
    <w:rsid w:val="00C04C90"/>
    <w:rsid w:val="00C04CD2"/>
    <w:rsid w:val="00C05870"/>
    <w:rsid w:val="00C05D23"/>
    <w:rsid w:val="00C062B8"/>
    <w:rsid w:val="00C1030B"/>
    <w:rsid w:val="00C103A8"/>
    <w:rsid w:val="00C1064E"/>
    <w:rsid w:val="00C117C2"/>
    <w:rsid w:val="00C119ED"/>
    <w:rsid w:val="00C12046"/>
    <w:rsid w:val="00C135C8"/>
    <w:rsid w:val="00C152A9"/>
    <w:rsid w:val="00C15662"/>
    <w:rsid w:val="00C15E3C"/>
    <w:rsid w:val="00C168FC"/>
    <w:rsid w:val="00C204A9"/>
    <w:rsid w:val="00C20C6A"/>
    <w:rsid w:val="00C245EA"/>
    <w:rsid w:val="00C246F1"/>
    <w:rsid w:val="00C259A1"/>
    <w:rsid w:val="00C25B06"/>
    <w:rsid w:val="00C266E6"/>
    <w:rsid w:val="00C275C4"/>
    <w:rsid w:val="00C27F0E"/>
    <w:rsid w:val="00C27FFC"/>
    <w:rsid w:val="00C30131"/>
    <w:rsid w:val="00C307AA"/>
    <w:rsid w:val="00C30CED"/>
    <w:rsid w:val="00C327B7"/>
    <w:rsid w:val="00C3283F"/>
    <w:rsid w:val="00C33122"/>
    <w:rsid w:val="00C3368E"/>
    <w:rsid w:val="00C3383B"/>
    <w:rsid w:val="00C33A6D"/>
    <w:rsid w:val="00C349C9"/>
    <w:rsid w:val="00C35F20"/>
    <w:rsid w:val="00C36A72"/>
    <w:rsid w:val="00C36FCE"/>
    <w:rsid w:val="00C3723C"/>
    <w:rsid w:val="00C37940"/>
    <w:rsid w:val="00C40642"/>
    <w:rsid w:val="00C4075D"/>
    <w:rsid w:val="00C41300"/>
    <w:rsid w:val="00C41957"/>
    <w:rsid w:val="00C41A8C"/>
    <w:rsid w:val="00C424AE"/>
    <w:rsid w:val="00C43986"/>
    <w:rsid w:val="00C44A4D"/>
    <w:rsid w:val="00C454D3"/>
    <w:rsid w:val="00C45780"/>
    <w:rsid w:val="00C45E8D"/>
    <w:rsid w:val="00C46F88"/>
    <w:rsid w:val="00C476EA"/>
    <w:rsid w:val="00C4780E"/>
    <w:rsid w:val="00C47C38"/>
    <w:rsid w:val="00C47FA0"/>
    <w:rsid w:val="00C502E0"/>
    <w:rsid w:val="00C51DF9"/>
    <w:rsid w:val="00C51FD5"/>
    <w:rsid w:val="00C52FCE"/>
    <w:rsid w:val="00C530CA"/>
    <w:rsid w:val="00C548DF"/>
    <w:rsid w:val="00C55B85"/>
    <w:rsid w:val="00C56BE8"/>
    <w:rsid w:val="00C57515"/>
    <w:rsid w:val="00C5791B"/>
    <w:rsid w:val="00C57E70"/>
    <w:rsid w:val="00C6120F"/>
    <w:rsid w:val="00C62463"/>
    <w:rsid w:val="00C63961"/>
    <w:rsid w:val="00C63B21"/>
    <w:rsid w:val="00C64218"/>
    <w:rsid w:val="00C65B56"/>
    <w:rsid w:val="00C660C5"/>
    <w:rsid w:val="00C66D3C"/>
    <w:rsid w:val="00C67DEC"/>
    <w:rsid w:val="00C70074"/>
    <w:rsid w:val="00C701D5"/>
    <w:rsid w:val="00C708D4"/>
    <w:rsid w:val="00C70932"/>
    <w:rsid w:val="00C71040"/>
    <w:rsid w:val="00C71333"/>
    <w:rsid w:val="00C7176E"/>
    <w:rsid w:val="00C71DC2"/>
    <w:rsid w:val="00C71FF6"/>
    <w:rsid w:val="00C724AA"/>
    <w:rsid w:val="00C72BAB"/>
    <w:rsid w:val="00C72F15"/>
    <w:rsid w:val="00C74047"/>
    <w:rsid w:val="00C74152"/>
    <w:rsid w:val="00C745A2"/>
    <w:rsid w:val="00C74731"/>
    <w:rsid w:val="00C76D01"/>
    <w:rsid w:val="00C779FA"/>
    <w:rsid w:val="00C804C8"/>
    <w:rsid w:val="00C813AE"/>
    <w:rsid w:val="00C82936"/>
    <w:rsid w:val="00C82EAF"/>
    <w:rsid w:val="00C83974"/>
    <w:rsid w:val="00C83B9E"/>
    <w:rsid w:val="00C84FC6"/>
    <w:rsid w:val="00C85242"/>
    <w:rsid w:val="00C85BD1"/>
    <w:rsid w:val="00C85E7D"/>
    <w:rsid w:val="00C86BB1"/>
    <w:rsid w:val="00C86C41"/>
    <w:rsid w:val="00C871F0"/>
    <w:rsid w:val="00C8722C"/>
    <w:rsid w:val="00C90045"/>
    <w:rsid w:val="00C907CB"/>
    <w:rsid w:val="00C90BA7"/>
    <w:rsid w:val="00C91D07"/>
    <w:rsid w:val="00C91F82"/>
    <w:rsid w:val="00C921BD"/>
    <w:rsid w:val="00C92AE6"/>
    <w:rsid w:val="00C934EB"/>
    <w:rsid w:val="00C94CF6"/>
    <w:rsid w:val="00C95563"/>
    <w:rsid w:val="00C9604B"/>
    <w:rsid w:val="00C96375"/>
    <w:rsid w:val="00C978AD"/>
    <w:rsid w:val="00C97C58"/>
    <w:rsid w:val="00CA02FB"/>
    <w:rsid w:val="00CA04BE"/>
    <w:rsid w:val="00CA0EDF"/>
    <w:rsid w:val="00CA21B3"/>
    <w:rsid w:val="00CA35A7"/>
    <w:rsid w:val="00CA3A38"/>
    <w:rsid w:val="00CA465D"/>
    <w:rsid w:val="00CA4E43"/>
    <w:rsid w:val="00CA753D"/>
    <w:rsid w:val="00CA7AD8"/>
    <w:rsid w:val="00CB1601"/>
    <w:rsid w:val="00CB3DA3"/>
    <w:rsid w:val="00CB3DE2"/>
    <w:rsid w:val="00CB40AB"/>
    <w:rsid w:val="00CB451E"/>
    <w:rsid w:val="00CB543B"/>
    <w:rsid w:val="00CB6FAE"/>
    <w:rsid w:val="00CC14A0"/>
    <w:rsid w:val="00CC1638"/>
    <w:rsid w:val="00CC2061"/>
    <w:rsid w:val="00CC36EE"/>
    <w:rsid w:val="00CC3BC8"/>
    <w:rsid w:val="00CC5599"/>
    <w:rsid w:val="00CC60DB"/>
    <w:rsid w:val="00CD12BF"/>
    <w:rsid w:val="00CD17AB"/>
    <w:rsid w:val="00CD184E"/>
    <w:rsid w:val="00CD1E0E"/>
    <w:rsid w:val="00CD2078"/>
    <w:rsid w:val="00CD228A"/>
    <w:rsid w:val="00CD25C7"/>
    <w:rsid w:val="00CD419A"/>
    <w:rsid w:val="00CD46EA"/>
    <w:rsid w:val="00CD522F"/>
    <w:rsid w:val="00CD56E3"/>
    <w:rsid w:val="00CD5983"/>
    <w:rsid w:val="00CD6D28"/>
    <w:rsid w:val="00CD7C60"/>
    <w:rsid w:val="00CE029F"/>
    <w:rsid w:val="00CE02A6"/>
    <w:rsid w:val="00CE059F"/>
    <w:rsid w:val="00CE172A"/>
    <w:rsid w:val="00CE304C"/>
    <w:rsid w:val="00CE305E"/>
    <w:rsid w:val="00CE492E"/>
    <w:rsid w:val="00CE4A21"/>
    <w:rsid w:val="00CE4A89"/>
    <w:rsid w:val="00CE650A"/>
    <w:rsid w:val="00CE6742"/>
    <w:rsid w:val="00CE6F75"/>
    <w:rsid w:val="00CE6F76"/>
    <w:rsid w:val="00CE76CA"/>
    <w:rsid w:val="00CF00E9"/>
    <w:rsid w:val="00CF0428"/>
    <w:rsid w:val="00CF057B"/>
    <w:rsid w:val="00CF073D"/>
    <w:rsid w:val="00CF1B2D"/>
    <w:rsid w:val="00CF1D6E"/>
    <w:rsid w:val="00CF1D8A"/>
    <w:rsid w:val="00CF24FD"/>
    <w:rsid w:val="00CF2D8B"/>
    <w:rsid w:val="00CF304D"/>
    <w:rsid w:val="00CF3B15"/>
    <w:rsid w:val="00CF3EBE"/>
    <w:rsid w:val="00CF4CA8"/>
    <w:rsid w:val="00CF62D0"/>
    <w:rsid w:val="00CF7664"/>
    <w:rsid w:val="00D00058"/>
    <w:rsid w:val="00D029C8"/>
    <w:rsid w:val="00D02E51"/>
    <w:rsid w:val="00D03925"/>
    <w:rsid w:val="00D04595"/>
    <w:rsid w:val="00D05A9A"/>
    <w:rsid w:val="00D07893"/>
    <w:rsid w:val="00D0797E"/>
    <w:rsid w:val="00D11F40"/>
    <w:rsid w:val="00D127EF"/>
    <w:rsid w:val="00D139E9"/>
    <w:rsid w:val="00D13FCD"/>
    <w:rsid w:val="00D13FDD"/>
    <w:rsid w:val="00D14B2E"/>
    <w:rsid w:val="00D14F48"/>
    <w:rsid w:val="00D15109"/>
    <w:rsid w:val="00D15D24"/>
    <w:rsid w:val="00D16329"/>
    <w:rsid w:val="00D17322"/>
    <w:rsid w:val="00D1772C"/>
    <w:rsid w:val="00D20196"/>
    <w:rsid w:val="00D213FF"/>
    <w:rsid w:val="00D223E2"/>
    <w:rsid w:val="00D23ED4"/>
    <w:rsid w:val="00D23F7B"/>
    <w:rsid w:val="00D24438"/>
    <w:rsid w:val="00D24916"/>
    <w:rsid w:val="00D24CDD"/>
    <w:rsid w:val="00D26787"/>
    <w:rsid w:val="00D26C3E"/>
    <w:rsid w:val="00D27F07"/>
    <w:rsid w:val="00D30F2D"/>
    <w:rsid w:val="00D31244"/>
    <w:rsid w:val="00D31308"/>
    <w:rsid w:val="00D3144A"/>
    <w:rsid w:val="00D32079"/>
    <w:rsid w:val="00D323A4"/>
    <w:rsid w:val="00D3272B"/>
    <w:rsid w:val="00D331B1"/>
    <w:rsid w:val="00D333BE"/>
    <w:rsid w:val="00D341D2"/>
    <w:rsid w:val="00D354FD"/>
    <w:rsid w:val="00D36575"/>
    <w:rsid w:val="00D377DD"/>
    <w:rsid w:val="00D37A3B"/>
    <w:rsid w:val="00D37C4B"/>
    <w:rsid w:val="00D40BF8"/>
    <w:rsid w:val="00D41883"/>
    <w:rsid w:val="00D41C01"/>
    <w:rsid w:val="00D41DBA"/>
    <w:rsid w:val="00D41E3A"/>
    <w:rsid w:val="00D42559"/>
    <w:rsid w:val="00D43023"/>
    <w:rsid w:val="00D44599"/>
    <w:rsid w:val="00D45555"/>
    <w:rsid w:val="00D45A24"/>
    <w:rsid w:val="00D466D6"/>
    <w:rsid w:val="00D51874"/>
    <w:rsid w:val="00D52D6C"/>
    <w:rsid w:val="00D5407D"/>
    <w:rsid w:val="00D540C1"/>
    <w:rsid w:val="00D545E5"/>
    <w:rsid w:val="00D550D0"/>
    <w:rsid w:val="00D55DA9"/>
    <w:rsid w:val="00D56AA5"/>
    <w:rsid w:val="00D56B9F"/>
    <w:rsid w:val="00D56BF3"/>
    <w:rsid w:val="00D56D40"/>
    <w:rsid w:val="00D605CA"/>
    <w:rsid w:val="00D609FB"/>
    <w:rsid w:val="00D60CF2"/>
    <w:rsid w:val="00D6101D"/>
    <w:rsid w:val="00D61127"/>
    <w:rsid w:val="00D614FA"/>
    <w:rsid w:val="00D621A6"/>
    <w:rsid w:val="00D629EE"/>
    <w:rsid w:val="00D632FB"/>
    <w:rsid w:val="00D638AC"/>
    <w:rsid w:val="00D640D6"/>
    <w:rsid w:val="00D64B14"/>
    <w:rsid w:val="00D66EBE"/>
    <w:rsid w:val="00D67E4B"/>
    <w:rsid w:val="00D7067E"/>
    <w:rsid w:val="00D70AB6"/>
    <w:rsid w:val="00D72722"/>
    <w:rsid w:val="00D72982"/>
    <w:rsid w:val="00D72DC9"/>
    <w:rsid w:val="00D72FAB"/>
    <w:rsid w:val="00D73553"/>
    <w:rsid w:val="00D740DC"/>
    <w:rsid w:val="00D74648"/>
    <w:rsid w:val="00D747BC"/>
    <w:rsid w:val="00D74ED1"/>
    <w:rsid w:val="00D7545D"/>
    <w:rsid w:val="00D756F2"/>
    <w:rsid w:val="00D75945"/>
    <w:rsid w:val="00D766CF"/>
    <w:rsid w:val="00D76987"/>
    <w:rsid w:val="00D76B6C"/>
    <w:rsid w:val="00D7713C"/>
    <w:rsid w:val="00D80491"/>
    <w:rsid w:val="00D805B3"/>
    <w:rsid w:val="00D81609"/>
    <w:rsid w:val="00D817DF"/>
    <w:rsid w:val="00D8187F"/>
    <w:rsid w:val="00D81FD5"/>
    <w:rsid w:val="00D829C2"/>
    <w:rsid w:val="00D83723"/>
    <w:rsid w:val="00D844A8"/>
    <w:rsid w:val="00D84B05"/>
    <w:rsid w:val="00D85D76"/>
    <w:rsid w:val="00D864D1"/>
    <w:rsid w:val="00D86868"/>
    <w:rsid w:val="00D90B42"/>
    <w:rsid w:val="00D90B9D"/>
    <w:rsid w:val="00D90F31"/>
    <w:rsid w:val="00D91B20"/>
    <w:rsid w:val="00D92116"/>
    <w:rsid w:val="00D93091"/>
    <w:rsid w:val="00D9431E"/>
    <w:rsid w:val="00D94F5D"/>
    <w:rsid w:val="00D959FD"/>
    <w:rsid w:val="00D96655"/>
    <w:rsid w:val="00D972F7"/>
    <w:rsid w:val="00D97766"/>
    <w:rsid w:val="00DA0884"/>
    <w:rsid w:val="00DA14E3"/>
    <w:rsid w:val="00DA1885"/>
    <w:rsid w:val="00DA2632"/>
    <w:rsid w:val="00DA2857"/>
    <w:rsid w:val="00DA2DC5"/>
    <w:rsid w:val="00DA4978"/>
    <w:rsid w:val="00DA5426"/>
    <w:rsid w:val="00DA6087"/>
    <w:rsid w:val="00DA6388"/>
    <w:rsid w:val="00DA6789"/>
    <w:rsid w:val="00DA6A18"/>
    <w:rsid w:val="00DA7D61"/>
    <w:rsid w:val="00DA7F70"/>
    <w:rsid w:val="00DB017B"/>
    <w:rsid w:val="00DB0246"/>
    <w:rsid w:val="00DB0919"/>
    <w:rsid w:val="00DB0D26"/>
    <w:rsid w:val="00DB0F64"/>
    <w:rsid w:val="00DB1043"/>
    <w:rsid w:val="00DB1502"/>
    <w:rsid w:val="00DB1514"/>
    <w:rsid w:val="00DB1B77"/>
    <w:rsid w:val="00DB1D5B"/>
    <w:rsid w:val="00DB2ED7"/>
    <w:rsid w:val="00DB36EB"/>
    <w:rsid w:val="00DB3DD1"/>
    <w:rsid w:val="00DB3FB2"/>
    <w:rsid w:val="00DB423C"/>
    <w:rsid w:val="00DB4FF2"/>
    <w:rsid w:val="00DB72CE"/>
    <w:rsid w:val="00DB7A4C"/>
    <w:rsid w:val="00DB7E72"/>
    <w:rsid w:val="00DC04E6"/>
    <w:rsid w:val="00DC1F90"/>
    <w:rsid w:val="00DC2F9A"/>
    <w:rsid w:val="00DC3202"/>
    <w:rsid w:val="00DC3825"/>
    <w:rsid w:val="00DC39C7"/>
    <w:rsid w:val="00DC3E6F"/>
    <w:rsid w:val="00DC44CC"/>
    <w:rsid w:val="00DC44F3"/>
    <w:rsid w:val="00DC5E6F"/>
    <w:rsid w:val="00DC6290"/>
    <w:rsid w:val="00DC6F2F"/>
    <w:rsid w:val="00DC7185"/>
    <w:rsid w:val="00DC7556"/>
    <w:rsid w:val="00DC7AB4"/>
    <w:rsid w:val="00DC7D7F"/>
    <w:rsid w:val="00DD0D13"/>
    <w:rsid w:val="00DD0E6E"/>
    <w:rsid w:val="00DD1D0B"/>
    <w:rsid w:val="00DD2ABE"/>
    <w:rsid w:val="00DD32F8"/>
    <w:rsid w:val="00DD34EE"/>
    <w:rsid w:val="00DD3E7A"/>
    <w:rsid w:val="00DD606C"/>
    <w:rsid w:val="00DD61F7"/>
    <w:rsid w:val="00DD66D5"/>
    <w:rsid w:val="00DD6F53"/>
    <w:rsid w:val="00DD7731"/>
    <w:rsid w:val="00DD7857"/>
    <w:rsid w:val="00DD7E5C"/>
    <w:rsid w:val="00DE023C"/>
    <w:rsid w:val="00DE05D9"/>
    <w:rsid w:val="00DE092B"/>
    <w:rsid w:val="00DE0947"/>
    <w:rsid w:val="00DE0C63"/>
    <w:rsid w:val="00DE195B"/>
    <w:rsid w:val="00DE1AFB"/>
    <w:rsid w:val="00DE1E38"/>
    <w:rsid w:val="00DE4983"/>
    <w:rsid w:val="00DE4B67"/>
    <w:rsid w:val="00DE4F1A"/>
    <w:rsid w:val="00DE5226"/>
    <w:rsid w:val="00DE53DC"/>
    <w:rsid w:val="00DE5975"/>
    <w:rsid w:val="00DE5C6E"/>
    <w:rsid w:val="00DE6567"/>
    <w:rsid w:val="00DE755B"/>
    <w:rsid w:val="00DF0A76"/>
    <w:rsid w:val="00DF13BE"/>
    <w:rsid w:val="00DF25BE"/>
    <w:rsid w:val="00DF2BF9"/>
    <w:rsid w:val="00DF37D1"/>
    <w:rsid w:val="00DF3E4D"/>
    <w:rsid w:val="00DF5A53"/>
    <w:rsid w:val="00DF6580"/>
    <w:rsid w:val="00DF76F7"/>
    <w:rsid w:val="00DF78DB"/>
    <w:rsid w:val="00E01727"/>
    <w:rsid w:val="00E0245D"/>
    <w:rsid w:val="00E02FC4"/>
    <w:rsid w:val="00E03384"/>
    <w:rsid w:val="00E04912"/>
    <w:rsid w:val="00E04B60"/>
    <w:rsid w:val="00E057E0"/>
    <w:rsid w:val="00E059FB"/>
    <w:rsid w:val="00E05ABB"/>
    <w:rsid w:val="00E1027E"/>
    <w:rsid w:val="00E107A3"/>
    <w:rsid w:val="00E10DD6"/>
    <w:rsid w:val="00E11B8F"/>
    <w:rsid w:val="00E11CBE"/>
    <w:rsid w:val="00E12419"/>
    <w:rsid w:val="00E126E0"/>
    <w:rsid w:val="00E13264"/>
    <w:rsid w:val="00E136E6"/>
    <w:rsid w:val="00E141C6"/>
    <w:rsid w:val="00E142EA"/>
    <w:rsid w:val="00E14397"/>
    <w:rsid w:val="00E14816"/>
    <w:rsid w:val="00E14E1A"/>
    <w:rsid w:val="00E15C96"/>
    <w:rsid w:val="00E15D16"/>
    <w:rsid w:val="00E1728C"/>
    <w:rsid w:val="00E1797D"/>
    <w:rsid w:val="00E207A4"/>
    <w:rsid w:val="00E2164A"/>
    <w:rsid w:val="00E21F35"/>
    <w:rsid w:val="00E23A9E"/>
    <w:rsid w:val="00E23E13"/>
    <w:rsid w:val="00E23E67"/>
    <w:rsid w:val="00E240C6"/>
    <w:rsid w:val="00E2461C"/>
    <w:rsid w:val="00E246B9"/>
    <w:rsid w:val="00E249FC"/>
    <w:rsid w:val="00E24B5F"/>
    <w:rsid w:val="00E25044"/>
    <w:rsid w:val="00E25594"/>
    <w:rsid w:val="00E26247"/>
    <w:rsid w:val="00E26595"/>
    <w:rsid w:val="00E27E1B"/>
    <w:rsid w:val="00E31366"/>
    <w:rsid w:val="00E31AE4"/>
    <w:rsid w:val="00E322A1"/>
    <w:rsid w:val="00E35DA5"/>
    <w:rsid w:val="00E36021"/>
    <w:rsid w:val="00E3656C"/>
    <w:rsid w:val="00E36AF0"/>
    <w:rsid w:val="00E37F83"/>
    <w:rsid w:val="00E40192"/>
    <w:rsid w:val="00E4032E"/>
    <w:rsid w:val="00E41542"/>
    <w:rsid w:val="00E415A4"/>
    <w:rsid w:val="00E41625"/>
    <w:rsid w:val="00E41CAC"/>
    <w:rsid w:val="00E4244D"/>
    <w:rsid w:val="00E446BE"/>
    <w:rsid w:val="00E44B25"/>
    <w:rsid w:val="00E45C91"/>
    <w:rsid w:val="00E45CFD"/>
    <w:rsid w:val="00E46132"/>
    <w:rsid w:val="00E46589"/>
    <w:rsid w:val="00E46914"/>
    <w:rsid w:val="00E46EE2"/>
    <w:rsid w:val="00E50243"/>
    <w:rsid w:val="00E50294"/>
    <w:rsid w:val="00E5094E"/>
    <w:rsid w:val="00E50AB2"/>
    <w:rsid w:val="00E50C71"/>
    <w:rsid w:val="00E51092"/>
    <w:rsid w:val="00E5112B"/>
    <w:rsid w:val="00E51D18"/>
    <w:rsid w:val="00E52082"/>
    <w:rsid w:val="00E52289"/>
    <w:rsid w:val="00E5289D"/>
    <w:rsid w:val="00E52B57"/>
    <w:rsid w:val="00E52DB5"/>
    <w:rsid w:val="00E54170"/>
    <w:rsid w:val="00E54612"/>
    <w:rsid w:val="00E547F4"/>
    <w:rsid w:val="00E549F0"/>
    <w:rsid w:val="00E55F27"/>
    <w:rsid w:val="00E56648"/>
    <w:rsid w:val="00E56804"/>
    <w:rsid w:val="00E5744C"/>
    <w:rsid w:val="00E57964"/>
    <w:rsid w:val="00E605D2"/>
    <w:rsid w:val="00E61B41"/>
    <w:rsid w:val="00E61E5D"/>
    <w:rsid w:val="00E6225E"/>
    <w:rsid w:val="00E6442F"/>
    <w:rsid w:val="00E64648"/>
    <w:rsid w:val="00E668A3"/>
    <w:rsid w:val="00E66B89"/>
    <w:rsid w:val="00E66CD7"/>
    <w:rsid w:val="00E674D6"/>
    <w:rsid w:val="00E67C64"/>
    <w:rsid w:val="00E706A5"/>
    <w:rsid w:val="00E71A61"/>
    <w:rsid w:val="00E72FA6"/>
    <w:rsid w:val="00E737F8"/>
    <w:rsid w:val="00E7485F"/>
    <w:rsid w:val="00E7522B"/>
    <w:rsid w:val="00E759E6"/>
    <w:rsid w:val="00E76048"/>
    <w:rsid w:val="00E76588"/>
    <w:rsid w:val="00E772DE"/>
    <w:rsid w:val="00E77334"/>
    <w:rsid w:val="00E775D6"/>
    <w:rsid w:val="00E807A5"/>
    <w:rsid w:val="00E8084E"/>
    <w:rsid w:val="00E80B30"/>
    <w:rsid w:val="00E80C2A"/>
    <w:rsid w:val="00E82062"/>
    <w:rsid w:val="00E83C03"/>
    <w:rsid w:val="00E85468"/>
    <w:rsid w:val="00E8748B"/>
    <w:rsid w:val="00E87C9C"/>
    <w:rsid w:val="00E9022B"/>
    <w:rsid w:val="00E90525"/>
    <w:rsid w:val="00E90672"/>
    <w:rsid w:val="00E91107"/>
    <w:rsid w:val="00E91638"/>
    <w:rsid w:val="00E922F6"/>
    <w:rsid w:val="00E924D4"/>
    <w:rsid w:val="00E92BC6"/>
    <w:rsid w:val="00E92CCF"/>
    <w:rsid w:val="00E932D3"/>
    <w:rsid w:val="00E9347C"/>
    <w:rsid w:val="00E9457E"/>
    <w:rsid w:val="00E95191"/>
    <w:rsid w:val="00E956AB"/>
    <w:rsid w:val="00E96CAB"/>
    <w:rsid w:val="00E96E9B"/>
    <w:rsid w:val="00E97492"/>
    <w:rsid w:val="00EA0EE3"/>
    <w:rsid w:val="00EA0F80"/>
    <w:rsid w:val="00EA3B1C"/>
    <w:rsid w:val="00EA499F"/>
    <w:rsid w:val="00EA6B69"/>
    <w:rsid w:val="00EB1476"/>
    <w:rsid w:val="00EB1479"/>
    <w:rsid w:val="00EB16FF"/>
    <w:rsid w:val="00EB2A07"/>
    <w:rsid w:val="00EB4FAC"/>
    <w:rsid w:val="00EB51D1"/>
    <w:rsid w:val="00EB54D4"/>
    <w:rsid w:val="00EB7552"/>
    <w:rsid w:val="00EB7899"/>
    <w:rsid w:val="00EC05DA"/>
    <w:rsid w:val="00EC06F9"/>
    <w:rsid w:val="00EC0CB8"/>
    <w:rsid w:val="00EC0D6C"/>
    <w:rsid w:val="00EC1452"/>
    <w:rsid w:val="00EC1787"/>
    <w:rsid w:val="00EC195D"/>
    <w:rsid w:val="00EC29A3"/>
    <w:rsid w:val="00EC2C2E"/>
    <w:rsid w:val="00EC3537"/>
    <w:rsid w:val="00EC3713"/>
    <w:rsid w:val="00EC3D0C"/>
    <w:rsid w:val="00EC4C19"/>
    <w:rsid w:val="00EC5371"/>
    <w:rsid w:val="00EC61CA"/>
    <w:rsid w:val="00EC6334"/>
    <w:rsid w:val="00EC747F"/>
    <w:rsid w:val="00EC7CD7"/>
    <w:rsid w:val="00ED0FFE"/>
    <w:rsid w:val="00ED151D"/>
    <w:rsid w:val="00ED1AAB"/>
    <w:rsid w:val="00ED1BB6"/>
    <w:rsid w:val="00ED2586"/>
    <w:rsid w:val="00ED327A"/>
    <w:rsid w:val="00ED3694"/>
    <w:rsid w:val="00ED375E"/>
    <w:rsid w:val="00ED377A"/>
    <w:rsid w:val="00ED38C4"/>
    <w:rsid w:val="00ED4498"/>
    <w:rsid w:val="00ED4D12"/>
    <w:rsid w:val="00ED54A4"/>
    <w:rsid w:val="00ED571C"/>
    <w:rsid w:val="00ED652E"/>
    <w:rsid w:val="00ED6B44"/>
    <w:rsid w:val="00ED75DF"/>
    <w:rsid w:val="00EE0136"/>
    <w:rsid w:val="00EE0A08"/>
    <w:rsid w:val="00EE15CD"/>
    <w:rsid w:val="00EE1A8E"/>
    <w:rsid w:val="00EE2933"/>
    <w:rsid w:val="00EE5535"/>
    <w:rsid w:val="00EE76C9"/>
    <w:rsid w:val="00EF0D2C"/>
    <w:rsid w:val="00EF23D4"/>
    <w:rsid w:val="00EF37BB"/>
    <w:rsid w:val="00EF3DD7"/>
    <w:rsid w:val="00EF49A8"/>
    <w:rsid w:val="00EF58C8"/>
    <w:rsid w:val="00EF60CE"/>
    <w:rsid w:val="00EF60F8"/>
    <w:rsid w:val="00EF69B1"/>
    <w:rsid w:val="00EF7772"/>
    <w:rsid w:val="00F0094B"/>
    <w:rsid w:val="00F014CE"/>
    <w:rsid w:val="00F056EC"/>
    <w:rsid w:val="00F05718"/>
    <w:rsid w:val="00F05809"/>
    <w:rsid w:val="00F05FA8"/>
    <w:rsid w:val="00F0654F"/>
    <w:rsid w:val="00F0680C"/>
    <w:rsid w:val="00F06C7F"/>
    <w:rsid w:val="00F0798D"/>
    <w:rsid w:val="00F07C62"/>
    <w:rsid w:val="00F10901"/>
    <w:rsid w:val="00F10FCE"/>
    <w:rsid w:val="00F12D6B"/>
    <w:rsid w:val="00F12D9B"/>
    <w:rsid w:val="00F13754"/>
    <w:rsid w:val="00F13969"/>
    <w:rsid w:val="00F14A1F"/>
    <w:rsid w:val="00F14A92"/>
    <w:rsid w:val="00F14FAB"/>
    <w:rsid w:val="00F15090"/>
    <w:rsid w:val="00F176B9"/>
    <w:rsid w:val="00F17848"/>
    <w:rsid w:val="00F20D65"/>
    <w:rsid w:val="00F213AE"/>
    <w:rsid w:val="00F221BC"/>
    <w:rsid w:val="00F22414"/>
    <w:rsid w:val="00F22F79"/>
    <w:rsid w:val="00F23958"/>
    <w:rsid w:val="00F23CF4"/>
    <w:rsid w:val="00F24A2B"/>
    <w:rsid w:val="00F25679"/>
    <w:rsid w:val="00F258FA"/>
    <w:rsid w:val="00F25F13"/>
    <w:rsid w:val="00F25FCE"/>
    <w:rsid w:val="00F26124"/>
    <w:rsid w:val="00F3193E"/>
    <w:rsid w:val="00F31A79"/>
    <w:rsid w:val="00F31BCD"/>
    <w:rsid w:val="00F335C1"/>
    <w:rsid w:val="00F340F8"/>
    <w:rsid w:val="00F34B28"/>
    <w:rsid w:val="00F34E6F"/>
    <w:rsid w:val="00F35889"/>
    <w:rsid w:val="00F36208"/>
    <w:rsid w:val="00F36886"/>
    <w:rsid w:val="00F36E3C"/>
    <w:rsid w:val="00F36FA6"/>
    <w:rsid w:val="00F3705D"/>
    <w:rsid w:val="00F371BA"/>
    <w:rsid w:val="00F3729C"/>
    <w:rsid w:val="00F403D1"/>
    <w:rsid w:val="00F40C7F"/>
    <w:rsid w:val="00F41273"/>
    <w:rsid w:val="00F415CF"/>
    <w:rsid w:val="00F41E76"/>
    <w:rsid w:val="00F4309A"/>
    <w:rsid w:val="00F43EE3"/>
    <w:rsid w:val="00F43FD9"/>
    <w:rsid w:val="00F4517F"/>
    <w:rsid w:val="00F45D2C"/>
    <w:rsid w:val="00F46B57"/>
    <w:rsid w:val="00F46FE1"/>
    <w:rsid w:val="00F47ADE"/>
    <w:rsid w:val="00F47CFF"/>
    <w:rsid w:val="00F51614"/>
    <w:rsid w:val="00F51F1B"/>
    <w:rsid w:val="00F524D6"/>
    <w:rsid w:val="00F52518"/>
    <w:rsid w:val="00F52805"/>
    <w:rsid w:val="00F52B84"/>
    <w:rsid w:val="00F52C54"/>
    <w:rsid w:val="00F533B5"/>
    <w:rsid w:val="00F559AC"/>
    <w:rsid w:val="00F56BBE"/>
    <w:rsid w:val="00F572E5"/>
    <w:rsid w:val="00F60A14"/>
    <w:rsid w:val="00F61708"/>
    <w:rsid w:val="00F617AA"/>
    <w:rsid w:val="00F6440D"/>
    <w:rsid w:val="00F64D88"/>
    <w:rsid w:val="00F66D2F"/>
    <w:rsid w:val="00F66DFD"/>
    <w:rsid w:val="00F67F65"/>
    <w:rsid w:val="00F700AE"/>
    <w:rsid w:val="00F70345"/>
    <w:rsid w:val="00F7081D"/>
    <w:rsid w:val="00F709AA"/>
    <w:rsid w:val="00F71DC2"/>
    <w:rsid w:val="00F71F0F"/>
    <w:rsid w:val="00F7238B"/>
    <w:rsid w:val="00F72B19"/>
    <w:rsid w:val="00F72B4D"/>
    <w:rsid w:val="00F72EAB"/>
    <w:rsid w:val="00F738AD"/>
    <w:rsid w:val="00F738EA"/>
    <w:rsid w:val="00F742B8"/>
    <w:rsid w:val="00F745D2"/>
    <w:rsid w:val="00F7629E"/>
    <w:rsid w:val="00F76622"/>
    <w:rsid w:val="00F805E0"/>
    <w:rsid w:val="00F81C9E"/>
    <w:rsid w:val="00F826C3"/>
    <w:rsid w:val="00F831C3"/>
    <w:rsid w:val="00F832ED"/>
    <w:rsid w:val="00F8591D"/>
    <w:rsid w:val="00F8652A"/>
    <w:rsid w:val="00F86781"/>
    <w:rsid w:val="00F86B73"/>
    <w:rsid w:val="00F8703C"/>
    <w:rsid w:val="00F8718B"/>
    <w:rsid w:val="00F874AE"/>
    <w:rsid w:val="00F87669"/>
    <w:rsid w:val="00F87E99"/>
    <w:rsid w:val="00F87EDF"/>
    <w:rsid w:val="00F90707"/>
    <w:rsid w:val="00F91565"/>
    <w:rsid w:val="00F91B05"/>
    <w:rsid w:val="00F929A7"/>
    <w:rsid w:val="00F937E7"/>
    <w:rsid w:val="00F938EE"/>
    <w:rsid w:val="00F93E0B"/>
    <w:rsid w:val="00F94060"/>
    <w:rsid w:val="00F949F6"/>
    <w:rsid w:val="00F94D97"/>
    <w:rsid w:val="00F95BEC"/>
    <w:rsid w:val="00F96DD4"/>
    <w:rsid w:val="00F97085"/>
    <w:rsid w:val="00F97792"/>
    <w:rsid w:val="00FA1B17"/>
    <w:rsid w:val="00FA26E1"/>
    <w:rsid w:val="00FA2ED8"/>
    <w:rsid w:val="00FA53CD"/>
    <w:rsid w:val="00FA5F9F"/>
    <w:rsid w:val="00FA6D05"/>
    <w:rsid w:val="00FB09C1"/>
    <w:rsid w:val="00FB1083"/>
    <w:rsid w:val="00FB13EF"/>
    <w:rsid w:val="00FB2CFC"/>
    <w:rsid w:val="00FB3124"/>
    <w:rsid w:val="00FB3795"/>
    <w:rsid w:val="00FB40E4"/>
    <w:rsid w:val="00FB52A1"/>
    <w:rsid w:val="00FB5468"/>
    <w:rsid w:val="00FB5484"/>
    <w:rsid w:val="00FB5874"/>
    <w:rsid w:val="00FB5E6A"/>
    <w:rsid w:val="00FB6269"/>
    <w:rsid w:val="00FB644D"/>
    <w:rsid w:val="00FB66F1"/>
    <w:rsid w:val="00FB71B9"/>
    <w:rsid w:val="00FB731E"/>
    <w:rsid w:val="00FC02A7"/>
    <w:rsid w:val="00FC0688"/>
    <w:rsid w:val="00FC206D"/>
    <w:rsid w:val="00FC2415"/>
    <w:rsid w:val="00FC31B9"/>
    <w:rsid w:val="00FC37EF"/>
    <w:rsid w:val="00FC3983"/>
    <w:rsid w:val="00FC5686"/>
    <w:rsid w:val="00FC57AB"/>
    <w:rsid w:val="00FC5FCC"/>
    <w:rsid w:val="00FC6BFE"/>
    <w:rsid w:val="00FC6E6D"/>
    <w:rsid w:val="00FC73C1"/>
    <w:rsid w:val="00FC7BC8"/>
    <w:rsid w:val="00FD0FCD"/>
    <w:rsid w:val="00FD1874"/>
    <w:rsid w:val="00FD2550"/>
    <w:rsid w:val="00FD2EDF"/>
    <w:rsid w:val="00FD2F4C"/>
    <w:rsid w:val="00FD3173"/>
    <w:rsid w:val="00FD3E9F"/>
    <w:rsid w:val="00FD4494"/>
    <w:rsid w:val="00FD48F3"/>
    <w:rsid w:val="00FD4D2A"/>
    <w:rsid w:val="00FD54AE"/>
    <w:rsid w:val="00FD7276"/>
    <w:rsid w:val="00FD7FD7"/>
    <w:rsid w:val="00FE067C"/>
    <w:rsid w:val="00FE1222"/>
    <w:rsid w:val="00FE1567"/>
    <w:rsid w:val="00FE2664"/>
    <w:rsid w:val="00FE2B21"/>
    <w:rsid w:val="00FE4408"/>
    <w:rsid w:val="00FE4A8C"/>
    <w:rsid w:val="00FE4AC9"/>
    <w:rsid w:val="00FE4E8F"/>
    <w:rsid w:val="00FE5909"/>
    <w:rsid w:val="00FE64DD"/>
    <w:rsid w:val="00FE65BA"/>
    <w:rsid w:val="00FE7437"/>
    <w:rsid w:val="00FE7B12"/>
    <w:rsid w:val="00FE7EA6"/>
    <w:rsid w:val="00FF1291"/>
    <w:rsid w:val="00FF131B"/>
    <w:rsid w:val="00FF1562"/>
    <w:rsid w:val="00FF1A3B"/>
    <w:rsid w:val="00FF1B4C"/>
    <w:rsid w:val="00FF1B87"/>
    <w:rsid w:val="00FF1E2B"/>
    <w:rsid w:val="00FF3E29"/>
    <w:rsid w:val="00FF3E4B"/>
    <w:rsid w:val="00FF4257"/>
    <w:rsid w:val="00FF61DB"/>
    <w:rsid w:val="00FF654B"/>
    <w:rsid w:val="00FF66A2"/>
    <w:rsid w:val="00FF6CD5"/>
    <w:rsid w:val="00FF7204"/>
    <w:rsid w:val="00FF726E"/>
    <w:rsid w:val="011C44BE"/>
    <w:rsid w:val="01431A4A"/>
    <w:rsid w:val="015B4FE6"/>
    <w:rsid w:val="017D66E9"/>
    <w:rsid w:val="018A58CB"/>
    <w:rsid w:val="019B57A0"/>
    <w:rsid w:val="01A06E9D"/>
    <w:rsid w:val="01A3073B"/>
    <w:rsid w:val="01A324E9"/>
    <w:rsid w:val="01D134FA"/>
    <w:rsid w:val="01D63F6D"/>
    <w:rsid w:val="01D6466C"/>
    <w:rsid w:val="01DF58FF"/>
    <w:rsid w:val="01FA65AD"/>
    <w:rsid w:val="021533E7"/>
    <w:rsid w:val="024C0DD3"/>
    <w:rsid w:val="024D4A7D"/>
    <w:rsid w:val="027F6AB2"/>
    <w:rsid w:val="02B26E88"/>
    <w:rsid w:val="02CB7F49"/>
    <w:rsid w:val="02E146F9"/>
    <w:rsid w:val="02E334E5"/>
    <w:rsid w:val="02E80AFB"/>
    <w:rsid w:val="02E903CF"/>
    <w:rsid w:val="02ED4364"/>
    <w:rsid w:val="030671D3"/>
    <w:rsid w:val="030B2A3C"/>
    <w:rsid w:val="03103BAE"/>
    <w:rsid w:val="031F181B"/>
    <w:rsid w:val="032A4C70"/>
    <w:rsid w:val="035D5C1E"/>
    <w:rsid w:val="0361440A"/>
    <w:rsid w:val="03630182"/>
    <w:rsid w:val="0374413D"/>
    <w:rsid w:val="03920A67"/>
    <w:rsid w:val="03CF41F6"/>
    <w:rsid w:val="03D130C9"/>
    <w:rsid w:val="03D1333D"/>
    <w:rsid w:val="03DE3CAC"/>
    <w:rsid w:val="03F80913"/>
    <w:rsid w:val="040A2CF3"/>
    <w:rsid w:val="041B6CAE"/>
    <w:rsid w:val="04446205"/>
    <w:rsid w:val="044B7594"/>
    <w:rsid w:val="044F3EF5"/>
    <w:rsid w:val="046046C1"/>
    <w:rsid w:val="04650E5C"/>
    <w:rsid w:val="046B19E4"/>
    <w:rsid w:val="04820ADC"/>
    <w:rsid w:val="04BA2023"/>
    <w:rsid w:val="04DC52CD"/>
    <w:rsid w:val="04E42BB1"/>
    <w:rsid w:val="04F4568F"/>
    <w:rsid w:val="04F75026"/>
    <w:rsid w:val="04FA2D68"/>
    <w:rsid w:val="04FA4B16"/>
    <w:rsid w:val="04FC3176"/>
    <w:rsid w:val="050B6D23"/>
    <w:rsid w:val="05177476"/>
    <w:rsid w:val="053C512E"/>
    <w:rsid w:val="053F077B"/>
    <w:rsid w:val="05820D5B"/>
    <w:rsid w:val="05BE78F1"/>
    <w:rsid w:val="05C018BB"/>
    <w:rsid w:val="05C25634"/>
    <w:rsid w:val="05CD3EB3"/>
    <w:rsid w:val="05D45367"/>
    <w:rsid w:val="05E27A84"/>
    <w:rsid w:val="05E30006"/>
    <w:rsid w:val="05E530D0"/>
    <w:rsid w:val="060866BA"/>
    <w:rsid w:val="061E22CB"/>
    <w:rsid w:val="06205A83"/>
    <w:rsid w:val="06284D83"/>
    <w:rsid w:val="06585F98"/>
    <w:rsid w:val="065C36FD"/>
    <w:rsid w:val="06725B16"/>
    <w:rsid w:val="067B2987"/>
    <w:rsid w:val="068154EF"/>
    <w:rsid w:val="06872D56"/>
    <w:rsid w:val="06913258"/>
    <w:rsid w:val="06963510"/>
    <w:rsid w:val="069F7723"/>
    <w:rsid w:val="06A07873"/>
    <w:rsid w:val="06AA444A"/>
    <w:rsid w:val="06C254FC"/>
    <w:rsid w:val="06D66EBD"/>
    <w:rsid w:val="06E46DD6"/>
    <w:rsid w:val="06F2019A"/>
    <w:rsid w:val="06FD5623"/>
    <w:rsid w:val="07043A2A"/>
    <w:rsid w:val="071F1BF8"/>
    <w:rsid w:val="07320597"/>
    <w:rsid w:val="074402CA"/>
    <w:rsid w:val="07484826"/>
    <w:rsid w:val="074B228B"/>
    <w:rsid w:val="07504EC1"/>
    <w:rsid w:val="07533B82"/>
    <w:rsid w:val="07603356"/>
    <w:rsid w:val="076A5F83"/>
    <w:rsid w:val="077F1CF5"/>
    <w:rsid w:val="07B40FAC"/>
    <w:rsid w:val="07BC2D8E"/>
    <w:rsid w:val="07BC5A31"/>
    <w:rsid w:val="07CC09EB"/>
    <w:rsid w:val="07D478A0"/>
    <w:rsid w:val="0802440D"/>
    <w:rsid w:val="081D2FF5"/>
    <w:rsid w:val="0822151D"/>
    <w:rsid w:val="08626C5A"/>
    <w:rsid w:val="088210AA"/>
    <w:rsid w:val="08892439"/>
    <w:rsid w:val="088C017B"/>
    <w:rsid w:val="088E3EF3"/>
    <w:rsid w:val="08935065"/>
    <w:rsid w:val="08B6248C"/>
    <w:rsid w:val="08C0550B"/>
    <w:rsid w:val="08E27D9B"/>
    <w:rsid w:val="08E41D65"/>
    <w:rsid w:val="08FC70AE"/>
    <w:rsid w:val="08FF6B9F"/>
    <w:rsid w:val="090002DA"/>
    <w:rsid w:val="090827CD"/>
    <w:rsid w:val="09095327"/>
    <w:rsid w:val="09246605"/>
    <w:rsid w:val="094B5940"/>
    <w:rsid w:val="09540C99"/>
    <w:rsid w:val="09615163"/>
    <w:rsid w:val="09641372"/>
    <w:rsid w:val="09736C45"/>
    <w:rsid w:val="09774987"/>
    <w:rsid w:val="09B96D4E"/>
    <w:rsid w:val="09CA0F5B"/>
    <w:rsid w:val="09D74EF0"/>
    <w:rsid w:val="09E3201C"/>
    <w:rsid w:val="09FD1E6C"/>
    <w:rsid w:val="0A014251"/>
    <w:rsid w:val="0A0B50CF"/>
    <w:rsid w:val="0A0E1031"/>
    <w:rsid w:val="0A0F2E11"/>
    <w:rsid w:val="0A0F696E"/>
    <w:rsid w:val="0A682522"/>
    <w:rsid w:val="0A683ED4"/>
    <w:rsid w:val="0A6848D8"/>
    <w:rsid w:val="0A6F565E"/>
    <w:rsid w:val="0A742C74"/>
    <w:rsid w:val="0A7C5EE5"/>
    <w:rsid w:val="0ABD286D"/>
    <w:rsid w:val="0AC41E4E"/>
    <w:rsid w:val="0AD100C7"/>
    <w:rsid w:val="0ADD6A6C"/>
    <w:rsid w:val="0AF03373"/>
    <w:rsid w:val="0B057D70"/>
    <w:rsid w:val="0BAF665A"/>
    <w:rsid w:val="0BB63CDC"/>
    <w:rsid w:val="0BEB340A"/>
    <w:rsid w:val="0BED2CDE"/>
    <w:rsid w:val="0C1A784C"/>
    <w:rsid w:val="0C1B09F4"/>
    <w:rsid w:val="0C1D11D3"/>
    <w:rsid w:val="0C405504"/>
    <w:rsid w:val="0C60563C"/>
    <w:rsid w:val="0C686809"/>
    <w:rsid w:val="0C6F4365"/>
    <w:rsid w:val="0C7117A3"/>
    <w:rsid w:val="0C7B02EA"/>
    <w:rsid w:val="0C923886"/>
    <w:rsid w:val="0C965124"/>
    <w:rsid w:val="0CF01B55"/>
    <w:rsid w:val="0CF647D3"/>
    <w:rsid w:val="0D0A78C0"/>
    <w:rsid w:val="0D0C188A"/>
    <w:rsid w:val="0D1129FD"/>
    <w:rsid w:val="0D132C19"/>
    <w:rsid w:val="0D305579"/>
    <w:rsid w:val="0D4252AC"/>
    <w:rsid w:val="0D4947F0"/>
    <w:rsid w:val="0D613984"/>
    <w:rsid w:val="0D6C574D"/>
    <w:rsid w:val="0D6E7004"/>
    <w:rsid w:val="0D883FB7"/>
    <w:rsid w:val="0D8B0A01"/>
    <w:rsid w:val="0DE56FDE"/>
    <w:rsid w:val="0DEF6259"/>
    <w:rsid w:val="0DF447F8"/>
    <w:rsid w:val="0DF90060"/>
    <w:rsid w:val="0E0D58BA"/>
    <w:rsid w:val="0E285928"/>
    <w:rsid w:val="0E2A1FC8"/>
    <w:rsid w:val="0E2D7D0A"/>
    <w:rsid w:val="0E552DBD"/>
    <w:rsid w:val="0E976843"/>
    <w:rsid w:val="0EA578A0"/>
    <w:rsid w:val="0EA83079"/>
    <w:rsid w:val="0F1A1917"/>
    <w:rsid w:val="0F203F97"/>
    <w:rsid w:val="0F3330FE"/>
    <w:rsid w:val="0F3B6457"/>
    <w:rsid w:val="0F40581B"/>
    <w:rsid w:val="0F4075C9"/>
    <w:rsid w:val="0F515C7A"/>
    <w:rsid w:val="0F517A28"/>
    <w:rsid w:val="0F535F76"/>
    <w:rsid w:val="0F5A0DB5"/>
    <w:rsid w:val="0F6B6D3C"/>
    <w:rsid w:val="0F7F661A"/>
    <w:rsid w:val="0F8F4956"/>
    <w:rsid w:val="0F9F0794"/>
    <w:rsid w:val="0FA31024"/>
    <w:rsid w:val="0FBD6E6C"/>
    <w:rsid w:val="0FDE19F7"/>
    <w:rsid w:val="0FF46D31"/>
    <w:rsid w:val="10044A9B"/>
    <w:rsid w:val="1019169C"/>
    <w:rsid w:val="101A42BE"/>
    <w:rsid w:val="101C0036"/>
    <w:rsid w:val="1021387D"/>
    <w:rsid w:val="102D02A1"/>
    <w:rsid w:val="102D3FF1"/>
    <w:rsid w:val="102E38C6"/>
    <w:rsid w:val="103E1D5B"/>
    <w:rsid w:val="10675755"/>
    <w:rsid w:val="1077526D"/>
    <w:rsid w:val="108160EB"/>
    <w:rsid w:val="109E740F"/>
    <w:rsid w:val="10AB4F16"/>
    <w:rsid w:val="10AC760C"/>
    <w:rsid w:val="10BB784F"/>
    <w:rsid w:val="10C83D1A"/>
    <w:rsid w:val="10CD30DE"/>
    <w:rsid w:val="10DD77C5"/>
    <w:rsid w:val="10E723F2"/>
    <w:rsid w:val="10EC0872"/>
    <w:rsid w:val="111451B1"/>
    <w:rsid w:val="11423ACC"/>
    <w:rsid w:val="1144495B"/>
    <w:rsid w:val="11515ABE"/>
    <w:rsid w:val="115F45E5"/>
    <w:rsid w:val="116E48C1"/>
    <w:rsid w:val="116F4196"/>
    <w:rsid w:val="119500A0"/>
    <w:rsid w:val="11D34725"/>
    <w:rsid w:val="11D566EF"/>
    <w:rsid w:val="11D861DF"/>
    <w:rsid w:val="12107F7D"/>
    <w:rsid w:val="12266F4A"/>
    <w:rsid w:val="125F51BD"/>
    <w:rsid w:val="126B2BAF"/>
    <w:rsid w:val="126D1954"/>
    <w:rsid w:val="12744159"/>
    <w:rsid w:val="127A1044"/>
    <w:rsid w:val="12A146D5"/>
    <w:rsid w:val="12A85BB1"/>
    <w:rsid w:val="12B10F0A"/>
    <w:rsid w:val="12C50511"/>
    <w:rsid w:val="12E360E4"/>
    <w:rsid w:val="12E60488"/>
    <w:rsid w:val="12E62106"/>
    <w:rsid w:val="12F901BB"/>
    <w:rsid w:val="13182D37"/>
    <w:rsid w:val="13196AAF"/>
    <w:rsid w:val="13373653"/>
    <w:rsid w:val="133D454B"/>
    <w:rsid w:val="133E2072"/>
    <w:rsid w:val="135950FD"/>
    <w:rsid w:val="13616DDA"/>
    <w:rsid w:val="137B32C6"/>
    <w:rsid w:val="13826402"/>
    <w:rsid w:val="13916645"/>
    <w:rsid w:val="13AC7923"/>
    <w:rsid w:val="13D5487D"/>
    <w:rsid w:val="13F57B76"/>
    <w:rsid w:val="13FC764C"/>
    <w:rsid w:val="141259D8"/>
    <w:rsid w:val="1419582F"/>
    <w:rsid w:val="141C1100"/>
    <w:rsid w:val="14365E8B"/>
    <w:rsid w:val="1441006B"/>
    <w:rsid w:val="144C06BE"/>
    <w:rsid w:val="14531B4D"/>
    <w:rsid w:val="14641FAC"/>
    <w:rsid w:val="14697BE6"/>
    <w:rsid w:val="147742FE"/>
    <w:rsid w:val="14A56265"/>
    <w:rsid w:val="14DB7F08"/>
    <w:rsid w:val="14E62BE7"/>
    <w:rsid w:val="1517701E"/>
    <w:rsid w:val="15200D24"/>
    <w:rsid w:val="15221996"/>
    <w:rsid w:val="153D4CD7"/>
    <w:rsid w:val="155E4C4D"/>
    <w:rsid w:val="15610299"/>
    <w:rsid w:val="158463DE"/>
    <w:rsid w:val="15915022"/>
    <w:rsid w:val="159D7523"/>
    <w:rsid w:val="15A86FC9"/>
    <w:rsid w:val="15D56295"/>
    <w:rsid w:val="15D867AD"/>
    <w:rsid w:val="160457D1"/>
    <w:rsid w:val="160752E5"/>
    <w:rsid w:val="161D1CE9"/>
    <w:rsid w:val="161E0A1B"/>
    <w:rsid w:val="163A2FC4"/>
    <w:rsid w:val="163D5AC4"/>
    <w:rsid w:val="1647748F"/>
    <w:rsid w:val="166D15EC"/>
    <w:rsid w:val="16734728"/>
    <w:rsid w:val="167C35DD"/>
    <w:rsid w:val="16866209"/>
    <w:rsid w:val="16930926"/>
    <w:rsid w:val="169C3C7F"/>
    <w:rsid w:val="16A9014A"/>
    <w:rsid w:val="16B502FA"/>
    <w:rsid w:val="16E86EC4"/>
    <w:rsid w:val="16F77107"/>
    <w:rsid w:val="1703785A"/>
    <w:rsid w:val="17117C38"/>
    <w:rsid w:val="17143815"/>
    <w:rsid w:val="17285513"/>
    <w:rsid w:val="17521DA9"/>
    <w:rsid w:val="17571954"/>
    <w:rsid w:val="17A133F8"/>
    <w:rsid w:val="17A56B63"/>
    <w:rsid w:val="17C224C7"/>
    <w:rsid w:val="17DE54CF"/>
    <w:rsid w:val="17E4768B"/>
    <w:rsid w:val="17F81389"/>
    <w:rsid w:val="17FD65D0"/>
    <w:rsid w:val="18025D64"/>
    <w:rsid w:val="180715CC"/>
    <w:rsid w:val="180A2E6A"/>
    <w:rsid w:val="181F6915"/>
    <w:rsid w:val="182C1032"/>
    <w:rsid w:val="18441ED8"/>
    <w:rsid w:val="184B74E5"/>
    <w:rsid w:val="18664544"/>
    <w:rsid w:val="18730853"/>
    <w:rsid w:val="188F6EFF"/>
    <w:rsid w:val="189D783A"/>
    <w:rsid w:val="18A346C2"/>
    <w:rsid w:val="18C7379E"/>
    <w:rsid w:val="18C748B7"/>
    <w:rsid w:val="18D771F0"/>
    <w:rsid w:val="18DA6CE0"/>
    <w:rsid w:val="1912647A"/>
    <w:rsid w:val="19263CD4"/>
    <w:rsid w:val="192B12EA"/>
    <w:rsid w:val="1946272E"/>
    <w:rsid w:val="195F08E7"/>
    <w:rsid w:val="195F2D42"/>
    <w:rsid w:val="196333D9"/>
    <w:rsid w:val="196C5B8A"/>
    <w:rsid w:val="19742C91"/>
    <w:rsid w:val="19792055"/>
    <w:rsid w:val="197E141A"/>
    <w:rsid w:val="198D1C77"/>
    <w:rsid w:val="199702F5"/>
    <w:rsid w:val="19A215AC"/>
    <w:rsid w:val="19B659E9"/>
    <w:rsid w:val="19CA28B1"/>
    <w:rsid w:val="19CC166E"/>
    <w:rsid w:val="19E576EB"/>
    <w:rsid w:val="19F704E3"/>
    <w:rsid w:val="1A2735AF"/>
    <w:rsid w:val="1A7D7923"/>
    <w:rsid w:val="1A98650B"/>
    <w:rsid w:val="1A9D1D74"/>
    <w:rsid w:val="1ACB3526"/>
    <w:rsid w:val="1AD70FEB"/>
    <w:rsid w:val="1ADA70F7"/>
    <w:rsid w:val="1ADE52DA"/>
    <w:rsid w:val="1AFF4613"/>
    <w:rsid w:val="1B49619E"/>
    <w:rsid w:val="1B6A60FA"/>
    <w:rsid w:val="1B701236"/>
    <w:rsid w:val="1BAC6712"/>
    <w:rsid w:val="1BB83309"/>
    <w:rsid w:val="1BD57D32"/>
    <w:rsid w:val="1BD712B5"/>
    <w:rsid w:val="1BE30BF5"/>
    <w:rsid w:val="1BF14125"/>
    <w:rsid w:val="1C12523F"/>
    <w:rsid w:val="1C16002F"/>
    <w:rsid w:val="1C1821EF"/>
    <w:rsid w:val="1C365FDC"/>
    <w:rsid w:val="1C395ACC"/>
    <w:rsid w:val="1C47643B"/>
    <w:rsid w:val="1C556DAA"/>
    <w:rsid w:val="1C5B4972"/>
    <w:rsid w:val="1C662D65"/>
    <w:rsid w:val="1C786A3B"/>
    <w:rsid w:val="1C84143D"/>
    <w:rsid w:val="1C942349"/>
    <w:rsid w:val="1CA2751E"/>
    <w:rsid w:val="1CAC2742"/>
    <w:rsid w:val="1CB33AD0"/>
    <w:rsid w:val="1CC04712"/>
    <w:rsid w:val="1CE819CC"/>
    <w:rsid w:val="1CEF719F"/>
    <w:rsid w:val="1CFE1968"/>
    <w:rsid w:val="1D2E3157"/>
    <w:rsid w:val="1DA33B45"/>
    <w:rsid w:val="1DA7106E"/>
    <w:rsid w:val="1DAD6772"/>
    <w:rsid w:val="1DAF4B38"/>
    <w:rsid w:val="1DDA0D6B"/>
    <w:rsid w:val="1DDF7A40"/>
    <w:rsid w:val="1DE228BA"/>
    <w:rsid w:val="1E0839A8"/>
    <w:rsid w:val="1E8F2A80"/>
    <w:rsid w:val="1EB9030D"/>
    <w:rsid w:val="1EC91389"/>
    <w:rsid w:val="1EDA4679"/>
    <w:rsid w:val="1EE05D46"/>
    <w:rsid w:val="1F03544E"/>
    <w:rsid w:val="1F0829B6"/>
    <w:rsid w:val="1F2C2D5F"/>
    <w:rsid w:val="1F470500"/>
    <w:rsid w:val="1F5246BA"/>
    <w:rsid w:val="1F6327D6"/>
    <w:rsid w:val="1F6E513F"/>
    <w:rsid w:val="1FA0658E"/>
    <w:rsid w:val="1FB65DB1"/>
    <w:rsid w:val="1FCF0C21"/>
    <w:rsid w:val="1FD16E47"/>
    <w:rsid w:val="1FDE70B6"/>
    <w:rsid w:val="1FE83A91"/>
    <w:rsid w:val="20052895"/>
    <w:rsid w:val="201605FE"/>
    <w:rsid w:val="201C3760"/>
    <w:rsid w:val="20210D51"/>
    <w:rsid w:val="202F2F0A"/>
    <w:rsid w:val="20322F5E"/>
    <w:rsid w:val="203B7DCD"/>
    <w:rsid w:val="2040567B"/>
    <w:rsid w:val="20476A09"/>
    <w:rsid w:val="204A02A8"/>
    <w:rsid w:val="20717F2A"/>
    <w:rsid w:val="208F6602"/>
    <w:rsid w:val="209459C7"/>
    <w:rsid w:val="20A420AE"/>
    <w:rsid w:val="20B322F1"/>
    <w:rsid w:val="20C067BC"/>
    <w:rsid w:val="20C242E2"/>
    <w:rsid w:val="20C91B14"/>
    <w:rsid w:val="20D44015"/>
    <w:rsid w:val="20E643A0"/>
    <w:rsid w:val="20FD26FC"/>
    <w:rsid w:val="2146615C"/>
    <w:rsid w:val="21505D92"/>
    <w:rsid w:val="216A06D1"/>
    <w:rsid w:val="216D6919"/>
    <w:rsid w:val="21780E44"/>
    <w:rsid w:val="21933ED0"/>
    <w:rsid w:val="21B61F52"/>
    <w:rsid w:val="21C36564"/>
    <w:rsid w:val="21C81DCC"/>
    <w:rsid w:val="21D249F9"/>
    <w:rsid w:val="21DA38AD"/>
    <w:rsid w:val="21F84180"/>
    <w:rsid w:val="22500474"/>
    <w:rsid w:val="22513B6F"/>
    <w:rsid w:val="22525B39"/>
    <w:rsid w:val="227B2926"/>
    <w:rsid w:val="22835CF3"/>
    <w:rsid w:val="22865684"/>
    <w:rsid w:val="228C104B"/>
    <w:rsid w:val="22BA5A10"/>
    <w:rsid w:val="22CF718A"/>
    <w:rsid w:val="231E7B37"/>
    <w:rsid w:val="233D40F4"/>
    <w:rsid w:val="23450EDC"/>
    <w:rsid w:val="23515DF1"/>
    <w:rsid w:val="23517B9F"/>
    <w:rsid w:val="23531B69"/>
    <w:rsid w:val="235D02F2"/>
    <w:rsid w:val="235F406A"/>
    <w:rsid w:val="236B2E9C"/>
    <w:rsid w:val="238826AD"/>
    <w:rsid w:val="238B742E"/>
    <w:rsid w:val="23987286"/>
    <w:rsid w:val="23AD74CB"/>
    <w:rsid w:val="23AE6D9F"/>
    <w:rsid w:val="23B24756"/>
    <w:rsid w:val="23D45DC0"/>
    <w:rsid w:val="23E1155B"/>
    <w:rsid w:val="23ED1676"/>
    <w:rsid w:val="241F1A4B"/>
    <w:rsid w:val="242B4894"/>
    <w:rsid w:val="243472A5"/>
    <w:rsid w:val="24376D95"/>
    <w:rsid w:val="245A4A6F"/>
    <w:rsid w:val="247A404C"/>
    <w:rsid w:val="248A15BB"/>
    <w:rsid w:val="249F7694"/>
    <w:rsid w:val="24A92885"/>
    <w:rsid w:val="24F86524"/>
    <w:rsid w:val="25001B3E"/>
    <w:rsid w:val="250F1AC0"/>
    <w:rsid w:val="2513335E"/>
    <w:rsid w:val="251F61A7"/>
    <w:rsid w:val="252E0198"/>
    <w:rsid w:val="25340E3D"/>
    <w:rsid w:val="254259F1"/>
    <w:rsid w:val="25545BB7"/>
    <w:rsid w:val="25550C1E"/>
    <w:rsid w:val="255D409B"/>
    <w:rsid w:val="256A4F48"/>
    <w:rsid w:val="25781413"/>
    <w:rsid w:val="258204E4"/>
    <w:rsid w:val="25A71CF8"/>
    <w:rsid w:val="25BD21AD"/>
    <w:rsid w:val="25CA6E09"/>
    <w:rsid w:val="25D6438C"/>
    <w:rsid w:val="25E25090"/>
    <w:rsid w:val="25F3318F"/>
    <w:rsid w:val="25F5515A"/>
    <w:rsid w:val="25F64996"/>
    <w:rsid w:val="262B0B7B"/>
    <w:rsid w:val="265A6D6B"/>
    <w:rsid w:val="266876DA"/>
    <w:rsid w:val="268C2968"/>
    <w:rsid w:val="26C65C0F"/>
    <w:rsid w:val="26C708A4"/>
    <w:rsid w:val="26C757BD"/>
    <w:rsid w:val="26DB434F"/>
    <w:rsid w:val="26EA4592"/>
    <w:rsid w:val="26ED1D1A"/>
    <w:rsid w:val="26EE4083"/>
    <w:rsid w:val="27046DB7"/>
    <w:rsid w:val="271565FB"/>
    <w:rsid w:val="27207FB4"/>
    <w:rsid w:val="27331D58"/>
    <w:rsid w:val="27391076"/>
    <w:rsid w:val="27391BD0"/>
    <w:rsid w:val="27426D58"/>
    <w:rsid w:val="27607710"/>
    <w:rsid w:val="276C3F85"/>
    <w:rsid w:val="276E2ACE"/>
    <w:rsid w:val="27735B86"/>
    <w:rsid w:val="277B1EA4"/>
    <w:rsid w:val="278D4EE0"/>
    <w:rsid w:val="27A961FC"/>
    <w:rsid w:val="27A96AB9"/>
    <w:rsid w:val="27CD31BF"/>
    <w:rsid w:val="27D95EBF"/>
    <w:rsid w:val="27DC037F"/>
    <w:rsid w:val="27EC31AA"/>
    <w:rsid w:val="280A4686"/>
    <w:rsid w:val="281F026C"/>
    <w:rsid w:val="283A284D"/>
    <w:rsid w:val="285919D0"/>
    <w:rsid w:val="28595263"/>
    <w:rsid w:val="2868457E"/>
    <w:rsid w:val="28793E20"/>
    <w:rsid w:val="28926CDF"/>
    <w:rsid w:val="2895372B"/>
    <w:rsid w:val="28AA222B"/>
    <w:rsid w:val="28C64DCA"/>
    <w:rsid w:val="28C802B7"/>
    <w:rsid w:val="28DE1ED5"/>
    <w:rsid w:val="28DF17A9"/>
    <w:rsid w:val="28F24E95"/>
    <w:rsid w:val="28FB65E3"/>
    <w:rsid w:val="28FC235B"/>
    <w:rsid w:val="29174AC8"/>
    <w:rsid w:val="2920429C"/>
    <w:rsid w:val="294B0A9B"/>
    <w:rsid w:val="29581C87"/>
    <w:rsid w:val="296D0CD1"/>
    <w:rsid w:val="296E14AB"/>
    <w:rsid w:val="299507E6"/>
    <w:rsid w:val="29AB625B"/>
    <w:rsid w:val="29CF181E"/>
    <w:rsid w:val="2A005E38"/>
    <w:rsid w:val="2A133E00"/>
    <w:rsid w:val="2A3873C3"/>
    <w:rsid w:val="2A75037D"/>
    <w:rsid w:val="2A756869"/>
    <w:rsid w:val="2A9F38E6"/>
    <w:rsid w:val="2AA8279A"/>
    <w:rsid w:val="2AB27C3C"/>
    <w:rsid w:val="2AB63109"/>
    <w:rsid w:val="2ABF7AE4"/>
    <w:rsid w:val="2ACD0453"/>
    <w:rsid w:val="2AD322F2"/>
    <w:rsid w:val="2AF84EE9"/>
    <w:rsid w:val="2AFE23BA"/>
    <w:rsid w:val="2B0379D1"/>
    <w:rsid w:val="2B0C0F7B"/>
    <w:rsid w:val="2B23496F"/>
    <w:rsid w:val="2B397896"/>
    <w:rsid w:val="2B6D12EE"/>
    <w:rsid w:val="2B8E1990"/>
    <w:rsid w:val="2BAA2542"/>
    <w:rsid w:val="2BAD7EEE"/>
    <w:rsid w:val="2BD31A99"/>
    <w:rsid w:val="2BE45A54"/>
    <w:rsid w:val="2BF9180D"/>
    <w:rsid w:val="2C210F74"/>
    <w:rsid w:val="2C245E51"/>
    <w:rsid w:val="2C3116AB"/>
    <w:rsid w:val="2C602C01"/>
    <w:rsid w:val="2C620DE5"/>
    <w:rsid w:val="2C697D08"/>
    <w:rsid w:val="2C6E5E3A"/>
    <w:rsid w:val="2C840FE5"/>
    <w:rsid w:val="2C8C39F6"/>
    <w:rsid w:val="2C9A6113"/>
    <w:rsid w:val="2CBD1492"/>
    <w:rsid w:val="2CD4412F"/>
    <w:rsid w:val="2CED26E7"/>
    <w:rsid w:val="2CFC6DCE"/>
    <w:rsid w:val="2D151C3D"/>
    <w:rsid w:val="2D32459D"/>
    <w:rsid w:val="2D406CBA"/>
    <w:rsid w:val="2D4300C9"/>
    <w:rsid w:val="2D430559"/>
    <w:rsid w:val="2D4C45A1"/>
    <w:rsid w:val="2D510EC7"/>
    <w:rsid w:val="2D67693D"/>
    <w:rsid w:val="2D6D3827"/>
    <w:rsid w:val="2D894D72"/>
    <w:rsid w:val="2DAD00C8"/>
    <w:rsid w:val="2DC44A4F"/>
    <w:rsid w:val="2DC55411"/>
    <w:rsid w:val="2DD12008"/>
    <w:rsid w:val="2E083F3B"/>
    <w:rsid w:val="2E0B376C"/>
    <w:rsid w:val="2E3507E9"/>
    <w:rsid w:val="2E5077D3"/>
    <w:rsid w:val="2E6A3E61"/>
    <w:rsid w:val="2E876B6B"/>
    <w:rsid w:val="2E954DE4"/>
    <w:rsid w:val="2E9C0E80"/>
    <w:rsid w:val="2EAD053B"/>
    <w:rsid w:val="2EBD258D"/>
    <w:rsid w:val="2EC03CB2"/>
    <w:rsid w:val="2EC67693"/>
    <w:rsid w:val="2EC8145A"/>
    <w:rsid w:val="2ED0766D"/>
    <w:rsid w:val="2EDD678B"/>
    <w:rsid w:val="2EF20132"/>
    <w:rsid w:val="2F166361"/>
    <w:rsid w:val="2F2A2D4D"/>
    <w:rsid w:val="2F452CAE"/>
    <w:rsid w:val="2F4A6121"/>
    <w:rsid w:val="2F7D6EF5"/>
    <w:rsid w:val="2FA95B86"/>
    <w:rsid w:val="2FB83480"/>
    <w:rsid w:val="2FC040E2"/>
    <w:rsid w:val="2FD6110E"/>
    <w:rsid w:val="2FE54285"/>
    <w:rsid w:val="2FF80E15"/>
    <w:rsid w:val="2FFD79D3"/>
    <w:rsid w:val="300852DE"/>
    <w:rsid w:val="30087837"/>
    <w:rsid w:val="30182170"/>
    <w:rsid w:val="301B756B"/>
    <w:rsid w:val="302145DD"/>
    <w:rsid w:val="3025488D"/>
    <w:rsid w:val="3034687E"/>
    <w:rsid w:val="30523594"/>
    <w:rsid w:val="30546461"/>
    <w:rsid w:val="30890978"/>
    <w:rsid w:val="309C4B4F"/>
    <w:rsid w:val="30A734F4"/>
    <w:rsid w:val="30A9726C"/>
    <w:rsid w:val="30D51E0F"/>
    <w:rsid w:val="30DA7426"/>
    <w:rsid w:val="30E738F1"/>
    <w:rsid w:val="30E829D4"/>
    <w:rsid w:val="30F8356E"/>
    <w:rsid w:val="30F85AFE"/>
    <w:rsid w:val="310D15A9"/>
    <w:rsid w:val="312C3DE1"/>
    <w:rsid w:val="314F3970"/>
    <w:rsid w:val="316C5EBB"/>
    <w:rsid w:val="318C4058"/>
    <w:rsid w:val="318C4BC4"/>
    <w:rsid w:val="31AF28A2"/>
    <w:rsid w:val="31B639EF"/>
    <w:rsid w:val="31D9592F"/>
    <w:rsid w:val="31E645B2"/>
    <w:rsid w:val="31F12C79"/>
    <w:rsid w:val="31F134B7"/>
    <w:rsid w:val="32244DFC"/>
    <w:rsid w:val="322667B5"/>
    <w:rsid w:val="328303DD"/>
    <w:rsid w:val="32E0684A"/>
    <w:rsid w:val="32E620B2"/>
    <w:rsid w:val="32EB3B6C"/>
    <w:rsid w:val="32EE0F67"/>
    <w:rsid w:val="32F02F31"/>
    <w:rsid w:val="32FD11AA"/>
    <w:rsid w:val="33024A12"/>
    <w:rsid w:val="33136C1F"/>
    <w:rsid w:val="333746BC"/>
    <w:rsid w:val="33770F5C"/>
    <w:rsid w:val="33823753"/>
    <w:rsid w:val="338B2C59"/>
    <w:rsid w:val="33A65CE5"/>
    <w:rsid w:val="33AA05E8"/>
    <w:rsid w:val="33B169AF"/>
    <w:rsid w:val="33C66680"/>
    <w:rsid w:val="33E3258B"/>
    <w:rsid w:val="33FB393B"/>
    <w:rsid w:val="34131B96"/>
    <w:rsid w:val="341B4D8B"/>
    <w:rsid w:val="3431795E"/>
    <w:rsid w:val="343D55E2"/>
    <w:rsid w:val="34452E08"/>
    <w:rsid w:val="34552B86"/>
    <w:rsid w:val="34627E5E"/>
    <w:rsid w:val="34980AC4"/>
    <w:rsid w:val="349D0E96"/>
    <w:rsid w:val="34E21963"/>
    <w:rsid w:val="34E50CCC"/>
    <w:rsid w:val="34F14D3E"/>
    <w:rsid w:val="34F62354"/>
    <w:rsid w:val="352D221A"/>
    <w:rsid w:val="35387D63"/>
    <w:rsid w:val="353A4937"/>
    <w:rsid w:val="354D6418"/>
    <w:rsid w:val="358931C8"/>
    <w:rsid w:val="35A952DD"/>
    <w:rsid w:val="35BA7826"/>
    <w:rsid w:val="35C10BB4"/>
    <w:rsid w:val="35F5260C"/>
    <w:rsid w:val="35F70776"/>
    <w:rsid w:val="362829E1"/>
    <w:rsid w:val="36356EAC"/>
    <w:rsid w:val="36405F7D"/>
    <w:rsid w:val="36427103"/>
    <w:rsid w:val="36454420"/>
    <w:rsid w:val="36633A19"/>
    <w:rsid w:val="367232C8"/>
    <w:rsid w:val="36730100"/>
    <w:rsid w:val="367664B1"/>
    <w:rsid w:val="367D1DCA"/>
    <w:rsid w:val="36E508D2"/>
    <w:rsid w:val="36FF1994"/>
    <w:rsid w:val="370C0700"/>
    <w:rsid w:val="371B152F"/>
    <w:rsid w:val="37384EA6"/>
    <w:rsid w:val="37427AD3"/>
    <w:rsid w:val="37643EED"/>
    <w:rsid w:val="376E6490"/>
    <w:rsid w:val="37904CE2"/>
    <w:rsid w:val="37A23B2A"/>
    <w:rsid w:val="37A7550F"/>
    <w:rsid w:val="37A83712"/>
    <w:rsid w:val="37B24AB3"/>
    <w:rsid w:val="37C640CA"/>
    <w:rsid w:val="37C8622A"/>
    <w:rsid w:val="37E42938"/>
    <w:rsid w:val="3809239F"/>
    <w:rsid w:val="38156F95"/>
    <w:rsid w:val="381B0A50"/>
    <w:rsid w:val="38510CC6"/>
    <w:rsid w:val="389B393F"/>
    <w:rsid w:val="389D18F0"/>
    <w:rsid w:val="38AC5B4C"/>
    <w:rsid w:val="38AD56EA"/>
    <w:rsid w:val="38BD38B5"/>
    <w:rsid w:val="38BE13DB"/>
    <w:rsid w:val="38CD7870"/>
    <w:rsid w:val="38ED03A5"/>
    <w:rsid w:val="38F11583"/>
    <w:rsid w:val="38F20621"/>
    <w:rsid w:val="3911775D"/>
    <w:rsid w:val="391B682D"/>
    <w:rsid w:val="3943394F"/>
    <w:rsid w:val="39553AED"/>
    <w:rsid w:val="39A44A75"/>
    <w:rsid w:val="39AE31FE"/>
    <w:rsid w:val="39BF2767"/>
    <w:rsid w:val="39CD3FCC"/>
    <w:rsid w:val="39CE564E"/>
    <w:rsid w:val="39D569DC"/>
    <w:rsid w:val="39E5694E"/>
    <w:rsid w:val="39E8099F"/>
    <w:rsid w:val="39E97BF2"/>
    <w:rsid w:val="39EC027C"/>
    <w:rsid w:val="39F448CD"/>
    <w:rsid w:val="39FF7EFD"/>
    <w:rsid w:val="3A1219DE"/>
    <w:rsid w:val="3A4D0C68"/>
    <w:rsid w:val="3A5B6136"/>
    <w:rsid w:val="3A5C0EAC"/>
    <w:rsid w:val="3A7A7584"/>
    <w:rsid w:val="3A850B77"/>
    <w:rsid w:val="3A887EF3"/>
    <w:rsid w:val="3AA20FB4"/>
    <w:rsid w:val="3AA27206"/>
    <w:rsid w:val="3AA36ADA"/>
    <w:rsid w:val="3AAA009C"/>
    <w:rsid w:val="3AAD7959"/>
    <w:rsid w:val="3ADC2E01"/>
    <w:rsid w:val="3AEA295B"/>
    <w:rsid w:val="3AFC23EB"/>
    <w:rsid w:val="3B0E03F8"/>
    <w:rsid w:val="3B4200A1"/>
    <w:rsid w:val="3B4A51A8"/>
    <w:rsid w:val="3B4E4C98"/>
    <w:rsid w:val="3B5E4A0D"/>
    <w:rsid w:val="3B7F12F6"/>
    <w:rsid w:val="3B800BCA"/>
    <w:rsid w:val="3B8E7126"/>
    <w:rsid w:val="3B9D5C20"/>
    <w:rsid w:val="3BB15227"/>
    <w:rsid w:val="3BC136BC"/>
    <w:rsid w:val="3BC90B0B"/>
    <w:rsid w:val="3BDC22A4"/>
    <w:rsid w:val="3C261771"/>
    <w:rsid w:val="3C384E8C"/>
    <w:rsid w:val="3C3C2D43"/>
    <w:rsid w:val="3C5C1637"/>
    <w:rsid w:val="3C6D114E"/>
    <w:rsid w:val="3C6D55F2"/>
    <w:rsid w:val="3C770627"/>
    <w:rsid w:val="3C917532"/>
    <w:rsid w:val="3CA863A8"/>
    <w:rsid w:val="3CB11983"/>
    <w:rsid w:val="3CD8017B"/>
    <w:rsid w:val="3CDE71C1"/>
    <w:rsid w:val="3CEB3FEF"/>
    <w:rsid w:val="3D0C6BB9"/>
    <w:rsid w:val="3D17730C"/>
    <w:rsid w:val="3D22018A"/>
    <w:rsid w:val="3D3805DF"/>
    <w:rsid w:val="3D3E0D3C"/>
    <w:rsid w:val="3D453E79"/>
    <w:rsid w:val="3D49647F"/>
    <w:rsid w:val="3D5D11C3"/>
    <w:rsid w:val="3D622C7D"/>
    <w:rsid w:val="3D70539A"/>
    <w:rsid w:val="3DAB4624"/>
    <w:rsid w:val="3DB66B25"/>
    <w:rsid w:val="3DC456E6"/>
    <w:rsid w:val="3DDB658B"/>
    <w:rsid w:val="3E0E4BB3"/>
    <w:rsid w:val="3E104487"/>
    <w:rsid w:val="3E2241BA"/>
    <w:rsid w:val="3E3D0FF4"/>
    <w:rsid w:val="3E483C21"/>
    <w:rsid w:val="3E5D51F2"/>
    <w:rsid w:val="3E7C7D6E"/>
    <w:rsid w:val="3E945C80"/>
    <w:rsid w:val="3EA90437"/>
    <w:rsid w:val="3EAB41B0"/>
    <w:rsid w:val="3EC82FB3"/>
    <w:rsid w:val="3ECF60F0"/>
    <w:rsid w:val="3EDC25BB"/>
    <w:rsid w:val="3EE651E8"/>
    <w:rsid w:val="3EFB6EE5"/>
    <w:rsid w:val="3F033FEC"/>
    <w:rsid w:val="3F147857"/>
    <w:rsid w:val="3F1D5F61"/>
    <w:rsid w:val="3F2006FA"/>
    <w:rsid w:val="3F264703"/>
    <w:rsid w:val="3F3044D0"/>
    <w:rsid w:val="3F424B14"/>
    <w:rsid w:val="3F696545"/>
    <w:rsid w:val="3F6E5909"/>
    <w:rsid w:val="3F731171"/>
    <w:rsid w:val="3FA702E8"/>
    <w:rsid w:val="3FAF7CCF"/>
    <w:rsid w:val="3FB377C0"/>
    <w:rsid w:val="3FB83028"/>
    <w:rsid w:val="3FBD063E"/>
    <w:rsid w:val="3FC512A1"/>
    <w:rsid w:val="3FC714BD"/>
    <w:rsid w:val="3FCB2D5B"/>
    <w:rsid w:val="3FDA34B1"/>
    <w:rsid w:val="3FDB2873"/>
    <w:rsid w:val="3FE931E1"/>
    <w:rsid w:val="3FF12096"/>
    <w:rsid w:val="40363F4D"/>
    <w:rsid w:val="40381A73"/>
    <w:rsid w:val="40662A84"/>
    <w:rsid w:val="4084115C"/>
    <w:rsid w:val="40923879"/>
    <w:rsid w:val="409F5F96"/>
    <w:rsid w:val="40A62E81"/>
    <w:rsid w:val="40BF38EE"/>
    <w:rsid w:val="40C81C57"/>
    <w:rsid w:val="40D20119"/>
    <w:rsid w:val="40DC4AF4"/>
    <w:rsid w:val="40EF2A79"/>
    <w:rsid w:val="410E7DF5"/>
    <w:rsid w:val="411A75D0"/>
    <w:rsid w:val="414A7CB0"/>
    <w:rsid w:val="414C1C7A"/>
    <w:rsid w:val="4154318A"/>
    <w:rsid w:val="41641184"/>
    <w:rsid w:val="41696778"/>
    <w:rsid w:val="416F5968"/>
    <w:rsid w:val="4173594E"/>
    <w:rsid w:val="417B255F"/>
    <w:rsid w:val="41AD09C3"/>
    <w:rsid w:val="41C05228"/>
    <w:rsid w:val="41CA04D7"/>
    <w:rsid w:val="41D43A1D"/>
    <w:rsid w:val="41DD28D2"/>
    <w:rsid w:val="41FB137B"/>
    <w:rsid w:val="41FB7F39"/>
    <w:rsid w:val="42051E29"/>
    <w:rsid w:val="420662CD"/>
    <w:rsid w:val="4207456D"/>
    <w:rsid w:val="421502BE"/>
    <w:rsid w:val="425154F8"/>
    <w:rsid w:val="42644DA1"/>
    <w:rsid w:val="427850ED"/>
    <w:rsid w:val="429A07C3"/>
    <w:rsid w:val="42A7230A"/>
    <w:rsid w:val="42ED2FE9"/>
    <w:rsid w:val="43000F6E"/>
    <w:rsid w:val="43030A5E"/>
    <w:rsid w:val="430F7403"/>
    <w:rsid w:val="43346222"/>
    <w:rsid w:val="435F0AA0"/>
    <w:rsid w:val="437A5885"/>
    <w:rsid w:val="439E6277"/>
    <w:rsid w:val="43B600AD"/>
    <w:rsid w:val="43DF733B"/>
    <w:rsid w:val="43E371ED"/>
    <w:rsid w:val="43EA7528"/>
    <w:rsid w:val="43F108B7"/>
    <w:rsid w:val="43FE4C25"/>
    <w:rsid w:val="440419F3"/>
    <w:rsid w:val="441E4D86"/>
    <w:rsid w:val="4436451B"/>
    <w:rsid w:val="446F063A"/>
    <w:rsid w:val="448046DC"/>
    <w:rsid w:val="4484797D"/>
    <w:rsid w:val="44986059"/>
    <w:rsid w:val="44A818BD"/>
    <w:rsid w:val="44CC6C2E"/>
    <w:rsid w:val="44CF19E1"/>
    <w:rsid w:val="44D0720B"/>
    <w:rsid w:val="44D07D4A"/>
    <w:rsid w:val="44D53D34"/>
    <w:rsid w:val="45442C68"/>
    <w:rsid w:val="454676EB"/>
    <w:rsid w:val="45487509"/>
    <w:rsid w:val="45541CEF"/>
    <w:rsid w:val="456B4699"/>
    <w:rsid w:val="458F482B"/>
    <w:rsid w:val="45BB117C"/>
    <w:rsid w:val="45C06792"/>
    <w:rsid w:val="45F0690E"/>
    <w:rsid w:val="45F610F0"/>
    <w:rsid w:val="45FB3C6E"/>
    <w:rsid w:val="460366D7"/>
    <w:rsid w:val="4609638B"/>
    <w:rsid w:val="460C3316"/>
    <w:rsid w:val="46280371"/>
    <w:rsid w:val="463827CD"/>
    <w:rsid w:val="46530576"/>
    <w:rsid w:val="465D33BE"/>
    <w:rsid w:val="465D3D30"/>
    <w:rsid w:val="46647A66"/>
    <w:rsid w:val="46916381"/>
    <w:rsid w:val="46945A20"/>
    <w:rsid w:val="469A6FE4"/>
    <w:rsid w:val="46A3401E"/>
    <w:rsid w:val="46CC1167"/>
    <w:rsid w:val="46D85D5E"/>
    <w:rsid w:val="46FB137F"/>
    <w:rsid w:val="46FB50CF"/>
    <w:rsid w:val="46FC37FA"/>
    <w:rsid w:val="471C718B"/>
    <w:rsid w:val="4738351D"/>
    <w:rsid w:val="475950F1"/>
    <w:rsid w:val="476D46F8"/>
    <w:rsid w:val="477261B2"/>
    <w:rsid w:val="477A6E6A"/>
    <w:rsid w:val="477C3E4E"/>
    <w:rsid w:val="477E6905"/>
    <w:rsid w:val="479E6FA7"/>
    <w:rsid w:val="47D97FDF"/>
    <w:rsid w:val="47E32FBE"/>
    <w:rsid w:val="47E50732"/>
    <w:rsid w:val="48054198"/>
    <w:rsid w:val="481E3C44"/>
    <w:rsid w:val="482E1FB6"/>
    <w:rsid w:val="48380768"/>
    <w:rsid w:val="4840005F"/>
    <w:rsid w:val="484A4A39"/>
    <w:rsid w:val="484E277B"/>
    <w:rsid w:val="485E04E5"/>
    <w:rsid w:val="48621B0C"/>
    <w:rsid w:val="488F12B1"/>
    <w:rsid w:val="489451D8"/>
    <w:rsid w:val="48F331AB"/>
    <w:rsid w:val="48F75EC4"/>
    <w:rsid w:val="49227764"/>
    <w:rsid w:val="493C2BF3"/>
    <w:rsid w:val="4941408E"/>
    <w:rsid w:val="49431BB4"/>
    <w:rsid w:val="49601FEE"/>
    <w:rsid w:val="49853754"/>
    <w:rsid w:val="49A10689"/>
    <w:rsid w:val="49BA799D"/>
    <w:rsid w:val="49F92273"/>
    <w:rsid w:val="4A0D21C2"/>
    <w:rsid w:val="4A1134A2"/>
    <w:rsid w:val="4A2B43F6"/>
    <w:rsid w:val="4A4E23DD"/>
    <w:rsid w:val="4A5A3216"/>
    <w:rsid w:val="4A713F14"/>
    <w:rsid w:val="4A732ADF"/>
    <w:rsid w:val="4A7D4C52"/>
    <w:rsid w:val="4A963F66"/>
    <w:rsid w:val="4A96711A"/>
    <w:rsid w:val="4AB4049F"/>
    <w:rsid w:val="4AB80380"/>
    <w:rsid w:val="4AC81B75"/>
    <w:rsid w:val="4B0215FB"/>
    <w:rsid w:val="4B3B1EDD"/>
    <w:rsid w:val="4B7A3887"/>
    <w:rsid w:val="4B7E5126"/>
    <w:rsid w:val="4B895879"/>
    <w:rsid w:val="4B8B339F"/>
    <w:rsid w:val="4B951B65"/>
    <w:rsid w:val="4BA32DDE"/>
    <w:rsid w:val="4BB17956"/>
    <w:rsid w:val="4BD05255"/>
    <w:rsid w:val="4BE807F1"/>
    <w:rsid w:val="4BFE5D6A"/>
    <w:rsid w:val="4C147916"/>
    <w:rsid w:val="4C3D6555"/>
    <w:rsid w:val="4C673E0C"/>
    <w:rsid w:val="4C6B2B37"/>
    <w:rsid w:val="4C6C1422"/>
    <w:rsid w:val="4CAF7561"/>
    <w:rsid w:val="4CCA03D9"/>
    <w:rsid w:val="4CE94821"/>
    <w:rsid w:val="4CEC4311"/>
    <w:rsid w:val="4CF308FD"/>
    <w:rsid w:val="4D1F0243"/>
    <w:rsid w:val="4D6E4D26"/>
    <w:rsid w:val="4D926C66"/>
    <w:rsid w:val="4DAB5F7A"/>
    <w:rsid w:val="4DB017E2"/>
    <w:rsid w:val="4DC863E5"/>
    <w:rsid w:val="4DCA5A51"/>
    <w:rsid w:val="4DE05CFA"/>
    <w:rsid w:val="4DE12E81"/>
    <w:rsid w:val="4E7D7917"/>
    <w:rsid w:val="4E9B27EF"/>
    <w:rsid w:val="4EAC3D58"/>
    <w:rsid w:val="4EC015B1"/>
    <w:rsid w:val="4ECC43FA"/>
    <w:rsid w:val="4ECF7A46"/>
    <w:rsid w:val="4ED16A53"/>
    <w:rsid w:val="4EEB16E6"/>
    <w:rsid w:val="4EFA0F67"/>
    <w:rsid w:val="4F0B3174"/>
    <w:rsid w:val="4F0C303F"/>
    <w:rsid w:val="4F2D7040"/>
    <w:rsid w:val="4F3F2E1E"/>
    <w:rsid w:val="4F45117A"/>
    <w:rsid w:val="4F4626F3"/>
    <w:rsid w:val="4F4915A7"/>
    <w:rsid w:val="4F4A3571"/>
    <w:rsid w:val="4F5D32A4"/>
    <w:rsid w:val="4F701229"/>
    <w:rsid w:val="4F727FD6"/>
    <w:rsid w:val="4F824AB9"/>
    <w:rsid w:val="4F8304CF"/>
    <w:rsid w:val="4F840831"/>
    <w:rsid w:val="4F876573"/>
    <w:rsid w:val="4FA26F09"/>
    <w:rsid w:val="4FAE58AE"/>
    <w:rsid w:val="4FB71297"/>
    <w:rsid w:val="4FBF11AA"/>
    <w:rsid w:val="4FD5108C"/>
    <w:rsid w:val="4FE92CD6"/>
    <w:rsid w:val="50221C17"/>
    <w:rsid w:val="502C5EFA"/>
    <w:rsid w:val="502D0274"/>
    <w:rsid w:val="50416722"/>
    <w:rsid w:val="50574197"/>
    <w:rsid w:val="506153AC"/>
    <w:rsid w:val="507620AE"/>
    <w:rsid w:val="5099655E"/>
    <w:rsid w:val="50A224C3"/>
    <w:rsid w:val="50E023DF"/>
    <w:rsid w:val="50E35A2B"/>
    <w:rsid w:val="50F1639A"/>
    <w:rsid w:val="51257DF2"/>
    <w:rsid w:val="51271DBC"/>
    <w:rsid w:val="513F7105"/>
    <w:rsid w:val="51477D68"/>
    <w:rsid w:val="514A5AAA"/>
    <w:rsid w:val="514C35D0"/>
    <w:rsid w:val="515801C7"/>
    <w:rsid w:val="51593B8D"/>
    <w:rsid w:val="515F007B"/>
    <w:rsid w:val="516140B5"/>
    <w:rsid w:val="51644DBE"/>
    <w:rsid w:val="517A6653"/>
    <w:rsid w:val="518B5EA5"/>
    <w:rsid w:val="518C7E71"/>
    <w:rsid w:val="518F39BC"/>
    <w:rsid w:val="51C969CF"/>
    <w:rsid w:val="51FA74D0"/>
    <w:rsid w:val="51FF6894"/>
    <w:rsid w:val="5200269E"/>
    <w:rsid w:val="5200380D"/>
    <w:rsid w:val="522C7C40"/>
    <w:rsid w:val="523227C6"/>
    <w:rsid w:val="52374280"/>
    <w:rsid w:val="524D7600"/>
    <w:rsid w:val="527C3337"/>
    <w:rsid w:val="527E1EAF"/>
    <w:rsid w:val="527E5A0B"/>
    <w:rsid w:val="52AF2069"/>
    <w:rsid w:val="52B7716F"/>
    <w:rsid w:val="52C673B2"/>
    <w:rsid w:val="52E4399A"/>
    <w:rsid w:val="531445C2"/>
    <w:rsid w:val="531935A4"/>
    <w:rsid w:val="536524C3"/>
    <w:rsid w:val="536A36BC"/>
    <w:rsid w:val="536D1F1D"/>
    <w:rsid w:val="537312E8"/>
    <w:rsid w:val="538277A4"/>
    <w:rsid w:val="53980D4F"/>
    <w:rsid w:val="53A019B1"/>
    <w:rsid w:val="53AF7E46"/>
    <w:rsid w:val="53C51035"/>
    <w:rsid w:val="53C9715A"/>
    <w:rsid w:val="53CF4A5C"/>
    <w:rsid w:val="53D041D1"/>
    <w:rsid w:val="53FB4CCB"/>
    <w:rsid w:val="54014B46"/>
    <w:rsid w:val="540262EE"/>
    <w:rsid w:val="54244390"/>
    <w:rsid w:val="54305A86"/>
    <w:rsid w:val="543D5452"/>
    <w:rsid w:val="546450D5"/>
    <w:rsid w:val="54684BC5"/>
    <w:rsid w:val="548425AE"/>
    <w:rsid w:val="54877D10"/>
    <w:rsid w:val="549239F0"/>
    <w:rsid w:val="54A84FC1"/>
    <w:rsid w:val="54B0031A"/>
    <w:rsid w:val="54B020C8"/>
    <w:rsid w:val="54B576DE"/>
    <w:rsid w:val="55024449"/>
    <w:rsid w:val="55085BEA"/>
    <w:rsid w:val="55086FD1"/>
    <w:rsid w:val="55172147"/>
    <w:rsid w:val="55410BF9"/>
    <w:rsid w:val="554271C4"/>
    <w:rsid w:val="55794BB0"/>
    <w:rsid w:val="557E3F74"/>
    <w:rsid w:val="5594498E"/>
    <w:rsid w:val="5596306C"/>
    <w:rsid w:val="55A57753"/>
    <w:rsid w:val="55A84294"/>
    <w:rsid w:val="55AC288F"/>
    <w:rsid w:val="55AC40A5"/>
    <w:rsid w:val="55AD03B6"/>
    <w:rsid w:val="55B1434A"/>
    <w:rsid w:val="55BF6A67"/>
    <w:rsid w:val="55D12054"/>
    <w:rsid w:val="55DA6596"/>
    <w:rsid w:val="560C77D2"/>
    <w:rsid w:val="560F537A"/>
    <w:rsid w:val="5613290E"/>
    <w:rsid w:val="56224489"/>
    <w:rsid w:val="565D4368"/>
    <w:rsid w:val="56603960"/>
    <w:rsid w:val="56625644"/>
    <w:rsid w:val="56690780"/>
    <w:rsid w:val="566B274A"/>
    <w:rsid w:val="566D0271"/>
    <w:rsid w:val="567A298E"/>
    <w:rsid w:val="569C2904"/>
    <w:rsid w:val="56A0017C"/>
    <w:rsid w:val="56A1616C"/>
    <w:rsid w:val="56AE5A8D"/>
    <w:rsid w:val="56BC4D54"/>
    <w:rsid w:val="56C3571A"/>
    <w:rsid w:val="56DB5BC3"/>
    <w:rsid w:val="56E83D9B"/>
    <w:rsid w:val="56F72230"/>
    <w:rsid w:val="56FA5260"/>
    <w:rsid w:val="572823EA"/>
    <w:rsid w:val="574C257C"/>
    <w:rsid w:val="5755438D"/>
    <w:rsid w:val="57721B9C"/>
    <w:rsid w:val="57825F9E"/>
    <w:rsid w:val="578F4217"/>
    <w:rsid w:val="578F4443"/>
    <w:rsid w:val="57925AB5"/>
    <w:rsid w:val="57AD70E7"/>
    <w:rsid w:val="57B8364E"/>
    <w:rsid w:val="57C95893"/>
    <w:rsid w:val="57CD4D3F"/>
    <w:rsid w:val="581D1822"/>
    <w:rsid w:val="582E3A30"/>
    <w:rsid w:val="58304C51"/>
    <w:rsid w:val="5835523D"/>
    <w:rsid w:val="583F5C3D"/>
    <w:rsid w:val="587177C3"/>
    <w:rsid w:val="588405A5"/>
    <w:rsid w:val="5898534D"/>
    <w:rsid w:val="589917F1"/>
    <w:rsid w:val="589C4E3D"/>
    <w:rsid w:val="58D11BCB"/>
    <w:rsid w:val="58D41C07"/>
    <w:rsid w:val="58E93DFA"/>
    <w:rsid w:val="58F44C79"/>
    <w:rsid w:val="59080725"/>
    <w:rsid w:val="59123DF1"/>
    <w:rsid w:val="591B2F0C"/>
    <w:rsid w:val="59352B9C"/>
    <w:rsid w:val="594828CF"/>
    <w:rsid w:val="594A7F41"/>
    <w:rsid w:val="596811C3"/>
    <w:rsid w:val="59786F11"/>
    <w:rsid w:val="598B2F92"/>
    <w:rsid w:val="598F25C7"/>
    <w:rsid w:val="59937540"/>
    <w:rsid w:val="59A039F6"/>
    <w:rsid w:val="59AA336E"/>
    <w:rsid w:val="59B63CDD"/>
    <w:rsid w:val="59E60C99"/>
    <w:rsid w:val="59E940B2"/>
    <w:rsid w:val="59EC3BA2"/>
    <w:rsid w:val="59F45AD3"/>
    <w:rsid w:val="59F760A3"/>
    <w:rsid w:val="5A00764E"/>
    <w:rsid w:val="5A274BDA"/>
    <w:rsid w:val="5A5534F6"/>
    <w:rsid w:val="5A614BE3"/>
    <w:rsid w:val="5A637F6F"/>
    <w:rsid w:val="5A70032F"/>
    <w:rsid w:val="5A7A29E2"/>
    <w:rsid w:val="5AAC6D3A"/>
    <w:rsid w:val="5AB83A84"/>
    <w:rsid w:val="5ABD72ED"/>
    <w:rsid w:val="5AC95C92"/>
    <w:rsid w:val="5AEF6656"/>
    <w:rsid w:val="5AF076C2"/>
    <w:rsid w:val="5AFC1BC3"/>
    <w:rsid w:val="5B055025"/>
    <w:rsid w:val="5B3F5F54"/>
    <w:rsid w:val="5B423A25"/>
    <w:rsid w:val="5B6D486F"/>
    <w:rsid w:val="5BD14DFE"/>
    <w:rsid w:val="5BD743DE"/>
    <w:rsid w:val="5BEA5EBF"/>
    <w:rsid w:val="5BF44F90"/>
    <w:rsid w:val="5C121CA4"/>
    <w:rsid w:val="5C1271C4"/>
    <w:rsid w:val="5C1B42CB"/>
    <w:rsid w:val="5C5477DD"/>
    <w:rsid w:val="5C5A1297"/>
    <w:rsid w:val="5C602626"/>
    <w:rsid w:val="5C6519EA"/>
    <w:rsid w:val="5C9108EC"/>
    <w:rsid w:val="5C9936CF"/>
    <w:rsid w:val="5CAB38A1"/>
    <w:rsid w:val="5CAF2C65"/>
    <w:rsid w:val="5CCC7122"/>
    <w:rsid w:val="5CE62A27"/>
    <w:rsid w:val="5CEE456C"/>
    <w:rsid w:val="5CF42D8C"/>
    <w:rsid w:val="5D5C7A80"/>
    <w:rsid w:val="5D6D0F8A"/>
    <w:rsid w:val="5D773862"/>
    <w:rsid w:val="5D7E7207"/>
    <w:rsid w:val="5D8A5BAC"/>
    <w:rsid w:val="5D9011B3"/>
    <w:rsid w:val="5D9C7014"/>
    <w:rsid w:val="5DD93AB7"/>
    <w:rsid w:val="5DEF78BB"/>
    <w:rsid w:val="5E40706E"/>
    <w:rsid w:val="5E421C4D"/>
    <w:rsid w:val="5E806DB9"/>
    <w:rsid w:val="5EA53721"/>
    <w:rsid w:val="5EC40406"/>
    <w:rsid w:val="5ECC4F05"/>
    <w:rsid w:val="5EF84D97"/>
    <w:rsid w:val="5F074FDA"/>
    <w:rsid w:val="5F0E6369"/>
    <w:rsid w:val="5F182D44"/>
    <w:rsid w:val="5F35264F"/>
    <w:rsid w:val="5F396F19"/>
    <w:rsid w:val="5F41673E"/>
    <w:rsid w:val="5F887EC9"/>
    <w:rsid w:val="5F943190"/>
    <w:rsid w:val="5F9E149B"/>
    <w:rsid w:val="5FAA5F75"/>
    <w:rsid w:val="5FAB718B"/>
    <w:rsid w:val="5FB92AD3"/>
    <w:rsid w:val="5FBF5C36"/>
    <w:rsid w:val="5FCA6734"/>
    <w:rsid w:val="5FE377F5"/>
    <w:rsid w:val="5FFA2BA8"/>
    <w:rsid w:val="602816AC"/>
    <w:rsid w:val="604364E6"/>
    <w:rsid w:val="604C0766"/>
    <w:rsid w:val="605424A1"/>
    <w:rsid w:val="60A07D32"/>
    <w:rsid w:val="60A26D69"/>
    <w:rsid w:val="60A46FF9"/>
    <w:rsid w:val="60AF592A"/>
    <w:rsid w:val="60B151FE"/>
    <w:rsid w:val="60B31FF5"/>
    <w:rsid w:val="60C2565D"/>
    <w:rsid w:val="60C51A2C"/>
    <w:rsid w:val="60DB04CD"/>
    <w:rsid w:val="60FF240D"/>
    <w:rsid w:val="61047A23"/>
    <w:rsid w:val="61077826"/>
    <w:rsid w:val="610E79A4"/>
    <w:rsid w:val="610E7EA6"/>
    <w:rsid w:val="613751C4"/>
    <w:rsid w:val="61761FA3"/>
    <w:rsid w:val="61785D1C"/>
    <w:rsid w:val="618446C0"/>
    <w:rsid w:val="618D5C6B"/>
    <w:rsid w:val="61B01959"/>
    <w:rsid w:val="61E33F36"/>
    <w:rsid w:val="61F45CEA"/>
    <w:rsid w:val="620A72BB"/>
    <w:rsid w:val="621F43E9"/>
    <w:rsid w:val="623B7475"/>
    <w:rsid w:val="623F0D34"/>
    <w:rsid w:val="62487DE4"/>
    <w:rsid w:val="625C5463"/>
    <w:rsid w:val="626F1110"/>
    <w:rsid w:val="627604AD"/>
    <w:rsid w:val="627B1F67"/>
    <w:rsid w:val="628030DA"/>
    <w:rsid w:val="62961CE2"/>
    <w:rsid w:val="62A468BF"/>
    <w:rsid w:val="62A56FE4"/>
    <w:rsid w:val="62A866D0"/>
    <w:rsid w:val="62BD60DC"/>
    <w:rsid w:val="62C7476E"/>
    <w:rsid w:val="62CC020C"/>
    <w:rsid w:val="62CC7726"/>
    <w:rsid w:val="62D41677"/>
    <w:rsid w:val="62EF025F"/>
    <w:rsid w:val="63071A4D"/>
    <w:rsid w:val="6309447C"/>
    <w:rsid w:val="630A5A6D"/>
    <w:rsid w:val="631A52DC"/>
    <w:rsid w:val="6349639D"/>
    <w:rsid w:val="634C49D0"/>
    <w:rsid w:val="63554A0D"/>
    <w:rsid w:val="63695DB0"/>
    <w:rsid w:val="63754C08"/>
    <w:rsid w:val="638E68ED"/>
    <w:rsid w:val="63901A42"/>
    <w:rsid w:val="639D09CB"/>
    <w:rsid w:val="63B15515"/>
    <w:rsid w:val="63B87CBA"/>
    <w:rsid w:val="63C60FC0"/>
    <w:rsid w:val="63C65464"/>
    <w:rsid w:val="63DC07E4"/>
    <w:rsid w:val="63F73BD7"/>
    <w:rsid w:val="64055990"/>
    <w:rsid w:val="64340620"/>
    <w:rsid w:val="64410F8F"/>
    <w:rsid w:val="645D2D45"/>
    <w:rsid w:val="646125FE"/>
    <w:rsid w:val="64682077"/>
    <w:rsid w:val="64790728"/>
    <w:rsid w:val="648F5856"/>
    <w:rsid w:val="64972AB8"/>
    <w:rsid w:val="64A227CA"/>
    <w:rsid w:val="64DD4813"/>
    <w:rsid w:val="65180933"/>
    <w:rsid w:val="65362175"/>
    <w:rsid w:val="65566374"/>
    <w:rsid w:val="65766A16"/>
    <w:rsid w:val="65783F39"/>
    <w:rsid w:val="657C227E"/>
    <w:rsid w:val="659868BE"/>
    <w:rsid w:val="65B12A00"/>
    <w:rsid w:val="65C77271"/>
    <w:rsid w:val="65D11E9E"/>
    <w:rsid w:val="65DB7500"/>
    <w:rsid w:val="65DC4ACB"/>
    <w:rsid w:val="65DF4740"/>
    <w:rsid w:val="65E676F8"/>
    <w:rsid w:val="65EB7404"/>
    <w:rsid w:val="65F91B21"/>
    <w:rsid w:val="660356CA"/>
    <w:rsid w:val="66157FDD"/>
    <w:rsid w:val="661E50E3"/>
    <w:rsid w:val="662446C4"/>
    <w:rsid w:val="662E1F6F"/>
    <w:rsid w:val="66632F66"/>
    <w:rsid w:val="66650F64"/>
    <w:rsid w:val="666A657B"/>
    <w:rsid w:val="66A51361"/>
    <w:rsid w:val="66AC1B17"/>
    <w:rsid w:val="66AE2FFF"/>
    <w:rsid w:val="66C8504F"/>
    <w:rsid w:val="66CD08B8"/>
    <w:rsid w:val="66E557FD"/>
    <w:rsid w:val="66F25116"/>
    <w:rsid w:val="670352EA"/>
    <w:rsid w:val="670C7632"/>
    <w:rsid w:val="6727621A"/>
    <w:rsid w:val="673D5A3D"/>
    <w:rsid w:val="67550FD9"/>
    <w:rsid w:val="676B2854"/>
    <w:rsid w:val="67796A82"/>
    <w:rsid w:val="68014955"/>
    <w:rsid w:val="681503E6"/>
    <w:rsid w:val="681A18DB"/>
    <w:rsid w:val="68330BEE"/>
    <w:rsid w:val="68511756"/>
    <w:rsid w:val="68784853"/>
    <w:rsid w:val="68AC43E6"/>
    <w:rsid w:val="68D0468F"/>
    <w:rsid w:val="68E87C2B"/>
    <w:rsid w:val="68F30B42"/>
    <w:rsid w:val="690540BF"/>
    <w:rsid w:val="691B1DAE"/>
    <w:rsid w:val="69450BD9"/>
    <w:rsid w:val="69603C65"/>
    <w:rsid w:val="69833F84"/>
    <w:rsid w:val="6994393A"/>
    <w:rsid w:val="69AF73BD"/>
    <w:rsid w:val="69B144C0"/>
    <w:rsid w:val="69B813AB"/>
    <w:rsid w:val="69C340F2"/>
    <w:rsid w:val="69C441F4"/>
    <w:rsid w:val="6A1F55DC"/>
    <w:rsid w:val="6A274783"/>
    <w:rsid w:val="6A3A2708"/>
    <w:rsid w:val="6A4021D8"/>
    <w:rsid w:val="6A461675"/>
    <w:rsid w:val="6A5F7653"/>
    <w:rsid w:val="6A7774B8"/>
    <w:rsid w:val="6AA13260"/>
    <w:rsid w:val="6AA16168"/>
    <w:rsid w:val="6ABE0C43"/>
    <w:rsid w:val="6ACB7804"/>
    <w:rsid w:val="6AD541DF"/>
    <w:rsid w:val="6B0A20DA"/>
    <w:rsid w:val="6B767770"/>
    <w:rsid w:val="6B8359E9"/>
    <w:rsid w:val="6B9D4CFC"/>
    <w:rsid w:val="6BBA3B00"/>
    <w:rsid w:val="6BBB2524"/>
    <w:rsid w:val="6BBF5037"/>
    <w:rsid w:val="6BCE4EB6"/>
    <w:rsid w:val="6BE02E3B"/>
    <w:rsid w:val="6BF608B1"/>
    <w:rsid w:val="6C0E5BFA"/>
    <w:rsid w:val="6C2076DB"/>
    <w:rsid w:val="6C3525CB"/>
    <w:rsid w:val="6C3F7B62"/>
    <w:rsid w:val="6C4909E0"/>
    <w:rsid w:val="6C496C32"/>
    <w:rsid w:val="6C4C04D0"/>
    <w:rsid w:val="6C54385C"/>
    <w:rsid w:val="6C5C4BB7"/>
    <w:rsid w:val="6C5F1FB2"/>
    <w:rsid w:val="6C7E559F"/>
    <w:rsid w:val="6C87555A"/>
    <w:rsid w:val="6C952FB6"/>
    <w:rsid w:val="6CD209D6"/>
    <w:rsid w:val="6CD609CA"/>
    <w:rsid w:val="6CE122CE"/>
    <w:rsid w:val="6CF7668E"/>
    <w:rsid w:val="6D107750"/>
    <w:rsid w:val="6D321474"/>
    <w:rsid w:val="6D3B2A1F"/>
    <w:rsid w:val="6D83283D"/>
    <w:rsid w:val="6D8A5754"/>
    <w:rsid w:val="6DB06FF1"/>
    <w:rsid w:val="6DF8036A"/>
    <w:rsid w:val="6DFB5D0A"/>
    <w:rsid w:val="6E8D6DF3"/>
    <w:rsid w:val="6EA6211A"/>
    <w:rsid w:val="6EC16F54"/>
    <w:rsid w:val="6EC86534"/>
    <w:rsid w:val="6ECC4E9C"/>
    <w:rsid w:val="6ECF6B20"/>
    <w:rsid w:val="6EFF1A27"/>
    <w:rsid w:val="6F0155A2"/>
    <w:rsid w:val="6F1C779D"/>
    <w:rsid w:val="6F3E040D"/>
    <w:rsid w:val="6F771D08"/>
    <w:rsid w:val="6F7E141F"/>
    <w:rsid w:val="6FA81EC2"/>
    <w:rsid w:val="6FF15617"/>
    <w:rsid w:val="6FFD4727"/>
    <w:rsid w:val="70117A67"/>
    <w:rsid w:val="70291255"/>
    <w:rsid w:val="708104E7"/>
    <w:rsid w:val="708E3A71"/>
    <w:rsid w:val="70920657"/>
    <w:rsid w:val="70AE175A"/>
    <w:rsid w:val="70C4708B"/>
    <w:rsid w:val="70C66AA3"/>
    <w:rsid w:val="711C4915"/>
    <w:rsid w:val="71297032"/>
    <w:rsid w:val="714479C8"/>
    <w:rsid w:val="7157594D"/>
    <w:rsid w:val="715B116D"/>
    <w:rsid w:val="715F4802"/>
    <w:rsid w:val="71614A1E"/>
    <w:rsid w:val="71763E02"/>
    <w:rsid w:val="71812380"/>
    <w:rsid w:val="7189187F"/>
    <w:rsid w:val="718F158B"/>
    <w:rsid w:val="71963B10"/>
    <w:rsid w:val="719C388E"/>
    <w:rsid w:val="71BE3C1E"/>
    <w:rsid w:val="71CD3E62"/>
    <w:rsid w:val="71EC42E8"/>
    <w:rsid w:val="72121874"/>
    <w:rsid w:val="72225F5B"/>
    <w:rsid w:val="72270127"/>
    <w:rsid w:val="72273572"/>
    <w:rsid w:val="72655E48"/>
    <w:rsid w:val="727D5888"/>
    <w:rsid w:val="7295497F"/>
    <w:rsid w:val="729A5611"/>
    <w:rsid w:val="72A03324"/>
    <w:rsid w:val="72AB6D5F"/>
    <w:rsid w:val="72B2004F"/>
    <w:rsid w:val="72B34E05"/>
    <w:rsid w:val="72C60FDD"/>
    <w:rsid w:val="7309711B"/>
    <w:rsid w:val="73247A12"/>
    <w:rsid w:val="732D4F74"/>
    <w:rsid w:val="732D5549"/>
    <w:rsid w:val="73337CF4"/>
    <w:rsid w:val="733A72D5"/>
    <w:rsid w:val="734A6E8D"/>
    <w:rsid w:val="737A14CF"/>
    <w:rsid w:val="738911A2"/>
    <w:rsid w:val="73DA4614"/>
    <w:rsid w:val="73ED07EB"/>
    <w:rsid w:val="742C30C1"/>
    <w:rsid w:val="74471CA9"/>
    <w:rsid w:val="747D1765"/>
    <w:rsid w:val="74940C67"/>
    <w:rsid w:val="74B15375"/>
    <w:rsid w:val="74B75CE7"/>
    <w:rsid w:val="74BD1F6B"/>
    <w:rsid w:val="74C01C92"/>
    <w:rsid w:val="75114065"/>
    <w:rsid w:val="75461F61"/>
    <w:rsid w:val="75466405"/>
    <w:rsid w:val="754D5C67"/>
    <w:rsid w:val="755C3532"/>
    <w:rsid w:val="758B3E18"/>
    <w:rsid w:val="75982C83"/>
    <w:rsid w:val="759A405B"/>
    <w:rsid w:val="75B136A4"/>
    <w:rsid w:val="75B55338"/>
    <w:rsid w:val="75CC2672"/>
    <w:rsid w:val="75CD0053"/>
    <w:rsid w:val="75DB213B"/>
    <w:rsid w:val="75E8126A"/>
    <w:rsid w:val="761152BC"/>
    <w:rsid w:val="76215F9C"/>
    <w:rsid w:val="762B1026"/>
    <w:rsid w:val="762B73A9"/>
    <w:rsid w:val="76346CE5"/>
    <w:rsid w:val="76515061"/>
    <w:rsid w:val="765B7164"/>
    <w:rsid w:val="766034F6"/>
    <w:rsid w:val="76893B88"/>
    <w:rsid w:val="77122E6F"/>
    <w:rsid w:val="7735228D"/>
    <w:rsid w:val="773A5AF5"/>
    <w:rsid w:val="773D55E5"/>
    <w:rsid w:val="77514BED"/>
    <w:rsid w:val="7758241F"/>
    <w:rsid w:val="775F34D3"/>
    <w:rsid w:val="776204D1"/>
    <w:rsid w:val="77626DFA"/>
    <w:rsid w:val="777259B2"/>
    <w:rsid w:val="777A2396"/>
    <w:rsid w:val="77846D70"/>
    <w:rsid w:val="77975BED"/>
    <w:rsid w:val="779C230C"/>
    <w:rsid w:val="77BC475C"/>
    <w:rsid w:val="77BF249E"/>
    <w:rsid w:val="77C90C27"/>
    <w:rsid w:val="77D93560"/>
    <w:rsid w:val="77E963B5"/>
    <w:rsid w:val="781D72B5"/>
    <w:rsid w:val="78393FFF"/>
    <w:rsid w:val="784B788E"/>
    <w:rsid w:val="78615304"/>
    <w:rsid w:val="78663C24"/>
    <w:rsid w:val="78A551F0"/>
    <w:rsid w:val="78F02670"/>
    <w:rsid w:val="79134850"/>
    <w:rsid w:val="791F31F5"/>
    <w:rsid w:val="79231CC3"/>
    <w:rsid w:val="792A1B99"/>
    <w:rsid w:val="793C6D8A"/>
    <w:rsid w:val="79407A62"/>
    <w:rsid w:val="794669D3"/>
    <w:rsid w:val="794B1A7D"/>
    <w:rsid w:val="794D2D86"/>
    <w:rsid w:val="7962698E"/>
    <w:rsid w:val="79974DFF"/>
    <w:rsid w:val="79AB4A88"/>
    <w:rsid w:val="79BF322E"/>
    <w:rsid w:val="79C8388C"/>
    <w:rsid w:val="79D57D57"/>
    <w:rsid w:val="79F426E3"/>
    <w:rsid w:val="7A036672"/>
    <w:rsid w:val="7A0917AF"/>
    <w:rsid w:val="7A1253F6"/>
    <w:rsid w:val="7A431165"/>
    <w:rsid w:val="7A4F18B8"/>
    <w:rsid w:val="7A642FEE"/>
    <w:rsid w:val="7A770E0E"/>
    <w:rsid w:val="7A9C0875"/>
    <w:rsid w:val="7AAC160F"/>
    <w:rsid w:val="7ABC51E6"/>
    <w:rsid w:val="7AC34054"/>
    <w:rsid w:val="7AD46261"/>
    <w:rsid w:val="7AD85D51"/>
    <w:rsid w:val="7AFE1296"/>
    <w:rsid w:val="7B022DCE"/>
    <w:rsid w:val="7B072192"/>
    <w:rsid w:val="7B0F54EB"/>
    <w:rsid w:val="7B30793B"/>
    <w:rsid w:val="7B3D1CC7"/>
    <w:rsid w:val="7B46684D"/>
    <w:rsid w:val="7B4A207F"/>
    <w:rsid w:val="7B586F7C"/>
    <w:rsid w:val="7B593278"/>
    <w:rsid w:val="7B610DB2"/>
    <w:rsid w:val="7B783090"/>
    <w:rsid w:val="7B8D37DB"/>
    <w:rsid w:val="7B901215"/>
    <w:rsid w:val="7B9463F7"/>
    <w:rsid w:val="7B95779E"/>
    <w:rsid w:val="7BB302F8"/>
    <w:rsid w:val="7BB51BEE"/>
    <w:rsid w:val="7BCC6F38"/>
    <w:rsid w:val="7BE67FFA"/>
    <w:rsid w:val="7BF22D26"/>
    <w:rsid w:val="7BFA5853"/>
    <w:rsid w:val="7C0D1A2A"/>
    <w:rsid w:val="7C217284"/>
    <w:rsid w:val="7C2B1EB0"/>
    <w:rsid w:val="7C6929D9"/>
    <w:rsid w:val="7C704248"/>
    <w:rsid w:val="7C773348"/>
    <w:rsid w:val="7C8141C6"/>
    <w:rsid w:val="7C8B294F"/>
    <w:rsid w:val="7CA67C6C"/>
    <w:rsid w:val="7CB93960"/>
    <w:rsid w:val="7CC61BD9"/>
    <w:rsid w:val="7CE131F6"/>
    <w:rsid w:val="7CF528A5"/>
    <w:rsid w:val="7D0E21AB"/>
    <w:rsid w:val="7D127336"/>
    <w:rsid w:val="7D20753B"/>
    <w:rsid w:val="7D250FF6"/>
    <w:rsid w:val="7D3354C1"/>
    <w:rsid w:val="7D504DD1"/>
    <w:rsid w:val="7D5316BF"/>
    <w:rsid w:val="7D6A3EE0"/>
    <w:rsid w:val="7D6A6067"/>
    <w:rsid w:val="7D7358BD"/>
    <w:rsid w:val="7D7E4262"/>
    <w:rsid w:val="7D935F5F"/>
    <w:rsid w:val="7DB67EA0"/>
    <w:rsid w:val="7DC425BD"/>
    <w:rsid w:val="7DE646F8"/>
    <w:rsid w:val="7E745D91"/>
    <w:rsid w:val="7E7A49CB"/>
    <w:rsid w:val="7E915EB0"/>
    <w:rsid w:val="7E9A331D"/>
    <w:rsid w:val="7EAD3051"/>
    <w:rsid w:val="7EBF5EC4"/>
    <w:rsid w:val="7ECD724F"/>
    <w:rsid w:val="7EEE3597"/>
    <w:rsid w:val="7F052E8D"/>
    <w:rsid w:val="7F0A3FFF"/>
    <w:rsid w:val="7F231011"/>
    <w:rsid w:val="7F403EC5"/>
    <w:rsid w:val="7F6536D6"/>
    <w:rsid w:val="7F743B6E"/>
    <w:rsid w:val="7F820039"/>
    <w:rsid w:val="7F842003"/>
    <w:rsid w:val="7F961D37"/>
    <w:rsid w:val="7FC70142"/>
    <w:rsid w:val="7FC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lang w:val="en-US" w:eastAsia="zh-CN" w:bidi="ar-SA"/>
    </w:rPr>
  </w:style>
  <w:style w:type="paragraph" w:styleId="3">
    <w:name w:val="heading 1"/>
    <w:basedOn w:val="1"/>
    <w:next w:val="1"/>
    <w:link w:val="64"/>
    <w:autoRedefine/>
    <w:qFormat/>
    <w:uiPriority w:val="0"/>
    <w:pPr>
      <w:keepNext/>
      <w:keepLines/>
      <w:spacing w:before="340" w:after="330" w:line="578" w:lineRule="auto"/>
      <w:outlineLvl w:val="0"/>
    </w:pPr>
    <w:rPr>
      <w:b/>
      <w:kern w:val="44"/>
      <w:sz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1"/>
    <w:autoRedefine/>
    <w:qFormat/>
    <w:uiPriority w:val="0"/>
    <w:pPr>
      <w:keepNext/>
      <w:keepLines/>
      <w:spacing w:before="260" w:after="260" w:line="416" w:lineRule="auto"/>
      <w:outlineLvl w:val="2"/>
    </w:pPr>
    <w:rPr>
      <w:b/>
      <w:sz w:val="32"/>
    </w:rPr>
  </w:style>
  <w:style w:type="paragraph" w:styleId="6">
    <w:name w:val="heading 4"/>
    <w:basedOn w:val="1"/>
    <w:next w:val="7"/>
    <w:autoRedefine/>
    <w:qFormat/>
    <w:uiPriority w:val="0"/>
    <w:pPr>
      <w:keepNext/>
      <w:spacing w:line="460" w:lineRule="exact"/>
      <w:jc w:val="both"/>
      <w:outlineLvl w:val="3"/>
    </w:pPr>
    <w:rPr>
      <w:rFonts w:ascii="宋体"/>
      <w:sz w:val="24"/>
    </w:rPr>
  </w:style>
  <w:style w:type="paragraph" w:styleId="8">
    <w:name w:val="heading 5"/>
    <w:basedOn w:val="1"/>
    <w:next w:val="7"/>
    <w:autoRedefine/>
    <w:qFormat/>
    <w:uiPriority w:val="0"/>
    <w:pPr>
      <w:keepNext/>
      <w:keepLines/>
      <w:widowControl w:val="0"/>
      <w:spacing w:before="280" w:after="290" w:line="376" w:lineRule="auto"/>
      <w:jc w:val="both"/>
      <w:outlineLvl w:val="4"/>
    </w:pPr>
    <w:rPr>
      <w:b/>
      <w:kern w:val="2"/>
      <w:sz w:val="24"/>
    </w:rPr>
  </w:style>
  <w:style w:type="paragraph" w:styleId="9">
    <w:name w:val="heading 6"/>
    <w:basedOn w:val="1"/>
    <w:next w:val="7"/>
    <w:autoRedefine/>
    <w:qFormat/>
    <w:uiPriority w:val="0"/>
    <w:pPr>
      <w:keepNext/>
      <w:keepLines/>
      <w:widowControl w:val="0"/>
      <w:tabs>
        <w:tab w:val="left" w:pos="360"/>
      </w:tabs>
      <w:spacing w:before="240" w:after="64" w:line="320" w:lineRule="auto"/>
      <w:ind w:left="360" w:hanging="360"/>
      <w:jc w:val="both"/>
      <w:outlineLvl w:val="5"/>
    </w:pPr>
    <w:rPr>
      <w:rFonts w:ascii="Arial" w:hAnsi="Arial" w:eastAsia="黑体"/>
      <w:b/>
      <w:kern w:val="2"/>
      <w:sz w:val="24"/>
    </w:rPr>
  </w:style>
  <w:style w:type="paragraph" w:styleId="10">
    <w:name w:val="heading 7"/>
    <w:basedOn w:val="1"/>
    <w:next w:val="7"/>
    <w:autoRedefine/>
    <w:qFormat/>
    <w:uiPriority w:val="0"/>
    <w:pPr>
      <w:keepNext/>
      <w:keepLines/>
      <w:widowControl w:val="0"/>
      <w:tabs>
        <w:tab w:val="left" w:pos="360"/>
      </w:tabs>
      <w:spacing w:before="240" w:after="64" w:line="320" w:lineRule="auto"/>
      <w:ind w:left="360" w:hanging="360"/>
      <w:jc w:val="both"/>
      <w:outlineLvl w:val="6"/>
    </w:pPr>
    <w:rPr>
      <w:b/>
      <w:kern w:val="2"/>
      <w:sz w:val="24"/>
    </w:rPr>
  </w:style>
  <w:style w:type="paragraph" w:styleId="11">
    <w:name w:val="heading 8"/>
    <w:basedOn w:val="1"/>
    <w:next w:val="7"/>
    <w:autoRedefine/>
    <w:qFormat/>
    <w:uiPriority w:val="0"/>
    <w:pPr>
      <w:keepNext/>
      <w:keepLines/>
      <w:widowControl w:val="0"/>
      <w:tabs>
        <w:tab w:val="left" w:pos="360"/>
      </w:tabs>
      <w:spacing w:before="240" w:after="64" w:line="320" w:lineRule="auto"/>
      <w:ind w:left="360" w:hanging="360"/>
      <w:jc w:val="both"/>
      <w:outlineLvl w:val="7"/>
    </w:pPr>
    <w:rPr>
      <w:rFonts w:ascii="Arial" w:hAnsi="Arial" w:eastAsia="黑体"/>
      <w:kern w:val="2"/>
      <w:sz w:val="24"/>
    </w:rPr>
  </w:style>
  <w:style w:type="paragraph" w:styleId="12">
    <w:name w:val="heading 9"/>
    <w:basedOn w:val="1"/>
    <w:next w:val="7"/>
    <w:autoRedefine/>
    <w:qFormat/>
    <w:uiPriority w:val="0"/>
    <w:pPr>
      <w:keepNext/>
      <w:keepLines/>
      <w:widowControl w:val="0"/>
      <w:tabs>
        <w:tab w:val="left" w:pos="360"/>
      </w:tabs>
      <w:spacing w:before="240" w:after="64" w:line="320" w:lineRule="auto"/>
      <w:ind w:left="360" w:hanging="360"/>
      <w:jc w:val="both"/>
      <w:outlineLvl w:val="8"/>
    </w:pPr>
    <w:rPr>
      <w:rFonts w:ascii="Arial" w:hAnsi="Arial" w:eastAsia="黑体"/>
      <w:kern w:val="2"/>
      <w:sz w:val="21"/>
    </w:rPr>
  </w:style>
  <w:style w:type="character" w:default="1" w:styleId="47">
    <w:name w:val="Default Paragraph Font"/>
    <w:autoRedefine/>
    <w:semiHidden/>
    <w:unhideWhenUsed/>
    <w:qFormat/>
    <w:uiPriority w:val="1"/>
  </w:style>
  <w:style w:type="table" w:default="1" w:styleId="45">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7">
    <w:name w:val="Normal Indent"/>
    <w:basedOn w:val="1"/>
    <w:autoRedefine/>
    <w:qFormat/>
    <w:uiPriority w:val="0"/>
    <w:pPr>
      <w:ind w:firstLine="420"/>
    </w:pPr>
  </w:style>
  <w:style w:type="paragraph" w:styleId="13">
    <w:name w:val="toc 7"/>
    <w:basedOn w:val="1"/>
    <w:next w:val="1"/>
    <w:autoRedefine/>
    <w:qFormat/>
    <w:uiPriority w:val="0"/>
    <w:pPr>
      <w:ind w:left="1200"/>
    </w:pPr>
    <w:rPr>
      <w:rFonts w:ascii="Calibri" w:hAnsi="Calibri" w:cs="Calibri"/>
      <w:sz w:val="18"/>
      <w:szCs w:val="18"/>
    </w:rPr>
  </w:style>
  <w:style w:type="paragraph" w:styleId="14">
    <w:name w:val="Document Map"/>
    <w:basedOn w:val="1"/>
    <w:autoRedefine/>
    <w:semiHidden/>
    <w:qFormat/>
    <w:uiPriority w:val="0"/>
    <w:pPr>
      <w:shd w:val="clear" w:color="auto" w:fill="000080"/>
    </w:pPr>
  </w:style>
  <w:style w:type="paragraph" w:styleId="15">
    <w:name w:val="annotation text"/>
    <w:basedOn w:val="1"/>
    <w:link w:val="138"/>
    <w:autoRedefine/>
    <w:semiHidden/>
    <w:qFormat/>
    <w:uiPriority w:val="0"/>
  </w:style>
  <w:style w:type="paragraph" w:styleId="16">
    <w:name w:val="Body Text 3"/>
    <w:basedOn w:val="1"/>
    <w:autoRedefine/>
    <w:qFormat/>
    <w:uiPriority w:val="0"/>
    <w:pPr>
      <w:spacing w:after="120"/>
    </w:pPr>
    <w:rPr>
      <w:sz w:val="16"/>
      <w:szCs w:val="16"/>
    </w:rPr>
  </w:style>
  <w:style w:type="paragraph" w:styleId="17">
    <w:name w:val="Body Text"/>
    <w:basedOn w:val="1"/>
    <w:next w:val="1"/>
    <w:link w:val="73"/>
    <w:autoRedefine/>
    <w:qFormat/>
    <w:uiPriority w:val="0"/>
    <w:pPr>
      <w:spacing w:after="120"/>
    </w:pPr>
  </w:style>
  <w:style w:type="paragraph" w:styleId="18">
    <w:name w:val="Body Text Indent"/>
    <w:basedOn w:val="1"/>
    <w:next w:val="1"/>
    <w:autoRedefine/>
    <w:qFormat/>
    <w:uiPriority w:val="0"/>
    <w:pPr>
      <w:spacing w:after="120"/>
      <w:ind w:left="420" w:leftChars="200"/>
    </w:pPr>
  </w:style>
  <w:style w:type="paragraph" w:styleId="19">
    <w:name w:val="List 2"/>
    <w:basedOn w:val="1"/>
    <w:autoRedefine/>
    <w:qFormat/>
    <w:uiPriority w:val="0"/>
    <w:pPr>
      <w:widowControl w:val="0"/>
      <w:adjustRightInd w:val="0"/>
      <w:spacing w:line="360" w:lineRule="auto"/>
      <w:jc w:val="both"/>
      <w:textAlignment w:val="baseline"/>
    </w:pPr>
    <w:rPr>
      <w:sz w:val="24"/>
    </w:rPr>
  </w:style>
  <w:style w:type="paragraph" w:styleId="20">
    <w:name w:val="Block Text"/>
    <w:basedOn w:val="1"/>
    <w:autoRedefine/>
    <w:qFormat/>
    <w:uiPriority w:val="0"/>
    <w:pPr>
      <w:widowControl w:val="0"/>
      <w:ind w:left="1155" w:right="40" w:rightChars="19"/>
      <w:jc w:val="both"/>
    </w:pPr>
    <w:rPr>
      <w:kern w:val="2"/>
      <w:sz w:val="21"/>
      <w:szCs w:val="24"/>
    </w:rPr>
  </w:style>
  <w:style w:type="paragraph" w:styleId="21">
    <w:name w:val="toc 5"/>
    <w:basedOn w:val="1"/>
    <w:next w:val="1"/>
    <w:autoRedefine/>
    <w:qFormat/>
    <w:uiPriority w:val="0"/>
    <w:pPr>
      <w:ind w:left="800"/>
    </w:pPr>
    <w:rPr>
      <w:rFonts w:ascii="Calibri" w:hAnsi="Calibri" w:cs="Calibri"/>
      <w:sz w:val="18"/>
      <w:szCs w:val="18"/>
    </w:rPr>
  </w:style>
  <w:style w:type="paragraph" w:styleId="22">
    <w:name w:val="toc 3"/>
    <w:basedOn w:val="1"/>
    <w:next w:val="1"/>
    <w:autoRedefine/>
    <w:semiHidden/>
    <w:qFormat/>
    <w:uiPriority w:val="0"/>
    <w:pPr>
      <w:ind w:left="400"/>
    </w:pPr>
    <w:rPr>
      <w:rFonts w:ascii="Calibri" w:hAnsi="Calibri" w:cs="Calibri"/>
      <w:i/>
      <w:iCs/>
    </w:rPr>
  </w:style>
  <w:style w:type="paragraph" w:styleId="23">
    <w:name w:val="Plain Text"/>
    <w:basedOn w:val="1"/>
    <w:link w:val="74"/>
    <w:autoRedefine/>
    <w:qFormat/>
    <w:uiPriority w:val="0"/>
    <w:rPr>
      <w:rFonts w:ascii="宋体" w:hAnsi="Courier New" w:cs="Century"/>
      <w:sz w:val="21"/>
      <w:szCs w:val="21"/>
    </w:rPr>
  </w:style>
  <w:style w:type="paragraph" w:styleId="24">
    <w:name w:val="toc 8"/>
    <w:basedOn w:val="1"/>
    <w:next w:val="1"/>
    <w:autoRedefine/>
    <w:qFormat/>
    <w:uiPriority w:val="0"/>
    <w:pPr>
      <w:ind w:left="1400"/>
    </w:pPr>
    <w:rPr>
      <w:rFonts w:ascii="Calibri" w:hAnsi="Calibri" w:cs="Calibri"/>
      <w:sz w:val="18"/>
      <w:szCs w:val="18"/>
    </w:rPr>
  </w:style>
  <w:style w:type="paragraph" w:styleId="25">
    <w:name w:val="Date"/>
    <w:basedOn w:val="1"/>
    <w:next w:val="1"/>
    <w:link w:val="71"/>
    <w:autoRedefine/>
    <w:qFormat/>
    <w:uiPriority w:val="0"/>
    <w:pPr>
      <w:jc w:val="both"/>
    </w:pPr>
    <w:rPr>
      <w:rFonts w:ascii="宋体"/>
      <w:sz w:val="24"/>
    </w:rPr>
  </w:style>
  <w:style w:type="paragraph" w:styleId="26">
    <w:name w:val="Body Text Indent 2"/>
    <w:basedOn w:val="1"/>
    <w:autoRedefine/>
    <w:qFormat/>
    <w:uiPriority w:val="0"/>
    <w:pPr>
      <w:spacing w:after="120" w:line="480" w:lineRule="auto"/>
      <w:ind w:left="420" w:leftChars="200"/>
    </w:pPr>
  </w:style>
  <w:style w:type="paragraph" w:styleId="27">
    <w:name w:val="Balloon Text"/>
    <w:basedOn w:val="1"/>
    <w:autoRedefine/>
    <w:semiHidden/>
    <w:qFormat/>
    <w:uiPriority w:val="0"/>
    <w:rPr>
      <w:sz w:val="18"/>
      <w:szCs w:val="18"/>
    </w:rPr>
  </w:style>
  <w:style w:type="paragraph" w:styleId="28">
    <w:name w:val="footer"/>
    <w:basedOn w:val="1"/>
    <w:autoRedefine/>
    <w:qFormat/>
    <w:uiPriority w:val="99"/>
    <w:pPr>
      <w:tabs>
        <w:tab w:val="center" w:pos="4153"/>
        <w:tab w:val="right" w:pos="8306"/>
      </w:tabs>
      <w:snapToGrid w:val="0"/>
    </w:pPr>
    <w:rPr>
      <w:sz w:val="18"/>
    </w:rPr>
  </w:style>
  <w:style w:type="paragraph" w:styleId="29">
    <w:name w:val="header"/>
    <w:basedOn w:val="1"/>
    <w:link w:val="82"/>
    <w:autoRedefine/>
    <w:qFormat/>
    <w:uiPriority w:val="99"/>
    <w:pPr>
      <w:pBdr>
        <w:bottom w:val="single" w:color="auto" w:sz="6" w:space="1"/>
      </w:pBdr>
      <w:tabs>
        <w:tab w:val="center" w:pos="4153"/>
        <w:tab w:val="right" w:pos="8306"/>
      </w:tabs>
      <w:snapToGrid w:val="0"/>
      <w:jc w:val="center"/>
    </w:pPr>
    <w:rPr>
      <w:sz w:val="18"/>
    </w:rPr>
  </w:style>
  <w:style w:type="paragraph" w:styleId="30">
    <w:name w:val="toc 1"/>
    <w:basedOn w:val="1"/>
    <w:next w:val="1"/>
    <w:autoRedefine/>
    <w:qFormat/>
    <w:uiPriority w:val="39"/>
    <w:pPr>
      <w:spacing w:before="120" w:after="120"/>
    </w:pPr>
    <w:rPr>
      <w:rFonts w:ascii="Calibri" w:hAnsi="Calibri" w:cs="Calibri"/>
      <w:b/>
      <w:bCs/>
      <w:caps/>
    </w:rPr>
  </w:style>
  <w:style w:type="paragraph" w:styleId="31">
    <w:name w:val="toc 4"/>
    <w:basedOn w:val="1"/>
    <w:next w:val="1"/>
    <w:autoRedefine/>
    <w:qFormat/>
    <w:uiPriority w:val="0"/>
    <w:pPr>
      <w:ind w:left="600"/>
    </w:pPr>
    <w:rPr>
      <w:rFonts w:ascii="Calibri" w:hAnsi="Calibri" w:cs="Calibri"/>
      <w:sz w:val="18"/>
      <w:szCs w:val="18"/>
    </w:rPr>
  </w:style>
  <w:style w:type="paragraph" w:styleId="32">
    <w:name w:val="List"/>
    <w:basedOn w:val="1"/>
    <w:autoRedefine/>
    <w:qFormat/>
    <w:uiPriority w:val="0"/>
    <w:pPr>
      <w:widowControl w:val="0"/>
      <w:adjustRightInd w:val="0"/>
      <w:spacing w:line="360" w:lineRule="auto"/>
      <w:jc w:val="both"/>
      <w:textAlignment w:val="baseline"/>
    </w:pPr>
    <w:rPr>
      <w:sz w:val="24"/>
    </w:rPr>
  </w:style>
  <w:style w:type="paragraph" w:styleId="33">
    <w:name w:val="toc 6"/>
    <w:basedOn w:val="1"/>
    <w:next w:val="1"/>
    <w:autoRedefine/>
    <w:qFormat/>
    <w:uiPriority w:val="0"/>
    <w:pPr>
      <w:ind w:left="1000"/>
    </w:pPr>
    <w:rPr>
      <w:rFonts w:ascii="Calibri" w:hAnsi="Calibri" w:cs="Calibri"/>
      <w:sz w:val="18"/>
      <w:szCs w:val="18"/>
    </w:rPr>
  </w:style>
  <w:style w:type="paragraph" w:styleId="34">
    <w:name w:val="Body Text Indent 3"/>
    <w:basedOn w:val="1"/>
    <w:autoRedefine/>
    <w:qFormat/>
    <w:uiPriority w:val="0"/>
    <w:pPr>
      <w:spacing w:after="120"/>
      <w:ind w:left="420" w:leftChars="200"/>
    </w:pPr>
    <w:rPr>
      <w:sz w:val="16"/>
      <w:szCs w:val="16"/>
    </w:rPr>
  </w:style>
  <w:style w:type="paragraph" w:styleId="35">
    <w:name w:val="toc 2"/>
    <w:basedOn w:val="1"/>
    <w:next w:val="1"/>
    <w:autoRedefine/>
    <w:qFormat/>
    <w:uiPriority w:val="39"/>
    <w:pPr>
      <w:ind w:left="200"/>
    </w:pPr>
    <w:rPr>
      <w:rFonts w:ascii="Calibri" w:hAnsi="Calibri" w:cs="Calibri"/>
      <w:smallCaps/>
    </w:rPr>
  </w:style>
  <w:style w:type="paragraph" w:styleId="36">
    <w:name w:val="toc 9"/>
    <w:basedOn w:val="1"/>
    <w:next w:val="1"/>
    <w:autoRedefine/>
    <w:qFormat/>
    <w:uiPriority w:val="0"/>
    <w:pPr>
      <w:ind w:left="1600"/>
    </w:pPr>
    <w:rPr>
      <w:rFonts w:ascii="Calibri" w:hAnsi="Calibri" w:cs="Calibri"/>
      <w:sz w:val="18"/>
      <w:szCs w:val="18"/>
    </w:rPr>
  </w:style>
  <w:style w:type="paragraph" w:styleId="37">
    <w:name w:val="Body Text 2"/>
    <w:basedOn w:val="1"/>
    <w:autoRedefine/>
    <w:qFormat/>
    <w:uiPriority w:val="0"/>
    <w:pPr>
      <w:spacing w:after="120" w:line="480" w:lineRule="auto"/>
    </w:pPr>
  </w:style>
  <w:style w:type="paragraph" w:styleId="38">
    <w:name w:val="Message Header"/>
    <w:basedOn w:val="1"/>
    <w:autoRedefine/>
    <w:qFormat/>
    <w:uiPriority w:val="0"/>
    <w:pPr>
      <w:widowControl w:val="0"/>
      <w:pBdr>
        <w:top w:val="single" w:color="auto" w:sz="6" w:space="1"/>
        <w:left w:val="single" w:color="auto" w:sz="6" w:space="1"/>
        <w:bottom w:val="single" w:color="auto" w:sz="6" w:space="1"/>
        <w:right w:val="single" w:color="auto" w:sz="6" w:space="1"/>
      </w:pBdr>
      <w:shd w:val="pct20" w:color="auto" w:fill="auto"/>
      <w:tabs>
        <w:tab w:val="left" w:pos="738"/>
      </w:tabs>
      <w:ind w:left="1080" w:leftChars="500" w:hanging="1080" w:hangingChars="500"/>
      <w:jc w:val="both"/>
    </w:pPr>
    <w:rPr>
      <w:rFonts w:ascii="Arial" w:hAnsi="Arial" w:cs="Arial"/>
      <w:kern w:val="2"/>
      <w:sz w:val="24"/>
      <w:szCs w:val="24"/>
    </w:rPr>
  </w:style>
  <w:style w:type="paragraph" w:styleId="39">
    <w:name w:val="Normal (Web)"/>
    <w:basedOn w:val="1"/>
    <w:autoRedefine/>
    <w:qFormat/>
    <w:uiPriority w:val="0"/>
    <w:rPr>
      <w:sz w:val="24"/>
      <w:szCs w:val="24"/>
    </w:rPr>
  </w:style>
  <w:style w:type="paragraph" w:styleId="40">
    <w:name w:val="index 1"/>
    <w:basedOn w:val="1"/>
    <w:next w:val="1"/>
    <w:autoRedefine/>
    <w:semiHidden/>
    <w:qFormat/>
    <w:uiPriority w:val="0"/>
  </w:style>
  <w:style w:type="paragraph" w:styleId="41">
    <w:name w:val="Title"/>
    <w:basedOn w:val="1"/>
    <w:next w:val="1"/>
    <w:autoRedefine/>
    <w:qFormat/>
    <w:uiPriority w:val="10"/>
    <w:pPr>
      <w:widowControl w:val="0"/>
      <w:tabs>
        <w:tab w:val="left" w:pos="738"/>
      </w:tabs>
      <w:spacing w:before="240" w:after="60"/>
      <w:ind w:left="738" w:hanging="454"/>
      <w:jc w:val="center"/>
      <w:outlineLvl w:val="0"/>
    </w:pPr>
    <w:rPr>
      <w:rFonts w:ascii="Arial" w:hAnsi="Arial" w:cs="Arial"/>
      <w:b/>
      <w:bCs/>
      <w:kern w:val="2"/>
      <w:sz w:val="32"/>
      <w:szCs w:val="32"/>
    </w:rPr>
  </w:style>
  <w:style w:type="paragraph" w:styleId="42">
    <w:name w:val="annotation subject"/>
    <w:basedOn w:val="15"/>
    <w:next w:val="15"/>
    <w:link w:val="139"/>
    <w:autoRedefine/>
    <w:semiHidden/>
    <w:unhideWhenUsed/>
    <w:qFormat/>
    <w:uiPriority w:val="0"/>
    <w:rPr>
      <w:b/>
      <w:bCs/>
    </w:rPr>
  </w:style>
  <w:style w:type="paragraph" w:styleId="43">
    <w:name w:val="Body Text First Indent"/>
    <w:basedOn w:val="17"/>
    <w:autoRedefine/>
    <w:qFormat/>
    <w:uiPriority w:val="0"/>
    <w:pPr>
      <w:widowControl w:val="0"/>
      <w:adjustRightInd w:val="0"/>
      <w:spacing w:after="0" w:line="312" w:lineRule="auto"/>
      <w:ind w:firstLine="567"/>
      <w:jc w:val="both"/>
      <w:textAlignment w:val="baseline"/>
    </w:pPr>
    <w:rPr>
      <w:sz w:val="28"/>
    </w:rPr>
  </w:style>
  <w:style w:type="paragraph" w:styleId="44">
    <w:name w:val="Body Text First Indent 2"/>
    <w:basedOn w:val="18"/>
    <w:next w:val="1"/>
    <w:autoRedefine/>
    <w:qFormat/>
    <w:uiPriority w:val="0"/>
    <w:pPr>
      <w:tabs>
        <w:tab w:val="left" w:pos="360"/>
      </w:tabs>
      <w:spacing w:after="120" w:afterLines="0"/>
      <w:ind w:firstLine="420"/>
    </w:pPr>
    <w:rPr>
      <w:rFonts w:ascii="仿宋_GB2312" w:hAnsi="Times New Roman" w:eastAsia="仿宋_GB2312" w:cs="Times New Roman"/>
      <w:sz w:val="24"/>
      <w:szCs w:val="20"/>
    </w:rPr>
  </w:style>
  <w:style w:type="table" w:styleId="46">
    <w:name w:val="Table Grid"/>
    <w:basedOn w:val="4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autoRedefine/>
    <w:qFormat/>
    <w:uiPriority w:val="0"/>
    <w:rPr>
      <w:b/>
      <w:bCs/>
    </w:rPr>
  </w:style>
  <w:style w:type="character" w:styleId="49">
    <w:name w:val="page number"/>
    <w:basedOn w:val="47"/>
    <w:autoRedefine/>
    <w:qFormat/>
    <w:uiPriority w:val="0"/>
  </w:style>
  <w:style w:type="character" w:styleId="50">
    <w:name w:val="FollowedHyperlink"/>
    <w:basedOn w:val="47"/>
    <w:autoRedefine/>
    <w:qFormat/>
    <w:uiPriority w:val="99"/>
    <w:rPr>
      <w:color w:val="800080"/>
      <w:u w:val="none"/>
    </w:rPr>
  </w:style>
  <w:style w:type="character" w:styleId="51">
    <w:name w:val="Emphasis"/>
    <w:basedOn w:val="47"/>
    <w:autoRedefine/>
    <w:qFormat/>
    <w:uiPriority w:val="0"/>
  </w:style>
  <w:style w:type="character" w:styleId="52">
    <w:name w:val="line number"/>
    <w:basedOn w:val="47"/>
    <w:autoRedefine/>
    <w:qFormat/>
    <w:uiPriority w:val="0"/>
  </w:style>
  <w:style w:type="character" w:styleId="53">
    <w:name w:val="HTML Definition"/>
    <w:basedOn w:val="47"/>
    <w:autoRedefine/>
    <w:semiHidden/>
    <w:unhideWhenUsed/>
    <w:qFormat/>
    <w:uiPriority w:val="0"/>
  </w:style>
  <w:style w:type="character" w:styleId="54">
    <w:name w:val="HTML Typewriter"/>
    <w:basedOn w:val="47"/>
    <w:autoRedefine/>
    <w:semiHidden/>
    <w:unhideWhenUsed/>
    <w:qFormat/>
    <w:uiPriority w:val="0"/>
    <w:rPr>
      <w:rFonts w:hint="default" w:ascii="monospace" w:hAnsi="monospace" w:eastAsia="monospace" w:cs="monospace"/>
      <w:sz w:val="20"/>
    </w:rPr>
  </w:style>
  <w:style w:type="character" w:styleId="55">
    <w:name w:val="HTML Acronym"/>
    <w:basedOn w:val="47"/>
    <w:autoRedefine/>
    <w:semiHidden/>
    <w:unhideWhenUsed/>
    <w:qFormat/>
    <w:uiPriority w:val="0"/>
  </w:style>
  <w:style w:type="character" w:styleId="56">
    <w:name w:val="HTML Variable"/>
    <w:basedOn w:val="47"/>
    <w:autoRedefine/>
    <w:semiHidden/>
    <w:unhideWhenUsed/>
    <w:qFormat/>
    <w:uiPriority w:val="0"/>
  </w:style>
  <w:style w:type="character" w:styleId="57">
    <w:name w:val="Hyperlink"/>
    <w:basedOn w:val="47"/>
    <w:autoRedefine/>
    <w:qFormat/>
    <w:uiPriority w:val="99"/>
    <w:rPr>
      <w:color w:val="0000FF"/>
      <w:u w:val="none"/>
    </w:rPr>
  </w:style>
  <w:style w:type="character" w:styleId="58">
    <w:name w:val="HTML Code"/>
    <w:basedOn w:val="47"/>
    <w:autoRedefine/>
    <w:semiHidden/>
    <w:unhideWhenUsed/>
    <w:qFormat/>
    <w:uiPriority w:val="0"/>
    <w:rPr>
      <w:rFonts w:hint="default" w:ascii="monospace" w:hAnsi="monospace" w:eastAsia="monospace" w:cs="monospace"/>
      <w:sz w:val="20"/>
    </w:rPr>
  </w:style>
  <w:style w:type="character" w:styleId="59">
    <w:name w:val="annotation reference"/>
    <w:basedOn w:val="47"/>
    <w:autoRedefine/>
    <w:semiHidden/>
    <w:unhideWhenUsed/>
    <w:qFormat/>
    <w:uiPriority w:val="0"/>
    <w:rPr>
      <w:sz w:val="21"/>
      <w:szCs w:val="21"/>
    </w:rPr>
  </w:style>
  <w:style w:type="character" w:styleId="60">
    <w:name w:val="HTML Cite"/>
    <w:basedOn w:val="47"/>
    <w:autoRedefine/>
    <w:semiHidden/>
    <w:unhideWhenUsed/>
    <w:qFormat/>
    <w:uiPriority w:val="0"/>
  </w:style>
  <w:style w:type="character" w:styleId="61">
    <w:name w:val="HTML Keyboard"/>
    <w:basedOn w:val="47"/>
    <w:autoRedefine/>
    <w:semiHidden/>
    <w:unhideWhenUsed/>
    <w:qFormat/>
    <w:uiPriority w:val="0"/>
    <w:rPr>
      <w:rFonts w:ascii="monospace" w:hAnsi="monospace" w:eastAsia="monospace" w:cs="monospace"/>
      <w:sz w:val="20"/>
    </w:rPr>
  </w:style>
  <w:style w:type="character" w:styleId="62">
    <w:name w:val="HTML Sample"/>
    <w:basedOn w:val="47"/>
    <w:autoRedefine/>
    <w:semiHidden/>
    <w:unhideWhenUsed/>
    <w:qFormat/>
    <w:uiPriority w:val="0"/>
    <w:rPr>
      <w:rFonts w:hint="default" w:ascii="monospace" w:hAnsi="monospace" w:eastAsia="monospace" w:cs="monospace"/>
    </w:rPr>
  </w:style>
  <w:style w:type="paragraph" w:customStyle="1" w:styleId="63">
    <w:name w:val="首行缩进"/>
    <w:basedOn w:val="1"/>
    <w:autoRedefine/>
    <w:qFormat/>
    <w:uiPriority w:val="0"/>
    <w:pPr>
      <w:tabs>
        <w:tab w:val="left" w:pos="540"/>
      </w:tabs>
      <w:spacing w:line="360" w:lineRule="auto"/>
    </w:pPr>
    <w:rPr>
      <w:rFonts w:eastAsia="仿宋_GB2312"/>
    </w:rPr>
  </w:style>
  <w:style w:type="character" w:customStyle="1" w:styleId="64">
    <w:name w:val="标题 1 Char"/>
    <w:basedOn w:val="47"/>
    <w:link w:val="3"/>
    <w:autoRedefine/>
    <w:qFormat/>
    <w:uiPriority w:val="0"/>
    <w:rPr>
      <w:b/>
      <w:kern w:val="44"/>
      <w:sz w:val="44"/>
    </w:rPr>
  </w:style>
  <w:style w:type="character" w:customStyle="1" w:styleId="65">
    <w:name w:val="普通文字 Char Char"/>
    <w:autoRedefine/>
    <w:qFormat/>
    <w:uiPriority w:val="0"/>
    <w:rPr>
      <w:rFonts w:ascii="宋体" w:hAnsi="Courier New" w:eastAsia="宋体" w:cs="Century"/>
      <w:sz w:val="21"/>
      <w:szCs w:val="21"/>
      <w:lang w:val="en-US" w:eastAsia="zh-CN" w:bidi="ar-SA"/>
    </w:rPr>
  </w:style>
  <w:style w:type="character" w:customStyle="1" w:styleId="66">
    <w:name w:val="font11"/>
    <w:basedOn w:val="47"/>
    <w:autoRedefine/>
    <w:qFormat/>
    <w:uiPriority w:val="0"/>
    <w:rPr>
      <w:rFonts w:hint="eastAsia" w:ascii="宋体" w:hAnsi="宋体" w:eastAsia="宋体" w:cs="宋体"/>
      <w:color w:val="000000"/>
      <w:sz w:val="22"/>
      <w:szCs w:val="22"/>
      <w:u w:val="none"/>
    </w:rPr>
  </w:style>
  <w:style w:type="character" w:customStyle="1" w:styleId="67">
    <w:name w:val="正文文本 Char"/>
    <w:autoRedefine/>
    <w:qFormat/>
    <w:uiPriority w:val="0"/>
    <w:rPr>
      <w:rFonts w:eastAsia="宋体"/>
      <w:lang w:val="en-US" w:eastAsia="zh-CN" w:bidi="ar-SA"/>
    </w:rPr>
  </w:style>
  <w:style w:type="character" w:customStyle="1" w:styleId="68">
    <w:name w:val="引用 Char"/>
    <w:basedOn w:val="47"/>
    <w:link w:val="69"/>
    <w:autoRedefine/>
    <w:qFormat/>
    <w:uiPriority w:val="29"/>
    <w:rPr>
      <w:i/>
      <w:iCs/>
      <w:color w:val="000000"/>
    </w:rPr>
  </w:style>
  <w:style w:type="paragraph" w:styleId="69">
    <w:name w:val="Quote"/>
    <w:basedOn w:val="1"/>
    <w:next w:val="1"/>
    <w:link w:val="68"/>
    <w:autoRedefine/>
    <w:qFormat/>
    <w:uiPriority w:val="29"/>
    <w:rPr>
      <w:i/>
      <w:iCs/>
      <w:color w:val="000000"/>
    </w:rPr>
  </w:style>
  <w:style w:type="character" w:customStyle="1" w:styleId="70">
    <w:name w:val="text"/>
    <w:basedOn w:val="47"/>
    <w:autoRedefine/>
    <w:qFormat/>
    <w:uiPriority w:val="0"/>
  </w:style>
  <w:style w:type="character" w:customStyle="1" w:styleId="71">
    <w:name w:val="日期 Char"/>
    <w:basedOn w:val="47"/>
    <w:link w:val="25"/>
    <w:autoRedefine/>
    <w:qFormat/>
    <w:uiPriority w:val="0"/>
    <w:rPr>
      <w:rFonts w:ascii="宋体"/>
      <w:sz w:val="24"/>
    </w:rPr>
  </w:style>
  <w:style w:type="character" w:customStyle="1" w:styleId="72">
    <w:name w:val="titlestyle10831"/>
    <w:basedOn w:val="47"/>
    <w:autoRedefine/>
    <w:qFormat/>
    <w:uiPriority w:val="0"/>
    <w:rPr>
      <w:rFonts w:hint="eastAsia" w:ascii="黑体" w:hAnsi="黑体" w:eastAsia="黑体"/>
      <w:b/>
      <w:bCs/>
      <w:sz w:val="36"/>
      <w:szCs w:val="36"/>
    </w:rPr>
  </w:style>
  <w:style w:type="character" w:customStyle="1" w:styleId="73">
    <w:name w:val="正文文本 Char1"/>
    <w:basedOn w:val="47"/>
    <w:link w:val="17"/>
    <w:autoRedefine/>
    <w:qFormat/>
    <w:uiPriority w:val="0"/>
    <w:rPr>
      <w:rFonts w:eastAsia="宋体"/>
      <w:lang w:val="en-US" w:eastAsia="zh-CN" w:bidi="ar-SA"/>
    </w:rPr>
  </w:style>
  <w:style w:type="character" w:customStyle="1" w:styleId="74">
    <w:name w:val="纯文本 Char"/>
    <w:basedOn w:val="47"/>
    <w:link w:val="23"/>
    <w:autoRedefine/>
    <w:qFormat/>
    <w:uiPriority w:val="0"/>
    <w:rPr>
      <w:rFonts w:ascii="宋体" w:hAnsi="Courier New" w:eastAsia="宋体" w:cs="Century"/>
      <w:sz w:val="21"/>
      <w:szCs w:val="21"/>
      <w:lang w:val="en-US" w:eastAsia="zh-CN" w:bidi="ar-SA"/>
    </w:rPr>
  </w:style>
  <w:style w:type="character" w:customStyle="1" w:styleId="75">
    <w:name w:val="apple-tab-span"/>
    <w:basedOn w:val="47"/>
    <w:autoRedefine/>
    <w:qFormat/>
    <w:uiPriority w:val="0"/>
  </w:style>
  <w:style w:type="character" w:customStyle="1" w:styleId="76">
    <w:name w:val="Char Char Char"/>
    <w:basedOn w:val="47"/>
    <w:autoRedefine/>
    <w:qFormat/>
    <w:uiPriority w:val="0"/>
    <w:rPr>
      <w:rFonts w:ascii="宋体" w:hAnsi="Courier New" w:eastAsia="宋体"/>
      <w:kern w:val="2"/>
      <w:sz w:val="24"/>
      <w:lang w:val="en-US" w:eastAsia="zh-CN" w:bidi="ar-SA"/>
    </w:rPr>
  </w:style>
  <w:style w:type="character" w:customStyle="1" w:styleId="77">
    <w:name w:val="para"/>
    <w:basedOn w:val="47"/>
    <w:autoRedefine/>
    <w:qFormat/>
    <w:uiPriority w:val="0"/>
  </w:style>
  <w:style w:type="character" w:customStyle="1" w:styleId="78">
    <w:name w:val="main14"/>
    <w:basedOn w:val="47"/>
    <w:autoRedefine/>
    <w:qFormat/>
    <w:uiPriority w:val="0"/>
  </w:style>
  <w:style w:type="character" w:customStyle="1" w:styleId="79">
    <w:name w:val="title_emph"/>
    <w:basedOn w:val="47"/>
    <w:autoRedefine/>
    <w:qFormat/>
    <w:uiPriority w:val="0"/>
  </w:style>
  <w:style w:type="character" w:customStyle="1" w:styleId="80">
    <w:name w:val="font01"/>
    <w:basedOn w:val="47"/>
    <w:autoRedefine/>
    <w:qFormat/>
    <w:uiPriority w:val="0"/>
    <w:rPr>
      <w:rFonts w:hint="eastAsia" w:ascii="宋体" w:hAnsi="宋体" w:eastAsia="宋体" w:cs="宋体"/>
      <w:color w:val="000000"/>
      <w:sz w:val="22"/>
      <w:szCs w:val="22"/>
      <w:u w:val="none"/>
    </w:rPr>
  </w:style>
  <w:style w:type="paragraph" w:customStyle="1" w:styleId="81">
    <w:name w:val="È±Ê¡ÎÄ±¾"/>
    <w:basedOn w:val="1"/>
    <w:autoRedefine/>
    <w:qFormat/>
    <w:uiPriority w:val="0"/>
    <w:pPr>
      <w:overflowPunct w:val="0"/>
      <w:autoSpaceDE w:val="0"/>
      <w:autoSpaceDN w:val="0"/>
      <w:adjustRightInd w:val="0"/>
      <w:textAlignment w:val="baseline"/>
    </w:pPr>
    <w:rPr>
      <w:sz w:val="24"/>
    </w:rPr>
  </w:style>
  <w:style w:type="character" w:customStyle="1" w:styleId="82">
    <w:name w:val="页眉 Char"/>
    <w:basedOn w:val="47"/>
    <w:link w:val="29"/>
    <w:autoRedefine/>
    <w:qFormat/>
    <w:uiPriority w:val="99"/>
    <w:rPr>
      <w:sz w:val="18"/>
    </w:rPr>
  </w:style>
  <w:style w:type="paragraph" w:customStyle="1" w:styleId="83">
    <w:name w:val="Char Char Char Char"/>
    <w:basedOn w:val="1"/>
    <w:autoRedefine/>
    <w:qFormat/>
    <w:uiPriority w:val="0"/>
    <w:pPr>
      <w:widowControl w:val="0"/>
      <w:jc w:val="both"/>
    </w:pPr>
    <w:rPr>
      <w:rFonts w:ascii="Tahoma" w:hAnsi="Tahoma"/>
      <w:kern w:val="2"/>
      <w:sz w:val="24"/>
    </w:rPr>
  </w:style>
  <w:style w:type="paragraph" w:customStyle="1" w:styleId="84">
    <w:name w:val="1"/>
    <w:basedOn w:val="1"/>
    <w:next w:val="39"/>
    <w:autoRedefine/>
    <w:qFormat/>
    <w:uiPriority w:val="0"/>
    <w:pPr>
      <w:spacing w:before="100" w:beforeAutospacing="1" w:after="100" w:afterAutospacing="1"/>
    </w:pPr>
    <w:rPr>
      <w:rFonts w:ascii="宋体" w:hAnsi="宋体" w:cs="黑体"/>
      <w:sz w:val="24"/>
      <w:szCs w:val="24"/>
    </w:rPr>
  </w:style>
  <w:style w:type="paragraph" w:customStyle="1" w:styleId="85">
    <w:name w:val="正文文本缩进1"/>
    <w:basedOn w:val="1"/>
    <w:autoRedefine/>
    <w:qFormat/>
    <w:uiPriority w:val="0"/>
    <w:pPr>
      <w:widowControl w:val="0"/>
      <w:ind w:firstLine="560" w:firstLineChars="200"/>
      <w:jc w:val="both"/>
    </w:pPr>
    <w:rPr>
      <w:kern w:val="2"/>
      <w:sz w:val="28"/>
      <w:szCs w:val="28"/>
    </w:rPr>
  </w:style>
  <w:style w:type="paragraph" w:customStyle="1" w:styleId="86">
    <w:name w:val="IBM 正文"/>
    <w:basedOn w:val="1"/>
    <w:autoRedefine/>
    <w:qFormat/>
    <w:uiPriority w:val="0"/>
    <w:pPr>
      <w:widowControl w:val="0"/>
      <w:spacing w:line="400" w:lineRule="exact"/>
      <w:jc w:val="both"/>
    </w:pPr>
    <w:rPr>
      <w:spacing w:val="20"/>
      <w:kern w:val="2"/>
      <w:sz w:val="24"/>
    </w:rPr>
  </w:style>
  <w:style w:type="paragraph" w:customStyle="1" w:styleId="87">
    <w:name w:val="Char"/>
    <w:basedOn w:val="1"/>
    <w:autoRedefine/>
    <w:qFormat/>
    <w:uiPriority w:val="0"/>
    <w:pPr>
      <w:spacing w:after="160" w:line="240" w:lineRule="exact"/>
    </w:pPr>
    <w:rPr>
      <w:rFonts w:ascii="宋体" w:hAnsi="宋体"/>
      <w:lang w:eastAsia="en-US"/>
    </w:rPr>
  </w:style>
  <w:style w:type="paragraph" w:customStyle="1" w:styleId="88">
    <w:name w:val="样式2"/>
    <w:basedOn w:val="1"/>
    <w:autoRedefine/>
    <w:qFormat/>
    <w:uiPriority w:val="0"/>
    <w:pPr>
      <w:widowControl w:val="0"/>
      <w:jc w:val="both"/>
    </w:pPr>
    <w:rPr>
      <w:rFonts w:ascii="仿宋_GB2312" w:eastAsia="仿宋_GB2312"/>
      <w:kern w:val="2"/>
      <w:sz w:val="32"/>
    </w:rPr>
  </w:style>
  <w:style w:type="paragraph" w:customStyle="1" w:styleId="89">
    <w:name w:val="Blockquote"/>
    <w:basedOn w:val="1"/>
    <w:autoRedefine/>
    <w:qFormat/>
    <w:uiPriority w:val="0"/>
    <w:pPr>
      <w:widowControl w:val="0"/>
      <w:autoSpaceDE w:val="0"/>
      <w:autoSpaceDN w:val="0"/>
      <w:adjustRightInd w:val="0"/>
      <w:spacing w:before="100" w:after="100"/>
      <w:ind w:left="360" w:right="360"/>
    </w:pPr>
    <w:rPr>
      <w:sz w:val="24"/>
      <w:szCs w:val="24"/>
    </w:rPr>
  </w:style>
  <w:style w:type="paragraph" w:customStyle="1" w:styleId="90">
    <w:name w:val="Char Char Char1 Char"/>
    <w:basedOn w:val="1"/>
    <w:autoRedefine/>
    <w:qFormat/>
    <w:uiPriority w:val="0"/>
    <w:pPr>
      <w:widowControl w:val="0"/>
      <w:jc w:val="both"/>
    </w:pPr>
    <w:rPr>
      <w:rFonts w:ascii="Tahoma" w:hAnsi="Tahoma"/>
      <w:kern w:val="2"/>
      <w:sz w:val="24"/>
    </w:rPr>
  </w:style>
  <w:style w:type="paragraph" w:customStyle="1" w:styleId="91">
    <w:name w:val="缺省文本:1"/>
    <w:basedOn w:val="1"/>
    <w:autoRedefine/>
    <w:qFormat/>
    <w:uiPriority w:val="0"/>
    <w:pPr>
      <w:widowControl w:val="0"/>
      <w:autoSpaceDE w:val="0"/>
      <w:autoSpaceDN w:val="0"/>
      <w:adjustRightInd w:val="0"/>
    </w:pPr>
    <w:rPr>
      <w:sz w:val="24"/>
      <w:szCs w:val="24"/>
    </w:rPr>
  </w:style>
  <w:style w:type="paragraph" w:customStyle="1" w:styleId="92">
    <w:name w:val="标题1.9"/>
    <w:basedOn w:val="1"/>
    <w:autoRedefine/>
    <w:qFormat/>
    <w:uiPriority w:val="0"/>
    <w:pPr>
      <w:widowControl w:val="0"/>
      <w:autoSpaceDE w:val="0"/>
      <w:autoSpaceDN w:val="0"/>
      <w:adjustRightInd w:val="0"/>
      <w:jc w:val="center"/>
    </w:pPr>
    <w:rPr>
      <w:rFonts w:ascii="黑体" w:eastAsia="黑体"/>
      <w:sz w:val="24"/>
      <w:szCs w:val="24"/>
    </w:rPr>
  </w:style>
  <w:style w:type="paragraph" w:customStyle="1" w:styleId="93">
    <w:name w:val="默认段落字体 Para Char Char Char Char Char Char Char Char Char1 Char Char Char Char"/>
    <w:basedOn w:val="1"/>
    <w:autoRedefine/>
    <w:qFormat/>
    <w:uiPriority w:val="0"/>
    <w:pPr>
      <w:widowControl w:val="0"/>
      <w:adjustRightInd w:val="0"/>
      <w:spacing w:line="312" w:lineRule="atLeast"/>
      <w:jc w:val="both"/>
      <w:textAlignment w:val="baseline"/>
    </w:pPr>
    <w:rPr>
      <w:b/>
      <w:bCs/>
      <w:sz w:val="36"/>
      <w:szCs w:val="32"/>
    </w:rPr>
  </w:style>
  <w:style w:type="paragraph" w:styleId="94">
    <w:name w:val="List Paragraph"/>
    <w:basedOn w:val="1"/>
    <w:link w:val="137"/>
    <w:autoRedefine/>
    <w:qFormat/>
    <w:uiPriority w:val="34"/>
    <w:pPr>
      <w:widowControl w:val="0"/>
      <w:spacing w:line="360" w:lineRule="auto"/>
      <w:ind w:left="720" w:firstLine="420" w:firstLineChars="200"/>
      <w:jc w:val="both"/>
    </w:pPr>
    <w:rPr>
      <w:rFonts w:ascii="Calibri" w:hAnsi="Calibri"/>
      <w:kern w:val="2"/>
      <w:sz w:val="21"/>
      <w:szCs w:val="22"/>
    </w:rPr>
  </w:style>
  <w:style w:type="paragraph" w:customStyle="1" w:styleId="95">
    <w:name w:val="正文文本缩进 21"/>
    <w:basedOn w:val="1"/>
    <w:autoRedefine/>
    <w:qFormat/>
    <w:uiPriority w:val="0"/>
    <w:pPr>
      <w:widowControl w:val="0"/>
      <w:adjustRightInd w:val="0"/>
      <w:spacing w:line="360" w:lineRule="atLeast"/>
      <w:ind w:firstLine="600"/>
      <w:jc w:val="both"/>
      <w:textAlignment w:val="baseline"/>
    </w:pPr>
    <w:rPr>
      <w:sz w:val="32"/>
    </w:rPr>
  </w:style>
  <w:style w:type="paragraph" w:customStyle="1" w:styleId="96">
    <w:name w:val="标题 4.1"/>
    <w:basedOn w:val="1"/>
    <w:autoRedefine/>
    <w:qFormat/>
    <w:uiPriority w:val="0"/>
    <w:pPr>
      <w:keepNext/>
      <w:keepLines/>
      <w:widowControl w:val="0"/>
      <w:spacing w:before="280" w:after="290" w:line="376" w:lineRule="auto"/>
      <w:jc w:val="both"/>
      <w:outlineLvl w:val="3"/>
    </w:pPr>
    <w:rPr>
      <w:rFonts w:ascii="Arial" w:hAnsi="Arial" w:eastAsia="黑体"/>
      <w:b/>
      <w:bCs/>
      <w:kern w:val="2"/>
      <w:sz w:val="28"/>
      <w:szCs w:val="28"/>
    </w:rPr>
  </w:style>
  <w:style w:type="paragraph" w:customStyle="1" w:styleId="97">
    <w:name w:val="reader-word-layer reader-word-s16-2"/>
    <w:basedOn w:val="1"/>
    <w:autoRedefine/>
    <w:qFormat/>
    <w:uiPriority w:val="0"/>
    <w:pPr>
      <w:spacing w:before="100" w:beforeAutospacing="1" w:after="100" w:afterAutospacing="1"/>
    </w:pPr>
    <w:rPr>
      <w:rFonts w:ascii="宋体" w:hAnsi="宋体" w:cs="宋体"/>
      <w:sz w:val="24"/>
      <w:szCs w:val="24"/>
    </w:rPr>
  </w:style>
  <w:style w:type="paragraph" w:customStyle="1" w:styleId="98">
    <w:name w:val="标题5"/>
    <w:basedOn w:val="1"/>
    <w:autoRedefine/>
    <w:qFormat/>
    <w:uiPriority w:val="0"/>
    <w:pPr>
      <w:widowControl w:val="0"/>
      <w:tabs>
        <w:tab w:val="left" w:pos="7035"/>
      </w:tabs>
      <w:jc w:val="both"/>
    </w:pPr>
    <w:rPr>
      <w:rFonts w:ascii="宋体" w:hAnsi="宋体"/>
      <w:b/>
      <w:color w:val="000000"/>
      <w:kern w:val="2"/>
      <w:sz w:val="24"/>
      <w:szCs w:val="24"/>
    </w:rPr>
  </w:style>
  <w:style w:type="paragraph" w:customStyle="1" w:styleId="99">
    <w:name w:val="正文文本 21"/>
    <w:basedOn w:val="1"/>
    <w:autoRedefine/>
    <w:qFormat/>
    <w:uiPriority w:val="0"/>
    <w:pPr>
      <w:widowControl w:val="0"/>
      <w:adjustRightInd w:val="0"/>
      <w:spacing w:line="360" w:lineRule="atLeast"/>
      <w:ind w:firstLine="720"/>
      <w:jc w:val="both"/>
      <w:textAlignment w:val="baseline"/>
    </w:pPr>
    <w:rPr>
      <w:sz w:val="32"/>
      <w:szCs w:val="24"/>
    </w:rPr>
  </w:style>
  <w:style w:type="paragraph" w:customStyle="1" w:styleId="100">
    <w:name w:val="reader-word-layer reader-word-s16-14"/>
    <w:basedOn w:val="1"/>
    <w:autoRedefine/>
    <w:qFormat/>
    <w:uiPriority w:val="0"/>
    <w:pPr>
      <w:spacing w:before="100" w:beforeAutospacing="1" w:after="100" w:afterAutospacing="1"/>
    </w:pPr>
    <w:rPr>
      <w:rFonts w:ascii="宋体" w:hAnsi="宋体" w:cs="宋体"/>
      <w:sz w:val="24"/>
      <w:szCs w:val="24"/>
    </w:rPr>
  </w:style>
  <w:style w:type="paragraph" w:customStyle="1" w:styleId="101">
    <w:name w:val="xl28"/>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102">
    <w:name w:val="reader-word-layer reader-word-s16-16"/>
    <w:basedOn w:val="1"/>
    <w:autoRedefine/>
    <w:qFormat/>
    <w:uiPriority w:val="0"/>
    <w:pPr>
      <w:spacing w:before="100" w:beforeAutospacing="1" w:after="100" w:afterAutospacing="1"/>
    </w:pPr>
    <w:rPr>
      <w:rFonts w:ascii="宋体" w:hAnsi="宋体" w:cs="宋体"/>
      <w:sz w:val="24"/>
      <w:szCs w:val="24"/>
    </w:rPr>
  </w:style>
  <w:style w:type="paragraph" w:customStyle="1" w:styleId="103">
    <w:name w:val="o"/>
    <w:basedOn w:val="1"/>
    <w:autoRedefine/>
    <w:qFormat/>
    <w:uiPriority w:val="0"/>
    <w:pPr>
      <w:widowControl w:val="0"/>
      <w:adjustRightInd w:val="0"/>
      <w:spacing w:line="360" w:lineRule="atLeast"/>
      <w:textAlignment w:val="baseline"/>
    </w:pPr>
    <w:rPr>
      <w:rFonts w:ascii="宋体"/>
      <w:sz w:val="32"/>
    </w:rPr>
  </w:style>
  <w:style w:type="paragraph" w:customStyle="1" w:styleId="104">
    <w:name w:val="aspnumfaautoadjustright"/>
    <w:autoRedefine/>
    <w:qFormat/>
    <w:uiPriority w:val="0"/>
    <w:pPr>
      <w:widowControl w:val="0"/>
      <w:autoSpaceDE w:val="0"/>
      <w:autoSpaceDN w:val="0"/>
      <w:adjustRightInd w:val="0"/>
      <w:jc w:val="both"/>
    </w:pPr>
    <w:rPr>
      <w:rFonts w:ascii="宋体" w:hAnsi="Times New Roman" w:eastAsia="宋体" w:cs="Times New Roman"/>
      <w:lang w:val="en-US" w:eastAsia="zh-CN" w:bidi="ar-SA"/>
    </w:rPr>
  </w:style>
  <w:style w:type="paragraph" w:customStyle="1" w:styleId="105">
    <w:name w:val="小标题"/>
    <w:basedOn w:val="1"/>
    <w:autoRedefine/>
    <w:qFormat/>
    <w:uiPriority w:val="0"/>
    <w:pPr>
      <w:widowControl w:val="0"/>
      <w:adjustRightInd w:val="0"/>
      <w:spacing w:before="120" w:after="120" w:line="400" w:lineRule="atLeast"/>
      <w:jc w:val="both"/>
      <w:textAlignment w:val="baseline"/>
    </w:pPr>
    <w:rPr>
      <w:rFonts w:ascii="宋体" w:hAnsi="宋体"/>
      <w:sz w:val="24"/>
    </w:rPr>
  </w:style>
  <w:style w:type="paragraph" w:customStyle="1" w:styleId="106">
    <w:name w:val="默认段落字体 Para Char Char Char Char Char Char Char Char Char1 Char Char Char Char Char Char Char"/>
    <w:basedOn w:val="14"/>
    <w:autoRedefine/>
    <w:qFormat/>
    <w:uiPriority w:val="0"/>
    <w:pPr>
      <w:widowControl w:val="0"/>
      <w:jc w:val="both"/>
    </w:pPr>
    <w:rPr>
      <w:rFonts w:ascii="Tahoma" w:hAnsi="Tahoma" w:cs="Tahoma"/>
      <w:kern w:val="2"/>
      <w:sz w:val="24"/>
      <w:szCs w:val="24"/>
    </w:rPr>
  </w:style>
  <w:style w:type="paragraph" w:customStyle="1" w:styleId="107">
    <w:name w:val="?¡ì?¡ì?¡§¡è?¡ìo????¡§¡è?:1:1"/>
    <w:basedOn w:val="1"/>
    <w:autoRedefine/>
    <w:qFormat/>
    <w:uiPriority w:val="0"/>
    <w:pPr>
      <w:overflowPunct w:val="0"/>
      <w:autoSpaceDE w:val="0"/>
      <w:autoSpaceDN w:val="0"/>
      <w:adjustRightInd w:val="0"/>
    </w:pPr>
    <w:rPr>
      <w:sz w:val="24"/>
    </w:rPr>
  </w:style>
  <w:style w:type="paragraph" w:customStyle="1" w:styleId="108">
    <w:name w:val="Char Char2"/>
    <w:basedOn w:val="1"/>
    <w:autoRedefine/>
    <w:qFormat/>
    <w:uiPriority w:val="0"/>
    <w:pPr>
      <w:widowControl w:val="0"/>
      <w:jc w:val="both"/>
    </w:pPr>
    <w:rPr>
      <w:rFonts w:ascii="Tahoma" w:hAnsi="Tahoma"/>
      <w:kern w:val="2"/>
      <w:sz w:val="24"/>
    </w:rPr>
  </w:style>
  <w:style w:type="paragraph" w:customStyle="1" w:styleId="109">
    <w:name w:val="reader-word-layer reader-word-s16-12"/>
    <w:basedOn w:val="1"/>
    <w:autoRedefine/>
    <w:qFormat/>
    <w:uiPriority w:val="0"/>
    <w:pPr>
      <w:spacing w:before="100" w:beforeAutospacing="1" w:after="100" w:afterAutospacing="1"/>
    </w:pPr>
    <w:rPr>
      <w:rFonts w:ascii="宋体" w:hAnsi="宋体" w:cs="宋体"/>
      <w:sz w:val="24"/>
      <w:szCs w:val="24"/>
    </w:rPr>
  </w:style>
  <w:style w:type="paragraph" w:customStyle="1" w:styleId="110">
    <w:name w:val="reader-word-layer reader-word-s16-9"/>
    <w:basedOn w:val="1"/>
    <w:autoRedefine/>
    <w:qFormat/>
    <w:uiPriority w:val="0"/>
    <w:pPr>
      <w:spacing w:before="100" w:beforeAutospacing="1" w:after="100" w:afterAutospacing="1"/>
    </w:pPr>
    <w:rPr>
      <w:rFonts w:ascii="宋体" w:hAnsi="宋体" w:cs="宋体"/>
      <w:sz w:val="24"/>
      <w:szCs w:val="24"/>
    </w:rPr>
  </w:style>
  <w:style w:type="paragraph" w:customStyle="1" w:styleId="111">
    <w:name w:val="Char1 Char Char Char"/>
    <w:basedOn w:val="1"/>
    <w:autoRedefine/>
    <w:qFormat/>
    <w:uiPriority w:val="0"/>
    <w:pPr>
      <w:widowControl w:val="0"/>
      <w:jc w:val="both"/>
    </w:pPr>
    <w:rPr>
      <w:kern w:val="2"/>
      <w:sz w:val="21"/>
      <w:szCs w:val="24"/>
    </w:rPr>
  </w:style>
  <w:style w:type="paragraph" w:customStyle="1" w:styleId="112">
    <w:name w:val="默认段落字体 Para Char Char Char Char"/>
    <w:basedOn w:val="1"/>
    <w:autoRedefine/>
    <w:qFormat/>
    <w:uiPriority w:val="0"/>
    <w:pPr>
      <w:widowControl w:val="0"/>
      <w:jc w:val="both"/>
    </w:pPr>
    <w:rPr>
      <w:kern w:val="2"/>
      <w:sz w:val="21"/>
      <w:szCs w:val="24"/>
    </w:rPr>
  </w:style>
  <w:style w:type="paragraph" w:customStyle="1" w:styleId="113">
    <w:name w:val="?¡ì?¡ì?¡§¡è?¡ìo????¡§¡è?:1"/>
    <w:basedOn w:val="1"/>
    <w:autoRedefine/>
    <w:qFormat/>
    <w:uiPriority w:val="0"/>
    <w:pPr>
      <w:overflowPunct w:val="0"/>
      <w:autoSpaceDE w:val="0"/>
      <w:autoSpaceDN w:val="0"/>
      <w:adjustRightInd w:val="0"/>
    </w:pPr>
    <w:rPr>
      <w:sz w:val="24"/>
    </w:rPr>
  </w:style>
  <w:style w:type="paragraph" w:customStyle="1" w:styleId="114">
    <w:name w:val="默认段落字体 Para Char"/>
    <w:basedOn w:val="1"/>
    <w:autoRedefine/>
    <w:qFormat/>
    <w:uiPriority w:val="0"/>
    <w:pPr>
      <w:widowControl w:val="0"/>
      <w:jc w:val="both"/>
    </w:pPr>
    <w:rPr>
      <w:kern w:val="2"/>
      <w:sz w:val="21"/>
      <w:szCs w:val="24"/>
    </w:rPr>
  </w:style>
  <w:style w:type="paragraph" w:customStyle="1" w:styleId="115">
    <w:name w:val="表格02"/>
    <w:basedOn w:val="1"/>
    <w:autoRedefine/>
    <w:qFormat/>
    <w:uiPriority w:val="0"/>
    <w:pPr>
      <w:widowControl w:val="0"/>
      <w:adjustRightInd w:val="0"/>
      <w:snapToGrid w:val="0"/>
      <w:spacing w:line="400" w:lineRule="exact"/>
      <w:jc w:val="center"/>
      <w:textAlignment w:val="baseline"/>
    </w:pPr>
    <w:rPr>
      <w:snapToGrid w:val="0"/>
      <w:sz w:val="24"/>
      <w:szCs w:val="24"/>
      <w:lang w:val="en-GB"/>
    </w:rPr>
  </w:style>
  <w:style w:type="paragraph" w:customStyle="1" w:styleId="116">
    <w:name w:val="reader-word-layer reader-word-s16-17"/>
    <w:basedOn w:val="1"/>
    <w:autoRedefine/>
    <w:qFormat/>
    <w:uiPriority w:val="0"/>
    <w:pPr>
      <w:spacing w:before="100" w:beforeAutospacing="1" w:after="100" w:afterAutospacing="1"/>
    </w:pPr>
    <w:rPr>
      <w:rFonts w:ascii="宋体" w:hAnsi="宋体" w:cs="宋体"/>
      <w:sz w:val="24"/>
      <w:szCs w:val="24"/>
    </w:rPr>
  </w:style>
  <w:style w:type="paragraph" w:customStyle="1" w:styleId="117">
    <w:name w:val="CM22"/>
    <w:basedOn w:val="1"/>
    <w:next w:val="1"/>
    <w:autoRedefine/>
    <w:qFormat/>
    <w:uiPriority w:val="0"/>
    <w:pPr>
      <w:widowControl w:val="0"/>
      <w:autoSpaceDE w:val="0"/>
      <w:autoSpaceDN w:val="0"/>
      <w:adjustRightInd w:val="0"/>
      <w:spacing w:after="310"/>
    </w:pPr>
    <w:rPr>
      <w:rFonts w:ascii="宋体"/>
      <w:sz w:val="24"/>
      <w:szCs w:val="24"/>
    </w:rPr>
  </w:style>
  <w:style w:type="paragraph" w:customStyle="1" w:styleId="118">
    <w:name w:val="reader-word-layer reader-word-s16-11"/>
    <w:basedOn w:val="1"/>
    <w:autoRedefine/>
    <w:qFormat/>
    <w:uiPriority w:val="0"/>
    <w:pPr>
      <w:spacing w:before="100" w:beforeAutospacing="1" w:after="100" w:afterAutospacing="1"/>
    </w:pPr>
    <w:rPr>
      <w:rFonts w:ascii="宋体" w:hAnsi="宋体" w:cs="宋体"/>
      <w:sz w:val="24"/>
      <w:szCs w:val="24"/>
    </w:rPr>
  </w:style>
  <w:style w:type="paragraph" w:customStyle="1" w:styleId="119">
    <w:name w:val="È±Ê¡ÎÄ±¾:1:1"/>
    <w:basedOn w:val="1"/>
    <w:autoRedefine/>
    <w:qFormat/>
    <w:uiPriority w:val="0"/>
    <w:pPr>
      <w:overflowPunct w:val="0"/>
      <w:autoSpaceDE w:val="0"/>
      <w:autoSpaceDN w:val="0"/>
      <w:adjustRightInd w:val="0"/>
      <w:textAlignment w:val="baseline"/>
    </w:pPr>
    <w:rPr>
      <w:sz w:val="24"/>
    </w:rPr>
  </w:style>
  <w:style w:type="paragraph" w:customStyle="1" w:styleId="120">
    <w:name w:val="样式1"/>
    <w:basedOn w:val="1"/>
    <w:autoRedefine/>
    <w:qFormat/>
    <w:uiPriority w:val="0"/>
    <w:pPr>
      <w:widowControl w:val="0"/>
      <w:spacing w:before="120" w:after="120" w:line="300" w:lineRule="auto"/>
      <w:jc w:val="both"/>
    </w:pPr>
    <w:rPr>
      <w:rFonts w:ascii="宋体" w:hAnsi="宋体"/>
      <w:b/>
      <w:kern w:val="2"/>
      <w:sz w:val="24"/>
    </w:rPr>
  </w:style>
  <w:style w:type="paragraph" w:customStyle="1" w:styleId="121">
    <w:name w:val="_Style 17"/>
    <w:basedOn w:val="1"/>
    <w:next w:val="39"/>
    <w:autoRedefine/>
    <w:qFormat/>
    <w:uiPriority w:val="0"/>
    <w:pPr>
      <w:spacing w:before="100" w:beforeAutospacing="1" w:after="100" w:afterAutospacing="1"/>
    </w:pPr>
    <w:rPr>
      <w:rFonts w:ascii="宋体" w:hAnsi="宋体" w:cs="黑体"/>
      <w:sz w:val="24"/>
      <w:szCs w:val="24"/>
    </w:rPr>
  </w:style>
  <w:style w:type="paragraph" w:customStyle="1" w:styleId="122">
    <w:name w:val="Char Char Char Char1"/>
    <w:basedOn w:val="1"/>
    <w:autoRedefine/>
    <w:qFormat/>
    <w:uiPriority w:val="0"/>
    <w:pPr>
      <w:widowControl w:val="0"/>
      <w:jc w:val="both"/>
    </w:pPr>
    <w:rPr>
      <w:rFonts w:ascii="Tahoma" w:hAnsi="Tahoma"/>
      <w:kern w:val="2"/>
      <w:sz w:val="24"/>
    </w:rPr>
  </w:style>
  <w:style w:type="paragraph" w:customStyle="1" w:styleId="123">
    <w:name w:val="reader-word-layer reader-word-s16-7"/>
    <w:basedOn w:val="1"/>
    <w:autoRedefine/>
    <w:qFormat/>
    <w:uiPriority w:val="0"/>
    <w:pPr>
      <w:spacing w:before="100" w:beforeAutospacing="1" w:after="100" w:afterAutospacing="1"/>
    </w:pPr>
    <w:rPr>
      <w:rFonts w:ascii="宋体" w:hAnsi="宋体" w:cs="宋体"/>
      <w:sz w:val="24"/>
      <w:szCs w:val="24"/>
    </w:rPr>
  </w:style>
  <w:style w:type="paragraph" w:customStyle="1" w:styleId="124">
    <w:name w:val="正文文本缩进8"/>
    <w:basedOn w:val="1"/>
    <w:autoRedefine/>
    <w:qFormat/>
    <w:uiPriority w:val="0"/>
    <w:pPr>
      <w:widowControl w:val="0"/>
      <w:ind w:firstLine="560" w:firstLineChars="200"/>
      <w:jc w:val="both"/>
    </w:pPr>
    <w:rPr>
      <w:kern w:val="2"/>
      <w:sz w:val="28"/>
      <w:szCs w:val="28"/>
    </w:rPr>
  </w:style>
  <w:style w:type="paragraph" w:customStyle="1" w:styleId="125">
    <w:name w:val="_Style 110"/>
    <w:basedOn w:val="1"/>
    <w:next w:val="94"/>
    <w:autoRedefine/>
    <w:qFormat/>
    <w:uiPriority w:val="34"/>
    <w:pPr>
      <w:widowControl w:val="0"/>
      <w:ind w:firstLine="420" w:firstLineChars="200"/>
      <w:jc w:val="both"/>
    </w:pPr>
    <w:rPr>
      <w:kern w:val="2"/>
      <w:sz w:val="21"/>
    </w:rPr>
  </w:style>
  <w:style w:type="character" w:customStyle="1" w:styleId="126">
    <w:name w:val="页脚 Char"/>
    <w:link w:val="127"/>
    <w:autoRedefine/>
    <w:qFormat/>
    <w:uiPriority w:val="0"/>
    <w:rPr>
      <w:sz w:val="18"/>
    </w:rPr>
  </w:style>
  <w:style w:type="paragraph" w:customStyle="1" w:styleId="127">
    <w:name w:val="页脚1"/>
    <w:basedOn w:val="1"/>
    <w:link w:val="126"/>
    <w:autoRedefine/>
    <w:qFormat/>
    <w:uiPriority w:val="0"/>
    <w:pPr>
      <w:widowControl w:val="0"/>
      <w:tabs>
        <w:tab w:val="center" w:pos="4153"/>
        <w:tab w:val="right" w:pos="8306"/>
      </w:tabs>
      <w:snapToGrid w:val="0"/>
    </w:pPr>
    <w:rPr>
      <w:sz w:val="18"/>
    </w:rPr>
  </w:style>
  <w:style w:type="paragraph" w:customStyle="1" w:styleId="128">
    <w:name w:val="页眉1"/>
    <w:basedOn w:val="1"/>
    <w:autoRedefine/>
    <w:qFormat/>
    <w:uiPriority w:val="0"/>
    <w:pPr>
      <w:widowControl w:val="0"/>
      <w:pBdr>
        <w:bottom w:val="single" w:color="auto" w:sz="6" w:space="1"/>
      </w:pBdr>
      <w:tabs>
        <w:tab w:val="center" w:pos="4153"/>
        <w:tab w:val="right" w:pos="8306"/>
      </w:tabs>
      <w:snapToGrid w:val="0"/>
      <w:jc w:val="center"/>
    </w:pPr>
    <w:rPr>
      <w:kern w:val="2"/>
      <w:sz w:val="21"/>
    </w:rPr>
  </w:style>
  <w:style w:type="paragraph" w:customStyle="1" w:styleId="129">
    <w:name w:val="页眉11"/>
    <w:basedOn w:val="1"/>
    <w:autoRedefine/>
    <w:qFormat/>
    <w:uiPriority w:val="0"/>
    <w:pPr>
      <w:widowControl w:val="0"/>
      <w:pBdr>
        <w:bottom w:val="single" w:color="auto" w:sz="6" w:space="1"/>
      </w:pBdr>
      <w:tabs>
        <w:tab w:val="center" w:pos="4153"/>
        <w:tab w:val="right" w:pos="8306"/>
      </w:tabs>
      <w:snapToGrid w:val="0"/>
      <w:jc w:val="center"/>
    </w:pPr>
    <w:rPr>
      <w:kern w:val="2"/>
      <w:sz w:val="21"/>
    </w:rPr>
  </w:style>
  <w:style w:type="paragraph" w:customStyle="1" w:styleId="130">
    <w:name w:val="正文缩进1"/>
    <w:basedOn w:val="1"/>
    <w:autoRedefine/>
    <w:qFormat/>
    <w:uiPriority w:val="0"/>
    <w:pPr>
      <w:ind w:firstLine="420"/>
      <w:jc w:val="center"/>
    </w:pPr>
    <w:rPr>
      <w:b/>
      <w:sz w:val="44"/>
    </w:rPr>
  </w:style>
  <w:style w:type="paragraph" w:styleId="131">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
    <w:name w:val="列出段落1"/>
    <w:basedOn w:val="1"/>
    <w:autoRedefine/>
    <w:qFormat/>
    <w:uiPriority w:val="0"/>
    <w:pPr>
      <w:widowControl w:val="0"/>
      <w:ind w:firstLine="420"/>
      <w:jc w:val="both"/>
    </w:pPr>
    <w:rPr>
      <w:kern w:val="2"/>
      <w:sz w:val="21"/>
    </w:rPr>
  </w:style>
  <w:style w:type="character" w:customStyle="1" w:styleId="133">
    <w:name w:val="p0 Char"/>
    <w:link w:val="134"/>
    <w:autoRedefine/>
    <w:qFormat/>
    <w:locked/>
    <w:uiPriority w:val="0"/>
    <w:rPr>
      <w:sz w:val="21"/>
      <w:szCs w:val="21"/>
    </w:rPr>
  </w:style>
  <w:style w:type="paragraph" w:customStyle="1" w:styleId="134">
    <w:name w:val="p0"/>
    <w:basedOn w:val="1"/>
    <w:link w:val="133"/>
    <w:autoRedefine/>
    <w:qFormat/>
    <w:uiPriority w:val="0"/>
    <w:pPr>
      <w:jc w:val="both"/>
    </w:pPr>
    <w:rPr>
      <w:rFonts w:eastAsia="微软雅黑" w:asciiTheme="minorHAnsi" w:hAnsiTheme="minorHAnsi" w:cstheme="minorBidi"/>
      <w:sz w:val="21"/>
      <w:szCs w:val="21"/>
    </w:rPr>
  </w:style>
  <w:style w:type="paragraph" w:customStyle="1" w:styleId="135">
    <w:name w:val="正文缩进2格"/>
    <w:basedOn w:val="1"/>
    <w:link w:val="136"/>
    <w:autoRedefine/>
    <w:qFormat/>
    <w:uiPriority w:val="0"/>
    <w:pPr>
      <w:widowControl w:val="0"/>
      <w:spacing w:line="600" w:lineRule="exact"/>
      <w:ind w:firstLine="639" w:firstLineChars="206"/>
      <w:jc w:val="both"/>
    </w:pPr>
    <w:rPr>
      <w:rFonts w:ascii="仿宋_GB2312" w:hAnsi="宋体" w:eastAsia="仿宋_GB2312"/>
      <w:kern w:val="2"/>
      <w:sz w:val="31"/>
      <w:szCs w:val="28"/>
    </w:rPr>
  </w:style>
  <w:style w:type="character" w:customStyle="1" w:styleId="136">
    <w:name w:val="正文缩进2格 Char"/>
    <w:link w:val="135"/>
    <w:autoRedefine/>
    <w:qFormat/>
    <w:uiPriority w:val="0"/>
    <w:rPr>
      <w:rFonts w:ascii="仿宋_GB2312" w:hAnsi="宋体" w:eastAsia="仿宋_GB2312" w:cs="Times New Roman"/>
      <w:kern w:val="2"/>
      <w:sz w:val="31"/>
      <w:szCs w:val="28"/>
    </w:rPr>
  </w:style>
  <w:style w:type="character" w:customStyle="1" w:styleId="137">
    <w:name w:val="列出段落 Char"/>
    <w:link w:val="94"/>
    <w:autoRedefine/>
    <w:qFormat/>
    <w:uiPriority w:val="0"/>
    <w:rPr>
      <w:rFonts w:ascii="Calibri" w:hAnsi="Calibri" w:eastAsia="宋体" w:cs="Times New Roman"/>
      <w:kern w:val="2"/>
      <w:sz w:val="21"/>
      <w:szCs w:val="22"/>
    </w:rPr>
  </w:style>
  <w:style w:type="character" w:customStyle="1" w:styleId="138">
    <w:name w:val="批注文字 Char"/>
    <w:basedOn w:val="47"/>
    <w:link w:val="15"/>
    <w:autoRedefine/>
    <w:semiHidden/>
    <w:qFormat/>
    <w:uiPriority w:val="0"/>
    <w:rPr>
      <w:rFonts w:ascii="Times New Roman" w:hAnsi="Times New Roman" w:eastAsia="宋体" w:cs="Times New Roman"/>
    </w:rPr>
  </w:style>
  <w:style w:type="character" w:customStyle="1" w:styleId="139">
    <w:name w:val="批注主题 Char"/>
    <w:basedOn w:val="138"/>
    <w:link w:val="42"/>
    <w:autoRedefine/>
    <w:semiHidden/>
    <w:qFormat/>
    <w:uiPriority w:val="0"/>
    <w:rPr>
      <w:rFonts w:ascii="Times New Roman" w:hAnsi="Times New Roman" w:eastAsia="宋体" w:cs="Times New Roman"/>
      <w:b/>
      <w:bCs/>
    </w:rPr>
  </w:style>
  <w:style w:type="paragraph" w:customStyle="1" w:styleId="140">
    <w:name w:val="修订1"/>
    <w:autoRedefine/>
    <w:hidden/>
    <w:semiHidden/>
    <w:qFormat/>
    <w:uiPriority w:val="99"/>
    <w:rPr>
      <w:rFonts w:ascii="Times New Roman" w:hAnsi="Times New Roman" w:eastAsia="宋体" w:cs="Times New Roman"/>
      <w:lang w:val="en-US" w:eastAsia="zh-CN" w:bidi="ar-SA"/>
    </w:rPr>
  </w:style>
  <w:style w:type="character" w:customStyle="1" w:styleId="141">
    <w:name w:val="layui-layer-tabnow"/>
    <w:basedOn w:val="47"/>
    <w:autoRedefine/>
    <w:qFormat/>
    <w:uiPriority w:val="0"/>
    <w:rPr>
      <w:bdr w:val="single" w:color="CCCCCC" w:sz="6" w:space="0"/>
      <w:shd w:val="clear" w:color="auto" w:fill="FFFFFF"/>
    </w:rPr>
  </w:style>
  <w:style w:type="character" w:customStyle="1" w:styleId="142">
    <w:name w:val="first-child"/>
    <w:basedOn w:val="47"/>
    <w:autoRedefine/>
    <w:qFormat/>
    <w:uiPriority w:val="0"/>
  </w:style>
  <w:style w:type="character" w:customStyle="1" w:styleId="143">
    <w:name w:val="oblog_text"/>
    <w:basedOn w:val="47"/>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53E03-D313-429D-99A3-EA4F2282F8AB}">
  <ds:schemaRefs/>
</ds:datastoreItem>
</file>

<file path=docProps/app.xml><?xml version="1.0" encoding="utf-8"?>
<Properties xmlns="http://schemas.openxmlformats.org/officeDocument/2006/extended-properties" xmlns:vt="http://schemas.openxmlformats.org/officeDocument/2006/docPropsVTypes">
  <Template>Normal</Template>
  <Company>中恒一信项目管理咨询有限公司</Company>
  <Pages>106</Pages>
  <Words>62475</Words>
  <Characters>68046</Characters>
  <Lines>271</Lines>
  <Paragraphs>76</Paragraphs>
  <TotalTime>6</TotalTime>
  <ScaleCrop>false</ScaleCrop>
  <LinksUpToDate>false</LinksUpToDate>
  <CharactersWithSpaces>70628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2020-12-07T00:11:00Z</dcterms:created>
  <dc:creator>赵明</dc:creator>
  <cp:lastModifiedBy>加勒比海带</cp:lastModifiedBy>
  <cp:lastPrinted>2023-08-28T01:39:00Z</cp:lastPrinted>
  <dcterms:modified xsi:type="dcterms:W3CDTF">2024-01-02T02:44:09Z</dcterms:modified>
  <dc:title>招标文件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CCB6140DB20848E7A6D5704B5505EF1A_13</vt:lpwstr>
  </property>
</Properties>
</file>