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6724">
      <w:pPr>
        <w:spacing w:before="325" w:line="222" w:lineRule="auto"/>
        <w:jc w:val="center"/>
        <w:rPr>
          <w:rFonts w:hint="eastAsia" w:ascii="宋体" w:hAnsi="宋体" w:eastAsia="宋体" w:cs="宋体"/>
          <w:b/>
          <w:bCs/>
          <w:color w:val="auto"/>
          <w:sz w:val="60"/>
          <w:szCs w:val="60"/>
          <w:highlight w:val="none"/>
          <w:lang w:eastAsia="zh-CN"/>
        </w:rPr>
      </w:pPr>
    </w:p>
    <w:p w14:paraId="1F68228C">
      <w:pPr>
        <w:spacing w:before="325" w:line="222"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60"/>
          <w:szCs w:val="60"/>
          <w:highlight w:val="none"/>
          <w:lang w:eastAsia="zh-CN"/>
        </w:rPr>
        <w:t>吉林艺术学院</w:t>
      </w:r>
      <w:bookmarkStart w:id="70" w:name="_GoBack"/>
      <w:bookmarkEnd w:id="70"/>
      <w:r>
        <w:rPr>
          <w:rFonts w:hint="eastAsia" w:ascii="宋体" w:hAnsi="宋体" w:eastAsia="宋体" w:cs="宋体"/>
          <w:b/>
          <w:bCs/>
          <w:color w:val="auto"/>
          <w:sz w:val="60"/>
          <w:szCs w:val="60"/>
          <w:highlight w:val="none"/>
          <w:lang w:eastAsia="zh-CN"/>
        </w:rPr>
        <w:t>藏品展陈建设项目</w:t>
      </w:r>
    </w:p>
    <w:p w14:paraId="7C22A462">
      <w:pPr>
        <w:spacing w:before="325" w:line="222" w:lineRule="auto"/>
        <w:ind w:left="1690"/>
        <w:rPr>
          <w:rFonts w:hint="eastAsia" w:ascii="宋体" w:hAnsi="宋体" w:eastAsia="宋体" w:cs="宋体"/>
          <w:color w:val="auto"/>
          <w:spacing w:val="2"/>
          <w:sz w:val="100"/>
          <w:szCs w:val="100"/>
          <w:highlight w:val="none"/>
          <w14:textOutline w14:w="18179" w14:cap="sq" w14:cmpd="sng">
            <w14:solidFill>
              <w14:srgbClr w14:val="000000"/>
            </w14:solidFill>
            <w14:prstDash w14:val="solid"/>
            <w14:bevel/>
          </w14:textOutline>
        </w:rPr>
      </w:pPr>
    </w:p>
    <w:p w14:paraId="33065B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0"/>
          <w:sz w:val="30"/>
          <w:szCs w:val="30"/>
          <w:highlight w:val="none"/>
          <w:lang w:val="en-US" w:eastAsia="zh-CN" w:bidi="ar-SA"/>
        </w:rPr>
      </w:pPr>
      <w:r>
        <w:rPr>
          <w:rFonts w:hint="eastAsia" w:ascii="宋体" w:hAnsi="宋体" w:eastAsia="宋体" w:cs="宋体"/>
          <w:b/>
          <w:bCs/>
          <w:snapToGrid/>
          <w:color w:val="auto"/>
          <w:kern w:val="0"/>
          <w:sz w:val="96"/>
          <w:szCs w:val="96"/>
          <w:highlight w:val="none"/>
          <w:lang w:val="en-US" w:eastAsia="zh-CN" w:bidi="ar-SA"/>
        </w:rPr>
        <w:t>招 标 文 件</w:t>
      </w:r>
    </w:p>
    <w:p w14:paraId="351D848B">
      <w:pPr>
        <w:keepNext w:val="0"/>
        <w:keepLines w:val="0"/>
        <w:pageBreakBefore w:val="0"/>
        <w:widowControl w:val="0"/>
        <w:tabs>
          <w:tab w:val="center" w:pos="4933"/>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color w:val="auto"/>
          <w:kern w:val="0"/>
          <w:sz w:val="30"/>
          <w:szCs w:val="30"/>
          <w:highlight w:val="none"/>
          <w:lang w:val="en-US" w:eastAsia="zh-CN" w:bidi="ar-SA"/>
        </w:rPr>
      </w:pPr>
      <w:r>
        <w:rPr>
          <w:rFonts w:hint="eastAsia" w:ascii="宋体" w:hAnsi="宋体" w:eastAsia="宋体" w:cs="宋体"/>
          <w:b/>
          <w:bCs/>
          <w:snapToGrid/>
          <w:color w:val="auto"/>
          <w:kern w:val="0"/>
          <w:sz w:val="30"/>
          <w:szCs w:val="30"/>
          <w:highlight w:val="none"/>
          <w:lang w:val="en-US" w:eastAsia="zh-CN" w:bidi="ar-SA"/>
        </w:rPr>
        <w:t>项目编号：</w:t>
      </w:r>
      <w:r>
        <w:rPr>
          <w:rFonts w:hint="eastAsia" w:ascii="宋体" w:hAnsi="宋体" w:eastAsia="宋体" w:cs="宋体"/>
          <w:b/>
          <w:bCs/>
          <w:snapToGrid/>
          <w:color w:val="auto"/>
          <w:kern w:val="0"/>
          <w:sz w:val="30"/>
          <w:szCs w:val="30"/>
          <w:highlight w:val="none"/>
          <w:lang w:val="en-US" w:eastAsia="zh-CN" w:bidi="ar-SA"/>
        </w:rPr>
        <w:t>采购计划-[2025]-08990号-01</w:t>
      </w:r>
    </w:p>
    <w:p w14:paraId="3331D0F1">
      <w:pPr>
        <w:rPr>
          <w:rFonts w:hint="eastAsia" w:ascii="宋体" w:hAnsi="宋体" w:eastAsia="宋体" w:cs="宋体"/>
          <w:b/>
          <w:bCs/>
          <w:color w:val="auto"/>
          <w:sz w:val="30"/>
          <w:szCs w:val="30"/>
          <w:highlight w:val="none"/>
        </w:rPr>
      </w:pPr>
    </w:p>
    <w:p w14:paraId="6682DCFA">
      <w:pPr>
        <w:rPr>
          <w:rFonts w:hint="eastAsia" w:ascii="宋体" w:hAnsi="宋体" w:eastAsia="宋体" w:cs="宋体"/>
          <w:b/>
          <w:bCs/>
          <w:color w:val="auto"/>
          <w:sz w:val="30"/>
          <w:szCs w:val="30"/>
          <w:highlight w:val="none"/>
        </w:rPr>
      </w:pPr>
    </w:p>
    <w:p w14:paraId="3D0A3F05">
      <w:pPr>
        <w:rPr>
          <w:rFonts w:hint="eastAsia" w:ascii="宋体" w:hAnsi="宋体" w:eastAsia="宋体" w:cs="宋体"/>
          <w:b/>
          <w:bCs/>
          <w:color w:val="auto"/>
          <w:sz w:val="30"/>
          <w:szCs w:val="30"/>
          <w:highlight w:val="none"/>
        </w:rPr>
      </w:pPr>
    </w:p>
    <w:p w14:paraId="06B308EB">
      <w:pPr>
        <w:rPr>
          <w:rFonts w:hint="eastAsia" w:ascii="宋体" w:hAnsi="宋体" w:eastAsia="宋体" w:cs="宋体"/>
          <w:b/>
          <w:bCs/>
          <w:color w:val="auto"/>
          <w:sz w:val="30"/>
          <w:szCs w:val="30"/>
          <w:highlight w:val="none"/>
        </w:rPr>
      </w:pPr>
    </w:p>
    <w:p w14:paraId="5371C7BF">
      <w:pPr>
        <w:rPr>
          <w:rFonts w:hint="eastAsia" w:ascii="宋体" w:hAnsi="宋体" w:eastAsia="宋体" w:cs="宋体"/>
          <w:b/>
          <w:bCs/>
          <w:color w:val="auto"/>
          <w:sz w:val="30"/>
          <w:szCs w:val="30"/>
          <w:highlight w:val="none"/>
        </w:rPr>
      </w:pPr>
    </w:p>
    <w:p w14:paraId="6126A4DA">
      <w:pPr>
        <w:rPr>
          <w:rFonts w:hint="eastAsia" w:ascii="宋体" w:hAnsi="宋体" w:eastAsia="宋体" w:cs="宋体"/>
          <w:b/>
          <w:bCs/>
          <w:color w:val="auto"/>
          <w:sz w:val="30"/>
          <w:szCs w:val="30"/>
          <w:highlight w:val="none"/>
        </w:rPr>
      </w:pPr>
    </w:p>
    <w:p w14:paraId="7C1FCF47">
      <w:pPr>
        <w:rPr>
          <w:rFonts w:hint="eastAsia" w:ascii="宋体" w:hAnsi="宋体" w:eastAsia="宋体" w:cs="宋体"/>
          <w:b/>
          <w:bCs/>
          <w:color w:val="auto"/>
          <w:sz w:val="30"/>
          <w:szCs w:val="30"/>
          <w:highlight w:val="none"/>
        </w:rPr>
      </w:pPr>
    </w:p>
    <w:p w14:paraId="1E34C118">
      <w:pPr>
        <w:rPr>
          <w:rFonts w:hint="eastAsia" w:ascii="宋体" w:hAnsi="宋体" w:eastAsia="宋体" w:cs="宋体"/>
          <w:b/>
          <w:bCs/>
          <w:color w:val="auto"/>
          <w:sz w:val="30"/>
          <w:szCs w:val="30"/>
          <w:highlight w:val="none"/>
        </w:rPr>
      </w:pPr>
    </w:p>
    <w:p w14:paraId="3A5078FE">
      <w:pPr>
        <w:rPr>
          <w:rFonts w:hint="eastAsia" w:ascii="宋体" w:hAnsi="宋体" w:eastAsia="宋体" w:cs="宋体"/>
          <w:b/>
          <w:bCs/>
          <w:color w:val="auto"/>
          <w:sz w:val="30"/>
          <w:szCs w:val="30"/>
          <w:highlight w:val="none"/>
        </w:rPr>
      </w:pPr>
    </w:p>
    <w:p w14:paraId="5F92A1CE">
      <w:pPr>
        <w:pStyle w:val="3"/>
        <w:rPr>
          <w:rFonts w:hint="eastAsia" w:ascii="宋体" w:hAnsi="宋体" w:eastAsia="宋体" w:cs="宋体"/>
          <w:b/>
          <w:bCs/>
          <w:color w:val="auto"/>
          <w:sz w:val="30"/>
          <w:szCs w:val="30"/>
          <w:highlight w:val="none"/>
        </w:rPr>
      </w:pPr>
    </w:p>
    <w:p w14:paraId="13279E7B">
      <w:pPr>
        <w:rPr>
          <w:rFonts w:hint="eastAsia" w:ascii="宋体" w:hAnsi="宋体" w:eastAsia="宋体" w:cs="宋体"/>
          <w:b/>
          <w:bCs/>
          <w:color w:val="auto"/>
          <w:sz w:val="30"/>
          <w:szCs w:val="30"/>
          <w:highlight w:val="none"/>
        </w:rPr>
      </w:pPr>
    </w:p>
    <w:p w14:paraId="00F17801">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   购   人：吉林艺术学院</w:t>
      </w:r>
    </w:p>
    <w:p w14:paraId="1C2E10F7">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采购代理机构：吉林中鸿项目管理咨询有限公司</w:t>
      </w:r>
    </w:p>
    <w:p w14:paraId="4BDC942D">
      <w:pPr>
        <w:widowControl w:val="0"/>
        <w:kinsoku/>
        <w:autoSpaceDE/>
        <w:autoSpaceDN/>
        <w:adjustRightInd/>
        <w:snapToGrid/>
        <w:spacing w:line="480" w:lineRule="auto"/>
        <w:jc w:val="center"/>
        <w:textAlignment w:val="auto"/>
        <w:outlineLvl w:val="9"/>
        <w:rPr>
          <w:rFonts w:hint="eastAsia" w:ascii="宋体" w:hAnsi="宋体" w:eastAsia="宋体" w:cs="宋体"/>
          <w:b w:val="0"/>
          <w:bCs w:val="0"/>
          <w:color w:val="auto"/>
          <w:sz w:val="30"/>
          <w:szCs w:val="30"/>
          <w:highlight w:val="none"/>
        </w:rPr>
      </w:pPr>
      <w:r>
        <w:rPr>
          <w:rFonts w:hint="eastAsia" w:ascii="宋体" w:hAnsi="宋体" w:eastAsia="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t>月</w:t>
      </w:r>
    </w:p>
    <w:p w14:paraId="5A98B5DA">
      <w:pPr>
        <w:rPr>
          <w:rFonts w:hint="eastAsia" w:ascii="宋体" w:hAnsi="宋体" w:eastAsia="宋体" w:cs="宋体"/>
          <w:color w:val="auto"/>
          <w:highlight w:val="none"/>
        </w:rPr>
        <w:sectPr>
          <w:headerReference r:id="rId5" w:type="default"/>
          <w:footerReference r:id="rId6" w:type="default"/>
          <w:pgSz w:w="11906" w:h="16839"/>
          <w:pgMar w:top="1431" w:right="1145" w:bottom="1156" w:left="1430" w:header="0" w:footer="996" w:gutter="0"/>
          <w:cols w:space="720" w:num="1"/>
        </w:sectPr>
      </w:pPr>
    </w:p>
    <w:p w14:paraId="3A63854A">
      <w:pPr>
        <w:pStyle w:val="2"/>
        <w:bidi w:val="0"/>
        <w:rPr>
          <w:rFonts w:hint="eastAsia" w:ascii="宋体" w:hAnsi="宋体" w:eastAsia="宋体" w:cs="宋体"/>
          <w:b/>
          <w:bCs/>
          <w:color w:val="auto"/>
          <w:sz w:val="32"/>
          <w:szCs w:val="32"/>
          <w:highlight w:val="none"/>
        </w:rPr>
      </w:pPr>
      <w:bookmarkStart w:id="0" w:name="_Toc16039"/>
      <w:r>
        <w:rPr>
          <w:rFonts w:hint="eastAsia" w:ascii="宋体" w:hAnsi="宋体" w:eastAsia="宋体" w:cs="宋体"/>
          <w:b/>
          <w:bCs/>
          <w:color w:val="auto"/>
          <w:sz w:val="44"/>
          <w:szCs w:val="44"/>
          <w:highlight w:val="none"/>
          <w:lang w:eastAsia="zh-CN"/>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录</w:t>
      </w:r>
      <w:bookmarkEnd w:id="0"/>
    </w:p>
    <w:p w14:paraId="31EF62FA">
      <w:pPr>
        <w:pStyle w:val="2"/>
        <w:bidi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"1-3" \h \u </w:instrText>
      </w:r>
      <w:r>
        <w:rPr>
          <w:rFonts w:hint="eastAsia" w:ascii="宋体" w:hAnsi="宋体" w:eastAsia="宋体" w:cs="宋体"/>
          <w:b/>
          <w:bCs/>
          <w:color w:val="auto"/>
          <w:sz w:val="32"/>
          <w:szCs w:val="32"/>
          <w:highlight w:val="none"/>
        </w:rPr>
        <w:fldChar w:fldCharType="separate"/>
      </w:r>
    </w:p>
    <w:p w14:paraId="61E021BB">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_Toc10585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第一章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_Toc10585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ABE2654">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_Toc17036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第二章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_Toc17036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87D7DD6">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_Toc27377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第三章  合  同</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_Toc27377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BAD8CA6">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_Toc21145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第四章  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_Toc21145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0285B6E2">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_Toc25144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第五章  评标办法 (综合评分法)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_Toc25144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050DF2B">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_Toc20564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 xml:space="preserve"> 技术需求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_Toc20564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6ECF961">
      <w:pPr>
        <w:pStyle w:val="3"/>
        <w:spacing w:line="480" w:lineRule="auto"/>
        <w:rPr>
          <w:rFonts w:hint="eastAsia" w:ascii="宋体" w:hAnsi="宋体" w:eastAsia="宋体" w:cs="宋体"/>
          <w:b/>
          <w:bCs/>
          <w:color w:val="auto"/>
          <w:sz w:val="32"/>
          <w:szCs w:val="32"/>
          <w:highlight w:val="none"/>
        </w:rPr>
        <w:sectPr>
          <w:footerReference r:id="rId7" w:type="default"/>
          <w:pgSz w:w="11906" w:h="16839"/>
          <w:pgMar w:top="1431" w:right="1240" w:bottom="1153" w:left="1426" w:header="0" w:footer="996" w:gutter="0"/>
          <w:pgNumType w:fmt="decimal" w:start="1"/>
          <w:cols w:space="720" w:num="1"/>
        </w:sectPr>
      </w:pPr>
      <w:r>
        <w:rPr>
          <w:rFonts w:hint="eastAsia" w:ascii="宋体" w:hAnsi="宋体" w:eastAsia="宋体" w:cs="宋体"/>
          <w:b/>
          <w:bCs/>
          <w:color w:val="auto"/>
          <w:sz w:val="32"/>
          <w:szCs w:val="32"/>
          <w:highlight w:val="none"/>
        </w:rPr>
        <w:fldChar w:fldCharType="end"/>
      </w:r>
    </w:p>
    <w:p w14:paraId="0AC7F905">
      <w:pPr>
        <w:pStyle w:val="2"/>
        <w:bidi w:val="0"/>
        <w:spacing w:line="360" w:lineRule="auto"/>
        <w:rPr>
          <w:rFonts w:hint="eastAsia" w:ascii="宋体" w:hAnsi="宋体" w:eastAsia="宋体" w:cs="宋体"/>
          <w:b/>
          <w:bCs/>
          <w:color w:val="auto"/>
          <w:sz w:val="44"/>
          <w:szCs w:val="44"/>
          <w:highlight w:val="none"/>
        </w:rPr>
      </w:pPr>
      <w:bookmarkStart w:id="1" w:name="_Toc10585"/>
      <w:r>
        <w:rPr>
          <w:rFonts w:hint="eastAsia" w:ascii="宋体" w:hAnsi="宋体" w:eastAsia="宋体" w:cs="宋体"/>
          <w:b/>
          <w:bCs/>
          <w:color w:val="auto"/>
          <w:sz w:val="44"/>
          <w:szCs w:val="44"/>
          <w:highlight w:val="none"/>
        </w:rPr>
        <w:t>第一章  招标公告</w:t>
      </w:r>
      <w:bookmarkEnd w:id="1"/>
    </w:p>
    <w:p w14:paraId="140C65CB">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bookmarkStart w:id="2" w:name="_Toc28359079"/>
      <w:bookmarkStart w:id="3" w:name="_Toc35393621"/>
      <w:bookmarkStart w:id="4" w:name="_Toc35393790"/>
      <w:bookmarkStart w:id="5" w:name="_Toc28359002"/>
      <w:r>
        <w:rPr>
          <w:rFonts w:hint="eastAsia" w:ascii="宋体" w:hAnsi="宋体" w:eastAsia="宋体" w:cs="宋体"/>
          <w:color w:val="auto"/>
          <w:sz w:val="21"/>
          <w:szCs w:val="21"/>
          <w:highlight w:val="none"/>
        </w:rPr>
        <w:t>项目概况</w:t>
      </w:r>
    </w:p>
    <w:p w14:paraId="3398D869">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eastAsia="zh-CN"/>
        </w:rPr>
        <w:t>吉林艺术学院藏品展陈建设项目</w:t>
      </w:r>
      <w:r>
        <w:rPr>
          <w:rFonts w:hint="eastAsia" w:ascii="宋体" w:hAnsi="宋体" w:eastAsia="宋体" w:cs="宋体"/>
          <w:b w:val="0"/>
          <w:bCs w:val="0"/>
          <w:color w:val="auto"/>
          <w:sz w:val="21"/>
          <w:szCs w:val="21"/>
          <w:highlight w:val="none"/>
          <w:u w:val="none"/>
          <w:lang w:val="en-US" w:eastAsia="zh-CN"/>
        </w:rPr>
        <w:t>招标项目</w:t>
      </w:r>
      <w:r>
        <w:rPr>
          <w:rFonts w:hint="eastAsia" w:ascii="宋体" w:hAnsi="宋体" w:eastAsia="宋体" w:cs="宋体"/>
          <w:color w:val="auto"/>
          <w:sz w:val="21"/>
          <w:szCs w:val="21"/>
          <w:highlight w:val="none"/>
          <w:u w:val="none"/>
        </w:rPr>
        <w:t>的潜在投标人应在“政采云”平台（https</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//www.zcygov.cn/）获取招标文件，并于</w:t>
      </w:r>
      <w:r>
        <w:rPr>
          <w:rFonts w:hint="eastAsia" w:ascii="宋体" w:hAnsi="宋体" w:eastAsia="宋体" w:cs="宋体"/>
          <w:color w:val="auto"/>
          <w:sz w:val="21"/>
          <w:szCs w:val="21"/>
          <w:highlight w:val="none"/>
          <w:u w:val="none"/>
          <w:lang w:eastAsia="zh-CN"/>
        </w:rPr>
        <w:t>2025年7月17日13时00分</w:t>
      </w:r>
      <w:r>
        <w:rPr>
          <w:rFonts w:hint="eastAsia" w:ascii="宋体" w:hAnsi="宋体" w:eastAsia="宋体" w:cs="宋体"/>
          <w:bCs/>
          <w:color w:val="auto"/>
          <w:sz w:val="21"/>
          <w:szCs w:val="21"/>
          <w:highlight w:val="none"/>
          <w:u w:val="none"/>
        </w:rPr>
        <w:t>（北</w:t>
      </w:r>
      <w:r>
        <w:rPr>
          <w:rFonts w:hint="eastAsia" w:ascii="宋体" w:hAnsi="宋体" w:eastAsia="宋体" w:cs="宋体"/>
          <w:bCs/>
          <w:color w:val="auto"/>
          <w:sz w:val="21"/>
          <w:szCs w:val="21"/>
          <w:highlight w:val="none"/>
        </w:rPr>
        <w:t>京时间）前递交投标文件</w:t>
      </w:r>
      <w:r>
        <w:rPr>
          <w:rFonts w:hint="eastAsia" w:ascii="宋体" w:hAnsi="宋体" w:eastAsia="宋体" w:cs="宋体"/>
          <w:color w:val="auto"/>
          <w:sz w:val="21"/>
          <w:szCs w:val="21"/>
          <w:highlight w:val="none"/>
        </w:rPr>
        <w:t>。</w:t>
      </w:r>
    </w:p>
    <w:p w14:paraId="591BBA94">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End w:id="2"/>
      <w:bookmarkEnd w:id="3"/>
      <w:bookmarkEnd w:id="4"/>
      <w:bookmarkEnd w:id="5"/>
    </w:p>
    <w:p w14:paraId="36342B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项目编号：</w:t>
      </w:r>
      <w:r>
        <w:rPr>
          <w:rFonts w:hint="eastAsia" w:ascii="宋体" w:hAnsi="宋体" w:eastAsia="宋体" w:cs="宋体"/>
          <w:snapToGrid/>
          <w:color w:val="auto"/>
          <w:kern w:val="2"/>
          <w:sz w:val="21"/>
          <w:szCs w:val="21"/>
          <w:highlight w:val="none"/>
          <w:lang w:val="en-US" w:eastAsia="zh-CN" w:bidi="ar-SA"/>
        </w:rPr>
        <w:t>采购计划-[2025]-08990号-01</w:t>
      </w:r>
      <w:r>
        <w:rPr>
          <w:rFonts w:hint="eastAsia" w:ascii="宋体" w:hAnsi="宋体" w:eastAsia="宋体" w:cs="宋体"/>
          <w:snapToGrid/>
          <w:color w:val="auto"/>
          <w:kern w:val="2"/>
          <w:sz w:val="21"/>
          <w:szCs w:val="21"/>
          <w:highlight w:val="none"/>
          <w:lang w:val="en-US" w:eastAsia="zh-CN" w:bidi="ar-SA"/>
        </w:rPr>
        <w:t>。</w:t>
      </w:r>
    </w:p>
    <w:p w14:paraId="7D523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项目名称：吉林艺术学院藏品展陈建设项目。</w:t>
      </w:r>
    </w:p>
    <w:p w14:paraId="10151F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预算金额：</w:t>
      </w:r>
      <w:r>
        <w:rPr>
          <w:rFonts w:hint="eastAsia" w:ascii="宋体" w:hAnsi="宋体" w:eastAsia="宋体" w:cs="宋体"/>
          <w:color w:val="auto"/>
          <w:sz w:val="21"/>
          <w:szCs w:val="21"/>
          <w:highlight w:val="none"/>
          <w:lang w:val="en-US" w:eastAsia="zh-CN"/>
        </w:rPr>
        <w:t>2158177.96元。</w:t>
      </w:r>
    </w:p>
    <w:p w14:paraId="29B5F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最高限价：2158177.96元。</w:t>
      </w:r>
    </w:p>
    <w:p w14:paraId="0B74B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招标范围：具体内容</w:t>
      </w:r>
      <w:r>
        <w:rPr>
          <w:rFonts w:hint="eastAsia" w:ascii="宋体" w:hAnsi="宋体" w:eastAsia="宋体" w:cs="宋体"/>
          <w:color w:val="auto"/>
          <w:sz w:val="21"/>
          <w:szCs w:val="21"/>
          <w:highlight w:val="none"/>
          <w:lang w:eastAsia="zh-CN"/>
        </w:rPr>
        <w:t>详见招标文件第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章技术</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14:paraId="50702E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合同履行期限（供货期）</w:t>
      </w:r>
      <w:r>
        <w:rPr>
          <w:rFonts w:hint="eastAsia" w:ascii="宋体" w:hAnsi="宋体" w:eastAsia="宋体" w:cs="宋体"/>
          <w:color w:val="auto"/>
          <w:sz w:val="21"/>
          <w:szCs w:val="21"/>
          <w:highlight w:val="none"/>
          <w:lang w:val="en-US" w:eastAsia="zh-CN"/>
        </w:rPr>
        <w:t>：合同签订后30个日历日内，完成设备定制加工，并根据采购人要求完成进场安装工作。</w:t>
      </w:r>
    </w:p>
    <w:p w14:paraId="7D856C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交货地点：采购人指定地点。</w:t>
      </w:r>
    </w:p>
    <w:p w14:paraId="005FA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质量标准：符合国家现行相关技术规范要求。</w:t>
      </w:r>
    </w:p>
    <w:p w14:paraId="11B3A5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本项目不接受联合体投标。</w:t>
      </w:r>
    </w:p>
    <w:p w14:paraId="5708A6C3">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bookmarkStart w:id="6" w:name="_Toc28359003"/>
      <w:bookmarkStart w:id="7" w:name="_Toc28359080"/>
      <w:bookmarkStart w:id="8" w:name="_Toc35393791"/>
      <w:bookmarkStart w:id="9" w:name="_Toc35393622"/>
      <w:r>
        <w:rPr>
          <w:rFonts w:hint="eastAsia" w:ascii="宋体" w:hAnsi="宋体" w:eastAsia="宋体" w:cs="宋体"/>
          <w:b/>
          <w:bCs/>
          <w:color w:val="auto"/>
          <w:sz w:val="21"/>
          <w:szCs w:val="21"/>
          <w:highlight w:val="none"/>
        </w:rPr>
        <w:t>二、申请人的资格要求</w:t>
      </w:r>
      <w:bookmarkEnd w:id="6"/>
      <w:bookmarkEnd w:id="7"/>
      <w:bookmarkEnd w:id="8"/>
      <w:bookmarkEnd w:id="9"/>
    </w:p>
    <w:p w14:paraId="446C981A">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.满足《中华人民共和国政府采购法》第二十二条规定</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z w:val="21"/>
          <w:szCs w:val="21"/>
          <w:highlight w:val="none"/>
        </w:rPr>
        <w:t xml:space="preserve">                          </w:t>
      </w:r>
    </w:p>
    <w:p w14:paraId="2E3802A2">
      <w:pPr>
        <w:keepNext w:val="0"/>
        <w:keepLines w:val="0"/>
        <w:pageBreakBefore w:val="0"/>
        <w:wordWrap/>
        <w:overflowPunct/>
        <w:topLinePunct w:val="0"/>
        <w:bidi w:val="0"/>
        <w:spacing w:line="360" w:lineRule="auto"/>
        <w:ind w:firstLine="49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9"/>
          <w:sz w:val="21"/>
          <w:szCs w:val="21"/>
          <w:highlight w:val="none"/>
        </w:rPr>
        <w:t>落实政府采购政策需满足的资格要求：本项目</w:t>
      </w:r>
      <w:r>
        <w:rPr>
          <w:rFonts w:hint="eastAsia" w:ascii="宋体" w:hAnsi="宋体" w:eastAsia="宋体" w:cs="宋体"/>
          <w:color w:val="auto"/>
          <w:spacing w:val="9"/>
          <w:sz w:val="21"/>
          <w:szCs w:val="21"/>
          <w:highlight w:val="none"/>
          <w:lang w:val="en-US" w:eastAsia="zh-CN"/>
        </w:rPr>
        <w:t>非</w:t>
      </w:r>
      <w:r>
        <w:rPr>
          <w:rFonts w:hint="eastAsia" w:ascii="宋体" w:hAnsi="宋体" w:eastAsia="宋体" w:cs="宋体"/>
          <w:color w:val="auto"/>
          <w:spacing w:val="9"/>
          <w:sz w:val="21"/>
          <w:szCs w:val="21"/>
          <w:highlight w:val="none"/>
        </w:rPr>
        <w:t>专门面向中小企业采</w:t>
      </w:r>
      <w:r>
        <w:rPr>
          <w:rFonts w:hint="eastAsia" w:ascii="宋体" w:hAnsi="宋体" w:eastAsia="宋体" w:cs="宋体"/>
          <w:color w:val="auto"/>
          <w:spacing w:val="1"/>
          <w:sz w:val="21"/>
          <w:szCs w:val="21"/>
          <w:highlight w:val="none"/>
        </w:rPr>
        <w:t>购。</w:t>
      </w:r>
      <w:r>
        <w:rPr>
          <w:rFonts w:hint="eastAsia" w:ascii="宋体" w:hAnsi="宋体" w:eastAsia="宋体" w:cs="宋体"/>
          <w:bCs/>
          <w:color w:val="auto"/>
          <w:sz w:val="21"/>
          <w:szCs w:val="21"/>
          <w:highlight w:val="none"/>
          <w:lang w:val="en-US" w:eastAsia="zh-CN"/>
        </w:rPr>
        <w:t>投标人如为中小微企业、监狱企业、残疾人福利性单位享受政府采购政策需提供相关声明，详见招标文件。</w:t>
      </w:r>
      <w:r>
        <w:rPr>
          <w:rFonts w:hint="eastAsia" w:ascii="宋体" w:hAnsi="宋体" w:eastAsia="宋体" w:cs="宋体"/>
          <w:color w:val="auto"/>
          <w:sz w:val="21"/>
          <w:szCs w:val="21"/>
          <w:highlight w:val="none"/>
        </w:rPr>
        <w:t>本次采购项目采购标的对应的中小企业划分标准所属行业为</w:t>
      </w:r>
      <w:r>
        <w:rPr>
          <w:rFonts w:hint="eastAsia" w:ascii="宋体" w:hAnsi="宋体" w:eastAsia="宋体" w:cs="宋体"/>
          <w:b/>
          <w:bCs/>
          <w:color w:val="auto"/>
          <w:sz w:val="21"/>
          <w:szCs w:val="21"/>
          <w:highlight w:val="none"/>
          <w:lang w:eastAsia="zh-CN"/>
        </w:rPr>
        <w:t>其他未列明行业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划分标准见附件1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3F86C3">
      <w:pPr>
        <w:keepNext w:val="0"/>
        <w:keepLines w:val="0"/>
        <w:pageBreakBefore w:val="0"/>
        <w:wordWrap/>
        <w:overflowPunct/>
        <w:topLinePunct w:val="0"/>
        <w:bidi w:val="0"/>
        <w:spacing w:line="360" w:lineRule="auto"/>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position w:val="1"/>
          <w:sz w:val="21"/>
          <w:szCs w:val="21"/>
          <w:highlight w:val="none"/>
        </w:rPr>
        <w:t>3</w:t>
      </w:r>
      <w:r>
        <w:rPr>
          <w:rFonts w:hint="eastAsia" w:ascii="宋体" w:hAnsi="宋体" w:eastAsia="宋体" w:cs="宋体"/>
          <w:color w:val="auto"/>
          <w:spacing w:val="7"/>
          <w:position w:val="1"/>
          <w:sz w:val="21"/>
          <w:szCs w:val="21"/>
          <w:highlight w:val="none"/>
        </w:rPr>
        <w:t>.本项目的特定资格要求：</w:t>
      </w:r>
    </w:p>
    <w:p w14:paraId="34C5B679">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3.1</w:t>
      </w:r>
      <w:r>
        <w:rPr>
          <w:rFonts w:hint="eastAsia" w:ascii="宋体" w:hAnsi="宋体" w:eastAsia="宋体" w:cs="宋体"/>
          <w:color w:val="auto"/>
          <w:spacing w:val="12"/>
          <w:sz w:val="21"/>
          <w:szCs w:val="21"/>
          <w:highlight w:val="none"/>
        </w:rPr>
        <w:t>投标人须是在中华人民共和国境内注册的，具有合法经营资格的独立法人或其他组织</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具有有效的营业执照，并在人员、设备、资金等方面具有相应的供货和服务能力；</w:t>
      </w:r>
    </w:p>
    <w:p w14:paraId="32B7DAB2">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3.2</w:t>
      </w:r>
      <w:r>
        <w:rPr>
          <w:rFonts w:hint="eastAsia" w:ascii="宋体" w:hAnsi="宋体" w:eastAsia="宋体" w:cs="宋体"/>
          <w:color w:val="auto"/>
          <w:spacing w:val="12"/>
          <w:sz w:val="21"/>
          <w:szCs w:val="21"/>
          <w:highlight w:val="none"/>
          <w:lang w:eastAsia="zh-CN"/>
        </w:rPr>
        <w:t>投标人须具有良好的商业信誉和健全的财务会计制度，提供近一年（2024年度）财务审计报告，2025年以后新成立的公司无财务审计报告的，投标文件内提供一份自成立之日起至今财务状况良好承诺书。</w:t>
      </w:r>
    </w:p>
    <w:p w14:paraId="45C1A65C">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3.3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p>
    <w:p w14:paraId="232F9C63">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投标人参加政府采购活动前3年内在经营活动中没有重大违法记录</w:t>
      </w:r>
      <w:r>
        <w:rPr>
          <w:rFonts w:hint="eastAsia" w:ascii="宋体" w:hAnsi="宋体" w:eastAsia="宋体" w:cs="宋体"/>
          <w:color w:val="auto"/>
          <w:spacing w:val="12"/>
          <w:sz w:val="21"/>
          <w:szCs w:val="21"/>
          <w:highlight w:val="none"/>
          <w:lang w:eastAsia="zh-CN"/>
        </w:rPr>
        <w:t>。</w:t>
      </w:r>
    </w:p>
    <w:p w14:paraId="0E59A76F">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3.5</w:t>
      </w:r>
      <w:r>
        <w:rPr>
          <w:rFonts w:hint="eastAsia" w:ascii="宋体" w:hAnsi="宋体" w:eastAsia="宋体" w:cs="宋体"/>
          <w:color w:val="auto"/>
          <w:spacing w:val="12"/>
          <w:sz w:val="21"/>
          <w:szCs w:val="21"/>
          <w:highlight w:val="none"/>
        </w:rPr>
        <w:t>信誉要求：</w:t>
      </w:r>
      <w:r>
        <w:rPr>
          <w:rFonts w:hint="eastAsia" w:ascii="宋体" w:hAnsi="宋体" w:eastAsia="宋体" w:cs="宋体"/>
          <w:color w:val="auto"/>
          <w:spacing w:val="12"/>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191E6E64">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12"/>
          <w:sz w:val="21"/>
          <w:szCs w:val="21"/>
          <w:highlight w:val="none"/>
        </w:rPr>
        <w:t>投标人与采购人存在利害关系可能影响采购公正性的法人、</w:t>
      </w:r>
      <w:r>
        <w:rPr>
          <w:rFonts w:hint="eastAsia" w:ascii="宋体" w:hAnsi="宋体" w:eastAsia="宋体" w:cs="宋体"/>
          <w:color w:val="auto"/>
          <w:spacing w:val="12"/>
          <w:sz w:val="21"/>
          <w:szCs w:val="21"/>
          <w:highlight w:val="none"/>
          <w:lang w:eastAsia="zh-CN"/>
        </w:rPr>
        <w:t>其他组织</w:t>
      </w:r>
      <w:r>
        <w:rPr>
          <w:rFonts w:hint="eastAsia" w:ascii="宋体" w:hAnsi="宋体" w:eastAsia="宋体" w:cs="宋体"/>
          <w:color w:val="auto"/>
          <w:spacing w:val="12"/>
          <w:sz w:val="21"/>
          <w:szCs w:val="21"/>
          <w:highlight w:val="none"/>
        </w:rPr>
        <w:t>或者个人，不得参加投标；单位负责人为同一人或者存在直接控股、管理关系的不同投标人，不得参加同一合同项下的政府采购活动。否则相关投标无效。</w:t>
      </w:r>
    </w:p>
    <w:p w14:paraId="7D7DB9B9">
      <w:pPr>
        <w:keepNext w:val="0"/>
        <w:keepLines w:val="0"/>
        <w:pageBreakBefore w:val="0"/>
        <w:widowControl/>
        <w:kinsoku w:val="0"/>
        <w:wordWrap/>
        <w:overflowPunct/>
        <w:topLinePunct w:val="0"/>
        <w:autoSpaceDE w:val="0"/>
        <w:autoSpaceDN w:val="0"/>
        <w:bidi w:val="0"/>
        <w:adjustRightInd w:val="0"/>
        <w:snapToGrid w:val="0"/>
        <w:spacing w:line="360" w:lineRule="auto"/>
        <w:ind w:left="2" w:right="53" w:firstLine="10"/>
        <w:textAlignment w:val="baseline"/>
        <w:rPr>
          <w:rFonts w:hint="eastAsia" w:ascii="宋体" w:hAnsi="宋体" w:eastAsia="宋体" w:cs="宋体"/>
          <w:b/>
          <w:bCs/>
          <w:color w:val="auto"/>
          <w:sz w:val="21"/>
          <w:szCs w:val="21"/>
          <w:highlight w:val="none"/>
        </w:rPr>
      </w:pPr>
      <w:bookmarkStart w:id="10" w:name="_Toc35393792"/>
      <w:bookmarkStart w:id="11" w:name="_Toc35393623"/>
      <w:r>
        <w:rPr>
          <w:rFonts w:hint="eastAsia" w:ascii="宋体" w:hAnsi="宋体" w:eastAsia="宋体" w:cs="宋体"/>
          <w:b/>
          <w:bCs/>
          <w:color w:val="auto"/>
          <w:sz w:val="21"/>
          <w:szCs w:val="21"/>
          <w:highlight w:val="none"/>
        </w:rPr>
        <w:t>三、获取招标文件</w:t>
      </w:r>
      <w:bookmarkEnd w:id="10"/>
      <w:bookmarkEnd w:id="11"/>
    </w:p>
    <w:p w14:paraId="1E1AB8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1.时间：</w:t>
      </w:r>
      <w:r>
        <w:rPr>
          <w:rFonts w:hint="eastAsia" w:ascii="宋体" w:hAnsi="宋体" w:eastAsia="宋体" w:cs="宋体"/>
          <w:snapToGrid/>
          <w:color w:val="auto"/>
          <w:kern w:val="2"/>
          <w:sz w:val="21"/>
          <w:szCs w:val="21"/>
          <w:highlight w:val="none"/>
          <w:lang w:val="en-US" w:eastAsia="zh-CN" w:bidi="ar-SA"/>
        </w:rPr>
        <w:t>2025年6月27日至2025年7月4日</w:t>
      </w:r>
      <w:r>
        <w:rPr>
          <w:rFonts w:hint="eastAsia" w:ascii="宋体" w:hAnsi="宋体" w:eastAsia="宋体" w:cs="宋体"/>
          <w:snapToGrid/>
          <w:color w:val="auto"/>
          <w:kern w:val="2"/>
          <w:sz w:val="21"/>
          <w:szCs w:val="21"/>
          <w:highlight w:val="none"/>
          <w:lang w:val="en-US" w:eastAsia="zh-CN" w:bidi="ar-SA"/>
        </w:rPr>
        <w:t>，每天08：30 至16：00，（北京时间，法定节假日除外)。</w:t>
      </w:r>
    </w:p>
    <w:p w14:paraId="35AEB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12" w:name="_Toc35393793"/>
      <w:bookmarkStart w:id="13" w:name="_Toc28359082"/>
      <w:bookmarkStart w:id="14" w:name="_Toc35393624"/>
      <w:bookmarkStart w:id="15" w:name="_Toc28359005"/>
      <w:r>
        <w:rPr>
          <w:rFonts w:hint="eastAsia" w:ascii="宋体" w:hAnsi="宋体" w:eastAsia="宋体" w:cs="宋体"/>
          <w:snapToGrid/>
          <w:color w:val="auto"/>
          <w:kern w:val="2"/>
          <w:sz w:val="21"/>
          <w:szCs w:val="21"/>
          <w:highlight w:val="none"/>
          <w:lang w:val="en-US" w:eastAsia="zh-CN" w:bidi="ar-SA"/>
        </w:rPr>
        <w:t>2.地点、方式：网上下载，本项目不发放纸质版招标文件。投标人可自行在“政采云”平台（https：//www.zcygov.cn/）下载招标文件（操作路径：登录“政采云”平台－项目采购－获取招标文件－找到本项目－点击“申请获取招标文件”），电子投标文件制作需要基于“政采云”平台获取的招标文件编制。未进行网上注册的投标人将无法参与本次采购活动。</w:t>
      </w:r>
    </w:p>
    <w:p w14:paraId="2A17EA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3.售价：0元。</w:t>
      </w:r>
    </w:p>
    <w:p w14:paraId="5AA99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四、</w:t>
      </w:r>
      <w:bookmarkEnd w:id="12"/>
      <w:bookmarkEnd w:id="13"/>
      <w:bookmarkEnd w:id="14"/>
      <w:bookmarkEnd w:id="15"/>
      <w:r>
        <w:rPr>
          <w:rFonts w:hint="eastAsia" w:ascii="宋体" w:hAnsi="宋体" w:eastAsia="宋体" w:cs="宋体"/>
          <w:b/>
          <w:bCs/>
          <w:color w:val="auto"/>
          <w:sz w:val="21"/>
          <w:szCs w:val="21"/>
          <w:highlight w:val="none"/>
        </w:rPr>
        <w:t>提交投标文件截止时间、开标时间和地点</w:t>
      </w:r>
    </w:p>
    <w:p w14:paraId="2132B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1.提交投标文件截止时间及开标时间：</w:t>
      </w:r>
      <w:r>
        <w:rPr>
          <w:rFonts w:hint="eastAsia" w:ascii="宋体" w:hAnsi="宋体" w:eastAsia="宋体" w:cs="宋体"/>
          <w:snapToGrid/>
          <w:color w:val="auto"/>
          <w:kern w:val="2"/>
          <w:sz w:val="21"/>
          <w:szCs w:val="21"/>
          <w:highlight w:val="none"/>
          <w:lang w:val="en-US" w:eastAsia="zh-CN" w:bidi="ar-SA"/>
        </w:rPr>
        <w:t>2025年7月17日13时00分</w:t>
      </w:r>
      <w:r>
        <w:rPr>
          <w:rFonts w:hint="eastAsia" w:ascii="宋体" w:hAnsi="宋体" w:eastAsia="宋体" w:cs="宋体"/>
          <w:snapToGrid/>
          <w:color w:val="auto"/>
          <w:kern w:val="2"/>
          <w:sz w:val="21"/>
          <w:szCs w:val="21"/>
          <w:highlight w:val="none"/>
          <w:lang w:val="en-US" w:eastAsia="zh-CN" w:bidi="ar-SA"/>
        </w:rPr>
        <w:t>（北京时间)</w:t>
      </w:r>
    </w:p>
    <w:p w14:paraId="140718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2.地点：</w:t>
      </w:r>
      <w:r>
        <w:rPr>
          <w:rFonts w:hint="eastAsia" w:ascii="宋体" w:hAnsi="宋体" w:eastAsia="宋体" w:cs="宋体"/>
          <w:snapToGrid/>
          <w:color w:val="auto"/>
          <w:kern w:val="2"/>
          <w:sz w:val="21"/>
          <w:szCs w:val="21"/>
          <w:highlight w:val="none"/>
          <w:lang w:val="en-US" w:eastAsia="zh-CN" w:bidi="ar-SA"/>
        </w:rPr>
        <w:t>长春市二道区洋浦大街6999号凯利中心AB栋101开标一室（投标人无须到达开标现场，通过政采云系统参加开标活动）</w:t>
      </w:r>
      <w:r>
        <w:rPr>
          <w:rFonts w:hint="eastAsia" w:ascii="宋体" w:hAnsi="宋体" w:eastAsia="宋体" w:cs="宋体"/>
          <w:snapToGrid/>
          <w:color w:val="auto"/>
          <w:kern w:val="2"/>
          <w:sz w:val="21"/>
          <w:szCs w:val="21"/>
          <w:highlight w:val="none"/>
          <w:lang w:val="en-US" w:eastAsia="zh-CN" w:bidi="ar-SA"/>
        </w:rPr>
        <w:t>。</w:t>
      </w:r>
    </w:p>
    <w:p w14:paraId="3D20A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16" w:name="_Toc35393625"/>
      <w:bookmarkStart w:id="17" w:name="_Toc28359007"/>
      <w:bookmarkStart w:id="18" w:name="_Toc28359084"/>
      <w:bookmarkStart w:id="19" w:name="_Toc35393794"/>
      <w:r>
        <w:rPr>
          <w:rFonts w:hint="eastAsia" w:ascii="宋体" w:hAnsi="宋体" w:eastAsia="宋体" w:cs="宋体"/>
          <w:b/>
          <w:bCs/>
          <w:color w:val="auto"/>
          <w:sz w:val="21"/>
          <w:szCs w:val="21"/>
          <w:highlight w:val="none"/>
        </w:rPr>
        <w:t>五、公告期限</w:t>
      </w:r>
      <w:bookmarkEnd w:id="16"/>
      <w:bookmarkEnd w:id="17"/>
      <w:bookmarkEnd w:id="18"/>
      <w:bookmarkEnd w:id="19"/>
    </w:p>
    <w:p w14:paraId="210E35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自本公告发布之日起5个工作日。</w:t>
      </w:r>
    </w:p>
    <w:p w14:paraId="04B1B3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2269A6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1.有效投标人不足三家时，采购人另行组织招标。</w:t>
      </w:r>
    </w:p>
    <w:p w14:paraId="1B3A19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2.本公告在“政采云”平台（http：//www.zcygov.cn），同步推送到中国政府采购网、吉林省公共资源交易公共服务平台、吉林省政府采购网。</w:t>
      </w:r>
    </w:p>
    <w:p w14:paraId="79839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本项目采用全流程电子化采购，操作流程：供应商在政府采购云平台注册入库成为正式供应商后，在平台按《政府采购项目电子交易管理操作指南－供应商》进行操作。由于供应商自身原因在递交投标文件截止时间之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35682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4.逾期送达的或者未送达指定地点的投标文件，将不予受理。</w:t>
      </w:r>
    </w:p>
    <w:p w14:paraId="3E3414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5.投标人不足三家时，招标人另行组织招标。</w:t>
      </w:r>
    </w:p>
    <w:p w14:paraId="3B908C3D">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、对本次招标提出询问，请按以下方式联系</w:t>
      </w:r>
    </w:p>
    <w:p w14:paraId="7FDBFD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1.采购人信息</w:t>
      </w:r>
    </w:p>
    <w:p w14:paraId="503020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名称：吉林艺术学院 </w:t>
      </w:r>
    </w:p>
    <w:p w14:paraId="048A7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地址：吉林省长春市自由大路695号</w:t>
      </w:r>
    </w:p>
    <w:p w14:paraId="366A6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联系人：杨磊</w:t>
      </w:r>
    </w:p>
    <w:p w14:paraId="03E82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联系方式：0431-85618205</w:t>
      </w:r>
      <w:r>
        <w:rPr>
          <w:rFonts w:hint="eastAsia" w:ascii="宋体" w:hAnsi="宋体" w:eastAsia="宋体" w:cs="宋体"/>
          <w:snapToGrid/>
          <w:color w:val="auto"/>
          <w:kern w:val="2"/>
          <w:sz w:val="21"/>
          <w:szCs w:val="21"/>
          <w:highlight w:val="none"/>
          <w:lang w:val="en-US" w:eastAsia="zh-CN" w:bidi="ar-SA"/>
        </w:rPr>
        <w:t>　</w:t>
      </w:r>
    </w:p>
    <w:p w14:paraId="3EEB2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2.采购代理机构信息</w:t>
      </w:r>
    </w:p>
    <w:p w14:paraId="07F6C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名称：吉林中鸿项目管理咨询有限公司</w:t>
      </w:r>
    </w:p>
    <w:p w14:paraId="51A40B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地址：长春市南关区远大购物广场（营销中心）19楼1909室</w:t>
      </w:r>
    </w:p>
    <w:p w14:paraId="0E8FF1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47EBD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联系电话：0431-88245555</w:t>
      </w:r>
    </w:p>
    <w:p w14:paraId="32F4C6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3.项目联系方式</w:t>
      </w:r>
    </w:p>
    <w:p w14:paraId="59C925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63AEC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20" w:name="_bookmark2"/>
      <w:bookmarkEnd w:id="20"/>
      <w:bookmarkStart w:id="21" w:name="_Toc4888"/>
      <w:r>
        <w:rPr>
          <w:rFonts w:hint="eastAsia" w:ascii="宋体" w:hAnsi="宋体" w:eastAsia="宋体" w:cs="宋体"/>
          <w:snapToGrid/>
          <w:color w:val="auto"/>
          <w:kern w:val="2"/>
          <w:sz w:val="21"/>
          <w:szCs w:val="21"/>
          <w:highlight w:val="none"/>
          <w:lang w:val="en-US" w:eastAsia="zh-CN" w:bidi="ar-SA"/>
        </w:rPr>
        <w:t>电话：</w:t>
      </w:r>
      <w:bookmarkEnd w:id="21"/>
      <w:r>
        <w:rPr>
          <w:rFonts w:hint="eastAsia" w:ascii="宋体" w:hAnsi="宋体" w:eastAsia="宋体" w:cs="宋体"/>
          <w:snapToGrid/>
          <w:color w:val="auto"/>
          <w:kern w:val="2"/>
          <w:sz w:val="21"/>
          <w:szCs w:val="21"/>
          <w:highlight w:val="none"/>
          <w:lang w:val="en-US" w:eastAsia="zh-CN" w:bidi="ar-SA"/>
        </w:rPr>
        <w:t>0431-88245555</w:t>
      </w:r>
    </w:p>
    <w:p w14:paraId="62BCF7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监督电话：0431-85618269、17743101978</w:t>
      </w:r>
    </w:p>
    <w:p w14:paraId="79482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p>
    <w:p w14:paraId="1BEF917D">
      <w:pPr>
        <w:spacing w:line="360" w:lineRule="auto"/>
        <w:ind w:leftChars="200"/>
        <w:rPr>
          <w:rFonts w:hint="eastAsia" w:ascii="宋体" w:hAnsi="宋体" w:eastAsia="宋体" w:cs="宋体"/>
          <w:color w:val="auto"/>
          <w:sz w:val="24"/>
          <w:szCs w:val="24"/>
          <w:highlight w:val="none"/>
        </w:rPr>
        <w:sectPr>
          <w:pgSz w:w="11906" w:h="16839"/>
          <w:pgMar w:top="1431" w:right="1240" w:bottom="1153" w:left="1426" w:header="0" w:footer="996" w:gutter="0"/>
          <w:pgNumType w:fmt="decimal"/>
          <w:cols w:space="720" w:num="1"/>
        </w:sectPr>
      </w:pPr>
    </w:p>
    <w:p w14:paraId="6E26BD0F">
      <w:pPr>
        <w:pStyle w:val="2"/>
        <w:bidi w:val="0"/>
        <w:rPr>
          <w:rFonts w:hint="eastAsia" w:ascii="宋体" w:hAnsi="宋体" w:eastAsia="宋体" w:cs="宋体"/>
          <w:b/>
          <w:bCs/>
          <w:color w:val="auto"/>
          <w:sz w:val="44"/>
          <w:szCs w:val="44"/>
          <w:highlight w:val="none"/>
        </w:rPr>
      </w:pPr>
      <w:bookmarkStart w:id="22" w:name="_Toc17036"/>
      <w:r>
        <w:rPr>
          <w:rFonts w:hint="eastAsia" w:ascii="宋体" w:hAnsi="宋体" w:eastAsia="宋体" w:cs="宋体"/>
          <w:b/>
          <w:bCs/>
          <w:color w:val="auto"/>
          <w:sz w:val="44"/>
          <w:szCs w:val="44"/>
          <w:highlight w:val="none"/>
        </w:rPr>
        <w:t>第二章  投标人须知</w:t>
      </w:r>
      <w:bookmarkEnd w:id="22"/>
    </w:p>
    <w:p w14:paraId="740CDC92">
      <w:pPr>
        <w:spacing w:line="469" w:lineRule="exact"/>
        <w:ind w:left="3253"/>
        <w:rPr>
          <w:rFonts w:hint="eastAsia" w:ascii="宋体" w:hAnsi="宋体" w:eastAsia="宋体" w:cs="宋体"/>
          <w:color w:val="auto"/>
          <w:sz w:val="31"/>
          <w:szCs w:val="31"/>
          <w:highlight w:val="none"/>
        </w:rPr>
      </w:pPr>
      <w:r>
        <w:rPr>
          <w:rFonts w:hint="eastAsia" w:ascii="宋体" w:hAnsi="宋体" w:eastAsia="宋体" w:cs="宋体"/>
          <w:color w:val="auto"/>
          <w:spacing w:val="9"/>
          <w:position w:val="1"/>
          <w:sz w:val="31"/>
          <w:szCs w:val="31"/>
          <w:highlight w:val="none"/>
          <w14:textOutline w14:w="5793" w14:cap="sq" w14:cmpd="sng">
            <w14:solidFill>
              <w14:srgbClr w14:val="000000"/>
            </w14:solidFill>
            <w14:prstDash w14:val="solid"/>
            <w14:bevel/>
          </w14:textOutline>
        </w:rPr>
        <w:t>一、投标须知前附表</w:t>
      </w:r>
    </w:p>
    <w:tbl>
      <w:tblPr>
        <w:tblStyle w:val="42"/>
        <w:tblW w:w="513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3"/>
        <w:gridCol w:w="1480"/>
        <w:gridCol w:w="7228"/>
      </w:tblGrid>
      <w:tr w14:paraId="331A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E220FD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序号</w:t>
            </w:r>
          </w:p>
        </w:tc>
        <w:tc>
          <w:tcPr>
            <w:tcW w:w="794" w:type="pct"/>
            <w:vAlign w:val="center"/>
          </w:tcPr>
          <w:p w14:paraId="27C8CC24">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条款名称</w:t>
            </w:r>
          </w:p>
        </w:tc>
        <w:tc>
          <w:tcPr>
            <w:tcW w:w="3876" w:type="pct"/>
            <w:vAlign w:val="center"/>
          </w:tcPr>
          <w:p w14:paraId="0C9B83B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编列内容</w:t>
            </w:r>
          </w:p>
        </w:tc>
      </w:tr>
      <w:tr w14:paraId="41C0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6BB952C">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4" w:type="pct"/>
            <w:vAlign w:val="center"/>
          </w:tcPr>
          <w:p w14:paraId="3F4EC20F">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w:t>
            </w:r>
          </w:p>
        </w:tc>
        <w:tc>
          <w:tcPr>
            <w:tcW w:w="3876" w:type="pct"/>
            <w:vAlign w:val="center"/>
          </w:tcPr>
          <w:p w14:paraId="35F5578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名称：吉林艺术学院</w:t>
            </w:r>
          </w:p>
          <w:p w14:paraId="7818FD8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地址：吉林省长春市自由大路695号</w:t>
            </w:r>
          </w:p>
          <w:p w14:paraId="4C3BCCD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ascii="宋体" w:hAnsi="宋体" w:eastAsia="宋体" w:cs="宋体"/>
                <w:snapToGrid/>
                <w:color w:val="auto"/>
                <w:kern w:val="2"/>
                <w:sz w:val="21"/>
                <w:szCs w:val="21"/>
                <w:highlight w:val="none"/>
                <w:lang w:val="en-US" w:eastAsia="zh-CN" w:bidi="ar-SA"/>
              </w:rPr>
              <w:t>杨磊</w:t>
            </w:r>
          </w:p>
          <w:p w14:paraId="29E92AB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联系电话：0431-85618205　</w:t>
            </w:r>
          </w:p>
        </w:tc>
      </w:tr>
      <w:tr w14:paraId="1DF5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EBD7A9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4" w:type="pct"/>
            <w:vAlign w:val="center"/>
          </w:tcPr>
          <w:p w14:paraId="6672A03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采购代理机构</w:t>
            </w:r>
          </w:p>
        </w:tc>
        <w:tc>
          <w:tcPr>
            <w:tcW w:w="3876" w:type="pct"/>
            <w:vAlign w:val="center"/>
          </w:tcPr>
          <w:p w14:paraId="730BDDB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名称：吉林中鸿项目管理咨询有限公司</w:t>
            </w:r>
          </w:p>
          <w:p w14:paraId="60E1574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地址：长春市南关区远大购物广场（营销中心）19楼1909室</w:t>
            </w:r>
          </w:p>
          <w:p w14:paraId="50BB0AC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cs="宋体"/>
                <w:snapToGrid/>
                <w:color w:val="auto"/>
                <w:kern w:val="0"/>
                <w:sz w:val="21"/>
                <w:szCs w:val="21"/>
                <w:highlight w:val="none"/>
                <w:lang w:val="en-US" w:eastAsia="zh-CN"/>
              </w:rPr>
              <w:t>刘兴楠</w:t>
            </w:r>
          </w:p>
          <w:p w14:paraId="584528F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联系电话：0431-88245555</w:t>
            </w:r>
          </w:p>
        </w:tc>
      </w:tr>
      <w:tr w14:paraId="79BC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bottom w:val="nil"/>
            </w:tcBorders>
            <w:vAlign w:val="center"/>
          </w:tcPr>
          <w:p w14:paraId="14101C2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4" w:type="pct"/>
            <w:vAlign w:val="center"/>
          </w:tcPr>
          <w:p w14:paraId="41D8D6A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项目名称</w:t>
            </w:r>
          </w:p>
        </w:tc>
        <w:tc>
          <w:tcPr>
            <w:tcW w:w="3876" w:type="pct"/>
            <w:vAlign w:val="center"/>
          </w:tcPr>
          <w:p w14:paraId="33FB348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吉林艺术学院藏品展陈建设项目</w:t>
            </w:r>
          </w:p>
        </w:tc>
      </w:tr>
      <w:tr w14:paraId="7EEA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nil"/>
            </w:tcBorders>
            <w:vAlign w:val="center"/>
          </w:tcPr>
          <w:p w14:paraId="5E2E7CD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4" w:type="pct"/>
            <w:vAlign w:val="center"/>
          </w:tcPr>
          <w:p w14:paraId="7C75A478">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项目编号</w:t>
            </w:r>
          </w:p>
        </w:tc>
        <w:tc>
          <w:tcPr>
            <w:tcW w:w="3876" w:type="pct"/>
            <w:vAlign w:val="center"/>
          </w:tcPr>
          <w:p w14:paraId="4142FF7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采购计划-[2025]-08990号-01</w:t>
            </w:r>
          </w:p>
        </w:tc>
      </w:tr>
      <w:tr w14:paraId="5A27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19230E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4" w:type="pct"/>
            <w:vAlign w:val="center"/>
          </w:tcPr>
          <w:p w14:paraId="492CB369">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*交货地点及</w:t>
            </w:r>
            <w:r>
              <w:rPr>
                <w:rFonts w:hint="eastAsia" w:ascii="宋体" w:hAnsi="宋体" w:eastAsia="宋体" w:cs="宋体"/>
                <w:snapToGrid/>
                <w:color w:val="auto"/>
                <w:kern w:val="0"/>
                <w:sz w:val="21"/>
                <w:szCs w:val="21"/>
                <w:highlight w:val="none"/>
                <w:lang w:val="en-US" w:eastAsia="zh-CN"/>
              </w:rPr>
              <w:t>交</w:t>
            </w:r>
            <w:r>
              <w:rPr>
                <w:rFonts w:hint="eastAsia" w:ascii="宋体" w:hAnsi="宋体" w:eastAsia="宋体" w:cs="宋体"/>
                <w:snapToGrid/>
                <w:color w:val="auto"/>
                <w:kern w:val="0"/>
                <w:sz w:val="21"/>
                <w:szCs w:val="21"/>
                <w:highlight w:val="none"/>
                <w:lang w:eastAsia="zh-CN"/>
              </w:rPr>
              <w:t>货时间</w:t>
            </w:r>
          </w:p>
        </w:tc>
        <w:tc>
          <w:tcPr>
            <w:tcW w:w="3876" w:type="pct"/>
            <w:vAlign w:val="center"/>
          </w:tcPr>
          <w:p w14:paraId="27C6D64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地点：</w:t>
            </w:r>
            <w:r>
              <w:rPr>
                <w:rFonts w:hint="eastAsia" w:cs="宋体"/>
                <w:snapToGrid/>
                <w:color w:val="auto"/>
                <w:kern w:val="0"/>
                <w:sz w:val="21"/>
                <w:szCs w:val="21"/>
                <w:highlight w:val="none"/>
                <w:lang w:val="en-US" w:eastAsia="zh-CN"/>
              </w:rPr>
              <w:t>采购人指定地点</w:t>
            </w:r>
            <w:r>
              <w:rPr>
                <w:rFonts w:hint="eastAsia" w:ascii="宋体" w:hAnsi="宋体" w:eastAsia="宋体" w:cs="宋体"/>
                <w:snapToGrid/>
                <w:color w:val="auto"/>
                <w:kern w:val="0"/>
                <w:sz w:val="21"/>
                <w:szCs w:val="21"/>
                <w:highlight w:val="none"/>
                <w:lang w:val="en-US" w:eastAsia="zh-CN"/>
              </w:rPr>
              <w:t>；</w:t>
            </w:r>
          </w:p>
          <w:p w14:paraId="760C4AF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default"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时间：</w:t>
            </w:r>
            <w:r>
              <w:rPr>
                <w:rFonts w:hint="eastAsia" w:cs="宋体"/>
                <w:snapToGrid/>
                <w:color w:val="auto"/>
                <w:kern w:val="0"/>
                <w:sz w:val="21"/>
                <w:szCs w:val="21"/>
                <w:highlight w:val="none"/>
                <w:lang w:val="en-US" w:eastAsia="zh-CN"/>
              </w:rPr>
              <w:t>合同签订后30 个日历日内，完成设备定制加工，并根据采购人要求完成进场安装工作</w:t>
            </w:r>
            <w:r>
              <w:rPr>
                <w:rFonts w:hint="eastAsia" w:ascii="宋体" w:hAnsi="宋体" w:eastAsia="宋体" w:cs="宋体"/>
                <w:snapToGrid/>
                <w:color w:val="auto"/>
                <w:kern w:val="0"/>
                <w:sz w:val="21"/>
                <w:szCs w:val="21"/>
                <w:highlight w:val="none"/>
                <w:lang w:val="en-US" w:eastAsia="zh-CN"/>
              </w:rPr>
              <w:t>。</w:t>
            </w:r>
          </w:p>
        </w:tc>
      </w:tr>
      <w:tr w14:paraId="22ED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86A0BE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4" w:type="pct"/>
            <w:vAlign w:val="center"/>
          </w:tcPr>
          <w:p w14:paraId="25A0A380">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资金来源</w:t>
            </w:r>
          </w:p>
        </w:tc>
        <w:tc>
          <w:tcPr>
            <w:tcW w:w="3876" w:type="pct"/>
            <w:vAlign w:val="center"/>
          </w:tcPr>
          <w:p w14:paraId="289AB67A">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财政资金</w:t>
            </w:r>
          </w:p>
        </w:tc>
      </w:tr>
      <w:tr w14:paraId="05F0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706AA4D">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94" w:type="pct"/>
            <w:vAlign w:val="center"/>
          </w:tcPr>
          <w:p w14:paraId="64067DE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出资比例</w:t>
            </w:r>
          </w:p>
        </w:tc>
        <w:tc>
          <w:tcPr>
            <w:tcW w:w="3876" w:type="pct"/>
            <w:vAlign w:val="center"/>
          </w:tcPr>
          <w:p w14:paraId="65A6FC9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100%</w:t>
            </w:r>
          </w:p>
        </w:tc>
      </w:tr>
      <w:tr w14:paraId="53B7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6DA7F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4" w:type="pct"/>
            <w:vAlign w:val="center"/>
          </w:tcPr>
          <w:p w14:paraId="2CA113A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资金落实情况</w:t>
            </w:r>
          </w:p>
        </w:tc>
        <w:tc>
          <w:tcPr>
            <w:tcW w:w="3876" w:type="pct"/>
            <w:vAlign w:val="center"/>
          </w:tcPr>
          <w:p w14:paraId="6E7BC39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已落实</w:t>
            </w:r>
          </w:p>
        </w:tc>
      </w:tr>
      <w:tr w14:paraId="6FEA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14B7A3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794" w:type="pct"/>
            <w:vAlign w:val="center"/>
          </w:tcPr>
          <w:p w14:paraId="48EF702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采购需求（采购内容）</w:t>
            </w:r>
          </w:p>
        </w:tc>
        <w:tc>
          <w:tcPr>
            <w:tcW w:w="3876" w:type="pct"/>
            <w:vAlign w:val="center"/>
          </w:tcPr>
          <w:p w14:paraId="42E5956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2"/>
                <w:sz w:val="21"/>
                <w:szCs w:val="21"/>
                <w:highlight w:val="none"/>
                <w:lang w:val="en-US" w:eastAsia="zh-CN" w:bidi="ar-SA"/>
              </w:rPr>
              <w:t>具体内容详见招标文件第六章技术需求</w:t>
            </w:r>
            <w:r>
              <w:rPr>
                <w:rFonts w:hint="eastAsia" w:ascii="宋体" w:hAnsi="宋体" w:eastAsia="宋体" w:cs="宋体"/>
                <w:snapToGrid/>
                <w:color w:val="auto"/>
                <w:kern w:val="2"/>
                <w:sz w:val="21"/>
                <w:szCs w:val="21"/>
                <w:highlight w:val="none"/>
                <w:lang w:val="en-US" w:eastAsia="zh-CN" w:bidi="ar-SA"/>
              </w:rPr>
              <w:t>。</w:t>
            </w:r>
          </w:p>
        </w:tc>
      </w:tr>
      <w:tr w14:paraId="6516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34B423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4" w:type="pct"/>
            <w:vAlign w:val="center"/>
          </w:tcPr>
          <w:p w14:paraId="068BDF1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*报价方式</w:t>
            </w:r>
          </w:p>
        </w:tc>
        <w:tc>
          <w:tcPr>
            <w:tcW w:w="3876" w:type="pct"/>
            <w:vAlign w:val="center"/>
          </w:tcPr>
          <w:p w14:paraId="1E66C45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本次招标以元为单位进行报价，报价表报总价并填写分项报价表，总报价不允许超过最高限价，否则废标。</w:t>
            </w:r>
          </w:p>
        </w:tc>
      </w:tr>
      <w:tr w14:paraId="61B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57520F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94" w:type="pct"/>
            <w:vAlign w:val="center"/>
          </w:tcPr>
          <w:p w14:paraId="7F78D088">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采购方式</w:t>
            </w:r>
          </w:p>
        </w:tc>
        <w:tc>
          <w:tcPr>
            <w:tcW w:w="3876" w:type="pct"/>
            <w:vAlign w:val="center"/>
          </w:tcPr>
          <w:p w14:paraId="44FBFD4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公开招标</w:t>
            </w:r>
          </w:p>
        </w:tc>
      </w:tr>
      <w:tr w14:paraId="137D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2979A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94" w:type="pct"/>
            <w:vAlign w:val="center"/>
          </w:tcPr>
          <w:p w14:paraId="113FCFF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*质量标准</w:t>
            </w:r>
          </w:p>
        </w:tc>
        <w:tc>
          <w:tcPr>
            <w:tcW w:w="3876" w:type="pct"/>
            <w:vAlign w:val="center"/>
          </w:tcPr>
          <w:p w14:paraId="6D90F1B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符合国家现行相关技术规范要求</w:t>
            </w:r>
          </w:p>
        </w:tc>
      </w:tr>
      <w:tr w14:paraId="73C8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0A6FBD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794" w:type="pct"/>
            <w:vAlign w:val="center"/>
          </w:tcPr>
          <w:p w14:paraId="77E00B6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*投标人合格条件、能力和信誉</w:t>
            </w:r>
          </w:p>
        </w:tc>
        <w:tc>
          <w:tcPr>
            <w:tcW w:w="3876" w:type="pct"/>
            <w:vAlign w:val="center"/>
          </w:tcPr>
          <w:p w14:paraId="0EB8CF4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1.满足《中华人民共和国政府采购法》第二十二条规定。                          </w:t>
            </w:r>
          </w:p>
          <w:p w14:paraId="000E61E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落实政府采购政策需满足的资格要求：本项目非专门面向中小企业采购。投标人如为中小微企业、监狱企业、残疾人福利性单位享受政府采购政策需提供相关声明，详见招标文件。本次采购项目采购标的对应的中小企业划分标准所属行业为其他未列明行业（划分标准见附件1）。</w:t>
            </w:r>
          </w:p>
          <w:p w14:paraId="4F70878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3.本项目的特定资格要求：</w:t>
            </w:r>
          </w:p>
          <w:p w14:paraId="2387217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3.1投标人须是在中华人民共和国境内注册的，具有合法经营资格的独立法人或其他组织，具有有效的营业执照，并在人员、设备、资金等方面具有相应的供货和服务能力；</w:t>
            </w:r>
          </w:p>
          <w:p w14:paraId="6331932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3.2</w:t>
            </w:r>
            <w:r>
              <w:rPr>
                <w:rFonts w:hint="eastAsia" w:cs="宋体"/>
                <w:snapToGrid/>
                <w:color w:val="auto"/>
                <w:kern w:val="0"/>
                <w:sz w:val="21"/>
                <w:szCs w:val="21"/>
                <w:highlight w:val="none"/>
                <w:lang w:val="en-US" w:eastAsia="zh-CN"/>
              </w:rPr>
              <w:t>投标人须具有良好的商业信誉和健全的财务会计制度，提供近一年（2024年度）财务审计报告，2025年以后新成立的公司无财务审计报告的，投标文件内提供一份自成立之日起至今财务状况良好承诺书</w:t>
            </w:r>
            <w:r>
              <w:rPr>
                <w:rFonts w:hint="eastAsia" w:ascii="宋体" w:hAnsi="宋体" w:eastAsia="宋体" w:cs="宋体"/>
                <w:snapToGrid/>
                <w:color w:val="auto"/>
                <w:kern w:val="0"/>
                <w:sz w:val="21"/>
                <w:szCs w:val="21"/>
                <w:highlight w:val="none"/>
                <w:lang w:val="en-US" w:eastAsia="zh-CN"/>
              </w:rPr>
              <w:t>。</w:t>
            </w:r>
          </w:p>
          <w:p w14:paraId="65C68D3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3.3</w:t>
            </w:r>
            <w:r>
              <w:rPr>
                <w:rFonts w:hint="eastAsia" w:cs="宋体"/>
                <w:snapToGrid/>
                <w:color w:val="auto"/>
                <w:kern w:val="0"/>
                <w:sz w:val="21"/>
                <w:szCs w:val="21"/>
                <w:highlight w:val="none"/>
                <w:lang w:val="en-US" w:eastAsia="zh-CN"/>
              </w:rPr>
              <w:t>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p>
          <w:p w14:paraId="3DAF518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3.4投标人参加政府采购活动前3年内在经营活动中没有重大违法记录。</w:t>
            </w:r>
          </w:p>
          <w:p w14:paraId="4F668F1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3.5信誉要求：（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13FDE03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3.6投标人与采购人存在利害关系可能影响采购公正性的法人、其他组织或者个人，不得参加投标；单位负责人为同一人或者存在直接控股、管理关系的不同投标人，不得参加同一合同项下的政府采购活动。否则相关投标无效。</w:t>
            </w:r>
          </w:p>
        </w:tc>
      </w:tr>
      <w:tr w14:paraId="13C02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F1D9E7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94" w:type="pct"/>
            <w:vAlign w:val="center"/>
          </w:tcPr>
          <w:p w14:paraId="0D148AC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是否接受联合体投标</w:t>
            </w:r>
          </w:p>
        </w:tc>
        <w:tc>
          <w:tcPr>
            <w:tcW w:w="3876" w:type="pct"/>
            <w:vAlign w:val="center"/>
          </w:tcPr>
          <w:p w14:paraId="18F5CE2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本项目不接受联合体投标。</w:t>
            </w:r>
          </w:p>
        </w:tc>
      </w:tr>
      <w:tr w14:paraId="3A65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0890C78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94" w:type="pct"/>
            <w:tcBorders>
              <w:bottom w:val="single" w:color="auto" w:sz="4" w:space="0"/>
            </w:tcBorders>
            <w:vAlign w:val="center"/>
          </w:tcPr>
          <w:p w14:paraId="3AD82F9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投标预备会</w:t>
            </w:r>
          </w:p>
        </w:tc>
        <w:tc>
          <w:tcPr>
            <w:tcW w:w="3876" w:type="pct"/>
            <w:vAlign w:val="center"/>
          </w:tcPr>
          <w:p w14:paraId="572568D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不召开。</w:t>
            </w:r>
          </w:p>
        </w:tc>
      </w:tr>
      <w:tr w14:paraId="7972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14:paraId="4E44EBC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94" w:type="pct"/>
            <w:tcBorders>
              <w:top w:val="single" w:color="auto" w:sz="4" w:space="0"/>
              <w:left w:val="single" w:color="auto" w:sz="4" w:space="0"/>
              <w:bottom w:val="single" w:color="auto" w:sz="4" w:space="0"/>
              <w:right w:val="single" w:color="auto" w:sz="4" w:space="0"/>
            </w:tcBorders>
            <w:vAlign w:val="center"/>
          </w:tcPr>
          <w:p w14:paraId="61B17131">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default" w:ascii="宋体" w:hAnsi="宋体" w:eastAsia="宋体" w:cs="宋体"/>
                <w:snapToGrid/>
                <w:color w:val="auto"/>
                <w:kern w:val="0"/>
                <w:sz w:val="21"/>
                <w:szCs w:val="21"/>
                <w:highlight w:val="none"/>
                <w:lang w:val="en-US" w:eastAsia="zh-CN"/>
              </w:rPr>
            </w:pPr>
            <w:r>
              <w:rPr>
                <w:rFonts w:hint="default" w:ascii="宋体" w:hAnsi="宋体" w:eastAsia="宋体" w:cs="宋体"/>
                <w:snapToGrid/>
                <w:color w:val="auto"/>
                <w:kern w:val="0"/>
                <w:sz w:val="21"/>
                <w:szCs w:val="21"/>
                <w:highlight w:val="none"/>
                <w:lang w:val="en-US" w:eastAsia="zh-CN"/>
              </w:rPr>
              <w:t>投标人提出问题的截止时间</w:t>
            </w:r>
          </w:p>
        </w:tc>
        <w:tc>
          <w:tcPr>
            <w:tcW w:w="3876" w:type="pct"/>
            <w:tcBorders>
              <w:left w:val="single" w:color="auto" w:sz="4" w:space="0"/>
            </w:tcBorders>
            <w:vAlign w:val="center"/>
          </w:tcPr>
          <w:p w14:paraId="7F03863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投标疑问的提出：投标截止时间前10天（逾期有权不再解答，若投标人未提出疑问，则视为其无疑问。）</w:t>
            </w:r>
            <w:r>
              <w:rPr>
                <w:rFonts w:hint="eastAsia" w:cs="宋体"/>
                <w:snapToGrid/>
                <w:color w:val="auto"/>
                <w:kern w:val="0"/>
                <w:sz w:val="21"/>
                <w:szCs w:val="21"/>
                <w:highlight w:val="none"/>
                <w:lang w:val="en-US" w:eastAsia="zh-CN"/>
              </w:rPr>
              <w:t>。</w:t>
            </w:r>
          </w:p>
          <w:p w14:paraId="4E3F19F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在政府采购云平台（网址：http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//www.zcygov.cn）上</w:t>
            </w:r>
            <w:r>
              <w:rPr>
                <w:rFonts w:hint="eastAsia" w:cs="宋体"/>
                <w:snapToGrid/>
                <w:color w:val="auto"/>
                <w:kern w:val="0"/>
                <w:sz w:val="21"/>
                <w:szCs w:val="21"/>
                <w:highlight w:val="none"/>
                <w:lang w:val="en-US" w:eastAsia="zh-CN"/>
              </w:rPr>
              <w:t>提出</w:t>
            </w:r>
            <w:r>
              <w:rPr>
                <w:rFonts w:hint="eastAsia" w:ascii="宋体" w:hAnsi="宋体" w:eastAsia="宋体" w:cs="宋体"/>
                <w:snapToGrid/>
                <w:color w:val="auto"/>
                <w:kern w:val="0"/>
                <w:sz w:val="21"/>
                <w:szCs w:val="21"/>
                <w:highlight w:val="none"/>
                <w:lang w:val="en-US" w:eastAsia="zh-CN"/>
              </w:rPr>
              <w:t>，</w:t>
            </w:r>
            <w:r>
              <w:rPr>
                <w:rFonts w:hint="eastAsia" w:cs="宋体"/>
                <w:snapToGrid/>
                <w:color w:val="auto"/>
                <w:kern w:val="0"/>
                <w:sz w:val="21"/>
                <w:szCs w:val="21"/>
                <w:highlight w:val="none"/>
                <w:lang w:val="en-US" w:eastAsia="zh-CN"/>
              </w:rPr>
              <w:t>并通知招标代理机构</w:t>
            </w:r>
            <w:r>
              <w:rPr>
                <w:rFonts w:hint="eastAsia" w:ascii="宋体" w:hAnsi="宋体" w:eastAsia="宋体" w:cs="宋体"/>
                <w:snapToGrid/>
                <w:color w:val="auto"/>
                <w:kern w:val="0"/>
                <w:sz w:val="21"/>
                <w:szCs w:val="21"/>
                <w:highlight w:val="none"/>
                <w:lang w:val="en-US" w:eastAsia="zh-CN"/>
              </w:rPr>
              <w:t>。</w:t>
            </w:r>
          </w:p>
        </w:tc>
      </w:tr>
      <w:tr w14:paraId="4989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single" w:color="auto" w:sz="4" w:space="0"/>
              <w:left w:val="single" w:color="auto" w:sz="4" w:space="0"/>
            </w:tcBorders>
            <w:vAlign w:val="center"/>
          </w:tcPr>
          <w:p w14:paraId="58E85B9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4" w:type="pct"/>
            <w:tcBorders>
              <w:top w:val="single" w:color="auto" w:sz="4" w:space="0"/>
            </w:tcBorders>
            <w:vAlign w:val="center"/>
          </w:tcPr>
          <w:p w14:paraId="16BD5D7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采购人澄清的时间</w:t>
            </w:r>
          </w:p>
        </w:tc>
        <w:tc>
          <w:tcPr>
            <w:tcW w:w="3876" w:type="pct"/>
            <w:vAlign w:val="center"/>
          </w:tcPr>
          <w:p w14:paraId="77642B1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投标截止时间15日前</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在政府采购云平台（网址：http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//www.zcygov.cn）上发布，</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须主动阅知。本项目的澄清、修改、答疑、补遗文件一经发布即视为已告知所有潜在</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，且</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也已经收到并明确了发布的内容。</w:t>
            </w:r>
          </w:p>
        </w:tc>
      </w:tr>
      <w:tr w14:paraId="7738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A2AE3C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5</w:t>
            </w:r>
          </w:p>
        </w:tc>
        <w:tc>
          <w:tcPr>
            <w:tcW w:w="794" w:type="pct"/>
            <w:vAlign w:val="center"/>
          </w:tcPr>
          <w:p w14:paraId="3088E76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*分包</w:t>
            </w:r>
          </w:p>
        </w:tc>
        <w:tc>
          <w:tcPr>
            <w:tcW w:w="3876" w:type="pct"/>
            <w:vAlign w:val="center"/>
          </w:tcPr>
          <w:p w14:paraId="0C937DE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本项目不允许分包</w:t>
            </w:r>
          </w:p>
        </w:tc>
      </w:tr>
      <w:tr w14:paraId="7FF7B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5810F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6</w:t>
            </w:r>
          </w:p>
        </w:tc>
        <w:tc>
          <w:tcPr>
            <w:tcW w:w="794" w:type="pct"/>
            <w:vAlign w:val="center"/>
          </w:tcPr>
          <w:p w14:paraId="75F0EF06">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投标截止时间</w:t>
            </w:r>
          </w:p>
        </w:tc>
        <w:tc>
          <w:tcPr>
            <w:tcW w:w="3876" w:type="pct"/>
            <w:vAlign w:val="center"/>
          </w:tcPr>
          <w:p w14:paraId="5A0D4B5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2025年7月17日13时00分</w:t>
            </w:r>
            <w:r>
              <w:rPr>
                <w:rFonts w:hint="eastAsia" w:ascii="宋体" w:hAnsi="宋体" w:eastAsia="宋体" w:cs="宋体"/>
                <w:snapToGrid/>
                <w:color w:val="auto"/>
                <w:kern w:val="0"/>
                <w:sz w:val="21"/>
                <w:szCs w:val="21"/>
                <w:highlight w:val="none"/>
                <w:lang w:val="en-US" w:eastAsia="zh-CN"/>
              </w:rPr>
              <w:t>（北京时间)</w:t>
            </w:r>
          </w:p>
        </w:tc>
      </w:tr>
      <w:tr w14:paraId="58FD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45FFD7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7</w:t>
            </w:r>
          </w:p>
        </w:tc>
        <w:tc>
          <w:tcPr>
            <w:tcW w:w="794" w:type="pct"/>
            <w:vAlign w:val="center"/>
          </w:tcPr>
          <w:p w14:paraId="18B051C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*投标有效期</w:t>
            </w:r>
          </w:p>
        </w:tc>
        <w:tc>
          <w:tcPr>
            <w:tcW w:w="3876" w:type="pct"/>
            <w:vAlign w:val="center"/>
          </w:tcPr>
          <w:p w14:paraId="29A07E9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投标截止之日后90天（日历天)</w:t>
            </w:r>
          </w:p>
        </w:tc>
      </w:tr>
      <w:tr w14:paraId="4CF8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8E80E8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18</w:t>
            </w:r>
          </w:p>
        </w:tc>
        <w:tc>
          <w:tcPr>
            <w:tcW w:w="794" w:type="pct"/>
            <w:vAlign w:val="center"/>
          </w:tcPr>
          <w:p w14:paraId="31A0A4EB">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w:t>
            </w:r>
          </w:p>
        </w:tc>
        <w:tc>
          <w:tcPr>
            <w:tcW w:w="3876" w:type="pct"/>
            <w:vAlign w:val="center"/>
          </w:tcPr>
          <w:p w14:paraId="567133C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投标保证金的形式：包括转账、电汇，银行出具的现金支票、保兑支票、银行汇票，银行（基本账户) 、专业担保公司的保函、银行开具的银行保函，其中，转账、电汇须从投标人的基本账户转出。（应当从投标企业基本账户一次性转出）</w:t>
            </w:r>
          </w:p>
          <w:p w14:paraId="53C9C1B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bCs/>
                <w:snapToGrid/>
                <w:color w:val="auto"/>
                <w:kern w:val="0"/>
                <w:sz w:val="21"/>
                <w:szCs w:val="21"/>
                <w:highlight w:val="none"/>
                <w:lang w:val="en-US" w:eastAsia="zh-CN"/>
              </w:rPr>
            </w:pPr>
            <w:r>
              <w:rPr>
                <w:rFonts w:hint="eastAsia" w:ascii="宋体" w:hAnsi="宋体" w:eastAsia="宋体" w:cs="宋体"/>
                <w:b/>
                <w:bCs/>
                <w:snapToGrid/>
                <w:color w:val="auto"/>
                <w:kern w:val="0"/>
                <w:sz w:val="21"/>
                <w:szCs w:val="21"/>
                <w:highlight w:val="none"/>
                <w:lang w:val="en-US" w:eastAsia="zh-CN"/>
              </w:rPr>
              <w:t>投标保证金的金额：人民币20000元整</w:t>
            </w:r>
          </w:p>
          <w:p w14:paraId="6FAF1B9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递交方式：投标人须在投标截止时间前 （北京时间) 将投标保证金存入采购代理机构指定账户。投标保证金的确认以最终到账日期为准。</w:t>
            </w:r>
          </w:p>
          <w:p w14:paraId="761D13F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户  名：吉林中鸿项目管理咨询有限公司</w:t>
            </w:r>
          </w:p>
          <w:p w14:paraId="47C5712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账  号：8113601011500176245</w:t>
            </w:r>
          </w:p>
          <w:p w14:paraId="54783B3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开户行：中信银行股份有限公司长春幸福街支行</w:t>
            </w:r>
          </w:p>
          <w:p w14:paraId="5F73CB2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※请在汇款单据上标明项目名称以便核查。</w:t>
            </w:r>
          </w:p>
          <w:p w14:paraId="03544C8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注：请投标人递交投标保证金后将转账凭证或保函传至1097920188@qq.com邮箱，如不及时发送，后果投标人自行负责。</w:t>
            </w:r>
          </w:p>
        </w:tc>
      </w:tr>
      <w:tr w14:paraId="1E55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29E935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w:t>
            </w:r>
          </w:p>
        </w:tc>
        <w:tc>
          <w:tcPr>
            <w:tcW w:w="794" w:type="pct"/>
            <w:vAlign w:val="center"/>
          </w:tcPr>
          <w:p w14:paraId="58593765">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近年发生的诉讼及仲裁情况</w:t>
            </w:r>
          </w:p>
        </w:tc>
        <w:tc>
          <w:tcPr>
            <w:tcW w:w="3876" w:type="pct"/>
            <w:vAlign w:val="center"/>
          </w:tcPr>
          <w:p w14:paraId="05917848">
            <w:pPr>
              <w:pStyle w:val="49"/>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近3年，指2022年1月1日起至今。</w:t>
            </w:r>
          </w:p>
        </w:tc>
      </w:tr>
      <w:tr w14:paraId="0278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78B278F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w:t>
            </w:r>
          </w:p>
        </w:tc>
        <w:tc>
          <w:tcPr>
            <w:tcW w:w="794" w:type="pct"/>
            <w:tcBorders>
              <w:bottom w:val="single" w:color="auto" w:sz="4" w:space="0"/>
            </w:tcBorders>
            <w:vAlign w:val="center"/>
          </w:tcPr>
          <w:p w14:paraId="53743A50">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*投标文件数量</w:t>
            </w:r>
          </w:p>
        </w:tc>
        <w:tc>
          <w:tcPr>
            <w:tcW w:w="3876" w:type="pct"/>
            <w:vAlign w:val="center"/>
          </w:tcPr>
          <w:p w14:paraId="7689691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投标人在“政采云”平台（http：//www.zcygov.cn）上制作投标文件一份（此投标文件须上传至“政采云”平台）。 </w:t>
            </w:r>
          </w:p>
        </w:tc>
      </w:tr>
      <w:tr w14:paraId="2466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FCFA77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w:t>
            </w:r>
          </w:p>
        </w:tc>
        <w:tc>
          <w:tcPr>
            <w:tcW w:w="794" w:type="pct"/>
            <w:tcBorders>
              <w:top w:val="single" w:color="auto" w:sz="4" w:space="0"/>
              <w:left w:val="single" w:color="auto" w:sz="4" w:space="0"/>
              <w:bottom w:val="single" w:color="auto" w:sz="4" w:space="0"/>
              <w:right w:val="single" w:color="auto" w:sz="4" w:space="0"/>
            </w:tcBorders>
            <w:vAlign w:val="center"/>
          </w:tcPr>
          <w:p w14:paraId="013D34B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*装订要求</w:t>
            </w:r>
          </w:p>
        </w:tc>
        <w:tc>
          <w:tcPr>
            <w:tcW w:w="3876" w:type="pct"/>
            <w:tcBorders>
              <w:left w:val="single" w:color="auto" w:sz="4" w:space="0"/>
            </w:tcBorders>
            <w:vAlign w:val="center"/>
          </w:tcPr>
          <w:p w14:paraId="34221D6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投标文件采用胶装方式装订要整齐、牢固，便于保管和利用，不能采用活页装订方式。</w:t>
            </w:r>
          </w:p>
        </w:tc>
      </w:tr>
      <w:tr w14:paraId="555A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A2FED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w:t>
            </w:r>
          </w:p>
        </w:tc>
        <w:tc>
          <w:tcPr>
            <w:tcW w:w="794" w:type="pct"/>
            <w:vAlign w:val="center"/>
          </w:tcPr>
          <w:p w14:paraId="7060F84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封套上写明</w:t>
            </w:r>
          </w:p>
        </w:tc>
        <w:tc>
          <w:tcPr>
            <w:tcW w:w="3876" w:type="pct"/>
            <w:vAlign w:val="center"/>
          </w:tcPr>
          <w:p w14:paraId="11DB9DF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w:t>
            </w:r>
          </w:p>
        </w:tc>
      </w:tr>
      <w:tr w14:paraId="4CE4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BF37BD1">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3</w:t>
            </w:r>
          </w:p>
        </w:tc>
        <w:tc>
          <w:tcPr>
            <w:tcW w:w="794" w:type="pct"/>
            <w:vAlign w:val="center"/>
          </w:tcPr>
          <w:p w14:paraId="7CF8C14F">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递交投标文件地点和时间</w:t>
            </w:r>
          </w:p>
        </w:tc>
        <w:tc>
          <w:tcPr>
            <w:tcW w:w="3876" w:type="pct"/>
            <w:vAlign w:val="center"/>
          </w:tcPr>
          <w:p w14:paraId="434BCDF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本项目为全流程电子化招投标项目，</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通过政府采购云平台（网址：http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 www.zcygov.cn）递交电子版</w:t>
            </w:r>
            <w:r>
              <w:rPr>
                <w:rFonts w:hint="eastAsia" w:cs="宋体"/>
                <w:snapToGrid/>
                <w:color w:val="auto"/>
                <w:kern w:val="0"/>
                <w:sz w:val="21"/>
                <w:szCs w:val="21"/>
                <w:highlight w:val="none"/>
                <w:lang w:val="en-US" w:eastAsia="zh-CN"/>
              </w:rPr>
              <w:t>投标</w:t>
            </w:r>
            <w:r>
              <w:rPr>
                <w:rFonts w:hint="eastAsia" w:ascii="宋体" w:hAnsi="宋体" w:eastAsia="宋体" w:cs="宋体"/>
                <w:snapToGrid/>
                <w:color w:val="auto"/>
                <w:kern w:val="0"/>
                <w:sz w:val="21"/>
                <w:szCs w:val="21"/>
                <w:highlight w:val="none"/>
                <w:lang w:val="en-US" w:eastAsia="zh-CN"/>
              </w:rPr>
              <w:t>文件。</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代表无须到开标现场递交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w:t>
            </w:r>
          </w:p>
          <w:p w14:paraId="7B821C1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备注：1.</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开标时，需携带制作</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时用来加密的有效数字证书（CA 认证）登录“政采云”平台电子开标大厅现场按规定时间对加密的</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进行解密。2.</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提交方式：本项目为全流程电子化项目，通过“政采云”平台（http：//www.zcygov.cn）实行在线电子投标，</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应先安装“政采云电子交易客户端”（请自行前往“政采云”平台进行下载），并按照本项目招标文件和“政采云”平台的要求编制、加密后在提交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截止时间前通过网络上传至“政采云”平台，</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在“政采云”平台提交电子版</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时，请填写参加开标活动经办人联系方式。</w:t>
            </w:r>
          </w:p>
        </w:tc>
      </w:tr>
      <w:tr w14:paraId="4D5F9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431FC0B">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4</w:t>
            </w:r>
          </w:p>
        </w:tc>
        <w:tc>
          <w:tcPr>
            <w:tcW w:w="794" w:type="pct"/>
            <w:vAlign w:val="center"/>
          </w:tcPr>
          <w:p w14:paraId="221F802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开标时间和地点</w:t>
            </w:r>
          </w:p>
        </w:tc>
        <w:tc>
          <w:tcPr>
            <w:tcW w:w="3876" w:type="pct"/>
            <w:vAlign w:val="center"/>
          </w:tcPr>
          <w:p w14:paraId="2CC8F09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开标时间：</w:t>
            </w:r>
            <w:r>
              <w:rPr>
                <w:rFonts w:hint="eastAsia" w:cs="宋体"/>
                <w:snapToGrid/>
                <w:color w:val="auto"/>
                <w:kern w:val="0"/>
                <w:sz w:val="21"/>
                <w:szCs w:val="21"/>
                <w:highlight w:val="none"/>
                <w:lang w:val="en-US" w:eastAsia="zh-CN"/>
              </w:rPr>
              <w:t>2025年7月17日13时00分</w:t>
            </w:r>
            <w:r>
              <w:rPr>
                <w:rFonts w:hint="eastAsia" w:ascii="宋体" w:hAnsi="宋体" w:eastAsia="宋体" w:cs="宋体"/>
                <w:snapToGrid/>
                <w:color w:val="auto"/>
                <w:kern w:val="0"/>
                <w:sz w:val="21"/>
                <w:szCs w:val="21"/>
                <w:highlight w:val="none"/>
                <w:lang w:val="en-US" w:eastAsia="zh-CN"/>
              </w:rPr>
              <w:t>（北京时间)</w:t>
            </w:r>
            <w:r>
              <w:rPr>
                <w:rFonts w:hint="eastAsia" w:ascii="宋体" w:hAnsi="宋体" w:eastAsia="宋体" w:cs="宋体"/>
                <w:snapToGrid/>
                <w:color w:val="auto"/>
                <w:kern w:val="0"/>
                <w:sz w:val="21"/>
                <w:szCs w:val="21"/>
                <w:highlight w:val="none"/>
                <w:lang w:val="en-US" w:eastAsia="zh-CN"/>
              </w:rPr>
              <w:t xml:space="preserve"> 。</w:t>
            </w:r>
          </w:p>
          <w:p w14:paraId="797545D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地点：</w:t>
            </w:r>
            <w:r>
              <w:rPr>
                <w:rFonts w:hint="eastAsia" w:cs="宋体"/>
                <w:snapToGrid/>
                <w:color w:val="auto"/>
                <w:kern w:val="0"/>
                <w:sz w:val="21"/>
                <w:szCs w:val="21"/>
                <w:highlight w:val="none"/>
                <w:lang w:val="en-US" w:eastAsia="zh-CN"/>
              </w:rPr>
              <w:t>长春市二道区洋浦大街6999号凯利中心AB栋101开标一室（投标人无须到达开标现场，通过政采云系统参加开标活动）</w:t>
            </w:r>
            <w:r>
              <w:rPr>
                <w:rFonts w:hint="eastAsia" w:ascii="宋体" w:hAnsi="宋体" w:eastAsia="宋体" w:cs="宋体"/>
                <w:snapToGrid/>
                <w:color w:val="auto"/>
                <w:kern w:val="0"/>
                <w:sz w:val="21"/>
                <w:szCs w:val="21"/>
                <w:highlight w:val="none"/>
                <w:lang w:val="en-US" w:eastAsia="zh-CN"/>
              </w:rPr>
              <w:t>。</w:t>
            </w:r>
          </w:p>
        </w:tc>
      </w:tr>
      <w:tr w14:paraId="1324F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87BE15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5</w:t>
            </w:r>
          </w:p>
        </w:tc>
        <w:tc>
          <w:tcPr>
            <w:tcW w:w="794" w:type="pct"/>
            <w:vAlign w:val="center"/>
          </w:tcPr>
          <w:p w14:paraId="1E2ACEB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评标委员会的组建</w:t>
            </w:r>
          </w:p>
        </w:tc>
        <w:tc>
          <w:tcPr>
            <w:tcW w:w="3876" w:type="pct"/>
            <w:vAlign w:val="center"/>
          </w:tcPr>
          <w:p w14:paraId="50724BB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评标委员会构成：由有关技术、经济等方面的专家4人，业主评委1人，共5人。</w:t>
            </w:r>
          </w:p>
          <w:p w14:paraId="03606F5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评标专家确定方式：业主评委由采购人委派，经济及技术方面专家</w:t>
            </w:r>
            <w:r>
              <w:rPr>
                <w:rFonts w:hint="eastAsia" w:cs="宋体"/>
                <w:snapToGrid/>
                <w:color w:val="auto"/>
                <w:kern w:val="0"/>
                <w:sz w:val="21"/>
                <w:szCs w:val="21"/>
                <w:highlight w:val="none"/>
                <w:lang w:val="en-US" w:eastAsia="zh-CN"/>
              </w:rPr>
              <w:t>从</w:t>
            </w:r>
            <w:r>
              <w:rPr>
                <w:rFonts w:hint="eastAsia" w:ascii="宋体" w:hAnsi="宋体" w:eastAsia="宋体" w:cs="宋体"/>
                <w:snapToGrid/>
                <w:color w:val="auto"/>
                <w:kern w:val="0"/>
                <w:sz w:val="21"/>
                <w:szCs w:val="21"/>
                <w:highlight w:val="none"/>
                <w:lang w:val="en-US" w:eastAsia="zh-CN"/>
              </w:rPr>
              <w:t>在依法成立的专家库中随机抽取</w:t>
            </w:r>
            <w:r>
              <w:rPr>
                <w:rFonts w:hint="eastAsia" w:cs="宋体"/>
                <w:snapToGrid/>
                <w:color w:val="auto"/>
                <w:kern w:val="0"/>
                <w:sz w:val="21"/>
                <w:szCs w:val="21"/>
                <w:highlight w:val="none"/>
                <w:lang w:val="en-US" w:eastAsia="zh-CN"/>
              </w:rPr>
              <w:t>。</w:t>
            </w:r>
          </w:p>
        </w:tc>
      </w:tr>
      <w:tr w14:paraId="0320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85684A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6</w:t>
            </w:r>
          </w:p>
        </w:tc>
        <w:tc>
          <w:tcPr>
            <w:tcW w:w="794" w:type="pct"/>
            <w:vAlign w:val="center"/>
          </w:tcPr>
          <w:p w14:paraId="04F93C6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评标办法</w:t>
            </w:r>
          </w:p>
        </w:tc>
        <w:tc>
          <w:tcPr>
            <w:tcW w:w="3876" w:type="pct"/>
            <w:vAlign w:val="center"/>
          </w:tcPr>
          <w:p w14:paraId="073F75A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本项目采用综合评分法评标。</w:t>
            </w:r>
          </w:p>
        </w:tc>
      </w:tr>
      <w:tr w14:paraId="0171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C4DCF7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7</w:t>
            </w:r>
          </w:p>
        </w:tc>
        <w:tc>
          <w:tcPr>
            <w:tcW w:w="794" w:type="pct"/>
            <w:vAlign w:val="center"/>
          </w:tcPr>
          <w:p w14:paraId="1A8AC046">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zh-CN" w:eastAsia="zh-CN"/>
              </w:rPr>
              <w:t>是否授权评标委员会确定中标人</w:t>
            </w:r>
          </w:p>
        </w:tc>
        <w:tc>
          <w:tcPr>
            <w:tcW w:w="3876" w:type="pct"/>
            <w:vAlign w:val="center"/>
          </w:tcPr>
          <w:p w14:paraId="6131D68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是</w:t>
            </w:r>
          </w:p>
        </w:tc>
      </w:tr>
      <w:tr w14:paraId="1B77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726FE6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8</w:t>
            </w:r>
          </w:p>
        </w:tc>
        <w:tc>
          <w:tcPr>
            <w:tcW w:w="794" w:type="pct"/>
            <w:vAlign w:val="center"/>
          </w:tcPr>
          <w:p w14:paraId="42EF9CC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付款方式</w:t>
            </w:r>
          </w:p>
        </w:tc>
        <w:tc>
          <w:tcPr>
            <w:tcW w:w="3876" w:type="pct"/>
            <w:vAlign w:val="center"/>
          </w:tcPr>
          <w:p w14:paraId="28B1BC0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经采购人验收合格后一次性付款。</w:t>
            </w:r>
          </w:p>
        </w:tc>
      </w:tr>
      <w:tr w14:paraId="5E52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6AB7D2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9</w:t>
            </w:r>
          </w:p>
        </w:tc>
        <w:tc>
          <w:tcPr>
            <w:tcW w:w="794" w:type="pct"/>
            <w:vAlign w:val="center"/>
          </w:tcPr>
          <w:p w14:paraId="2882DA8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技术参数</w:t>
            </w:r>
          </w:p>
        </w:tc>
        <w:tc>
          <w:tcPr>
            <w:tcW w:w="3876" w:type="pct"/>
            <w:vAlign w:val="center"/>
          </w:tcPr>
          <w:p w14:paraId="471AE12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详见第六章技术需求</w:t>
            </w:r>
          </w:p>
        </w:tc>
      </w:tr>
      <w:tr w14:paraId="6245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07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0</w:t>
            </w:r>
          </w:p>
        </w:tc>
        <w:tc>
          <w:tcPr>
            <w:tcW w:w="794" w:type="pct"/>
            <w:vAlign w:val="center"/>
          </w:tcPr>
          <w:p w14:paraId="4E627C0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*验收方式</w:t>
            </w:r>
          </w:p>
        </w:tc>
        <w:tc>
          <w:tcPr>
            <w:tcW w:w="3876" w:type="pct"/>
            <w:vAlign w:val="center"/>
          </w:tcPr>
          <w:p w14:paraId="27C83C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中标人提交的货物到货后，由采购人负责检验验收或由采购人聘请当地质检 （商检) 部门或国家有关部门对货物的品种、规格、性能、质量、数量、外观以及配件等进行检验，并出具检验证书，检验费用由中标人承担。</w:t>
            </w:r>
          </w:p>
        </w:tc>
      </w:tr>
      <w:tr w14:paraId="1BCA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6395FA">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1</w:t>
            </w:r>
          </w:p>
        </w:tc>
        <w:tc>
          <w:tcPr>
            <w:tcW w:w="794" w:type="pct"/>
            <w:vAlign w:val="center"/>
          </w:tcPr>
          <w:p w14:paraId="23A6D4B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w:t>
            </w:r>
          </w:p>
        </w:tc>
        <w:tc>
          <w:tcPr>
            <w:tcW w:w="3876" w:type="pct"/>
            <w:vAlign w:val="center"/>
          </w:tcPr>
          <w:p w14:paraId="258A7F0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履约保证金为中标额的3%，待中标人合同履行期满一年，不计利息一次性退还。</w:t>
            </w:r>
          </w:p>
          <w:p w14:paraId="5DF9EADA">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履约保证金的形式：应当以支票、汇票、本票或者金融机构、担保机构出具的保函等非现金形式提交。</w:t>
            </w:r>
          </w:p>
        </w:tc>
      </w:tr>
      <w:tr w14:paraId="30693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D3CE1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2</w:t>
            </w:r>
          </w:p>
        </w:tc>
        <w:tc>
          <w:tcPr>
            <w:tcW w:w="794" w:type="pct"/>
            <w:vAlign w:val="center"/>
          </w:tcPr>
          <w:p w14:paraId="6800BB8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*质保期</w:t>
            </w:r>
          </w:p>
        </w:tc>
        <w:tc>
          <w:tcPr>
            <w:tcW w:w="3876" w:type="pct"/>
            <w:vAlign w:val="center"/>
          </w:tcPr>
          <w:p w14:paraId="7694FE3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质保期均为一年。</w:t>
            </w:r>
          </w:p>
          <w:p w14:paraId="0106ACF7">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注：行业标准质保期超过一年的，按行业标准执行</w:t>
            </w:r>
          </w:p>
        </w:tc>
      </w:tr>
      <w:tr w14:paraId="7A44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E6D28D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3</w:t>
            </w:r>
          </w:p>
        </w:tc>
        <w:tc>
          <w:tcPr>
            <w:tcW w:w="794" w:type="pct"/>
            <w:vAlign w:val="center"/>
          </w:tcPr>
          <w:p w14:paraId="5777A3D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*售后服务要求</w:t>
            </w:r>
          </w:p>
        </w:tc>
        <w:tc>
          <w:tcPr>
            <w:tcW w:w="3876" w:type="pct"/>
            <w:vAlign w:val="center"/>
          </w:tcPr>
          <w:p w14:paraId="26E787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货物最终由买方验收，达到本招标文件规定的各项技术指标和设备的产品标准，应视为验收。如果在现场的安装和调试由于卖方的责任被延误，则质量保证期将相应延长。验收发现恶意提供劣质标的，如以次充好、低于招标技术参数和样品、同批货物中明显有不合格产品等情况，需方无论使用与否，供方应无条件接受退货，并承担所有与认证鉴定有关的全部费用及采购人蒙受的全部直接损失。</w:t>
            </w:r>
          </w:p>
        </w:tc>
      </w:tr>
      <w:tr w14:paraId="203A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98C2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4</w:t>
            </w:r>
          </w:p>
        </w:tc>
        <w:tc>
          <w:tcPr>
            <w:tcW w:w="794" w:type="pct"/>
            <w:vAlign w:val="center"/>
          </w:tcPr>
          <w:p w14:paraId="4586D61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*安装调试要求</w:t>
            </w:r>
          </w:p>
        </w:tc>
        <w:tc>
          <w:tcPr>
            <w:tcW w:w="3876" w:type="pct"/>
            <w:vAlign w:val="center"/>
          </w:tcPr>
          <w:p w14:paraId="7005F45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免费安装调试，不得收取额外费用，且符合国家及行业标准。</w:t>
            </w:r>
          </w:p>
        </w:tc>
      </w:tr>
      <w:tr w14:paraId="7D8B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9B573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794" w:type="pct"/>
            <w:vAlign w:val="center"/>
          </w:tcPr>
          <w:p w14:paraId="2E953A1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中标服务费</w:t>
            </w:r>
          </w:p>
        </w:tc>
        <w:tc>
          <w:tcPr>
            <w:tcW w:w="3876" w:type="pct"/>
            <w:vAlign w:val="center"/>
          </w:tcPr>
          <w:p w14:paraId="4F1DF9E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收取标准：执行国家发展改革委《关于进一步放开建设项目专业服务价格的通知》（发改价格〔2015〕299号）市场调节价，</w:t>
            </w:r>
            <w:r>
              <w:rPr>
                <w:rFonts w:hint="eastAsia" w:cs="宋体"/>
                <w:snapToGrid/>
                <w:color w:val="auto"/>
                <w:kern w:val="0"/>
                <w:sz w:val="21"/>
                <w:szCs w:val="21"/>
                <w:highlight w:val="none"/>
                <w:lang w:val="en-US" w:eastAsia="zh-CN"/>
              </w:rPr>
              <w:t>按中标金额的1.5%</w:t>
            </w:r>
            <w:r>
              <w:rPr>
                <w:rFonts w:hint="eastAsia" w:ascii="宋体" w:hAnsi="宋体" w:eastAsia="宋体" w:cs="宋体"/>
                <w:snapToGrid/>
                <w:color w:val="auto"/>
                <w:kern w:val="0"/>
                <w:sz w:val="21"/>
                <w:szCs w:val="21"/>
                <w:highlight w:val="none"/>
                <w:lang w:val="en-US" w:eastAsia="zh-CN"/>
              </w:rPr>
              <w:t>向中标人收取该项目招标代理服务费。</w:t>
            </w:r>
          </w:p>
        </w:tc>
      </w:tr>
      <w:tr w14:paraId="02A5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34C72E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794" w:type="pct"/>
            <w:tcBorders>
              <w:top w:val="single" w:color="auto" w:sz="4" w:space="0"/>
              <w:left w:val="single" w:color="auto" w:sz="4" w:space="0"/>
              <w:bottom w:val="single" w:color="auto" w:sz="4" w:space="0"/>
              <w:right w:val="single" w:color="auto" w:sz="4" w:space="0"/>
            </w:tcBorders>
            <w:vAlign w:val="center"/>
          </w:tcPr>
          <w:p w14:paraId="07679F4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zh-CN" w:eastAsia="zh-CN"/>
              </w:rPr>
              <w:t>促进残疾人就业政府采购政策</w:t>
            </w:r>
          </w:p>
        </w:tc>
        <w:tc>
          <w:tcPr>
            <w:tcW w:w="3876" w:type="pct"/>
            <w:tcBorders>
              <w:top w:val="single" w:color="auto" w:sz="4" w:space="0"/>
              <w:left w:val="single" w:color="auto" w:sz="4" w:space="0"/>
              <w:bottom w:val="single" w:color="auto" w:sz="4" w:space="0"/>
              <w:right w:val="single" w:color="auto" w:sz="4" w:space="0"/>
            </w:tcBorders>
            <w:vAlign w:val="center"/>
          </w:tcPr>
          <w:p w14:paraId="624E2A2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本项目依据财政部《财政部民政部中国残疾人联合会关于促进残疾人就业政府采购政策的通知》（财库[2017]141号）文件执行。残疾人福利性单位视同小型、微型企业。</w:t>
            </w:r>
          </w:p>
        </w:tc>
      </w:tr>
      <w:tr w14:paraId="4BA5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C8CBE9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794" w:type="pct"/>
            <w:tcBorders>
              <w:top w:val="single" w:color="auto" w:sz="4" w:space="0"/>
              <w:left w:val="single" w:color="auto" w:sz="4" w:space="0"/>
              <w:bottom w:val="single" w:color="auto" w:sz="4" w:space="0"/>
              <w:right w:val="single" w:color="auto" w:sz="4" w:space="0"/>
            </w:tcBorders>
            <w:vAlign w:val="center"/>
          </w:tcPr>
          <w:p w14:paraId="3EA0F54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政府采购支持监狱企业发展政策</w:t>
            </w:r>
          </w:p>
        </w:tc>
        <w:tc>
          <w:tcPr>
            <w:tcW w:w="3876" w:type="pct"/>
            <w:tcBorders>
              <w:top w:val="single" w:color="auto" w:sz="4" w:space="0"/>
              <w:left w:val="single" w:color="auto" w:sz="4" w:space="0"/>
              <w:bottom w:val="single" w:color="auto" w:sz="4" w:space="0"/>
              <w:right w:val="single" w:color="auto" w:sz="4" w:space="0"/>
            </w:tcBorders>
            <w:vAlign w:val="center"/>
          </w:tcPr>
          <w:p w14:paraId="50C3BE0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w:t>
            </w:r>
            <w:r>
              <w:rPr>
                <w:rFonts w:hint="eastAsia" w:ascii="宋体" w:hAnsi="宋体" w:eastAsia="宋体" w:cs="宋体"/>
                <w:snapToGrid/>
                <w:color w:val="auto"/>
                <w:kern w:val="0"/>
                <w:sz w:val="21"/>
                <w:szCs w:val="21"/>
                <w:highlight w:val="none"/>
                <w:lang w:val="en-US" w:eastAsia="zh-CN"/>
              </w:rPr>
              <w:t>《财政部司法部关于政府采购支持监狱企业发展有关问题的通知》（财库[2014]68 号）文件执行。在政府采购活动中，监狱企业视同小型、微型企业，享受预留份额、评审中价格扣除等政府采购促进中小企业发展的政府采购政策。向监狱企业采购的金额，计入面向中小企业采购的统计数据。</w:t>
            </w:r>
          </w:p>
        </w:tc>
      </w:tr>
      <w:tr w14:paraId="17B93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4BE5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38</w:t>
            </w:r>
          </w:p>
        </w:tc>
        <w:tc>
          <w:tcPr>
            <w:tcW w:w="794" w:type="pct"/>
            <w:tcBorders>
              <w:top w:val="single" w:color="auto" w:sz="4" w:space="0"/>
              <w:left w:val="single" w:color="auto" w:sz="4" w:space="0"/>
              <w:bottom w:val="single" w:color="auto" w:sz="4" w:space="0"/>
              <w:right w:val="single" w:color="auto" w:sz="4" w:space="0"/>
            </w:tcBorders>
            <w:vAlign w:val="center"/>
          </w:tcPr>
          <w:p w14:paraId="7926759D">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w:t>
            </w:r>
          </w:p>
        </w:tc>
        <w:tc>
          <w:tcPr>
            <w:tcW w:w="3876" w:type="pct"/>
            <w:tcBorders>
              <w:top w:val="single" w:color="auto" w:sz="4" w:space="0"/>
              <w:left w:val="single" w:color="auto" w:sz="4" w:space="0"/>
              <w:bottom w:val="single" w:color="auto" w:sz="4" w:space="0"/>
              <w:right w:val="single" w:color="auto" w:sz="4" w:space="0"/>
            </w:tcBorders>
            <w:vAlign w:val="center"/>
          </w:tcPr>
          <w:p w14:paraId="733C2E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本项目非专门面向中小企业采购，对小微型企业（含监狱企业、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）需进行价格扣除（根据财库【2022】19号文件规定，对小型和微型企业的产品给予10%的价格扣除，并按照扣除后的价格参加评审）。</w:t>
            </w:r>
          </w:p>
          <w:p w14:paraId="6DF47C8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注：（1）监狱企业参加政府采购活动时，应当提供由省级以上监狱管理局、戒毒管理局（含新疆生产建设兵团）出具的属于监狱企业的证明文件（</w:t>
            </w:r>
            <w:r>
              <w:rPr>
                <w:rFonts w:hint="eastAsia" w:ascii="宋体" w:hAnsi="宋体" w:eastAsia="宋体" w:cs="宋体"/>
                <w:snapToGrid/>
                <w:color w:val="auto"/>
                <w:kern w:val="0"/>
                <w:sz w:val="21"/>
                <w:szCs w:val="21"/>
                <w:highlight w:val="none"/>
                <w:lang w:val="zh-CN" w:eastAsia="zh-CN"/>
              </w:rPr>
              <w:t>财库【2014】68号文件</w:t>
            </w:r>
            <w:r>
              <w:rPr>
                <w:rFonts w:hint="eastAsia" w:ascii="宋体" w:hAnsi="宋体" w:eastAsia="宋体" w:cs="宋体"/>
                <w:snapToGrid/>
                <w:color w:val="auto"/>
                <w:kern w:val="0"/>
                <w:sz w:val="21"/>
                <w:szCs w:val="21"/>
                <w:highlight w:val="none"/>
                <w:lang w:val="en-US" w:eastAsia="zh-CN"/>
              </w:rPr>
              <w:t>）。</w:t>
            </w:r>
          </w:p>
          <w:p w14:paraId="22A6ADD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（2）小微企业需提供以下资料：中小企业声明函（</w:t>
            </w:r>
            <w:r>
              <w:rPr>
                <w:rFonts w:hint="eastAsia" w:ascii="宋体" w:hAnsi="宋体" w:eastAsia="宋体" w:cs="宋体"/>
                <w:snapToGrid/>
                <w:color w:val="auto"/>
                <w:kern w:val="0"/>
                <w:sz w:val="21"/>
                <w:szCs w:val="21"/>
                <w:highlight w:val="none"/>
                <w:lang w:val="zh-CN" w:eastAsia="zh-CN"/>
              </w:rPr>
              <w:t>财库〔2020〕46号</w:t>
            </w:r>
            <w:r>
              <w:rPr>
                <w:rFonts w:hint="eastAsia" w:ascii="宋体" w:hAnsi="宋体" w:eastAsia="宋体" w:cs="宋体"/>
                <w:snapToGrid/>
                <w:color w:val="auto"/>
                <w:kern w:val="0"/>
                <w:sz w:val="21"/>
                <w:szCs w:val="21"/>
                <w:highlight w:val="none"/>
                <w:lang w:val="en-US" w:eastAsia="zh-CN"/>
              </w:rPr>
              <w:t>）。</w:t>
            </w:r>
          </w:p>
          <w:p w14:paraId="2664CE0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须提供</w:t>
            </w:r>
            <w:r>
              <w:rPr>
                <w:rFonts w:hint="eastAsia" w:ascii="宋体" w:hAnsi="宋体" w:eastAsia="宋体" w:cs="宋体"/>
                <w:snapToGrid/>
                <w:color w:val="auto"/>
                <w:kern w:val="0"/>
                <w:sz w:val="21"/>
                <w:szCs w:val="21"/>
                <w:highlight w:val="none"/>
                <w:lang w:val="zh-CN" w:eastAsia="zh-CN"/>
              </w:rPr>
              <w:t>残疾人福利性单位声明函（财库[2017]141号）。</w:t>
            </w:r>
          </w:p>
          <w:p w14:paraId="379FC6F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（4）本次采购项目采购标的对应的中小企业划分标准所属行业为其他未列明行业（划分标准见附件1）。</w:t>
            </w:r>
          </w:p>
          <w:p w14:paraId="3675089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（5）根据财政部《关于进一步加大政府采购支持中小企业力度的通知》（财库〔2022〕19号）。</w:t>
            </w:r>
          </w:p>
        </w:tc>
      </w:tr>
      <w:tr w14:paraId="32FC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F899A67">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39</w:t>
            </w:r>
          </w:p>
        </w:tc>
        <w:tc>
          <w:tcPr>
            <w:tcW w:w="794" w:type="pct"/>
            <w:vAlign w:val="center"/>
          </w:tcPr>
          <w:p w14:paraId="462BA54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*交货方式</w:t>
            </w:r>
          </w:p>
        </w:tc>
        <w:tc>
          <w:tcPr>
            <w:tcW w:w="3876" w:type="pct"/>
            <w:vAlign w:val="center"/>
          </w:tcPr>
          <w:p w14:paraId="053183D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中标人负责将货物安全完好运抵交货地点、安装调试并保证验收合格</w:t>
            </w:r>
          </w:p>
        </w:tc>
      </w:tr>
      <w:tr w14:paraId="391C4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BE86BC">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40</w:t>
            </w:r>
          </w:p>
        </w:tc>
        <w:tc>
          <w:tcPr>
            <w:tcW w:w="794" w:type="pct"/>
            <w:vAlign w:val="center"/>
          </w:tcPr>
          <w:p w14:paraId="76A1AC57">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对相同品牌的不同投标人的处理办法</w:t>
            </w:r>
          </w:p>
        </w:tc>
        <w:tc>
          <w:tcPr>
            <w:tcW w:w="3876" w:type="pct"/>
            <w:vAlign w:val="center"/>
          </w:tcPr>
          <w:p w14:paraId="16942B8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D8BBA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36BF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00" w:type="pct"/>
            <w:gridSpan w:val="3"/>
            <w:vAlign w:val="center"/>
          </w:tcPr>
          <w:p w14:paraId="7B74A336">
            <w:pPr>
              <w:keepNext w:val="0"/>
              <w:keepLines w:val="0"/>
              <w:pageBreakBefore w:val="0"/>
              <w:wordWrap/>
              <w:overflowPunct/>
              <w:topLinePunct w:val="0"/>
              <w:autoSpaceDE w:val="0"/>
              <w:autoSpaceDN w:val="0"/>
              <w:bidi w:val="0"/>
              <w:spacing w:line="360" w:lineRule="auto"/>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b/>
                <w:bCs/>
                <w:color w:val="auto"/>
                <w:sz w:val="21"/>
                <w:szCs w:val="21"/>
                <w:highlight w:val="none"/>
              </w:rPr>
              <w:t>本表的内容是对投标人须知的具体补充，如有矛盾，以本表为准。</w:t>
            </w:r>
          </w:p>
        </w:tc>
      </w:tr>
    </w:tbl>
    <w:p w14:paraId="057C8AE6">
      <w:pPr>
        <w:spacing w:before="47" w:line="314" w:lineRule="exact"/>
        <w:ind w:left="3838"/>
        <w:rPr>
          <w:rFonts w:hint="eastAsia" w:ascii="宋体" w:hAnsi="宋体" w:eastAsia="宋体" w:cs="宋体"/>
          <w:color w:val="auto"/>
          <w:spacing w:val="13"/>
          <w:position w:val="1"/>
          <w:sz w:val="23"/>
          <w:szCs w:val="23"/>
          <w:highlight w:val="none"/>
          <w14:textOutline w14:w="4358" w14:cap="sq" w14:cmpd="sng">
            <w14:solidFill>
              <w14:srgbClr w14:val="000000"/>
            </w14:solidFill>
            <w14:prstDash w14:val="solid"/>
            <w14:bevel/>
          </w14:textOutline>
        </w:rPr>
        <w:sectPr>
          <w:footerReference r:id="rId8" w:type="default"/>
          <w:pgSz w:w="11906" w:h="16839"/>
          <w:pgMar w:top="1406" w:right="1417" w:bottom="1157" w:left="1417" w:header="0" w:footer="998" w:gutter="0"/>
          <w:pgNumType w:fmt="decimal"/>
          <w:cols w:space="0" w:num="1"/>
          <w:rtlGutter w:val="0"/>
          <w:docGrid w:linePitch="0" w:charSpace="0"/>
        </w:sectPr>
      </w:pPr>
    </w:p>
    <w:p w14:paraId="1BF5228A">
      <w:pPr>
        <w:spacing w:before="47" w:line="314" w:lineRule="exact"/>
        <w:ind w:left="3838"/>
        <w:rPr>
          <w:rFonts w:hint="eastAsia" w:ascii="宋体" w:hAnsi="宋体" w:eastAsia="宋体" w:cs="宋体"/>
          <w:color w:val="auto"/>
          <w:sz w:val="32"/>
          <w:szCs w:val="32"/>
          <w:highlight w:val="none"/>
        </w:rPr>
      </w:pPr>
      <w:r>
        <w:rPr>
          <w:rFonts w:hint="eastAsia" w:ascii="宋体" w:hAnsi="宋体" w:eastAsia="宋体" w:cs="宋体"/>
          <w:color w:val="auto"/>
          <w:spacing w:val="13"/>
          <w:position w:val="1"/>
          <w:sz w:val="32"/>
          <w:szCs w:val="32"/>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8"/>
          <w:position w:val="1"/>
          <w:sz w:val="32"/>
          <w:szCs w:val="32"/>
          <w:highlight w:val="none"/>
          <w14:textOutline w14:w="4358" w14:cap="sq" w14:cmpd="sng">
            <w14:solidFill>
              <w14:srgbClr w14:val="000000"/>
            </w14:solidFill>
            <w14:prstDash w14:val="solid"/>
            <w14:bevel/>
          </w14:textOutline>
        </w:rPr>
        <w:t>、投标人须知</w:t>
      </w:r>
    </w:p>
    <w:p w14:paraId="5DD70519">
      <w:pPr>
        <w:keepNext w:val="0"/>
        <w:keepLines w:val="0"/>
        <w:pageBreakBefore w:val="0"/>
        <w:widowControl/>
        <w:kinsoku w:val="0"/>
        <w:wordWrap/>
        <w:overflowPunct/>
        <w:topLinePunct w:val="0"/>
        <w:autoSpaceDE w:val="0"/>
        <w:autoSpaceDN w:val="0"/>
        <w:bidi w:val="0"/>
        <w:adjustRightInd w:val="0"/>
        <w:snapToGrid w:val="0"/>
        <w:spacing w:line="360" w:lineRule="auto"/>
        <w:ind w:left="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position w:val="1"/>
          <w:sz w:val="21"/>
          <w:szCs w:val="21"/>
          <w:highlight w:val="none"/>
          <w14:textOutline w14:w="4358" w14:cap="sq" w14:cmpd="sng">
            <w14:solidFill>
              <w14:srgbClr w14:val="000000"/>
            </w14:solidFill>
            <w14:prstDash w14:val="solid"/>
            <w14:bevel/>
          </w14:textOutline>
        </w:rPr>
        <w:t>总则</w:t>
      </w:r>
    </w:p>
    <w:p w14:paraId="04CEF9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w:t>
      </w:r>
      <w:r>
        <w:rPr>
          <w:rFonts w:hint="eastAsia" w:ascii="宋体" w:hAnsi="宋体" w:eastAsia="宋体" w:cs="宋体"/>
          <w:color w:val="auto"/>
          <w:spacing w:val="12"/>
          <w:sz w:val="21"/>
          <w:szCs w:val="21"/>
          <w:highlight w:val="none"/>
        </w:rPr>
        <w:t>招</w:t>
      </w:r>
      <w:r>
        <w:rPr>
          <w:rFonts w:hint="eastAsia" w:ascii="宋体" w:hAnsi="宋体" w:eastAsia="宋体" w:cs="宋体"/>
          <w:color w:val="auto"/>
          <w:spacing w:val="9"/>
          <w:sz w:val="21"/>
          <w:szCs w:val="21"/>
          <w:highlight w:val="none"/>
        </w:rPr>
        <w:t>标文件依据《中华人民共和国政府采购法》及国家有关法律法规编制。</w:t>
      </w:r>
    </w:p>
    <w:p w14:paraId="44F1DAC4">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1.1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适用范围</w:t>
      </w:r>
    </w:p>
    <w:p w14:paraId="472C827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1.1.1本招标文件仅适用于本次招标公告中所涉及的项目和内容。</w:t>
      </w:r>
    </w:p>
    <w:p w14:paraId="6EA7378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1.1</w:t>
      </w:r>
      <w:r>
        <w:rPr>
          <w:rFonts w:hint="eastAsia" w:ascii="宋体" w:hAnsi="宋体" w:eastAsia="宋体" w:cs="宋体"/>
          <w:color w:val="auto"/>
          <w:spacing w:val="6"/>
          <w:sz w:val="21"/>
          <w:szCs w:val="21"/>
          <w:highlight w:val="none"/>
        </w:rPr>
        <w:t>.2本招标文件的解释权为组织本次采购活动的采购代理机构。</w:t>
      </w:r>
    </w:p>
    <w:p w14:paraId="2FA6352D">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定义</w:t>
      </w:r>
    </w:p>
    <w:p w14:paraId="7A0D511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1.2.1“采购人”是</w:t>
      </w:r>
      <w:r>
        <w:rPr>
          <w:rFonts w:hint="eastAsia" w:ascii="宋体" w:hAnsi="宋体" w:eastAsia="宋体" w:cs="宋体"/>
          <w:color w:val="auto"/>
          <w:spacing w:val="22"/>
          <w:sz w:val="21"/>
          <w:szCs w:val="21"/>
          <w:highlight w:val="none"/>
          <w:lang w:eastAsia="zh-CN"/>
        </w:rPr>
        <w:t xml:space="preserve">吉林艺术学院 </w:t>
      </w:r>
      <w:r>
        <w:rPr>
          <w:rFonts w:hint="eastAsia" w:ascii="宋体" w:hAnsi="宋体" w:eastAsia="宋体" w:cs="宋体"/>
          <w:color w:val="auto"/>
          <w:spacing w:val="22"/>
          <w:sz w:val="21"/>
          <w:szCs w:val="21"/>
          <w:highlight w:val="none"/>
        </w:rPr>
        <w:t>。</w:t>
      </w:r>
    </w:p>
    <w:p w14:paraId="5761AD0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1.2.2“采购代理机构”是</w:t>
      </w:r>
      <w:r>
        <w:rPr>
          <w:rFonts w:hint="eastAsia" w:ascii="宋体" w:hAnsi="宋体" w:eastAsia="宋体" w:cs="宋体"/>
          <w:color w:val="auto"/>
          <w:spacing w:val="22"/>
          <w:sz w:val="21"/>
          <w:szCs w:val="21"/>
          <w:highlight w:val="none"/>
          <w:lang w:eastAsia="zh-CN"/>
        </w:rPr>
        <w:t>吉林中鸿项目管理咨询有限公司</w:t>
      </w:r>
      <w:r>
        <w:rPr>
          <w:rFonts w:hint="eastAsia" w:ascii="宋体" w:hAnsi="宋体" w:eastAsia="宋体" w:cs="宋体"/>
          <w:color w:val="auto"/>
          <w:spacing w:val="22"/>
          <w:sz w:val="21"/>
          <w:szCs w:val="21"/>
          <w:highlight w:val="none"/>
        </w:rPr>
        <w:t>。</w:t>
      </w:r>
    </w:p>
    <w:p w14:paraId="5A091D7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1.2.3“</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”是指向采购人提供货物、项目或者服务的法人、其他组织或者自然人。本项目招标文件的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特指响应本次招标文件要求，向采购代理机构提交投标文件的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在参加采购活动中也被称为投标人。</w:t>
      </w:r>
    </w:p>
    <w:p w14:paraId="50A7966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1.2.4</w:t>
      </w:r>
      <w:r>
        <w:rPr>
          <w:rFonts w:hint="eastAsia" w:ascii="宋体" w:hAnsi="宋体" w:eastAsia="宋体" w:cs="宋体"/>
          <w:color w:val="auto"/>
          <w:spacing w:val="4"/>
          <w:sz w:val="21"/>
          <w:szCs w:val="21"/>
          <w:highlight w:val="none"/>
        </w:rPr>
        <w:t>“中标人”是指经评标委员会评审，授予合同的投标人</w:t>
      </w:r>
      <w:r>
        <w:rPr>
          <w:rFonts w:hint="eastAsia" w:ascii="宋体" w:hAnsi="宋体" w:eastAsia="宋体" w:cs="宋体"/>
          <w:color w:val="auto"/>
          <w:spacing w:val="3"/>
          <w:sz w:val="21"/>
          <w:szCs w:val="21"/>
          <w:highlight w:val="none"/>
        </w:rPr>
        <w:t>。</w:t>
      </w:r>
    </w:p>
    <w:p w14:paraId="194EBA8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1.3</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合格的货物和服</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务</w:t>
      </w:r>
    </w:p>
    <w:p w14:paraId="3F47DA9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1"/>
          <w:sz w:val="21"/>
          <w:szCs w:val="21"/>
          <w:highlight w:val="none"/>
        </w:rPr>
        <w:t>3.1“货物”是指投标人制造或组织符合招标文件要求的货物等。提供的货物必须</w:t>
      </w:r>
      <w:r>
        <w:rPr>
          <w:rFonts w:hint="eastAsia" w:ascii="宋体" w:hAnsi="宋体" w:eastAsia="宋体" w:cs="宋体"/>
          <w:color w:val="auto"/>
          <w:spacing w:val="10"/>
          <w:sz w:val="21"/>
          <w:szCs w:val="21"/>
          <w:highlight w:val="none"/>
        </w:rPr>
        <w:t>是其合法</w:t>
      </w:r>
      <w:r>
        <w:rPr>
          <w:rFonts w:hint="eastAsia" w:ascii="宋体" w:hAnsi="宋体" w:eastAsia="宋体" w:cs="宋体"/>
          <w:color w:val="auto"/>
          <w:spacing w:val="7"/>
          <w:sz w:val="21"/>
          <w:szCs w:val="21"/>
          <w:highlight w:val="none"/>
        </w:rPr>
        <w:t>生</w:t>
      </w:r>
      <w:r>
        <w:rPr>
          <w:rFonts w:hint="eastAsia" w:ascii="宋体" w:hAnsi="宋体" w:eastAsia="宋体" w:cs="宋体"/>
          <w:color w:val="auto"/>
          <w:spacing w:val="5"/>
          <w:sz w:val="21"/>
          <w:szCs w:val="21"/>
          <w:highlight w:val="none"/>
        </w:rPr>
        <w:t>产的符合国家有关标准要求的货物，并符合采购合同规定的品牌、产地、质量、</w:t>
      </w:r>
      <w:r>
        <w:rPr>
          <w:rFonts w:hint="eastAsia" w:ascii="宋体" w:hAnsi="宋体" w:eastAsia="宋体" w:cs="宋体"/>
          <w:color w:val="auto"/>
          <w:spacing w:val="10"/>
          <w:sz w:val="21"/>
          <w:szCs w:val="21"/>
          <w:highlight w:val="none"/>
        </w:rPr>
        <w:t>价</w:t>
      </w:r>
      <w:r>
        <w:rPr>
          <w:rFonts w:hint="eastAsia" w:ascii="宋体" w:hAnsi="宋体" w:eastAsia="宋体" w:cs="宋体"/>
          <w:color w:val="auto"/>
          <w:spacing w:val="7"/>
          <w:sz w:val="21"/>
          <w:szCs w:val="21"/>
          <w:highlight w:val="none"/>
        </w:rPr>
        <w:t>格和有效期等。</w:t>
      </w:r>
    </w:p>
    <w:p w14:paraId="07D55186">
      <w:pPr>
        <w:keepNext w:val="0"/>
        <w:keepLines w:val="0"/>
        <w:pageBreakBefore w:val="0"/>
        <w:widowControl/>
        <w:kinsoku w:val="0"/>
        <w:wordWrap/>
        <w:overflowPunct/>
        <w:topLinePunct w:val="0"/>
        <w:autoSpaceDE w:val="0"/>
        <w:autoSpaceDN w:val="0"/>
        <w:bidi w:val="0"/>
        <w:adjustRightInd w:val="0"/>
        <w:snapToGrid w:val="0"/>
        <w:spacing w:line="360" w:lineRule="auto"/>
        <w:ind w:firstLine="4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1.3.2</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服务”是指除货物以外的其他政府采购对象</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包括投标人须承担的运输、安装、</w:t>
      </w:r>
      <w:r>
        <w:rPr>
          <w:rFonts w:hint="eastAsia" w:ascii="宋体" w:hAnsi="宋体" w:eastAsia="宋体" w:cs="宋体"/>
          <w:color w:val="auto"/>
          <w:spacing w:val="18"/>
          <w:sz w:val="21"/>
          <w:szCs w:val="21"/>
          <w:highlight w:val="none"/>
        </w:rPr>
        <w:t>技术</w:t>
      </w:r>
      <w:r>
        <w:rPr>
          <w:rFonts w:hint="eastAsia" w:ascii="宋体" w:hAnsi="宋体" w:eastAsia="宋体" w:cs="宋体"/>
          <w:color w:val="auto"/>
          <w:spacing w:val="14"/>
          <w:sz w:val="21"/>
          <w:szCs w:val="21"/>
          <w:highlight w:val="none"/>
        </w:rPr>
        <w:t>支</w:t>
      </w:r>
      <w:r>
        <w:rPr>
          <w:rFonts w:hint="eastAsia" w:ascii="宋体" w:hAnsi="宋体" w:eastAsia="宋体" w:cs="宋体"/>
          <w:color w:val="auto"/>
          <w:spacing w:val="9"/>
          <w:sz w:val="21"/>
          <w:szCs w:val="21"/>
          <w:highlight w:val="none"/>
        </w:rPr>
        <w:t>持、培训</w:t>
      </w:r>
      <w:r>
        <w:rPr>
          <w:rFonts w:hint="eastAsia" w:ascii="宋体" w:hAnsi="宋体" w:eastAsia="宋体" w:cs="宋体"/>
          <w:color w:val="auto"/>
          <w:spacing w:val="9"/>
          <w:sz w:val="21"/>
          <w:szCs w:val="21"/>
          <w:highlight w:val="none"/>
          <w:lang w:eastAsia="zh-CN"/>
        </w:rPr>
        <w:t>以及其他</w:t>
      </w:r>
      <w:r>
        <w:rPr>
          <w:rFonts w:hint="eastAsia" w:ascii="宋体" w:hAnsi="宋体" w:eastAsia="宋体" w:cs="宋体"/>
          <w:color w:val="auto"/>
          <w:spacing w:val="9"/>
          <w:sz w:val="21"/>
          <w:szCs w:val="21"/>
          <w:highlight w:val="none"/>
        </w:rPr>
        <w:t>类似附加服务的义务。投标人应保证，采购人在中华人民共和国</w:t>
      </w:r>
      <w:r>
        <w:rPr>
          <w:rFonts w:hint="eastAsia" w:ascii="宋体" w:hAnsi="宋体" w:eastAsia="宋体" w:cs="宋体"/>
          <w:color w:val="auto"/>
          <w:spacing w:val="18"/>
          <w:sz w:val="21"/>
          <w:szCs w:val="21"/>
          <w:highlight w:val="none"/>
        </w:rPr>
        <w:t>使用</w:t>
      </w:r>
      <w:r>
        <w:rPr>
          <w:rFonts w:hint="eastAsia" w:ascii="宋体" w:hAnsi="宋体" w:eastAsia="宋体" w:cs="宋体"/>
          <w:color w:val="auto"/>
          <w:spacing w:val="14"/>
          <w:sz w:val="21"/>
          <w:szCs w:val="21"/>
          <w:highlight w:val="none"/>
        </w:rPr>
        <w:t>该</w:t>
      </w:r>
      <w:r>
        <w:rPr>
          <w:rFonts w:hint="eastAsia" w:ascii="宋体" w:hAnsi="宋体" w:eastAsia="宋体" w:cs="宋体"/>
          <w:color w:val="auto"/>
          <w:spacing w:val="9"/>
          <w:sz w:val="21"/>
          <w:szCs w:val="21"/>
          <w:highlight w:val="none"/>
        </w:rPr>
        <w:t>服务的任何一部分时，免受第三方提出的侵犯其专利权、商标权或工业设计权的起</w:t>
      </w:r>
      <w:r>
        <w:rPr>
          <w:rFonts w:hint="eastAsia" w:ascii="宋体" w:hAnsi="宋体" w:eastAsia="宋体" w:cs="宋体"/>
          <w:color w:val="auto"/>
          <w:spacing w:val="1"/>
          <w:sz w:val="21"/>
          <w:szCs w:val="21"/>
          <w:highlight w:val="none"/>
        </w:rPr>
        <w:t>诉</w:t>
      </w:r>
      <w:r>
        <w:rPr>
          <w:rFonts w:hint="eastAsia" w:ascii="宋体" w:hAnsi="宋体" w:eastAsia="宋体" w:cs="宋体"/>
          <w:color w:val="auto"/>
          <w:sz w:val="21"/>
          <w:szCs w:val="21"/>
          <w:highlight w:val="none"/>
        </w:rPr>
        <w:t>。</w:t>
      </w:r>
    </w:p>
    <w:p w14:paraId="75B02B5A">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9"/>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7"/>
          <w:position w:val="1"/>
          <w:sz w:val="21"/>
          <w:szCs w:val="21"/>
          <w:highlight w:val="none"/>
          <w:lang w:eastAsia="zh-CN"/>
          <w14:textOutline w14:w="4358" w14:cap="sq" w14:cmpd="sng">
            <w14:solidFill>
              <w14:srgbClr w14:val="000000"/>
            </w14:solidFill>
            <w14:prstDash w14:val="solid"/>
            <w14:bevel/>
          </w14:textOutline>
        </w:rPr>
        <w:t>投标人</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的合格条件的要求</w:t>
      </w:r>
    </w:p>
    <w:p w14:paraId="27E9E82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1.4.1投标人的资格要求详见投标人须知前附表第11款。</w:t>
      </w:r>
    </w:p>
    <w:p w14:paraId="3FA5590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1.4.2本项目不接受联合体投标。</w:t>
      </w:r>
    </w:p>
    <w:p w14:paraId="0682061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1.4.3</w:t>
      </w:r>
      <w:r>
        <w:rPr>
          <w:rFonts w:hint="eastAsia" w:ascii="宋体" w:hAnsi="宋体" w:eastAsia="宋体" w:cs="宋体"/>
          <w:color w:val="auto"/>
          <w:spacing w:val="5"/>
          <w:sz w:val="21"/>
          <w:szCs w:val="21"/>
          <w:highlight w:val="none"/>
        </w:rPr>
        <w:t>列入政府不良行为记录的企业不准参加投标。</w:t>
      </w:r>
    </w:p>
    <w:p w14:paraId="695AF5F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5.投标费用</w:t>
      </w:r>
    </w:p>
    <w:p w14:paraId="6E01D44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5.1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应自行承担所有与参加此次投标有关的费用，无论投标的结果如何，采</w:t>
      </w:r>
      <w:r>
        <w:rPr>
          <w:rFonts w:hint="eastAsia" w:ascii="宋体" w:hAnsi="宋体" w:eastAsia="宋体" w:cs="宋体"/>
          <w:color w:val="auto"/>
          <w:spacing w:val="18"/>
          <w:sz w:val="21"/>
          <w:szCs w:val="21"/>
          <w:highlight w:val="none"/>
        </w:rPr>
        <w:t>购</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9"/>
          <w:sz w:val="21"/>
          <w:szCs w:val="21"/>
          <w:highlight w:val="none"/>
        </w:rPr>
        <w:t>理机构和采购人在任何情况下均无义务和责任承担这些费用。</w:t>
      </w:r>
    </w:p>
    <w:p w14:paraId="29CCDF3F">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.招标文件</w:t>
      </w:r>
    </w:p>
    <w:p w14:paraId="382319A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2.1招标文件的构成</w:t>
      </w:r>
    </w:p>
    <w:p w14:paraId="04C8FCA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2.1.1招标文件由下列文件组成：</w:t>
      </w:r>
    </w:p>
    <w:p w14:paraId="60568C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(1)招标公告</w:t>
      </w:r>
    </w:p>
    <w:p w14:paraId="403BD6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(2)投标人须知</w:t>
      </w:r>
    </w:p>
    <w:p w14:paraId="735D5D2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(3)合同</w:t>
      </w:r>
    </w:p>
    <w:p w14:paraId="7EEFFC4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(4)投标文件格式</w:t>
      </w:r>
    </w:p>
    <w:p w14:paraId="2362EEF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(5)评标办法</w:t>
      </w:r>
      <w:r>
        <w:rPr>
          <w:rFonts w:hint="eastAsia" w:ascii="宋体" w:hAnsi="宋体" w:eastAsia="宋体" w:cs="宋体"/>
          <w:color w:val="auto"/>
          <w:spacing w:val="22"/>
          <w:sz w:val="21"/>
          <w:szCs w:val="21"/>
          <w:highlight w:val="none"/>
          <w:lang w:eastAsia="zh-CN"/>
        </w:rPr>
        <w:t>（综合评分法）</w:t>
      </w:r>
    </w:p>
    <w:p w14:paraId="0FB2055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(6)技术</w:t>
      </w:r>
      <w:r>
        <w:rPr>
          <w:rFonts w:hint="eastAsia" w:ascii="宋体" w:hAnsi="宋体" w:eastAsia="宋体" w:cs="宋体"/>
          <w:color w:val="auto"/>
          <w:spacing w:val="22"/>
          <w:sz w:val="21"/>
          <w:szCs w:val="21"/>
          <w:highlight w:val="none"/>
          <w:lang w:eastAsia="zh-CN"/>
        </w:rPr>
        <w:t>参数</w:t>
      </w:r>
    </w:p>
    <w:p w14:paraId="544DAF6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2.1.2</w:t>
      </w:r>
      <w:r>
        <w:rPr>
          <w:rFonts w:hint="eastAsia" w:ascii="宋体" w:hAnsi="宋体" w:eastAsia="宋体" w:cs="宋体"/>
          <w:color w:val="auto"/>
          <w:spacing w:val="7"/>
          <w:sz w:val="21"/>
          <w:szCs w:val="21"/>
          <w:highlight w:val="none"/>
        </w:rPr>
        <w:t>投标人应认真阅读招标文件中所有的事项、格式、条款和技术规范、参数及要</w:t>
      </w:r>
      <w:r>
        <w:rPr>
          <w:rFonts w:hint="eastAsia" w:ascii="宋体" w:hAnsi="宋体" w:eastAsia="宋体" w:cs="宋体"/>
          <w:color w:val="auto"/>
          <w:spacing w:val="18"/>
          <w:sz w:val="21"/>
          <w:szCs w:val="21"/>
          <w:highlight w:val="none"/>
        </w:rPr>
        <w:t>求等</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并按招标文件的要求提供投标文件和相关资料，如果投标人没有按照招标文件要求</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全</w:t>
      </w:r>
      <w:r>
        <w:rPr>
          <w:rFonts w:hint="eastAsia" w:ascii="宋体" w:hAnsi="宋体" w:eastAsia="宋体" w:cs="宋体"/>
          <w:color w:val="auto"/>
          <w:spacing w:val="9"/>
          <w:sz w:val="21"/>
          <w:szCs w:val="21"/>
          <w:highlight w:val="none"/>
        </w:rPr>
        <w:t>部资料，或者投标人没有对招标文件在各方面都</w:t>
      </w:r>
      <w:r>
        <w:rPr>
          <w:rFonts w:hint="eastAsia" w:ascii="宋体" w:hAnsi="宋体" w:eastAsia="宋体" w:cs="宋体"/>
          <w:color w:val="auto"/>
          <w:spacing w:val="9"/>
          <w:sz w:val="21"/>
          <w:szCs w:val="21"/>
          <w:highlight w:val="none"/>
          <w:lang w:eastAsia="zh-CN"/>
        </w:rPr>
        <w:t>作出</w:t>
      </w:r>
      <w:r>
        <w:rPr>
          <w:rFonts w:hint="eastAsia" w:ascii="宋体" w:hAnsi="宋体" w:eastAsia="宋体" w:cs="宋体"/>
          <w:color w:val="auto"/>
          <w:spacing w:val="9"/>
          <w:sz w:val="21"/>
          <w:szCs w:val="21"/>
          <w:highlight w:val="none"/>
        </w:rPr>
        <w:t>实质性响应，其风险应由投标人</w:t>
      </w:r>
      <w:r>
        <w:rPr>
          <w:rFonts w:hint="eastAsia" w:ascii="宋体" w:hAnsi="宋体" w:eastAsia="宋体" w:cs="宋体"/>
          <w:color w:val="auto"/>
          <w:spacing w:val="6"/>
          <w:sz w:val="21"/>
          <w:szCs w:val="21"/>
          <w:highlight w:val="none"/>
        </w:rPr>
        <w:t>自行承担。</w:t>
      </w:r>
    </w:p>
    <w:p w14:paraId="57ADC11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2.2招标文件的澄清</w:t>
      </w:r>
    </w:p>
    <w:p w14:paraId="59B0B31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任何要求对招标文件进行澄清或对招标文件质疑的潜在投标人，均应在获取招标文件或者招标文件公告期限届满之日起7个工作日内以书面形式（须加盖公章）通知采购代理机构，超过这个规定期限提出的澄清要求或质疑将不予受理。采购代理机构对收到的澄清要求将视所提问题的具体情况在政府采购云平台（网址：http：//www.zcygov.cn）上发布，投标人须主动阅知。本项目的澄清、修改、答疑、补遗文件一经发布即视为已告知所有潜在投标人，且投标人也已经收到并明确了发布的内容。答复中包括所提的问题，但不包括问题的来源。</w:t>
      </w:r>
    </w:p>
    <w:p w14:paraId="1AC4EA31">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2.2.2投标人在规定的时间内未对招标文件澄清或提出疑问的，采购代理机构将视其为同意。</w:t>
      </w:r>
    </w:p>
    <w:p w14:paraId="2E13C6B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2.2.3招标文件的修改</w:t>
      </w:r>
    </w:p>
    <w:p w14:paraId="5D18489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在投标截止时间以前，无论出于何种原因，采购代理机构或采购人可主动或在解答投标人提出的疑问时对招标文件进行修改。并将修改的内容通知所有的投标人。</w:t>
      </w:r>
    </w:p>
    <w:p w14:paraId="0A9F480D">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后的内容是招标文件的组成部分，将在政府采购云平台（网址：http：//www.zcygov.cn）上发布，投标人须主动阅知。本项目的澄清、修改、答疑、补遗文件一经发布即视为已告知所有潜在投标人，且投标人也已经收到并明确了发布的内容。</w:t>
      </w:r>
    </w:p>
    <w:p w14:paraId="13CF0AE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使投标人有充足时间对招标文件的修改部分进行研究，采购代理机构或采购人可适当推迟投标截止期，在政府采购云平台（网址：http：//www.zcygov.cn）上发布，投标人须主动阅知。本项目的修改、答疑、补遗文件一经发布即视为已告知所有潜在投标人，且投标人也已经收到并明确了发布的内容。</w:t>
      </w:r>
    </w:p>
    <w:p w14:paraId="10425B51">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.投标文件</w:t>
      </w:r>
    </w:p>
    <w:p w14:paraId="711945D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投标文件的编制</w:t>
      </w:r>
    </w:p>
    <w:p w14:paraId="361793D4">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1投标语言：投标人的投标文件以及投标人与招标方就有关投标的所有来往函电</w:t>
      </w:r>
      <w:r>
        <w:rPr>
          <w:rFonts w:hint="eastAsia" w:ascii="宋体" w:hAnsi="宋体" w:eastAsia="宋体" w:cs="宋体"/>
          <w:color w:val="auto"/>
          <w:spacing w:val="7"/>
          <w:sz w:val="21"/>
          <w:szCs w:val="21"/>
          <w:highlight w:val="none"/>
        </w:rPr>
        <w:t>均应使用中文。</w:t>
      </w:r>
    </w:p>
    <w:p w14:paraId="55BAC867">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2计量单位：除在招标文件中另有规定外，计量单位应使用中华人民共和国法定</w:t>
      </w:r>
      <w:r>
        <w:rPr>
          <w:rFonts w:hint="eastAsia" w:ascii="宋体" w:hAnsi="宋体" w:eastAsia="宋体" w:cs="宋体"/>
          <w:color w:val="auto"/>
          <w:spacing w:val="6"/>
          <w:sz w:val="21"/>
          <w:szCs w:val="21"/>
          <w:highlight w:val="none"/>
        </w:rPr>
        <w:t>计量单位。</w:t>
      </w:r>
    </w:p>
    <w:p w14:paraId="25B57A0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3.1.3投标文件应编排有序，并编制</w:t>
      </w:r>
      <w:r>
        <w:rPr>
          <w:rFonts w:hint="eastAsia" w:ascii="宋体" w:hAnsi="宋体" w:eastAsia="宋体" w:cs="宋体"/>
          <w:color w:val="auto"/>
          <w:spacing w:val="4"/>
          <w:sz w:val="21"/>
          <w:szCs w:val="21"/>
          <w:highlight w:val="none"/>
          <w:u w:val="single" w:color="auto"/>
        </w:rPr>
        <w:t xml:space="preserve">   页码及目录  </w:t>
      </w:r>
      <w:r>
        <w:rPr>
          <w:rFonts w:hint="eastAsia" w:ascii="宋体" w:hAnsi="宋体" w:eastAsia="宋体" w:cs="宋体"/>
          <w:color w:val="auto"/>
          <w:spacing w:val="4"/>
          <w:sz w:val="21"/>
          <w:szCs w:val="21"/>
          <w:highlight w:val="none"/>
        </w:rPr>
        <w:t xml:space="preserve"> ，准确标明文件内容所在位置</w:t>
      </w:r>
      <w:r>
        <w:rPr>
          <w:rFonts w:hint="eastAsia" w:ascii="宋体" w:hAnsi="宋体" w:eastAsia="宋体" w:cs="宋体"/>
          <w:color w:val="auto"/>
          <w:spacing w:val="3"/>
          <w:sz w:val="21"/>
          <w:szCs w:val="21"/>
          <w:highlight w:val="none"/>
        </w:rPr>
        <w:t>。</w:t>
      </w:r>
    </w:p>
    <w:p w14:paraId="67F4D3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outlineLvl w:val="0"/>
        <w:rPr>
          <w:rFonts w:hint="eastAsia" w:ascii="宋体" w:hAnsi="宋体" w:eastAsia="宋体" w:cs="宋体"/>
          <w:color w:val="auto"/>
          <w:sz w:val="21"/>
          <w:szCs w:val="21"/>
          <w:highlight w:val="none"/>
        </w:rPr>
      </w:pPr>
      <w:bookmarkStart w:id="23" w:name="_Toc28553"/>
      <w:r>
        <w:rPr>
          <w:rFonts w:hint="eastAsia" w:ascii="宋体" w:hAnsi="宋体" w:eastAsia="宋体" w:cs="宋体"/>
          <w:color w:val="auto"/>
          <w:spacing w:val="10"/>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.2.投标文件构成</w:t>
      </w:r>
      <w:bookmarkEnd w:id="23"/>
    </w:p>
    <w:p w14:paraId="7CA1644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.2.1投标人编写的投标文件应包括下列部分：</w:t>
      </w:r>
    </w:p>
    <w:p w14:paraId="63B4A404">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4"/>
          <w:sz w:val="21"/>
          <w:szCs w:val="21"/>
          <w:highlight w:val="none"/>
        </w:rPr>
        <w:t>.2按第四章“投标文件格式”编制。</w:t>
      </w:r>
    </w:p>
    <w:p w14:paraId="65BF341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11"/>
          <w:sz w:val="21"/>
          <w:szCs w:val="21"/>
          <w:highlight w:val="none"/>
        </w:rPr>
        <w:t>.3证明投标人具有合格资格的文件：投标人应具备第二章“投标人须知前附表”</w:t>
      </w:r>
      <w:r>
        <w:rPr>
          <w:rFonts w:hint="eastAsia" w:ascii="宋体" w:hAnsi="宋体" w:eastAsia="宋体" w:cs="宋体"/>
          <w:color w:val="auto"/>
          <w:spacing w:val="13"/>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lang w:val="en-US" w:eastAsia="zh-CN"/>
        </w:rPr>
        <w:t>11</w:t>
      </w:r>
      <w:r>
        <w:rPr>
          <w:rFonts w:hint="eastAsia" w:ascii="宋体" w:hAnsi="宋体" w:eastAsia="宋体" w:cs="宋体"/>
          <w:color w:val="auto"/>
          <w:spacing w:val="9"/>
          <w:sz w:val="21"/>
          <w:szCs w:val="21"/>
          <w:highlight w:val="none"/>
        </w:rPr>
        <w:t>条“合格的投标人”要求的投标资格，提供相关的资格证明文件以及第四章“投标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文</w:t>
      </w:r>
      <w:r>
        <w:rPr>
          <w:rFonts w:hint="eastAsia" w:ascii="宋体" w:hAnsi="宋体" w:eastAsia="宋体" w:cs="宋体"/>
          <w:color w:val="auto"/>
          <w:spacing w:val="12"/>
          <w:sz w:val="21"/>
          <w:szCs w:val="21"/>
          <w:highlight w:val="none"/>
        </w:rPr>
        <w:t>件</w:t>
      </w:r>
      <w:r>
        <w:rPr>
          <w:rFonts w:hint="eastAsia" w:ascii="宋体" w:hAnsi="宋体" w:eastAsia="宋体" w:cs="宋体"/>
          <w:color w:val="auto"/>
          <w:spacing w:val="8"/>
          <w:sz w:val="21"/>
          <w:szCs w:val="21"/>
          <w:highlight w:val="none"/>
        </w:rPr>
        <w:t>格式”要求提供的其他资质文件。</w:t>
      </w:r>
    </w:p>
    <w:p w14:paraId="5678E8A7">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3.2.4“投标人须知前附表”第</w:t>
      </w:r>
      <w:r>
        <w:rPr>
          <w:rFonts w:hint="eastAsia" w:ascii="宋体" w:hAnsi="宋体" w:eastAsia="宋体" w:cs="宋体"/>
          <w:color w:val="auto"/>
          <w:spacing w:val="1"/>
          <w:sz w:val="21"/>
          <w:szCs w:val="21"/>
          <w:highlight w:val="none"/>
          <w:lang w:val="en-US" w:eastAsia="zh-CN"/>
        </w:rPr>
        <w:t>18</w:t>
      </w:r>
      <w:r>
        <w:rPr>
          <w:rFonts w:hint="eastAsia" w:ascii="宋体" w:hAnsi="宋体" w:eastAsia="宋体" w:cs="宋体"/>
          <w:color w:val="auto"/>
          <w:sz w:val="21"/>
          <w:szCs w:val="21"/>
          <w:highlight w:val="none"/>
        </w:rPr>
        <w:t>条要求提交的投标保证金。</w:t>
      </w:r>
    </w:p>
    <w:p w14:paraId="38A8D7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投标报价</w:t>
      </w:r>
    </w:p>
    <w:p w14:paraId="679E38CC">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rPr>
        <w:t>3.1报价原则：本次招标根据采购预算以元为单位进行报价。</w:t>
      </w:r>
    </w:p>
    <w:p w14:paraId="0343AEF2">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3.4</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投标保证金</w:t>
      </w:r>
    </w:p>
    <w:p w14:paraId="2EE1E25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3.4</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在递交投标文件的同时，应按投标人须知前附表规定的金额、担保形式</w:t>
      </w:r>
      <w:r>
        <w:rPr>
          <w:rFonts w:hint="eastAsia" w:ascii="宋体" w:hAnsi="宋体" w:eastAsia="宋体" w:cs="宋体"/>
          <w:color w:val="auto"/>
          <w:spacing w:val="18"/>
          <w:sz w:val="21"/>
          <w:szCs w:val="21"/>
          <w:highlight w:val="none"/>
        </w:rPr>
        <w:t>和</w:t>
      </w:r>
      <w:r>
        <w:rPr>
          <w:rFonts w:hint="eastAsia" w:ascii="宋体" w:hAnsi="宋体" w:eastAsia="宋体" w:cs="宋体"/>
          <w:color w:val="auto"/>
          <w:spacing w:val="9"/>
          <w:sz w:val="21"/>
          <w:szCs w:val="21"/>
          <w:highlight w:val="none"/>
        </w:rPr>
        <w:t>“投标文件格式”规定的投标保证金格式递交投标保证金，并作为其投标文件的组成</w:t>
      </w:r>
      <w:r>
        <w:rPr>
          <w:rFonts w:hint="eastAsia" w:ascii="宋体" w:hAnsi="宋体" w:eastAsia="宋体" w:cs="宋体"/>
          <w:color w:val="auto"/>
          <w:spacing w:val="3"/>
          <w:sz w:val="21"/>
          <w:szCs w:val="21"/>
          <w:highlight w:val="none"/>
        </w:rPr>
        <w:t>部</w:t>
      </w:r>
      <w:r>
        <w:rPr>
          <w:rFonts w:hint="eastAsia" w:ascii="宋体" w:hAnsi="宋体" w:eastAsia="宋体" w:cs="宋体"/>
          <w:color w:val="auto"/>
          <w:spacing w:val="2"/>
          <w:sz w:val="21"/>
          <w:szCs w:val="21"/>
          <w:highlight w:val="none"/>
        </w:rPr>
        <w:t>分。</w:t>
      </w:r>
    </w:p>
    <w:p w14:paraId="0E416AE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11"/>
          <w:sz w:val="21"/>
          <w:szCs w:val="21"/>
          <w:highlight w:val="none"/>
        </w:rPr>
        <w:t>4</w:t>
      </w: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6"/>
          <w:sz w:val="21"/>
          <w:szCs w:val="21"/>
          <w:highlight w:val="none"/>
        </w:rPr>
        <w:t>不按要求提交投标保证金的，其投标文件作废标处理。</w:t>
      </w:r>
    </w:p>
    <w:p w14:paraId="66FD8D3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3.4</w:t>
      </w:r>
      <w:r>
        <w:rPr>
          <w:rFonts w:hint="eastAsia" w:ascii="宋体" w:hAnsi="宋体" w:eastAsia="宋体" w:cs="宋体"/>
          <w:color w:val="auto"/>
          <w:spacing w:val="5"/>
          <w:sz w:val="21"/>
          <w:szCs w:val="21"/>
          <w:highlight w:val="none"/>
        </w:rPr>
        <w:t>.3下列任何情况发生，投标保证金将不予返还：</w:t>
      </w:r>
    </w:p>
    <w:p w14:paraId="18053492">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1)在开标之日后到投标有效期满前，投标人撤回投标的；</w:t>
      </w:r>
    </w:p>
    <w:p w14:paraId="0BD790B4">
      <w:pPr>
        <w:keepNext w:val="0"/>
        <w:keepLines w:val="0"/>
        <w:pageBreakBefore w:val="0"/>
        <w:widowControl/>
        <w:kinsoku w:val="0"/>
        <w:wordWrap/>
        <w:overflowPunct/>
        <w:topLinePunct w:val="0"/>
        <w:autoSpaceDE w:val="0"/>
        <w:autoSpaceDN w:val="0"/>
        <w:bidi w:val="0"/>
        <w:adjustRightInd w:val="0"/>
        <w:snapToGrid w:val="0"/>
        <w:spacing w:line="360" w:lineRule="auto"/>
        <w:ind w:left="19" w:right="115" w:firstLine="5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1"/>
          <w:sz w:val="21"/>
          <w:szCs w:val="21"/>
          <w:highlight w:val="none"/>
        </w:rPr>
        <w:t>2)投标人以他人名义投标、相互串通投标或者以其他方式弄虚作假的，投标人提交</w:t>
      </w:r>
      <w:r>
        <w:rPr>
          <w:rFonts w:hint="eastAsia" w:ascii="宋体" w:hAnsi="宋体" w:eastAsia="宋体" w:cs="宋体"/>
          <w:color w:val="auto"/>
          <w:spacing w:val="8"/>
          <w:sz w:val="21"/>
          <w:szCs w:val="21"/>
          <w:highlight w:val="none"/>
        </w:rPr>
        <w:t>的投标文件中提交虚假资料或失实资料的</w:t>
      </w:r>
      <w:r>
        <w:rPr>
          <w:rFonts w:hint="eastAsia" w:ascii="宋体" w:hAnsi="宋体" w:eastAsia="宋体" w:cs="宋体"/>
          <w:color w:val="auto"/>
          <w:spacing w:val="6"/>
          <w:sz w:val="21"/>
          <w:szCs w:val="21"/>
          <w:highlight w:val="none"/>
        </w:rPr>
        <w:t>；</w:t>
      </w:r>
    </w:p>
    <w:p w14:paraId="20AC95DB">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(3)中标人不按本须</w:t>
      </w:r>
      <w:r>
        <w:rPr>
          <w:rFonts w:hint="eastAsia" w:ascii="宋体" w:hAnsi="宋体" w:eastAsia="宋体" w:cs="宋体"/>
          <w:color w:val="auto"/>
          <w:spacing w:val="2"/>
          <w:sz w:val="21"/>
          <w:szCs w:val="21"/>
          <w:highlight w:val="none"/>
        </w:rPr>
        <w:t>知第8条的规定与采购人签订合同的；</w:t>
      </w:r>
      <w:r>
        <w:rPr>
          <w:rFonts w:hint="eastAsia" w:ascii="宋体" w:hAnsi="宋体" w:eastAsia="宋体" w:cs="宋体"/>
          <w:color w:val="auto"/>
          <w:spacing w:val="9"/>
          <w:sz w:val="21"/>
          <w:szCs w:val="21"/>
          <w:highlight w:val="none"/>
        </w:rPr>
        <w:t>中标人的投标保证金，在采购合同签订后无息退还给</w:t>
      </w:r>
      <w:r>
        <w:rPr>
          <w:rFonts w:hint="eastAsia" w:ascii="宋体" w:hAnsi="宋体" w:eastAsia="宋体" w:cs="宋体"/>
          <w:color w:val="auto"/>
          <w:spacing w:val="9"/>
          <w:sz w:val="21"/>
          <w:szCs w:val="21"/>
          <w:highlight w:val="none"/>
          <w:lang w:eastAsia="zh-CN"/>
        </w:rPr>
        <w:t>中标人</w:t>
      </w:r>
      <w:r>
        <w:rPr>
          <w:rFonts w:hint="eastAsia" w:ascii="宋体" w:hAnsi="宋体" w:eastAsia="宋体" w:cs="宋体"/>
          <w:color w:val="auto"/>
          <w:spacing w:val="9"/>
          <w:sz w:val="21"/>
          <w:szCs w:val="21"/>
          <w:highlight w:val="none"/>
        </w:rPr>
        <w:t>。未中标的投标人的</w:t>
      </w:r>
      <w:r>
        <w:rPr>
          <w:rFonts w:hint="eastAsia" w:ascii="宋体" w:hAnsi="宋体" w:eastAsia="宋体" w:cs="宋体"/>
          <w:color w:val="auto"/>
          <w:spacing w:val="30"/>
          <w:sz w:val="21"/>
          <w:szCs w:val="21"/>
          <w:highlight w:val="none"/>
        </w:rPr>
        <w:t>投</w:t>
      </w:r>
      <w:r>
        <w:rPr>
          <w:rFonts w:hint="eastAsia" w:ascii="宋体" w:hAnsi="宋体" w:eastAsia="宋体" w:cs="宋体"/>
          <w:color w:val="auto"/>
          <w:spacing w:val="15"/>
          <w:sz w:val="21"/>
          <w:szCs w:val="21"/>
          <w:highlight w:val="none"/>
        </w:rPr>
        <w:t>标保证金在中标通知书发出后五日内无息等额退还投标人凭交款单据退还投标保证</w:t>
      </w:r>
      <w:r>
        <w:rPr>
          <w:rFonts w:hint="eastAsia" w:ascii="宋体" w:hAnsi="宋体" w:eastAsia="宋体" w:cs="宋体"/>
          <w:color w:val="auto"/>
          <w:spacing w:val="15"/>
          <w:sz w:val="21"/>
          <w:szCs w:val="21"/>
          <w:highlight w:val="none"/>
          <w:lang w:eastAsia="zh-CN"/>
        </w:rPr>
        <w:t>金</w:t>
      </w:r>
      <w:r>
        <w:rPr>
          <w:rFonts w:hint="eastAsia" w:ascii="宋体" w:hAnsi="宋体" w:eastAsia="宋体" w:cs="宋体"/>
          <w:color w:val="auto"/>
          <w:position w:val="1"/>
          <w:sz w:val="21"/>
          <w:szCs w:val="21"/>
          <w:highlight w:val="none"/>
        </w:rPr>
        <w:t>。</w:t>
      </w:r>
    </w:p>
    <w:p w14:paraId="3ADDB7B0">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3.5 投标有效期</w:t>
      </w:r>
    </w:p>
    <w:p w14:paraId="20F45701">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5"/>
          <w:sz w:val="21"/>
          <w:szCs w:val="21"/>
          <w:highlight w:val="none"/>
        </w:rPr>
        <w:t>保证金有效期截止到投标有效期后30天。投标有效期为自开标之时起九十</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90</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18"/>
          <w:sz w:val="21"/>
          <w:szCs w:val="21"/>
          <w:highlight w:val="none"/>
        </w:rPr>
        <w:t>天</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投标有效期短于这个规定期限的投标将被拒绝。中标人的投标文件的投标有效期等同</w:t>
      </w:r>
      <w:r>
        <w:rPr>
          <w:rFonts w:hint="eastAsia" w:ascii="宋体" w:hAnsi="宋体" w:eastAsia="宋体" w:cs="宋体"/>
          <w:color w:val="auto"/>
          <w:spacing w:val="10"/>
          <w:sz w:val="21"/>
          <w:szCs w:val="21"/>
          <w:highlight w:val="none"/>
        </w:rPr>
        <w:t>于</w:t>
      </w:r>
      <w:r>
        <w:rPr>
          <w:rFonts w:hint="eastAsia" w:ascii="宋体" w:hAnsi="宋体" w:eastAsia="宋体" w:cs="宋体"/>
          <w:color w:val="auto"/>
          <w:spacing w:val="6"/>
          <w:sz w:val="21"/>
          <w:szCs w:val="21"/>
          <w:highlight w:val="none"/>
        </w:rPr>
        <w:t>合同履行期。</w:t>
      </w:r>
    </w:p>
    <w:p w14:paraId="59C7153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投标文件的式样和签署</w:t>
      </w:r>
    </w:p>
    <w:p w14:paraId="4D7A2960">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3.6.</w:t>
      </w:r>
      <w:r>
        <w:rPr>
          <w:rFonts w:hint="eastAsia" w:ascii="宋体" w:hAnsi="宋体" w:eastAsia="宋体" w:cs="宋体"/>
          <w:color w:val="auto"/>
          <w:spacing w:val="4"/>
          <w:sz w:val="21"/>
          <w:szCs w:val="21"/>
          <w:highlight w:val="none"/>
        </w:rPr>
        <w:t>1投标文件需打印或用不褪色墨水书写，由投标人的法定代表人或其授权代理人</w:t>
      </w:r>
      <w:r>
        <w:rPr>
          <w:rFonts w:hint="eastAsia" w:ascii="宋体" w:hAnsi="宋体" w:eastAsia="宋体" w:cs="宋体"/>
          <w:color w:val="auto"/>
          <w:spacing w:val="18"/>
          <w:sz w:val="21"/>
          <w:szCs w:val="21"/>
          <w:highlight w:val="none"/>
        </w:rPr>
        <w:t>在文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中规定处签字并加盖公章。投标文件由法定代表人签署的，须提交以书面形式出具</w:t>
      </w:r>
      <w:r>
        <w:rPr>
          <w:rFonts w:hint="eastAsia" w:ascii="宋体" w:hAnsi="宋体" w:eastAsia="宋体" w:cs="宋体"/>
          <w:color w:val="auto"/>
          <w:spacing w:val="12"/>
          <w:sz w:val="21"/>
          <w:szCs w:val="21"/>
          <w:highlight w:val="none"/>
        </w:rPr>
        <w:t>的“法</w:t>
      </w:r>
      <w:r>
        <w:rPr>
          <w:rFonts w:hint="eastAsia" w:ascii="宋体" w:hAnsi="宋体" w:eastAsia="宋体" w:cs="宋体"/>
          <w:color w:val="auto"/>
          <w:spacing w:val="7"/>
          <w:sz w:val="21"/>
          <w:szCs w:val="21"/>
          <w:highlight w:val="none"/>
        </w:rPr>
        <w:t>定</w:t>
      </w:r>
      <w:r>
        <w:rPr>
          <w:rFonts w:hint="eastAsia" w:ascii="宋体" w:hAnsi="宋体" w:eastAsia="宋体" w:cs="宋体"/>
          <w:color w:val="auto"/>
          <w:spacing w:val="6"/>
          <w:sz w:val="21"/>
          <w:szCs w:val="21"/>
          <w:highlight w:val="none"/>
        </w:rPr>
        <w:t>代表人资格证明”；由授权代理人签署的，须提交以书面形式出具的“法定代表</w:t>
      </w:r>
      <w:r>
        <w:rPr>
          <w:rFonts w:hint="eastAsia" w:ascii="宋体" w:hAnsi="宋体" w:eastAsia="宋体" w:cs="宋体"/>
          <w:color w:val="auto"/>
          <w:spacing w:val="9"/>
          <w:sz w:val="21"/>
          <w:szCs w:val="21"/>
          <w:highlight w:val="none"/>
        </w:rPr>
        <w:t>人资格证明”和“法定代表人授权书”</w:t>
      </w:r>
      <w:r>
        <w:rPr>
          <w:rFonts w:hint="eastAsia" w:ascii="宋体" w:hAnsi="宋体" w:eastAsia="宋体" w:cs="宋体"/>
          <w:color w:val="auto"/>
          <w:spacing w:val="8"/>
          <w:sz w:val="21"/>
          <w:szCs w:val="21"/>
          <w:highlight w:val="none"/>
        </w:rPr>
        <w:t>。</w:t>
      </w:r>
    </w:p>
    <w:p w14:paraId="7C0DA381">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8"/>
          <w:sz w:val="21"/>
          <w:szCs w:val="21"/>
          <w:highlight w:val="none"/>
        </w:rPr>
        <w:t>6</w:t>
      </w:r>
      <w:r>
        <w:rPr>
          <w:rFonts w:hint="eastAsia" w:ascii="宋体" w:hAnsi="宋体" w:eastAsia="宋体" w:cs="宋体"/>
          <w:color w:val="auto"/>
          <w:spacing w:val="7"/>
          <w:sz w:val="21"/>
          <w:szCs w:val="21"/>
          <w:highlight w:val="none"/>
        </w:rPr>
        <w:t>.2除投标人对错处做必要的修改外，投标文件中不得行间插字、涂改和增删。如</w:t>
      </w:r>
      <w:r>
        <w:rPr>
          <w:rFonts w:hint="eastAsia" w:ascii="宋体" w:hAnsi="宋体" w:eastAsia="宋体" w:cs="宋体"/>
          <w:color w:val="auto"/>
          <w:spacing w:val="18"/>
          <w:sz w:val="21"/>
          <w:szCs w:val="21"/>
          <w:highlight w:val="none"/>
        </w:rPr>
        <w:t>有修</w:t>
      </w:r>
      <w:r>
        <w:rPr>
          <w:rFonts w:hint="eastAsia" w:ascii="宋体" w:hAnsi="宋体" w:eastAsia="宋体" w:cs="宋体"/>
          <w:color w:val="auto"/>
          <w:spacing w:val="12"/>
          <w:sz w:val="21"/>
          <w:szCs w:val="21"/>
          <w:highlight w:val="none"/>
        </w:rPr>
        <w:t>改</w:t>
      </w:r>
      <w:r>
        <w:rPr>
          <w:rFonts w:hint="eastAsia" w:ascii="宋体" w:hAnsi="宋体" w:eastAsia="宋体" w:cs="宋体"/>
          <w:color w:val="auto"/>
          <w:spacing w:val="9"/>
          <w:sz w:val="21"/>
          <w:szCs w:val="21"/>
          <w:highlight w:val="none"/>
        </w:rPr>
        <w:t>错漏处，必须由投标人法定代表人或其授权代理人签字盖章</w:t>
      </w:r>
      <w:r>
        <w:rPr>
          <w:rFonts w:hint="eastAsia" w:ascii="宋体" w:hAnsi="宋体" w:eastAsia="宋体" w:cs="宋体"/>
          <w:color w:val="auto"/>
          <w:spacing w:val="9"/>
          <w:sz w:val="21"/>
          <w:szCs w:val="21"/>
          <w:highlight w:val="none"/>
          <w:lang w:eastAsia="zh-CN"/>
        </w:rPr>
        <w:t>。</w:t>
      </w:r>
    </w:p>
    <w:p w14:paraId="7ADBEBD0">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0"/>
        <w:rPr>
          <w:rFonts w:hint="eastAsia" w:ascii="宋体" w:hAnsi="宋体" w:eastAsia="宋体" w:cs="宋体"/>
          <w:color w:val="auto"/>
          <w:sz w:val="21"/>
          <w:szCs w:val="21"/>
          <w:highlight w:val="none"/>
        </w:rPr>
      </w:pPr>
      <w:bookmarkStart w:id="24" w:name="_Toc29234"/>
      <w:r>
        <w:rPr>
          <w:rFonts w:hint="eastAsia" w:ascii="宋体" w:hAnsi="宋体" w:eastAsia="宋体" w:cs="宋体"/>
          <w:color w:val="auto"/>
          <w:spacing w:val="13"/>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.7.投标文件的修改和撤回</w:t>
      </w:r>
      <w:bookmarkEnd w:id="24"/>
    </w:p>
    <w:p w14:paraId="326B8750">
      <w:pPr>
        <w:keepNext w:val="0"/>
        <w:keepLines w:val="0"/>
        <w:pageBreakBefore w:val="0"/>
        <w:widowControl/>
        <w:kinsoku w:val="0"/>
        <w:wordWrap/>
        <w:overflowPunct/>
        <w:topLinePunct w:val="0"/>
        <w:autoSpaceDE w:val="0"/>
        <w:autoSpaceDN w:val="0"/>
        <w:bidi w:val="0"/>
        <w:adjustRightInd w:val="0"/>
        <w:snapToGrid w:val="0"/>
        <w:spacing w:line="360" w:lineRule="auto"/>
        <w:ind w:left="20" w:right="99" w:firstLine="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3.7</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 投标人递交投标文件在</w:t>
      </w:r>
      <w:r>
        <w:rPr>
          <w:rFonts w:hint="eastAsia" w:ascii="宋体" w:hAnsi="宋体" w:eastAsia="宋体" w:cs="宋体"/>
          <w:color w:val="auto"/>
          <w:spacing w:val="4"/>
          <w:sz w:val="21"/>
          <w:szCs w:val="21"/>
          <w:highlight w:val="none"/>
        </w:rPr>
        <w:t>投标截止期之后</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不</w:t>
      </w:r>
      <w:r>
        <w:rPr>
          <w:rFonts w:hint="eastAsia" w:ascii="宋体" w:hAnsi="宋体" w:eastAsia="宋体" w:cs="宋体"/>
          <w:color w:val="auto"/>
          <w:spacing w:val="8"/>
          <w:sz w:val="21"/>
          <w:szCs w:val="21"/>
          <w:highlight w:val="none"/>
        </w:rPr>
        <w:t>可以修改或撤回其投标文件。</w:t>
      </w:r>
    </w:p>
    <w:p w14:paraId="6D6D00FF">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3.7.</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在</w:t>
      </w:r>
      <w:r>
        <w:rPr>
          <w:rFonts w:hint="eastAsia" w:ascii="宋体" w:hAnsi="宋体" w:eastAsia="宋体" w:cs="宋体"/>
          <w:color w:val="auto"/>
          <w:spacing w:val="4"/>
          <w:sz w:val="21"/>
          <w:szCs w:val="21"/>
          <w:highlight w:val="none"/>
        </w:rPr>
        <w:t xml:space="preserve">投标截止期之后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即从开标之时起) ，投标人不得对其投标文件</w:t>
      </w:r>
      <w:r>
        <w:rPr>
          <w:rFonts w:hint="eastAsia" w:ascii="宋体" w:hAnsi="宋体" w:eastAsia="宋体" w:cs="宋体"/>
          <w:color w:val="auto"/>
          <w:spacing w:val="4"/>
          <w:sz w:val="21"/>
          <w:szCs w:val="21"/>
          <w:highlight w:val="none"/>
          <w:lang w:eastAsia="zh-CN"/>
        </w:rPr>
        <w:t>作</w:t>
      </w:r>
      <w:r>
        <w:rPr>
          <w:rFonts w:hint="eastAsia" w:ascii="宋体" w:hAnsi="宋体" w:eastAsia="宋体" w:cs="宋体"/>
          <w:color w:val="auto"/>
          <w:spacing w:val="4"/>
          <w:sz w:val="21"/>
          <w:szCs w:val="21"/>
          <w:highlight w:val="none"/>
        </w:rPr>
        <w:t>任何修改。</w:t>
      </w:r>
    </w:p>
    <w:p w14:paraId="0FC68445">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3.7.</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 xml:space="preserve"> 从开标之时起，至投标有效期期满之间的这段时间内，投标人不得撤回其投标，</w:t>
      </w:r>
      <w:r>
        <w:rPr>
          <w:rFonts w:hint="eastAsia" w:ascii="宋体" w:hAnsi="宋体" w:eastAsia="宋体" w:cs="宋体"/>
          <w:color w:val="auto"/>
          <w:spacing w:val="18"/>
          <w:sz w:val="21"/>
          <w:szCs w:val="21"/>
          <w:highlight w:val="none"/>
        </w:rPr>
        <w:t>否</w:t>
      </w:r>
      <w:r>
        <w:rPr>
          <w:rFonts w:hint="eastAsia" w:ascii="宋体" w:hAnsi="宋体" w:eastAsia="宋体" w:cs="宋体"/>
          <w:color w:val="auto"/>
          <w:spacing w:val="14"/>
          <w:sz w:val="21"/>
          <w:szCs w:val="21"/>
          <w:highlight w:val="none"/>
        </w:rPr>
        <w:t>则</w:t>
      </w:r>
      <w:r>
        <w:rPr>
          <w:rFonts w:hint="eastAsia" w:ascii="宋体" w:hAnsi="宋体" w:eastAsia="宋体" w:cs="宋体"/>
          <w:color w:val="auto"/>
          <w:spacing w:val="9"/>
          <w:sz w:val="21"/>
          <w:szCs w:val="21"/>
          <w:highlight w:val="none"/>
        </w:rPr>
        <w:t>根据投标人须知的规定，其投标保证金将被没收。与其他</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恶意串通而撤回投标</w:t>
      </w:r>
      <w:r>
        <w:rPr>
          <w:rFonts w:hint="eastAsia" w:ascii="宋体" w:hAnsi="宋体" w:eastAsia="宋体" w:cs="宋体"/>
          <w:color w:val="auto"/>
          <w:spacing w:val="11"/>
          <w:sz w:val="21"/>
          <w:szCs w:val="21"/>
          <w:highlight w:val="none"/>
        </w:rPr>
        <w:t>的</w:t>
      </w:r>
      <w:r>
        <w:rPr>
          <w:rFonts w:hint="eastAsia" w:ascii="宋体" w:hAnsi="宋体" w:eastAsia="宋体" w:cs="宋体"/>
          <w:color w:val="auto"/>
          <w:spacing w:val="9"/>
          <w:sz w:val="21"/>
          <w:szCs w:val="21"/>
          <w:highlight w:val="none"/>
        </w:rPr>
        <w:t>，按照《中华人民共和国政府采购法》第七十七条的规定处理。</w:t>
      </w:r>
    </w:p>
    <w:p w14:paraId="456675B8">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.8</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w:t>
      </w:r>
    </w:p>
    <w:p w14:paraId="7A0023DA">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1投标人应</w:t>
      </w:r>
      <w:r>
        <w:rPr>
          <w:rFonts w:hint="eastAsia" w:ascii="宋体" w:hAnsi="宋体" w:eastAsia="宋体" w:cs="宋体"/>
          <w:color w:val="auto"/>
          <w:spacing w:val="8"/>
          <w:sz w:val="21"/>
          <w:szCs w:val="21"/>
          <w:highlight w:val="none"/>
          <w:lang w:val="en-US" w:eastAsia="zh-CN"/>
        </w:rPr>
        <w:t>将投标文件</w:t>
      </w:r>
      <w:r>
        <w:rPr>
          <w:rFonts w:hint="eastAsia" w:ascii="宋体" w:hAnsi="宋体" w:eastAsia="宋体" w:cs="宋体"/>
          <w:color w:val="auto"/>
          <w:spacing w:val="9"/>
          <w:sz w:val="21"/>
          <w:szCs w:val="21"/>
          <w:highlight w:val="none"/>
        </w:rPr>
        <w:t>在招</w:t>
      </w:r>
      <w:r>
        <w:rPr>
          <w:rFonts w:hint="eastAsia" w:ascii="宋体" w:hAnsi="宋体" w:eastAsia="宋体" w:cs="宋体"/>
          <w:color w:val="auto"/>
          <w:spacing w:val="18"/>
          <w:sz w:val="21"/>
          <w:szCs w:val="21"/>
          <w:highlight w:val="none"/>
        </w:rPr>
        <w:t>标文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规定的投标地点和投标截止时间前</w:t>
      </w:r>
      <w:r>
        <w:rPr>
          <w:rFonts w:hint="eastAsia" w:ascii="宋体" w:hAnsi="宋体" w:eastAsia="宋体" w:cs="宋体"/>
          <w:color w:val="auto"/>
          <w:spacing w:val="9"/>
          <w:sz w:val="21"/>
          <w:szCs w:val="21"/>
          <w:highlight w:val="none"/>
          <w:lang w:val="en-US" w:eastAsia="zh-CN"/>
        </w:rPr>
        <w:t>上传到政采云平台</w:t>
      </w:r>
      <w:r>
        <w:rPr>
          <w:rFonts w:hint="eastAsia" w:ascii="宋体" w:hAnsi="宋体" w:eastAsia="宋体" w:cs="宋体"/>
          <w:color w:val="auto"/>
          <w:spacing w:val="9"/>
          <w:sz w:val="21"/>
          <w:szCs w:val="21"/>
          <w:highlight w:val="none"/>
        </w:rPr>
        <w:t>。如果投标人没有按照要求标记，招标方对于投标人的误投、错投概不负责。</w:t>
      </w:r>
    </w:p>
    <w:p w14:paraId="3883B191">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3.8.2采购人将拒绝接受并原封退回在其规定的投标截止时间以后送达的投标文件</w:t>
      </w:r>
      <w:r>
        <w:rPr>
          <w:rFonts w:hint="eastAsia" w:ascii="宋体" w:hAnsi="宋体" w:eastAsia="宋体" w:cs="宋体"/>
          <w:color w:val="auto"/>
          <w:spacing w:val="16"/>
          <w:sz w:val="21"/>
          <w:szCs w:val="21"/>
          <w:highlight w:val="none"/>
          <w:lang w:eastAsia="zh-CN"/>
        </w:rPr>
        <w:t>。</w:t>
      </w:r>
    </w:p>
    <w:p w14:paraId="7E0B16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7"/>
          <w:sz w:val="21"/>
          <w:szCs w:val="21"/>
          <w:highlight w:val="none"/>
          <w14:textOutline w14:w="4358" w14:cap="sq" w14:cmpd="sng">
            <w14:solidFill>
              <w14:srgbClr w14:val="000000"/>
            </w14:solidFill>
            <w14:prstDash w14:val="solid"/>
            <w14:bevel/>
          </w14:textOutline>
        </w:rPr>
        <w:t>4.开标与评标</w:t>
      </w:r>
    </w:p>
    <w:p w14:paraId="6F0F76E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.1.开标</w:t>
      </w:r>
    </w:p>
    <w:p w14:paraId="5A2AFA2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4.1.1招标方将在招标文件规定的时间和地点公开开标，投标人应派代表参加并签</w:t>
      </w:r>
      <w:r>
        <w:rPr>
          <w:rFonts w:hint="eastAsia" w:ascii="宋体" w:hAnsi="宋体" w:eastAsia="宋体" w:cs="宋体"/>
          <w:color w:val="auto"/>
          <w:spacing w:val="3"/>
          <w:sz w:val="21"/>
          <w:szCs w:val="21"/>
          <w:highlight w:val="none"/>
        </w:rPr>
        <w:t>名</w:t>
      </w:r>
      <w:r>
        <w:rPr>
          <w:rFonts w:hint="eastAsia" w:ascii="宋体" w:hAnsi="宋体" w:eastAsia="宋体" w:cs="宋体"/>
          <w:color w:val="auto"/>
          <w:spacing w:val="16"/>
          <w:sz w:val="21"/>
          <w:szCs w:val="21"/>
          <w:highlight w:val="none"/>
        </w:rPr>
        <w:t>报</w:t>
      </w:r>
      <w:r>
        <w:rPr>
          <w:rFonts w:hint="eastAsia" w:ascii="宋体" w:hAnsi="宋体" w:eastAsia="宋体" w:cs="宋体"/>
          <w:color w:val="auto"/>
          <w:spacing w:val="10"/>
          <w:sz w:val="21"/>
          <w:szCs w:val="21"/>
          <w:highlight w:val="none"/>
        </w:rPr>
        <w:t>到以证明其出席。</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投标人未派代表出席的，视为其认同开标和唱标程序及内容。</w:t>
      </w:r>
    </w:p>
    <w:p w14:paraId="083F548F">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7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4.1.2开标时，招标方将当众宣读投标人名称、修改和撤回投标的通知、报价、是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了</w:t>
      </w:r>
      <w:r>
        <w:rPr>
          <w:rFonts w:hint="eastAsia" w:ascii="宋体" w:hAnsi="宋体" w:eastAsia="宋体" w:cs="宋体"/>
          <w:color w:val="auto"/>
          <w:spacing w:val="9"/>
          <w:sz w:val="21"/>
          <w:szCs w:val="21"/>
          <w:highlight w:val="none"/>
        </w:rPr>
        <w:t>投标保证金以及采购人认为合适的其他内容。只有在开标时唱出的报价，评标时才能</w:t>
      </w:r>
      <w:r>
        <w:rPr>
          <w:rFonts w:hint="eastAsia" w:ascii="宋体" w:hAnsi="宋体" w:eastAsia="宋体" w:cs="宋体"/>
          <w:color w:val="auto"/>
          <w:spacing w:val="6"/>
          <w:sz w:val="21"/>
          <w:szCs w:val="21"/>
          <w:highlight w:val="none"/>
        </w:rPr>
        <w:t>予以考虑。</w:t>
      </w:r>
    </w:p>
    <w:p w14:paraId="3CA1DDFA">
      <w:pPr>
        <w:keepNext w:val="0"/>
        <w:keepLines w:val="0"/>
        <w:pageBreakBefore w:val="0"/>
        <w:widowControl/>
        <w:kinsoku w:val="0"/>
        <w:wordWrap/>
        <w:overflowPunct/>
        <w:topLinePunct w:val="0"/>
        <w:autoSpaceDE w:val="0"/>
        <w:autoSpaceDN w:val="0"/>
        <w:bidi w:val="0"/>
        <w:adjustRightInd w:val="0"/>
        <w:snapToGrid w:val="0"/>
        <w:spacing w:line="360" w:lineRule="auto"/>
        <w:ind w:left="25" w:right="80" w:firstLine="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4.1.3按照投标人须知的规定，提交了可接受的“撤回”通知的投标将不予开封。</w:t>
      </w:r>
      <w:r>
        <w:rPr>
          <w:rFonts w:hint="eastAsia" w:ascii="宋体" w:hAnsi="宋体" w:eastAsia="宋体" w:cs="宋体"/>
          <w:color w:val="auto"/>
          <w:spacing w:val="3"/>
          <w:sz w:val="21"/>
          <w:szCs w:val="21"/>
          <w:highlight w:val="none"/>
        </w:rPr>
        <w:t>撤</w:t>
      </w:r>
      <w:r>
        <w:rPr>
          <w:rFonts w:hint="eastAsia" w:ascii="宋体" w:hAnsi="宋体" w:eastAsia="宋体" w:cs="宋体"/>
          <w:color w:val="auto"/>
          <w:spacing w:val="7"/>
          <w:sz w:val="21"/>
          <w:szCs w:val="21"/>
          <w:highlight w:val="none"/>
        </w:rPr>
        <w:t>回的投标书将原封退回投标人</w:t>
      </w:r>
      <w:r>
        <w:rPr>
          <w:rFonts w:hint="eastAsia" w:ascii="宋体" w:hAnsi="宋体" w:eastAsia="宋体" w:cs="宋体"/>
          <w:color w:val="auto"/>
          <w:spacing w:val="6"/>
          <w:sz w:val="21"/>
          <w:szCs w:val="21"/>
          <w:highlight w:val="none"/>
        </w:rPr>
        <w:t>。</w:t>
      </w:r>
    </w:p>
    <w:p w14:paraId="1A8370D6">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4.1.4采购代理机构将做开标记录，开标记录包括按投标人须知的规定在开标时宣</w:t>
      </w:r>
      <w:r>
        <w:rPr>
          <w:rFonts w:hint="eastAsia" w:ascii="宋体" w:hAnsi="宋体" w:eastAsia="宋体" w:cs="宋体"/>
          <w:color w:val="auto"/>
          <w:spacing w:val="3"/>
          <w:sz w:val="21"/>
          <w:szCs w:val="21"/>
          <w:highlight w:val="none"/>
        </w:rPr>
        <w:t>读</w:t>
      </w: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5"/>
          <w:sz w:val="21"/>
          <w:szCs w:val="21"/>
          <w:highlight w:val="none"/>
        </w:rPr>
        <w:t>全部内容，由投标人代表签字确认。</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投标人未派代表出席的，视为其认同开标记录内容。</w:t>
      </w:r>
    </w:p>
    <w:p w14:paraId="66247A9C">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0"/>
        <w:rPr>
          <w:rFonts w:hint="eastAsia" w:ascii="宋体" w:hAnsi="宋体" w:eastAsia="宋体" w:cs="宋体"/>
          <w:color w:val="auto"/>
          <w:sz w:val="21"/>
          <w:szCs w:val="21"/>
          <w:highlight w:val="none"/>
        </w:rPr>
      </w:pPr>
      <w:bookmarkStart w:id="25" w:name="_Toc23115"/>
      <w:r>
        <w:rPr>
          <w:rFonts w:hint="eastAsia" w:ascii="宋体" w:hAnsi="宋体" w:eastAsia="宋体" w:cs="宋体"/>
          <w:color w:val="auto"/>
          <w:spacing w:val="11"/>
          <w:position w:val="1"/>
          <w:sz w:val="21"/>
          <w:szCs w:val="21"/>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.评标过程的保密性</w:t>
      </w:r>
      <w:bookmarkEnd w:id="25"/>
    </w:p>
    <w:p w14:paraId="45962220">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5.1开标后，直至向中标的投标人授予合同时止，凡与审查、澄清、评价和比较投</w:t>
      </w:r>
      <w:r>
        <w:rPr>
          <w:rFonts w:hint="eastAsia" w:ascii="宋体" w:hAnsi="宋体" w:eastAsia="宋体" w:cs="宋体"/>
          <w:color w:val="auto"/>
          <w:spacing w:val="6"/>
          <w:sz w:val="21"/>
          <w:szCs w:val="21"/>
          <w:highlight w:val="none"/>
        </w:rPr>
        <w:t>标</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2"/>
          <w:sz w:val="21"/>
          <w:szCs w:val="21"/>
          <w:highlight w:val="none"/>
        </w:rPr>
        <w:t>关</w:t>
      </w:r>
      <w:r>
        <w:rPr>
          <w:rFonts w:hint="eastAsia" w:ascii="宋体" w:hAnsi="宋体" w:eastAsia="宋体" w:cs="宋体"/>
          <w:color w:val="auto"/>
          <w:spacing w:val="9"/>
          <w:sz w:val="21"/>
          <w:szCs w:val="21"/>
          <w:highlight w:val="none"/>
        </w:rPr>
        <w:t>的资料以及授标意见等，均不得向投标人及与评标无关的其他人透露。</w:t>
      </w:r>
    </w:p>
    <w:p w14:paraId="5280FC09">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5.2在评标过程中，投标人试图在投标书审查、澄清、比较及授予合同方面以不正</w:t>
      </w:r>
      <w:r>
        <w:rPr>
          <w:rFonts w:hint="eastAsia" w:ascii="宋体" w:hAnsi="宋体" w:eastAsia="宋体" w:cs="宋体"/>
          <w:color w:val="auto"/>
          <w:spacing w:val="6"/>
          <w:sz w:val="21"/>
          <w:szCs w:val="21"/>
          <w:highlight w:val="none"/>
        </w:rPr>
        <w:t>当</w:t>
      </w:r>
      <w:r>
        <w:rPr>
          <w:rFonts w:hint="eastAsia" w:ascii="宋体" w:hAnsi="宋体" w:eastAsia="宋体" w:cs="宋体"/>
          <w:color w:val="auto"/>
          <w:spacing w:val="18"/>
          <w:sz w:val="21"/>
          <w:szCs w:val="21"/>
          <w:highlight w:val="none"/>
        </w:rPr>
        <w:t>手段</w:t>
      </w:r>
      <w:r>
        <w:rPr>
          <w:rFonts w:hint="eastAsia" w:ascii="宋体" w:hAnsi="宋体" w:eastAsia="宋体" w:cs="宋体"/>
          <w:color w:val="auto"/>
          <w:spacing w:val="13"/>
          <w:sz w:val="21"/>
          <w:szCs w:val="21"/>
          <w:highlight w:val="none"/>
        </w:rPr>
        <w:t>向</w:t>
      </w:r>
      <w:r>
        <w:rPr>
          <w:rFonts w:hint="eastAsia" w:ascii="宋体" w:hAnsi="宋体" w:eastAsia="宋体" w:cs="宋体"/>
          <w:color w:val="auto"/>
          <w:spacing w:val="9"/>
          <w:sz w:val="21"/>
          <w:szCs w:val="21"/>
          <w:highlight w:val="none"/>
        </w:rPr>
        <w:t>招标方施加影响的任何行为都可能导致其投标被拒绝。投标人对以不正当手段向招</w:t>
      </w:r>
      <w:r>
        <w:rPr>
          <w:rFonts w:hint="eastAsia" w:ascii="宋体" w:hAnsi="宋体" w:eastAsia="宋体" w:cs="宋体"/>
          <w:color w:val="auto"/>
          <w:spacing w:val="18"/>
          <w:sz w:val="21"/>
          <w:szCs w:val="21"/>
          <w:highlight w:val="none"/>
        </w:rPr>
        <w:t>标</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9"/>
          <w:sz w:val="21"/>
          <w:szCs w:val="21"/>
          <w:highlight w:val="none"/>
        </w:rPr>
        <w:t>施加影响的任何行为，以正当的程序实施监督，不得影响评标正常进行。</w:t>
      </w:r>
    </w:p>
    <w:p w14:paraId="388C2D6A">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.评标</w:t>
      </w:r>
    </w:p>
    <w:p w14:paraId="25E19F50">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评标工作由采购人负责组织，具体评标工作由依法组建的评标委员会负责。评标委员会构成：由有关技术、经济等方面的专家4人，业主评委1人，共5人</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评标专家确定方式：业主评委由采购人委派，经济及技术方面专家从</w:t>
      </w:r>
      <w:r>
        <w:rPr>
          <w:rFonts w:hint="eastAsia" w:ascii="宋体" w:hAnsi="宋体" w:eastAsia="宋体" w:cs="宋体"/>
          <w:color w:val="auto"/>
          <w:spacing w:val="11"/>
          <w:sz w:val="21"/>
          <w:szCs w:val="21"/>
          <w:highlight w:val="none"/>
          <w:lang w:eastAsia="zh-CN"/>
        </w:rPr>
        <w:t>吉林省人民政府政务大厅</w:t>
      </w:r>
      <w:r>
        <w:rPr>
          <w:rFonts w:hint="eastAsia" w:ascii="宋体" w:hAnsi="宋体" w:eastAsia="宋体" w:cs="宋体"/>
          <w:color w:val="auto"/>
          <w:spacing w:val="11"/>
          <w:sz w:val="21"/>
          <w:szCs w:val="21"/>
          <w:highlight w:val="none"/>
        </w:rPr>
        <w:t>评标专家库中随机抽取</w:t>
      </w:r>
      <w:r>
        <w:rPr>
          <w:rFonts w:hint="eastAsia" w:ascii="宋体" w:hAnsi="宋体" w:eastAsia="宋体" w:cs="宋体"/>
          <w:color w:val="auto"/>
          <w:spacing w:val="9"/>
          <w:sz w:val="21"/>
          <w:szCs w:val="21"/>
          <w:highlight w:val="none"/>
        </w:rPr>
        <w:t>评标委员会根据本招标文件规定的程序、方法和标准进行评标，负责完成评</w:t>
      </w:r>
      <w:r>
        <w:rPr>
          <w:rFonts w:hint="eastAsia" w:ascii="宋体" w:hAnsi="宋体" w:eastAsia="宋体" w:cs="宋体"/>
          <w:color w:val="auto"/>
          <w:spacing w:val="10"/>
          <w:sz w:val="21"/>
          <w:szCs w:val="21"/>
          <w:highlight w:val="none"/>
        </w:rPr>
        <w:t>标的全过</w:t>
      </w:r>
      <w:r>
        <w:rPr>
          <w:rFonts w:hint="eastAsia" w:ascii="宋体" w:hAnsi="宋体" w:eastAsia="宋体" w:cs="宋体"/>
          <w:color w:val="auto"/>
          <w:spacing w:val="7"/>
          <w:sz w:val="21"/>
          <w:szCs w:val="21"/>
          <w:highlight w:val="none"/>
        </w:rPr>
        <w:t>程</w:t>
      </w:r>
      <w:r>
        <w:rPr>
          <w:rFonts w:hint="eastAsia" w:ascii="宋体" w:hAnsi="宋体" w:eastAsia="宋体" w:cs="宋体"/>
          <w:color w:val="auto"/>
          <w:spacing w:val="5"/>
          <w:sz w:val="21"/>
          <w:szCs w:val="21"/>
          <w:highlight w:val="none"/>
        </w:rPr>
        <w:t>直至评定中标人。原则：对所有投标人的投标评估，都采用相同的程序和标准。</w:t>
      </w:r>
    </w:p>
    <w:p w14:paraId="673D2EA2">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准：评标严格按照招标文件的要求和条件进行。</w:t>
      </w:r>
    </w:p>
    <w:p w14:paraId="307697A9">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7</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.合同授予</w:t>
      </w:r>
    </w:p>
    <w:p w14:paraId="4EA68643">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7.1</w:t>
      </w:r>
      <w:r>
        <w:rPr>
          <w:rFonts w:hint="eastAsia" w:ascii="宋体" w:hAnsi="宋体" w:eastAsia="宋体" w:cs="宋体"/>
          <w:color w:val="auto"/>
          <w:spacing w:val="2"/>
          <w:sz w:val="21"/>
          <w:szCs w:val="21"/>
          <w:highlight w:val="none"/>
          <w:lang w:eastAsia="zh-CN"/>
        </w:rPr>
        <w:t>评</w:t>
      </w:r>
      <w:r>
        <w:rPr>
          <w:rFonts w:hint="eastAsia" w:ascii="宋体" w:hAnsi="宋体" w:eastAsia="宋体" w:cs="宋体"/>
          <w:color w:val="auto"/>
          <w:spacing w:val="2"/>
          <w:sz w:val="21"/>
          <w:szCs w:val="21"/>
          <w:highlight w:val="none"/>
        </w:rPr>
        <w:t>标委员会根据评标结果向采购人推荐3名中标候选人</w:t>
      </w:r>
      <w:r>
        <w:rPr>
          <w:rFonts w:hint="eastAsia" w:ascii="宋体" w:hAnsi="宋体" w:eastAsia="宋体" w:cs="宋体"/>
          <w:color w:val="auto"/>
          <w:spacing w:val="1"/>
          <w:sz w:val="21"/>
          <w:szCs w:val="21"/>
          <w:highlight w:val="none"/>
        </w:rPr>
        <w:t>。</w:t>
      </w:r>
    </w:p>
    <w:p w14:paraId="43B94A70">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8.签订合同</w:t>
      </w:r>
    </w:p>
    <w:p w14:paraId="304140E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.1采购人、中标人应当自中标通知书发出之日起三十日内，按照中标人投标文件和</w:t>
      </w:r>
      <w:r>
        <w:rPr>
          <w:rFonts w:hint="eastAsia" w:ascii="宋体" w:hAnsi="宋体" w:eastAsia="宋体" w:cs="宋体"/>
          <w:color w:val="auto"/>
          <w:spacing w:val="18"/>
          <w:sz w:val="21"/>
          <w:szCs w:val="21"/>
          <w:highlight w:val="none"/>
        </w:rPr>
        <w:t>招标</w:t>
      </w:r>
      <w:r>
        <w:rPr>
          <w:rFonts w:hint="eastAsia" w:ascii="宋体" w:hAnsi="宋体" w:eastAsia="宋体" w:cs="宋体"/>
          <w:color w:val="auto"/>
          <w:spacing w:val="12"/>
          <w:sz w:val="21"/>
          <w:szCs w:val="21"/>
          <w:highlight w:val="none"/>
        </w:rPr>
        <w:t>文</w:t>
      </w:r>
      <w:r>
        <w:rPr>
          <w:rFonts w:hint="eastAsia" w:ascii="宋体" w:hAnsi="宋体" w:eastAsia="宋体" w:cs="宋体"/>
          <w:color w:val="auto"/>
          <w:spacing w:val="9"/>
          <w:sz w:val="21"/>
          <w:szCs w:val="21"/>
          <w:highlight w:val="none"/>
        </w:rPr>
        <w:t>件的约定，签订书面合同。中标通知书是合同的一个组成部分，对采购人和中标人</w:t>
      </w:r>
      <w:r>
        <w:rPr>
          <w:rFonts w:hint="eastAsia" w:ascii="宋体" w:hAnsi="宋体" w:eastAsia="宋体" w:cs="宋体"/>
          <w:color w:val="auto"/>
          <w:spacing w:val="13"/>
          <w:sz w:val="21"/>
          <w:szCs w:val="21"/>
          <w:highlight w:val="none"/>
        </w:rPr>
        <w:t>均</w:t>
      </w:r>
      <w:r>
        <w:rPr>
          <w:rFonts w:hint="eastAsia" w:ascii="宋体" w:hAnsi="宋体" w:eastAsia="宋体" w:cs="宋体"/>
          <w:color w:val="auto"/>
          <w:spacing w:val="7"/>
          <w:sz w:val="21"/>
          <w:szCs w:val="21"/>
          <w:highlight w:val="none"/>
        </w:rPr>
        <w:t>具有法律约束力。</w:t>
      </w:r>
    </w:p>
    <w:p w14:paraId="433BADD6">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.2中标通知书发出后，采购人改变中标结果的，或者中标人放弃中标项目的，应当</w:t>
      </w:r>
      <w:r>
        <w:rPr>
          <w:rFonts w:hint="eastAsia" w:ascii="宋体" w:hAnsi="宋体" w:eastAsia="宋体" w:cs="宋体"/>
          <w:color w:val="auto"/>
          <w:spacing w:val="12"/>
          <w:sz w:val="21"/>
          <w:szCs w:val="21"/>
          <w:highlight w:val="none"/>
        </w:rPr>
        <w:t>依</w:t>
      </w:r>
      <w:r>
        <w:rPr>
          <w:rFonts w:hint="eastAsia" w:ascii="宋体" w:hAnsi="宋体" w:eastAsia="宋体" w:cs="宋体"/>
          <w:color w:val="auto"/>
          <w:spacing w:val="7"/>
          <w:sz w:val="21"/>
          <w:szCs w:val="21"/>
          <w:highlight w:val="none"/>
        </w:rPr>
        <w:t>法承担法律责任。</w:t>
      </w:r>
    </w:p>
    <w:p w14:paraId="762E1AD6">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9</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重新招标</w:t>
      </w:r>
    </w:p>
    <w:p w14:paraId="1DE2447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有下列情形之一的，采购人将重新招标</w:t>
      </w:r>
      <w:r>
        <w:rPr>
          <w:rFonts w:hint="eastAsia" w:ascii="宋体" w:hAnsi="宋体" w:eastAsia="宋体" w:cs="宋体"/>
          <w:color w:val="auto"/>
          <w:spacing w:val="6"/>
          <w:sz w:val="21"/>
          <w:szCs w:val="21"/>
          <w:highlight w:val="none"/>
        </w:rPr>
        <w:t>：</w:t>
      </w:r>
    </w:p>
    <w:p w14:paraId="6D1330E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(1)投标截止时</w:t>
      </w:r>
      <w:r>
        <w:rPr>
          <w:rFonts w:hint="eastAsia" w:ascii="宋体" w:hAnsi="宋体" w:eastAsia="宋体" w:cs="宋体"/>
          <w:color w:val="auto"/>
          <w:sz w:val="21"/>
          <w:szCs w:val="21"/>
          <w:highlight w:val="none"/>
        </w:rPr>
        <w:t>间止，投标人少于3个的；</w:t>
      </w:r>
    </w:p>
    <w:p w14:paraId="15DE328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2)经评标委员会评审后否决所有投标的。</w:t>
      </w:r>
    </w:p>
    <w:p w14:paraId="4BA36D5F">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投诉</w:t>
      </w:r>
    </w:p>
    <w:p w14:paraId="049CCDE8">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人和其他利害关系人认为本次招标活动违反法律、法规和规章规定的，有权向有</w:t>
      </w:r>
      <w:r>
        <w:rPr>
          <w:rFonts w:hint="eastAsia" w:ascii="宋体" w:hAnsi="宋体" w:eastAsia="宋体" w:cs="宋体"/>
          <w:color w:val="auto"/>
          <w:spacing w:val="13"/>
          <w:sz w:val="21"/>
          <w:szCs w:val="21"/>
          <w:highlight w:val="none"/>
        </w:rPr>
        <w:t>关</w:t>
      </w:r>
      <w:r>
        <w:rPr>
          <w:rFonts w:hint="eastAsia" w:ascii="宋体" w:hAnsi="宋体" w:eastAsia="宋体" w:cs="宋体"/>
          <w:color w:val="auto"/>
          <w:spacing w:val="7"/>
          <w:sz w:val="21"/>
          <w:szCs w:val="21"/>
          <w:highlight w:val="none"/>
        </w:rPr>
        <w:t>行政监督部门投诉。</w:t>
      </w:r>
    </w:p>
    <w:p w14:paraId="03A7CC58">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需要补充的其他内容</w:t>
      </w:r>
    </w:p>
    <w:p w14:paraId="525F8536">
      <w:pPr>
        <w:keepNext w:val="0"/>
        <w:keepLines w:val="0"/>
        <w:pageBreakBefore w:val="0"/>
        <w:widowControl/>
        <w:kinsoku w:val="0"/>
        <w:wordWrap/>
        <w:overflowPunct/>
        <w:topLinePunct w:val="0"/>
        <w:autoSpaceDE w:val="0"/>
        <w:autoSpaceDN w:val="0"/>
        <w:bidi w:val="0"/>
        <w:adjustRightInd w:val="0"/>
        <w:snapToGrid w:val="0"/>
        <w:spacing w:line="360" w:lineRule="auto"/>
        <w:ind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人认为招标文件、招标过程和中标结果使自己的合法权益受到损害的，应当在知</w:t>
      </w:r>
      <w:r>
        <w:rPr>
          <w:rFonts w:hint="eastAsia" w:ascii="宋体" w:hAnsi="宋体" w:eastAsia="宋体" w:cs="宋体"/>
          <w:color w:val="auto"/>
          <w:spacing w:val="16"/>
          <w:sz w:val="21"/>
          <w:szCs w:val="21"/>
          <w:highlight w:val="none"/>
        </w:rPr>
        <w:t>道</w:t>
      </w:r>
      <w:r>
        <w:rPr>
          <w:rFonts w:hint="eastAsia" w:ascii="宋体" w:hAnsi="宋体" w:eastAsia="宋体" w:cs="宋体"/>
          <w:color w:val="auto"/>
          <w:spacing w:val="9"/>
          <w:sz w:val="21"/>
          <w:szCs w:val="21"/>
          <w:highlight w:val="none"/>
        </w:rPr>
        <w:t xml:space="preserve">或者应知其权益受到损害之日起七个工作日内以书面形式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 xml:space="preserve">须加盖公章)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质疑书的具</w:t>
      </w:r>
      <w:r>
        <w:rPr>
          <w:rFonts w:hint="eastAsia" w:ascii="宋体" w:hAnsi="宋体" w:eastAsia="宋体" w:cs="宋体"/>
          <w:color w:val="auto"/>
          <w:spacing w:val="6"/>
          <w:sz w:val="21"/>
          <w:szCs w:val="21"/>
          <w:highlight w:val="none"/>
        </w:rPr>
        <w:t>体内容</w:t>
      </w:r>
      <w:r>
        <w:rPr>
          <w:rFonts w:hint="eastAsia" w:ascii="宋体" w:hAnsi="宋体" w:eastAsia="宋体" w:cs="宋体"/>
          <w:color w:val="auto"/>
          <w:spacing w:val="3"/>
          <w:sz w:val="21"/>
          <w:szCs w:val="21"/>
          <w:highlight w:val="none"/>
        </w:rPr>
        <w:t>详见《政府采购质疑和投诉办法》</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 xml:space="preserve">第 94 号令) </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通知采购代理机构向采购方提出</w:t>
      </w: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应在法定质疑期内一次性提出针对同一采购程序环节的质疑。投标人对采购</w:t>
      </w:r>
      <w:r>
        <w:rPr>
          <w:rFonts w:hint="eastAsia" w:ascii="宋体" w:hAnsi="宋体" w:eastAsia="宋体" w:cs="宋体"/>
          <w:color w:val="auto"/>
          <w:spacing w:val="18"/>
          <w:sz w:val="21"/>
          <w:szCs w:val="21"/>
          <w:highlight w:val="none"/>
        </w:rPr>
        <w:t>人的</w:t>
      </w:r>
      <w:r>
        <w:rPr>
          <w:rFonts w:hint="eastAsia" w:ascii="宋体" w:hAnsi="宋体" w:eastAsia="宋体" w:cs="宋体"/>
          <w:color w:val="auto"/>
          <w:spacing w:val="14"/>
          <w:sz w:val="21"/>
          <w:szCs w:val="21"/>
          <w:highlight w:val="none"/>
        </w:rPr>
        <w:t>质</w:t>
      </w:r>
      <w:r>
        <w:rPr>
          <w:rFonts w:hint="eastAsia" w:ascii="宋体" w:hAnsi="宋体" w:eastAsia="宋体" w:cs="宋体"/>
          <w:color w:val="auto"/>
          <w:spacing w:val="9"/>
          <w:sz w:val="21"/>
          <w:szCs w:val="21"/>
          <w:highlight w:val="none"/>
        </w:rPr>
        <w:t>疑答复不满意或者采购人未在规定时间内作出答复的，可以在答复期满后十五个工</w:t>
      </w:r>
      <w:r>
        <w:rPr>
          <w:rFonts w:hint="eastAsia" w:ascii="宋体" w:hAnsi="宋体" w:eastAsia="宋体" w:cs="宋体"/>
          <w:color w:val="auto"/>
          <w:spacing w:val="16"/>
          <w:sz w:val="21"/>
          <w:szCs w:val="21"/>
          <w:highlight w:val="none"/>
        </w:rPr>
        <w:t>作</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8"/>
          <w:sz w:val="21"/>
          <w:szCs w:val="21"/>
          <w:highlight w:val="none"/>
        </w:rPr>
        <w:t>内向同级采购监管部门投诉。</w:t>
      </w:r>
    </w:p>
    <w:p w14:paraId="39D495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0"/>
          <w:sz w:val="21"/>
          <w:szCs w:val="21"/>
          <w:highlight w:val="none"/>
        </w:rPr>
        <w:t>书</w:t>
      </w:r>
      <w:r>
        <w:rPr>
          <w:rFonts w:hint="eastAsia" w:ascii="宋体" w:hAnsi="宋体" w:eastAsia="宋体" w:cs="宋体"/>
          <w:color w:val="auto"/>
          <w:spacing w:val="9"/>
          <w:sz w:val="21"/>
          <w:szCs w:val="21"/>
          <w:highlight w:val="none"/>
        </w:rPr>
        <w:t>、投诉书均应明确阐述招标文件、招标过程和中标结果中使自己合法权益受到</w:t>
      </w:r>
      <w:r>
        <w:rPr>
          <w:rFonts w:hint="eastAsia" w:ascii="宋体" w:hAnsi="宋体" w:eastAsia="宋体" w:cs="宋体"/>
          <w:color w:val="auto"/>
          <w:spacing w:val="18"/>
          <w:sz w:val="21"/>
          <w:szCs w:val="21"/>
          <w:highlight w:val="none"/>
        </w:rPr>
        <w:t>损害</w:t>
      </w:r>
      <w:r>
        <w:rPr>
          <w:rFonts w:hint="eastAsia" w:ascii="宋体" w:hAnsi="宋体" w:eastAsia="宋体" w:cs="宋体"/>
          <w:color w:val="auto"/>
          <w:spacing w:val="13"/>
          <w:sz w:val="21"/>
          <w:szCs w:val="21"/>
          <w:highlight w:val="none"/>
        </w:rPr>
        <w:t>的</w:t>
      </w:r>
      <w:r>
        <w:rPr>
          <w:rFonts w:hint="eastAsia" w:ascii="宋体" w:hAnsi="宋体" w:eastAsia="宋体" w:cs="宋体"/>
          <w:color w:val="auto"/>
          <w:spacing w:val="9"/>
          <w:sz w:val="21"/>
          <w:szCs w:val="21"/>
          <w:highlight w:val="none"/>
        </w:rPr>
        <w:t>实质性内容，提供相关事实、依据和证据及其来源或线索，便于有关单位调查、答</w:t>
      </w:r>
      <w:r>
        <w:rPr>
          <w:rFonts w:hint="eastAsia" w:ascii="宋体" w:hAnsi="宋体" w:eastAsia="宋体" w:cs="宋体"/>
          <w:color w:val="auto"/>
          <w:spacing w:val="6"/>
          <w:sz w:val="21"/>
          <w:szCs w:val="21"/>
          <w:highlight w:val="none"/>
        </w:rPr>
        <w:t>复和处理。</w:t>
      </w:r>
    </w:p>
    <w:p w14:paraId="400705F1">
      <w:pPr>
        <w:spacing w:line="240" w:lineRule="auto"/>
        <w:rPr>
          <w:rFonts w:hint="eastAsia" w:ascii="宋体" w:hAnsi="宋体" w:eastAsia="宋体" w:cs="宋体"/>
          <w:color w:val="auto"/>
          <w:sz w:val="24"/>
          <w:szCs w:val="24"/>
          <w:highlight w:val="none"/>
        </w:rPr>
        <w:sectPr>
          <w:footerReference r:id="rId9" w:type="default"/>
          <w:pgSz w:w="11906" w:h="16839"/>
          <w:pgMar w:top="1431" w:right="820" w:bottom="1156" w:left="1006" w:header="0" w:footer="996" w:gutter="0"/>
          <w:pgNumType w:fmt="decimal"/>
          <w:cols w:space="720" w:num="1"/>
        </w:sectPr>
      </w:pPr>
    </w:p>
    <w:p w14:paraId="6C5CDE81">
      <w:pPr>
        <w:pStyle w:val="2"/>
        <w:bidi w:val="0"/>
        <w:rPr>
          <w:rFonts w:hint="eastAsia" w:ascii="宋体" w:hAnsi="宋体" w:eastAsia="宋体" w:cs="宋体"/>
          <w:b/>
          <w:bCs/>
          <w:color w:val="auto"/>
          <w:sz w:val="44"/>
          <w:szCs w:val="44"/>
          <w:highlight w:val="none"/>
        </w:rPr>
      </w:pPr>
      <w:bookmarkStart w:id="26" w:name="_Toc27377"/>
      <w:r>
        <w:rPr>
          <w:rFonts w:hint="eastAsia" w:ascii="宋体" w:hAnsi="宋体" w:eastAsia="宋体" w:cs="宋体"/>
          <w:b/>
          <w:bCs/>
          <w:color w:val="auto"/>
          <w:sz w:val="44"/>
          <w:szCs w:val="44"/>
          <w:highlight w:val="none"/>
        </w:rPr>
        <w:t>第三章  合  同</w:t>
      </w:r>
      <w:bookmarkEnd w:id="26"/>
    </w:p>
    <w:p w14:paraId="5297E6F8">
      <w:pPr>
        <w:spacing w:line="452" w:lineRule="auto"/>
        <w:rPr>
          <w:rFonts w:hint="eastAsia" w:ascii="宋体" w:hAnsi="宋体" w:eastAsia="宋体" w:cs="宋体"/>
          <w:color w:val="auto"/>
          <w:sz w:val="21"/>
          <w:highlight w:val="none"/>
        </w:rPr>
      </w:pPr>
    </w:p>
    <w:p w14:paraId="007950F5">
      <w:pPr>
        <w:spacing w:before="91" w:line="411" w:lineRule="auto"/>
        <w:ind w:firstLine="697"/>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合</w:t>
      </w:r>
      <w:r>
        <w:rPr>
          <w:rFonts w:hint="eastAsia" w:ascii="宋体" w:hAnsi="宋体" w:eastAsia="宋体" w:cs="宋体"/>
          <w:color w:val="auto"/>
          <w:spacing w:val="-1"/>
          <w:sz w:val="23"/>
          <w:szCs w:val="23"/>
          <w:highlight w:val="none"/>
        </w:rPr>
        <w:t xml:space="preserve">同协议条款由采购人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 xml:space="preserve">甲方) 与中标人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乙方) 结合招标文件、投标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文件和本项目具体情况共同</w:t>
      </w:r>
      <w:r>
        <w:rPr>
          <w:rFonts w:hint="eastAsia" w:ascii="宋体" w:hAnsi="宋体" w:eastAsia="宋体" w:cs="宋体"/>
          <w:color w:val="auto"/>
          <w:sz w:val="23"/>
          <w:szCs w:val="23"/>
          <w:highlight w:val="none"/>
        </w:rPr>
        <w:t>协商后签订。</w:t>
      </w:r>
    </w:p>
    <w:p w14:paraId="5D0A6448">
      <w:pPr>
        <w:autoSpaceDE w:val="0"/>
        <w:autoSpaceDN w:val="0"/>
        <w:adjustRightInd w:val="0"/>
        <w:spacing w:line="440" w:lineRule="exact"/>
        <w:ind w:right="42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rPr>
        <w:t>后附合同草案</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lang w:val="zh-CN"/>
        </w:rPr>
        <w:t>采购合同书格式</w:t>
      </w:r>
      <w:r>
        <w:rPr>
          <w:rFonts w:hint="eastAsia" w:ascii="宋体" w:hAnsi="宋体" w:eastAsia="宋体" w:cs="宋体"/>
          <w:b/>
          <w:bCs/>
          <w:color w:val="auto"/>
          <w:sz w:val="24"/>
          <w:szCs w:val="24"/>
          <w:highlight w:val="none"/>
          <w:lang w:val="en-US" w:eastAsia="zh-CN"/>
        </w:rPr>
        <w:t>仅供参考，以最终实际签订为准。</w:t>
      </w:r>
    </w:p>
    <w:p w14:paraId="39BF7E58">
      <w:pPr>
        <w:spacing w:line="219" w:lineRule="auto"/>
        <w:ind w:left="979"/>
        <w:rPr>
          <w:rFonts w:hint="eastAsia" w:ascii="宋体" w:hAnsi="宋体" w:eastAsia="宋体" w:cs="宋体"/>
          <w:color w:val="auto"/>
          <w:highlight w:val="none"/>
          <w:lang w:eastAsia="zh-CN"/>
        </w:rPr>
        <w:sectPr>
          <w:footerReference r:id="rId10" w:type="default"/>
          <w:pgSz w:w="11906" w:h="16839"/>
          <w:pgMar w:top="1431" w:right="1132" w:bottom="1156" w:left="1431" w:header="0" w:footer="996" w:gutter="0"/>
          <w:pgNumType w:fmt="decimal"/>
          <w:cols w:space="720" w:num="1"/>
        </w:sectPr>
      </w:pPr>
    </w:p>
    <w:p w14:paraId="5F12543B">
      <w:pPr>
        <w:pStyle w:val="6"/>
        <w:spacing w:after="0"/>
        <w:jc w:val="center"/>
        <w:rPr>
          <w:rFonts w:ascii="宋体" w:hAnsi="宋体" w:cs="宋体"/>
          <w:b/>
          <w:bCs/>
          <w:color w:val="auto"/>
          <w:spacing w:val="-20"/>
          <w:kern w:val="44"/>
          <w:sz w:val="48"/>
          <w:szCs w:val="48"/>
          <w:highlight w:val="none"/>
        </w:rPr>
      </w:pPr>
      <w:bookmarkStart w:id="27" w:name="_Toc3995"/>
    </w:p>
    <w:p w14:paraId="62FB5BCB">
      <w:pPr>
        <w:pStyle w:val="6"/>
        <w:spacing w:after="0"/>
        <w:jc w:val="center"/>
        <w:rPr>
          <w:rFonts w:ascii="宋体" w:hAnsi="宋体" w:cs="宋体"/>
          <w:b/>
          <w:bCs/>
          <w:color w:val="auto"/>
          <w:spacing w:val="-20"/>
          <w:kern w:val="44"/>
          <w:sz w:val="48"/>
          <w:szCs w:val="48"/>
          <w:highlight w:val="none"/>
        </w:rPr>
      </w:pPr>
    </w:p>
    <w:p w14:paraId="7701760C">
      <w:pPr>
        <w:pStyle w:val="6"/>
        <w:spacing w:after="0"/>
        <w:jc w:val="center"/>
        <w:rPr>
          <w:rFonts w:ascii="宋体" w:hAnsi="宋体" w:cs="宋体"/>
          <w:b/>
          <w:bCs/>
          <w:color w:val="auto"/>
          <w:spacing w:val="-20"/>
          <w:kern w:val="44"/>
          <w:sz w:val="48"/>
          <w:szCs w:val="48"/>
          <w:highlight w:val="none"/>
        </w:rPr>
      </w:pPr>
    </w:p>
    <w:p w14:paraId="096EB3AC">
      <w:pPr>
        <w:pStyle w:val="6"/>
        <w:spacing w:after="0"/>
        <w:jc w:val="center"/>
        <w:rPr>
          <w:rFonts w:ascii="宋体" w:hAnsi="宋体" w:cs="宋体"/>
          <w:b/>
          <w:bCs/>
          <w:color w:val="auto"/>
          <w:spacing w:val="-20"/>
          <w:kern w:val="44"/>
          <w:sz w:val="48"/>
          <w:szCs w:val="48"/>
          <w:highlight w:val="none"/>
        </w:rPr>
      </w:pPr>
    </w:p>
    <w:p w14:paraId="095D1F08">
      <w:pPr>
        <w:pStyle w:val="6"/>
        <w:spacing w:after="0"/>
        <w:jc w:val="center"/>
        <w:rPr>
          <w:rFonts w:ascii="宋体" w:hAnsi="宋体" w:cs="宋体"/>
          <w:b/>
          <w:bCs/>
          <w:color w:val="auto"/>
          <w:spacing w:val="-20"/>
          <w:kern w:val="44"/>
          <w:sz w:val="48"/>
          <w:szCs w:val="48"/>
          <w:highlight w:val="none"/>
        </w:rPr>
      </w:pPr>
    </w:p>
    <w:p w14:paraId="5082AA4B">
      <w:pPr>
        <w:pStyle w:val="6"/>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4A2E9494">
      <w:pPr>
        <w:pStyle w:val="6"/>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774C23F0">
      <w:pPr>
        <w:rPr>
          <w:rFonts w:ascii="宋体" w:hAnsi="宋体" w:cs="宋体"/>
          <w:b/>
          <w:bCs/>
          <w:color w:val="auto"/>
          <w:spacing w:val="-20"/>
          <w:kern w:val="44"/>
          <w:sz w:val="40"/>
          <w:szCs w:val="40"/>
          <w:highlight w:val="none"/>
        </w:rPr>
      </w:pPr>
    </w:p>
    <w:p w14:paraId="2063FF00">
      <w:pPr>
        <w:rPr>
          <w:rFonts w:ascii="宋体" w:hAnsi="宋体" w:cs="宋体"/>
          <w:b/>
          <w:bCs/>
          <w:color w:val="auto"/>
          <w:spacing w:val="-20"/>
          <w:kern w:val="44"/>
          <w:sz w:val="40"/>
          <w:szCs w:val="40"/>
          <w:highlight w:val="none"/>
        </w:rPr>
      </w:pPr>
    </w:p>
    <w:p w14:paraId="578557F0">
      <w:pPr>
        <w:rPr>
          <w:rFonts w:ascii="宋体" w:hAnsi="宋体" w:cs="宋体"/>
          <w:b/>
          <w:bCs/>
          <w:color w:val="auto"/>
          <w:spacing w:val="-20"/>
          <w:kern w:val="44"/>
          <w:sz w:val="40"/>
          <w:szCs w:val="40"/>
          <w:highlight w:val="none"/>
        </w:rPr>
      </w:pPr>
    </w:p>
    <w:p w14:paraId="6DC74154">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61F31B56">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19AC52B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F4FFA36">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5DBBFF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6CC387D">
      <w:pPr>
        <w:rPr>
          <w:color w:val="auto"/>
          <w:highlight w:val="none"/>
        </w:rPr>
      </w:pPr>
    </w:p>
    <w:p w14:paraId="16413F5D">
      <w:pPr>
        <w:rPr>
          <w:rFonts w:eastAsia="黑体"/>
          <w:color w:val="auto"/>
          <w:sz w:val="44"/>
          <w:szCs w:val="44"/>
          <w:highlight w:val="none"/>
        </w:rPr>
      </w:pPr>
      <w:r>
        <w:rPr>
          <w:rFonts w:eastAsia="黑体"/>
          <w:color w:val="auto"/>
          <w:sz w:val="44"/>
          <w:szCs w:val="44"/>
          <w:highlight w:val="none"/>
        </w:rPr>
        <w:br w:type="page"/>
      </w:r>
    </w:p>
    <w:p w14:paraId="2E476344">
      <w:pPr>
        <w:rPr>
          <w:rFonts w:eastAsia="黑体"/>
          <w:color w:val="auto"/>
          <w:sz w:val="44"/>
          <w:szCs w:val="44"/>
          <w:highlight w:val="none"/>
        </w:rPr>
      </w:pPr>
    </w:p>
    <w:p w14:paraId="0954B465">
      <w:pPr>
        <w:rPr>
          <w:rFonts w:eastAsia="黑体"/>
          <w:color w:val="auto"/>
          <w:sz w:val="44"/>
          <w:szCs w:val="44"/>
          <w:highlight w:val="none"/>
        </w:rPr>
      </w:pPr>
    </w:p>
    <w:p w14:paraId="385D209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A13C5D0">
      <w:pPr>
        <w:ind w:firstLine="640" w:firstLineChars="200"/>
        <w:rPr>
          <w:rFonts w:hint="eastAsia" w:ascii="仿宋_GB2312" w:hAnsi="仿宋_GB2312" w:eastAsia="仿宋_GB2312" w:cs="仿宋_GB2312"/>
          <w:color w:val="auto"/>
          <w:sz w:val="32"/>
          <w:szCs w:val="32"/>
          <w:highlight w:val="none"/>
          <w:lang w:val="en-US" w:eastAsia="zh-CN"/>
        </w:rPr>
      </w:pPr>
    </w:p>
    <w:p w14:paraId="3A1887A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2C62E239">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7B9C9A4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FF1C6AC">
      <w:pPr>
        <w:ind w:firstLine="880" w:firstLineChars="200"/>
        <w:jc w:val="both"/>
        <w:rPr>
          <w:rFonts w:eastAsia="黑体"/>
          <w:color w:val="auto"/>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7"/>
    <w:p w14:paraId="5EAEA0B2">
      <w:pPr>
        <w:pStyle w:val="3"/>
        <w:adjustRightInd w:val="0"/>
        <w:snapToGrid w:val="0"/>
        <w:spacing w:beforeLines="0" w:line="400" w:lineRule="exact"/>
        <w:jc w:val="center"/>
        <w:rPr>
          <w:rFonts w:hint="eastAsia" w:ascii="黑体" w:hAnsi="黑体" w:eastAsia="黑体"/>
          <w:color w:val="auto"/>
          <w:sz w:val="28"/>
          <w:szCs w:val="28"/>
          <w:highlight w:val="none"/>
        </w:rPr>
      </w:pPr>
      <w:bookmarkStart w:id="28" w:name="_Toc22209"/>
    </w:p>
    <w:p w14:paraId="2C7BD684">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8"/>
    </w:p>
    <w:p w14:paraId="2CF8A08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7E5A7A58">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DC5B90F">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133727D">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CBB7AF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37694DA">
      <w:pPr>
        <w:spacing w:beforeLines="0" w:line="400" w:lineRule="exact"/>
        <w:rPr>
          <w:rFonts w:hint="default" w:eastAsia="宋体"/>
          <w:color w:val="auto"/>
          <w:highlight w:val="none"/>
          <w:lang w:val="en-US" w:eastAsia="zh-CN"/>
        </w:rPr>
      </w:pPr>
    </w:p>
    <w:p w14:paraId="0F4B8434">
      <w:pPr>
        <w:pStyle w:val="7"/>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8123D71">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项目信息</w:t>
      </w:r>
    </w:p>
    <w:p w14:paraId="6CDB9B0D">
      <w:pPr>
        <w:pStyle w:val="7"/>
        <w:numPr>
          <w:ilvl w:val="0"/>
          <w:numId w:val="4"/>
        </w:numPr>
        <w:adjustRightInd w:val="0"/>
        <w:snapToGrid w:val="0"/>
        <w:spacing w:before="0" w:beforeLines="0" w:after="0" w:line="400" w:lineRule="exact"/>
        <w:ind w:left="0" w:leftChars="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F352373">
      <w:pPr>
        <w:pStyle w:val="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0B35512">
      <w:pPr>
        <w:pStyle w:val="7"/>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7B9D3D">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82BFEA3">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2FCA12FB">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D55BFEF">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D3E9BE7">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6287891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21788DD">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5868A071">
      <w:pPr>
        <w:pStyle w:val="3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AF3AC42">
      <w:pPr>
        <w:pStyle w:val="3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6F14DA3">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BD3D3FE">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330835FB">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079C78CF">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16297224">
      <w:pPr>
        <w:pStyle w:val="3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9937A4B">
      <w:pPr>
        <w:pStyle w:val="3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18A432D5">
      <w:pPr>
        <w:pStyle w:val="37"/>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63D60C7">
      <w:pPr>
        <w:pStyle w:val="37"/>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A35847D">
      <w:pPr>
        <w:pStyle w:val="37"/>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780A89C">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82F2CC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9ABF7B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3A4AE99">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A0F52A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E9D48B4">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BA9267">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0DF62174">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4B6C5D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44C88320">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4392CFE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740DA03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D166A8">
      <w:pPr>
        <w:pStyle w:val="37"/>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9D759E4">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B02092F">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9A8320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8B593D5">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F5D531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637C4C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7BF36BD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06DF1F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8C23CB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24866204">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7628F0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A5B0B5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028348A">
      <w:pPr>
        <w:pStyle w:val="37"/>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25330867">
      <w:pPr>
        <w:pStyle w:val="37"/>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2EF391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99D9F28">
      <w:pPr>
        <w:pStyle w:val="37"/>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0618A1">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7620D5EC">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4C7CF62C">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合同金额</w:t>
      </w:r>
    </w:p>
    <w:p w14:paraId="7AF7813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003112F">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2551EBC">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1BD2CA7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022B37D">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FBD1413">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9FE8E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53C1179">
      <w:pPr>
        <w:pStyle w:val="54"/>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5A6A2FF">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9B5C893">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4BBA4D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421229A">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E843CE3">
      <w:pPr>
        <w:numPr>
          <w:ilvl w:val="0"/>
          <w:numId w:val="3"/>
        </w:numPr>
        <w:adjustRightInd w:val="0"/>
        <w:snapToGrid w:val="0"/>
        <w:spacing w:before="0" w:beforeLines="0" w:line="400" w:lineRule="exact"/>
        <w:ind w:firstLine="420"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55F460A3">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E5B78F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1499558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169F866">
      <w:pPr>
        <w:pStyle w:val="37"/>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C4BDFAC">
      <w:pPr>
        <w:pStyle w:val="37"/>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D77B58A">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213DBE6">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D8D29B1">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E34028B">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合同验收</w:t>
      </w:r>
    </w:p>
    <w:p w14:paraId="594ED2E7">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4DA4F409">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64F9D06B">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8B0F9E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55897F8">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72F232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79B5DE2">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7AB0CD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C92E8AC">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7E574A9B">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9FE5EAA">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59DA50E">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F0DB3E0">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3B01E8C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CB38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EAB3537">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622FB0F4">
      <w:pPr>
        <w:pStyle w:val="37"/>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DC73C9D">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8CFFA00">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C1125A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E40C490">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015A6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743637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79DB24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9D17F4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555EBFAF">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w:t>
      </w:r>
      <w:r>
        <w:rPr>
          <w:rFonts w:hint="eastAsia" w:ascii="宋体" w:hAnsi="宋体" w:eastAsia="宋体"/>
          <w:color w:val="auto"/>
          <w:szCs w:val="21"/>
          <w:highlight w:val="none"/>
          <w:lang w:eastAsia="zh-CN"/>
        </w:rPr>
        <w:t>招标文件</w:t>
      </w:r>
    </w:p>
    <w:p w14:paraId="44FAE57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BF66631">
      <w:pPr>
        <w:pStyle w:val="37"/>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A614DC4">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3D5B6D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511EB0C4">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39228FA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5EB4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28B4A6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C94D872">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6EB1547B">
      <w:pPr>
        <w:pStyle w:val="54"/>
        <w:spacing w:beforeLines="0" w:line="400" w:lineRule="exact"/>
        <w:rPr>
          <w:color w:val="auto"/>
          <w:highlight w:val="none"/>
        </w:rPr>
      </w:pPr>
    </w:p>
    <w:p w14:paraId="28F6C5F7">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7C428395">
      <w:pPr>
        <w:rPr>
          <w:rFonts w:hint="eastAsia"/>
          <w:color w:val="auto"/>
          <w:highlight w:val="none"/>
        </w:rPr>
      </w:pPr>
      <w:r>
        <w:rPr>
          <w:rFonts w:hint="eastAsia"/>
          <w:color w:val="auto"/>
          <w:highlight w:val="none"/>
        </w:rPr>
        <w:br w:type="page"/>
      </w:r>
    </w:p>
    <w:p w14:paraId="73CD6CF6">
      <w:pPr>
        <w:pStyle w:val="54"/>
        <w:rPr>
          <w:rFonts w:hint="eastAsia"/>
          <w:color w:val="auto"/>
          <w:highlight w:val="none"/>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4"/>
        <w:gridCol w:w="2390"/>
      </w:tblGrid>
      <w:tr w14:paraId="1A0B1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B5B721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eastAsia="宋体"/>
                <w:color w:val="auto"/>
                <w:szCs w:val="21"/>
                <w:highlight w:val="none"/>
                <w:lang w:eastAsia="zh-CN"/>
              </w:rPr>
              <w:t>招标文件</w:t>
            </w:r>
            <w:r>
              <w:rPr>
                <w:rFonts w:hint="eastAsia"/>
                <w:color w:val="auto"/>
                <w:szCs w:val="21"/>
                <w:highlight w:val="none"/>
              </w:rPr>
              <w:t>约定的合同甲方）</w:t>
            </w:r>
          </w:p>
        </w:tc>
        <w:tc>
          <w:tcPr>
            <w:tcW w:w="2437" w:type="pct"/>
            <w:gridSpan w:val="2"/>
            <w:tcBorders>
              <w:left w:val="single" w:color="auto" w:sz="2" w:space="0"/>
              <w:bottom w:val="single" w:color="auto" w:sz="2" w:space="0"/>
            </w:tcBorders>
            <w:vAlign w:val="center"/>
          </w:tcPr>
          <w:p w14:paraId="34C4B24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乙方</w:t>
            </w:r>
            <w:r>
              <w:rPr>
                <w:rFonts w:hint="eastAsia"/>
                <w:color w:val="auto"/>
                <w:szCs w:val="21"/>
                <w:highlight w:val="none"/>
              </w:rPr>
              <w:t>（供应商）</w:t>
            </w:r>
          </w:p>
        </w:tc>
      </w:tr>
      <w:tr w14:paraId="00936D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8BD08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48BDE4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33916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1DC7FB0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21F77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B91F22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3930C6DA">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209CFD4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47E39E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1738152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50845A4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r>
      <w:tr w14:paraId="0D8AD9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AAF24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EF320F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64F672">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FA81D8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3626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F3F777">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F438E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8BB8D5">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6C61D1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D258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A9665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3D4F6B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77D5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DD31D0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034CD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4396D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ADB58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E33F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73E39C3">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8877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D6CA91">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227BE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4F391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F51BDD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9DB6A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4F8C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A325C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E8C49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631875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43D894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869A5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0F70B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E5015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B01F6E5">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CF8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AABEF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3D6F3F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D0C87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01D72B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5D027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A3E37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681FF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C40A8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142C81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D6343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5C2BC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55E16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F1F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B7E131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E35B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4F6BD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23C95E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2BD0B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95AEE4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F43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C01D674">
            <w:pPr>
              <w:pStyle w:val="7"/>
              <w:keepNext w:val="0"/>
              <w:keepLines w:val="0"/>
              <w:widowControl/>
              <w:suppressLineNumbers w:val="0"/>
              <w:adjustRightInd w:val="0"/>
              <w:snapToGrid w:val="0"/>
              <w:spacing w:before="156" w:beforeLines="50" w:beforeAutospacing="0" w:after="0" w:afterAutospacing="0" w:line="360" w:lineRule="auto"/>
              <w:ind w:left="0" w:leftChars="0" w:right="0"/>
              <w:jc w:val="left"/>
              <w:rPr>
                <w:rFonts w:hint="default"/>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7A996154">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9" w:name="_Toc27624"/>
      <w:r>
        <w:rPr>
          <w:rFonts w:hint="eastAsia" w:ascii="黑体" w:hAnsi="黑体" w:eastAsia="黑体"/>
          <w:b w:val="0"/>
          <w:bCs w:val="0"/>
          <w:color w:val="auto"/>
          <w:sz w:val="28"/>
          <w:szCs w:val="28"/>
          <w:highlight w:val="none"/>
        </w:rPr>
        <w:t>第二节 政府采购合同通用条款</w:t>
      </w:r>
      <w:bookmarkEnd w:id="29"/>
    </w:p>
    <w:p w14:paraId="170652B1">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6E39D0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B6AD2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4FCFC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F480F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9D15BB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0F4A98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8BE3CB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CC329C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auto"/>
          <w:szCs w:val="21"/>
          <w:highlight w:val="none"/>
        </w:rPr>
        <w:t>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1D2923AB">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235C4D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w:t>
      </w:r>
      <w:r>
        <w:rPr>
          <w:rFonts w:hint="eastAsia" w:ascii="宋体" w:hAnsi="宋体" w:eastAsia="宋体"/>
          <w:color w:val="auto"/>
          <w:szCs w:val="21"/>
          <w:highlight w:val="none"/>
          <w:lang w:eastAsia="zh-CN"/>
        </w:rPr>
        <w:t>招标文件</w:t>
      </w:r>
      <w:r>
        <w:rPr>
          <w:rFonts w:hint="eastAsia" w:ascii="宋体" w:hAnsi="宋体"/>
          <w:color w:val="auto"/>
          <w:szCs w:val="21"/>
          <w:highlight w:val="none"/>
        </w:rPr>
        <w:t>、投标（响应）文件的规定，根据分包意向协议，将中标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6CCC03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07C83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2BE5537">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35BF0C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1DAA93B">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8448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6A6CA68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34C4A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F8276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1757938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4267F58">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4CC62E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5BF54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1E5111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5D85A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17C71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7110DE7">
      <w:pPr>
        <w:pStyle w:val="6"/>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E5E204C">
      <w:pPr>
        <w:pStyle w:val="6"/>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526D3106">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619CB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3A97F5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3E1E75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917D9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2CEF4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C9ECC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F10E7E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02369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688FA262">
      <w:pPr>
        <w:pStyle w:val="37"/>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2F4A2C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4D9A64F6">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C59EDA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w:t>
      </w:r>
      <w:r>
        <w:rPr>
          <w:rFonts w:hint="eastAsia" w:ascii="宋体" w:hAnsi="宋体" w:eastAsia="宋体" w:cs="宋体"/>
          <w:color w:val="auto"/>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334A4D5">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7DE07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C6C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75AC3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0228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B65BF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2994E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5E9A3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2042CD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230239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8BE6C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671498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5A1E7D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87C627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28729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14:paraId="6384774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ED9E86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1DE630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983A182">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0DA0ED2">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w:t>
      </w:r>
      <w:r>
        <w:rPr>
          <w:rFonts w:hint="eastAsia" w:ascii="宋体" w:hAnsi="宋体" w:eastAsia="宋体" w:cs="Times New Roman"/>
          <w:b w:val="0"/>
          <w:bCs w:val="0"/>
          <w:color w:val="auto"/>
          <w:kern w:val="2"/>
          <w:sz w:val="21"/>
          <w:szCs w:val="21"/>
          <w:highlight w:val="none"/>
          <w:lang w:eastAsia="zh-CN"/>
        </w:rPr>
        <w:t>招标文件</w:t>
      </w:r>
      <w:r>
        <w:rPr>
          <w:rFonts w:hint="eastAsia" w:ascii="宋体" w:hAnsi="宋体" w:eastAsia="宋体" w:cs="Times New Roman"/>
          <w:b w:val="0"/>
          <w:bCs w:val="0"/>
          <w:color w:val="auto"/>
          <w:kern w:val="2"/>
          <w:sz w:val="21"/>
          <w:szCs w:val="21"/>
          <w:highlight w:val="none"/>
        </w:rPr>
        <w:t>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7FAC750">
      <w:pPr>
        <w:pStyle w:val="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B7C89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F7ACFA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D017E0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3F9C57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D7F04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4A67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CACA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96C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1545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E63BC39">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26029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A7AFB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E4283F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BF6CF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D22254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635A7E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B9D34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A949F4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DD731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CCA59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804FF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69FB8BA">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2DD84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CBD1B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D1728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DA49C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w:t>
      </w:r>
      <w:r>
        <w:rPr>
          <w:rFonts w:hint="eastAsia" w:ascii="宋体" w:hAnsi="宋体" w:eastAsia="宋体"/>
          <w:color w:val="auto"/>
          <w:szCs w:val="21"/>
          <w:highlight w:val="none"/>
          <w:lang w:eastAsia="zh-CN"/>
        </w:rPr>
        <w:t>招标文件</w:t>
      </w:r>
      <w:r>
        <w:rPr>
          <w:rFonts w:hint="eastAsia" w:ascii="宋体" w:hAnsi="宋体"/>
          <w:color w:val="auto"/>
          <w:szCs w:val="21"/>
          <w:highlight w:val="none"/>
        </w:rPr>
        <w:t>、采购过程或结果提起投诉的，甲方认为有必要的，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72246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D7634BE">
      <w:pPr>
        <w:pStyle w:val="37"/>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7D0034DC">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3B7016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DCBCB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5A37F5D">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53ECBAA6">
      <w:pPr>
        <w:pStyle w:val="3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9599FCF">
      <w:pPr>
        <w:pStyle w:val="37"/>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7FA1E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F679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根据招标文件和投标（响应）文件规定进行</w:t>
      </w:r>
      <w:r>
        <w:rPr>
          <w:rFonts w:hint="eastAsia" w:ascii="宋体" w:hAnsi="宋体"/>
          <w:color w:val="auto"/>
          <w:szCs w:val="21"/>
          <w:highlight w:val="none"/>
        </w:rPr>
        <w:t>合同分包。</w:t>
      </w:r>
    </w:p>
    <w:p w14:paraId="72D15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4817B1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7EDB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1326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32A6C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66C732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9240B6E">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D9359B4">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CBF4CE9">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E5CDA4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FD3D18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182A3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6B0563E">
      <w:pPr>
        <w:pStyle w:val="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996BEC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138C977">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A8C941A">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CB1E63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AFB2759">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5CC4B96E">
      <w:pPr>
        <w:pStyle w:val="37"/>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22DE1B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1BDA4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32236D">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C8451E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C4CFC87">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14:paraId="076FD913">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7E321A04">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1"/>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3218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40486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026E2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491EDBD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435633F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10F9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80E012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05616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7AC2DC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36240DA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00D31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D5BD3A">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F9B432">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572DDEA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949E1DF">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4DB06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FAFEC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E3793A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C8EED5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F487DB4">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6EECC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B2E7B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AAA9694">
            <w:pPr>
              <w:keepNext w:val="0"/>
              <w:keepLines w:val="0"/>
              <w:widowControl/>
              <w:suppressLineNumbers w:val="0"/>
              <w:snapToGrid w:val="0"/>
              <w:spacing w:before="0" w:beforeAutospacing="0" w:after="0" w:afterAutospacing="0"/>
              <w:ind w:left="0" w:right="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378332E">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738A113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220CC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ADFE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A7A42CD">
            <w:pPr>
              <w:keepNext w:val="0"/>
              <w:keepLines w:val="0"/>
              <w:widowControl/>
              <w:suppressLineNumbers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A0E2E8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D161AD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3FD45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FFB70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94A9C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7D3EDA9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5CCC8B1C">
            <w:pPr>
              <w:keepNext w:val="0"/>
              <w:keepLines w:val="0"/>
              <w:widowControl/>
              <w:suppressLineNumbers w:val="0"/>
              <w:spacing w:before="0" w:beforeAutospacing="0" w:after="0" w:afterAutospacing="0"/>
              <w:ind w:left="0" w:right="0"/>
              <w:rPr>
                <w:rFonts w:hint="default"/>
                <w:color w:val="auto"/>
                <w:highlight w:val="none"/>
              </w:rPr>
            </w:pPr>
          </w:p>
        </w:tc>
      </w:tr>
      <w:tr w14:paraId="74DA1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00562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p>
        </w:tc>
        <w:tc>
          <w:tcPr>
            <w:tcW w:w="1742" w:type="dxa"/>
            <w:vAlign w:val="center"/>
          </w:tcPr>
          <w:p w14:paraId="50A83EE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2253E64F">
            <w:pPr>
              <w:keepNext w:val="0"/>
              <w:keepLines w:val="0"/>
              <w:widowControl/>
              <w:suppressLineNumbers w:val="0"/>
              <w:spacing w:before="0" w:beforeAutospacing="0" w:after="0" w:afterAutospacing="0"/>
              <w:ind w:left="0" w:right="0"/>
              <w:rPr>
                <w:rFonts w:hint="eastAsia"/>
                <w:color w:val="auto"/>
                <w:highlight w:val="none"/>
              </w:rPr>
            </w:pPr>
          </w:p>
        </w:tc>
      </w:tr>
      <w:tr w14:paraId="4DC2E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E02699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730D3C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4BFFB1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386E5DA5">
            <w:pPr>
              <w:keepNext w:val="0"/>
              <w:keepLines w:val="0"/>
              <w:widowControl/>
              <w:suppressLineNumbers w:val="0"/>
              <w:spacing w:before="0" w:beforeAutospacing="0" w:after="0" w:afterAutospacing="0"/>
              <w:ind w:left="0" w:right="0"/>
              <w:rPr>
                <w:rFonts w:hint="eastAsia"/>
                <w:color w:val="auto"/>
                <w:highlight w:val="none"/>
              </w:rPr>
            </w:pPr>
          </w:p>
        </w:tc>
      </w:tr>
      <w:tr w14:paraId="0BC23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DB9B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645ED7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8293E4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018971BD">
            <w:pPr>
              <w:keepNext w:val="0"/>
              <w:keepLines w:val="0"/>
              <w:widowControl/>
              <w:suppressLineNumbers w:val="0"/>
              <w:spacing w:before="0" w:beforeAutospacing="0" w:after="0" w:afterAutospacing="0"/>
              <w:ind w:left="0" w:right="0"/>
              <w:rPr>
                <w:rFonts w:hint="eastAsia"/>
                <w:color w:val="auto"/>
                <w:highlight w:val="none"/>
              </w:rPr>
            </w:pPr>
          </w:p>
        </w:tc>
      </w:tr>
      <w:tr w14:paraId="17302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B541C">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9B1803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5663FD5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62C90F8">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color w:val="auto"/>
                <w:szCs w:val="21"/>
                <w:highlight w:val="none"/>
              </w:rPr>
            </w:pPr>
          </w:p>
        </w:tc>
      </w:tr>
      <w:tr w14:paraId="28778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C11DCE">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7C16C3">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A9D5B46">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E67147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33A2BF6">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59E0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A47016">
            <w:pPr>
              <w:keepNext w:val="0"/>
              <w:keepLines w:val="0"/>
              <w:widowControl/>
              <w:suppressLineNumbers w:val="0"/>
              <w:snapToGrid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0573985F">
            <w:pPr>
              <w:pStyle w:val="37"/>
              <w:keepNext w:val="0"/>
              <w:keepLines w:val="0"/>
              <w:widowControl/>
              <w:suppressLineNumbers w:val="0"/>
              <w:spacing w:before="0" w:beforeAutospacing="0" w:after="0" w:afterAutospacing="0"/>
              <w:ind w:left="0" w:right="0"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1EECEEB2">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18AD0C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2C991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B7037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AE26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72ACC35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665FDD4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0FE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3B0EA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7C70A9A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3B95DBB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3A110664">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92D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C71D5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3D9F28E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2D82DE1B">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70FB148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78FE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97B517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F26FA7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7D8D779B">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10A2D0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BB0D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69DB2D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917638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53655EA">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FE0744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6BC0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259E0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866632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2509FD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A6CE68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03A69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2D4B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8631FC3">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7CB338F4">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4E60A01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565C8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B01E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513262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69C1982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ACA658E">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2B58C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808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BDC1CC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DD454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A8A8E1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4DB82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0292EB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9455B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845A0C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0290D8D">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59EF1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16365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120B55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7E0551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6EA0488">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03B16D4">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C114D09">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5DF3A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99F3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2B19C97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1D16FA6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16F7C8A3">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p>
        </w:tc>
      </w:tr>
    </w:tbl>
    <w:p w14:paraId="3D82E0E3">
      <w:pPr>
        <w:rPr>
          <w:color w:val="auto"/>
          <w:highlight w:val="none"/>
        </w:rPr>
      </w:pPr>
    </w:p>
    <w:p w14:paraId="1CDCF87B">
      <w:pPr>
        <w:rPr>
          <w:color w:val="auto"/>
          <w:highlight w:val="none"/>
        </w:rPr>
      </w:pPr>
    </w:p>
    <w:p w14:paraId="452E2633">
      <w:pPr>
        <w:rPr>
          <w:rFonts w:hint="eastAsia" w:ascii="宋体" w:hAnsi="宋体" w:eastAsia="宋体" w:cs="宋体"/>
          <w:color w:val="auto"/>
          <w:highlight w:val="none"/>
        </w:rPr>
      </w:pPr>
    </w:p>
    <w:p w14:paraId="4EC5DC8D">
      <w:pPr>
        <w:spacing w:line="240" w:lineRule="auto"/>
        <w:rPr>
          <w:rFonts w:hint="eastAsia" w:ascii="宋体" w:hAnsi="宋体" w:eastAsia="宋体" w:cs="宋体"/>
          <w:color w:val="auto"/>
          <w:sz w:val="24"/>
          <w:szCs w:val="24"/>
          <w:highlight w:val="none"/>
        </w:rPr>
      </w:pPr>
    </w:p>
    <w:p w14:paraId="0E474F63">
      <w:pPr>
        <w:spacing w:line="240" w:lineRule="auto"/>
        <w:rPr>
          <w:rFonts w:hint="eastAsia" w:ascii="宋体" w:hAnsi="宋体" w:eastAsia="宋体" w:cs="宋体"/>
          <w:color w:val="auto"/>
          <w:sz w:val="24"/>
          <w:szCs w:val="24"/>
          <w:highlight w:val="none"/>
        </w:rPr>
        <w:sectPr>
          <w:headerReference r:id="rId13" w:type="default"/>
          <w:footerReference r:id="rId14" w:type="default"/>
          <w:pgSz w:w="11906" w:h="16839"/>
          <w:pgMar w:top="1431" w:right="1132" w:bottom="1156" w:left="1365" w:header="0" w:footer="996" w:gutter="0"/>
          <w:pgNumType w:fmt="decimal"/>
          <w:cols w:space="720" w:num="1"/>
        </w:sectPr>
      </w:pPr>
    </w:p>
    <w:p w14:paraId="1F8F4890">
      <w:pPr>
        <w:pStyle w:val="2"/>
        <w:bidi w:val="0"/>
        <w:rPr>
          <w:rFonts w:hint="eastAsia" w:ascii="宋体" w:hAnsi="宋体" w:eastAsia="宋体" w:cs="宋体"/>
          <w:b/>
          <w:bCs/>
          <w:color w:val="auto"/>
          <w:sz w:val="44"/>
          <w:szCs w:val="44"/>
          <w:highlight w:val="none"/>
        </w:rPr>
      </w:pPr>
      <w:bookmarkStart w:id="32" w:name="_bookmark4"/>
      <w:bookmarkEnd w:id="32"/>
      <w:bookmarkStart w:id="33" w:name="_Toc21145"/>
      <w:r>
        <w:rPr>
          <w:rFonts w:hint="eastAsia" w:ascii="宋体" w:hAnsi="宋体" w:eastAsia="宋体" w:cs="宋体"/>
          <w:b/>
          <w:bCs/>
          <w:color w:val="auto"/>
          <w:sz w:val="44"/>
          <w:szCs w:val="44"/>
          <w:highlight w:val="none"/>
        </w:rPr>
        <w:t>第四章  投标文件格式</w:t>
      </w:r>
      <w:bookmarkEnd w:id="33"/>
    </w:p>
    <w:p w14:paraId="6935AD11">
      <w:pPr>
        <w:rPr>
          <w:rFonts w:hint="eastAsia" w:ascii="宋体" w:hAnsi="宋体" w:eastAsia="宋体" w:cs="宋体"/>
          <w:color w:val="auto"/>
          <w:highlight w:val="none"/>
        </w:rPr>
        <w:sectPr>
          <w:footerReference r:id="rId15" w:type="default"/>
          <w:pgSz w:w="11906" w:h="16839"/>
          <w:pgMar w:top="1431" w:right="1785" w:bottom="1156" w:left="1165" w:header="0" w:footer="996" w:gutter="0"/>
          <w:pgNumType w:fmt="decimal"/>
          <w:cols w:space="720" w:num="1"/>
        </w:sectPr>
      </w:pPr>
    </w:p>
    <w:p w14:paraId="0E0AA895">
      <w:pPr>
        <w:spacing w:line="259" w:lineRule="auto"/>
        <w:ind w:firstLine="444" w:firstLineChars="100"/>
        <w:jc w:val="right"/>
        <w:rPr>
          <w:rFonts w:hint="eastAsia" w:ascii="宋体" w:hAnsi="宋体" w:eastAsia="宋体" w:cs="宋体"/>
          <w:color w:val="auto"/>
          <w:spacing w:val="2"/>
          <w:sz w:val="52"/>
          <w:szCs w:val="52"/>
          <w:highlight w:val="none"/>
          <w:u w:val="single" w:color="auto"/>
          <w:lang w:val="en-US" w:eastAsia="zh-CN"/>
        </w:rPr>
      </w:pPr>
      <w:r>
        <w:rPr>
          <w:rFonts w:hint="eastAsia" w:ascii="宋体" w:hAnsi="宋体" w:eastAsia="宋体" w:cs="宋体"/>
          <w:color w:val="auto"/>
          <w:spacing w:val="2"/>
          <w:sz w:val="44"/>
          <w:szCs w:val="44"/>
          <w:highlight w:val="none"/>
          <w:u w:val="none" w:color="auto"/>
          <w:lang w:val="en-US" w:eastAsia="zh-CN"/>
        </w:rPr>
        <w:t>正本/副本</w:t>
      </w:r>
    </w:p>
    <w:p w14:paraId="41538BB3">
      <w:pPr>
        <w:spacing w:line="259" w:lineRule="auto"/>
        <w:ind w:firstLine="524" w:firstLineChars="100"/>
        <w:jc w:val="center"/>
        <w:rPr>
          <w:rFonts w:hint="eastAsia" w:ascii="宋体" w:hAnsi="宋体" w:eastAsia="宋体" w:cs="宋体"/>
          <w:color w:val="auto"/>
          <w:spacing w:val="2"/>
          <w:sz w:val="52"/>
          <w:szCs w:val="52"/>
          <w:highlight w:val="none"/>
          <w:u w:val="single" w:color="auto"/>
        </w:rPr>
      </w:pPr>
    </w:p>
    <w:p w14:paraId="31A37502">
      <w:pPr>
        <w:spacing w:line="259" w:lineRule="auto"/>
        <w:ind w:firstLine="524" w:firstLineChars="100"/>
        <w:jc w:val="center"/>
        <w:rPr>
          <w:rFonts w:hint="eastAsia" w:ascii="宋体" w:hAnsi="宋体" w:eastAsia="宋体" w:cs="宋体"/>
          <w:color w:val="auto"/>
          <w:spacing w:val="1"/>
          <w:sz w:val="52"/>
          <w:szCs w:val="52"/>
          <w:highlight w:val="none"/>
          <w:u w:val="single" w:color="auto"/>
        </w:rPr>
      </w:pPr>
      <w:r>
        <w:rPr>
          <w:rFonts w:hint="eastAsia" w:ascii="宋体" w:hAnsi="宋体" w:eastAsia="宋体" w:cs="宋体"/>
          <w:color w:val="auto"/>
          <w:spacing w:val="2"/>
          <w:sz w:val="52"/>
          <w:szCs w:val="52"/>
          <w:highlight w:val="none"/>
          <w:u w:val="single" w:color="auto"/>
          <w:lang w:eastAsia="zh-CN"/>
        </w:rPr>
        <w:t>（</w:t>
      </w:r>
      <w:r>
        <w:rPr>
          <w:rFonts w:hint="eastAsia" w:ascii="宋体" w:hAnsi="宋体" w:eastAsia="宋体" w:cs="宋体"/>
          <w:color w:val="auto"/>
          <w:spacing w:val="2"/>
          <w:sz w:val="52"/>
          <w:szCs w:val="52"/>
          <w:highlight w:val="none"/>
          <w:u w:val="single" w:color="auto"/>
        </w:rPr>
        <w:t>项目名</w:t>
      </w:r>
      <w:r>
        <w:rPr>
          <w:rFonts w:hint="eastAsia" w:ascii="宋体" w:hAnsi="宋体" w:eastAsia="宋体" w:cs="宋体"/>
          <w:color w:val="auto"/>
          <w:spacing w:val="1"/>
          <w:sz w:val="52"/>
          <w:szCs w:val="52"/>
          <w:highlight w:val="none"/>
          <w:u w:val="single" w:color="auto"/>
        </w:rPr>
        <w:t>称)</w:t>
      </w:r>
    </w:p>
    <w:p w14:paraId="5E293A5F">
      <w:pPr>
        <w:pStyle w:val="6"/>
        <w:rPr>
          <w:rFonts w:hint="eastAsia" w:ascii="宋体" w:hAnsi="宋体" w:eastAsia="宋体" w:cs="宋体"/>
          <w:color w:val="auto"/>
          <w:spacing w:val="1"/>
          <w:sz w:val="29"/>
          <w:szCs w:val="29"/>
          <w:highlight w:val="none"/>
          <w:u w:val="single" w:color="auto"/>
        </w:rPr>
      </w:pPr>
    </w:p>
    <w:p w14:paraId="4D7C8404">
      <w:pPr>
        <w:pStyle w:val="38"/>
        <w:rPr>
          <w:rFonts w:hint="eastAsia" w:ascii="宋体" w:hAnsi="宋体" w:eastAsia="宋体" w:cs="宋体"/>
          <w:color w:val="auto"/>
          <w:spacing w:val="1"/>
          <w:sz w:val="29"/>
          <w:szCs w:val="29"/>
          <w:highlight w:val="none"/>
          <w:u w:val="single" w:color="auto"/>
        </w:rPr>
      </w:pPr>
    </w:p>
    <w:p w14:paraId="1DF8F654">
      <w:pPr>
        <w:pStyle w:val="38"/>
        <w:rPr>
          <w:rFonts w:hint="eastAsia" w:ascii="宋体" w:hAnsi="宋体" w:eastAsia="宋体" w:cs="宋体"/>
          <w:color w:val="auto"/>
          <w:spacing w:val="1"/>
          <w:sz w:val="29"/>
          <w:szCs w:val="29"/>
          <w:highlight w:val="none"/>
          <w:u w:val="single" w:color="auto"/>
        </w:rPr>
      </w:pPr>
    </w:p>
    <w:p w14:paraId="690BA21C">
      <w:pPr>
        <w:pStyle w:val="38"/>
        <w:rPr>
          <w:rFonts w:hint="eastAsia" w:ascii="宋体" w:hAnsi="宋体" w:eastAsia="宋体" w:cs="宋体"/>
          <w:color w:val="auto"/>
          <w:spacing w:val="1"/>
          <w:sz w:val="29"/>
          <w:szCs w:val="29"/>
          <w:highlight w:val="none"/>
          <w:u w:val="single" w:color="auto"/>
        </w:rPr>
      </w:pPr>
    </w:p>
    <w:p w14:paraId="13B860DA">
      <w:pPr>
        <w:pStyle w:val="38"/>
        <w:rPr>
          <w:rFonts w:hint="eastAsia" w:ascii="宋体" w:hAnsi="宋体" w:eastAsia="宋体" w:cs="宋体"/>
          <w:color w:val="auto"/>
          <w:spacing w:val="1"/>
          <w:sz w:val="29"/>
          <w:szCs w:val="29"/>
          <w:highlight w:val="none"/>
          <w:u w:val="single" w:color="auto"/>
        </w:rPr>
      </w:pPr>
    </w:p>
    <w:p w14:paraId="0151D9F2">
      <w:pPr>
        <w:pStyle w:val="38"/>
        <w:rPr>
          <w:rFonts w:hint="eastAsia" w:ascii="宋体" w:hAnsi="宋体" w:eastAsia="宋体" w:cs="宋体"/>
          <w:color w:val="auto"/>
          <w:spacing w:val="1"/>
          <w:sz w:val="29"/>
          <w:szCs w:val="29"/>
          <w:highlight w:val="none"/>
          <w:u w:val="single" w:color="auto"/>
        </w:rPr>
      </w:pPr>
    </w:p>
    <w:p w14:paraId="4D21C5CE">
      <w:pPr>
        <w:pStyle w:val="38"/>
        <w:jc w:val="center"/>
        <w:rPr>
          <w:rFonts w:hint="eastAsia" w:ascii="宋体" w:hAnsi="宋体" w:eastAsia="宋体" w:cs="宋体"/>
          <w:b/>
          <w:bCs/>
          <w:color w:val="auto"/>
          <w:spacing w:val="1"/>
          <w:sz w:val="84"/>
          <w:szCs w:val="84"/>
          <w:highlight w:val="none"/>
          <w:u w:val="none" w:color="auto"/>
          <w:lang w:eastAsia="zh-CN"/>
        </w:rPr>
      </w:pPr>
      <w:r>
        <w:rPr>
          <w:rFonts w:hint="eastAsia" w:ascii="宋体" w:hAnsi="宋体" w:eastAsia="宋体" w:cs="宋体"/>
          <w:b/>
          <w:bCs/>
          <w:color w:val="auto"/>
          <w:spacing w:val="1"/>
          <w:sz w:val="84"/>
          <w:szCs w:val="84"/>
          <w:highlight w:val="none"/>
          <w:u w:val="none" w:color="auto"/>
          <w:lang w:eastAsia="zh-CN"/>
        </w:rPr>
        <w:t>投标文件</w:t>
      </w:r>
    </w:p>
    <w:p w14:paraId="1080DA06">
      <w:pPr>
        <w:pStyle w:val="38"/>
        <w:jc w:val="center"/>
        <w:rPr>
          <w:rFonts w:hint="eastAsia" w:ascii="宋体" w:hAnsi="宋体" w:eastAsia="宋体" w:cs="宋体"/>
          <w:color w:val="auto"/>
          <w:spacing w:val="1"/>
          <w:sz w:val="84"/>
          <w:szCs w:val="84"/>
          <w:highlight w:val="none"/>
          <w:u w:val="none" w:color="auto"/>
          <w:lang w:eastAsia="zh-CN"/>
        </w:rPr>
      </w:pPr>
    </w:p>
    <w:p w14:paraId="1777265A">
      <w:pPr>
        <w:pStyle w:val="38"/>
        <w:jc w:val="center"/>
        <w:rPr>
          <w:rFonts w:hint="eastAsia" w:ascii="宋体" w:hAnsi="宋体" w:eastAsia="宋体" w:cs="宋体"/>
          <w:color w:val="auto"/>
          <w:spacing w:val="1"/>
          <w:sz w:val="84"/>
          <w:szCs w:val="84"/>
          <w:highlight w:val="none"/>
          <w:u w:val="none" w:color="auto"/>
          <w:lang w:eastAsia="zh-CN"/>
        </w:rPr>
      </w:pPr>
    </w:p>
    <w:p w14:paraId="678AF263">
      <w:pPr>
        <w:pStyle w:val="38"/>
        <w:jc w:val="center"/>
        <w:rPr>
          <w:rFonts w:hint="eastAsia" w:ascii="宋体" w:hAnsi="宋体" w:eastAsia="宋体" w:cs="宋体"/>
          <w:color w:val="auto"/>
          <w:spacing w:val="1"/>
          <w:sz w:val="84"/>
          <w:szCs w:val="84"/>
          <w:highlight w:val="none"/>
          <w:u w:val="none" w:color="auto"/>
          <w:lang w:eastAsia="zh-CN"/>
        </w:rPr>
      </w:pPr>
    </w:p>
    <w:p w14:paraId="259D1A26">
      <w:pPr>
        <w:pStyle w:val="38"/>
        <w:jc w:val="center"/>
        <w:rPr>
          <w:rFonts w:hint="eastAsia" w:ascii="宋体" w:hAnsi="宋体" w:eastAsia="宋体" w:cs="宋体"/>
          <w:color w:val="auto"/>
          <w:spacing w:val="1"/>
          <w:sz w:val="84"/>
          <w:szCs w:val="84"/>
          <w:highlight w:val="none"/>
          <w:u w:val="none" w:color="auto"/>
          <w:lang w:eastAsia="zh-CN"/>
        </w:rPr>
      </w:pPr>
    </w:p>
    <w:p w14:paraId="183A44F0">
      <w:pPr>
        <w:pStyle w:val="38"/>
        <w:jc w:val="center"/>
        <w:rPr>
          <w:rFonts w:hint="eastAsia" w:ascii="宋体" w:hAnsi="宋体" w:eastAsia="宋体" w:cs="宋体"/>
          <w:color w:val="auto"/>
          <w:spacing w:val="1"/>
          <w:sz w:val="84"/>
          <w:szCs w:val="84"/>
          <w:highlight w:val="none"/>
          <w:u w:val="none" w:color="auto"/>
          <w:lang w:eastAsia="zh-CN"/>
        </w:rPr>
      </w:pPr>
    </w:p>
    <w:p w14:paraId="7004DFCD">
      <w:pPr>
        <w:pStyle w:val="38"/>
        <w:jc w:val="left"/>
        <w:rPr>
          <w:rFonts w:hint="eastAsia" w:ascii="宋体" w:hAnsi="宋体" w:eastAsia="宋体" w:cs="宋体"/>
          <w:color w:val="auto"/>
          <w:spacing w:val="1"/>
          <w:sz w:val="32"/>
          <w:szCs w:val="32"/>
          <w:highlight w:val="none"/>
          <w:u w:val="none" w:color="auto"/>
          <w:lang w:eastAsia="zh-CN"/>
        </w:rPr>
      </w:pPr>
      <w:r>
        <w:rPr>
          <w:rFonts w:hint="eastAsia" w:ascii="宋体" w:hAnsi="宋体" w:eastAsia="宋体" w:cs="宋体"/>
          <w:color w:val="auto"/>
          <w:spacing w:val="1"/>
          <w:sz w:val="32"/>
          <w:szCs w:val="32"/>
          <w:highlight w:val="none"/>
          <w:u w:val="none" w:color="auto"/>
          <w:lang w:eastAsia="zh-CN"/>
        </w:rPr>
        <w:t>投标</w:t>
      </w:r>
      <w:r>
        <w:rPr>
          <w:rFonts w:hint="eastAsia" w:ascii="宋体" w:hAnsi="宋体" w:eastAsia="宋体" w:cs="宋体"/>
          <w:color w:val="auto"/>
          <w:spacing w:val="1"/>
          <w:sz w:val="32"/>
          <w:szCs w:val="32"/>
          <w:highlight w:val="none"/>
          <w:u w:val="none" w:color="auto"/>
          <w:lang w:val="en-US" w:eastAsia="zh-CN"/>
        </w:rPr>
        <w:t>人</w:t>
      </w:r>
      <w:r>
        <w:rPr>
          <w:rFonts w:hint="eastAsia" w:ascii="宋体" w:hAnsi="宋体" w:eastAsia="宋体" w:cs="宋体"/>
          <w:color w:val="auto"/>
          <w:spacing w:val="1"/>
          <w:sz w:val="32"/>
          <w:szCs w:val="32"/>
          <w:highlight w:val="none"/>
          <w:u w:val="none" w:color="auto"/>
          <w:lang w:eastAsia="zh-CN"/>
        </w:rPr>
        <w:t>名称（盖章）：</w:t>
      </w:r>
      <w:r>
        <w:rPr>
          <w:rFonts w:hint="eastAsia" w:ascii="宋体" w:hAnsi="宋体" w:eastAsia="宋体" w:cs="宋体"/>
          <w:color w:val="auto"/>
          <w:spacing w:val="1"/>
          <w:sz w:val="32"/>
          <w:szCs w:val="32"/>
          <w:highlight w:val="none"/>
          <w:u w:val="single" w:color="auto"/>
          <w:lang w:val="en-US" w:eastAsia="zh-CN"/>
        </w:rPr>
        <w:t xml:space="preserve">                 </w:t>
      </w:r>
    </w:p>
    <w:p w14:paraId="1716207E">
      <w:pPr>
        <w:pStyle w:val="38"/>
        <w:jc w:val="left"/>
        <w:rPr>
          <w:rFonts w:hint="eastAsia" w:ascii="宋体" w:hAnsi="宋体" w:eastAsia="宋体" w:cs="宋体"/>
          <w:color w:val="auto"/>
          <w:spacing w:val="1"/>
          <w:sz w:val="32"/>
          <w:szCs w:val="32"/>
          <w:highlight w:val="none"/>
          <w:u w:val="none" w:color="auto"/>
          <w:lang w:eastAsia="zh-CN"/>
        </w:rPr>
      </w:pPr>
    </w:p>
    <w:p w14:paraId="466B44B1">
      <w:pPr>
        <w:pStyle w:val="38"/>
        <w:jc w:val="left"/>
        <w:rPr>
          <w:rFonts w:hint="eastAsia" w:ascii="宋体" w:hAnsi="宋体" w:eastAsia="宋体" w:cs="宋体"/>
          <w:color w:val="auto"/>
          <w:spacing w:val="1"/>
          <w:sz w:val="32"/>
          <w:szCs w:val="32"/>
          <w:highlight w:val="none"/>
          <w:u w:val="single" w:color="auto"/>
          <w:lang w:val="en-US" w:eastAsia="zh-CN"/>
        </w:rPr>
      </w:pPr>
      <w:r>
        <w:rPr>
          <w:rFonts w:hint="eastAsia" w:ascii="宋体" w:hAnsi="宋体" w:eastAsia="宋体" w:cs="宋体"/>
          <w:color w:val="auto"/>
          <w:spacing w:val="1"/>
          <w:sz w:val="32"/>
          <w:szCs w:val="32"/>
          <w:highlight w:val="none"/>
          <w:u w:val="none" w:color="auto"/>
          <w:lang w:eastAsia="zh-CN"/>
        </w:rPr>
        <w:t>法定代表人或其委托代理人签字：</w:t>
      </w:r>
      <w:r>
        <w:rPr>
          <w:rFonts w:hint="eastAsia" w:ascii="宋体" w:hAnsi="宋体" w:eastAsia="宋体" w:cs="宋体"/>
          <w:color w:val="auto"/>
          <w:spacing w:val="1"/>
          <w:sz w:val="32"/>
          <w:szCs w:val="32"/>
          <w:highlight w:val="none"/>
          <w:u w:val="single" w:color="auto"/>
          <w:lang w:val="en-US" w:eastAsia="zh-CN"/>
        </w:rPr>
        <w:t xml:space="preserve">           </w:t>
      </w:r>
    </w:p>
    <w:p w14:paraId="75F19454">
      <w:pPr>
        <w:pStyle w:val="38"/>
        <w:jc w:val="left"/>
        <w:rPr>
          <w:rFonts w:hint="eastAsia" w:ascii="宋体" w:hAnsi="宋体" w:eastAsia="宋体" w:cs="宋体"/>
          <w:color w:val="auto"/>
          <w:spacing w:val="1"/>
          <w:sz w:val="32"/>
          <w:szCs w:val="32"/>
          <w:highlight w:val="none"/>
          <w:u w:val="none" w:color="auto"/>
          <w:lang w:eastAsia="zh-CN"/>
        </w:rPr>
      </w:pPr>
    </w:p>
    <w:p w14:paraId="4C8EAD02">
      <w:pPr>
        <w:pStyle w:val="38"/>
        <w:jc w:val="left"/>
        <w:rPr>
          <w:rFonts w:hint="eastAsia" w:ascii="宋体" w:hAnsi="宋体" w:eastAsia="宋体" w:cs="宋体"/>
          <w:color w:val="auto"/>
          <w:spacing w:val="1"/>
          <w:sz w:val="32"/>
          <w:szCs w:val="32"/>
          <w:highlight w:val="none"/>
          <w:u w:val="single" w:color="auto"/>
          <w:lang w:val="en-US" w:eastAsia="zh-CN"/>
        </w:rPr>
        <w:sectPr>
          <w:headerReference r:id="rId16" w:type="default"/>
          <w:footerReference r:id="rId17" w:type="default"/>
          <w:pgSz w:w="11906" w:h="16839"/>
          <w:pgMar w:top="1240" w:right="1785" w:bottom="1156" w:left="1785" w:header="0" w:footer="996" w:gutter="0"/>
          <w:pgNumType w:fmt="decimal"/>
          <w:cols w:space="720" w:num="1"/>
        </w:sectPr>
      </w:pPr>
      <w:r>
        <w:rPr>
          <w:rFonts w:hint="eastAsia" w:ascii="宋体" w:hAnsi="宋体" w:eastAsia="宋体" w:cs="宋体"/>
          <w:color w:val="auto"/>
          <w:spacing w:val="1"/>
          <w:sz w:val="32"/>
          <w:szCs w:val="32"/>
          <w:highlight w:val="none"/>
          <w:u w:val="none" w:color="auto"/>
          <w:lang w:eastAsia="zh-CN"/>
        </w:rPr>
        <w:t>日期：</w:t>
      </w:r>
      <w:r>
        <w:rPr>
          <w:rFonts w:hint="eastAsia" w:ascii="宋体" w:hAnsi="宋体" w:eastAsia="宋体" w:cs="宋体"/>
          <w:color w:val="auto"/>
          <w:spacing w:val="1"/>
          <w:sz w:val="32"/>
          <w:szCs w:val="32"/>
          <w:highlight w:val="none"/>
          <w:u w:val="single" w:color="auto"/>
          <w:lang w:val="en-US" w:eastAsia="zh-CN"/>
        </w:rPr>
        <w:t xml:space="preserve">             </w:t>
      </w:r>
    </w:p>
    <w:p w14:paraId="28C41237">
      <w:pPr>
        <w:spacing w:before="101" w:line="227" w:lineRule="auto"/>
        <w:ind w:left="4724"/>
        <w:rPr>
          <w:rFonts w:hint="eastAsia" w:ascii="宋体" w:hAnsi="宋体" w:eastAsia="宋体" w:cs="宋体"/>
          <w:color w:val="auto"/>
          <w:sz w:val="31"/>
          <w:szCs w:val="31"/>
          <w:highlight w:val="none"/>
        </w:rPr>
      </w:pPr>
      <w:r>
        <w:rPr>
          <w:rFonts w:hint="eastAsia" w:ascii="宋体" w:hAnsi="宋体" w:eastAsia="宋体" w:cs="宋体"/>
          <w:color w:val="auto"/>
          <w:highlight w:val="none"/>
        </w:rPr>
        <w:pict>
          <v:shape id="_x0000_s1027" o:spid="_x0000_s1027" o:spt="202" type="#_x0000_t202" style="position:absolute;left:0pt;margin-left:181.9pt;margin-top:4.05pt;height:21.15pt;width:14.3pt;z-index:251660288;mso-width-relative:page;mso-height-relative:page;" filled="f" stroked="f" coordsize="21600,21600">
            <v:path/>
            <v:fill on="f" focussize="0,0"/>
            <v:stroke on="f"/>
            <v:imagedata o:title=""/>
            <o:lock v:ext="edit" aspectratio="f"/>
            <v:textbox inset="0mm,0mm,0mm,0mm">
              <w:txbxContent>
                <w:p w14:paraId="73F49C75">
                  <w:pPr>
                    <w:spacing w:before="19" w:line="228" w:lineRule="auto"/>
                    <w:ind w:left="20"/>
                    <w:rPr>
                      <w:rFonts w:ascii="宋体" w:hAnsi="宋体" w:eastAsia="宋体" w:cs="宋体"/>
                      <w:sz w:val="31"/>
                      <w:szCs w:val="31"/>
                    </w:rPr>
                  </w:pPr>
                  <w:r>
                    <w:rPr>
                      <w:rFonts w:ascii="宋体" w:hAnsi="宋体" w:eastAsia="宋体" w:cs="宋体"/>
                      <w:spacing w:val="-27"/>
                      <w:w w:val="87"/>
                      <w:sz w:val="31"/>
                      <w:szCs w:val="31"/>
                      <w14:textOutline w14:w="5793" w14:cap="sq" w14:cmpd="sng">
                        <w14:solidFill>
                          <w14:srgbClr w14:val="000000"/>
                        </w14:solidFill>
                        <w14:prstDash w14:val="solid"/>
                        <w14:bevel/>
                      </w14:textOutline>
                    </w:rPr>
                    <w:t>目</w:t>
                  </w:r>
                </w:p>
              </w:txbxContent>
            </v:textbox>
          </v:shape>
        </w:pict>
      </w:r>
      <w:r>
        <w:rPr>
          <w:rFonts w:hint="eastAsia" w:ascii="宋体" w:hAnsi="宋体" w:eastAsia="宋体" w:cs="宋体"/>
          <w:color w:val="auto"/>
          <w:sz w:val="31"/>
          <w:szCs w:val="31"/>
          <w:highlight w:val="none"/>
          <w14:textOutline w14:w="5793" w14:cap="sq" w14:cmpd="sng">
            <w14:solidFill>
              <w14:srgbClr w14:val="000000"/>
            </w14:solidFill>
            <w14:prstDash w14:val="solid"/>
            <w14:bevel/>
          </w14:textOutline>
        </w:rPr>
        <w:t>录</w:t>
      </w:r>
    </w:p>
    <w:p w14:paraId="3E4C9999">
      <w:pPr>
        <w:autoSpaceDE w:val="0"/>
        <w:autoSpaceDN w:val="0"/>
        <w:adjustRightInd w:val="0"/>
        <w:spacing w:line="360" w:lineRule="auto"/>
        <w:ind w:firstLine="482" w:firstLineChars="20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lang w:val="zh-CN"/>
        </w:rPr>
        <w:t>投标人可自行充实目录，并对应页码</w:t>
      </w:r>
      <w:r>
        <w:rPr>
          <w:rFonts w:hint="eastAsia" w:ascii="宋体" w:hAnsi="宋体" w:eastAsia="宋体" w:cs="宋体"/>
          <w:b/>
          <w:bCs/>
          <w:color w:val="auto"/>
          <w:sz w:val="24"/>
          <w:szCs w:val="24"/>
          <w:highlight w:val="none"/>
          <w:lang w:val="zh-CN" w:eastAsia="zh-CN"/>
        </w:rPr>
        <w:t>。</w:t>
      </w:r>
    </w:p>
    <w:p w14:paraId="14504BF9">
      <w:pPr>
        <w:spacing w:before="114" w:line="225" w:lineRule="auto"/>
        <w:ind w:left="2850"/>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sectPr>
          <w:footerReference r:id="rId18" w:type="default"/>
          <w:pgSz w:w="11906" w:h="16839"/>
          <w:pgMar w:top="1260" w:right="1785" w:bottom="1156" w:left="1785" w:header="0" w:footer="996" w:gutter="0"/>
          <w:pgNumType w:fmt="decimal"/>
          <w:cols w:space="720" w:num="1"/>
        </w:sectPr>
      </w:pPr>
    </w:p>
    <w:p w14:paraId="7E2A8D7B">
      <w:pPr>
        <w:spacing w:before="114" w:line="225" w:lineRule="auto"/>
        <w:ind w:left="2850"/>
        <w:rPr>
          <w:rFonts w:hint="eastAsia" w:ascii="宋体" w:hAnsi="宋体" w:eastAsia="宋体" w:cs="宋体"/>
          <w:color w:val="auto"/>
          <w:sz w:val="35"/>
          <w:szCs w:val="35"/>
          <w:highlight w:val="none"/>
        </w:rPr>
      </w:pPr>
      <w:r>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15"/>
          <w:sz w:val="35"/>
          <w:szCs w:val="35"/>
          <w:highlight w:val="none"/>
          <w14:textOutline w14:w="6537" w14:cap="sq" w14:cmpd="sng">
            <w14:solidFill>
              <w14:srgbClr w14:val="000000"/>
            </w14:solidFill>
            <w14:prstDash w14:val="solid"/>
            <w14:bevel/>
          </w14:textOutline>
        </w:rPr>
        <w:t>标文件商务部分</w:t>
      </w:r>
    </w:p>
    <w:p w14:paraId="676BF4D6">
      <w:pPr>
        <w:rPr>
          <w:rFonts w:hint="eastAsia" w:ascii="宋体" w:hAnsi="宋体" w:eastAsia="宋体" w:cs="宋体"/>
          <w:color w:val="auto"/>
          <w:highlight w:val="none"/>
        </w:rPr>
        <w:sectPr>
          <w:pgSz w:w="11906" w:h="16839"/>
          <w:pgMar w:top="1260" w:right="1785" w:bottom="1156" w:left="1785" w:header="0" w:footer="996" w:gutter="0"/>
          <w:pgNumType w:fmt="decimal"/>
          <w:cols w:space="720" w:num="1"/>
        </w:sectPr>
      </w:pPr>
    </w:p>
    <w:p w14:paraId="1EF510C9">
      <w:pPr>
        <w:spacing w:before="94" w:line="226" w:lineRule="auto"/>
        <w:ind w:left="3880"/>
        <w:rPr>
          <w:rFonts w:hint="eastAsia" w:ascii="宋体" w:hAnsi="宋体" w:eastAsia="宋体" w:cs="宋体"/>
          <w:color w:val="auto"/>
          <w:sz w:val="29"/>
          <w:szCs w:val="29"/>
          <w:highlight w:val="none"/>
        </w:rPr>
      </w:pPr>
      <w:r>
        <w:rPr>
          <w:rFonts w:hint="eastAsia" w:ascii="宋体" w:hAnsi="宋体" w:eastAsia="宋体" w:cs="宋体"/>
          <w:color w:val="auto"/>
          <w:spacing w:val="-21"/>
          <w:sz w:val="29"/>
          <w:szCs w:val="29"/>
          <w:highlight w:val="none"/>
          <w14:textOutline w14:w="5448" w14:cap="sq" w14:cmpd="sng">
            <w14:solidFill>
              <w14:srgbClr w14:val="000000"/>
            </w14:solidFill>
            <w14:prstDash w14:val="solid"/>
            <w14:bevel/>
          </w14:textOutline>
        </w:rPr>
        <w:t>一</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color w:val="auto"/>
          <w:spacing w:val="-19"/>
          <w:sz w:val="29"/>
          <w:szCs w:val="29"/>
          <w:highlight w:val="none"/>
        </w:rPr>
        <w:t xml:space="preserve">  </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投标函</w:t>
      </w:r>
    </w:p>
    <w:p w14:paraId="64D6E19B">
      <w:pPr>
        <w:spacing w:line="460" w:lineRule="auto"/>
        <w:rPr>
          <w:rFonts w:hint="eastAsia" w:ascii="宋体" w:hAnsi="宋体" w:eastAsia="宋体" w:cs="宋体"/>
          <w:color w:val="auto"/>
          <w:sz w:val="21"/>
          <w:highlight w:val="none"/>
        </w:rPr>
      </w:pPr>
    </w:p>
    <w:p w14:paraId="40B38851">
      <w:pPr>
        <w:tabs>
          <w:tab w:val="left" w:pos="136"/>
        </w:tabs>
        <w:spacing w:before="74"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 xml:space="preserve">采购人名称)       </w:t>
      </w:r>
      <w:r>
        <w:rPr>
          <w:rFonts w:hint="eastAsia" w:ascii="宋体" w:hAnsi="宋体" w:eastAsia="宋体" w:cs="宋体"/>
          <w:color w:val="auto"/>
          <w:spacing w:val="5"/>
          <w:sz w:val="24"/>
          <w:szCs w:val="24"/>
          <w:highlight w:val="none"/>
        </w:rPr>
        <w:t>：</w:t>
      </w:r>
    </w:p>
    <w:p w14:paraId="34BEC8C0">
      <w:pPr>
        <w:spacing w:before="91" w:line="360" w:lineRule="auto"/>
        <w:ind w:left="7" w:firstLine="6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按照已收到的项目编号为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项目名称)的招标文</w:t>
      </w:r>
      <w:r>
        <w:rPr>
          <w:rFonts w:hint="eastAsia" w:ascii="宋体" w:hAnsi="宋体" w:eastAsia="宋体" w:cs="宋体"/>
          <w:color w:val="auto"/>
          <w:spacing w:val="3"/>
          <w:sz w:val="24"/>
          <w:szCs w:val="24"/>
          <w:highlight w:val="none"/>
        </w:rPr>
        <w:t>件</w:t>
      </w:r>
      <w:r>
        <w:rPr>
          <w:rFonts w:hint="eastAsia" w:ascii="宋体" w:hAnsi="宋体" w:eastAsia="宋体" w:cs="宋体"/>
          <w:color w:val="auto"/>
          <w:sz w:val="24"/>
          <w:szCs w:val="24"/>
          <w:highlight w:val="none"/>
        </w:rPr>
        <w:t xml:space="preserve">要 </w:t>
      </w:r>
      <w:r>
        <w:rPr>
          <w:rFonts w:hint="eastAsia" w:ascii="宋体" w:hAnsi="宋体" w:eastAsia="宋体" w:cs="宋体"/>
          <w:color w:val="auto"/>
          <w:spacing w:val="18"/>
          <w:sz w:val="24"/>
          <w:szCs w:val="24"/>
          <w:highlight w:val="none"/>
        </w:rPr>
        <w:t>求，</w:t>
      </w:r>
      <w:r>
        <w:rPr>
          <w:rFonts w:hint="eastAsia" w:ascii="宋体" w:hAnsi="宋体" w:eastAsia="宋体" w:cs="宋体"/>
          <w:color w:val="auto"/>
          <w:spacing w:val="15"/>
          <w:sz w:val="24"/>
          <w:szCs w:val="24"/>
          <w:highlight w:val="none"/>
        </w:rPr>
        <w:t>经</w:t>
      </w:r>
      <w:r>
        <w:rPr>
          <w:rFonts w:hint="eastAsia" w:ascii="宋体" w:hAnsi="宋体" w:eastAsia="宋体" w:cs="宋体"/>
          <w:color w:val="auto"/>
          <w:spacing w:val="9"/>
          <w:sz w:val="24"/>
          <w:szCs w:val="24"/>
          <w:highlight w:val="none"/>
        </w:rPr>
        <w:t>我公司认真研究投标须知、技术参数及要求</w:t>
      </w:r>
      <w:r>
        <w:rPr>
          <w:rFonts w:hint="eastAsia" w:ascii="宋体" w:hAnsi="宋体" w:eastAsia="宋体" w:cs="宋体"/>
          <w:color w:val="auto"/>
          <w:spacing w:val="9"/>
          <w:sz w:val="24"/>
          <w:szCs w:val="24"/>
          <w:highlight w:val="none"/>
          <w:lang w:eastAsia="zh-CN"/>
        </w:rPr>
        <w:t>和其他</w:t>
      </w:r>
      <w:r>
        <w:rPr>
          <w:rFonts w:hint="eastAsia" w:ascii="宋体" w:hAnsi="宋体" w:eastAsia="宋体" w:cs="宋体"/>
          <w:color w:val="auto"/>
          <w:spacing w:val="9"/>
          <w:sz w:val="24"/>
          <w:szCs w:val="24"/>
          <w:highlight w:val="none"/>
        </w:rPr>
        <w:t>有关规定后，我方愿按上述要求</w:t>
      </w:r>
      <w:r>
        <w:rPr>
          <w:rFonts w:hint="eastAsia" w:ascii="宋体" w:hAnsi="宋体" w:eastAsia="宋体" w:cs="宋体"/>
          <w:color w:val="auto"/>
          <w:spacing w:val="12"/>
          <w:sz w:val="24"/>
          <w:szCs w:val="24"/>
          <w:highlight w:val="none"/>
        </w:rPr>
        <w:t>进行投标。并愿以</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single" w:color="auto"/>
          <w:lang w:val="en-US" w:eastAsia="zh-CN"/>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none" w:color="auto"/>
        </w:rPr>
        <w:t>元</w:t>
      </w:r>
      <w:r>
        <w:rPr>
          <w:rFonts w:hint="eastAsia" w:ascii="宋体" w:hAnsi="宋体" w:eastAsia="宋体" w:cs="宋体"/>
          <w:color w:val="auto"/>
          <w:spacing w:val="12"/>
          <w:sz w:val="24"/>
          <w:szCs w:val="24"/>
          <w:highlight w:val="none"/>
        </w:rPr>
        <w:t>为我方报价。我方完全接受本次招标文件规定的所有要求</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并承诺在中标后履行我方的全部义务</w:t>
      </w:r>
      <w:r>
        <w:rPr>
          <w:rFonts w:hint="eastAsia" w:ascii="宋体" w:hAnsi="宋体" w:eastAsia="宋体" w:cs="宋体"/>
          <w:color w:val="auto"/>
          <w:spacing w:val="8"/>
          <w:sz w:val="24"/>
          <w:szCs w:val="24"/>
          <w:highlight w:val="none"/>
        </w:rPr>
        <w:t>。</w:t>
      </w:r>
    </w:p>
    <w:p w14:paraId="28E2A03F">
      <w:pPr>
        <w:spacing w:before="1" w:line="360" w:lineRule="auto"/>
        <w:ind w:left="38" w:firstLine="54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我方同意所递交的投标文件在“投标须知”规定的投标有效期内有效，在此期</w:t>
      </w:r>
      <w:r>
        <w:rPr>
          <w:rFonts w:hint="eastAsia" w:ascii="宋体" w:hAnsi="宋体" w:eastAsia="宋体" w:cs="宋体"/>
          <w:color w:val="auto"/>
          <w:spacing w:val="6"/>
          <w:sz w:val="24"/>
          <w:szCs w:val="24"/>
          <w:highlight w:val="none"/>
        </w:rPr>
        <w:t>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内</w:t>
      </w:r>
      <w:r>
        <w:rPr>
          <w:rFonts w:hint="eastAsia" w:ascii="宋体" w:hAnsi="宋体" w:eastAsia="宋体" w:cs="宋体"/>
          <w:color w:val="auto"/>
          <w:spacing w:val="8"/>
          <w:sz w:val="24"/>
          <w:szCs w:val="24"/>
          <w:highlight w:val="none"/>
        </w:rPr>
        <w:t>我</w:t>
      </w:r>
      <w:r>
        <w:rPr>
          <w:rFonts w:hint="eastAsia" w:ascii="宋体" w:hAnsi="宋体" w:eastAsia="宋体" w:cs="宋体"/>
          <w:color w:val="auto"/>
          <w:spacing w:val="7"/>
          <w:sz w:val="24"/>
          <w:szCs w:val="24"/>
          <w:highlight w:val="none"/>
        </w:rPr>
        <w:t>方的投标如能中标，我方将受此约束。</w:t>
      </w:r>
    </w:p>
    <w:p w14:paraId="48C2A656">
      <w:pPr>
        <w:spacing w:before="1"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w:t>
      </w:r>
      <w:r>
        <w:rPr>
          <w:rFonts w:hint="eastAsia" w:ascii="宋体" w:hAnsi="宋体" w:eastAsia="宋体" w:cs="宋体"/>
          <w:color w:val="auto"/>
          <w:spacing w:val="8"/>
          <w:sz w:val="24"/>
          <w:szCs w:val="24"/>
          <w:highlight w:val="none"/>
        </w:rPr>
        <w:t>. 我方郑重声明：所提供的投标文件内容真实。</w:t>
      </w:r>
    </w:p>
    <w:p w14:paraId="47143EC2">
      <w:pPr>
        <w:spacing w:before="100" w:line="360"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 我方接受招标文件所列须知中关于没收投标保证金的约定</w:t>
      </w:r>
      <w:r>
        <w:rPr>
          <w:rFonts w:hint="eastAsia" w:ascii="宋体" w:hAnsi="宋体" w:eastAsia="宋体" w:cs="宋体"/>
          <w:color w:val="auto"/>
          <w:spacing w:val="4"/>
          <w:sz w:val="24"/>
          <w:szCs w:val="24"/>
          <w:highlight w:val="none"/>
        </w:rPr>
        <w:t>。</w:t>
      </w:r>
    </w:p>
    <w:p w14:paraId="673F30EE">
      <w:pPr>
        <w:spacing w:before="98"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 我方同意提供按照贵方可能另外要求的与其投标有关的任何数据或资料。除非</w:t>
      </w:r>
      <w:r>
        <w:rPr>
          <w:rFonts w:hint="eastAsia" w:ascii="宋体" w:hAnsi="宋体" w:eastAsia="宋体" w:cs="宋体"/>
          <w:color w:val="auto"/>
          <w:spacing w:val="4"/>
          <w:sz w:val="24"/>
          <w:szCs w:val="24"/>
          <w:highlight w:val="none"/>
        </w:rPr>
        <w:t>另</w:t>
      </w:r>
      <w:r>
        <w:rPr>
          <w:rFonts w:hint="eastAsia" w:ascii="宋体" w:hAnsi="宋体" w:eastAsia="宋体" w:cs="宋体"/>
          <w:color w:val="auto"/>
          <w:spacing w:val="16"/>
          <w:sz w:val="24"/>
          <w:szCs w:val="24"/>
          <w:highlight w:val="none"/>
        </w:rPr>
        <w:t>外达</w:t>
      </w:r>
      <w:r>
        <w:rPr>
          <w:rFonts w:hint="eastAsia" w:ascii="宋体" w:hAnsi="宋体" w:eastAsia="宋体" w:cs="宋体"/>
          <w:color w:val="auto"/>
          <w:spacing w:val="14"/>
          <w:sz w:val="24"/>
          <w:szCs w:val="24"/>
          <w:highlight w:val="none"/>
        </w:rPr>
        <w:t>成</w:t>
      </w:r>
      <w:r>
        <w:rPr>
          <w:rFonts w:hint="eastAsia" w:ascii="宋体" w:hAnsi="宋体" w:eastAsia="宋体" w:cs="宋体"/>
          <w:color w:val="auto"/>
          <w:spacing w:val="8"/>
          <w:sz w:val="24"/>
          <w:szCs w:val="24"/>
          <w:highlight w:val="none"/>
        </w:rPr>
        <w:t>协议并生效，否则，中标通知书和本投标文件将构成约束双方合同的组成部分。</w:t>
      </w:r>
      <w:r>
        <w:rPr>
          <w:rFonts w:hint="eastAsia" w:ascii="宋体" w:hAnsi="宋体" w:eastAsia="宋体" w:cs="宋体"/>
          <w:color w:val="auto"/>
          <w:sz w:val="24"/>
          <w:szCs w:val="24"/>
          <w:highlight w:val="none"/>
        </w:rPr>
        <w:t xml:space="preserve"> </w:t>
      </w:r>
    </w:p>
    <w:p w14:paraId="35FAE33C">
      <w:pPr>
        <w:spacing w:before="98" w:line="360" w:lineRule="auto"/>
        <w:ind w:left="583"/>
        <w:rPr>
          <w:rFonts w:hint="eastAsia" w:ascii="宋体" w:hAnsi="宋体" w:eastAsia="宋体" w:cs="宋体"/>
          <w:color w:val="auto"/>
          <w:sz w:val="24"/>
          <w:szCs w:val="24"/>
          <w:highlight w:val="none"/>
        </w:rPr>
      </w:pPr>
    </w:p>
    <w:p w14:paraId="28352849">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投标人名称</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公章)：</w:t>
      </w:r>
    </w:p>
    <w:p w14:paraId="4EF934B4">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法定代表人或</w:t>
      </w:r>
      <w:r>
        <w:rPr>
          <w:rFonts w:hint="eastAsia" w:ascii="宋体" w:hAnsi="宋体" w:eastAsia="宋体" w:cs="宋体"/>
          <w:color w:val="auto"/>
          <w:spacing w:val="9"/>
          <w:sz w:val="24"/>
          <w:szCs w:val="24"/>
          <w:highlight w:val="none"/>
          <w:lang w:eastAsia="zh-CN"/>
        </w:rPr>
        <w:t>其委托代理人（</w:t>
      </w:r>
      <w:r>
        <w:rPr>
          <w:rFonts w:hint="eastAsia" w:ascii="宋体" w:hAnsi="宋体" w:eastAsia="宋体" w:cs="宋体"/>
          <w:color w:val="auto"/>
          <w:spacing w:val="9"/>
          <w:sz w:val="24"/>
          <w:szCs w:val="24"/>
          <w:highlight w:val="none"/>
        </w:rPr>
        <w:t>签字)：</w:t>
      </w:r>
    </w:p>
    <w:p w14:paraId="39452F30">
      <w:pPr>
        <w:spacing w:before="100" w:line="360" w:lineRule="auto"/>
        <w:ind w:left="577"/>
        <w:rPr>
          <w:rFonts w:hint="eastAsia" w:ascii="宋体" w:hAnsi="宋体" w:eastAsia="宋体" w:cs="宋体"/>
          <w:color w:val="auto"/>
          <w:spacing w:val="9"/>
          <w:sz w:val="24"/>
          <w:szCs w:val="24"/>
          <w:highlight w:val="none"/>
        </w:rPr>
        <w:sectPr>
          <w:footerReference r:id="rId19" w:type="default"/>
          <w:pgSz w:w="11906" w:h="16839"/>
          <w:pgMar w:top="820" w:right="1134" w:bottom="1156" w:left="1418" w:header="0" w:footer="996" w:gutter="0"/>
          <w:pgNumType w:fmt="decimal"/>
          <w:cols w:equalWidth="0" w:num="1">
            <w:col w:w="9354"/>
          </w:cols>
        </w:sectPr>
      </w:pPr>
    </w:p>
    <w:p w14:paraId="50A03BAD">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详细地址：</w:t>
      </w:r>
    </w:p>
    <w:p w14:paraId="65EDD30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邮政编码：</w:t>
      </w:r>
    </w:p>
    <w:p w14:paraId="20D2174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电子函件：</w:t>
      </w:r>
    </w:p>
    <w:p w14:paraId="3518C6C1">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    话：</w:t>
      </w:r>
    </w:p>
    <w:p w14:paraId="176C202B">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传    真：</w:t>
      </w:r>
    </w:p>
    <w:p w14:paraId="7A8D0113">
      <w:pPr>
        <w:spacing w:before="74" w:line="360" w:lineRule="auto"/>
        <w:ind w:left="950"/>
        <w:jc w:val="right"/>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年   月   日</w:t>
      </w:r>
    </w:p>
    <w:p w14:paraId="7F9A17F6">
      <w:pPr>
        <w:spacing w:before="75" w:line="360" w:lineRule="auto"/>
        <w:rPr>
          <w:rFonts w:hint="eastAsia" w:ascii="宋体" w:hAnsi="宋体" w:eastAsia="宋体" w:cs="宋体"/>
          <w:color w:val="auto"/>
          <w:sz w:val="24"/>
          <w:szCs w:val="24"/>
          <w:highlight w:val="none"/>
        </w:rPr>
      </w:pPr>
    </w:p>
    <w:p w14:paraId="05E536FE">
      <w:pPr>
        <w:spacing w:line="360" w:lineRule="auto"/>
        <w:ind w:left="606"/>
        <w:rPr>
          <w:rFonts w:hint="eastAsia" w:ascii="宋体" w:hAnsi="宋体" w:eastAsia="宋体" w:cs="宋体"/>
          <w:color w:val="auto"/>
          <w:sz w:val="24"/>
          <w:szCs w:val="24"/>
          <w:highlight w:val="none"/>
        </w:rPr>
      </w:pPr>
    </w:p>
    <w:p w14:paraId="2CB027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59CE97C1">
      <w:pPr>
        <w:spacing w:line="360" w:lineRule="auto"/>
        <w:rPr>
          <w:rFonts w:hint="eastAsia" w:ascii="宋体" w:hAnsi="宋体" w:eastAsia="宋体" w:cs="宋体"/>
          <w:color w:val="auto"/>
          <w:sz w:val="24"/>
          <w:szCs w:val="24"/>
          <w:highlight w:val="none"/>
        </w:rPr>
      </w:pPr>
    </w:p>
    <w:p w14:paraId="421FB851">
      <w:pPr>
        <w:pStyle w:val="8"/>
        <w:rPr>
          <w:rFonts w:hint="eastAsia" w:ascii="宋体" w:hAnsi="宋体" w:eastAsia="宋体" w:cs="宋体"/>
          <w:color w:val="auto"/>
          <w:sz w:val="24"/>
          <w:szCs w:val="24"/>
          <w:highlight w:val="none"/>
        </w:rPr>
      </w:pPr>
    </w:p>
    <w:p w14:paraId="763D3D68">
      <w:pPr>
        <w:pStyle w:val="8"/>
        <w:rPr>
          <w:rFonts w:hint="eastAsia" w:ascii="宋体" w:hAnsi="宋体" w:eastAsia="宋体" w:cs="宋体"/>
          <w:color w:val="auto"/>
          <w:sz w:val="24"/>
          <w:szCs w:val="24"/>
          <w:highlight w:val="none"/>
        </w:rPr>
      </w:pPr>
    </w:p>
    <w:p w14:paraId="0B11D3AD">
      <w:pPr>
        <w:spacing w:line="360" w:lineRule="auto"/>
        <w:rPr>
          <w:rFonts w:hint="eastAsia" w:ascii="宋体" w:hAnsi="宋体" w:eastAsia="宋体" w:cs="宋体"/>
          <w:color w:val="auto"/>
          <w:sz w:val="2"/>
          <w:highlight w:val="none"/>
        </w:rPr>
      </w:pPr>
      <w:r>
        <w:rPr>
          <w:rFonts w:hint="eastAsia" w:ascii="宋体" w:hAnsi="宋体" w:eastAsia="宋体" w:cs="宋体"/>
          <w:color w:val="auto"/>
          <w:sz w:val="24"/>
          <w:szCs w:val="24"/>
          <w:highlight w:val="none"/>
        </w:rPr>
        <w:br w:type="column"/>
      </w:r>
    </w:p>
    <w:p w14:paraId="68800C99">
      <w:pPr>
        <w:spacing w:line="360" w:lineRule="auto"/>
        <w:rPr>
          <w:rFonts w:hint="eastAsia" w:ascii="宋体" w:hAnsi="宋体" w:eastAsia="宋体" w:cs="宋体"/>
          <w:color w:val="auto"/>
          <w:sz w:val="21"/>
          <w:highlight w:val="none"/>
        </w:rPr>
      </w:pPr>
    </w:p>
    <w:p w14:paraId="1F8D5FF8">
      <w:pPr>
        <w:spacing w:line="360" w:lineRule="auto"/>
        <w:rPr>
          <w:rFonts w:hint="eastAsia" w:ascii="宋体" w:hAnsi="宋体" w:eastAsia="宋体" w:cs="宋体"/>
          <w:color w:val="auto"/>
          <w:sz w:val="21"/>
          <w:highlight w:val="none"/>
        </w:rPr>
      </w:pPr>
    </w:p>
    <w:p w14:paraId="2433C9CA">
      <w:pPr>
        <w:rPr>
          <w:rFonts w:hint="eastAsia" w:ascii="宋体" w:hAnsi="宋体" w:eastAsia="宋体" w:cs="宋体"/>
          <w:color w:val="auto"/>
          <w:highlight w:val="none"/>
        </w:rPr>
        <w:sectPr>
          <w:type w:val="continuous"/>
          <w:pgSz w:w="11906" w:h="16839"/>
          <w:pgMar w:top="400" w:right="1134" w:bottom="1156" w:left="1418" w:header="0" w:footer="996" w:gutter="0"/>
          <w:pgNumType w:fmt="decimal"/>
          <w:cols w:equalWidth="0" w:num="3">
            <w:col w:w="2637" w:space="100"/>
            <w:col w:w="1840" w:space="100"/>
            <w:col w:w="4677"/>
          </w:cols>
        </w:sectPr>
      </w:pPr>
    </w:p>
    <w:p w14:paraId="6FA9F462">
      <w:pPr>
        <w:spacing w:line="260" w:lineRule="auto"/>
        <w:rPr>
          <w:rFonts w:hint="eastAsia" w:ascii="宋体" w:hAnsi="宋体" w:eastAsia="宋体" w:cs="宋体"/>
          <w:color w:val="auto"/>
          <w:sz w:val="21"/>
          <w:highlight w:val="none"/>
        </w:rPr>
      </w:pPr>
    </w:p>
    <w:p w14:paraId="733BB43F">
      <w:pPr>
        <w:spacing w:before="95" w:line="393" w:lineRule="exact"/>
        <w:ind w:left="2877"/>
        <w:rPr>
          <w:rFonts w:hint="eastAsia" w:ascii="宋体" w:hAnsi="宋体" w:eastAsia="宋体" w:cs="宋体"/>
          <w:color w:val="auto"/>
          <w:sz w:val="29"/>
          <w:szCs w:val="29"/>
          <w:highlight w:val="none"/>
        </w:rPr>
      </w:pPr>
      <w:r>
        <w:rPr>
          <w:rFonts w:hint="eastAsia" w:ascii="宋体" w:hAnsi="宋体" w:eastAsia="宋体" w:cs="宋体"/>
          <w:color w:val="auto"/>
          <w:spacing w:val="16"/>
          <w:position w:val="2"/>
          <w:sz w:val="29"/>
          <w:szCs w:val="29"/>
          <w:highlight w:val="none"/>
          <w14:textOutline w14:w="5448" w14:cap="sq" w14:cmpd="sng">
            <w14:solidFill>
              <w14:srgbClr w14:val="000000"/>
            </w14:solidFill>
            <w14:prstDash w14:val="solid"/>
            <w14:bevel/>
          </w14:textOutline>
        </w:rPr>
        <w:t>二</w:t>
      </w:r>
      <w:r>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t>、法定代表人身份证明书</w:t>
      </w:r>
    </w:p>
    <w:p w14:paraId="3FCF404A">
      <w:pPr>
        <w:spacing w:line="289" w:lineRule="auto"/>
        <w:rPr>
          <w:rFonts w:hint="eastAsia" w:ascii="宋体" w:hAnsi="宋体" w:eastAsia="宋体" w:cs="宋体"/>
          <w:color w:val="auto"/>
          <w:sz w:val="21"/>
          <w:highlight w:val="none"/>
        </w:rPr>
      </w:pPr>
    </w:p>
    <w:p w14:paraId="37E3ABC2">
      <w:pPr>
        <w:spacing w:line="289" w:lineRule="auto"/>
        <w:rPr>
          <w:rFonts w:hint="eastAsia" w:ascii="宋体" w:hAnsi="宋体" w:eastAsia="宋体" w:cs="宋体"/>
          <w:color w:val="auto"/>
          <w:sz w:val="21"/>
          <w:highlight w:val="none"/>
        </w:rPr>
      </w:pPr>
    </w:p>
    <w:p w14:paraId="21090D35">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位名称：</w:t>
      </w:r>
      <w:r>
        <w:rPr>
          <w:rFonts w:hint="eastAsia" w:ascii="宋体" w:hAnsi="宋体" w:eastAsia="宋体" w:cs="宋体"/>
          <w:color w:val="auto"/>
          <w:sz w:val="24"/>
          <w:szCs w:val="24"/>
          <w:highlight w:val="none"/>
          <w:u w:val="single" w:color="auto"/>
        </w:rPr>
        <w:t xml:space="preserve">                                                 </w:t>
      </w:r>
    </w:p>
    <w:p w14:paraId="3F410120">
      <w:pPr>
        <w:spacing w:line="319" w:lineRule="auto"/>
        <w:rPr>
          <w:rFonts w:hint="eastAsia" w:ascii="宋体" w:hAnsi="宋体" w:eastAsia="宋体" w:cs="宋体"/>
          <w:color w:val="auto"/>
          <w:sz w:val="24"/>
          <w:szCs w:val="24"/>
          <w:highlight w:val="none"/>
        </w:rPr>
      </w:pPr>
    </w:p>
    <w:p w14:paraId="1E5E38A8">
      <w:pPr>
        <w:spacing w:line="319" w:lineRule="auto"/>
        <w:rPr>
          <w:rFonts w:hint="eastAsia" w:ascii="宋体" w:hAnsi="宋体" w:eastAsia="宋体" w:cs="宋体"/>
          <w:color w:val="auto"/>
          <w:sz w:val="24"/>
          <w:szCs w:val="24"/>
          <w:highlight w:val="none"/>
        </w:rPr>
      </w:pPr>
    </w:p>
    <w:p w14:paraId="122D8661">
      <w:pPr>
        <w:spacing w:before="74"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位性质：</w:t>
      </w:r>
      <w:r>
        <w:rPr>
          <w:rFonts w:hint="eastAsia" w:ascii="宋体" w:hAnsi="宋体" w:eastAsia="宋体" w:cs="宋体"/>
          <w:color w:val="auto"/>
          <w:sz w:val="24"/>
          <w:szCs w:val="24"/>
          <w:highlight w:val="none"/>
          <w:u w:val="single" w:color="auto"/>
        </w:rPr>
        <w:t xml:space="preserve">                                                 </w:t>
      </w:r>
    </w:p>
    <w:p w14:paraId="2EE23A24">
      <w:pPr>
        <w:spacing w:line="318" w:lineRule="auto"/>
        <w:rPr>
          <w:rFonts w:hint="eastAsia" w:ascii="宋体" w:hAnsi="宋体" w:eastAsia="宋体" w:cs="宋体"/>
          <w:color w:val="auto"/>
          <w:sz w:val="24"/>
          <w:szCs w:val="24"/>
          <w:highlight w:val="none"/>
        </w:rPr>
      </w:pPr>
    </w:p>
    <w:p w14:paraId="2555431F">
      <w:pPr>
        <w:spacing w:line="319" w:lineRule="auto"/>
        <w:rPr>
          <w:rFonts w:hint="eastAsia" w:ascii="宋体" w:hAnsi="宋体" w:eastAsia="宋体" w:cs="宋体"/>
          <w:color w:val="auto"/>
          <w:sz w:val="24"/>
          <w:szCs w:val="24"/>
          <w:highlight w:val="none"/>
        </w:rPr>
      </w:pPr>
    </w:p>
    <w:p w14:paraId="4A7DCBA8">
      <w:pPr>
        <w:spacing w:before="75" w:line="237" w:lineRule="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地</w:t>
      </w:r>
      <w:r>
        <w:rPr>
          <w:rFonts w:hint="eastAsia" w:ascii="宋体" w:hAnsi="宋体" w:eastAsia="宋体" w:cs="宋体"/>
          <w:color w:val="auto"/>
          <w:spacing w:val="-10"/>
          <w:sz w:val="24"/>
          <w:szCs w:val="24"/>
          <w:highlight w:val="none"/>
        </w:rPr>
        <w:t xml:space="preserve">    址 ：</w:t>
      </w:r>
      <w:r>
        <w:rPr>
          <w:rFonts w:hint="eastAsia" w:ascii="宋体" w:hAnsi="宋体" w:eastAsia="宋体" w:cs="宋体"/>
          <w:color w:val="auto"/>
          <w:sz w:val="24"/>
          <w:szCs w:val="24"/>
          <w:highlight w:val="none"/>
          <w:u w:val="single" w:color="auto"/>
        </w:rPr>
        <w:t xml:space="preserve">                                                 </w:t>
      </w:r>
    </w:p>
    <w:p w14:paraId="6D273451">
      <w:pPr>
        <w:spacing w:line="312" w:lineRule="auto"/>
        <w:rPr>
          <w:rFonts w:hint="eastAsia" w:ascii="宋体" w:hAnsi="宋体" w:eastAsia="宋体" w:cs="宋体"/>
          <w:color w:val="auto"/>
          <w:sz w:val="24"/>
          <w:szCs w:val="24"/>
          <w:highlight w:val="none"/>
        </w:rPr>
      </w:pPr>
    </w:p>
    <w:p w14:paraId="78147DB1">
      <w:pPr>
        <w:spacing w:line="313" w:lineRule="auto"/>
        <w:rPr>
          <w:rFonts w:hint="eastAsia" w:ascii="宋体" w:hAnsi="宋体" w:eastAsia="宋体" w:cs="宋体"/>
          <w:color w:val="auto"/>
          <w:sz w:val="24"/>
          <w:szCs w:val="24"/>
          <w:highlight w:val="none"/>
        </w:rPr>
      </w:pPr>
    </w:p>
    <w:p w14:paraId="53799DED">
      <w:pPr>
        <w:spacing w:before="75"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w:t>
      </w:r>
      <w:r>
        <w:rPr>
          <w:rFonts w:hint="eastAsia" w:ascii="宋体" w:hAnsi="宋体" w:eastAsia="宋体" w:cs="宋体"/>
          <w:color w:val="auto"/>
          <w:spacing w:val="-5"/>
          <w:sz w:val="24"/>
          <w:szCs w:val="24"/>
          <w:highlight w:val="none"/>
        </w:rPr>
        <w:t>立时间：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月</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日</w:t>
      </w:r>
    </w:p>
    <w:p w14:paraId="2DD7EE58">
      <w:pPr>
        <w:spacing w:line="319" w:lineRule="auto"/>
        <w:rPr>
          <w:rFonts w:hint="eastAsia" w:ascii="宋体" w:hAnsi="宋体" w:eastAsia="宋体" w:cs="宋体"/>
          <w:color w:val="auto"/>
          <w:sz w:val="24"/>
          <w:szCs w:val="24"/>
          <w:highlight w:val="none"/>
        </w:rPr>
      </w:pPr>
    </w:p>
    <w:p w14:paraId="00447D5A">
      <w:pPr>
        <w:spacing w:line="319" w:lineRule="auto"/>
        <w:rPr>
          <w:rFonts w:hint="eastAsia" w:ascii="宋体" w:hAnsi="宋体" w:eastAsia="宋体" w:cs="宋体"/>
          <w:color w:val="auto"/>
          <w:sz w:val="24"/>
          <w:szCs w:val="24"/>
          <w:highlight w:val="none"/>
        </w:rPr>
      </w:pPr>
    </w:p>
    <w:p w14:paraId="28330D2E">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经</w:t>
      </w:r>
      <w:r>
        <w:rPr>
          <w:rFonts w:hint="eastAsia" w:ascii="宋体" w:hAnsi="宋体" w:eastAsia="宋体" w:cs="宋体"/>
          <w:color w:val="auto"/>
          <w:spacing w:val="5"/>
          <w:sz w:val="24"/>
          <w:szCs w:val="24"/>
          <w:highlight w:val="none"/>
        </w:rPr>
        <w:t>营期限：</w:t>
      </w:r>
      <w:r>
        <w:rPr>
          <w:rFonts w:hint="eastAsia" w:ascii="宋体" w:hAnsi="宋体" w:eastAsia="宋体" w:cs="宋体"/>
          <w:color w:val="auto"/>
          <w:sz w:val="24"/>
          <w:szCs w:val="24"/>
          <w:highlight w:val="none"/>
          <w:u w:val="single" w:color="auto"/>
        </w:rPr>
        <w:t xml:space="preserve">                                                 </w:t>
      </w:r>
    </w:p>
    <w:p w14:paraId="065C115C">
      <w:pPr>
        <w:spacing w:line="319" w:lineRule="auto"/>
        <w:rPr>
          <w:rFonts w:hint="eastAsia" w:ascii="宋体" w:hAnsi="宋体" w:eastAsia="宋体" w:cs="宋体"/>
          <w:color w:val="auto"/>
          <w:sz w:val="24"/>
          <w:szCs w:val="24"/>
          <w:highlight w:val="none"/>
        </w:rPr>
      </w:pPr>
    </w:p>
    <w:p w14:paraId="6F830099">
      <w:pPr>
        <w:spacing w:line="319" w:lineRule="auto"/>
        <w:rPr>
          <w:rFonts w:hint="eastAsia" w:ascii="宋体" w:hAnsi="宋体" w:eastAsia="宋体" w:cs="宋体"/>
          <w:color w:val="auto"/>
          <w:sz w:val="24"/>
          <w:szCs w:val="24"/>
          <w:highlight w:val="none"/>
        </w:rPr>
      </w:pPr>
    </w:p>
    <w:p w14:paraId="3586DF40">
      <w:pPr>
        <w:spacing w:before="75" w:line="801"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    名：</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rPr>
        <w:t>性</w:t>
      </w:r>
      <w:r>
        <w:rPr>
          <w:rFonts w:hint="eastAsia" w:ascii="宋体" w:hAnsi="宋体" w:eastAsia="宋体" w:cs="宋体"/>
          <w:color w:val="auto"/>
          <w:spacing w:val="-2"/>
          <w:sz w:val="24"/>
          <w:szCs w:val="24"/>
          <w:highlight w:val="none"/>
        </w:rPr>
        <w:t>别：</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color="auto"/>
        </w:rPr>
        <w:t xml:space="preserve">        </w:t>
      </w:r>
    </w:p>
    <w:p w14:paraId="1ACB888F">
      <w:pPr>
        <w:spacing w:before="1" w:line="225"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eastAsia="zh-CN"/>
        </w:rPr>
        <w:t>（</w:t>
      </w:r>
      <w:r>
        <w:rPr>
          <w:rFonts w:hint="eastAsia" w:ascii="宋体" w:hAnsi="宋体" w:eastAsia="宋体" w:cs="宋体"/>
          <w:color w:val="auto"/>
          <w:spacing w:val="2"/>
          <w:sz w:val="24"/>
          <w:szCs w:val="24"/>
          <w:highlight w:val="none"/>
          <w:u w:val="single" w:color="auto"/>
        </w:rPr>
        <w:t xml:space="preserve">单位名称)          </w:t>
      </w:r>
      <w:r>
        <w:rPr>
          <w:rFonts w:hint="eastAsia" w:ascii="宋体" w:hAnsi="宋体" w:eastAsia="宋体" w:cs="宋体"/>
          <w:color w:val="auto"/>
          <w:spacing w:val="2"/>
          <w:sz w:val="24"/>
          <w:szCs w:val="24"/>
          <w:highlight w:val="none"/>
        </w:rPr>
        <w:t xml:space="preserve"> 的法定代表人。</w:t>
      </w:r>
    </w:p>
    <w:p w14:paraId="43724593">
      <w:pPr>
        <w:spacing w:line="320" w:lineRule="auto"/>
        <w:rPr>
          <w:rFonts w:hint="eastAsia" w:ascii="宋体" w:hAnsi="宋体" w:eastAsia="宋体" w:cs="宋体"/>
          <w:color w:val="auto"/>
          <w:sz w:val="24"/>
          <w:szCs w:val="24"/>
          <w:highlight w:val="none"/>
        </w:rPr>
      </w:pPr>
    </w:p>
    <w:p w14:paraId="337FB1BA">
      <w:pPr>
        <w:spacing w:line="321" w:lineRule="auto"/>
        <w:rPr>
          <w:rFonts w:hint="eastAsia" w:ascii="宋体" w:hAnsi="宋体" w:eastAsia="宋体" w:cs="宋体"/>
          <w:color w:val="auto"/>
          <w:sz w:val="24"/>
          <w:szCs w:val="24"/>
          <w:highlight w:val="none"/>
        </w:rPr>
      </w:pPr>
    </w:p>
    <w:p w14:paraId="13CD564B">
      <w:pPr>
        <w:spacing w:before="7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特此证明。</w:t>
      </w:r>
    </w:p>
    <w:p w14:paraId="6ECC8CEB">
      <w:pPr>
        <w:spacing w:line="271" w:lineRule="auto"/>
        <w:rPr>
          <w:rFonts w:hint="eastAsia" w:ascii="宋体" w:hAnsi="宋体" w:eastAsia="宋体" w:cs="宋体"/>
          <w:color w:val="auto"/>
          <w:sz w:val="24"/>
          <w:szCs w:val="24"/>
          <w:highlight w:val="none"/>
        </w:rPr>
      </w:pPr>
    </w:p>
    <w:p w14:paraId="5438FB8B">
      <w:pPr>
        <w:spacing w:line="271" w:lineRule="auto"/>
        <w:rPr>
          <w:rFonts w:hint="eastAsia" w:ascii="宋体" w:hAnsi="宋体" w:eastAsia="宋体" w:cs="宋体"/>
          <w:color w:val="auto"/>
          <w:sz w:val="24"/>
          <w:szCs w:val="24"/>
          <w:highlight w:val="none"/>
        </w:rPr>
      </w:pPr>
    </w:p>
    <w:p w14:paraId="08D1344A">
      <w:pPr>
        <w:spacing w:line="272" w:lineRule="auto"/>
        <w:rPr>
          <w:rFonts w:hint="eastAsia" w:ascii="宋体" w:hAnsi="宋体" w:eastAsia="宋体" w:cs="宋体"/>
          <w:color w:val="auto"/>
          <w:sz w:val="24"/>
          <w:szCs w:val="24"/>
          <w:highlight w:val="none"/>
        </w:rPr>
      </w:pPr>
    </w:p>
    <w:p w14:paraId="4F579F0B">
      <w:pPr>
        <w:spacing w:line="272" w:lineRule="auto"/>
        <w:rPr>
          <w:rFonts w:hint="eastAsia" w:ascii="宋体" w:hAnsi="宋体" w:eastAsia="宋体" w:cs="宋体"/>
          <w:color w:val="auto"/>
          <w:sz w:val="24"/>
          <w:szCs w:val="24"/>
          <w:highlight w:val="none"/>
        </w:rPr>
      </w:pPr>
    </w:p>
    <w:p w14:paraId="680AB5EA">
      <w:pPr>
        <w:spacing w:line="272" w:lineRule="auto"/>
        <w:rPr>
          <w:rFonts w:hint="eastAsia" w:ascii="宋体" w:hAnsi="宋体" w:eastAsia="宋体" w:cs="宋体"/>
          <w:color w:val="auto"/>
          <w:sz w:val="24"/>
          <w:szCs w:val="24"/>
          <w:highlight w:val="none"/>
        </w:rPr>
      </w:pPr>
    </w:p>
    <w:p w14:paraId="05BD8372">
      <w:pPr>
        <w:spacing w:line="272" w:lineRule="auto"/>
        <w:rPr>
          <w:rFonts w:hint="eastAsia" w:ascii="宋体" w:hAnsi="宋体" w:eastAsia="宋体" w:cs="宋体"/>
          <w:color w:val="auto"/>
          <w:sz w:val="24"/>
          <w:szCs w:val="24"/>
          <w:highlight w:val="none"/>
        </w:rPr>
      </w:pPr>
    </w:p>
    <w:p w14:paraId="0DE8C7F1">
      <w:pPr>
        <w:spacing w:before="76"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投</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标 人：</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盖单位章)</w:t>
      </w:r>
      <w:r>
        <w:rPr>
          <w:rFonts w:hint="eastAsia" w:ascii="宋体" w:hAnsi="宋体" w:eastAsia="宋体" w:cs="宋体"/>
          <w:color w:val="auto"/>
          <w:sz w:val="24"/>
          <w:szCs w:val="24"/>
          <w:highlight w:val="none"/>
          <w:u w:val="single" w:color="auto"/>
        </w:rPr>
        <w:t xml:space="preserve"> </w:t>
      </w:r>
    </w:p>
    <w:p w14:paraId="66C9F28B">
      <w:pPr>
        <w:spacing w:before="219" w:line="227"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6"/>
          <w:sz w:val="24"/>
          <w:szCs w:val="24"/>
          <w:highlight w:val="none"/>
        </w:rPr>
        <w:t xml:space="preserve">   期：</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月</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日</w:t>
      </w:r>
    </w:p>
    <w:p w14:paraId="23B4E318">
      <w:pPr>
        <w:rPr>
          <w:rFonts w:hint="eastAsia" w:ascii="宋体" w:hAnsi="宋体" w:eastAsia="宋体" w:cs="宋体"/>
          <w:color w:val="auto"/>
          <w:sz w:val="24"/>
          <w:szCs w:val="24"/>
          <w:highlight w:val="none"/>
        </w:rPr>
        <w:sectPr>
          <w:footerReference r:id="rId20" w:type="default"/>
          <w:pgSz w:w="11906" w:h="16839"/>
          <w:pgMar w:top="820" w:right="1785" w:bottom="1156" w:left="1427" w:header="0" w:footer="996" w:gutter="0"/>
          <w:pgNumType w:fmt="decimal"/>
          <w:cols w:space="720" w:num="1"/>
        </w:sectPr>
      </w:pPr>
    </w:p>
    <w:p w14:paraId="6230AD34">
      <w:pPr>
        <w:spacing w:before="95" w:line="381" w:lineRule="exact"/>
        <w:ind w:left="2873"/>
        <w:rPr>
          <w:rFonts w:hint="eastAsia" w:ascii="宋体" w:hAnsi="宋体" w:eastAsia="宋体" w:cs="宋体"/>
          <w:color w:val="auto"/>
          <w:sz w:val="29"/>
          <w:szCs w:val="29"/>
          <w:highlight w:val="none"/>
        </w:rPr>
      </w:pPr>
      <w:r>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t>三、法定代表人授权委托</w:t>
      </w:r>
      <w:r>
        <w:rPr>
          <w:rFonts w:hint="eastAsia" w:ascii="宋体" w:hAnsi="宋体" w:eastAsia="宋体" w:cs="宋体"/>
          <w:color w:val="auto"/>
          <w:spacing w:val="7"/>
          <w:position w:val="1"/>
          <w:sz w:val="29"/>
          <w:szCs w:val="29"/>
          <w:highlight w:val="none"/>
          <w14:textOutline w14:w="5448" w14:cap="sq" w14:cmpd="sng">
            <w14:solidFill>
              <w14:srgbClr w14:val="000000"/>
            </w14:solidFill>
            <w14:prstDash w14:val="solid"/>
            <w14:bevel/>
          </w14:textOutline>
        </w:rPr>
        <w:t>书</w:t>
      </w:r>
    </w:p>
    <w:p w14:paraId="047745D8">
      <w:pPr>
        <w:spacing w:line="257" w:lineRule="auto"/>
        <w:rPr>
          <w:rFonts w:hint="eastAsia" w:ascii="宋体" w:hAnsi="宋体" w:eastAsia="宋体" w:cs="宋体"/>
          <w:color w:val="auto"/>
          <w:sz w:val="21"/>
          <w:highlight w:val="none"/>
        </w:rPr>
      </w:pPr>
    </w:p>
    <w:p w14:paraId="067CA388">
      <w:pPr>
        <w:spacing w:line="258" w:lineRule="auto"/>
        <w:rPr>
          <w:rFonts w:hint="eastAsia" w:ascii="宋体" w:hAnsi="宋体" w:eastAsia="宋体" w:cs="宋体"/>
          <w:color w:val="auto"/>
          <w:sz w:val="21"/>
          <w:highlight w:val="none"/>
        </w:rPr>
      </w:pPr>
    </w:p>
    <w:p w14:paraId="21E7BE60">
      <w:pPr>
        <w:spacing w:line="258" w:lineRule="auto"/>
        <w:rPr>
          <w:rFonts w:hint="eastAsia" w:ascii="宋体" w:hAnsi="宋体" w:eastAsia="宋体" w:cs="宋体"/>
          <w:color w:val="auto"/>
          <w:sz w:val="21"/>
          <w:highlight w:val="none"/>
        </w:rPr>
      </w:pPr>
    </w:p>
    <w:p w14:paraId="11900FA5">
      <w:pPr>
        <w:spacing w:line="258" w:lineRule="auto"/>
        <w:rPr>
          <w:rFonts w:hint="eastAsia" w:ascii="宋体" w:hAnsi="宋体" w:eastAsia="宋体" w:cs="宋体"/>
          <w:color w:val="auto"/>
          <w:sz w:val="21"/>
          <w:highlight w:val="none"/>
        </w:rPr>
      </w:pPr>
    </w:p>
    <w:p w14:paraId="74734434">
      <w:pPr>
        <w:spacing w:before="65" w:line="43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投标人名称)的法定代表人，现委托</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姓名)为我方代理人。</w:t>
      </w:r>
      <w:r>
        <w:rPr>
          <w:rFonts w:hint="eastAsia" w:ascii="宋体" w:hAnsi="宋体" w:eastAsia="宋体" w:cs="宋体"/>
          <w:color w:val="auto"/>
          <w:sz w:val="24"/>
          <w:szCs w:val="24"/>
          <w:highlight w:val="none"/>
        </w:rPr>
        <w:t xml:space="preserve">代 </w:t>
      </w:r>
      <w:r>
        <w:rPr>
          <w:rFonts w:hint="eastAsia" w:ascii="宋体" w:hAnsi="宋体" w:eastAsia="宋体" w:cs="宋体"/>
          <w:color w:val="auto"/>
          <w:spacing w:val="16"/>
          <w:sz w:val="24"/>
          <w:szCs w:val="24"/>
          <w:highlight w:val="none"/>
        </w:rPr>
        <w:t>理人根据</w:t>
      </w:r>
      <w:r>
        <w:rPr>
          <w:rFonts w:hint="eastAsia" w:ascii="宋体" w:hAnsi="宋体" w:eastAsia="宋体" w:cs="宋体"/>
          <w:color w:val="auto"/>
          <w:spacing w:val="10"/>
          <w:sz w:val="24"/>
          <w:szCs w:val="24"/>
          <w:highlight w:val="none"/>
        </w:rPr>
        <w:t>授</w:t>
      </w:r>
      <w:r>
        <w:rPr>
          <w:rFonts w:hint="eastAsia" w:ascii="宋体" w:hAnsi="宋体" w:eastAsia="宋体" w:cs="宋体"/>
          <w:color w:val="auto"/>
          <w:spacing w:val="8"/>
          <w:sz w:val="24"/>
          <w:szCs w:val="24"/>
          <w:highlight w:val="none"/>
        </w:rPr>
        <w:t>权，以我方名义签署、澄清、说明、补正、递交、撤回、修改</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eastAsia="zh-CN"/>
        </w:rPr>
        <w:t>（</w:t>
      </w:r>
      <w:r>
        <w:rPr>
          <w:rFonts w:hint="eastAsia" w:ascii="宋体" w:hAnsi="宋体" w:eastAsia="宋体" w:cs="宋体"/>
          <w:color w:val="auto"/>
          <w:spacing w:val="8"/>
          <w:sz w:val="24"/>
          <w:szCs w:val="24"/>
          <w:highlight w:val="none"/>
        </w:rPr>
        <w:t>项目名称)投</w:t>
      </w:r>
      <w:r>
        <w:rPr>
          <w:rFonts w:hint="eastAsia" w:ascii="宋体" w:hAnsi="宋体" w:eastAsia="宋体" w:cs="宋体"/>
          <w:color w:val="auto"/>
          <w:spacing w:val="14"/>
          <w:sz w:val="24"/>
          <w:szCs w:val="24"/>
          <w:highlight w:val="none"/>
        </w:rPr>
        <w:t>标</w:t>
      </w:r>
      <w:r>
        <w:rPr>
          <w:rFonts w:hint="eastAsia" w:ascii="宋体" w:hAnsi="宋体" w:eastAsia="宋体" w:cs="宋体"/>
          <w:color w:val="auto"/>
          <w:spacing w:val="9"/>
          <w:sz w:val="24"/>
          <w:szCs w:val="24"/>
          <w:highlight w:val="none"/>
        </w:rPr>
        <w:t>文件、签订合同和处理有关事宜，其法律后果由我方承担。</w:t>
      </w:r>
    </w:p>
    <w:p w14:paraId="7DD7A03C">
      <w:pPr>
        <w:spacing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委托期限：</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085F7C08">
      <w:pPr>
        <w:spacing w:before="225"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代理人无转委托权</w:t>
      </w:r>
      <w:r>
        <w:rPr>
          <w:rFonts w:hint="eastAsia" w:ascii="宋体" w:hAnsi="宋体" w:eastAsia="宋体" w:cs="宋体"/>
          <w:color w:val="auto"/>
          <w:spacing w:val="6"/>
          <w:sz w:val="24"/>
          <w:szCs w:val="24"/>
          <w:highlight w:val="none"/>
        </w:rPr>
        <w:t>。</w:t>
      </w:r>
    </w:p>
    <w:p w14:paraId="7116D4CF">
      <w:pPr>
        <w:spacing w:before="225" w:line="227" w:lineRule="auto"/>
        <w:ind w:left="43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附：法定代表人身份证复印件和其委托代理人身份证复印</w:t>
      </w:r>
      <w:r>
        <w:rPr>
          <w:rFonts w:hint="eastAsia" w:ascii="宋体" w:hAnsi="宋体" w:eastAsia="宋体" w:cs="宋体"/>
          <w:color w:val="auto"/>
          <w:spacing w:val="8"/>
          <w:sz w:val="24"/>
          <w:szCs w:val="24"/>
          <w:highlight w:val="none"/>
        </w:rPr>
        <w:t>件</w:t>
      </w:r>
    </w:p>
    <w:p w14:paraId="25202291">
      <w:pPr>
        <w:spacing w:line="258" w:lineRule="auto"/>
        <w:rPr>
          <w:rFonts w:hint="eastAsia" w:ascii="宋体" w:hAnsi="宋体" w:eastAsia="宋体" w:cs="宋体"/>
          <w:color w:val="auto"/>
          <w:sz w:val="24"/>
          <w:szCs w:val="24"/>
          <w:highlight w:val="none"/>
        </w:rPr>
      </w:pPr>
    </w:p>
    <w:p w14:paraId="54DA5650">
      <w:pPr>
        <w:spacing w:line="258" w:lineRule="auto"/>
        <w:rPr>
          <w:rFonts w:hint="eastAsia" w:ascii="宋体" w:hAnsi="宋体" w:eastAsia="宋体" w:cs="宋体"/>
          <w:color w:val="auto"/>
          <w:sz w:val="24"/>
          <w:szCs w:val="24"/>
          <w:highlight w:val="none"/>
        </w:rPr>
      </w:pPr>
    </w:p>
    <w:p w14:paraId="5FD3A5F3">
      <w:pPr>
        <w:spacing w:line="258" w:lineRule="auto"/>
        <w:rPr>
          <w:rFonts w:hint="eastAsia" w:ascii="宋体" w:hAnsi="宋体" w:eastAsia="宋体" w:cs="宋体"/>
          <w:color w:val="auto"/>
          <w:sz w:val="24"/>
          <w:szCs w:val="24"/>
          <w:highlight w:val="none"/>
        </w:rPr>
      </w:pPr>
    </w:p>
    <w:p w14:paraId="6632A89F">
      <w:pPr>
        <w:spacing w:line="259" w:lineRule="auto"/>
        <w:rPr>
          <w:rFonts w:hint="eastAsia" w:ascii="宋体" w:hAnsi="宋体" w:eastAsia="宋体" w:cs="宋体"/>
          <w:color w:val="auto"/>
          <w:sz w:val="24"/>
          <w:szCs w:val="24"/>
          <w:highlight w:val="none"/>
        </w:rPr>
      </w:pPr>
    </w:p>
    <w:p w14:paraId="5D64D618">
      <w:pPr>
        <w:spacing w:line="259" w:lineRule="auto"/>
        <w:rPr>
          <w:rFonts w:hint="eastAsia" w:ascii="宋体" w:hAnsi="宋体" w:eastAsia="宋体" w:cs="宋体"/>
          <w:color w:val="auto"/>
          <w:sz w:val="24"/>
          <w:szCs w:val="24"/>
          <w:highlight w:val="none"/>
        </w:rPr>
      </w:pPr>
    </w:p>
    <w:p w14:paraId="679D8F1F">
      <w:pPr>
        <w:spacing w:line="259" w:lineRule="auto"/>
        <w:rPr>
          <w:rFonts w:hint="eastAsia" w:ascii="宋体" w:hAnsi="宋体" w:eastAsia="宋体" w:cs="宋体"/>
          <w:color w:val="auto"/>
          <w:sz w:val="24"/>
          <w:szCs w:val="24"/>
          <w:highlight w:val="none"/>
        </w:rPr>
      </w:pPr>
    </w:p>
    <w:p w14:paraId="0D16367E">
      <w:pPr>
        <w:spacing w:before="65" w:line="360" w:lineRule="auto"/>
        <w:ind w:left="378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盖单位章)</w:t>
      </w:r>
    </w:p>
    <w:p w14:paraId="2C14382D">
      <w:pPr>
        <w:spacing w:before="222" w:line="360" w:lineRule="auto"/>
        <w:ind w:left="37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eastAsia="zh-CN"/>
        </w:rPr>
        <w:t>（</w:t>
      </w:r>
      <w:r>
        <w:rPr>
          <w:rFonts w:hint="eastAsia" w:ascii="宋体" w:hAnsi="宋体" w:eastAsia="宋体" w:cs="宋体"/>
          <w:color w:val="auto"/>
          <w:spacing w:val="-1"/>
          <w:sz w:val="24"/>
          <w:szCs w:val="24"/>
          <w:highlight w:val="none"/>
        </w:rPr>
        <w:t>盖章或签字)</w:t>
      </w:r>
    </w:p>
    <w:p w14:paraId="01AD5A46">
      <w:pPr>
        <w:spacing w:before="223"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457D8F30">
      <w:pPr>
        <w:spacing w:before="221" w:line="360" w:lineRule="auto"/>
        <w:ind w:left="37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签字)</w:t>
      </w:r>
    </w:p>
    <w:p w14:paraId="096393CA">
      <w:pPr>
        <w:spacing w:before="225"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37126613">
      <w:pPr>
        <w:spacing w:line="360" w:lineRule="auto"/>
        <w:rPr>
          <w:rFonts w:hint="eastAsia" w:ascii="宋体" w:hAnsi="宋体" w:eastAsia="宋体" w:cs="宋体"/>
          <w:color w:val="auto"/>
          <w:sz w:val="24"/>
          <w:szCs w:val="24"/>
          <w:highlight w:val="none"/>
        </w:rPr>
      </w:pPr>
    </w:p>
    <w:p w14:paraId="15F3A42F">
      <w:pPr>
        <w:spacing w:line="360" w:lineRule="auto"/>
        <w:rPr>
          <w:rFonts w:hint="eastAsia" w:ascii="宋体" w:hAnsi="宋体" w:eastAsia="宋体" w:cs="宋体"/>
          <w:color w:val="auto"/>
          <w:sz w:val="24"/>
          <w:szCs w:val="24"/>
          <w:highlight w:val="none"/>
        </w:rPr>
      </w:pPr>
    </w:p>
    <w:p w14:paraId="1FA9DE14">
      <w:pPr>
        <w:tabs>
          <w:tab w:val="left" w:pos="6735"/>
        </w:tabs>
        <w:spacing w:before="66" w:line="360" w:lineRule="auto"/>
        <w:ind w:left="59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日</w:t>
      </w:r>
    </w:p>
    <w:p w14:paraId="405D68F4">
      <w:pPr>
        <w:rPr>
          <w:rFonts w:hint="eastAsia" w:ascii="宋体" w:hAnsi="宋体" w:eastAsia="宋体" w:cs="宋体"/>
          <w:color w:val="auto"/>
          <w:sz w:val="24"/>
          <w:szCs w:val="24"/>
          <w:highlight w:val="none"/>
        </w:rPr>
        <w:sectPr>
          <w:footerReference r:id="rId21" w:type="default"/>
          <w:pgSz w:w="11906" w:h="16839"/>
          <w:pgMar w:top="820" w:right="1134" w:bottom="1156" w:left="1427" w:header="0" w:footer="996" w:gutter="0"/>
          <w:pgNumType w:fmt="decimal"/>
          <w:cols w:space="720" w:num="1"/>
        </w:sectPr>
      </w:pPr>
    </w:p>
    <w:p w14:paraId="1D1CDD7A">
      <w:pPr>
        <w:spacing w:before="95" w:line="229" w:lineRule="auto"/>
        <w:ind w:left="3639"/>
        <w:rPr>
          <w:rFonts w:hint="eastAsia" w:ascii="宋体" w:hAnsi="宋体" w:eastAsia="宋体" w:cs="宋体"/>
          <w:color w:val="auto"/>
          <w:sz w:val="29"/>
          <w:szCs w:val="29"/>
          <w:highlight w:val="none"/>
        </w:rPr>
      </w:pPr>
      <w:r>
        <w:rPr>
          <w:rFonts w:hint="eastAsia" w:ascii="宋体" w:hAnsi="宋体" w:eastAsia="宋体" w:cs="宋体"/>
          <w:color w:val="auto"/>
          <w:spacing w:val="7"/>
          <w:sz w:val="29"/>
          <w:szCs w:val="29"/>
          <w:highlight w:val="none"/>
          <w14:textOutline w14:w="5448" w14:cap="sq" w14:cmpd="sng">
            <w14:solidFill>
              <w14:srgbClr w14:val="000000"/>
            </w14:solidFill>
            <w14:prstDash w14:val="solid"/>
            <w14:bevel/>
          </w14:textOutline>
        </w:rPr>
        <w:t>四</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、开标一览表</w:t>
      </w:r>
    </w:p>
    <w:p w14:paraId="298EC337">
      <w:pPr>
        <w:spacing w:before="191" w:line="499"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6"/>
          <w:position w:val="20"/>
          <w:sz w:val="24"/>
          <w:szCs w:val="24"/>
          <w:highlight w:val="none"/>
        </w:rPr>
        <w:t>项</w:t>
      </w:r>
      <w:r>
        <w:rPr>
          <w:rFonts w:hint="eastAsia" w:ascii="宋体" w:hAnsi="宋体" w:eastAsia="宋体" w:cs="宋体"/>
          <w:color w:val="auto"/>
          <w:spacing w:val="5"/>
          <w:position w:val="20"/>
          <w:sz w:val="24"/>
          <w:szCs w:val="24"/>
          <w:highlight w:val="none"/>
        </w:rPr>
        <w:t>目名称：</w:t>
      </w:r>
    </w:p>
    <w:p w14:paraId="61EFE89A">
      <w:pPr>
        <w:spacing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w:t>
      </w:r>
      <w:r>
        <w:rPr>
          <w:rFonts w:hint="eastAsia" w:ascii="宋体" w:hAnsi="宋体" w:eastAsia="宋体" w:cs="宋体"/>
          <w:color w:val="auto"/>
          <w:spacing w:val="5"/>
          <w:sz w:val="24"/>
          <w:szCs w:val="24"/>
          <w:highlight w:val="none"/>
        </w:rPr>
        <w:t>目编号：</w:t>
      </w:r>
    </w:p>
    <w:p w14:paraId="3BEA3697">
      <w:pPr>
        <w:spacing w:line="22" w:lineRule="exact"/>
        <w:rPr>
          <w:rFonts w:hint="eastAsia" w:ascii="宋体" w:hAnsi="宋体" w:eastAsia="宋体" w:cs="宋体"/>
          <w:color w:val="auto"/>
          <w:sz w:val="24"/>
          <w:szCs w:val="24"/>
          <w:highlight w:val="none"/>
        </w:rPr>
      </w:pPr>
    </w:p>
    <w:tbl>
      <w:tblPr>
        <w:tblStyle w:val="42"/>
        <w:tblW w:w="9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621"/>
        <w:gridCol w:w="2019"/>
        <w:gridCol w:w="1656"/>
        <w:gridCol w:w="1683"/>
        <w:gridCol w:w="946"/>
      </w:tblGrid>
      <w:tr w14:paraId="5CEC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444" w:type="dxa"/>
            <w:vAlign w:val="center"/>
          </w:tcPr>
          <w:p w14:paraId="14B4C1F6">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标人名称</w:t>
            </w:r>
          </w:p>
        </w:tc>
        <w:tc>
          <w:tcPr>
            <w:tcW w:w="1621" w:type="dxa"/>
            <w:vAlign w:val="center"/>
          </w:tcPr>
          <w:p w14:paraId="2C87D873">
            <w:pPr>
              <w:spacing w:before="65" w:line="272"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position w:val="4"/>
                <w:sz w:val="24"/>
                <w:szCs w:val="24"/>
                <w:highlight w:val="none"/>
              </w:rPr>
              <w:t>投</w:t>
            </w:r>
            <w:r>
              <w:rPr>
                <w:rFonts w:hint="eastAsia" w:ascii="宋体" w:hAnsi="宋体" w:eastAsia="宋体" w:cs="宋体"/>
                <w:b/>
                <w:bCs/>
                <w:color w:val="auto"/>
                <w:spacing w:val="6"/>
                <w:position w:val="4"/>
                <w:sz w:val="24"/>
                <w:szCs w:val="24"/>
                <w:highlight w:val="none"/>
              </w:rPr>
              <w:t>标报价</w:t>
            </w:r>
          </w:p>
          <w:p w14:paraId="73C4FCC0">
            <w:pPr>
              <w:spacing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9"/>
                <w:sz w:val="24"/>
                <w:szCs w:val="24"/>
                <w:highlight w:val="none"/>
                <w:lang w:eastAsia="zh-CN"/>
              </w:rPr>
              <w:t>（</w:t>
            </w:r>
            <w:r>
              <w:rPr>
                <w:rFonts w:hint="eastAsia" w:ascii="宋体" w:hAnsi="宋体" w:eastAsia="宋体" w:cs="宋体"/>
                <w:b/>
                <w:bCs/>
                <w:color w:val="auto"/>
                <w:spacing w:val="27"/>
                <w:sz w:val="24"/>
                <w:szCs w:val="24"/>
                <w:highlight w:val="none"/>
              </w:rPr>
              <w:t>元)</w:t>
            </w:r>
          </w:p>
        </w:tc>
        <w:tc>
          <w:tcPr>
            <w:tcW w:w="2019" w:type="dxa"/>
            <w:vAlign w:val="center"/>
          </w:tcPr>
          <w:p w14:paraId="614581E2">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质量标准</w:t>
            </w:r>
          </w:p>
        </w:tc>
        <w:tc>
          <w:tcPr>
            <w:tcW w:w="1656" w:type="dxa"/>
            <w:vAlign w:val="center"/>
          </w:tcPr>
          <w:p w14:paraId="4DA0C7A1">
            <w:pPr>
              <w:spacing w:before="65" w:line="265" w:lineRule="auto"/>
              <w:ind w:right="214"/>
              <w:jc w:val="center"/>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标保证金</w:t>
            </w:r>
          </w:p>
          <w:p w14:paraId="78F20D47">
            <w:pPr>
              <w:spacing w:before="65" w:line="265" w:lineRule="auto"/>
              <w:ind w:right="2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4"/>
                <w:sz w:val="24"/>
                <w:szCs w:val="24"/>
                <w:highlight w:val="none"/>
                <w:lang w:eastAsia="zh-CN"/>
              </w:rPr>
              <w:t>（</w:t>
            </w:r>
            <w:r>
              <w:rPr>
                <w:rFonts w:hint="eastAsia" w:ascii="宋体" w:hAnsi="宋体" w:eastAsia="宋体" w:cs="宋体"/>
                <w:b/>
                <w:bCs/>
                <w:color w:val="auto"/>
                <w:spacing w:val="23"/>
                <w:sz w:val="24"/>
                <w:szCs w:val="24"/>
                <w:highlight w:val="none"/>
              </w:rPr>
              <w:t>有/无)</w:t>
            </w:r>
          </w:p>
        </w:tc>
        <w:tc>
          <w:tcPr>
            <w:tcW w:w="1683" w:type="dxa"/>
            <w:vAlign w:val="center"/>
          </w:tcPr>
          <w:p w14:paraId="6698A663">
            <w:pPr>
              <w:spacing w:before="65" w:line="22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交货时间</w:t>
            </w:r>
          </w:p>
        </w:tc>
        <w:tc>
          <w:tcPr>
            <w:tcW w:w="946" w:type="dxa"/>
            <w:vAlign w:val="center"/>
          </w:tcPr>
          <w:p w14:paraId="77D7F2C6">
            <w:pPr>
              <w:spacing w:before="65" w:line="229"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p>
        </w:tc>
      </w:tr>
      <w:tr w14:paraId="2274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444" w:type="dxa"/>
            <w:vAlign w:val="center"/>
          </w:tcPr>
          <w:p w14:paraId="68F9CABC">
            <w:pPr>
              <w:jc w:val="center"/>
              <w:rPr>
                <w:rFonts w:hint="eastAsia" w:ascii="宋体" w:hAnsi="宋体" w:eastAsia="宋体" w:cs="宋体"/>
                <w:color w:val="auto"/>
                <w:sz w:val="24"/>
                <w:szCs w:val="24"/>
                <w:highlight w:val="none"/>
              </w:rPr>
            </w:pPr>
          </w:p>
        </w:tc>
        <w:tc>
          <w:tcPr>
            <w:tcW w:w="1621" w:type="dxa"/>
            <w:vAlign w:val="center"/>
          </w:tcPr>
          <w:p w14:paraId="1032C1CF">
            <w:pPr>
              <w:jc w:val="center"/>
              <w:rPr>
                <w:rFonts w:hint="eastAsia" w:ascii="宋体" w:hAnsi="宋体" w:eastAsia="宋体" w:cs="宋体"/>
                <w:color w:val="auto"/>
                <w:sz w:val="24"/>
                <w:szCs w:val="24"/>
                <w:highlight w:val="none"/>
              </w:rPr>
            </w:pPr>
          </w:p>
        </w:tc>
        <w:tc>
          <w:tcPr>
            <w:tcW w:w="2019" w:type="dxa"/>
            <w:vAlign w:val="center"/>
          </w:tcPr>
          <w:p w14:paraId="19129B90">
            <w:pPr>
              <w:spacing w:before="65"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符合国家现行相关技术规范要求</w:t>
            </w:r>
          </w:p>
        </w:tc>
        <w:tc>
          <w:tcPr>
            <w:tcW w:w="1656" w:type="dxa"/>
            <w:vAlign w:val="center"/>
          </w:tcPr>
          <w:p w14:paraId="5E846002">
            <w:pPr>
              <w:spacing w:before="65"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c>
          <w:tcPr>
            <w:tcW w:w="1683" w:type="dxa"/>
            <w:vAlign w:val="center"/>
          </w:tcPr>
          <w:p w14:paraId="4AAA68C2">
            <w:pPr>
              <w:jc w:val="center"/>
              <w:rPr>
                <w:rFonts w:hint="eastAsia" w:ascii="宋体" w:hAnsi="宋体" w:eastAsia="宋体" w:cs="宋体"/>
                <w:color w:val="auto"/>
                <w:sz w:val="24"/>
                <w:szCs w:val="24"/>
                <w:highlight w:val="none"/>
              </w:rPr>
            </w:pPr>
          </w:p>
        </w:tc>
        <w:tc>
          <w:tcPr>
            <w:tcW w:w="946" w:type="dxa"/>
            <w:vAlign w:val="center"/>
          </w:tcPr>
          <w:p w14:paraId="15C578EB">
            <w:pPr>
              <w:jc w:val="center"/>
              <w:rPr>
                <w:rFonts w:hint="eastAsia" w:ascii="宋体" w:hAnsi="宋体" w:eastAsia="宋体" w:cs="宋体"/>
                <w:color w:val="auto"/>
                <w:sz w:val="24"/>
                <w:szCs w:val="24"/>
                <w:highlight w:val="none"/>
              </w:rPr>
            </w:pPr>
          </w:p>
        </w:tc>
      </w:tr>
    </w:tbl>
    <w:p w14:paraId="4EE4E6C6">
      <w:pPr>
        <w:spacing w:before="19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34B63BCF">
      <w:pPr>
        <w:spacing w:before="138" w:line="332" w:lineRule="auto"/>
        <w:ind w:left="21" w:right="73" w:firstLine="58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8"/>
          <w:sz w:val="24"/>
          <w:szCs w:val="24"/>
          <w:highlight w:val="none"/>
        </w:rPr>
        <w:t>、本表格须装订在投标文件内</w:t>
      </w:r>
      <w:r>
        <w:rPr>
          <w:rFonts w:hint="eastAsia" w:ascii="宋体" w:hAnsi="宋体" w:eastAsia="宋体" w:cs="宋体"/>
          <w:color w:val="auto"/>
          <w:spacing w:val="9"/>
          <w:sz w:val="24"/>
          <w:szCs w:val="24"/>
          <w:highlight w:val="none"/>
        </w:rPr>
        <w:t>。</w:t>
      </w:r>
    </w:p>
    <w:p w14:paraId="5F218328">
      <w:pPr>
        <w:spacing w:before="53" w:line="310" w:lineRule="exact"/>
        <w:ind w:left="587"/>
        <w:rPr>
          <w:rFonts w:hint="eastAsia" w:ascii="宋体" w:hAnsi="宋体" w:eastAsia="宋体" w:cs="宋体"/>
          <w:color w:val="auto"/>
          <w:sz w:val="24"/>
          <w:szCs w:val="24"/>
          <w:highlight w:val="none"/>
        </w:rPr>
      </w:pPr>
      <w:r>
        <w:rPr>
          <w:rFonts w:hint="eastAsia" w:ascii="宋体" w:hAnsi="宋体" w:eastAsia="宋体" w:cs="宋体"/>
          <w:color w:val="auto"/>
          <w:spacing w:val="15"/>
          <w:position w:val="1"/>
          <w:sz w:val="24"/>
          <w:szCs w:val="24"/>
          <w:highlight w:val="none"/>
        </w:rPr>
        <w:t>2</w:t>
      </w:r>
      <w:r>
        <w:rPr>
          <w:rFonts w:hint="eastAsia" w:ascii="宋体" w:hAnsi="宋体" w:eastAsia="宋体" w:cs="宋体"/>
          <w:color w:val="auto"/>
          <w:spacing w:val="9"/>
          <w:position w:val="1"/>
          <w:sz w:val="24"/>
          <w:szCs w:val="24"/>
          <w:highlight w:val="none"/>
        </w:rPr>
        <w:t>、以上内容缺一不可，格式、内容和签署要求必须相同，否则为无效投标。</w:t>
      </w:r>
    </w:p>
    <w:p w14:paraId="5E9E678B">
      <w:pPr>
        <w:spacing w:line="451" w:lineRule="auto"/>
        <w:rPr>
          <w:rFonts w:hint="eastAsia" w:ascii="宋体" w:hAnsi="宋体" w:eastAsia="宋体" w:cs="宋体"/>
          <w:color w:val="auto"/>
          <w:sz w:val="24"/>
          <w:szCs w:val="24"/>
          <w:highlight w:val="none"/>
        </w:rPr>
      </w:pPr>
    </w:p>
    <w:p w14:paraId="1F3D1F29">
      <w:pPr>
        <w:spacing w:before="7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690E79CA">
      <w:pPr>
        <w:spacing w:line="262" w:lineRule="auto"/>
        <w:rPr>
          <w:rFonts w:hint="eastAsia" w:ascii="宋体" w:hAnsi="宋体" w:eastAsia="宋体" w:cs="宋体"/>
          <w:color w:val="auto"/>
          <w:sz w:val="24"/>
          <w:szCs w:val="24"/>
          <w:highlight w:val="none"/>
        </w:rPr>
      </w:pPr>
    </w:p>
    <w:p w14:paraId="33D9F0FC">
      <w:pPr>
        <w:spacing w:before="76" w:line="224" w:lineRule="auto"/>
        <w:ind w:left="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定代表人或</w:t>
      </w:r>
      <w:r>
        <w:rPr>
          <w:rFonts w:hint="eastAsia" w:ascii="宋体" w:hAnsi="宋体" w:eastAsia="宋体" w:cs="宋体"/>
          <w:color w:val="auto"/>
          <w:spacing w:val="8"/>
          <w:sz w:val="24"/>
          <w:szCs w:val="24"/>
          <w:highlight w:val="none"/>
          <w:lang w:eastAsia="zh-CN"/>
        </w:rPr>
        <w:t>其委托代理人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1BC83C3B">
      <w:pPr>
        <w:spacing w:line="288" w:lineRule="auto"/>
        <w:rPr>
          <w:rFonts w:hint="eastAsia" w:ascii="宋体" w:hAnsi="宋体" w:eastAsia="宋体" w:cs="宋体"/>
          <w:color w:val="auto"/>
          <w:sz w:val="24"/>
          <w:szCs w:val="24"/>
          <w:highlight w:val="none"/>
        </w:rPr>
      </w:pPr>
    </w:p>
    <w:p w14:paraId="1B6FD36E">
      <w:pPr>
        <w:spacing w:line="289" w:lineRule="auto"/>
        <w:rPr>
          <w:rFonts w:hint="eastAsia" w:ascii="宋体" w:hAnsi="宋体" w:eastAsia="宋体" w:cs="宋体"/>
          <w:color w:val="auto"/>
          <w:sz w:val="24"/>
          <w:szCs w:val="24"/>
          <w:highlight w:val="none"/>
        </w:rPr>
      </w:pPr>
    </w:p>
    <w:p w14:paraId="6CACEB8B">
      <w:pPr>
        <w:spacing w:before="74" w:line="227" w:lineRule="auto"/>
        <w:ind w:left="457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8"/>
          <w:sz w:val="24"/>
          <w:szCs w:val="24"/>
          <w:highlight w:val="none"/>
        </w:rPr>
        <w:t xml:space="preserve">     月     日</w:t>
      </w:r>
    </w:p>
    <w:p w14:paraId="1DD7C6DD">
      <w:pPr>
        <w:rPr>
          <w:rFonts w:hint="eastAsia" w:ascii="宋体" w:hAnsi="宋体" w:eastAsia="宋体" w:cs="宋体"/>
          <w:color w:val="auto"/>
          <w:sz w:val="24"/>
          <w:szCs w:val="24"/>
          <w:highlight w:val="none"/>
        </w:rPr>
        <w:sectPr>
          <w:footerReference r:id="rId22" w:type="default"/>
          <w:pgSz w:w="11906" w:h="16839"/>
          <w:pgMar w:top="820" w:right="1232" w:bottom="844" w:left="1299" w:header="0" w:footer="684" w:gutter="0"/>
          <w:pgNumType w:fmt="decimal"/>
          <w:cols w:space="720" w:num="1"/>
        </w:sectPr>
      </w:pPr>
    </w:p>
    <w:p w14:paraId="1E1464F3">
      <w:pPr>
        <w:pStyle w:val="3"/>
        <w:jc w:val="center"/>
        <w:rPr>
          <w:rFonts w:hint="eastAsia" w:ascii="宋体" w:hAnsi="宋体" w:eastAsia="宋体" w:cs="宋体"/>
          <w:b w:val="0"/>
          <w:color w:val="auto"/>
          <w:sz w:val="30"/>
          <w:szCs w:val="30"/>
          <w:highlight w:val="none"/>
        </w:rPr>
      </w:pPr>
      <w:bookmarkStart w:id="34" w:name="_Toc12680"/>
      <w:r>
        <w:rPr>
          <w:rFonts w:hint="eastAsia" w:ascii="宋体" w:hAnsi="宋体" w:eastAsia="宋体" w:cs="宋体"/>
          <w:bCs w:val="0"/>
          <w:color w:val="auto"/>
          <w:sz w:val="30"/>
          <w:szCs w:val="30"/>
          <w:highlight w:val="none"/>
        </w:rPr>
        <w:t>分项报价表</w:t>
      </w:r>
      <w:bookmarkEnd w:id="34"/>
    </w:p>
    <w:p w14:paraId="3E7B14C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p>
    <w:p w14:paraId="7ADA7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单位：元（人民币）</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54"/>
        <w:gridCol w:w="1087"/>
        <w:gridCol w:w="1204"/>
        <w:gridCol w:w="1246"/>
        <w:gridCol w:w="603"/>
        <w:gridCol w:w="540"/>
        <w:gridCol w:w="720"/>
        <w:gridCol w:w="720"/>
        <w:gridCol w:w="1080"/>
      </w:tblGrid>
      <w:tr w14:paraId="388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exact"/>
        </w:trPr>
        <w:tc>
          <w:tcPr>
            <w:tcW w:w="786" w:type="dxa"/>
            <w:noWrap w:val="0"/>
            <w:vAlign w:val="center"/>
          </w:tcPr>
          <w:p w14:paraId="11FE2C93">
            <w:pPr>
              <w:keepNext w:val="0"/>
              <w:keepLines w:val="0"/>
              <w:widowControl/>
              <w:suppressLineNumbers w:val="0"/>
              <w:spacing w:before="0" w:beforeAutospacing="0" w:after="0" w:afterAutospacing="0" w:line="0" w:lineRule="atLeast"/>
              <w:ind w:left="14" w:leftChars="-45" w:right="-34" w:rightChars="-16" w:hanging="108" w:hangingChars="45"/>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54" w:type="dxa"/>
            <w:noWrap w:val="0"/>
            <w:vAlign w:val="center"/>
          </w:tcPr>
          <w:p w14:paraId="7D89A99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货物</w:t>
            </w:r>
            <w:r>
              <w:rPr>
                <w:rFonts w:hint="eastAsia" w:ascii="宋体" w:hAnsi="宋体" w:eastAsia="宋体" w:cs="宋体"/>
                <w:b/>
                <w:bCs/>
                <w:color w:val="auto"/>
                <w:kern w:val="0"/>
                <w:sz w:val="24"/>
                <w:szCs w:val="24"/>
                <w:highlight w:val="none"/>
              </w:rPr>
              <w:t>名称</w:t>
            </w:r>
          </w:p>
        </w:tc>
        <w:tc>
          <w:tcPr>
            <w:tcW w:w="1087" w:type="dxa"/>
            <w:noWrap w:val="0"/>
            <w:vAlign w:val="center"/>
          </w:tcPr>
          <w:p w14:paraId="3AA1B33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型号规格</w:t>
            </w:r>
          </w:p>
        </w:tc>
        <w:tc>
          <w:tcPr>
            <w:tcW w:w="1204" w:type="dxa"/>
            <w:noWrap w:val="0"/>
            <w:vAlign w:val="center"/>
          </w:tcPr>
          <w:p w14:paraId="70065B6E">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品牌 </w:t>
            </w:r>
          </w:p>
        </w:tc>
        <w:tc>
          <w:tcPr>
            <w:tcW w:w="1246" w:type="dxa"/>
            <w:noWrap w:val="0"/>
            <w:vAlign w:val="center"/>
          </w:tcPr>
          <w:p w14:paraId="67CD6B71">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生产厂家或产地</w:t>
            </w:r>
          </w:p>
        </w:tc>
        <w:tc>
          <w:tcPr>
            <w:tcW w:w="603" w:type="dxa"/>
            <w:noWrap w:val="0"/>
            <w:vAlign w:val="center"/>
          </w:tcPr>
          <w:p w14:paraId="3AF9B59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　</w:t>
            </w:r>
          </w:p>
        </w:tc>
        <w:tc>
          <w:tcPr>
            <w:tcW w:w="540" w:type="dxa"/>
            <w:noWrap w:val="0"/>
            <w:vAlign w:val="center"/>
          </w:tcPr>
          <w:p w14:paraId="3B735C24">
            <w:pPr>
              <w:keepNext w:val="0"/>
              <w:keepLines w:val="0"/>
              <w:widowControl/>
              <w:suppressLineNumbers w:val="0"/>
              <w:spacing w:before="0" w:beforeAutospacing="0" w:after="0" w:afterAutospacing="0" w:line="0" w:lineRule="atLeast"/>
              <w:ind w:left="11" w:leftChars="-37" w:right="-136" w:rightChars="-65" w:hanging="89" w:hangingChars="37"/>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20" w:type="dxa"/>
            <w:noWrap w:val="0"/>
            <w:vAlign w:val="center"/>
          </w:tcPr>
          <w:p w14:paraId="179DD618">
            <w:pPr>
              <w:keepNext w:val="0"/>
              <w:keepLines w:val="0"/>
              <w:widowControl/>
              <w:suppressLineNumbers w:val="0"/>
              <w:spacing w:before="0" w:beforeAutospacing="0" w:after="0" w:afterAutospacing="0" w:line="0" w:lineRule="atLeast"/>
              <w:ind w:left="-100" w:leftChars="-89" w:right="-25" w:rightChars="-12" w:hanging="87" w:hangingChars="36"/>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w:t>
            </w:r>
          </w:p>
        </w:tc>
        <w:tc>
          <w:tcPr>
            <w:tcW w:w="720" w:type="dxa"/>
            <w:noWrap w:val="0"/>
            <w:vAlign w:val="center"/>
          </w:tcPr>
          <w:p w14:paraId="46426301">
            <w:pPr>
              <w:keepNext w:val="0"/>
              <w:keepLines w:val="0"/>
              <w:widowControl/>
              <w:suppressLineNumbers w:val="0"/>
              <w:spacing w:before="0" w:beforeAutospacing="0" w:after="0" w:afterAutospacing="0" w:line="0" w:lineRule="atLeast"/>
              <w:ind w:left="27" w:leftChars="-88" w:right="-25" w:rightChars="-12" w:hanging="212" w:hangingChars="8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080" w:type="dxa"/>
            <w:noWrap w:val="0"/>
            <w:vAlign w:val="center"/>
          </w:tcPr>
          <w:p w14:paraId="40E0539F">
            <w:pPr>
              <w:keepNext w:val="0"/>
              <w:keepLines w:val="0"/>
              <w:widowControl/>
              <w:suppressLineNumbers w:val="0"/>
              <w:spacing w:before="0" w:beforeAutospacing="0" w:after="0" w:afterAutospacing="0" w:line="0" w:lineRule="atLeast"/>
              <w:ind w:left="9" w:leftChars="-29" w:right="-107" w:rightChars="-51"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00C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019B1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54" w:type="dxa"/>
            <w:noWrap w:val="0"/>
            <w:vAlign w:val="center"/>
          </w:tcPr>
          <w:p w14:paraId="02AC3BDE">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1C2582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16825BA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43C95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1C20DA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2B2C09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1760DC3">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7F50EDD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53A87A4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81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5E9D0F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54" w:type="dxa"/>
            <w:noWrap w:val="0"/>
            <w:vAlign w:val="center"/>
          </w:tcPr>
          <w:p w14:paraId="6D1AD6E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446132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4ADCAB4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55C8345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B5FE15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3A5CCB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0219CB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0927AAF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2892BD7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95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23D087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54" w:type="dxa"/>
            <w:noWrap w:val="0"/>
            <w:vAlign w:val="center"/>
          </w:tcPr>
          <w:p w14:paraId="29314A21">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47D7A39A">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5D4CA4C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290E55B">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8E7E00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71C2C46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132B7D7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646399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01F2AB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510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73C1B2D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54" w:type="dxa"/>
            <w:noWrap w:val="0"/>
            <w:vAlign w:val="center"/>
          </w:tcPr>
          <w:p w14:paraId="793F223F">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75071ACC">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1493D20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F4A760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061A762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E2CE4F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2CEF666A">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4BF87D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AAD460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912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E07249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54" w:type="dxa"/>
            <w:noWrap w:val="0"/>
            <w:vAlign w:val="center"/>
          </w:tcPr>
          <w:p w14:paraId="6D12B0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5BBFFD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0EF7B2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155DEDF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94F5D2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8FAB60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33C181D7">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282620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center"/>
          </w:tcPr>
          <w:p w14:paraId="2C2F319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43D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65E12E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54" w:type="dxa"/>
            <w:noWrap w:val="0"/>
            <w:vAlign w:val="center"/>
          </w:tcPr>
          <w:p w14:paraId="2A509470">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top"/>
          </w:tcPr>
          <w:p w14:paraId="3C821FB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04" w:type="dxa"/>
            <w:noWrap w:val="0"/>
            <w:vAlign w:val="top"/>
          </w:tcPr>
          <w:p w14:paraId="08E4E66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A55982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3D54AC6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59F3FD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75F934D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E842D4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62AA153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26B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40" w:type="dxa"/>
            <w:gridSpan w:val="10"/>
            <w:noWrap w:val="0"/>
            <w:vAlign w:val="center"/>
          </w:tcPr>
          <w:p w14:paraId="16DB5266">
            <w:pPr>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总报价：</w:t>
            </w:r>
          </w:p>
        </w:tc>
      </w:tr>
    </w:tbl>
    <w:p w14:paraId="1D1D7C66">
      <w:pPr>
        <w:pStyle w:val="7"/>
        <w:spacing w:line="360" w:lineRule="auto"/>
        <w:ind w:left="-180" w:right="-174" w:firstLine="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注：</w:t>
      </w:r>
    </w:p>
    <w:p w14:paraId="1512215E">
      <w:pPr>
        <w:pStyle w:val="7"/>
        <w:spacing w:line="360" w:lineRule="auto"/>
        <w:ind w:left="-181" w:leftChars="-86" w:right="-174" w:firstLine="480" w:firstLineChars="20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1.以上报价含生产制作、包装、运输、保险、安装调试、利润、税金、</w:t>
      </w:r>
      <w:r>
        <w:rPr>
          <w:rFonts w:hint="eastAsia" w:ascii="宋体" w:hAnsi="宋体" w:eastAsia="宋体" w:cs="宋体"/>
          <w:b w:val="0"/>
          <w:color w:val="auto"/>
          <w:sz w:val="24"/>
          <w:szCs w:val="24"/>
          <w:highlight w:val="none"/>
        </w:rPr>
        <w:t>专利技术、培训、技术支持等一切费用</w:t>
      </w:r>
      <w:r>
        <w:rPr>
          <w:rFonts w:hint="eastAsia" w:ascii="宋体" w:hAnsi="宋体" w:eastAsia="宋体" w:cs="宋体"/>
          <w:b w:val="0"/>
          <w:bCs/>
          <w:snapToGrid w:val="0"/>
          <w:color w:val="auto"/>
          <w:kern w:val="0"/>
          <w:sz w:val="24"/>
          <w:szCs w:val="24"/>
          <w:highlight w:val="none"/>
        </w:rPr>
        <w:t>。</w:t>
      </w:r>
    </w:p>
    <w:p w14:paraId="41F9C807">
      <w:pPr>
        <w:pStyle w:val="7"/>
        <w:spacing w:line="360" w:lineRule="auto"/>
        <w:ind w:left="356" w:leftChars="114" w:hanging="117" w:hangingChars="49"/>
        <w:jc w:val="left"/>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2.如果以单价计算的结果与总价不一致，以单价为准修正总价。此表中的总报价应与开标一览表中的总报价一致。</w:t>
      </w:r>
    </w:p>
    <w:p w14:paraId="374490FE">
      <w:pPr>
        <w:pStyle w:val="7"/>
        <w:spacing w:line="360" w:lineRule="auto"/>
        <w:ind w:left="356" w:leftChars="114" w:hanging="117" w:hangingChars="49"/>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3.投标人按采购需求及技术参数中的内容（明细表）逐项列示。</w:t>
      </w:r>
    </w:p>
    <w:p w14:paraId="6FE1C7D2">
      <w:pPr>
        <w:spacing w:line="480" w:lineRule="auto"/>
        <w:rPr>
          <w:rFonts w:hint="eastAsia" w:ascii="宋体" w:hAnsi="宋体" w:eastAsia="宋体" w:cs="宋体"/>
          <w:color w:val="auto"/>
          <w:sz w:val="24"/>
          <w:szCs w:val="24"/>
          <w:highlight w:val="none"/>
        </w:rPr>
      </w:pPr>
    </w:p>
    <w:p w14:paraId="2F5C0F00">
      <w:pPr>
        <w:spacing w:line="480" w:lineRule="auto"/>
        <w:jc w:val="right"/>
        <w:rPr>
          <w:rFonts w:hint="eastAsia" w:ascii="宋体" w:hAnsi="宋体" w:eastAsia="宋体" w:cs="宋体"/>
          <w:color w:val="auto"/>
          <w:sz w:val="24"/>
          <w:szCs w:val="24"/>
          <w:highlight w:val="none"/>
        </w:rPr>
      </w:pPr>
    </w:p>
    <w:p w14:paraId="2584019D">
      <w:pPr>
        <w:spacing w:line="480" w:lineRule="auto"/>
        <w:jc w:val="right"/>
        <w:rPr>
          <w:rFonts w:hint="eastAsia" w:ascii="宋体" w:hAnsi="宋体" w:eastAsia="宋体" w:cs="宋体"/>
          <w:color w:val="auto"/>
          <w:sz w:val="24"/>
          <w:szCs w:val="24"/>
          <w:highlight w:val="none"/>
        </w:rPr>
      </w:pPr>
    </w:p>
    <w:p w14:paraId="4E97D6BF">
      <w:pPr>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 xml:space="preserve">名称：                 </w:t>
      </w:r>
      <w:r>
        <w:rPr>
          <w:rFonts w:hint="eastAsia" w:ascii="宋体" w:hAnsi="宋体" w:eastAsia="宋体" w:cs="宋体"/>
          <w:color w:val="auto"/>
          <w:sz w:val="24"/>
          <w:szCs w:val="24"/>
          <w:highlight w:val="none"/>
        </w:rPr>
        <w:t>（盖单位公章）</w:t>
      </w:r>
    </w:p>
    <w:p w14:paraId="36C8AD3A">
      <w:pPr>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0EAA979C">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463CA60">
      <w:pPr>
        <w:rPr>
          <w:rFonts w:hint="eastAsia" w:ascii="宋体" w:hAnsi="宋体" w:eastAsia="宋体" w:cs="宋体"/>
          <w:color w:val="auto"/>
          <w:sz w:val="24"/>
          <w:highlight w:val="none"/>
        </w:rPr>
      </w:pPr>
    </w:p>
    <w:p w14:paraId="03FAD3BD">
      <w:pPr>
        <w:spacing w:before="91" w:line="222" w:lineRule="auto"/>
        <w:ind w:left="295"/>
        <w:outlineLvl w:val="1"/>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sectPr>
          <w:footerReference r:id="rId23" w:type="default"/>
          <w:pgSz w:w="11906" w:h="16839"/>
          <w:pgMar w:top="820" w:right="1035" w:bottom="844" w:left="1034" w:header="0" w:footer="684" w:gutter="0"/>
          <w:pgNumType w:fmt="decimal"/>
          <w:cols w:space="720" w:num="1"/>
        </w:sectPr>
      </w:pPr>
    </w:p>
    <w:p w14:paraId="16455CCD">
      <w:pPr>
        <w:spacing w:before="91" w:line="222" w:lineRule="auto"/>
        <w:ind w:left="295"/>
        <w:outlineLvl w:val="1"/>
        <w:rPr>
          <w:rFonts w:hint="eastAsia" w:ascii="宋体" w:hAnsi="宋体" w:eastAsia="宋体" w:cs="宋体"/>
          <w:color w:val="auto"/>
          <w:sz w:val="28"/>
          <w:szCs w:val="28"/>
          <w:highlight w:val="none"/>
        </w:rPr>
      </w:pPr>
      <w:bookmarkStart w:id="35" w:name="_Toc27387"/>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商</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务条款偏离表</w:t>
      </w:r>
      <w:r>
        <w:rPr>
          <w:rFonts w:hint="eastAsia" w:ascii="宋体" w:hAnsi="宋体" w:eastAsia="宋体" w:cs="宋体"/>
          <w:color w:val="auto"/>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格式)</w:t>
      </w:r>
      <w:bookmarkEnd w:id="35"/>
    </w:p>
    <w:p w14:paraId="2ADBE7D9">
      <w:pPr>
        <w:spacing w:line="277" w:lineRule="auto"/>
        <w:rPr>
          <w:rFonts w:hint="eastAsia" w:ascii="宋体" w:hAnsi="宋体" w:eastAsia="宋体" w:cs="宋体"/>
          <w:color w:val="auto"/>
          <w:sz w:val="21"/>
          <w:highlight w:val="none"/>
        </w:rPr>
      </w:pPr>
    </w:p>
    <w:p w14:paraId="3AE3CCA6">
      <w:pPr>
        <w:spacing w:line="278" w:lineRule="auto"/>
        <w:rPr>
          <w:rFonts w:hint="eastAsia" w:ascii="宋体" w:hAnsi="宋体" w:eastAsia="宋体" w:cs="宋体"/>
          <w:color w:val="auto"/>
          <w:sz w:val="21"/>
          <w:highlight w:val="none"/>
        </w:rPr>
      </w:pPr>
    </w:p>
    <w:p w14:paraId="4A3D33C3">
      <w:pPr>
        <w:spacing w:before="74" w:line="227" w:lineRule="auto"/>
        <w:ind w:left="16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lang w:eastAsia="zh-CN"/>
        </w:rPr>
        <w:t>项目编号</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F6A4DC3">
      <w:pPr>
        <w:spacing w:line="232" w:lineRule="exact"/>
        <w:rPr>
          <w:rFonts w:hint="eastAsia" w:ascii="宋体" w:hAnsi="宋体" w:eastAsia="宋体" w:cs="宋体"/>
          <w:color w:val="auto"/>
          <w:sz w:val="24"/>
          <w:szCs w:val="24"/>
          <w:highlight w:val="none"/>
        </w:rPr>
      </w:pPr>
    </w:p>
    <w:tbl>
      <w:tblPr>
        <w:tblStyle w:val="42"/>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329"/>
        <w:gridCol w:w="2940"/>
        <w:gridCol w:w="3036"/>
        <w:gridCol w:w="1290"/>
        <w:gridCol w:w="675"/>
      </w:tblGrid>
      <w:tr w14:paraId="5AF09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4" w:type="dxa"/>
            <w:vAlign w:val="center"/>
          </w:tcPr>
          <w:p w14:paraId="023C27C1">
            <w:pPr>
              <w:spacing w:before="75" w:line="229" w:lineRule="auto"/>
              <w:ind w:left="248"/>
              <w:jc w:val="center"/>
              <w:outlineLvl w:val="0"/>
              <w:rPr>
                <w:rFonts w:hint="eastAsia" w:ascii="宋体" w:hAnsi="宋体" w:eastAsia="宋体" w:cs="宋体"/>
                <w:b/>
                <w:bCs/>
                <w:color w:val="auto"/>
                <w:sz w:val="24"/>
                <w:szCs w:val="24"/>
                <w:highlight w:val="none"/>
              </w:rPr>
            </w:pPr>
            <w:bookmarkStart w:id="36" w:name="_Toc13329"/>
            <w:r>
              <w:rPr>
                <w:rFonts w:hint="eastAsia" w:ascii="宋体" w:hAnsi="宋体" w:eastAsia="宋体" w:cs="宋体"/>
                <w:b/>
                <w:bCs/>
                <w:color w:val="auto"/>
                <w:spacing w:val="6"/>
                <w:sz w:val="24"/>
                <w:szCs w:val="24"/>
                <w:highlight w:val="none"/>
              </w:rPr>
              <w:t>序</w:t>
            </w:r>
            <w:r>
              <w:rPr>
                <w:rFonts w:hint="eastAsia" w:ascii="宋体" w:hAnsi="宋体" w:eastAsia="宋体" w:cs="宋体"/>
                <w:b/>
                <w:bCs/>
                <w:color w:val="auto"/>
                <w:spacing w:val="5"/>
                <w:sz w:val="24"/>
                <w:szCs w:val="24"/>
                <w:highlight w:val="none"/>
              </w:rPr>
              <w:t>号</w:t>
            </w:r>
            <w:bookmarkEnd w:id="36"/>
          </w:p>
        </w:tc>
        <w:tc>
          <w:tcPr>
            <w:tcW w:w="1329" w:type="dxa"/>
            <w:vAlign w:val="center"/>
          </w:tcPr>
          <w:p w14:paraId="320D3DEA">
            <w:pPr>
              <w:spacing w:before="75" w:line="225" w:lineRule="auto"/>
              <w:ind w:left="131"/>
              <w:jc w:val="center"/>
              <w:outlineLvl w:val="0"/>
              <w:rPr>
                <w:rFonts w:hint="eastAsia" w:ascii="宋体" w:hAnsi="宋体" w:eastAsia="宋体" w:cs="宋体"/>
                <w:b/>
                <w:bCs/>
                <w:color w:val="auto"/>
                <w:sz w:val="24"/>
                <w:szCs w:val="24"/>
                <w:highlight w:val="none"/>
              </w:rPr>
            </w:pPr>
            <w:bookmarkStart w:id="37" w:name="_Toc20465"/>
            <w:r>
              <w:rPr>
                <w:rFonts w:hint="eastAsia" w:ascii="宋体" w:hAnsi="宋体" w:eastAsia="宋体" w:cs="宋体"/>
                <w:b/>
                <w:bCs/>
                <w:color w:val="auto"/>
                <w:spacing w:val="6"/>
                <w:sz w:val="24"/>
                <w:szCs w:val="24"/>
                <w:highlight w:val="none"/>
              </w:rPr>
              <w:t>货物名称</w:t>
            </w:r>
            <w:bookmarkEnd w:id="37"/>
          </w:p>
        </w:tc>
        <w:tc>
          <w:tcPr>
            <w:tcW w:w="2940" w:type="dxa"/>
            <w:vAlign w:val="center"/>
          </w:tcPr>
          <w:p w14:paraId="7EEEB394">
            <w:pPr>
              <w:spacing w:before="75" w:line="227" w:lineRule="auto"/>
              <w:jc w:val="center"/>
              <w:outlineLvl w:val="0"/>
              <w:rPr>
                <w:rFonts w:hint="eastAsia" w:ascii="宋体" w:hAnsi="宋体" w:eastAsia="宋体" w:cs="宋体"/>
                <w:b/>
                <w:bCs/>
                <w:color w:val="auto"/>
                <w:sz w:val="24"/>
                <w:szCs w:val="24"/>
                <w:highlight w:val="none"/>
              </w:rPr>
            </w:pPr>
            <w:bookmarkStart w:id="38" w:name="_Toc20633"/>
            <w:r>
              <w:rPr>
                <w:rFonts w:hint="eastAsia" w:ascii="宋体" w:hAnsi="宋体" w:eastAsia="宋体" w:cs="宋体"/>
                <w:b/>
                <w:bCs/>
                <w:color w:val="auto"/>
                <w:spacing w:val="9"/>
                <w:sz w:val="24"/>
                <w:szCs w:val="24"/>
                <w:highlight w:val="none"/>
              </w:rPr>
              <w:t>招标文件规定的商务条款</w:t>
            </w:r>
            <w:bookmarkEnd w:id="38"/>
          </w:p>
        </w:tc>
        <w:tc>
          <w:tcPr>
            <w:tcW w:w="3036" w:type="dxa"/>
            <w:vAlign w:val="center"/>
          </w:tcPr>
          <w:p w14:paraId="776D9B46">
            <w:pPr>
              <w:spacing w:before="75" w:line="227" w:lineRule="auto"/>
              <w:ind w:left="234"/>
              <w:jc w:val="center"/>
              <w:outlineLvl w:val="0"/>
              <w:rPr>
                <w:rFonts w:hint="eastAsia" w:ascii="宋体" w:hAnsi="宋体" w:eastAsia="宋体" w:cs="宋体"/>
                <w:b/>
                <w:bCs/>
                <w:color w:val="auto"/>
                <w:sz w:val="24"/>
                <w:szCs w:val="24"/>
                <w:highlight w:val="none"/>
              </w:rPr>
            </w:pPr>
            <w:bookmarkStart w:id="39" w:name="_Toc25786"/>
            <w:r>
              <w:rPr>
                <w:rFonts w:hint="eastAsia" w:ascii="宋体" w:hAnsi="宋体" w:eastAsia="宋体" w:cs="宋体"/>
                <w:b/>
                <w:bCs/>
                <w:color w:val="auto"/>
                <w:spacing w:val="9"/>
                <w:sz w:val="24"/>
                <w:szCs w:val="24"/>
                <w:highlight w:val="none"/>
              </w:rPr>
              <w:t>投标文件对应的商务条</w:t>
            </w:r>
            <w:r>
              <w:rPr>
                <w:rFonts w:hint="eastAsia" w:ascii="宋体" w:hAnsi="宋体" w:eastAsia="宋体" w:cs="宋体"/>
                <w:b/>
                <w:bCs/>
                <w:color w:val="auto"/>
                <w:spacing w:val="7"/>
                <w:sz w:val="24"/>
                <w:szCs w:val="24"/>
                <w:highlight w:val="none"/>
              </w:rPr>
              <w:t>款</w:t>
            </w:r>
            <w:bookmarkEnd w:id="39"/>
          </w:p>
        </w:tc>
        <w:tc>
          <w:tcPr>
            <w:tcW w:w="1290" w:type="dxa"/>
            <w:vAlign w:val="center"/>
          </w:tcPr>
          <w:p w14:paraId="59A329E9">
            <w:pPr>
              <w:spacing w:before="75" w:line="229" w:lineRule="auto"/>
              <w:jc w:val="center"/>
              <w:outlineLvl w:val="0"/>
              <w:rPr>
                <w:rFonts w:hint="eastAsia" w:ascii="宋体" w:hAnsi="宋体" w:eastAsia="宋体" w:cs="宋体"/>
                <w:b/>
                <w:bCs/>
                <w:color w:val="auto"/>
                <w:spacing w:val="6"/>
                <w:sz w:val="24"/>
                <w:szCs w:val="24"/>
                <w:highlight w:val="none"/>
              </w:rPr>
            </w:pPr>
            <w:bookmarkStart w:id="40" w:name="_Toc27967"/>
            <w:r>
              <w:rPr>
                <w:rFonts w:hint="eastAsia" w:ascii="宋体" w:hAnsi="宋体" w:eastAsia="宋体" w:cs="宋体"/>
                <w:b/>
                <w:bCs/>
                <w:color w:val="auto"/>
                <w:spacing w:val="6"/>
                <w:sz w:val="24"/>
                <w:szCs w:val="24"/>
                <w:highlight w:val="none"/>
              </w:rPr>
              <w:t>是否正偏离</w:t>
            </w:r>
            <w:bookmarkEnd w:id="40"/>
          </w:p>
        </w:tc>
        <w:tc>
          <w:tcPr>
            <w:tcW w:w="675" w:type="dxa"/>
            <w:vAlign w:val="center"/>
          </w:tcPr>
          <w:p w14:paraId="0070AAC0">
            <w:pPr>
              <w:spacing w:before="75" w:line="229" w:lineRule="auto"/>
              <w:jc w:val="center"/>
              <w:outlineLvl w:val="0"/>
              <w:rPr>
                <w:rFonts w:hint="eastAsia" w:ascii="宋体" w:hAnsi="宋体" w:eastAsia="宋体" w:cs="宋体"/>
                <w:b/>
                <w:bCs/>
                <w:color w:val="auto"/>
                <w:spacing w:val="6"/>
                <w:sz w:val="24"/>
                <w:szCs w:val="24"/>
                <w:highlight w:val="none"/>
              </w:rPr>
            </w:pPr>
            <w:bookmarkStart w:id="41" w:name="_Toc12136"/>
            <w:r>
              <w:rPr>
                <w:rFonts w:hint="eastAsia" w:ascii="宋体" w:hAnsi="宋体" w:eastAsia="宋体" w:cs="宋体"/>
                <w:b/>
                <w:bCs/>
                <w:color w:val="auto"/>
                <w:spacing w:val="6"/>
                <w:sz w:val="24"/>
                <w:szCs w:val="24"/>
                <w:highlight w:val="none"/>
              </w:rPr>
              <w:t>备注</w:t>
            </w:r>
            <w:bookmarkEnd w:id="41"/>
          </w:p>
        </w:tc>
      </w:tr>
      <w:tr w14:paraId="15DC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3804131F">
            <w:pPr>
              <w:rPr>
                <w:rFonts w:hint="eastAsia" w:ascii="宋体" w:hAnsi="宋体" w:eastAsia="宋体" w:cs="宋体"/>
                <w:color w:val="auto"/>
                <w:sz w:val="24"/>
                <w:szCs w:val="24"/>
                <w:highlight w:val="none"/>
              </w:rPr>
            </w:pPr>
          </w:p>
        </w:tc>
        <w:tc>
          <w:tcPr>
            <w:tcW w:w="1329" w:type="dxa"/>
            <w:vAlign w:val="top"/>
          </w:tcPr>
          <w:p w14:paraId="0126C242">
            <w:pPr>
              <w:rPr>
                <w:rFonts w:hint="eastAsia" w:ascii="宋体" w:hAnsi="宋体" w:eastAsia="宋体" w:cs="宋体"/>
                <w:color w:val="auto"/>
                <w:sz w:val="24"/>
                <w:szCs w:val="24"/>
                <w:highlight w:val="none"/>
              </w:rPr>
            </w:pPr>
          </w:p>
        </w:tc>
        <w:tc>
          <w:tcPr>
            <w:tcW w:w="2940" w:type="dxa"/>
            <w:vAlign w:val="top"/>
          </w:tcPr>
          <w:p w14:paraId="1DD42062">
            <w:pPr>
              <w:rPr>
                <w:rFonts w:hint="eastAsia" w:ascii="宋体" w:hAnsi="宋体" w:eastAsia="宋体" w:cs="宋体"/>
                <w:color w:val="auto"/>
                <w:sz w:val="24"/>
                <w:szCs w:val="24"/>
                <w:highlight w:val="none"/>
              </w:rPr>
            </w:pPr>
          </w:p>
        </w:tc>
        <w:tc>
          <w:tcPr>
            <w:tcW w:w="3036" w:type="dxa"/>
            <w:vAlign w:val="top"/>
          </w:tcPr>
          <w:p w14:paraId="5A95DEAB">
            <w:pPr>
              <w:rPr>
                <w:rFonts w:hint="eastAsia" w:ascii="宋体" w:hAnsi="宋体" w:eastAsia="宋体" w:cs="宋体"/>
                <w:color w:val="auto"/>
                <w:sz w:val="24"/>
                <w:szCs w:val="24"/>
                <w:highlight w:val="none"/>
              </w:rPr>
            </w:pPr>
          </w:p>
        </w:tc>
        <w:tc>
          <w:tcPr>
            <w:tcW w:w="1290" w:type="dxa"/>
            <w:vAlign w:val="top"/>
          </w:tcPr>
          <w:p w14:paraId="6C9915D6">
            <w:pPr>
              <w:rPr>
                <w:rFonts w:hint="eastAsia" w:ascii="宋体" w:hAnsi="宋体" w:eastAsia="宋体" w:cs="宋体"/>
                <w:color w:val="auto"/>
                <w:sz w:val="24"/>
                <w:szCs w:val="24"/>
                <w:highlight w:val="none"/>
              </w:rPr>
            </w:pPr>
          </w:p>
        </w:tc>
        <w:tc>
          <w:tcPr>
            <w:tcW w:w="675" w:type="dxa"/>
            <w:vAlign w:val="top"/>
          </w:tcPr>
          <w:p w14:paraId="38E0EA94">
            <w:pPr>
              <w:rPr>
                <w:rFonts w:hint="eastAsia" w:ascii="宋体" w:hAnsi="宋体" w:eastAsia="宋体" w:cs="宋体"/>
                <w:color w:val="auto"/>
                <w:sz w:val="24"/>
                <w:szCs w:val="24"/>
                <w:highlight w:val="none"/>
              </w:rPr>
            </w:pPr>
          </w:p>
        </w:tc>
      </w:tr>
      <w:tr w14:paraId="7F146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71AF298B">
            <w:pPr>
              <w:rPr>
                <w:rFonts w:hint="eastAsia" w:ascii="宋体" w:hAnsi="宋体" w:eastAsia="宋体" w:cs="宋体"/>
                <w:color w:val="auto"/>
                <w:sz w:val="24"/>
                <w:szCs w:val="24"/>
                <w:highlight w:val="none"/>
              </w:rPr>
            </w:pPr>
          </w:p>
        </w:tc>
        <w:tc>
          <w:tcPr>
            <w:tcW w:w="1329" w:type="dxa"/>
            <w:vAlign w:val="top"/>
          </w:tcPr>
          <w:p w14:paraId="5DF675FF">
            <w:pPr>
              <w:rPr>
                <w:rFonts w:hint="eastAsia" w:ascii="宋体" w:hAnsi="宋体" w:eastAsia="宋体" w:cs="宋体"/>
                <w:color w:val="auto"/>
                <w:sz w:val="24"/>
                <w:szCs w:val="24"/>
                <w:highlight w:val="none"/>
              </w:rPr>
            </w:pPr>
          </w:p>
        </w:tc>
        <w:tc>
          <w:tcPr>
            <w:tcW w:w="2940" w:type="dxa"/>
            <w:vAlign w:val="top"/>
          </w:tcPr>
          <w:p w14:paraId="35580DB2">
            <w:pPr>
              <w:rPr>
                <w:rFonts w:hint="eastAsia" w:ascii="宋体" w:hAnsi="宋体" w:eastAsia="宋体" w:cs="宋体"/>
                <w:color w:val="auto"/>
                <w:sz w:val="24"/>
                <w:szCs w:val="24"/>
                <w:highlight w:val="none"/>
              </w:rPr>
            </w:pPr>
          </w:p>
        </w:tc>
        <w:tc>
          <w:tcPr>
            <w:tcW w:w="3036" w:type="dxa"/>
            <w:vAlign w:val="top"/>
          </w:tcPr>
          <w:p w14:paraId="73D97B3C">
            <w:pPr>
              <w:rPr>
                <w:rFonts w:hint="eastAsia" w:ascii="宋体" w:hAnsi="宋体" w:eastAsia="宋体" w:cs="宋体"/>
                <w:color w:val="auto"/>
                <w:sz w:val="24"/>
                <w:szCs w:val="24"/>
                <w:highlight w:val="none"/>
              </w:rPr>
            </w:pPr>
          </w:p>
        </w:tc>
        <w:tc>
          <w:tcPr>
            <w:tcW w:w="1290" w:type="dxa"/>
            <w:vAlign w:val="top"/>
          </w:tcPr>
          <w:p w14:paraId="143CB54B">
            <w:pPr>
              <w:rPr>
                <w:rFonts w:hint="eastAsia" w:ascii="宋体" w:hAnsi="宋体" w:eastAsia="宋体" w:cs="宋体"/>
                <w:color w:val="auto"/>
                <w:sz w:val="24"/>
                <w:szCs w:val="24"/>
                <w:highlight w:val="none"/>
              </w:rPr>
            </w:pPr>
          </w:p>
        </w:tc>
        <w:tc>
          <w:tcPr>
            <w:tcW w:w="675" w:type="dxa"/>
            <w:vAlign w:val="top"/>
          </w:tcPr>
          <w:p w14:paraId="2D7E1A66">
            <w:pPr>
              <w:rPr>
                <w:rFonts w:hint="eastAsia" w:ascii="宋体" w:hAnsi="宋体" w:eastAsia="宋体" w:cs="宋体"/>
                <w:color w:val="auto"/>
                <w:sz w:val="24"/>
                <w:szCs w:val="24"/>
                <w:highlight w:val="none"/>
              </w:rPr>
            </w:pPr>
          </w:p>
        </w:tc>
      </w:tr>
      <w:tr w14:paraId="0C3AE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4" w:type="dxa"/>
            <w:vAlign w:val="top"/>
          </w:tcPr>
          <w:p w14:paraId="584FE2A4">
            <w:pPr>
              <w:rPr>
                <w:rFonts w:hint="eastAsia" w:ascii="宋体" w:hAnsi="宋体" w:eastAsia="宋体" w:cs="宋体"/>
                <w:color w:val="auto"/>
                <w:sz w:val="24"/>
                <w:szCs w:val="24"/>
                <w:highlight w:val="none"/>
              </w:rPr>
            </w:pPr>
          </w:p>
        </w:tc>
        <w:tc>
          <w:tcPr>
            <w:tcW w:w="1329" w:type="dxa"/>
            <w:vAlign w:val="top"/>
          </w:tcPr>
          <w:p w14:paraId="17E4D761">
            <w:pPr>
              <w:rPr>
                <w:rFonts w:hint="eastAsia" w:ascii="宋体" w:hAnsi="宋体" w:eastAsia="宋体" w:cs="宋体"/>
                <w:color w:val="auto"/>
                <w:sz w:val="24"/>
                <w:szCs w:val="24"/>
                <w:highlight w:val="none"/>
              </w:rPr>
            </w:pPr>
          </w:p>
        </w:tc>
        <w:tc>
          <w:tcPr>
            <w:tcW w:w="2940" w:type="dxa"/>
            <w:vAlign w:val="top"/>
          </w:tcPr>
          <w:p w14:paraId="564D5E96">
            <w:pPr>
              <w:rPr>
                <w:rFonts w:hint="eastAsia" w:ascii="宋体" w:hAnsi="宋体" w:eastAsia="宋体" w:cs="宋体"/>
                <w:color w:val="auto"/>
                <w:sz w:val="24"/>
                <w:szCs w:val="24"/>
                <w:highlight w:val="none"/>
              </w:rPr>
            </w:pPr>
          </w:p>
        </w:tc>
        <w:tc>
          <w:tcPr>
            <w:tcW w:w="3036" w:type="dxa"/>
            <w:vAlign w:val="top"/>
          </w:tcPr>
          <w:p w14:paraId="30B806CF">
            <w:pPr>
              <w:rPr>
                <w:rFonts w:hint="eastAsia" w:ascii="宋体" w:hAnsi="宋体" w:eastAsia="宋体" w:cs="宋体"/>
                <w:color w:val="auto"/>
                <w:sz w:val="24"/>
                <w:szCs w:val="24"/>
                <w:highlight w:val="none"/>
              </w:rPr>
            </w:pPr>
          </w:p>
        </w:tc>
        <w:tc>
          <w:tcPr>
            <w:tcW w:w="1290" w:type="dxa"/>
            <w:vAlign w:val="top"/>
          </w:tcPr>
          <w:p w14:paraId="4079584B">
            <w:pPr>
              <w:rPr>
                <w:rFonts w:hint="eastAsia" w:ascii="宋体" w:hAnsi="宋体" w:eastAsia="宋体" w:cs="宋体"/>
                <w:color w:val="auto"/>
                <w:sz w:val="24"/>
                <w:szCs w:val="24"/>
                <w:highlight w:val="none"/>
              </w:rPr>
            </w:pPr>
          </w:p>
        </w:tc>
        <w:tc>
          <w:tcPr>
            <w:tcW w:w="675" w:type="dxa"/>
            <w:vAlign w:val="top"/>
          </w:tcPr>
          <w:p w14:paraId="110BA1D6">
            <w:pPr>
              <w:rPr>
                <w:rFonts w:hint="eastAsia" w:ascii="宋体" w:hAnsi="宋体" w:eastAsia="宋体" w:cs="宋体"/>
                <w:color w:val="auto"/>
                <w:sz w:val="24"/>
                <w:szCs w:val="24"/>
                <w:highlight w:val="none"/>
              </w:rPr>
            </w:pPr>
          </w:p>
        </w:tc>
      </w:tr>
    </w:tbl>
    <w:p w14:paraId="5DD388BE">
      <w:pPr>
        <w:spacing w:before="37" w:line="465" w:lineRule="exact"/>
        <w:ind w:left="281"/>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说</w:t>
      </w:r>
      <w:r>
        <w:rPr>
          <w:rFonts w:hint="eastAsia" w:ascii="宋体" w:hAnsi="宋体" w:eastAsia="宋体" w:cs="宋体"/>
          <w:color w:val="auto"/>
          <w:spacing w:val="2"/>
          <w:position w:val="17"/>
          <w:sz w:val="24"/>
          <w:szCs w:val="24"/>
          <w:highlight w:val="none"/>
        </w:rPr>
        <w:t>明：</w:t>
      </w:r>
    </w:p>
    <w:p w14:paraId="1D18C68D">
      <w:pPr>
        <w:spacing w:line="310" w:lineRule="exact"/>
        <w:ind w:left="296"/>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1</w:t>
      </w:r>
      <w:r>
        <w:rPr>
          <w:rFonts w:hint="eastAsia" w:ascii="宋体" w:hAnsi="宋体" w:eastAsia="宋体" w:cs="宋体"/>
          <w:color w:val="auto"/>
          <w:spacing w:val="14"/>
          <w:position w:val="1"/>
          <w:sz w:val="24"/>
          <w:szCs w:val="24"/>
          <w:highlight w:val="none"/>
        </w:rPr>
        <w:t>.</w:t>
      </w:r>
      <w:r>
        <w:rPr>
          <w:rFonts w:hint="eastAsia" w:ascii="宋体" w:hAnsi="宋体" w:eastAsia="宋体" w:cs="宋体"/>
          <w:color w:val="auto"/>
          <w:spacing w:val="8"/>
          <w:position w:val="1"/>
          <w:sz w:val="24"/>
          <w:szCs w:val="24"/>
          <w:highlight w:val="none"/>
        </w:rPr>
        <w:t>商务条款均应根据投标文件对招标文件的偏离情况相对应地填列。</w:t>
      </w:r>
    </w:p>
    <w:p w14:paraId="44B493B7">
      <w:pPr>
        <w:spacing w:before="157" w:line="375" w:lineRule="auto"/>
        <w:ind w:left="279" w:right="270"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2.商务条款可填写</w:t>
      </w:r>
      <w:r>
        <w:rPr>
          <w:rFonts w:hint="eastAsia" w:ascii="宋体" w:hAnsi="宋体" w:eastAsia="宋体" w:cs="宋体"/>
          <w:b/>
          <w:bCs/>
          <w:color w:val="auto"/>
          <w:spacing w:val="9"/>
          <w:sz w:val="24"/>
          <w:szCs w:val="24"/>
          <w:highlight w:val="none"/>
        </w:rPr>
        <w:t>付款条件、</w:t>
      </w:r>
      <w:r>
        <w:rPr>
          <w:rFonts w:hint="eastAsia" w:ascii="宋体" w:hAnsi="宋体" w:eastAsia="宋体" w:cs="宋体"/>
          <w:b/>
          <w:bCs/>
          <w:color w:val="auto"/>
          <w:spacing w:val="9"/>
          <w:sz w:val="24"/>
          <w:szCs w:val="24"/>
          <w:highlight w:val="none"/>
          <w:lang w:eastAsia="zh-CN"/>
        </w:rPr>
        <w:t>交货时间</w:t>
      </w:r>
      <w:r>
        <w:rPr>
          <w:rFonts w:hint="eastAsia" w:ascii="宋体" w:hAnsi="宋体" w:eastAsia="宋体" w:cs="宋体"/>
          <w:b/>
          <w:bCs/>
          <w:color w:val="auto"/>
          <w:spacing w:val="9"/>
          <w:sz w:val="24"/>
          <w:szCs w:val="24"/>
          <w:highlight w:val="none"/>
        </w:rPr>
        <w:t>、交货地点、交货方式、售后服务</w:t>
      </w:r>
      <w:r>
        <w:rPr>
          <w:rFonts w:hint="eastAsia" w:ascii="宋体" w:hAnsi="宋体" w:eastAsia="宋体" w:cs="宋体"/>
          <w:color w:val="auto"/>
          <w:spacing w:val="8"/>
          <w:sz w:val="24"/>
          <w:szCs w:val="24"/>
          <w:highlight w:val="none"/>
        </w:rPr>
        <w:t>等重要条</w:t>
      </w:r>
      <w:r>
        <w:rPr>
          <w:rFonts w:hint="eastAsia" w:ascii="宋体" w:hAnsi="宋体" w:eastAsia="宋体" w:cs="宋体"/>
          <w:color w:val="auto"/>
          <w:spacing w:val="3"/>
          <w:sz w:val="24"/>
          <w:szCs w:val="24"/>
          <w:highlight w:val="none"/>
        </w:rPr>
        <w:t>款</w:t>
      </w:r>
      <w:r>
        <w:rPr>
          <w:rFonts w:hint="eastAsia" w:ascii="宋体" w:hAnsi="宋体" w:eastAsia="宋体" w:cs="宋体"/>
          <w:color w:val="auto"/>
          <w:spacing w:val="9"/>
          <w:sz w:val="24"/>
          <w:szCs w:val="24"/>
          <w:highlight w:val="none"/>
        </w:rPr>
        <w:t>方面的偏离情况，但不限于以上条款</w:t>
      </w:r>
      <w:r>
        <w:rPr>
          <w:rFonts w:hint="eastAsia" w:ascii="宋体" w:hAnsi="宋体" w:eastAsia="宋体" w:cs="宋体"/>
          <w:color w:val="auto"/>
          <w:spacing w:val="5"/>
          <w:sz w:val="24"/>
          <w:szCs w:val="24"/>
          <w:highlight w:val="none"/>
        </w:rPr>
        <w:t>。</w:t>
      </w:r>
    </w:p>
    <w:p w14:paraId="6F2806E2">
      <w:pPr>
        <w:spacing w:line="308" w:lineRule="exact"/>
        <w:ind w:left="283"/>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3.表内如果填列不全，可另外附页说明并按规定签字和加盖公章</w:t>
      </w:r>
      <w:r>
        <w:rPr>
          <w:rFonts w:hint="eastAsia" w:ascii="宋体" w:hAnsi="宋体" w:eastAsia="宋体" w:cs="宋体"/>
          <w:color w:val="auto"/>
          <w:spacing w:val="4"/>
          <w:position w:val="1"/>
          <w:sz w:val="24"/>
          <w:szCs w:val="24"/>
          <w:highlight w:val="none"/>
        </w:rPr>
        <w:t>。</w:t>
      </w:r>
    </w:p>
    <w:p w14:paraId="69018269">
      <w:pPr>
        <w:spacing w:before="157" w:line="311" w:lineRule="exact"/>
        <w:ind w:left="277"/>
        <w:outlineLvl w:val="0"/>
        <w:rPr>
          <w:rFonts w:hint="eastAsia" w:ascii="宋体" w:hAnsi="宋体" w:eastAsia="宋体" w:cs="宋体"/>
          <w:color w:val="auto"/>
          <w:sz w:val="24"/>
          <w:szCs w:val="24"/>
          <w:highlight w:val="none"/>
        </w:rPr>
      </w:pPr>
      <w:bookmarkStart w:id="42" w:name="_Toc5746"/>
      <w:r>
        <w:rPr>
          <w:rFonts w:hint="eastAsia" w:ascii="宋体" w:hAnsi="宋体" w:eastAsia="宋体" w:cs="宋体"/>
          <w:color w:val="auto"/>
          <w:spacing w:val="13"/>
          <w:position w:val="1"/>
          <w:sz w:val="24"/>
          <w:szCs w:val="24"/>
          <w:highlight w:val="none"/>
        </w:rPr>
        <w:t>4</w:t>
      </w:r>
      <w:r>
        <w:rPr>
          <w:rFonts w:hint="eastAsia" w:ascii="宋体" w:hAnsi="宋体" w:eastAsia="宋体" w:cs="宋体"/>
          <w:color w:val="auto"/>
          <w:spacing w:val="8"/>
          <w:position w:val="1"/>
          <w:sz w:val="24"/>
          <w:szCs w:val="24"/>
          <w:highlight w:val="none"/>
        </w:rPr>
        <w:t>.采购人要求投标人认真填写本表。</w:t>
      </w:r>
      <w:bookmarkEnd w:id="42"/>
    </w:p>
    <w:p w14:paraId="1C8C715D">
      <w:pPr>
        <w:spacing w:before="157" w:line="309" w:lineRule="exact"/>
        <w:ind w:left="283"/>
        <w:outlineLvl w:val="0"/>
        <w:rPr>
          <w:rFonts w:hint="eastAsia" w:ascii="宋体" w:hAnsi="宋体" w:eastAsia="宋体" w:cs="宋体"/>
          <w:color w:val="auto"/>
          <w:sz w:val="24"/>
          <w:szCs w:val="24"/>
          <w:highlight w:val="none"/>
        </w:rPr>
      </w:pPr>
      <w:bookmarkStart w:id="43" w:name="_Toc22194"/>
      <w:r>
        <w:rPr>
          <w:rFonts w:hint="eastAsia" w:ascii="宋体" w:hAnsi="宋体" w:eastAsia="宋体" w:cs="宋体"/>
          <w:color w:val="auto"/>
          <w:spacing w:val="8"/>
          <w:position w:val="1"/>
          <w:sz w:val="24"/>
          <w:szCs w:val="24"/>
          <w:highlight w:val="none"/>
        </w:rPr>
        <w:t>5.此表可根据需要自行拉长加宽</w:t>
      </w:r>
      <w:r>
        <w:rPr>
          <w:rFonts w:hint="eastAsia" w:ascii="宋体" w:hAnsi="宋体" w:eastAsia="宋体" w:cs="宋体"/>
          <w:color w:val="auto"/>
          <w:spacing w:val="5"/>
          <w:position w:val="1"/>
          <w:sz w:val="24"/>
          <w:szCs w:val="24"/>
          <w:highlight w:val="none"/>
        </w:rPr>
        <w:t>。</w:t>
      </w:r>
      <w:bookmarkEnd w:id="43"/>
    </w:p>
    <w:p w14:paraId="20DC1045">
      <w:pPr>
        <w:spacing w:before="156" w:line="375" w:lineRule="auto"/>
        <w:ind w:left="277" w:right="266" w:firstLine="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6.如有正偏离的商务条款，须在商务条款偏离表中体现，如未在商务条款偏离表中填写，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视</w:t>
      </w:r>
      <w:r>
        <w:rPr>
          <w:rFonts w:hint="eastAsia" w:ascii="宋体" w:hAnsi="宋体" w:eastAsia="宋体" w:cs="宋体"/>
          <w:color w:val="auto"/>
          <w:spacing w:val="8"/>
          <w:sz w:val="24"/>
          <w:szCs w:val="24"/>
          <w:highlight w:val="none"/>
        </w:rPr>
        <w:t>为其商务条款全部满足。</w:t>
      </w:r>
    </w:p>
    <w:p w14:paraId="53CB6A62">
      <w:pPr>
        <w:spacing w:line="309" w:lineRule="exact"/>
        <w:ind w:left="284"/>
        <w:outlineLvl w:val="0"/>
        <w:rPr>
          <w:rFonts w:hint="eastAsia" w:ascii="宋体" w:hAnsi="宋体" w:eastAsia="宋体" w:cs="宋体"/>
          <w:color w:val="auto"/>
          <w:sz w:val="24"/>
          <w:szCs w:val="24"/>
          <w:highlight w:val="none"/>
        </w:rPr>
      </w:pPr>
      <w:bookmarkStart w:id="44" w:name="_Toc31758"/>
      <w:r>
        <w:rPr>
          <w:rFonts w:hint="eastAsia" w:ascii="宋体" w:hAnsi="宋体" w:eastAsia="宋体" w:cs="宋体"/>
          <w:color w:val="auto"/>
          <w:spacing w:val="8"/>
          <w:position w:val="1"/>
          <w:sz w:val="24"/>
          <w:szCs w:val="24"/>
          <w:highlight w:val="none"/>
        </w:rPr>
        <w:t>7.“是否正偏离”项填写是或否</w:t>
      </w:r>
      <w:r>
        <w:rPr>
          <w:rFonts w:hint="eastAsia" w:ascii="宋体" w:hAnsi="宋体" w:eastAsia="宋体" w:cs="宋体"/>
          <w:color w:val="auto"/>
          <w:spacing w:val="4"/>
          <w:position w:val="1"/>
          <w:sz w:val="24"/>
          <w:szCs w:val="24"/>
          <w:highlight w:val="none"/>
        </w:rPr>
        <w:t>。</w:t>
      </w:r>
      <w:bookmarkEnd w:id="44"/>
    </w:p>
    <w:p w14:paraId="786D75B7">
      <w:pPr>
        <w:spacing w:line="262" w:lineRule="auto"/>
        <w:rPr>
          <w:rFonts w:hint="eastAsia" w:ascii="宋体" w:hAnsi="宋体" w:eastAsia="宋体" w:cs="宋体"/>
          <w:color w:val="auto"/>
          <w:sz w:val="24"/>
          <w:szCs w:val="24"/>
          <w:highlight w:val="none"/>
        </w:rPr>
      </w:pPr>
    </w:p>
    <w:p w14:paraId="6F33F64D">
      <w:pPr>
        <w:spacing w:line="262" w:lineRule="auto"/>
        <w:rPr>
          <w:rFonts w:hint="eastAsia" w:ascii="宋体" w:hAnsi="宋体" w:eastAsia="宋体" w:cs="宋体"/>
          <w:color w:val="auto"/>
          <w:sz w:val="24"/>
          <w:szCs w:val="24"/>
          <w:highlight w:val="none"/>
        </w:rPr>
      </w:pPr>
    </w:p>
    <w:p w14:paraId="7119EDC2">
      <w:pPr>
        <w:spacing w:line="263" w:lineRule="auto"/>
        <w:rPr>
          <w:rFonts w:hint="eastAsia" w:ascii="宋体" w:hAnsi="宋体" w:eastAsia="宋体" w:cs="宋体"/>
          <w:color w:val="auto"/>
          <w:sz w:val="24"/>
          <w:szCs w:val="24"/>
          <w:highlight w:val="none"/>
        </w:rPr>
      </w:pPr>
    </w:p>
    <w:p w14:paraId="1CCEE5E0">
      <w:pPr>
        <w:spacing w:before="75" w:line="227" w:lineRule="auto"/>
        <w:ind w:left="76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投标人全称</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7C26A675">
      <w:pPr>
        <w:spacing w:before="186" w:line="465" w:lineRule="exact"/>
        <w:ind w:left="760"/>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1FAADD2F">
      <w:pPr>
        <w:spacing w:before="1" w:line="229" w:lineRule="auto"/>
        <w:ind w:left="76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541E3E54">
      <w:pPr>
        <w:rPr>
          <w:rFonts w:hint="eastAsia" w:ascii="宋体" w:hAnsi="宋体" w:eastAsia="宋体" w:cs="宋体"/>
          <w:color w:val="auto"/>
          <w:sz w:val="24"/>
          <w:szCs w:val="24"/>
          <w:highlight w:val="none"/>
        </w:rPr>
        <w:sectPr>
          <w:pgSz w:w="11906" w:h="16839"/>
          <w:pgMar w:top="820" w:right="1035" w:bottom="844" w:left="1034" w:header="0" w:footer="684" w:gutter="0"/>
          <w:pgNumType w:fmt="decimal"/>
          <w:cols w:space="720" w:num="1"/>
        </w:sectPr>
      </w:pPr>
    </w:p>
    <w:p w14:paraId="33E0F8D4">
      <w:pPr>
        <w:spacing w:before="91" w:line="223" w:lineRule="auto"/>
        <w:ind w:left="14"/>
        <w:outlineLvl w:val="1"/>
        <w:rPr>
          <w:rFonts w:hint="eastAsia" w:ascii="宋体" w:hAnsi="宋体" w:eastAsia="宋体" w:cs="宋体"/>
          <w:color w:val="auto"/>
          <w:sz w:val="28"/>
          <w:szCs w:val="28"/>
          <w:highlight w:val="none"/>
        </w:rPr>
      </w:pPr>
      <w:bookmarkStart w:id="45" w:name="_Toc18196"/>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2</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技术规格偏离表</w:t>
      </w:r>
      <w:r>
        <w:rPr>
          <w:rFonts w:hint="eastAsia" w:ascii="宋体" w:hAnsi="宋体" w:eastAsia="宋体" w:cs="宋体"/>
          <w:color w:val="auto"/>
          <w:spacing w:val="-2"/>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格式)</w:t>
      </w:r>
      <w:bookmarkEnd w:id="45"/>
    </w:p>
    <w:p w14:paraId="34560A67">
      <w:pPr>
        <w:spacing w:line="245" w:lineRule="auto"/>
        <w:rPr>
          <w:rFonts w:hint="eastAsia" w:ascii="宋体" w:hAnsi="宋体" w:eastAsia="宋体" w:cs="宋体"/>
          <w:color w:val="auto"/>
          <w:sz w:val="21"/>
          <w:highlight w:val="none"/>
        </w:rPr>
      </w:pPr>
    </w:p>
    <w:p w14:paraId="20F94FBC">
      <w:pPr>
        <w:spacing w:before="74"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3A97DDB3">
      <w:pPr>
        <w:spacing w:line="148" w:lineRule="exact"/>
        <w:rPr>
          <w:rFonts w:hint="eastAsia" w:ascii="宋体" w:hAnsi="宋体" w:eastAsia="宋体" w:cs="宋体"/>
          <w:color w:val="auto"/>
          <w:sz w:val="24"/>
          <w:szCs w:val="24"/>
          <w:highlight w:val="none"/>
        </w:rPr>
      </w:pPr>
    </w:p>
    <w:tbl>
      <w:tblPr>
        <w:tblStyle w:val="42"/>
        <w:tblW w:w="9353"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043"/>
        <w:gridCol w:w="3059"/>
        <w:gridCol w:w="2440"/>
        <w:gridCol w:w="802"/>
        <w:gridCol w:w="966"/>
      </w:tblGrid>
      <w:tr w14:paraId="5820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043" w:type="dxa"/>
            <w:vAlign w:val="center"/>
          </w:tcPr>
          <w:p w14:paraId="056ABD3E">
            <w:pPr>
              <w:spacing w:before="74" w:line="225" w:lineRule="auto"/>
              <w:jc w:val="center"/>
              <w:outlineLvl w:val="0"/>
              <w:rPr>
                <w:rFonts w:hint="eastAsia" w:ascii="宋体" w:hAnsi="宋体" w:eastAsia="宋体" w:cs="宋体"/>
                <w:b/>
                <w:bCs/>
                <w:color w:val="auto"/>
                <w:spacing w:val="5"/>
                <w:sz w:val="24"/>
                <w:szCs w:val="24"/>
                <w:highlight w:val="none"/>
                <w:lang w:eastAsia="zh-CN"/>
              </w:rPr>
            </w:pPr>
            <w:bookmarkStart w:id="46" w:name="_Toc11361"/>
            <w:r>
              <w:rPr>
                <w:rFonts w:hint="eastAsia" w:ascii="宋体" w:hAnsi="宋体" w:eastAsia="宋体" w:cs="宋体"/>
                <w:b/>
                <w:bCs/>
                <w:color w:val="auto"/>
                <w:spacing w:val="5"/>
                <w:sz w:val="24"/>
                <w:szCs w:val="24"/>
                <w:highlight w:val="none"/>
                <w:lang w:eastAsia="zh-CN"/>
              </w:rPr>
              <w:t>序号</w:t>
            </w:r>
            <w:bookmarkEnd w:id="46"/>
          </w:p>
        </w:tc>
        <w:tc>
          <w:tcPr>
            <w:tcW w:w="1043" w:type="dxa"/>
            <w:vAlign w:val="center"/>
          </w:tcPr>
          <w:p w14:paraId="037CAA58">
            <w:pPr>
              <w:spacing w:before="74" w:line="225" w:lineRule="auto"/>
              <w:jc w:val="center"/>
              <w:outlineLvl w:val="0"/>
              <w:rPr>
                <w:rFonts w:hint="eastAsia" w:ascii="宋体" w:hAnsi="宋体" w:eastAsia="宋体" w:cs="宋体"/>
                <w:b/>
                <w:bCs/>
                <w:color w:val="auto"/>
                <w:sz w:val="24"/>
                <w:szCs w:val="24"/>
                <w:highlight w:val="none"/>
              </w:rPr>
            </w:pPr>
            <w:bookmarkStart w:id="47" w:name="_Toc582"/>
            <w:r>
              <w:rPr>
                <w:rFonts w:hint="eastAsia" w:ascii="宋体" w:hAnsi="宋体" w:eastAsia="宋体" w:cs="宋体"/>
                <w:b/>
                <w:bCs/>
                <w:color w:val="auto"/>
                <w:spacing w:val="5"/>
                <w:sz w:val="24"/>
                <w:szCs w:val="24"/>
                <w:highlight w:val="none"/>
              </w:rPr>
              <w:t>货物</w:t>
            </w:r>
            <w:r>
              <w:rPr>
                <w:rFonts w:hint="eastAsia" w:ascii="宋体" w:hAnsi="宋体" w:eastAsia="宋体" w:cs="宋体"/>
                <w:b/>
                <w:bCs/>
                <w:color w:val="auto"/>
                <w:spacing w:val="4"/>
                <w:sz w:val="24"/>
                <w:szCs w:val="24"/>
                <w:highlight w:val="none"/>
              </w:rPr>
              <w:t>名</w:t>
            </w:r>
            <w:r>
              <w:rPr>
                <w:rFonts w:hint="eastAsia" w:ascii="宋体" w:hAnsi="宋体" w:eastAsia="宋体" w:cs="宋体"/>
                <w:b/>
                <w:bCs/>
                <w:color w:val="auto"/>
                <w:spacing w:val="1"/>
                <w:sz w:val="24"/>
                <w:szCs w:val="24"/>
                <w:highlight w:val="none"/>
              </w:rPr>
              <w:t>称</w:t>
            </w:r>
            <w:bookmarkEnd w:id="47"/>
          </w:p>
        </w:tc>
        <w:tc>
          <w:tcPr>
            <w:tcW w:w="3059" w:type="dxa"/>
            <w:vAlign w:val="center"/>
          </w:tcPr>
          <w:p w14:paraId="3D93B368">
            <w:pPr>
              <w:spacing w:before="74" w:line="225" w:lineRule="auto"/>
              <w:ind w:left="151"/>
              <w:jc w:val="center"/>
              <w:outlineLvl w:val="0"/>
              <w:rPr>
                <w:rFonts w:hint="eastAsia" w:ascii="宋体" w:hAnsi="宋体" w:eastAsia="宋体" w:cs="宋体"/>
                <w:b/>
                <w:bCs/>
                <w:color w:val="auto"/>
                <w:sz w:val="24"/>
                <w:szCs w:val="24"/>
                <w:highlight w:val="none"/>
              </w:rPr>
            </w:pPr>
            <w:bookmarkStart w:id="48" w:name="_Toc9318"/>
            <w:r>
              <w:rPr>
                <w:rFonts w:hint="eastAsia" w:ascii="宋体" w:hAnsi="宋体" w:eastAsia="宋体" w:cs="宋体"/>
                <w:b/>
                <w:bCs/>
                <w:color w:val="auto"/>
                <w:spacing w:val="9"/>
                <w:sz w:val="24"/>
                <w:szCs w:val="24"/>
                <w:highlight w:val="none"/>
              </w:rPr>
              <w:t>招标文件规定的货</w:t>
            </w:r>
            <w:r>
              <w:rPr>
                <w:rFonts w:hint="eastAsia" w:ascii="宋体" w:hAnsi="宋体" w:eastAsia="宋体" w:cs="宋体"/>
                <w:b/>
                <w:bCs/>
                <w:color w:val="auto"/>
                <w:spacing w:val="7"/>
                <w:sz w:val="24"/>
                <w:szCs w:val="24"/>
                <w:highlight w:val="none"/>
              </w:rPr>
              <w:t>物</w:t>
            </w:r>
            <w:bookmarkEnd w:id="48"/>
          </w:p>
          <w:p w14:paraId="19DBB85D">
            <w:pPr>
              <w:spacing w:before="185" w:line="228" w:lineRule="auto"/>
              <w:ind w:left="40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需</w:t>
            </w:r>
            <w:r>
              <w:rPr>
                <w:rFonts w:hint="eastAsia" w:ascii="宋体" w:hAnsi="宋体" w:eastAsia="宋体" w:cs="宋体"/>
                <w:b/>
                <w:bCs/>
                <w:color w:val="auto"/>
                <w:spacing w:val="6"/>
                <w:sz w:val="24"/>
                <w:szCs w:val="24"/>
                <w:highlight w:val="none"/>
              </w:rPr>
              <w:t>求、技术规格</w:t>
            </w:r>
          </w:p>
        </w:tc>
        <w:tc>
          <w:tcPr>
            <w:tcW w:w="2440" w:type="dxa"/>
            <w:vAlign w:val="center"/>
          </w:tcPr>
          <w:p w14:paraId="01CBE65D">
            <w:pPr>
              <w:spacing w:before="74" w:line="225" w:lineRule="auto"/>
              <w:ind w:left="119"/>
              <w:jc w:val="center"/>
              <w:outlineLvl w:val="0"/>
              <w:rPr>
                <w:rFonts w:hint="eastAsia" w:ascii="宋体" w:hAnsi="宋体" w:eastAsia="宋体" w:cs="宋体"/>
                <w:b/>
                <w:bCs/>
                <w:color w:val="auto"/>
                <w:sz w:val="24"/>
                <w:szCs w:val="24"/>
                <w:highlight w:val="none"/>
              </w:rPr>
            </w:pPr>
            <w:bookmarkStart w:id="49" w:name="_Toc29454"/>
            <w:r>
              <w:rPr>
                <w:rFonts w:hint="eastAsia" w:ascii="宋体" w:hAnsi="宋体" w:eastAsia="宋体" w:cs="宋体"/>
                <w:b/>
                <w:bCs/>
                <w:color w:val="auto"/>
                <w:spacing w:val="9"/>
                <w:sz w:val="24"/>
                <w:szCs w:val="24"/>
                <w:highlight w:val="none"/>
              </w:rPr>
              <w:t>投</w:t>
            </w:r>
            <w:r>
              <w:rPr>
                <w:rFonts w:hint="eastAsia" w:ascii="宋体" w:hAnsi="宋体" w:eastAsia="宋体" w:cs="宋体"/>
                <w:b/>
                <w:bCs/>
                <w:color w:val="auto"/>
                <w:spacing w:val="8"/>
                <w:sz w:val="24"/>
                <w:szCs w:val="24"/>
                <w:highlight w:val="none"/>
              </w:rPr>
              <w:t>标文件对应的货物情况、技</w:t>
            </w:r>
            <w:r>
              <w:rPr>
                <w:rFonts w:hint="eastAsia" w:ascii="宋体" w:hAnsi="宋体" w:eastAsia="宋体" w:cs="宋体"/>
                <w:b/>
                <w:bCs/>
                <w:color w:val="auto"/>
                <w:spacing w:val="7"/>
                <w:sz w:val="24"/>
                <w:szCs w:val="24"/>
                <w:highlight w:val="none"/>
              </w:rPr>
              <w:t>术规格</w:t>
            </w:r>
            <w:bookmarkEnd w:id="49"/>
          </w:p>
        </w:tc>
        <w:tc>
          <w:tcPr>
            <w:tcW w:w="802" w:type="dxa"/>
            <w:vAlign w:val="center"/>
          </w:tcPr>
          <w:p w14:paraId="44DBA9EF">
            <w:pPr>
              <w:spacing w:before="74" w:line="228" w:lineRule="auto"/>
              <w:ind w:left="173"/>
              <w:jc w:val="center"/>
              <w:outlineLvl w:val="0"/>
              <w:rPr>
                <w:rFonts w:hint="eastAsia" w:ascii="宋体" w:hAnsi="宋体" w:eastAsia="宋体" w:cs="宋体"/>
                <w:b/>
                <w:bCs/>
                <w:color w:val="auto"/>
                <w:sz w:val="24"/>
                <w:szCs w:val="24"/>
                <w:highlight w:val="none"/>
              </w:rPr>
            </w:pPr>
            <w:bookmarkStart w:id="50" w:name="_Toc18094"/>
            <w:r>
              <w:rPr>
                <w:rFonts w:hint="eastAsia" w:ascii="宋体" w:hAnsi="宋体" w:eastAsia="宋体" w:cs="宋体"/>
                <w:b/>
                <w:bCs/>
                <w:color w:val="auto"/>
                <w:spacing w:val="3"/>
                <w:sz w:val="24"/>
                <w:szCs w:val="24"/>
                <w:highlight w:val="none"/>
              </w:rPr>
              <w:t>是否</w:t>
            </w:r>
            <w:bookmarkEnd w:id="50"/>
          </w:p>
          <w:p w14:paraId="16AA30D5">
            <w:pPr>
              <w:spacing w:before="181" w:line="227" w:lineRule="auto"/>
              <w:ind w:left="16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偏离</w:t>
            </w:r>
          </w:p>
        </w:tc>
        <w:tc>
          <w:tcPr>
            <w:tcW w:w="966" w:type="dxa"/>
            <w:vAlign w:val="center"/>
          </w:tcPr>
          <w:p w14:paraId="0350C002">
            <w:pPr>
              <w:spacing w:before="74" w:line="229" w:lineRule="auto"/>
              <w:jc w:val="center"/>
              <w:outlineLvl w:val="0"/>
              <w:rPr>
                <w:rFonts w:hint="eastAsia" w:ascii="宋体" w:hAnsi="宋体" w:eastAsia="宋体" w:cs="宋体"/>
                <w:b/>
                <w:bCs/>
                <w:color w:val="auto"/>
                <w:sz w:val="24"/>
                <w:szCs w:val="24"/>
                <w:highlight w:val="none"/>
              </w:rPr>
            </w:pPr>
            <w:bookmarkStart w:id="51" w:name="_Toc12534"/>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bookmarkEnd w:id="51"/>
          </w:p>
        </w:tc>
      </w:tr>
      <w:tr w14:paraId="5B9B3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7AF1022B">
            <w:pPr>
              <w:rPr>
                <w:rFonts w:hint="eastAsia" w:ascii="宋体" w:hAnsi="宋体" w:eastAsia="宋体" w:cs="宋体"/>
                <w:color w:val="auto"/>
                <w:sz w:val="24"/>
                <w:szCs w:val="24"/>
                <w:highlight w:val="none"/>
              </w:rPr>
            </w:pPr>
          </w:p>
        </w:tc>
        <w:tc>
          <w:tcPr>
            <w:tcW w:w="1043" w:type="dxa"/>
            <w:vAlign w:val="top"/>
          </w:tcPr>
          <w:p w14:paraId="52E53788">
            <w:pPr>
              <w:rPr>
                <w:rFonts w:hint="eastAsia" w:ascii="宋体" w:hAnsi="宋体" w:eastAsia="宋体" w:cs="宋体"/>
                <w:color w:val="auto"/>
                <w:sz w:val="24"/>
                <w:szCs w:val="24"/>
                <w:highlight w:val="none"/>
              </w:rPr>
            </w:pPr>
          </w:p>
        </w:tc>
        <w:tc>
          <w:tcPr>
            <w:tcW w:w="3059" w:type="dxa"/>
            <w:vAlign w:val="top"/>
          </w:tcPr>
          <w:p w14:paraId="671076E8">
            <w:pPr>
              <w:rPr>
                <w:rFonts w:hint="eastAsia" w:ascii="宋体" w:hAnsi="宋体" w:eastAsia="宋体" w:cs="宋体"/>
                <w:color w:val="auto"/>
                <w:sz w:val="24"/>
                <w:szCs w:val="24"/>
                <w:highlight w:val="none"/>
              </w:rPr>
            </w:pPr>
          </w:p>
        </w:tc>
        <w:tc>
          <w:tcPr>
            <w:tcW w:w="2440" w:type="dxa"/>
            <w:vAlign w:val="top"/>
          </w:tcPr>
          <w:p w14:paraId="3CDD746F">
            <w:pPr>
              <w:rPr>
                <w:rFonts w:hint="eastAsia" w:ascii="宋体" w:hAnsi="宋体" w:eastAsia="宋体" w:cs="宋体"/>
                <w:color w:val="auto"/>
                <w:sz w:val="24"/>
                <w:szCs w:val="24"/>
                <w:highlight w:val="none"/>
              </w:rPr>
            </w:pPr>
          </w:p>
        </w:tc>
        <w:tc>
          <w:tcPr>
            <w:tcW w:w="802" w:type="dxa"/>
            <w:vAlign w:val="top"/>
          </w:tcPr>
          <w:p w14:paraId="09FD4185">
            <w:pPr>
              <w:rPr>
                <w:rFonts w:hint="eastAsia" w:ascii="宋体" w:hAnsi="宋体" w:eastAsia="宋体" w:cs="宋体"/>
                <w:color w:val="auto"/>
                <w:sz w:val="24"/>
                <w:szCs w:val="24"/>
                <w:highlight w:val="none"/>
              </w:rPr>
            </w:pPr>
          </w:p>
        </w:tc>
        <w:tc>
          <w:tcPr>
            <w:tcW w:w="966" w:type="dxa"/>
            <w:vAlign w:val="top"/>
          </w:tcPr>
          <w:p w14:paraId="7588ED00">
            <w:pPr>
              <w:rPr>
                <w:rFonts w:hint="eastAsia" w:ascii="宋体" w:hAnsi="宋体" w:eastAsia="宋体" w:cs="宋体"/>
                <w:color w:val="auto"/>
                <w:sz w:val="24"/>
                <w:szCs w:val="24"/>
                <w:highlight w:val="none"/>
              </w:rPr>
            </w:pPr>
          </w:p>
        </w:tc>
      </w:tr>
      <w:tr w14:paraId="55B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14D58EFC">
            <w:pPr>
              <w:rPr>
                <w:rFonts w:hint="eastAsia" w:ascii="宋体" w:hAnsi="宋体" w:eastAsia="宋体" w:cs="宋体"/>
                <w:color w:val="auto"/>
                <w:sz w:val="24"/>
                <w:szCs w:val="24"/>
                <w:highlight w:val="none"/>
              </w:rPr>
            </w:pPr>
          </w:p>
        </w:tc>
        <w:tc>
          <w:tcPr>
            <w:tcW w:w="1043" w:type="dxa"/>
            <w:vAlign w:val="top"/>
          </w:tcPr>
          <w:p w14:paraId="612283AA">
            <w:pPr>
              <w:rPr>
                <w:rFonts w:hint="eastAsia" w:ascii="宋体" w:hAnsi="宋体" w:eastAsia="宋体" w:cs="宋体"/>
                <w:color w:val="auto"/>
                <w:sz w:val="24"/>
                <w:szCs w:val="24"/>
                <w:highlight w:val="none"/>
              </w:rPr>
            </w:pPr>
          </w:p>
        </w:tc>
        <w:tc>
          <w:tcPr>
            <w:tcW w:w="3059" w:type="dxa"/>
            <w:vAlign w:val="top"/>
          </w:tcPr>
          <w:p w14:paraId="67A925B9">
            <w:pPr>
              <w:rPr>
                <w:rFonts w:hint="eastAsia" w:ascii="宋体" w:hAnsi="宋体" w:eastAsia="宋体" w:cs="宋体"/>
                <w:color w:val="auto"/>
                <w:sz w:val="24"/>
                <w:szCs w:val="24"/>
                <w:highlight w:val="none"/>
              </w:rPr>
            </w:pPr>
          </w:p>
        </w:tc>
        <w:tc>
          <w:tcPr>
            <w:tcW w:w="2440" w:type="dxa"/>
            <w:vAlign w:val="top"/>
          </w:tcPr>
          <w:p w14:paraId="38893F53">
            <w:pPr>
              <w:rPr>
                <w:rFonts w:hint="eastAsia" w:ascii="宋体" w:hAnsi="宋体" w:eastAsia="宋体" w:cs="宋体"/>
                <w:color w:val="auto"/>
                <w:sz w:val="24"/>
                <w:szCs w:val="24"/>
                <w:highlight w:val="none"/>
              </w:rPr>
            </w:pPr>
          </w:p>
        </w:tc>
        <w:tc>
          <w:tcPr>
            <w:tcW w:w="802" w:type="dxa"/>
            <w:vAlign w:val="top"/>
          </w:tcPr>
          <w:p w14:paraId="6D6AB69F">
            <w:pPr>
              <w:rPr>
                <w:rFonts w:hint="eastAsia" w:ascii="宋体" w:hAnsi="宋体" w:eastAsia="宋体" w:cs="宋体"/>
                <w:color w:val="auto"/>
                <w:sz w:val="24"/>
                <w:szCs w:val="24"/>
                <w:highlight w:val="none"/>
              </w:rPr>
            </w:pPr>
          </w:p>
        </w:tc>
        <w:tc>
          <w:tcPr>
            <w:tcW w:w="966" w:type="dxa"/>
            <w:vAlign w:val="top"/>
          </w:tcPr>
          <w:p w14:paraId="49420DED">
            <w:pPr>
              <w:rPr>
                <w:rFonts w:hint="eastAsia" w:ascii="宋体" w:hAnsi="宋体" w:eastAsia="宋体" w:cs="宋体"/>
                <w:color w:val="auto"/>
                <w:sz w:val="24"/>
                <w:szCs w:val="24"/>
                <w:highlight w:val="none"/>
              </w:rPr>
            </w:pPr>
          </w:p>
        </w:tc>
      </w:tr>
      <w:tr w14:paraId="1F2FA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43" w:type="dxa"/>
            <w:vAlign w:val="top"/>
          </w:tcPr>
          <w:p w14:paraId="1C3514E9">
            <w:pPr>
              <w:rPr>
                <w:rFonts w:hint="eastAsia" w:ascii="宋体" w:hAnsi="宋体" w:eastAsia="宋体" w:cs="宋体"/>
                <w:color w:val="auto"/>
                <w:sz w:val="24"/>
                <w:szCs w:val="24"/>
                <w:highlight w:val="none"/>
              </w:rPr>
            </w:pPr>
          </w:p>
        </w:tc>
        <w:tc>
          <w:tcPr>
            <w:tcW w:w="1043" w:type="dxa"/>
            <w:vAlign w:val="top"/>
          </w:tcPr>
          <w:p w14:paraId="1BAFD1BC">
            <w:pPr>
              <w:rPr>
                <w:rFonts w:hint="eastAsia" w:ascii="宋体" w:hAnsi="宋体" w:eastAsia="宋体" w:cs="宋体"/>
                <w:color w:val="auto"/>
                <w:sz w:val="24"/>
                <w:szCs w:val="24"/>
                <w:highlight w:val="none"/>
              </w:rPr>
            </w:pPr>
          </w:p>
        </w:tc>
        <w:tc>
          <w:tcPr>
            <w:tcW w:w="3059" w:type="dxa"/>
            <w:vAlign w:val="top"/>
          </w:tcPr>
          <w:p w14:paraId="4E452431">
            <w:pPr>
              <w:rPr>
                <w:rFonts w:hint="eastAsia" w:ascii="宋体" w:hAnsi="宋体" w:eastAsia="宋体" w:cs="宋体"/>
                <w:color w:val="auto"/>
                <w:sz w:val="24"/>
                <w:szCs w:val="24"/>
                <w:highlight w:val="none"/>
              </w:rPr>
            </w:pPr>
          </w:p>
        </w:tc>
        <w:tc>
          <w:tcPr>
            <w:tcW w:w="2440" w:type="dxa"/>
            <w:vAlign w:val="top"/>
          </w:tcPr>
          <w:p w14:paraId="3808DA5F">
            <w:pPr>
              <w:rPr>
                <w:rFonts w:hint="eastAsia" w:ascii="宋体" w:hAnsi="宋体" w:eastAsia="宋体" w:cs="宋体"/>
                <w:color w:val="auto"/>
                <w:sz w:val="24"/>
                <w:szCs w:val="24"/>
                <w:highlight w:val="none"/>
              </w:rPr>
            </w:pPr>
          </w:p>
        </w:tc>
        <w:tc>
          <w:tcPr>
            <w:tcW w:w="802" w:type="dxa"/>
            <w:vAlign w:val="top"/>
          </w:tcPr>
          <w:p w14:paraId="3042D44C">
            <w:pPr>
              <w:rPr>
                <w:rFonts w:hint="eastAsia" w:ascii="宋体" w:hAnsi="宋体" w:eastAsia="宋体" w:cs="宋体"/>
                <w:color w:val="auto"/>
                <w:sz w:val="24"/>
                <w:szCs w:val="24"/>
                <w:highlight w:val="none"/>
              </w:rPr>
            </w:pPr>
          </w:p>
        </w:tc>
        <w:tc>
          <w:tcPr>
            <w:tcW w:w="966" w:type="dxa"/>
            <w:vAlign w:val="top"/>
          </w:tcPr>
          <w:p w14:paraId="750461CC">
            <w:pPr>
              <w:rPr>
                <w:rFonts w:hint="eastAsia" w:ascii="宋体" w:hAnsi="宋体" w:eastAsia="宋体" w:cs="宋体"/>
                <w:color w:val="auto"/>
                <w:sz w:val="24"/>
                <w:szCs w:val="24"/>
                <w:highlight w:val="none"/>
              </w:rPr>
            </w:pPr>
          </w:p>
        </w:tc>
      </w:tr>
    </w:tbl>
    <w:p w14:paraId="3F706CC1">
      <w:pPr>
        <w:spacing w:before="3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6C057437">
      <w:pPr>
        <w:numPr>
          <w:ilvl w:val="0"/>
          <w:numId w:val="10"/>
        </w:numPr>
        <w:spacing w:before="184" w:line="375" w:lineRule="auto"/>
        <w:ind w:left="480" w:right="-174"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技</w:t>
      </w:r>
      <w:r>
        <w:rPr>
          <w:rFonts w:hint="eastAsia" w:ascii="宋体" w:hAnsi="宋体" w:eastAsia="宋体" w:cs="宋体"/>
          <w:color w:val="auto"/>
          <w:spacing w:val="7"/>
          <w:sz w:val="24"/>
          <w:szCs w:val="24"/>
          <w:highlight w:val="none"/>
        </w:rPr>
        <w:t>术条款均应根据投标文件对招标文件的偏离情况相对应地填列。</w:t>
      </w:r>
      <w:r>
        <w:rPr>
          <w:rFonts w:hint="eastAsia" w:ascii="宋体" w:hAnsi="宋体" w:eastAsia="宋体" w:cs="宋体"/>
          <w:color w:val="auto"/>
          <w:sz w:val="24"/>
          <w:szCs w:val="24"/>
          <w:highlight w:val="none"/>
        </w:rPr>
        <w:t xml:space="preserve"> </w:t>
      </w:r>
    </w:p>
    <w:p w14:paraId="13F4CA05">
      <w:pPr>
        <w:numPr>
          <w:ilvl w:val="0"/>
          <w:numId w:val="0"/>
        </w:numPr>
        <w:spacing w:before="184" w:line="375" w:lineRule="auto"/>
        <w:ind w:left="494" w:leftChars="0" w:right="46"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2.表内如果填列不全，可另外附页说明并按规定签字和加盖公章</w:t>
      </w:r>
      <w:r>
        <w:rPr>
          <w:rFonts w:hint="eastAsia" w:ascii="宋体" w:hAnsi="宋体" w:eastAsia="宋体" w:cs="宋体"/>
          <w:color w:val="auto"/>
          <w:spacing w:val="6"/>
          <w:sz w:val="24"/>
          <w:szCs w:val="24"/>
          <w:highlight w:val="none"/>
        </w:rPr>
        <w:t>。</w:t>
      </w:r>
    </w:p>
    <w:p w14:paraId="3B9852C1">
      <w:pPr>
        <w:spacing w:line="308" w:lineRule="exact"/>
        <w:ind w:left="481"/>
        <w:outlineLvl w:val="0"/>
        <w:rPr>
          <w:rFonts w:hint="eastAsia" w:ascii="宋体" w:hAnsi="宋体" w:eastAsia="宋体" w:cs="宋体"/>
          <w:color w:val="auto"/>
          <w:sz w:val="24"/>
          <w:szCs w:val="24"/>
          <w:highlight w:val="none"/>
        </w:rPr>
      </w:pPr>
      <w:bookmarkStart w:id="52" w:name="_Toc5847"/>
      <w:r>
        <w:rPr>
          <w:rFonts w:hint="eastAsia" w:ascii="宋体" w:hAnsi="宋体" w:eastAsia="宋体" w:cs="宋体"/>
          <w:color w:val="auto"/>
          <w:spacing w:val="8"/>
          <w:position w:val="1"/>
          <w:sz w:val="24"/>
          <w:szCs w:val="24"/>
          <w:highlight w:val="none"/>
        </w:rPr>
        <w:t>3.采购人要求投标人认真填写本表</w:t>
      </w:r>
      <w:r>
        <w:rPr>
          <w:rFonts w:hint="eastAsia" w:ascii="宋体" w:hAnsi="宋体" w:eastAsia="宋体" w:cs="宋体"/>
          <w:color w:val="auto"/>
          <w:spacing w:val="7"/>
          <w:position w:val="1"/>
          <w:sz w:val="24"/>
          <w:szCs w:val="24"/>
          <w:highlight w:val="none"/>
        </w:rPr>
        <w:t>。</w:t>
      </w:r>
      <w:bookmarkEnd w:id="52"/>
    </w:p>
    <w:p w14:paraId="530BC951">
      <w:pPr>
        <w:spacing w:before="160" w:line="310" w:lineRule="exact"/>
        <w:ind w:left="476"/>
        <w:outlineLvl w:val="0"/>
        <w:rPr>
          <w:rFonts w:hint="eastAsia" w:ascii="宋体" w:hAnsi="宋体" w:eastAsia="宋体" w:cs="宋体"/>
          <w:color w:val="auto"/>
          <w:sz w:val="24"/>
          <w:szCs w:val="24"/>
          <w:highlight w:val="none"/>
        </w:rPr>
      </w:pPr>
      <w:bookmarkStart w:id="53" w:name="_Toc14965"/>
      <w:r>
        <w:rPr>
          <w:rFonts w:hint="eastAsia" w:ascii="宋体" w:hAnsi="宋体" w:eastAsia="宋体" w:cs="宋体"/>
          <w:color w:val="auto"/>
          <w:spacing w:val="11"/>
          <w:position w:val="1"/>
          <w:sz w:val="24"/>
          <w:szCs w:val="24"/>
          <w:highlight w:val="none"/>
        </w:rPr>
        <w:t>4</w:t>
      </w:r>
      <w:r>
        <w:rPr>
          <w:rFonts w:hint="eastAsia" w:ascii="宋体" w:hAnsi="宋体" w:eastAsia="宋体" w:cs="宋体"/>
          <w:color w:val="auto"/>
          <w:spacing w:val="8"/>
          <w:position w:val="1"/>
          <w:sz w:val="24"/>
          <w:szCs w:val="24"/>
          <w:highlight w:val="none"/>
        </w:rPr>
        <w:t>.此表可根据需要自行拉长加宽。</w:t>
      </w:r>
      <w:bookmarkEnd w:id="53"/>
    </w:p>
    <w:p w14:paraId="0AAA87C1">
      <w:pPr>
        <w:spacing w:before="156" w:line="30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5.如</w:t>
      </w:r>
      <w:r>
        <w:rPr>
          <w:rFonts w:hint="eastAsia" w:ascii="宋体" w:hAnsi="宋体" w:eastAsia="宋体" w:cs="宋体"/>
          <w:color w:val="auto"/>
          <w:spacing w:val="13"/>
          <w:position w:val="1"/>
          <w:sz w:val="24"/>
          <w:szCs w:val="24"/>
          <w:highlight w:val="none"/>
        </w:rPr>
        <w:t>“</w:t>
      </w:r>
      <w:r>
        <w:rPr>
          <w:rFonts w:hint="eastAsia" w:ascii="宋体" w:hAnsi="宋体" w:eastAsia="宋体" w:cs="宋体"/>
          <w:color w:val="auto"/>
          <w:spacing w:val="7"/>
          <w:position w:val="1"/>
          <w:sz w:val="24"/>
          <w:szCs w:val="24"/>
          <w:highlight w:val="none"/>
        </w:rPr>
        <w:t>是否偏离”填写是，请在备注栏须填写正偏离或负偏离，如“是否偏离”填否</w:t>
      </w:r>
      <w:r>
        <w:rPr>
          <w:rFonts w:hint="eastAsia" w:ascii="宋体" w:hAnsi="宋体" w:eastAsia="宋体" w:cs="宋体"/>
          <w:color w:val="auto"/>
          <w:spacing w:val="7"/>
          <w:position w:val="1"/>
          <w:sz w:val="24"/>
          <w:szCs w:val="24"/>
          <w:highlight w:val="none"/>
          <w:lang w:eastAsia="zh-CN"/>
        </w:rPr>
        <w:t>，</w:t>
      </w:r>
      <w:r>
        <w:rPr>
          <w:rFonts w:hint="eastAsia" w:ascii="宋体" w:hAnsi="宋体" w:eastAsia="宋体" w:cs="宋体"/>
          <w:color w:val="auto"/>
          <w:spacing w:val="7"/>
          <w:sz w:val="24"/>
          <w:szCs w:val="24"/>
          <w:highlight w:val="none"/>
        </w:rPr>
        <w:t>备注栏填写无</w:t>
      </w:r>
      <w:r>
        <w:rPr>
          <w:rFonts w:hint="eastAsia" w:ascii="宋体" w:hAnsi="宋体" w:eastAsia="宋体" w:cs="宋体"/>
          <w:color w:val="auto"/>
          <w:spacing w:val="5"/>
          <w:sz w:val="24"/>
          <w:szCs w:val="24"/>
          <w:highlight w:val="none"/>
        </w:rPr>
        <w:t>。</w:t>
      </w:r>
    </w:p>
    <w:p w14:paraId="15E02F91">
      <w:pPr>
        <w:spacing w:line="287" w:lineRule="auto"/>
        <w:rPr>
          <w:rFonts w:hint="eastAsia" w:ascii="宋体" w:hAnsi="宋体" w:eastAsia="宋体" w:cs="宋体"/>
          <w:color w:val="auto"/>
          <w:sz w:val="24"/>
          <w:szCs w:val="24"/>
          <w:highlight w:val="none"/>
        </w:rPr>
      </w:pPr>
    </w:p>
    <w:p w14:paraId="36985CF7">
      <w:pPr>
        <w:spacing w:line="288" w:lineRule="auto"/>
        <w:rPr>
          <w:rFonts w:hint="eastAsia" w:ascii="宋体" w:hAnsi="宋体" w:eastAsia="宋体" w:cs="宋体"/>
          <w:color w:val="auto"/>
          <w:sz w:val="24"/>
          <w:szCs w:val="24"/>
          <w:highlight w:val="none"/>
        </w:rPr>
      </w:pPr>
    </w:p>
    <w:p w14:paraId="2A619792">
      <w:pPr>
        <w:spacing w:before="75" w:line="227"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投标人全称</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44485044">
      <w:pPr>
        <w:spacing w:before="185" w:line="468" w:lineRule="exact"/>
        <w:ind w:left="479"/>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098F60B6">
      <w:pPr>
        <w:spacing w:before="1" w:line="22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3E894B7C">
      <w:pPr>
        <w:rPr>
          <w:rFonts w:hint="eastAsia" w:ascii="宋体" w:hAnsi="宋体" w:eastAsia="宋体" w:cs="宋体"/>
          <w:color w:val="auto"/>
          <w:sz w:val="24"/>
          <w:szCs w:val="24"/>
          <w:highlight w:val="none"/>
        </w:rPr>
        <w:sectPr>
          <w:footerReference r:id="rId24" w:type="default"/>
          <w:pgSz w:w="11906" w:h="16839"/>
          <w:pgMar w:top="820" w:right="1305" w:bottom="844" w:left="1315" w:header="0" w:footer="684" w:gutter="0"/>
          <w:pgNumType w:fmt="decimal"/>
          <w:cols w:space="720" w:num="1"/>
        </w:sectPr>
      </w:pPr>
    </w:p>
    <w:p w14:paraId="25D56097">
      <w:pPr>
        <w:spacing w:before="94" w:line="229" w:lineRule="auto"/>
        <w:ind w:left="3704"/>
        <w:outlineLvl w:val="1"/>
        <w:rPr>
          <w:rFonts w:hint="eastAsia" w:ascii="宋体" w:hAnsi="宋体" w:eastAsia="宋体" w:cs="宋体"/>
          <w:color w:val="auto"/>
          <w:sz w:val="29"/>
          <w:szCs w:val="29"/>
          <w:highlight w:val="none"/>
        </w:rPr>
      </w:pPr>
      <w:bookmarkStart w:id="54" w:name="_Toc17798"/>
      <w:r>
        <w:rPr>
          <w:rFonts w:hint="eastAsia" w:ascii="宋体" w:hAnsi="宋体" w:eastAsia="宋体" w:cs="宋体"/>
          <w:color w:val="auto"/>
          <w:spacing w:val="8"/>
          <w:sz w:val="29"/>
          <w:szCs w:val="29"/>
          <w:highlight w:val="none"/>
          <w14:textOutline w14:w="5448" w14:cap="sq" w14:cmpd="sng">
            <w14:solidFill>
              <w14:srgbClr w14:val="000000"/>
            </w14:solidFill>
            <w14:prstDash w14:val="solid"/>
            <w14:bevel/>
          </w14:textOutline>
        </w:rPr>
        <w:t>五、投标保证</w:t>
      </w:r>
      <w:r>
        <w:rPr>
          <w:rFonts w:hint="eastAsia" w:ascii="宋体" w:hAnsi="宋体" w:eastAsia="宋体" w:cs="宋体"/>
          <w:color w:val="auto"/>
          <w:spacing w:val="6"/>
          <w:sz w:val="29"/>
          <w:szCs w:val="29"/>
          <w:highlight w:val="none"/>
          <w14:textOutline w14:w="5448" w14:cap="sq" w14:cmpd="sng">
            <w14:solidFill>
              <w14:srgbClr w14:val="000000"/>
            </w14:solidFill>
            <w14:prstDash w14:val="solid"/>
            <w14:bevel/>
          </w14:textOutline>
        </w:rPr>
        <w:t>金</w:t>
      </w:r>
      <w:bookmarkEnd w:id="54"/>
    </w:p>
    <w:p w14:paraId="5E2C3942">
      <w:pPr>
        <w:spacing w:line="448" w:lineRule="auto"/>
        <w:rPr>
          <w:rFonts w:hint="eastAsia" w:ascii="宋体" w:hAnsi="宋体" w:eastAsia="宋体" w:cs="宋体"/>
          <w:color w:val="auto"/>
          <w:sz w:val="21"/>
          <w:highlight w:val="none"/>
        </w:rPr>
      </w:pPr>
    </w:p>
    <w:p w14:paraId="280B80F8">
      <w:pPr>
        <w:spacing w:before="75" w:line="22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5E508574">
      <w:pPr>
        <w:spacing w:line="467" w:lineRule="auto"/>
        <w:rPr>
          <w:rFonts w:hint="eastAsia" w:ascii="宋体" w:hAnsi="宋体" w:eastAsia="宋体" w:cs="宋体"/>
          <w:color w:val="auto"/>
          <w:sz w:val="24"/>
          <w:szCs w:val="24"/>
          <w:highlight w:val="none"/>
        </w:rPr>
      </w:pPr>
    </w:p>
    <w:p w14:paraId="6A6DF5A3">
      <w:pPr>
        <w:tabs>
          <w:tab w:val="left" w:pos="2683"/>
        </w:tabs>
        <w:spacing w:before="74" w:line="376" w:lineRule="auto"/>
        <w:ind w:left="126" w:right="16" w:firstLine="5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
          <w:sz w:val="24"/>
          <w:szCs w:val="24"/>
          <w:highlight w:val="none"/>
        </w:rPr>
        <w:t xml:space="preserve">[投标人名称]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以下称“投标人”) 在递交</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[项目</w:t>
      </w:r>
      <w:r>
        <w:rPr>
          <w:rFonts w:hint="eastAsia" w:ascii="宋体" w:hAnsi="宋体" w:eastAsia="宋体" w:cs="宋体"/>
          <w:color w:val="auto"/>
          <w:spacing w:val="2"/>
          <w:sz w:val="24"/>
          <w:szCs w:val="24"/>
          <w:highlight w:val="none"/>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称]的投标文</w:t>
      </w:r>
      <w:r>
        <w:rPr>
          <w:rFonts w:hint="eastAsia" w:ascii="宋体" w:hAnsi="宋体" w:eastAsia="宋体" w:cs="宋体"/>
          <w:color w:val="auto"/>
          <w:spacing w:val="4"/>
          <w:sz w:val="24"/>
          <w:szCs w:val="24"/>
          <w:highlight w:val="none"/>
        </w:rPr>
        <w:t>件的同时，并附有人民币</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w:t>
      </w:r>
      <w:r>
        <w:rPr>
          <w:rFonts w:hint="eastAsia" w:ascii="宋体" w:hAnsi="宋体" w:eastAsia="宋体" w:cs="宋体"/>
          <w:color w:val="auto"/>
          <w:spacing w:val="4"/>
          <w:sz w:val="24"/>
          <w:szCs w:val="24"/>
          <w:highlight w:val="none"/>
          <w:lang w:eastAsia="zh-CN"/>
        </w:rPr>
        <w:t>作为</w:t>
      </w:r>
      <w:r>
        <w:rPr>
          <w:rFonts w:hint="eastAsia" w:ascii="宋体" w:hAnsi="宋体" w:eastAsia="宋体" w:cs="宋体"/>
          <w:color w:val="auto"/>
          <w:spacing w:val="4"/>
          <w:sz w:val="24"/>
          <w:szCs w:val="24"/>
          <w:highlight w:val="none"/>
        </w:rPr>
        <w:t>投标保证金。</w:t>
      </w:r>
    </w:p>
    <w:p w14:paraId="1DD94656">
      <w:pPr>
        <w:spacing w:before="1" w:line="225" w:lineRule="auto"/>
        <w:ind w:left="7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我</w:t>
      </w:r>
      <w:r>
        <w:rPr>
          <w:rFonts w:hint="eastAsia" w:ascii="宋体" w:hAnsi="宋体" w:eastAsia="宋体" w:cs="宋体"/>
          <w:color w:val="auto"/>
          <w:spacing w:val="10"/>
          <w:sz w:val="24"/>
          <w:szCs w:val="24"/>
          <w:highlight w:val="none"/>
        </w:rPr>
        <w:t>方</w:t>
      </w:r>
      <w:r>
        <w:rPr>
          <w:rFonts w:hint="eastAsia" w:ascii="宋体" w:hAnsi="宋体" w:eastAsia="宋体" w:cs="宋体"/>
          <w:color w:val="auto"/>
          <w:spacing w:val="9"/>
          <w:sz w:val="24"/>
          <w:szCs w:val="24"/>
          <w:highlight w:val="none"/>
        </w:rPr>
        <w:t>同意招标文件第2章须知前附表中有关投标保证金的规定，并对我方有约束力。</w:t>
      </w:r>
    </w:p>
    <w:p w14:paraId="51954877">
      <w:pPr>
        <w:spacing w:line="72" w:lineRule="exact"/>
        <w:rPr>
          <w:rFonts w:hint="eastAsia" w:ascii="宋体" w:hAnsi="宋体" w:eastAsia="宋体" w:cs="宋体"/>
          <w:color w:val="auto"/>
          <w:sz w:val="24"/>
          <w:szCs w:val="24"/>
          <w:highlight w:val="none"/>
        </w:rPr>
      </w:pPr>
    </w:p>
    <w:tbl>
      <w:tblPr>
        <w:tblStyle w:val="42"/>
        <w:tblW w:w="9472"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72"/>
      </w:tblGrid>
      <w:tr w14:paraId="129C54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377" w:hRule="atLeast"/>
        </w:trPr>
        <w:tc>
          <w:tcPr>
            <w:tcW w:w="9472" w:type="dxa"/>
            <w:vAlign w:val="top"/>
          </w:tcPr>
          <w:p w14:paraId="03B670F4">
            <w:pPr>
              <w:spacing w:line="261" w:lineRule="auto"/>
              <w:rPr>
                <w:rFonts w:hint="eastAsia" w:ascii="宋体" w:hAnsi="宋体" w:eastAsia="宋体" w:cs="宋体"/>
                <w:color w:val="auto"/>
                <w:sz w:val="24"/>
                <w:szCs w:val="24"/>
                <w:highlight w:val="none"/>
              </w:rPr>
            </w:pPr>
          </w:p>
          <w:p w14:paraId="16E0CF76">
            <w:pPr>
              <w:spacing w:line="261" w:lineRule="auto"/>
              <w:rPr>
                <w:rFonts w:hint="eastAsia" w:ascii="宋体" w:hAnsi="宋体" w:eastAsia="宋体" w:cs="宋体"/>
                <w:color w:val="auto"/>
                <w:sz w:val="24"/>
                <w:szCs w:val="24"/>
                <w:highlight w:val="none"/>
              </w:rPr>
            </w:pPr>
          </w:p>
          <w:p w14:paraId="59D7CF4D">
            <w:pPr>
              <w:spacing w:before="75" w:line="22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color w:val="auto"/>
                <w:spacing w:val="9"/>
                <w:sz w:val="24"/>
                <w:szCs w:val="24"/>
                <w:highlight w:val="none"/>
                <w14:textOutline w14:w="4358" w14:cap="sq" w14:cmpd="sng">
                  <w14:solidFill>
                    <w14:srgbClr w14:val="000000"/>
                  </w14:solidFill>
                  <w14:prstDash w14:val="solid"/>
                  <w14:bevel/>
                </w14:textOutline>
              </w:rPr>
              <w:t>标保证金递交证明粘贴处</w:t>
            </w:r>
          </w:p>
        </w:tc>
      </w:tr>
    </w:tbl>
    <w:p w14:paraId="263691FE">
      <w:pPr>
        <w:spacing w:line="277" w:lineRule="auto"/>
        <w:rPr>
          <w:rFonts w:hint="eastAsia" w:ascii="宋体" w:hAnsi="宋体" w:eastAsia="宋体" w:cs="宋体"/>
          <w:color w:val="auto"/>
          <w:sz w:val="24"/>
          <w:szCs w:val="24"/>
          <w:highlight w:val="none"/>
        </w:rPr>
      </w:pPr>
    </w:p>
    <w:p w14:paraId="32381B08">
      <w:pPr>
        <w:spacing w:line="278" w:lineRule="auto"/>
        <w:rPr>
          <w:rFonts w:hint="eastAsia" w:ascii="宋体" w:hAnsi="宋体" w:eastAsia="宋体" w:cs="宋体"/>
          <w:color w:val="auto"/>
          <w:sz w:val="24"/>
          <w:szCs w:val="24"/>
          <w:highlight w:val="none"/>
        </w:rPr>
      </w:pPr>
    </w:p>
    <w:p w14:paraId="13F8E163">
      <w:pPr>
        <w:spacing w:before="75" w:line="227"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555D8685">
      <w:pPr>
        <w:spacing w:before="262" w:line="224"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定代表人或</w:t>
      </w:r>
      <w:r>
        <w:rPr>
          <w:rFonts w:hint="eastAsia" w:ascii="宋体" w:hAnsi="宋体" w:eastAsia="宋体" w:cs="宋体"/>
          <w:color w:val="auto"/>
          <w:spacing w:val="8"/>
          <w:sz w:val="24"/>
          <w:szCs w:val="24"/>
          <w:highlight w:val="none"/>
          <w:lang w:eastAsia="zh-CN"/>
        </w:rPr>
        <w:t>其委托代理人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71C7233D">
      <w:pPr>
        <w:spacing w:line="252" w:lineRule="auto"/>
        <w:rPr>
          <w:rFonts w:hint="eastAsia" w:ascii="宋体" w:hAnsi="宋体" w:eastAsia="宋体" w:cs="宋体"/>
          <w:color w:val="auto"/>
          <w:sz w:val="24"/>
          <w:szCs w:val="24"/>
          <w:highlight w:val="none"/>
        </w:rPr>
      </w:pPr>
    </w:p>
    <w:p w14:paraId="4E646EA5">
      <w:pPr>
        <w:spacing w:line="253" w:lineRule="auto"/>
        <w:rPr>
          <w:rFonts w:hint="eastAsia" w:ascii="宋体" w:hAnsi="宋体" w:eastAsia="宋体" w:cs="宋体"/>
          <w:color w:val="auto"/>
          <w:sz w:val="24"/>
          <w:szCs w:val="24"/>
          <w:highlight w:val="none"/>
        </w:rPr>
      </w:pPr>
    </w:p>
    <w:p w14:paraId="156648F3">
      <w:pPr>
        <w:spacing w:before="75" w:line="227" w:lineRule="auto"/>
        <w:ind w:left="6068"/>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rPr>
        <w:t xml:space="preserve">     月     日</w:t>
      </w:r>
    </w:p>
    <w:p w14:paraId="4D171641">
      <w:pPr>
        <w:rPr>
          <w:rFonts w:hint="eastAsia" w:ascii="宋体" w:hAnsi="宋体" w:eastAsia="宋体" w:cs="宋体"/>
          <w:color w:val="auto"/>
          <w:highlight w:val="none"/>
        </w:rPr>
        <w:sectPr>
          <w:footerReference r:id="rId25" w:type="default"/>
          <w:pgSz w:w="11906" w:h="16839"/>
          <w:pgMar w:top="1040" w:right="1118" w:bottom="1156" w:left="1300" w:header="0" w:footer="996" w:gutter="0"/>
          <w:pgNumType w:fmt="decimal"/>
          <w:cols w:space="720" w:num="1"/>
        </w:sectPr>
      </w:pPr>
    </w:p>
    <w:p w14:paraId="47B644D0">
      <w:pPr>
        <w:spacing w:line="241" w:lineRule="auto"/>
        <w:rPr>
          <w:rFonts w:hint="eastAsia" w:ascii="宋体" w:hAnsi="宋体" w:eastAsia="宋体" w:cs="宋体"/>
          <w:color w:val="auto"/>
          <w:sz w:val="21"/>
          <w:highlight w:val="none"/>
        </w:rPr>
      </w:pPr>
    </w:p>
    <w:p w14:paraId="3E855FD5">
      <w:pPr>
        <w:spacing w:line="241" w:lineRule="auto"/>
        <w:rPr>
          <w:rFonts w:hint="eastAsia" w:ascii="宋体" w:hAnsi="宋体" w:eastAsia="宋体" w:cs="宋体"/>
          <w:color w:val="auto"/>
          <w:sz w:val="21"/>
          <w:highlight w:val="none"/>
        </w:rPr>
      </w:pPr>
    </w:p>
    <w:p w14:paraId="101BEE9E">
      <w:pPr>
        <w:spacing w:line="241" w:lineRule="auto"/>
        <w:rPr>
          <w:rFonts w:hint="eastAsia" w:ascii="宋体" w:hAnsi="宋体" w:eastAsia="宋体" w:cs="宋体"/>
          <w:color w:val="auto"/>
          <w:sz w:val="21"/>
          <w:highlight w:val="none"/>
        </w:rPr>
      </w:pPr>
    </w:p>
    <w:p w14:paraId="26ED05AE">
      <w:pPr>
        <w:spacing w:line="241" w:lineRule="auto"/>
        <w:rPr>
          <w:rFonts w:hint="eastAsia" w:ascii="宋体" w:hAnsi="宋体" w:eastAsia="宋体" w:cs="宋体"/>
          <w:color w:val="auto"/>
          <w:sz w:val="21"/>
          <w:highlight w:val="none"/>
        </w:rPr>
      </w:pPr>
    </w:p>
    <w:p w14:paraId="77EF910C">
      <w:pPr>
        <w:spacing w:line="241" w:lineRule="auto"/>
        <w:rPr>
          <w:rFonts w:hint="eastAsia" w:ascii="宋体" w:hAnsi="宋体" w:eastAsia="宋体" w:cs="宋体"/>
          <w:color w:val="auto"/>
          <w:sz w:val="21"/>
          <w:highlight w:val="none"/>
        </w:rPr>
      </w:pPr>
    </w:p>
    <w:p w14:paraId="04D3FBED">
      <w:pPr>
        <w:spacing w:line="241" w:lineRule="auto"/>
        <w:rPr>
          <w:rFonts w:hint="eastAsia" w:ascii="宋体" w:hAnsi="宋体" w:eastAsia="宋体" w:cs="宋体"/>
          <w:color w:val="auto"/>
          <w:sz w:val="21"/>
          <w:highlight w:val="none"/>
        </w:rPr>
      </w:pPr>
    </w:p>
    <w:p w14:paraId="2CF7C3A5">
      <w:pPr>
        <w:spacing w:line="242" w:lineRule="auto"/>
        <w:rPr>
          <w:rFonts w:hint="eastAsia" w:ascii="宋体" w:hAnsi="宋体" w:eastAsia="宋体" w:cs="宋体"/>
          <w:color w:val="auto"/>
          <w:sz w:val="21"/>
          <w:highlight w:val="none"/>
        </w:rPr>
      </w:pPr>
    </w:p>
    <w:p w14:paraId="33A9CE87">
      <w:pPr>
        <w:spacing w:line="242" w:lineRule="auto"/>
        <w:rPr>
          <w:rFonts w:hint="eastAsia" w:ascii="宋体" w:hAnsi="宋体" w:eastAsia="宋体" w:cs="宋体"/>
          <w:color w:val="auto"/>
          <w:sz w:val="21"/>
          <w:highlight w:val="none"/>
        </w:rPr>
      </w:pPr>
    </w:p>
    <w:p w14:paraId="01AC7DCA">
      <w:pPr>
        <w:spacing w:line="242" w:lineRule="auto"/>
        <w:rPr>
          <w:rFonts w:hint="eastAsia" w:ascii="宋体" w:hAnsi="宋体" w:eastAsia="宋体" w:cs="宋体"/>
          <w:color w:val="auto"/>
          <w:sz w:val="21"/>
          <w:highlight w:val="none"/>
        </w:rPr>
      </w:pPr>
    </w:p>
    <w:p w14:paraId="12289F47">
      <w:pPr>
        <w:spacing w:line="242" w:lineRule="auto"/>
        <w:rPr>
          <w:rFonts w:hint="eastAsia" w:ascii="宋体" w:hAnsi="宋体" w:eastAsia="宋体" w:cs="宋体"/>
          <w:color w:val="auto"/>
          <w:sz w:val="21"/>
          <w:highlight w:val="none"/>
        </w:rPr>
      </w:pPr>
    </w:p>
    <w:p w14:paraId="1919D1DA">
      <w:pPr>
        <w:spacing w:line="242" w:lineRule="auto"/>
        <w:rPr>
          <w:rFonts w:hint="eastAsia" w:ascii="宋体" w:hAnsi="宋体" w:eastAsia="宋体" w:cs="宋体"/>
          <w:color w:val="auto"/>
          <w:sz w:val="21"/>
          <w:highlight w:val="none"/>
        </w:rPr>
      </w:pPr>
    </w:p>
    <w:p w14:paraId="69EA33F6">
      <w:pPr>
        <w:spacing w:line="242" w:lineRule="auto"/>
        <w:rPr>
          <w:rFonts w:hint="eastAsia" w:ascii="宋体" w:hAnsi="宋体" w:eastAsia="宋体" w:cs="宋体"/>
          <w:color w:val="auto"/>
          <w:sz w:val="21"/>
          <w:highlight w:val="none"/>
        </w:rPr>
      </w:pPr>
    </w:p>
    <w:p w14:paraId="5F058DBC">
      <w:pPr>
        <w:spacing w:line="242" w:lineRule="auto"/>
        <w:rPr>
          <w:rFonts w:hint="eastAsia" w:ascii="宋体" w:hAnsi="宋体" w:eastAsia="宋体" w:cs="宋体"/>
          <w:color w:val="auto"/>
          <w:sz w:val="21"/>
          <w:highlight w:val="none"/>
        </w:rPr>
      </w:pPr>
    </w:p>
    <w:p w14:paraId="34164F98">
      <w:pPr>
        <w:spacing w:line="242" w:lineRule="auto"/>
        <w:rPr>
          <w:rFonts w:hint="eastAsia" w:ascii="宋体" w:hAnsi="宋体" w:eastAsia="宋体" w:cs="宋体"/>
          <w:color w:val="auto"/>
          <w:sz w:val="21"/>
          <w:highlight w:val="none"/>
        </w:rPr>
      </w:pPr>
    </w:p>
    <w:p w14:paraId="793356BF">
      <w:pPr>
        <w:spacing w:before="139" w:line="225" w:lineRule="auto"/>
        <w:ind w:left="2024"/>
        <w:rPr>
          <w:rFonts w:hint="eastAsia" w:ascii="宋体" w:hAnsi="宋体" w:eastAsia="宋体" w:cs="宋体"/>
          <w:b/>
          <w:bCs/>
          <w:color w:val="auto"/>
          <w:sz w:val="43"/>
          <w:szCs w:val="43"/>
          <w:highlight w:val="none"/>
        </w:rPr>
      </w:pPr>
      <w:r>
        <w:rPr>
          <w:rFonts w:hint="eastAsia" w:ascii="宋体" w:hAnsi="宋体" w:eastAsia="宋体" w:cs="宋体"/>
          <w:b/>
          <w:bCs/>
          <w:color w:val="auto"/>
          <w:spacing w:val="22"/>
          <w:sz w:val="43"/>
          <w:szCs w:val="43"/>
          <w:highlight w:val="none"/>
        </w:rPr>
        <w:t>投</w:t>
      </w:r>
      <w:r>
        <w:rPr>
          <w:rFonts w:hint="eastAsia" w:ascii="宋体" w:hAnsi="宋体" w:eastAsia="宋体" w:cs="宋体"/>
          <w:b/>
          <w:bCs/>
          <w:color w:val="auto"/>
          <w:spacing w:val="15"/>
          <w:sz w:val="43"/>
          <w:szCs w:val="43"/>
          <w:highlight w:val="none"/>
        </w:rPr>
        <w:t>标文件资格审查部分</w:t>
      </w:r>
    </w:p>
    <w:p w14:paraId="0DABB37E">
      <w:pPr>
        <w:rPr>
          <w:rFonts w:hint="eastAsia" w:ascii="宋体" w:hAnsi="宋体" w:eastAsia="宋体" w:cs="宋体"/>
          <w:b/>
          <w:bCs/>
          <w:color w:val="auto"/>
          <w:highlight w:val="none"/>
        </w:rPr>
        <w:sectPr>
          <w:footerReference r:id="rId26" w:type="default"/>
          <w:pgSz w:w="11906" w:h="16839"/>
          <w:pgMar w:top="1040" w:right="1785" w:bottom="1156" w:left="1785" w:header="0" w:footer="996" w:gutter="0"/>
          <w:pgNumType w:fmt="decimal"/>
          <w:cols w:space="720" w:num="1"/>
        </w:sectPr>
      </w:pPr>
    </w:p>
    <w:p w14:paraId="29F399CF">
      <w:pPr>
        <w:spacing w:before="91" w:line="225" w:lineRule="auto"/>
        <w:ind w:left="338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一、投标人</w:t>
      </w:r>
      <w:r>
        <w:rPr>
          <w:rFonts w:hint="eastAsia" w:ascii="宋体" w:hAnsi="宋体" w:eastAsia="宋体" w:cs="宋体"/>
          <w:color w:val="auto"/>
          <w:spacing w:val="-1"/>
          <w:sz w:val="28"/>
          <w:szCs w:val="28"/>
          <w:highlight w:val="none"/>
        </w:rPr>
        <w:t>基本情况</w:t>
      </w:r>
    </w:p>
    <w:tbl>
      <w:tblPr>
        <w:tblStyle w:val="42"/>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3795"/>
        <w:gridCol w:w="4660"/>
      </w:tblGrid>
      <w:tr w14:paraId="2C10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00" w:type="dxa"/>
            <w:vAlign w:val="center"/>
          </w:tcPr>
          <w:p w14:paraId="7DB9F8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55" w:type="dxa"/>
            <w:gridSpan w:val="2"/>
            <w:vAlign w:val="center"/>
          </w:tcPr>
          <w:p w14:paraId="4E61478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0C284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00" w:type="dxa"/>
            <w:vAlign w:val="center"/>
          </w:tcPr>
          <w:p w14:paraId="403AF8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55" w:type="dxa"/>
            <w:gridSpan w:val="2"/>
            <w:vAlign w:val="center"/>
          </w:tcPr>
          <w:p w14:paraId="50C4313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14:paraId="3597F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00" w:type="dxa"/>
            <w:vAlign w:val="center"/>
          </w:tcPr>
          <w:p w14:paraId="6BE2C9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55" w:type="dxa"/>
            <w:gridSpan w:val="2"/>
            <w:vAlign w:val="center"/>
          </w:tcPr>
          <w:p w14:paraId="55FD4CE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1611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00" w:type="dxa"/>
            <w:vAlign w:val="center"/>
          </w:tcPr>
          <w:p w14:paraId="7898F4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95" w:type="dxa"/>
            <w:vAlign w:val="center"/>
          </w:tcPr>
          <w:p w14:paraId="4B48A70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660" w:type="dxa"/>
            <w:vAlign w:val="center"/>
          </w:tcPr>
          <w:p w14:paraId="75A84E7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6EE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0" w:type="dxa"/>
            <w:vAlign w:val="center"/>
          </w:tcPr>
          <w:p w14:paraId="58E6A7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95" w:type="dxa"/>
            <w:vAlign w:val="center"/>
          </w:tcPr>
          <w:p w14:paraId="479A461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660" w:type="dxa"/>
            <w:vAlign w:val="center"/>
          </w:tcPr>
          <w:p w14:paraId="50139FC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25DA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00" w:type="dxa"/>
            <w:vAlign w:val="center"/>
          </w:tcPr>
          <w:p w14:paraId="20B212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95" w:type="dxa"/>
            <w:vAlign w:val="center"/>
          </w:tcPr>
          <w:p w14:paraId="2FC9C86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660" w:type="dxa"/>
            <w:vAlign w:val="center"/>
          </w:tcPr>
          <w:p w14:paraId="040FB1A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w:t>
            </w:r>
          </w:p>
        </w:tc>
      </w:tr>
      <w:tr w14:paraId="7D50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00" w:type="dxa"/>
            <w:vAlign w:val="center"/>
          </w:tcPr>
          <w:p w14:paraId="2246E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55" w:type="dxa"/>
            <w:gridSpan w:val="2"/>
            <w:vAlign w:val="center"/>
          </w:tcPr>
          <w:p w14:paraId="25B71C7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其他需要说明的情况</w:t>
            </w:r>
          </w:p>
        </w:tc>
      </w:tr>
    </w:tbl>
    <w:p w14:paraId="41BC86DE">
      <w:pPr>
        <w:spacing w:line="360" w:lineRule="auto"/>
        <w:rPr>
          <w:rFonts w:hint="eastAsia" w:ascii="宋体" w:hAnsi="宋体" w:eastAsia="宋体" w:cs="宋体"/>
          <w:color w:val="auto"/>
          <w:sz w:val="24"/>
          <w:szCs w:val="24"/>
          <w:highlight w:val="none"/>
        </w:rPr>
        <w:sectPr>
          <w:footerReference r:id="rId27" w:type="default"/>
          <w:pgSz w:w="11906" w:h="16839"/>
          <w:pgMar w:top="820" w:right="1132" w:bottom="1156" w:left="1413" w:header="0" w:footer="996" w:gutter="0"/>
          <w:pgNumType w:fmt="decimal"/>
          <w:cols w:space="720" w:num="1"/>
        </w:sectPr>
      </w:pPr>
      <w:r>
        <w:rPr>
          <w:rFonts w:hint="eastAsia" w:ascii="宋体" w:hAnsi="宋体" w:eastAsia="宋体" w:cs="宋体"/>
          <w:color w:val="auto"/>
          <w:sz w:val="24"/>
          <w:szCs w:val="24"/>
          <w:highlight w:val="none"/>
        </w:rPr>
        <w:t xml:space="preserve">注：后附企业法人营业执照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 等。</w:t>
      </w:r>
    </w:p>
    <w:p w14:paraId="2C74E3E8">
      <w:pPr>
        <w:spacing w:before="91" w:line="225" w:lineRule="auto"/>
        <w:ind w:left="3380"/>
        <w:rPr>
          <w:rFonts w:hint="eastAsia" w:ascii="宋体" w:hAnsi="宋体" w:eastAsia="宋体" w:cs="宋体"/>
          <w:color w:val="auto"/>
          <w:highlight w:val="none"/>
          <w:lang w:eastAsia="zh-CN"/>
        </w:rPr>
      </w:pPr>
      <w:r>
        <w:rPr>
          <w:rFonts w:hint="eastAsia" w:ascii="宋体" w:hAnsi="宋体" w:eastAsia="宋体" w:cs="宋体"/>
          <w:color w:val="auto"/>
          <w:spacing w:val="-2"/>
          <w:sz w:val="28"/>
          <w:szCs w:val="28"/>
          <w:highlight w:val="none"/>
        </w:rPr>
        <w:t>业绩表</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lang w:val="en-US" w:eastAsia="zh-CN"/>
        </w:rPr>
        <w:t>如有提供</w:t>
      </w:r>
      <w:r>
        <w:rPr>
          <w:rFonts w:hint="eastAsia" w:ascii="宋体" w:hAnsi="宋体" w:eastAsia="宋体" w:cs="宋体"/>
          <w:color w:val="auto"/>
          <w:spacing w:val="-2"/>
          <w:sz w:val="28"/>
          <w:szCs w:val="28"/>
          <w:highlight w:val="none"/>
          <w:lang w:eastAsia="zh-CN"/>
        </w:rPr>
        <w:t>）</w:t>
      </w:r>
    </w:p>
    <w:p w14:paraId="18637FFF">
      <w:pPr>
        <w:rPr>
          <w:rFonts w:hint="eastAsia" w:ascii="宋体" w:hAnsi="宋体" w:eastAsia="宋体" w:cs="宋体"/>
          <w:color w:val="auto"/>
          <w:highlight w:val="none"/>
        </w:rPr>
      </w:pPr>
    </w:p>
    <w:p w14:paraId="248D0BA0">
      <w:pPr>
        <w:spacing w:line="52" w:lineRule="exact"/>
        <w:rPr>
          <w:rFonts w:hint="eastAsia" w:ascii="宋体" w:hAnsi="宋体" w:eastAsia="宋体" w:cs="宋体"/>
          <w:color w:val="auto"/>
          <w:highlight w:val="none"/>
        </w:rPr>
      </w:pPr>
    </w:p>
    <w:tbl>
      <w:tblPr>
        <w:tblStyle w:val="42"/>
        <w:tblW w:w="834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2083"/>
        <w:gridCol w:w="2083"/>
        <w:gridCol w:w="2087"/>
      </w:tblGrid>
      <w:tr w14:paraId="55A7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6ACD9DEE">
            <w:pPr>
              <w:spacing w:before="54" w:line="228" w:lineRule="auto"/>
              <w:ind w:left="330"/>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业</w:t>
            </w:r>
            <w:r>
              <w:rPr>
                <w:rFonts w:hint="eastAsia" w:ascii="宋体" w:hAnsi="宋体" w:eastAsia="宋体" w:cs="宋体"/>
                <w:color w:val="auto"/>
                <w:spacing w:val="8"/>
                <w:sz w:val="23"/>
                <w:szCs w:val="23"/>
                <w:highlight w:val="none"/>
              </w:rPr>
              <w:t>主单位名称</w:t>
            </w:r>
          </w:p>
        </w:tc>
        <w:tc>
          <w:tcPr>
            <w:tcW w:w="2083" w:type="dxa"/>
            <w:vAlign w:val="top"/>
          </w:tcPr>
          <w:p w14:paraId="70B01B53">
            <w:pPr>
              <w:spacing w:before="54" w:line="228" w:lineRule="auto"/>
              <w:ind w:left="56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同期限</w:t>
            </w:r>
          </w:p>
        </w:tc>
        <w:tc>
          <w:tcPr>
            <w:tcW w:w="2083" w:type="dxa"/>
            <w:vAlign w:val="top"/>
          </w:tcPr>
          <w:p w14:paraId="184B6C66">
            <w:pPr>
              <w:spacing w:before="53" w:line="226"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同金额</w:t>
            </w:r>
          </w:p>
        </w:tc>
        <w:tc>
          <w:tcPr>
            <w:tcW w:w="2087" w:type="dxa"/>
            <w:vAlign w:val="top"/>
          </w:tcPr>
          <w:p w14:paraId="7BA6B9A0">
            <w:pPr>
              <w:spacing w:before="54" w:line="227"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同内容</w:t>
            </w:r>
          </w:p>
        </w:tc>
      </w:tr>
      <w:tr w14:paraId="4440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5EAD1E1">
            <w:pPr>
              <w:rPr>
                <w:rFonts w:hint="eastAsia" w:ascii="宋体" w:hAnsi="宋体" w:eastAsia="宋体" w:cs="宋体"/>
                <w:color w:val="auto"/>
                <w:sz w:val="21"/>
                <w:highlight w:val="none"/>
              </w:rPr>
            </w:pPr>
          </w:p>
        </w:tc>
        <w:tc>
          <w:tcPr>
            <w:tcW w:w="2083" w:type="dxa"/>
            <w:vAlign w:val="top"/>
          </w:tcPr>
          <w:p w14:paraId="4BDD933B">
            <w:pPr>
              <w:rPr>
                <w:rFonts w:hint="eastAsia" w:ascii="宋体" w:hAnsi="宋体" w:eastAsia="宋体" w:cs="宋体"/>
                <w:color w:val="auto"/>
                <w:sz w:val="21"/>
                <w:highlight w:val="none"/>
              </w:rPr>
            </w:pPr>
          </w:p>
        </w:tc>
        <w:tc>
          <w:tcPr>
            <w:tcW w:w="2083" w:type="dxa"/>
            <w:vAlign w:val="top"/>
          </w:tcPr>
          <w:p w14:paraId="2BD5E223">
            <w:pPr>
              <w:rPr>
                <w:rFonts w:hint="eastAsia" w:ascii="宋体" w:hAnsi="宋体" w:eastAsia="宋体" w:cs="宋体"/>
                <w:color w:val="auto"/>
                <w:sz w:val="21"/>
                <w:highlight w:val="none"/>
              </w:rPr>
            </w:pPr>
          </w:p>
        </w:tc>
        <w:tc>
          <w:tcPr>
            <w:tcW w:w="2087" w:type="dxa"/>
            <w:vAlign w:val="top"/>
          </w:tcPr>
          <w:p w14:paraId="2D7839D4">
            <w:pPr>
              <w:rPr>
                <w:rFonts w:hint="eastAsia" w:ascii="宋体" w:hAnsi="宋体" w:eastAsia="宋体" w:cs="宋体"/>
                <w:color w:val="auto"/>
                <w:sz w:val="21"/>
                <w:highlight w:val="none"/>
              </w:rPr>
            </w:pPr>
          </w:p>
        </w:tc>
      </w:tr>
      <w:tr w14:paraId="580F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1249675">
            <w:pPr>
              <w:rPr>
                <w:rFonts w:hint="eastAsia" w:ascii="宋体" w:hAnsi="宋体" w:eastAsia="宋体" w:cs="宋体"/>
                <w:color w:val="auto"/>
                <w:sz w:val="21"/>
                <w:highlight w:val="none"/>
              </w:rPr>
            </w:pPr>
          </w:p>
        </w:tc>
        <w:tc>
          <w:tcPr>
            <w:tcW w:w="2083" w:type="dxa"/>
            <w:vAlign w:val="top"/>
          </w:tcPr>
          <w:p w14:paraId="4930A5BF">
            <w:pPr>
              <w:rPr>
                <w:rFonts w:hint="eastAsia" w:ascii="宋体" w:hAnsi="宋体" w:eastAsia="宋体" w:cs="宋体"/>
                <w:color w:val="auto"/>
                <w:sz w:val="21"/>
                <w:highlight w:val="none"/>
              </w:rPr>
            </w:pPr>
          </w:p>
        </w:tc>
        <w:tc>
          <w:tcPr>
            <w:tcW w:w="2083" w:type="dxa"/>
            <w:vAlign w:val="top"/>
          </w:tcPr>
          <w:p w14:paraId="03380B99">
            <w:pPr>
              <w:rPr>
                <w:rFonts w:hint="eastAsia" w:ascii="宋体" w:hAnsi="宋体" w:eastAsia="宋体" w:cs="宋体"/>
                <w:color w:val="auto"/>
                <w:sz w:val="21"/>
                <w:highlight w:val="none"/>
              </w:rPr>
            </w:pPr>
          </w:p>
        </w:tc>
        <w:tc>
          <w:tcPr>
            <w:tcW w:w="2087" w:type="dxa"/>
            <w:vAlign w:val="top"/>
          </w:tcPr>
          <w:p w14:paraId="292B7DE7">
            <w:pPr>
              <w:rPr>
                <w:rFonts w:hint="eastAsia" w:ascii="宋体" w:hAnsi="宋体" w:eastAsia="宋体" w:cs="宋体"/>
                <w:color w:val="auto"/>
                <w:sz w:val="21"/>
                <w:highlight w:val="none"/>
              </w:rPr>
            </w:pPr>
          </w:p>
        </w:tc>
      </w:tr>
      <w:tr w14:paraId="57A0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87" w:type="dxa"/>
            <w:vAlign w:val="top"/>
          </w:tcPr>
          <w:p w14:paraId="395C8056">
            <w:pPr>
              <w:rPr>
                <w:rFonts w:hint="eastAsia" w:ascii="宋体" w:hAnsi="宋体" w:eastAsia="宋体" w:cs="宋体"/>
                <w:color w:val="auto"/>
                <w:sz w:val="21"/>
                <w:highlight w:val="none"/>
              </w:rPr>
            </w:pPr>
          </w:p>
        </w:tc>
        <w:tc>
          <w:tcPr>
            <w:tcW w:w="2083" w:type="dxa"/>
            <w:vAlign w:val="top"/>
          </w:tcPr>
          <w:p w14:paraId="2A51DB8E">
            <w:pPr>
              <w:rPr>
                <w:rFonts w:hint="eastAsia" w:ascii="宋体" w:hAnsi="宋体" w:eastAsia="宋体" w:cs="宋体"/>
                <w:color w:val="auto"/>
                <w:sz w:val="21"/>
                <w:highlight w:val="none"/>
              </w:rPr>
            </w:pPr>
          </w:p>
        </w:tc>
        <w:tc>
          <w:tcPr>
            <w:tcW w:w="2083" w:type="dxa"/>
            <w:vAlign w:val="top"/>
          </w:tcPr>
          <w:p w14:paraId="40E04E1F">
            <w:pPr>
              <w:rPr>
                <w:rFonts w:hint="eastAsia" w:ascii="宋体" w:hAnsi="宋体" w:eastAsia="宋体" w:cs="宋体"/>
                <w:color w:val="auto"/>
                <w:sz w:val="21"/>
                <w:highlight w:val="none"/>
              </w:rPr>
            </w:pPr>
          </w:p>
        </w:tc>
        <w:tc>
          <w:tcPr>
            <w:tcW w:w="2087" w:type="dxa"/>
            <w:vAlign w:val="top"/>
          </w:tcPr>
          <w:p w14:paraId="0784C0D1">
            <w:pPr>
              <w:rPr>
                <w:rFonts w:hint="eastAsia" w:ascii="宋体" w:hAnsi="宋体" w:eastAsia="宋体" w:cs="宋体"/>
                <w:color w:val="auto"/>
                <w:sz w:val="21"/>
                <w:highlight w:val="none"/>
              </w:rPr>
            </w:pPr>
          </w:p>
        </w:tc>
      </w:tr>
      <w:tr w14:paraId="23EA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5DA4F1B">
            <w:pPr>
              <w:rPr>
                <w:rFonts w:hint="eastAsia" w:ascii="宋体" w:hAnsi="宋体" w:eastAsia="宋体" w:cs="宋体"/>
                <w:color w:val="auto"/>
                <w:sz w:val="21"/>
                <w:highlight w:val="none"/>
              </w:rPr>
            </w:pPr>
          </w:p>
        </w:tc>
        <w:tc>
          <w:tcPr>
            <w:tcW w:w="2083" w:type="dxa"/>
            <w:vAlign w:val="top"/>
          </w:tcPr>
          <w:p w14:paraId="36E8E171">
            <w:pPr>
              <w:rPr>
                <w:rFonts w:hint="eastAsia" w:ascii="宋体" w:hAnsi="宋体" w:eastAsia="宋体" w:cs="宋体"/>
                <w:color w:val="auto"/>
                <w:sz w:val="21"/>
                <w:highlight w:val="none"/>
              </w:rPr>
            </w:pPr>
          </w:p>
        </w:tc>
        <w:tc>
          <w:tcPr>
            <w:tcW w:w="2083" w:type="dxa"/>
            <w:vAlign w:val="top"/>
          </w:tcPr>
          <w:p w14:paraId="70201B23">
            <w:pPr>
              <w:rPr>
                <w:rFonts w:hint="eastAsia" w:ascii="宋体" w:hAnsi="宋体" w:eastAsia="宋体" w:cs="宋体"/>
                <w:color w:val="auto"/>
                <w:sz w:val="21"/>
                <w:highlight w:val="none"/>
              </w:rPr>
            </w:pPr>
          </w:p>
        </w:tc>
        <w:tc>
          <w:tcPr>
            <w:tcW w:w="2087" w:type="dxa"/>
            <w:vAlign w:val="top"/>
          </w:tcPr>
          <w:p w14:paraId="615AC20F">
            <w:pPr>
              <w:rPr>
                <w:rFonts w:hint="eastAsia" w:ascii="宋体" w:hAnsi="宋体" w:eastAsia="宋体" w:cs="宋体"/>
                <w:color w:val="auto"/>
                <w:sz w:val="21"/>
                <w:highlight w:val="none"/>
              </w:rPr>
            </w:pPr>
          </w:p>
        </w:tc>
      </w:tr>
      <w:tr w14:paraId="32B2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508D5DD0">
            <w:pPr>
              <w:rPr>
                <w:rFonts w:hint="eastAsia" w:ascii="宋体" w:hAnsi="宋体" w:eastAsia="宋体" w:cs="宋体"/>
                <w:color w:val="auto"/>
                <w:sz w:val="21"/>
                <w:highlight w:val="none"/>
              </w:rPr>
            </w:pPr>
          </w:p>
        </w:tc>
        <w:tc>
          <w:tcPr>
            <w:tcW w:w="2083" w:type="dxa"/>
            <w:vAlign w:val="top"/>
          </w:tcPr>
          <w:p w14:paraId="3877B3FF">
            <w:pPr>
              <w:rPr>
                <w:rFonts w:hint="eastAsia" w:ascii="宋体" w:hAnsi="宋体" w:eastAsia="宋体" w:cs="宋体"/>
                <w:color w:val="auto"/>
                <w:sz w:val="21"/>
                <w:highlight w:val="none"/>
              </w:rPr>
            </w:pPr>
          </w:p>
        </w:tc>
        <w:tc>
          <w:tcPr>
            <w:tcW w:w="2083" w:type="dxa"/>
            <w:vAlign w:val="top"/>
          </w:tcPr>
          <w:p w14:paraId="7B8F75CA">
            <w:pPr>
              <w:rPr>
                <w:rFonts w:hint="eastAsia" w:ascii="宋体" w:hAnsi="宋体" w:eastAsia="宋体" w:cs="宋体"/>
                <w:color w:val="auto"/>
                <w:sz w:val="21"/>
                <w:highlight w:val="none"/>
              </w:rPr>
            </w:pPr>
          </w:p>
        </w:tc>
        <w:tc>
          <w:tcPr>
            <w:tcW w:w="2087" w:type="dxa"/>
            <w:vAlign w:val="top"/>
          </w:tcPr>
          <w:p w14:paraId="27491BB0">
            <w:pPr>
              <w:rPr>
                <w:rFonts w:hint="eastAsia" w:ascii="宋体" w:hAnsi="宋体" w:eastAsia="宋体" w:cs="宋体"/>
                <w:color w:val="auto"/>
                <w:sz w:val="21"/>
                <w:highlight w:val="none"/>
              </w:rPr>
            </w:pPr>
          </w:p>
        </w:tc>
      </w:tr>
      <w:tr w14:paraId="77553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770CE4F2">
            <w:pPr>
              <w:rPr>
                <w:rFonts w:hint="eastAsia" w:ascii="宋体" w:hAnsi="宋体" w:eastAsia="宋体" w:cs="宋体"/>
                <w:color w:val="auto"/>
                <w:sz w:val="21"/>
                <w:highlight w:val="none"/>
              </w:rPr>
            </w:pPr>
          </w:p>
        </w:tc>
        <w:tc>
          <w:tcPr>
            <w:tcW w:w="2083" w:type="dxa"/>
            <w:vAlign w:val="top"/>
          </w:tcPr>
          <w:p w14:paraId="18B143F6">
            <w:pPr>
              <w:rPr>
                <w:rFonts w:hint="eastAsia" w:ascii="宋体" w:hAnsi="宋体" w:eastAsia="宋体" w:cs="宋体"/>
                <w:color w:val="auto"/>
                <w:sz w:val="21"/>
                <w:highlight w:val="none"/>
              </w:rPr>
            </w:pPr>
          </w:p>
        </w:tc>
        <w:tc>
          <w:tcPr>
            <w:tcW w:w="2083" w:type="dxa"/>
            <w:vAlign w:val="top"/>
          </w:tcPr>
          <w:p w14:paraId="62CF3AD9">
            <w:pPr>
              <w:rPr>
                <w:rFonts w:hint="eastAsia" w:ascii="宋体" w:hAnsi="宋体" w:eastAsia="宋体" w:cs="宋体"/>
                <w:color w:val="auto"/>
                <w:sz w:val="21"/>
                <w:highlight w:val="none"/>
              </w:rPr>
            </w:pPr>
          </w:p>
        </w:tc>
        <w:tc>
          <w:tcPr>
            <w:tcW w:w="2087" w:type="dxa"/>
            <w:vAlign w:val="top"/>
          </w:tcPr>
          <w:p w14:paraId="7AD76DD8">
            <w:pPr>
              <w:rPr>
                <w:rFonts w:hint="eastAsia" w:ascii="宋体" w:hAnsi="宋体" w:eastAsia="宋体" w:cs="宋体"/>
                <w:color w:val="auto"/>
                <w:sz w:val="21"/>
                <w:highlight w:val="none"/>
              </w:rPr>
            </w:pPr>
          </w:p>
        </w:tc>
      </w:tr>
      <w:tr w14:paraId="58D55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6B62C703">
            <w:pPr>
              <w:rPr>
                <w:rFonts w:hint="eastAsia" w:ascii="宋体" w:hAnsi="宋体" w:eastAsia="宋体" w:cs="宋体"/>
                <w:color w:val="auto"/>
                <w:sz w:val="21"/>
                <w:highlight w:val="none"/>
              </w:rPr>
            </w:pPr>
          </w:p>
        </w:tc>
        <w:tc>
          <w:tcPr>
            <w:tcW w:w="2083" w:type="dxa"/>
            <w:vAlign w:val="top"/>
          </w:tcPr>
          <w:p w14:paraId="37FF94FA">
            <w:pPr>
              <w:rPr>
                <w:rFonts w:hint="eastAsia" w:ascii="宋体" w:hAnsi="宋体" w:eastAsia="宋体" w:cs="宋体"/>
                <w:color w:val="auto"/>
                <w:sz w:val="21"/>
                <w:highlight w:val="none"/>
              </w:rPr>
            </w:pPr>
          </w:p>
        </w:tc>
        <w:tc>
          <w:tcPr>
            <w:tcW w:w="2083" w:type="dxa"/>
            <w:vAlign w:val="top"/>
          </w:tcPr>
          <w:p w14:paraId="0A36E91F">
            <w:pPr>
              <w:rPr>
                <w:rFonts w:hint="eastAsia" w:ascii="宋体" w:hAnsi="宋体" w:eastAsia="宋体" w:cs="宋体"/>
                <w:color w:val="auto"/>
                <w:sz w:val="21"/>
                <w:highlight w:val="none"/>
              </w:rPr>
            </w:pPr>
          </w:p>
        </w:tc>
        <w:tc>
          <w:tcPr>
            <w:tcW w:w="2087" w:type="dxa"/>
            <w:vAlign w:val="top"/>
          </w:tcPr>
          <w:p w14:paraId="0FE3DD68">
            <w:pPr>
              <w:rPr>
                <w:rFonts w:hint="eastAsia" w:ascii="宋体" w:hAnsi="宋体" w:eastAsia="宋体" w:cs="宋体"/>
                <w:color w:val="auto"/>
                <w:sz w:val="21"/>
                <w:highlight w:val="none"/>
              </w:rPr>
            </w:pPr>
          </w:p>
        </w:tc>
      </w:tr>
      <w:tr w14:paraId="2DA3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099952FE">
            <w:pPr>
              <w:rPr>
                <w:rFonts w:hint="eastAsia" w:ascii="宋体" w:hAnsi="宋体" w:eastAsia="宋体" w:cs="宋体"/>
                <w:color w:val="auto"/>
                <w:sz w:val="21"/>
                <w:highlight w:val="none"/>
              </w:rPr>
            </w:pPr>
          </w:p>
        </w:tc>
        <w:tc>
          <w:tcPr>
            <w:tcW w:w="2083" w:type="dxa"/>
            <w:vAlign w:val="top"/>
          </w:tcPr>
          <w:p w14:paraId="4D028A76">
            <w:pPr>
              <w:rPr>
                <w:rFonts w:hint="eastAsia" w:ascii="宋体" w:hAnsi="宋体" w:eastAsia="宋体" w:cs="宋体"/>
                <w:color w:val="auto"/>
                <w:sz w:val="21"/>
                <w:highlight w:val="none"/>
              </w:rPr>
            </w:pPr>
          </w:p>
        </w:tc>
        <w:tc>
          <w:tcPr>
            <w:tcW w:w="2083" w:type="dxa"/>
            <w:vAlign w:val="top"/>
          </w:tcPr>
          <w:p w14:paraId="0E667DDA">
            <w:pPr>
              <w:rPr>
                <w:rFonts w:hint="eastAsia" w:ascii="宋体" w:hAnsi="宋体" w:eastAsia="宋体" w:cs="宋体"/>
                <w:color w:val="auto"/>
                <w:sz w:val="21"/>
                <w:highlight w:val="none"/>
              </w:rPr>
            </w:pPr>
          </w:p>
        </w:tc>
        <w:tc>
          <w:tcPr>
            <w:tcW w:w="2087" w:type="dxa"/>
            <w:vAlign w:val="top"/>
          </w:tcPr>
          <w:p w14:paraId="5715D8FC">
            <w:pPr>
              <w:rPr>
                <w:rFonts w:hint="eastAsia" w:ascii="宋体" w:hAnsi="宋体" w:eastAsia="宋体" w:cs="宋体"/>
                <w:color w:val="auto"/>
                <w:sz w:val="21"/>
                <w:highlight w:val="none"/>
              </w:rPr>
            </w:pPr>
          </w:p>
        </w:tc>
      </w:tr>
      <w:tr w14:paraId="2423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06E8532F">
            <w:pPr>
              <w:rPr>
                <w:rFonts w:hint="eastAsia" w:ascii="宋体" w:hAnsi="宋体" w:eastAsia="宋体" w:cs="宋体"/>
                <w:color w:val="auto"/>
                <w:sz w:val="21"/>
                <w:highlight w:val="none"/>
              </w:rPr>
            </w:pPr>
          </w:p>
        </w:tc>
        <w:tc>
          <w:tcPr>
            <w:tcW w:w="2083" w:type="dxa"/>
            <w:vAlign w:val="top"/>
          </w:tcPr>
          <w:p w14:paraId="01CDD9E1">
            <w:pPr>
              <w:rPr>
                <w:rFonts w:hint="eastAsia" w:ascii="宋体" w:hAnsi="宋体" w:eastAsia="宋体" w:cs="宋体"/>
                <w:color w:val="auto"/>
                <w:sz w:val="21"/>
                <w:highlight w:val="none"/>
              </w:rPr>
            </w:pPr>
          </w:p>
        </w:tc>
        <w:tc>
          <w:tcPr>
            <w:tcW w:w="2083" w:type="dxa"/>
            <w:vAlign w:val="top"/>
          </w:tcPr>
          <w:p w14:paraId="60E021F9">
            <w:pPr>
              <w:rPr>
                <w:rFonts w:hint="eastAsia" w:ascii="宋体" w:hAnsi="宋体" w:eastAsia="宋体" w:cs="宋体"/>
                <w:color w:val="auto"/>
                <w:sz w:val="21"/>
                <w:highlight w:val="none"/>
              </w:rPr>
            </w:pPr>
          </w:p>
        </w:tc>
        <w:tc>
          <w:tcPr>
            <w:tcW w:w="2087" w:type="dxa"/>
            <w:vAlign w:val="top"/>
          </w:tcPr>
          <w:p w14:paraId="1721C4A3">
            <w:pPr>
              <w:rPr>
                <w:rFonts w:hint="eastAsia" w:ascii="宋体" w:hAnsi="宋体" w:eastAsia="宋体" w:cs="宋体"/>
                <w:color w:val="auto"/>
                <w:sz w:val="21"/>
                <w:highlight w:val="none"/>
              </w:rPr>
            </w:pPr>
          </w:p>
        </w:tc>
      </w:tr>
      <w:tr w14:paraId="7029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11E7AC96">
            <w:pPr>
              <w:rPr>
                <w:rFonts w:hint="eastAsia" w:ascii="宋体" w:hAnsi="宋体" w:eastAsia="宋体" w:cs="宋体"/>
                <w:color w:val="auto"/>
                <w:sz w:val="21"/>
                <w:highlight w:val="none"/>
              </w:rPr>
            </w:pPr>
          </w:p>
        </w:tc>
        <w:tc>
          <w:tcPr>
            <w:tcW w:w="2083" w:type="dxa"/>
            <w:vAlign w:val="top"/>
          </w:tcPr>
          <w:p w14:paraId="485144C8">
            <w:pPr>
              <w:rPr>
                <w:rFonts w:hint="eastAsia" w:ascii="宋体" w:hAnsi="宋体" w:eastAsia="宋体" w:cs="宋体"/>
                <w:color w:val="auto"/>
                <w:sz w:val="21"/>
                <w:highlight w:val="none"/>
              </w:rPr>
            </w:pPr>
          </w:p>
        </w:tc>
        <w:tc>
          <w:tcPr>
            <w:tcW w:w="2083" w:type="dxa"/>
            <w:vAlign w:val="top"/>
          </w:tcPr>
          <w:p w14:paraId="64BB54BC">
            <w:pPr>
              <w:rPr>
                <w:rFonts w:hint="eastAsia" w:ascii="宋体" w:hAnsi="宋体" w:eastAsia="宋体" w:cs="宋体"/>
                <w:color w:val="auto"/>
                <w:sz w:val="21"/>
                <w:highlight w:val="none"/>
              </w:rPr>
            </w:pPr>
          </w:p>
        </w:tc>
        <w:tc>
          <w:tcPr>
            <w:tcW w:w="2087" w:type="dxa"/>
            <w:vAlign w:val="top"/>
          </w:tcPr>
          <w:p w14:paraId="3367A7FD">
            <w:pPr>
              <w:rPr>
                <w:rFonts w:hint="eastAsia" w:ascii="宋体" w:hAnsi="宋体" w:eastAsia="宋体" w:cs="宋体"/>
                <w:color w:val="auto"/>
                <w:sz w:val="21"/>
                <w:highlight w:val="none"/>
              </w:rPr>
            </w:pPr>
          </w:p>
        </w:tc>
      </w:tr>
      <w:tr w14:paraId="15A5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610605B2">
            <w:pPr>
              <w:rPr>
                <w:rFonts w:hint="eastAsia" w:ascii="宋体" w:hAnsi="宋体" w:eastAsia="宋体" w:cs="宋体"/>
                <w:color w:val="auto"/>
                <w:sz w:val="21"/>
                <w:highlight w:val="none"/>
              </w:rPr>
            </w:pPr>
          </w:p>
        </w:tc>
        <w:tc>
          <w:tcPr>
            <w:tcW w:w="2083" w:type="dxa"/>
            <w:vAlign w:val="top"/>
          </w:tcPr>
          <w:p w14:paraId="08D604F9">
            <w:pPr>
              <w:rPr>
                <w:rFonts w:hint="eastAsia" w:ascii="宋体" w:hAnsi="宋体" w:eastAsia="宋体" w:cs="宋体"/>
                <w:color w:val="auto"/>
                <w:sz w:val="21"/>
                <w:highlight w:val="none"/>
              </w:rPr>
            </w:pPr>
          </w:p>
        </w:tc>
        <w:tc>
          <w:tcPr>
            <w:tcW w:w="2083" w:type="dxa"/>
            <w:vAlign w:val="top"/>
          </w:tcPr>
          <w:p w14:paraId="51140E25">
            <w:pPr>
              <w:rPr>
                <w:rFonts w:hint="eastAsia" w:ascii="宋体" w:hAnsi="宋体" w:eastAsia="宋体" w:cs="宋体"/>
                <w:color w:val="auto"/>
                <w:sz w:val="21"/>
                <w:highlight w:val="none"/>
              </w:rPr>
            </w:pPr>
          </w:p>
        </w:tc>
        <w:tc>
          <w:tcPr>
            <w:tcW w:w="2087" w:type="dxa"/>
            <w:vAlign w:val="top"/>
          </w:tcPr>
          <w:p w14:paraId="13522219">
            <w:pPr>
              <w:rPr>
                <w:rFonts w:hint="eastAsia" w:ascii="宋体" w:hAnsi="宋体" w:eastAsia="宋体" w:cs="宋体"/>
                <w:color w:val="auto"/>
                <w:sz w:val="21"/>
                <w:highlight w:val="none"/>
              </w:rPr>
            </w:pPr>
          </w:p>
        </w:tc>
      </w:tr>
      <w:tr w14:paraId="0EEE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78EC85E1">
            <w:pPr>
              <w:rPr>
                <w:rFonts w:hint="eastAsia" w:ascii="宋体" w:hAnsi="宋体" w:eastAsia="宋体" w:cs="宋体"/>
                <w:color w:val="auto"/>
                <w:sz w:val="21"/>
                <w:highlight w:val="none"/>
              </w:rPr>
            </w:pPr>
          </w:p>
        </w:tc>
        <w:tc>
          <w:tcPr>
            <w:tcW w:w="2083" w:type="dxa"/>
            <w:vAlign w:val="top"/>
          </w:tcPr>
          <w:p w14:paraId="47D87B87">
            <w:pPr>
              <w:rPr>
                <w:rFonts w:hint="eastAsia" w:ascii="宋体" w:hAnsi="宋体" w:eastAsia="宋体" w:cs="宋体"/>
                <w:color w:val="auto"/>
                <w:sz w:val="21"/>
                <w:highlight w:val="none"/>
              </w:rPr>
            </w:pPr>
          </w:p>
        </w:tc>
        <w:tc>
          <w:tcPr>
            <w:tcW w:w="2083" w:type="dxa"/>
            <w:vAlign w:val="top"/>
          </w:tcPr>
          <w:p w14:paraId="2655F62A">
            <w:pPr>
              <w:rPr>
                <w:rFonts w:hint="eastAsia" w:ascii="宋体" w:hAnsi="宋体" w:eastAsia="宋体" w:cs="宋体"/>
                <w:color w:val="auto"/>
                <w:sz w:val="21"/>
                <w:highlight w:val="none"/>
              </w:rPr>
            </w:pPr>
          </w:p>
        </w:tc>
        <w:tc>
          <w:tcPr>
            <w:tcW w:w="2087" w:type="dxa"/>
            <w:vAlign w:val="top"/>
          </w:tcPr>
          <w:p w14:paraId="2DE0B8A6">
            <w:pPr>
              <w:rPr>
                <w:rFonts w:hint="eastAsia" w:ascii="宋体" w:hAnsi="宋体" w:eastAsia="宋体" w:cs="宋体"/>
                <w:color w:val="auto"/>
                <w:sz w:val="21"/>
                <w:highlight w:val="none"/>
              </w:rPr>
            </w:pPr>
          </w:p>
        </w:tc>
      </w:tr>
      <w:tr w14:paraId="07990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6296209">
            <w:pPr>
              <w:rPr>
                <w:rFonts w:hint="eastAsia" w:ascii="宋体" w:hAnsi="宋体" w:eastAsia="宋体" w:cs="宋体"/>
                <w:color w:val="auto"/>
                <w:sz w:val="21"/>
                <w:highlight w:val="none"/>
              </w:rPr>
            </w:pPr>
          </w:p>
        </w:tc>
        <w:tc>
          <w:tcPr>
            <w:tcW w:w="2083" w:type="dxa"/>
            <w:vAlign w:val="top"/>
          </w:tcPr>
          <w:p w14:paraId="150E8E28">
            <w:pPr>
              <w:rPr>
                <w:rFonts w:hint="eastAsia" w:ascii="宋体" w:hAnsi="宋体" w:eastAsia="宋体" w:cs="宋体"/>
                <w:color w:val="auto"/>
                <w:sz w:val="21"/>
                <w:highlight w:val="none"/>
              </w:rPr>
            </w:pPr>
          </w:p>
        </w:tc>
        <w:tc>
          <w:tcPr>
            <w:tcW w:w="2083" w:type="dxa"/>
            <w:vAlign w:val="top"/>
          </w:tcPr>
          <w:p w14:paraId="3A0DD002">
            <w:pPr>
              <w:rPr>
                <w:rFonts w:hint="eastAsia" w:ascii="宋体" w:hAnsi="宋体" w:eastAsia="宋体" w:cs="宋体"/>
                <w:color w:val="auto"/>
                <w:sz w:val="21"/>
                <w:highlight w:val="none"/>
              </w:rPr>
            </w:pPr>
          </w:p>
        </w:tc>
        <w:tc>
          <w:tcPr>
            <w:tcW w:w="2087" w:type="dxa"/>
            <w:vAlign w:val="top"/>
          </w:tcPr>
          <w:p w14:paraId="2939BE05">
            <w:pPr>
              <w:rPr>
                <w:rFonts w:hint="eastAsia" w:ascii="宋体" w:hAnsi="宋体" w:eastAsia="宋体" w:cs="宋体"/>
                <w:color w:val="auto"/>
                <w:sz w:val="21"/>
                <w:highlight w:val="none"/>
              </w:rPr>
            </w:pPr>
          </w:p>
        </w:tc>
      </w:tr>
      <w:tr w14:paraId="6541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BDBAF3C">
            <w:pPr>
              <w:rPr>
                <w:rFonts w:hint="eastAsia" w:ascii="宋体" w:hAnsi="宋体" w:eastAsia="宋体" w:cs="宋体"/>
                <w:color w:val="auto"/>
                <w:sz w:val="21"/>
                <w:highlight w:val="none"/>
              </w:rPr>
            </w:pPr>
          </w:p>
        </w:tc>
        <w:tc>
          <w:tcPr>
            <w:tcW w:w="2083" w:type="dxa"/>
            <w:vAlign w:val="top"/>
          </w:tcPr>
          <w:p w14:paraId="28F4B5EE">
            <w:pPr>
              <w:rPr>
                <w:rFonts w:hint="eastAsia" w:ascii="宋体" w:hAnsi="宋体" w:eastAsia="宋体" w:cs="宋体"/>
                <w:color w:val="auto"/>
                <w:sz w:val="21"/>
                <w:highlight w:val="none"/>
              </w:rPr>
            </w:pPr>
          </w:p>
        </w:tc>
        <w:tc>
          <w:tcPr>
            <w:tcW w:w="2083" w:type="dxa"/>
            <w:vAlign w:val="top"/>
          </w:tcPr>
          <w:p w14:paraId="46B7DA44">
            <w:pPr>
              <w:rPr>
                <w:rFonts w:hint="eastAsia" w:ascii="宋体" w:hAnsi="宋体" w:eastAsia="宋体" w:cs="宋体"/>
                <w:color w:val="auto"/>
                <w:sz w:val="21"/>
                <w:highlight w:val="none"/>
              </w:rPr>
            </w:pPr>
          </w:p>
        </w:tc>
        <w:tc>
          <w:tcPr>
            <w:tcW w:w="2087" w:type="dxa"/>
            <w:vAlign w:val="top"/>
          </w:tcPr>
          <w:p w14:paraId="7FBB4D98">
            <w:pPr>
              <w:rPr>
                <w:rFonts w:hint="eastAsia" w:ascii="宋体" w:hAnsi="宋体" w:eastAsia="宋体" w:cs="宋体"/>
                <w:color w:val="auto"/>
                <w:sz w:val="21"/>
                <w:highlight w:val="none"/>
              </w:rPr>
            </w:pPr>
          </w:p>
        </w:tc>
      </w:tr>
      <w:tr w14:paraId="2DDC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210D94DF">
            <w:pPr>
              <w:rPr>
                <w:rFonts w:hint="eastAsia" w:ascii="宋体" w:hAnsi="宋体" w:eastAsia="宋体" w:cs="宋体"/>
                <w:color w:val="auto"/>
                <w:sz w:val="21"/>
                <w:highlight w:val="none"/>
              </w:rPr>
            </w:pPr>
          </w:p>
        </w:tc>
        <w:tc>
          <w:tcPr>
            <w:tcW w:w="2083" w:type="dxa"/>
            <w:vAlign w:val="top"/>
          </w:tcPr>
          <w:p w14:paraId="013E10B0">
            <w:pPr>
              <w:rPr>
                <w:rFonts w:hint="eastAsia" w:ascii="宋体" w:hAnsi="宋体" w:eastAsia="宋体" w:cs="宋体"/>
                <w:color w:val="auto"/>
                <w:sz w:val="21"/>
                <w:highlight w:val="none"/>
              </w:rPr>
            </w:pPr>
          </w:p>
        </w:tc>
        <w:tc>
          <w:tcPr>
            <w:tcW w:w="2083" w:type="dxa"/>
            <w:vAlign w:val="top"/>
          </w:tcPr>
          <w:p w14:paraId="5232EC5B">
            <w:pPr>
              <w:rPr>
                <w:rFonts w:hint="eastAsia" w:ascii="宋体" w:hAnsi="宋体" w:eastAsia="宋体" w:cs="宋体"/>
                <w:color w:val="auto"/>
                <w:sz w:val="21"/>
                <w:highlight w:val="none"/>
              </w:rPr>
            </w:pPr>
          </w:p>
        </w:tc>
        <w:tc>
          <w:tcPr>
            <w:tcW w:w="2087" w:type="dxa"/>
            <w:vAlign w:val="top"/>
          </w:tcPr>
          <w:p w14:paraId="33075259">
            <w:pPr>
              <w:rPr>
                <w:rFonts w:hint="eastAsia" w:ascii="宋体" w:hAnsi="宋体" w:eastAsia="宋体" w:cs="宋体"/>
                <w:color w:val="auto"/>
                <w:sz w:val="21"/>
                <w:highlight w:val="none"/>
              </w:rPr>
            </w:pPr>
          </w:p>
        </w:tc>
      </w:tr>
      <w:tr w14:paraId="55D4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14C1AB06">
            <w:pPr>
              <w:rPr>
                <w:rFonts w:hint="eastAsia" w:ascii="宋体" w:hAnsi="宋体" w:eastAsia="宋体" w:cs="宋体"/>
                <w:color w:val="auto"/>
                <w:sz w:val="21"/>
                <w:highlight w:val="none"/>
              </w:rPr>
            </w:pPr>
          </w:p>
        </w:tc>
        <w:tc>
          <w:tcPr>
            <w:tcW w:w="2083" w:type="dxa"/>
            <w:vAlign w:val="top"/>
          </w:tcPr>
          <w:p w14:paraId="43DBB492">
            <w:pPr>
              <w:rPr>
                <w:rFonts w:hint="eastAsia" w:ascii="宋体" w:hAnsi="宋体" w:eastAsia="宋体" w:cs="宋体"/>
                <w:color w:val="auto"/>
                <w:sz w:val="21"/>
                <w:highlight w:val="none"/>
              </w:rPr>
            </w:pPr>
          </w:p>
        </w:tc>
        <w:tc>
          <w:tcPr>
            <w:tcW w:w="2083" w:type="dxa"/>
            <w:vAlign w:val="top"/>
          </w:tcPr>
          <w:p w14:paraId="001A037E">
            <w:pPr>
              <w:rPr>
                <w:rFonts w:hint="eastAsia" w:ascii="宋体" w:hAnsi="宋体" w:eastAsia="宋体" w:cs="宋体"/>
                <w:color w:val="auto"/>
                <w:sz w:val="21"/>
                <w:highlight w:val="none"/>
              </w:rPr>
            </w:pPr>
          </w:p>
        </w:tc>
        <w:tc>
          <w:tcPr>
            <w:tcW w:w="2087" w:type="dxa"/>
            <w:vAlign w:val="top"/>
          </w:tcPr>
          <w:p w14:paraId="6A973EED">
            <w:pPr>
              <w:rPr>
                <w:rFonts w:hint="eastAsia" w:ascii="宋体" w:hAnsi="宋体" w:eastAsia="宋体" w:cs="宋体"/>
                <w:color w:val="auto"/>
                <w:sz w:val="21"/>
                <w:highlight w:val="none"/>
              </w:rPr>
            </w:pPr>
          </w:p>
        </w:tc>
      </w:tr>
    </w:tbl>
    <w:p w14:paraId="00D9AC35">
      <w:pPr>
        <w:spacing w:before="41" w:line="465" w:lineRule="exact"/>
        <w:ind w:left="167"/>
        <w:rPr>
          <w:rFonts w:hint="eastAsia" w:ascii="宋体" w:hAnsi="宋体" w:eastAsia="宋体" w:cs="宋体"/>
          <w:color w:val="auto"/>
          <w:sz w:val="23"/>
          <w:szCs w:val="23"/>
          <w:highlight w:val="none"/>
        </w:rPr>
      </w:pPr>
      <w:r>
        <w:rPr>
          <w:rFonts w:hint="eastAsia" w:ascii="宋体" w:hAnsi="宋体" w:eastAsia="宋体" w:cs="宋体"/>
          <w:color w:val="auto"/>
          <w:spacing w:val="15"/>
          <w:position w:val="17"/>
          <w:sz w:val="23"/>
          <w:szCs w:val="23"/>
          <w:highlight w:val="none"/>
        </w:rPr>
        <w:t>备</w:t>
      </w:r>
      <w:r>
        <w:rPr>
          <w:rFonts w:hint="eastAsia" w:ascii="宋体" w:hAnsi="宋体" w:eastAsia="宋体" w:cs="宋体"/>
          <w:color w:val="auto"/>
          <w:spacing w:val="8"/>
          <w:position w:val="17"/>
          <w:sz w:val="23"/>
          <w:szCs w:val="23"/>
          <w:highlight w:val="none"/>
        </w:rPr>
        <w:t>注：表格不够可追加</w:t>
      </w:r>
    </w:p>
    <w:p w14:paraId="3C6F1D31">
      <w:pPr>
        <w:spacing w:before="1" w:line="226"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lang w:eastAsia="zh-CN"/>
        </w:rPr>
        <w:t>（</w:t>
      </w:r>
      <w:r>
        <w:rPr>
          <w:rFonts w:hint="eastAsia" w:ascii="宋体" w:hAnsi="宋体" w:eastAsia="宋体" w:cs="宋体"/>
          <w:color w:val="auto"/>
          <w:spacing w:val="17"/>
          <w:sz w:val="23"/>
          <w:szCs w:val="23"/>
          <w:highlight w:val="none"/>
        </w:rPr>
        <w:t>后附中标通知书或合同)</w:t>
      </w:r>
    </w:p>
    <w:p w14:paraId="3C72B6C0">
      <w:pPr>
        <w:rPr>
          <w:rFonts w:hint="eastAsia" w:ascii="宋体" w:hAnsi="宋体" w:eastAsia="宋体" w:cs="宋体"/>
          <w:color w:val="auto"/>
          <w:highlight w:val="none"/>
        </w:rPr>
        <w:sectPr>
          <w:footerReference r:id="rId28" w:type="default"/>
          <w:pgSz w:w="11906" w:h="16839"/>
          <w:pgMar w:top="820" w:right="1638" w:bottom="1156" w:left="1785" w:header="0" w:footer="996" w:gutter="0"/>
          <w:pgNumType w:fmt="decimal"/>
          <w:cols w:space="720" w:num="1"/>
        </w:sectPr>
      </w:pPr>
    </w:p>
    <w:p w14:paraId="5BC5CDB8">
      <w:pPr>
        <w:spacing w:line="241" w:lineRule="auto"/>
        <w:rPr>
          <w:rFonts w:hint="eastAsia" w:ascii="宋体" w:hAnsi="宋体" w:eastAsia="宋体" w:cs="宋体"/>
          <w:color w:val="auto"/>
          <w:sz w:val="21"/>
          <w:highlight w:val="none"/>
        </w:rPr>
      </w:pPr>
    </w:p>
    <w:p w14:paraId="0FA06D68">
      <w:pPr>
        <w:spacing w:line="241" w:lineRule="auto"/>
        <w:rPr>
          <w:rFonts w:hint="eastAsia" w:ascii="宋体" w:hAnsi="宋体" w:eastAsia="宋体" w:cs="宋体"/>
          <w:color w:val="auto"/>
          <w:sz w:val="21"/>
          <w:highlight w:val="none"/>
        </w:rPr>
      </w:pPr>
    </w:p>
    <w:p w14:paraId="57F1732A">
      <w:pPr>
        <w:spacing w:line="241" w:lineRule="auto"/>
        <w:rPr>
          <w:rFonts w:hint="eastAsia" w:ascii="宋体" w:hAnsi="宋体" w:eastAsia="宋体" w:cs="宋体"/>
          <w:color w:val="auto"/>
          <w:sz w:val="21"/>
          <w:highlight w:val="none"/>
        </w:rPr>
      </w:pPr>
    </w:p>
    <w:p w14:paraId="1ABE5942">
      <w:pPr>
        <w:pStyle w:val="6"/>
        <w:rPr>
          <w:rFonts w:hint="eastAsia" w:ascii="宋体" w:hAnsi="宋体" w:eastAsia="宋体" w:cs="宋体"/>
          <w:color w:val="auto"/>
          <w:sz w:val="21"/>
          <w:highlight w:val="none"/>
        </w:rPr>
      </w:pPr>
    </w:p>
    <w:p w14:paraId="3FB0F485">
      <w:pPr>
        <w:pStyle w:val="38"/>
        <w:rPr>
          <w:rFonts w:hint="eastAsia" w:ascii="宋体" w:hAnsi="宋体" w:eastAsia="宋体" w:cs="宋体"/>
          <w:color w:val="auto"/>
          <w:sz w:val="21"/>
          <w:highlight w:val="none"/>
        </w:rPr>
      </w:pPr>
    </w:p>
    <w:p w14:paraId="1B5E442D">
      <w:pPr>
        <w:pStyle w:val="38"/>
        <w:rPr>
          <w:rFonts w:hint="eastAsia" w:ascii="宋体" w:hAnsi="宋体" w:eastAsia="宋体" w:cs="宋体"/>
          <w:color w:val="auto"/>
          <w:sz w:val="21"/>
          <w:highlight w:val="none"/>
        </w:rPr>
      </w:pPr>
    </w:p>
    <w:p w14:paraId="33FF80CD">
      <w:pPr>
        <w:pStyle w:val="38"/>
        <w:rPr>
          <w:rFonts w:hint="eastAsia" w:ascii="宋体" w:hAnsi="宋体" w:eastAsia="宋体" w:cs="宋体"/>
          <w:color w:val="auto"/>
          <w:sz w:val="21"/>
          <w:highlight w:val="none"/>
        </w:rPr>
      </w:pPr>
    </w:p>
    <w:p w14:paraId="27D248F9">
      <w:pPr>
        <w:pStyle w:val="38"/>
        <w:rPr>
          <w:rFonts w:hint="eastAsia" w:ascii="宋体" w:hAnsi="宋体" w:eastAsia="宋体" w:cs="宋体"/>
          <w:color w:val="auto"/>
          <w:sz w:val="21"/>
          <w:highlight w:val="none"/>
        </w:rPr>
      </w:pPr>
    </w:p>
    <w:p w14:paraId="59F7E177">
      <w:pPr>
        <w:pStyle w:val="38"/>
        <w:rPr>
          <w:rFonts w:hint="eastAsia" w:ascii="宋体" w:hAnsi="宋体" w:eastAsia="宋体" w:cs="宋体"/>
          <w:color w:val="auto"/>
          <w:sz w:val="21"/>
          <w:highlight w:val="none"/>
        </w:rPr>
      </w:pPr>
    </w:p>
    <w:p w14:paraId="4A84D217">
      <w:pPr>
        <w:pStyle w:val="38"/>
        <w:rPr>
          <w:rFonts w:hint="eastAsia" w:ascii="宋体" w:hAnsi="宋体" w:eastAsia="宋体" w:cs="宋体"/>
          <w:color w:val="auto"/>
          <w:sz w:val="21"/>
          <w:highlight w:val="none"/>
        </w:rPr>
      </w:pPr>
    </w:p>
    <w:p w14:paraId="791C72E5">
      <w:pPr>
        <w:pStyle w:val="38"/>
        <w:rPr>
          <w:rFonts w:hint="eastAsia" w:ascii="宋体" w:hAnsi="宋体" w:eastAsia="宋体" w:cs="宋体"/>
          <w:color w:val="auto"/>
          <w:sz w:val="21"/>
          <w:highlight w:val="none"/>
        </w:rPr>
      </w:pPr>
    </w:p>
    <w:p w14:paraId="6F71E374">
      <w:pPr>
        <w:spacing w:line="241" w:lineRule="auto"/>
        <w:rPr>
          <w:rFonts w:hint="eastAsia" w:ascii="宋体" w:hAnsi="宋体" w:eastAsia="宋体" w:cs="宋体"/>
          <w:color w:val="auto"/>
          <w:sz w:val="21"/>
          <w:highlight w:val="none"/>
        </w:rPr>
      </w:pPr>
    </w:p>
    <w:p w14:paraId="5EEAFDB3">
      <w:pPr>
        <w:spacing w:before="140" w:line="662" w:lineRule="exact"/>
        <w:ind w:left="2250"/>
        <w:rPr>
          <w:rFonts w:hint="eastAsia" w:ascii="宋体" w:hAnsi="宋体" w:eastAsia="宋体" w:cs="宋体"/>
          <w:b/>
          <w:bCs/>
          <w:color w:val="auto"/>
          <w:sz w:val="43"/>
          <w:szCs w:val="43"/>
          <w:highlight w:val="none"/>
        </w:rPr>
      </w:pPr>
      <w:bookmarkStart w:id="55" w:name="_bookmark6"/>
      <w:bookmarkEnd w:id="55"/>
      <w:r>
        <w:rPr>
          <w:rFonts w:hint="eastAsia" w:ascii="宋体" w:hAnsi="宋体" w:eastAsia="宋体" w:cs="宋体"/>
          <w:b/>
          <w:bCs/>
          <w:color w:val="auto"/>
          <w:spacing w:val="18"/>
          <w:position w:val="15"/>
          <w:sz w:val="43"/>
          <w:szCs w:val="43"/>
          <w:highlight w:val="none"/>
        </w:rPr>
        <w:t>投</w:t>
      </w:r>
      <w:r>
        <w:rPr>
          <w:rFonts w:hint="eastAsia" w:ascii="宋体" w:hAnsi="宋体" w:eastAsia="宋体" w:cs="宋体"/>
          <w:b/>
          <w:bCs/>
          <w:color w:val="auto"/>
          <w:spacing w:val="13"/>
          <w:position w:val="15"/>
          <w:sz w:val="43"/>
          <w:szCs w:val="43"/>
          <w:highlight w:val="none"/>
        </w:rPr>
        <w:t>标文件技术部分</w:t>
      </w:r>
    </w:p>
    <w:p w14:paraId="2B4DA0C0">
      <w:pPr>
        <w:spacing w:before="1" w:line="222" w:lineRule="auto"/>
        <w:jc w:val="center"/>
        <w:rPr>
          <w:rFonts w:hint="eastAsia" w:ascii="宋体" w:hAnsi="宋体" w:eastAsia="宋体" w:cs="宋体"/>
          <w:b/>
          <w:bCs/>
          <w:color w:val="auto"/>
          <w:sz w:val="43"/>
          <w:szCs w:val="43"/>
          <w:highlight w:val="none"/>
        </w:rPr>
      </w:pPr>
      <w:r>
        <w:rPr>
          <w:rFonts w:hint="eastAsia" w:ascii="宋体" w:hAnsi="宋体" w:eastAsia="宋体" w:cs="宋体"/>
          <w:b/>
          <w:bCs/>
          <w:color w:val="auto"/>
          <w:spacing w:val="-32"/>
          <w:sz w:val="43"/>
          <w:szCs w:val="43"/>
          <w:highlight w:val="none"/>
          <w:lang w:eastAsia="zh-CN"/>
        </w:rPr>
        <w:t>格式</w:t>
      </w:r>
      <w:r>
        <w:rPr>
          <w:rFonts w:hint="eastAsia" w:ascii="宋体" w:hAnsi="宋体" w:eastAsia="宋体" w:cs="宋体"/>
          <w:b/>
          <w:bCs/>
          <w:color w:val="auto"/>
          <w:spacing w:val="-32"/>
          <w:sz w:val="43"/>
          <w:szCs w:val="43"/>
          <w:highlight w:val="none"/>
        </w:rPr>
        <w:t>自</w:t>
      </w:r>
      <w:r>
        <w:rPr>
          <w:rFonts w:hint="eastAsia" w:ascii="宋体" w:hAnsi="宋体" w:eastAsia="宋体" w:cs="宋体"/>
          <w:b/>
          <w:bCs/>
          <w:color w:val="auto"/>
          <w:spacing w:val="-30"/>
          <w:sz w:val="43"/>
          <w:szCs w:val="43"/>
          <w:highlight w:val="none"/>
        </w:rPr>
        <w:t>拟</w:t>
      </w:r>
    </w:p>
    <w:p w14:paraId="1BDB6AB2">
      <w:pPr>
        <w:rPr>
          <w:rFonts w:hint="eastAsia" w:ascii="宋体" w:hAnsi="宋体" w:eastAsia="宋体" w:cs="宋体"/>
          <w:b/>
          <w:bCs/>
          <w:color w:val="auto"/>
          <w:highlight w:val="none"/>
        </w:rPr>
        <w:sectPr>
          <w:footerReference r:id="rId29" w:type="default"/>
          <w:pgSz w:w="11906" w:h="16839"/>
          <w:pgMar w:top="820" w:right="1785" w:bottom="1156" w:left="1785" w:header="0" w:footer="996" w:gutter="0"/>
          <w:pgNumType w:fmt="decimal"/>
          <w:cols w:space="720" w:num="1"/>
        </w:sectPr>
      </w:pPr>
    </w:p>
    <w:p w14:paraId="192B6D6F">
      <w:pPr>
        <w:spacing w:before="91" w:line="222" w:lineRule="auto"/>
        <w:ind w:left="341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二、</w:t>
      </w:r>
      <w:r>
        <w:rPr>
          <w:rFonts w:hint="eastAsia" w:ascii="宋体" w:hAnsi="宋体" w:eastAsia="宋体" w:cs="宋体"/>
          <w:color w:val="auto"/>
          <w:spacing w:val="1"/>
          <w:sz w:val="28"/>
          <w:szCs w:val="28"/>
          <w:highlight w:val="none"/>
        </w:rPr>
        <w:t>其他资料</w:t>
      </w:r>
    </w:p>
    <w:p w14:paraId="7E63C03C">
      <w:pPr>
        <w:rPr>
          <w:rFonts w:hint="eastAsia" w:ascii="宋体" w:hAnsi="宋体" w:eastAsia="宋体" w:cs="宋体"/>
          <w:color w:val="auto"/>
          <w:highlight w:val="none"/>
        </w:rPr>
        <w:sectPr>
          <w:footerReference r:id="rId30" w:type="default"/>
          <w:pgSz w:w="11906" w:h="16839"/>
          <w:pgMar w:top="820" w:right="1785" w:bottom="1156" w:left="1785" w:header="0" w:footer="996" w:gutter="0"/>
          <w:pgNumType w:fmt="decimal"/>
          <w:cols w:space="720" w:num="1"/>
        </w:sectPr>
      </w:pPr>
    </w:p>
    <w:p w14:paraId="780A31B7">
      <w:pPr>
        <w:spacing w:before="91" w:line="219" w:lineRule="auto"/>
        <w:ind w:left="25"/>
        <w:rPr>
          <w:rFonts w:hint="eastAsia" w:ascii="宋体" w:hAnsi="宋体" w:eastAsia="宋体" w:cs="宋体"/>
          <w:b/>
          <w:bCs/>
          <w:color w:val="auto"/>
          <w:sz w:val="28"/>
          <w:szCs w:val="28"/>
          <w:highlight w:val="none"/>
        </w:rPr>
      </w:pPr>
      <w:bookmarkStart w:id="56" w:name="_bookmark5"/>
      <w:bookmarkEnd w:id="56"/>
      <w:r>
        <w:rPr>
          <w:rFonts w:hint="eastAsia" w:ascii="宋体" w:hAnsi="宋体" w:eastAsia="宋体" w:cs="宋体"/>
          <w:b/>
          <w:bCs/>
          <w:color w:val="auto"/>
          <w:spacing w:val="-24"/>
          <w:sz w:val="28"/>
          <w:szCs w:val="28"/>
          <w:highlight w:val="none"/>
        </w:rPr>
        <w:t>附</w:t>
      </w:r>
      <w:r>
        <w:rPr>
          <w:rFonts w:hint="eastAsia" w:ascii="宋体" w:hAnsi="宋体" w:eastAsia="宋体" w:cs="宋体"/>
          <w:b/>
          <w:bCs/>
          <w:color w:val="auto"/>
          <w:spacing w:val="-20"/>
          <w:sz w:val="28"/>
          <w:szCs w:val="28"/>
          <w:highlight w:val="none"/>
        </w:rPr>
        <w:t>件</w:t>
      </w:r>
      <w:r>
        <w:rPr>
          <w:rFonts w:hint="eastAsia" w:ascii="宋体" w:hAnsi="宋体" w:eastAsia="宋体" w:cs="宋体"/>
          <w:b/>
          <w:bCs/>
          <w:color w:val="auto"/>
          <w:spacing w:val="-20"/>
          <w:sz w:val="28"/>
          <w:szCs w:val="28"/>
          <w:highlight w:val="none"/>
          <w:lang w:eastAsia="zh-CN"/>
        </w:rPr>
        <w:t>一</w:t>
      </w:r>
      <w:r>
        <w:rPr>
          <w:rFonts w:hint="eastAsia" w:ascii="宋体" w:hAnsi="宋体" w:eastAsia="宋体" w:cs="宋体"/>
          <w:b/>
          <w:bCs/>
          <w:color w:val="auto"/>
          <w:spacing w:val="-20"/>
          <w:sz w:val="28"/>
          <w:szCs w:val="28"/>
          <w:highlight w:val="none"/>
        </w:rPr>
        <w:t>：</w:t>
      </w:r>
    </w:p>
    <w:p w14:paraId="46B78276">
      <w:pPr>
        <w:spacing w:line="346" w:lineRule="auto"/>
        <w:rPr>
          <w:rFonts w:hint="eastAsia" w:ascii="宋体" w:hAnsi="宋体" w:eastAsia="宋体" w:cs="宋体"/>
          <w:color w:val="auto"/>
          <w:sz w:val="21"/>
          <w:highlight w:val="none"/>
        </w:rPr>
      </w:pPr>
    </w:p>
    <w:p w14:paraId="453289D3">
      <w:pPr>
        <w:pStyle w:val="4"/>
        <w:numPr>
          <w:ilvl w:val="2"/>
          <w:numId w:val="0"/>
        </w:numPr>
        <w:spacing w:before="0" w:after="0"/>
        <w:ind w:leftChars="0"/>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中小企业声明函</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rPr>
        <w:t>货物)</w:t>
      </w:r>
    </w:p>
    <w:p w14:paraId="7C4B61B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（如果是，提供）</w:t>
      </w:r>
    </w:p>
    <w:p w14:paraId="6808E249">
      <w:pPr>
        <w:spacing w:before="75" w:line="326" w:lineRule="auto"/>
        <w:ind w:left="3" w:leftChars="0" w:right="112" w:firstLine="50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本公司</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联合</w:t>
      </w:r>
      <w:r>
        <w:rPr>
          <w:rFonts w:hint="eastAsia" w:ascii="宋体" w:hAnsi="宋体" w:eastAsia="宋体" w:cs="宋体"/>
          <w:color w:val="auto"/>
          <w:spacing w:val="9"/>
          <w:sz w:val="24"/>
          <w:szCs w:val="24"/>
          <w:highlight w:val="none"/>
        </w:rPr>
        <w:t>体</w:t>
      </w:r>
      <w:r>
        <w:rPr>
          <w:rFonts w:hint="eastAsia" w:ascii="宋体" w:hAnsi="宋体" w:eastAsia="宋体" w:cs="宋体"/>
          <w:color w:val="auto"/>
          <w:spacing w:val="5"/>
          <w:sz w:val="24"/>
          <w:szCs w:val="24"/>
          <w:highlight w:val="none"/>
        </w:rPr>
        <w:t xml:space="preserve">)郑重声明，根据《政府采购促进中小企业发展管理办法》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财库[2020]46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号)的规定，本公司</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联合体)参加</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u w:val="single" w:color="auto"/>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eastAsia="zh-CN"/>
        </w:rPr>
        <w:t>（</w:t>
      </w:r>
      <w:r>
        <w:rPr>
          <w:rFonts w:hint="eastAsia" w:ascii="宋体" w:hAnsi="宋体" w:eastAsia="宋体" w:cs="宋体"/>
          <w:color w:val="auto"/>
          <w:spacing w:val="6"/>
          <w:sz w:val="24"/>
          <w:szCs w:val="24"/>
          <w:highlight w:val="none"/>
          <w:u w:val="single" w:color="auto"/>
        </w:rPr>
        <w:t>项目名称)</w:t>
      </w:r>
      <w:r>
        <w:rPr>
          <w:rFonts w:hint="eastAsia" w:ascii="宋体" w:hAnsi="宋体" w:eastAsia="宋体" w:cs="宋体"/>
          <w:color w:val="auto"/>
          <w:spacing w:val="6"/>
          <w:sz w:val="24"/>
          <w:szCs w:val="24"/>
          <w:highlight w:val="none"/>
        </w:rPr>
        <w:t>采购活动，提供的货物全部由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符合</w:t>
      </w:r>
      <w:r>
        <w:rPr>
          <w:rFonts w:hint="eastAsia" w:ascii="宋体" w:hAnsi="宋体" w:eastAsia="宋体" w:cs="宋体"/>
          <w:color w:val="auto"/>
          <w:spacing w:val="13"/>
          <w:sz w:val="24"/>
          <w:szCs w:val="24"/>
          <w:highlight w:val="none"/>
        </w:rPr>
        <w:t>政</w:t>
      </w:r>
      <w:r>
        <w:rPr>
          <w:rFonts w:hint="eastAsia" w:ascii="宋体" w:hAnsi="宋体" w:eastAsia="宋体" w:cs="宋体"/>
          <w:color w:val="auto"/>
          <w:spacing w:val="9"/>
          <w:sz w:val="24"/>
          <w:szCs w:val="24"/>
          <w:highlight w:val="none"/>
        </w:rPr>
        <w:t>策要求的中小企业制造。相关企业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含联合体中的中小企业、签订分包意向协议的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中</w:t>
      </w:r>
      <w:r>
        <w:rPr>
          <w:rFonts w:hint="eastAsia" w:ascii="宋体" w:hAnsi="宋体" w:eastAsia="宋体" w:cs="宋体"/>
          <w:color w:val="auto"/>
          <w:spacing w:val="8"/>
          <w:sz w:val="24"/>
          <w:szCs w:val="24"/>
          <w:highlight w:val="none"/>
        </w:rPr>
        <w:t>小企业)的具体情况如下</w:t>
      </w:r>
      <w:r>
        <w:rPr>
          <w:rFonts w:hint="eastAsia" w:ascii="宋体" w:hAnsi="宋体" w:eastAsia="宋体" w:cs="宋体"/>
          <w:color w:val="auto"/>
          <w:spacing w:val="8"/>
          <w:sz w:val="24"/>
          <w:szCs w:val="24"/>
          <w:highlight w:val="none"/>
          <w:lang w:eastAsia="zh-CN"/>
        </w:rPr>
        <w:t>：</w:t>
      </w:r>
    </w:p>
    <w:p w14:paraId="5982A8BF">
      <w:pPr>
        <w:spacing w:before="75" w:line="333" w:lineRule="auto"/>
        <w:ind w:left="4" w:right="53" w:firstLine="1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lang w:eastAsia="zh-CN"/>
        </w:rPr>
        <w:t>招标文件</w:t>
      </w:r>
      <w:r>
        <w:rPr>
          <w:rFonts w:hint="eastAsia" w:ascii="宋体" w:hAnsi="宋体" w:eastAsia="宋体" w:cs="宋体"/>
          <w:color w:val="auto"/>
          <w:spacing w:val="5"/>
          <w:sz w:val="24"/>
          <w:szCs w:val="24"/>
          <w:highlight w:val="none"/>
          <w:u w:val="single" w:color="auto"/>
        </w:rPr>
        <w:t>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营业收入为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万元，资产总额为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 </w:t>
      </w:r>
      <w:r>
        <w:rPr>
          <w:rFonts w:hint="eastAsia" w:ascii="宋体" w:hAnsi="宋体" w:eastAsia="宋体" w:cs="宋体"/>
          <w:color w:val="auto"/>
          <w:spacing w:val="-4"/>
          <w:position w:val="12"/>
          <w:sz w:val="24"/>
          <w:szCs w:val="24"/>
          <w:highlight w:val="none"/>
        </w:rPr>
        <w:t>1</w:t>
      </w:r>
      <w:r>
        <w:rPr>
          <w:rFonts w:hint="eastAsia" w:ascii="宋体" w:hAnsi="宋体" w:eastAsia="宋体" w:cs="宋体"/>
          <w:color w:val="auto"/>
          <w:spacing w:val="-4"/>
          <w:sz w:val="24"/>
          <w:szCs w:val="24"/>
          <w:highlight w:val="none"/>
        </w:rPr>
        <w:t>，属于</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u w:val="single" w:color="auto"/>
        </w:rPr>
        <w:t>中型企业、小型企业、微型企业)</w:t>
      </w:r>
      <w:r>
        <w:rPr>
          <w:rFonts w:hint="eastAsia" w:ascii="宋体" w:hAnsi="宋体" w:eastAsia="宋体" w:cs="宋体"/>
          <w:color w:val="auto"/>
          <w:spacing w:val="-4"/>
          <w:sz w:val="24"/>
          <w:szCs w:val="24"/>
          <w:highlight w:val="none"/>
        </w:rPr>
        <w:t>；</w:t>
      </w:r>
    </w:p>
    <w:p w14:paraId="09C091CD">
      <w:pPr>
        <w:spacing w:before="75" w:line="329" w:lineRule="auto"/>
        <w:ind w:left="9" w:right="112" w:hanging="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2.  </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lang w:eastAsia="zh-CN"/>
        </w:rPr>
        <w:t>招标文件</w:t>
      </w:r>
      <w:r>
        <w:rPr>
          <w:rFonts w:hint="eastAsia" w:ascii="宋体" w:hAnsi="宋体" w:eastAsia="宋体" w:cs="宋体"/>
          <w:color w:val="auto"/>
          <w:spacing w:val="5"/>
          <w:sz w:val="24"/>
          <w:szCs w:val="24"/>
          <w:highlight w:val="none"/>
          <w:u w:val="single" w:color="auto"/>
        </w:rPr>
        <w:t>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员</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人，营业收入为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万元，资产</w:t>
      </w:r>
      <w:r>
        <w:rPr>
          <w:rFonts w:hint="eastAsia" w:ascii="宋体" w:hAnsi="宋体" w:eastAsia="宋体" w:cs="宋体"/>
          <w:color w:val="auto"/>
          <w:sz w:val="24"/>
          <w:szCs w:val="24"/>
          <w:highlight w:val="none"/>
        </w:rPr>
        <w:t>总额为</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万元，属于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color="auto"/>
        </w:rPr>
        <w:t>中型企业、小型企业、微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u w:val="single" w:color="auto"/>
        </w:rPr>
        <w:t>型</w:t>
      </w:r>
      <w:r>
        <w:rPr>
          <w:rFonts w:hint="eastAsia" w:ascii="宋体" w:hAnsi="宋体" w:eastAsia="宋体" w:cs="宋体"/>
          <w:color w:val="auto"/>
          <w:spacing w:val="4"/>
          <w:sz w:val="24"/>
          <w:szCs w:val="24"/>
          <w:highlight w:val="none"/>
          <w:u w:val="single" w:color="auto"/>
        </w:rPr>
        <w:t>企业)</w:t>
      </w:r>
      <w:r>
        <w:rPr>
          <w:rFonts w:hint="eastAsia" w:ascii="宋体" w:hAnsi="宋体" w:eastAsia="宋体" w:cs="宋体"/>
          <w:color w:val="auto"/>
          <w:spacing w:val="4"/>
          <w:sz w:val="24"/>
          <w:szCs w:val="24"/>
          <w:highlight w:val="none"/>
        </w:rPr>
        <w:t xml:space="preserve">  ；</w:t>
      </w:r>
    </w:p>
    <w:p w14:paraId="6CF40EE6">
      <w:pPr>
        <w:spacing w:line="282" w:lineRule="auto"/>
        <w:rPr>
          <w:rFonts w:hint="eastAsia" w:ascii="宋体" w:hAnsi="宋体" w:eastAsia="宋体" w:cs="宋体"/>
          <w:color w:val="auto"/>
          <w:sz w:val="24"/>
          <w:szCs w:val="24"/>
          <w:highlight w:val="none"/>
        </w:rPr>
      </w:pPr>
    </w:p>
    <w:p w14:paraId="75235C45">
      <w:pPr>
        <w:spacing w:before="74" w:line="264" w:lineRule="auto"/>
        <w:ind w:left="1" w:firstLine="2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以上企业，不属于大企业的分支机构，不存在控股股东为大企业的情形，也不存在与大</w:t>
      </w:r>
      <w:r>
        <w:rPr>
          <w:rFonts w:hint="eastAsia" w:ascii="宋体" w:hAnsi="宋体" w:eastAsia="宋体" w:cs="宋体"/>
          <w:color w:val="auto"/>
          <w:spacing w:val="4"/>
          <w:sz w:val="24"/>
          <w:szCs w:val="24"/>
          <w:highlight w:val="none"/>
        </w:rPr>
        <w:t>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业</w:t>
      </w:r>
      <w:r>
        <w:rPr>
          <w:rFonts w:hint="eastAsia" w:ascii="宋体" w:hAnsi="宋体" w:eastAsia="宋体" w:cs="宋体"/>
          <w:color w:val="auto"/>
          <w:spacing w:val="8"/>
          <w:sz w:val="24"/>
          <w:szCs w:val="24"/>
          <w:highlight w:val="none"/>
        </w:rPr>
        <w:t>的负责人为同一人的情形。</w:t>
      </w:r>
    </w:p>
    <w:p w14:paraId="6FEF2F4A">
      <w:pPr>
        <w:spacing w:before="279" w:line="501" w:lineRule="auto"/>
        <w:ind w:left="5045" w:right="727" w:rightChars="0" w:hanging="5042"/>
        <w:rPr>
          <w:rFonts w:hint="eastAsia" w:ascii="宋体" w:hAnsi="宋体" w:eastAsia="宋体" w:cs="宋体"/>
          <w:color w:val="auto"/>
          <w:spacing w:val="8"/>
          <w:sz w:val="24"/>
          <w:szCs w:val="24"/>
          <w:highlight w:val="none"/>
        </w:rPr>
      </w:pPr>
      <w:r>
        <w:rPr>
          <w:rFonts w:hint="eastAsia" w:ascii="宋体" w:hAnsi="宋体" w:eastAsia="宋体" w:cs="宋体"/>
          <w:color w:val="auto"/>
          <w:spacing w:val="16"/>
          <w:sz w:val="24"/>
          <w:szCs w:val="24"/>
          <w:highlight w:val="none"/>
        </w:rPr>
        <w:t>本</w:t>
      </w:r>
      <w:r>
        <w:rPr>
          <w:rFonts w:hint="eastAsia" w:ascii="宋体" w:hAnsi="宋体" w:eastAsia="宋体" w:cs="宋体"/>
          <w:color w:val="auto"/>
          <w:spacing w:val="13"/>
          <w:sz w:val="24"/>
          <w:szCs w:val="24"/>
          <w:highlight w:val="none"/>
        </w:rPr>
        <w:t>企</w:t>
      </w:r>
      <w:r>
        <w:rPr>
          <w:rFonts w:hint="eastAsia" w:ascii="宋体" w:hAnsi="宋体" w:eastAsia="宋体" w:cs="宋体"/>
          <w:color w:val="auto"/>
          <w:spacing w:val="8"/>
          <w:sz w:val="24"/>
          <w:szCs w:val="24"/>
          <w:highlight w:val="none"/>
        </w:rPr>
        <w:t>业对上述声明内容的真实性负责。如有虚假，将依法承担相应责任。</w:t>
      </w:r>
    </w:p>
    <w:p w14:paraId="5B0F999F">
      <w:pPr>
        <w:spacing w:before="279" w:line="501" w:lineRule="auto"/>
        <w:ind w:left="5045" w:right="1712" w:hanging="50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rPr>
        <w:t>企</w:t>
      </w:r>
      <w:r>
        <w:rPr>
          <w:rFonts w:hint="eastAsia" w:ascii="宋体" w:hAnsi="宋体" w:eastAsia="宋体" w:cs="宋体"/>
          <w:color w:val="auto"/>
          <w:spacing w:val="10"/>
          <w:sz w:val="24"/>
          <w:szCs w:val="24"/>
          <w:highlight w:val="none"/>
        </w:rPr>
        <w:t>业名称</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 xml:space="preserve">盖章) </w:t>
      </w:r>
      <w:r>
        <w:rPr>
          <w:rFonts w:hint="eastAsia" w:ascii="宋体" w:hAnsi="宋体" w:eastAsia="宋体" w:cs="宋体"/>
          <w:color w:val="auto"/>
          <w:spacing w:val="10"/>
          <w:sz w:val="24"/>
          <w:szCs w:val="24"/>
          <w:highlight w:val="none"/>
          <w:lang w:eastAsia="zh-CN"/>
        </w:rPr>
        <w:t>：</w:t>
      </w:r>
    </w:p>
    <w:p w14:paraId="7DD2AD3B">
      <w:pPr>
        <w:spacing w:line="228" w:lineRule="auto"/>
        <w:ind w:left="5083"/>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8"/>
          <w:sz w:val="24"/>
          <w:szCs w:val="24"/>
          <w:highlight w:val="none"/>
        </w:rPr>
        <w:t>期</w:t>
      </w:r>
      <w:r>
        <w:rPr>
          <w:rFonts w:hint="eastAsia" w:ascii="宋体" w:hAnsi="宋体" w:eastAsia="宋体" w:cs="宋体"/>
          <w:color w:val="auto"/>
          <w:spacing w:val="-8"/>
          <w:sz w:val="24"/>
          <w:szCs w:val="24"/>
          <w:highlight w:val="none"/>
          <w:lang w:eastAsia="zh-CN"/>
        </w:rPr>
        <w:t>：</w:t>
      </w:r>
    </w:p>
    <w:p w14:paraId="33F3488D">
      <w:pPr>
        <w:spacing w:line="311" w:lineRule="auto"/>
        <w:rPr>
          <w:rFonts w:hint="eastAsia" w:ascii="宋体" w:hAnsi="宋体" w:eastAsia="宋体" w:cs="宋体"/>
          <w:color w:val="auto"/>
          <w:sz w:val="24"/>
          <w:szCs w:val="24"/>
          <w:highlight w:val="none"/>
        </w:rPr>
      </w:pPr>
    </w:p>
    <w:p w14:paraId="4F02A2F7">
      <w:pPr>
        <w:spacing w:line="311" w:lineRule="auto"/>
        <w:rPr>
          <w:rFonts w:hint="eastAsia" w:ascii="宋体" w:hAnsi="宋体" w:eastAsia="宋体" w:cs="宋体"/>
          <w:color w:val="auto"/>
          <w:sz w:val="24"/>
          <w:szCs w:val="24"/>
          <w:highlight w:val="none"/>
        </w:rPr>
      </w:pPr>
    </w:p>
    <w:p w14:paraId="1D6F2ADC">
      <w:pPr>
        <w:spacing w:line="311" w:lineRule="auto"/>
        <w:rPr>
          <w:rFonts w:hint="eastAsia" w:ascii="宋体" w:hAnsi="宋体" w:eastAsia="宋体" w:cs="宋体"/>
          <w:color w:val="auto"/>
          <w:sz w:val="24"/>
          <w:szCs w:val="24"/>
          <w:highlight w:val="none"/>
        </w:rPr>
      </w:pPr>
    </w:p>
    <w:p w14:paraId="0E762E6D">
      <w:pPr>
        <w:spacing w:before="56" w:line="232" w:lineRule="auto"/>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注：</w:t>
      </w:r>
      <w:r>
        <w:rPr>
          <w:rFonts w:hint="eastAsia" w:ascii="宋体" w:hAnsi="宋体" w:eastAsia="宋体" w:cs="宋体"/>
          <w:color w:val="auto"/>
          <w:spacing w:val="16"/>
          <w:sz w:val="24"/>
          <w:szCs w:val="24"/>
          <w:highlight w:val="none"/>
        </w:rPr>
        <w:t>从</w:t>
      </w:r>
      <w:r>
        <w:rPr>
          <w:rFonts w:hint="eastAsia" w:ascii="宋体" w:hAnsi="宋体" w:eastAsia="宋体" w:cs="宋体"/>
          <w:color w:val="auto"/>
          <w:spacing w:val="9"/>
          <w:sz w:val="24"/>
          <w:szCs w:val="24"/>
          <w:highlight w:val="none"/>
        </w:rPr>
        <w:t>业人员、营业收入、资产总额填报上一年度数据，无上一年度数据的新成立企业可不填报。</w:t>
      </w:r>
    </w:p>
    <w:p w14:paraId="4DB634E0">
      <w:pPr>
        <w:rPr>
          <w:rFonts w:hint="eastAsia" w:ascii="宋体" w:hAnsi="宋体" w:eastAsia="宋体" w:cs="宋体"/>
          <w:color w:val="auto"/>
          <w:sz w:val="24"/>
          <w:szCs w:val="24"/>
          <w:highlight w:val="none"/>
        </w:rPr>
        <w:sectPr>
          <w:footerReference r:id="rId31" w:type="default"/>
          <w:pgSz w:w="11906" w:h="16839"/>
          <w:pgMar w:top="820" w:right="1134" w:bottom="1156" w:left="1425" w:header="0" w:footer="996" w:gutter="0"/>
          <w:pgNumType w:fmt="decimal"/>
          <w:cols w:space="720" w:num="1"/>
        </w:sectPr>
      </w:pPr>
    </w:p>
    <w:p w14:paraId="5BF0C74C">
      <w:pPr>
        <w:rPr>
          <w:rFonts w:hint="eastAsia" w:ascii="宋体" w:hAnsi="宋体" w:eastAsia="宋体" w:cs="宋体"/>
          <w:color w:val="auto"/>
          <w:highlight w:val="none"/>
        </w:rPr>
      </w:pPr>
    </w:p>
    <w:p w14:paraId="1D012E78">
      <w:pPr>
        <w:pStyle w:val="4"/>
        <w:numPr>
          <w:ilvl w:val="2"/>
          <w:numId w:val="0"/>
        </w:numPr>
        <w:spacing w:before="0" w:after="0"/>
        <w:ind w:leftChars="0"/>
        <w:jc w:val="center"/>
        <w:rPr>
          <w:rFonts w:hint="eastAsia" w:ascii="宋体" w:hAnsi="宋体" w:eastAsia="宋体" w:cs="宋体"/>
          <w:bCs/>
          <w:color w:val="auto"/>
          <w:sz w:val="30"/>
          <w:szCs w:val="30"/>
          <w:highlight w:val="none"/>
        </w:rPr>
      </w:pPr>
      <w:bookmarkStart w:id="57" w:name="_Toc8579"/>
      <w:r>
        <w:rPr>
          <w:rFonts w:hint="eastAsia" w:ascii="宋体" w:hAnsi="宋体" w:eastAsia="宋体" w:cs="宋体"/>
          <w:bCs/>
          <w:color w:val="auto"/>
          <w:sz w:val="30"/>
          <w:szCs w:val="30"/>
          <w:highlight w:val="none"/>
        </w:rPr>
        <w:t>监狱企业的证明文件</w:t>
      </w:r>
      <w:bookmarkEnd w:id="57"/>
    </w:p>
    <w:p w14:paraId="388B0036">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p>
    <w:p w14:paraId="5AEAEE64">
      <w:pPr>
        <w:autoSpaceDE w:val="0"/>
        <w:autoSpaceDN w:val="0"/>
        <w:adjustRightInd w:val="0"/>
        <w:spacing w:before="120" w:beforeLines="50" w:after="120"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r>
        <w:rPr>
          <w:rFonts w:hint="eastAsia" w:ascii="宋体" w:hAnsi="宋体" w:eastAsia="宋体" w:cs="宋体"/>
          <w:bCs/>
          <w:color w:val="auto"/>
          <w:sz w:val="24"/>
          <w:highlight w:val="none"/>
        </w:rPr>
        <w:t>省级以上监狱管理局、戒毒管理局（含新疆生产建设兵团）出具的属于监狱企业的证明文件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ab/>
      </w:r>
    </w:p>
    <w:p w14:paraId="0853BCF6">
      <w:pPr>
        <w:spacing w:line="480" w:lineRule="auto"/>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br w:type="page"/>
      </w:r>
    </w:p>
    <w:p w14:paraId="666EE8F0">
      <w:pPr>
        <w:pStyle w:val="4"/>
        <w:numPr>
          <w:ilvl w:val="0"/>
          <w:numId w:val="0"/>
        </w:numPr>
        <w:ind w:left="720" w:hanging="720"/>
        <w:rPr>
          <w:rFonts w:hint="eastAsia" w:ascii="宋体" w:hAnsi="宋体" w:eastAsia="宋体" w:cs="宋体"/>
          <w:bCs/>
          <w:color w:val="auto"/>
          <w:sz w:val="30"/>
          <w:szCs w:val="30"/>
          <w:highlight w:val="none"/>
        </w:rPr>
      </w:pPr>
      <w:bookmarkStart w:id="58" w:name="_Toc14638"/>
      <w:r>
        <w:rPr>
          <w:rFonts w:hint="eastAsia" w:ascii="宋体" w:hAnsi="宋体" w:eastAsia="宋体" w:cs="宋体"/>
          <w:bCs/>
          <w:color w:val="auto"/>
          <w:sz w:val="30"/>
          <w:szCs w:val="30"/>
          <w:highlight w:val="none"/>
        </w:rPr>
        <w:t>残疾人福利性单位声明函</w:t>
      </w:r>
      <w:bookmarkEnd w:id="58"/>
    </w:p>
    <w:p w14:paraId="102BF36B">
      <w:pPr>
        <w:autoSpaceDE w:val="0"/>
        <w:autoSpaceDN w:val="0"/>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（如果是，提供）</w:t>
      </w:r>
    </w:p>
    <w:p w14:paraId="2E191102">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5E2C9">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本单位对上述声明的真实性负责。如有虚假，将依法承担相应责任。</w:t>
      </w:r>
    </w:p>
    <w:p w14:paraId="1BEB16E5">
      <w:pPr>
        <w:spacing w:line="360" w:lineRule="auto"/>
        <w:ind w:firstLine="480" w:firstLineChars="200"/>
        <w:rPr>
          <w:rFonts w:hint="eastAsia" w:ascii="宋体" w:hAnsi="宋体" w:eastAsia="宋体" w:cs="宋体"/>
          <w:snapToGrid w:val="0"/>
          <w:color w:val="auto"/>
          <w:kern w:val="0"/>
          <w:sz w:val="24"/>
          <w:highlight w:val="none"/>
        </w:rPr>
      </w:pPr>
    </w:p>
    <w:p w14:paraId="416CBE44">
      <w:pPr>
        <w:spacing w:line="360" w:lineRule="auto"/>
        <w:ind w:firstLine="480" w:firstLineChars="200"/>
        <w:rPr>
          <w:rFonts w:hint="eastAsia" w:ascii="宋体" w:hAnsi="宋体" w:eastAsia="宋体" w:cs="宋体"/>
          <w:snapToGrid w:val="0"/>
          <w:color w:val="auto"/>
          <w:kern w:val="0"/>
          <w:sz w:val="24"/>
          <w:highlight w:val="none"/>
        </w:rPr>
      </w:pPr>
    </w:p>
    <w:p w14:paraId="54001339">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4F0A522B">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w:t>
      </w:r>
      <w:r>
        <w:rPr>
          <w:rFonts w:hint="eastAsia" w:ascii="宋体" w:hAnsi="宋体" w:eastAsia="宋体" w:cs="宋体"/>
          <w:color w:val="auto"/>
          <w:sz w:val="24"/>
          <w:highlight w:val="none"/>
          <w:shd w:val="clear" w:color="auto" w:fill="FFFFFF"/>
        </w:rPr>
        <w:t>单位公章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482EBE9">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p>
    <w:p w14:paraId="183AFD85">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p>
    <w:p w14:paraId="7516BA7C">
      <w:pPr>
        <w:spacing w:line="360" w:lineRule="auto"/>
        <w:ind w:firstLine="480" w:firstLineChars="200"/>
        <w:rPr>
          <w:rFonts w:hint="eastAsia" w:ascii="宋体" w:hAnsi="宋体" w:eastAsia="宋体" w:cs="宋体"/>
          <w:snapToGrid w:val="0"/>
          <w:color w:val="auto"/>
          <w:kern w:val="0"/>
          <w:sz w:val="24"/>
          <w:highlight w:val="none"/>
        </w:rPr>
      </w:pPr>
    </w:p>
    <w:p w14:paraId="1F984E6F">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日  期：</w:t>
      </w:r>
    </w:p>
    <w:p w14:paraId="1068665E">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099CDF0">
      <w:pPr>
        <w:spacing w:before="91" w:line="219" w:lineRule="auto"/>
        <w:ind w:left="25"/>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附件</w:t>
      </w:r>
      <w:r>
        <w:rPr>
          <w:rFonts w:hint="eastAsia" w:ascii="宋体" w:hAnsi="宋体" w:eastAsia="宋体" w:cs="宋体"/>
          <w:b/>
          <w:bCs/>
          <w:color w:val="auto"/>
          <w:spacing w:val="-24"/>
          <w:sz w:val="28"/>
          <w:szCs w:val="28"/>
          <w:highlight w:val="none"/>
          <w:lang w:eastAsia="zh-CN"/>
        </w:rPr>
        <w:t>二</w:t>
      </w:r>
      <w:r>
        <w:rPr>
          <w:rFonts w:hint="eastAsia" w:ascii="宋体" w:hAnsi="宋体" w:eastAsia="宋体" w:cs="宋体"/>
          <w:b/>
          <w:bCs/>
          <w:color w:val="auto"/>
          <w:spacing w:val="-24"/>
          <w:sz w:val="28"/>
          <w:szCs w:val="28"/>
          <w:highlight w:val="none"/>
        </w:rPr>
        <w:t>：</w:t>
      </w:r>
    </w:p>
    <w:p w14:paraId="4D0834EF">
      <w:pPr>
        <w:pStyle w:val="4"/>
        <w:rPr>
          <w:rFonts w:hint="eastAsia" w:ascii="宋体" w:hAnsi="宋体" w:eastAsia="宋体" w:cs="宋体"/>
          <w:bCs/>
          <w:color w:val="auto"/>
          <w:sz w:val="30"/>
          <w:szCs w:val="30"/>
          <w:highlight w:val="none"/>
        </w:rPr>
      </w:pPr>
      <w:bookmarkStart w:id="59" w:name="_Toc17846"/>
      <w:bookmarkStart w:id="60" w:name="_Toc9006527"/>
      <w:r>
        <w:rPr>
          <w:rFonts w:hint="eastAsia" w:ascii="宋体" w:hAnsi="宋体" w:eastAsia="宋体" w:cs="宋体"/>
          <w:bCs/>
          <w:color w:val="auto"/>
          <w:sz w:val="30"/>
          <w:szCs w:val="30"/>
          <w:highlight w:val="none"/>
        </w:rPr>
        <w:t>节能产品、环境标志产品政府优先采购认证证书一览表</w:t>
      </w:r>
      <w:bookmarkEnd w:id="59"/>
      <w:bookmarkEnd w:id="60"/>
      <w:r>
        <w:rPr>
          <w:rFonts w:hint="eastAsia" w:ascii="宋体" w:hAnsi="宋体" w:eastAsia="宋体" w:cs="宋体"/>
          <w:color w:val="auto"/>
          <w:sz w:val="24"/>
          <w:highlight w:val="none"/>
        </w:rPr>
        <w:tab/>
      </w:r>
    </w:p>
    <w:p w14:paraId="1CA750F5">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38D0172E">
      <w:pPr>
        <w:jc w:val="center"/>
        <w:rPr>
          <w:rFonts w:hint="eastAsia" w:ascii="宋体" w:hAnsi="宋体" w:eastAsia="宋体" w:cs="宋体"/>
          <w:color w:val="auto"/>
          <w:highlight w:val="none"/>
        </w:rPr>
      </w:pPr>
    </w:p>
    <w:p w14:paraId="6398726A">
      <w:pPr>
        <w:adjustRightInd w:val="0"/>
        <w:snapToGrid w:val="0"/>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采购项目名称： </w:t>
      </w:r>
      <w:r>
        <w:rPr>
          <w:rFonts w:hint="eastAsia" w:ascii="宋体" w:hAnsi="宋体" w:eastAsia="宋体" w:cs="宋体"/>
          <w:color w:val="auto"/>
          <w:sz w:val="24"/>
          <w:highlight w:val="none"/>
          <w:u w:val="single"/>
        </w:rPr>
        <w:t xml:space="preserve">                       </w:t>
      </w:r>
    </w:p>
    <w:p w14:paraId="1795E826">
      <w:pPr>
        <w:adjustRightInd w:val="0"/>
        <w:snapToGrid w:val="0"/>
        <w:spacing w:line="30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采购项目编号：</w:t>
      </w:r>
      <w:r>
        <w:rPr>
          <w:rFonts w:hint="eastAsia" w:ascii="宋体" w:hAnsi="宋体" w:eastAsia="宋体" w:cs="宋体"/>
          <w:i/>
          <w:iCs/>
          <w:color w:val="auto"/>
          <w:sz w:val="24"/>
          <w:highlight w:val="none"/>
        </w:rPr>
        <w:t xml:space="preserve"> </w:t>
      </w:r>
      <w:r>
        <w:rPr>
          <w:rFonts w:hint="eastAsia" w:ascii="宋体" w:hAnsi="宋体" w:eastAsia="宋体" w:cs="宋体"/>
          <w:color w:val="auto"/>
          <w:sz w:val="24"/>
          <w:highlight w:val="none"/>
          <w:u w:val="single"/>
        </w:rPr>
        <w:t xml:space="preserve">                       </w:t>
      </w:r>
    </w:p>
    <w:tbl>
      <w:tblPr>
        <w:tblStyle w:val="21"/>
        <w:tblpPr w:leftFromText="180" w:rightFromText="180" w:vertAnchor="text" w:horzAnchor="page" w:tblpXSpec="center" w:tblpY="108"/>
        <w:tblOverlap w:val="never"/>
        <w:tblW w:w="9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1"/>
        <w:gridCol w:w="903"/>
        <w:gridCol w:w="720"/>
        <w:gridCol w:w="1190"/>
        <w:gridCol w:w="1366"/>
        <w:gridCol w:w="1191"/>
        <w:gridCol w:w="999"/>
        <w:gridCol w:w="1221"/>
      </w:tblGrid>
      <w:tr w14:paraId="51CF2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410B5F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序号</w:t>
            </w:r>
          </w:p>
        </w:tc>
        <w:tc>
          <w:tcPr>
            <w:tcW w:w="1581" w:type="dxa"/>
            <w:noWrap w:val="0"/>
            <w:vAlign w:val="center"/>
          </w:tcPr>
          <w:p w14:paraId="476FE9B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标的</w:t>
            </w:r>
            <w:r>
              <w:rPr>
                <w:rFonts w:hint="eastAsia" w:ascii="宋体" w:hAnsi="宋体" w:eastAsia="宋体" w:cs="宋体"/>
                <w:b/>
                <w:color w:val="auto"/>
                <w:sz w:val="24"/>
                <w:highlight w:val="none"/>
                <w:lang w:val="zh-CN"/>
              </w:rPr>
              <w:t>名称</w:t>
            </w:r>
          </w:p>
        </w:tc>
        <w:tc>
          <w:tcPr>
            <w:tcW w:w="903" w:type="dxa"/>
            <w:noWrap w:val="0"/>
            <w:vAlign w:val="center"/>
          </w:tcPr>
          <w:p w14:paraId="214FE5D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品目</w:t>
            </w:r>
          </w:p>
        </w:tc>
        <w:tc>
          <w:tcPr>
            <w:tcW w:w="720" w:type="dxa"/>
            <w:noWrap w:val="0"/>
            <w:vAlign w:val="center"/>
          </w:tcPr>
          <w:p w14:paraId="5BB3C74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190" w:type="dxa"/>
            <w:noWrap w:val="0"/>
            <w:vAlign w:val="center"/>
          </w:tcPr>
          <w:p w14:paraId="3F85CAF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规格型号</w:t>
            </w:r>
          </w:p>
        </w:tc>
        <w:tc>
          <w:tcPr>
            <w:tcW w:w="1366" w:type="dxa"/>
            <w:noWrap w:val="0"/>
            <w:vAlign w:val="center"/>
          </w:tcPr>
          <w:p w14:paraId="0DF1AEB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生产者 </w:t>
            </w:r>
          </w:p>
          <w:p w14:paraId="65CDB0F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（制造商）</w:t>
            </w:r>
          </w:p>
        </w:tc>
        <w:tc>
          <w:tcPr>
            <w:tcW w:w="1191" w:type="dxa"/>
            <w:noWrap w:val="0"/>
            <w:vAlign w:val="center"/>
          </w:tcPr>
          <w:p w14:paraId="1553A5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证书编号</w:t>
            </w:r>
          </w:p>
        </w:tc>
        <w:tc>
          <w:tcPr>
            <w:tcW w:w="999" w:type="dxa"/>
            <w:noWrap w:val="0"/>
            <w:vAlign w:val="center"/>
          </w:tcPr>
          <w:p w14:paraId="7B0BE49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证书到期日期</w:t>
            </w:r>
          </w:p>
        </w:tc>
        <w:tc>
          <w:tcPr>
            <w:tcW w:w="1221" w:type="dxa"/>
            <w:noWrap w:val="0"/>
            <w:vAlign w:val="center"/>
          </w:tcPr>
          <w:p w14:paraId="34B8F3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发证机构</w:t>
            </w:r>
          </w:p>
        </w:tc>
      </w:tr>
      <w:tr w14:paraId="3472E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566859D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1" w:type="dxa"/>
            <w:noWrap w:val="0"/>
            <w:vAlign w:val="center"/>
          </w:tcPr>
          <w:p w14:paraId="295AB80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EF0BE6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37E0D4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750B649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4103FD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5708C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3EA38F3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1BD5D56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F951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110272D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1" w:type="dxa"/>
            <w:noWrap w:val="0"/>
            <w:vAlign w:val="center"/>
          </w:tcPr>
          <w:p w14:paraId="7229290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72E9864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AAAF2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AE35D2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65B1739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60FE10E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C3E0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E085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84EF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33F250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1" w:type="dxa"/>
            <w:noWrap w:val="0"/>
            <w:vAlign w:val="center"/>
          </w:tcPr>
          <w:p w14:paraId="29ACEF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074660B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1A158DA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14AB495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2951D41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A9605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E0BCC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02F240F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89F2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B446E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1" w:type="dxa"/>
            <w:noWrap w:val="0"/>
            <w:vAlign w:val="center"/>
          </w:tcPr>
          <w:p w14:paraId="751EAD90">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10ED26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754E72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34C033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78C718A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24CBB2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77BB783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01CA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A681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446A7A8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1" w:type="dxa"/>
            <w:noWrap w:val="0"/>
            <w:vAlign w:val="center"/>
          </w:tcPr>
          <w:p w14:paraId="560267D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3E5D69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529601E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84556D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18D86AE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8EC93D2">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4E8762B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2E4085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DC94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3849F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1" w:type="dxa"/>
            <w:noWrap w:val="0"/>
            <w:vAlign w:val="center"/>
          </w:tcPr>
          <w:p w14:paraId="47AE448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03" w:type="dxa"/>
            <w:noWrap w:val="0"/>
            <w:vAlign w:val="center"/>
          </w:tcPr>
          <w:p w14:paraId="20677C7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720" w:type="dxa"/>
            <w:noWrap w:val="0"/>
            <w:vAlign w:val="center"/>
          </w:tcPr>
          <w:p w14:paraId="3E6A0E0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5C667C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366" w:type="dxa"/>
            <w:noWrap w:val="0"/>
            <w:vAlign w:val="center"/>
          </w:tcPr>
          <w:p w14:paraId="69568B2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E84D85A">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99" w:type="dxa"/>
            <w:noWrap w:val="0"/>
            <w:vAlign w:val="center"/>
          </w:tcPr>
          <w:p w14:paraId="56FC7A7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221" w:type="dxa"/>
            <w:noWrap w:val="0"/>
            <w:vAlign w:val="center"/>
          </w:tcPr>
          <w:p w14:paraId="3E0A35D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r>
    </w:tbl>
    <w:p w14:paraId="597ECDFD">
      <w:pPr>
        <w:jc w:val="left"/>
        <w:rPr>
          <w:rFonts w:hint="eastAsia" w:ascii="宋体" w:hAnsi="宋体" w:eastAsia="宋体" w:cs="宋体"/>
          <w:color w:val="auto"/>
          <w:highlight w:val="none"/>
        </w:rPr>
      </w:pPr>
    </w:p>
    <w:p w14:paraId="2393727F">
      <w:pPr>
        <w:adjustRightInd w:val="0"/>
        <w:snapToGrid w:val="0"/>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注：本表填列要求详见本</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第四部分政府采购政策。</w:t>
      </w:r>
    </w:p>
    <w:p w14:paraId="1E2B3C2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0943CF">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07C49A8D">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62732398">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3F22049B">
      <w:pPr>
        <w:ind w:firstLine="1155" w:firstLineChars="550"/>
        <w:rPr>
          <w:rFonts w:hint="eastAsia" w:ascii="宋体" w:hAnsi="宋体" w:eastAsia="宋体" w:cs="宋体"/>
          <w:color w:val="auto"/>
          <w:szCs w:val="21"/>
          <w:highlight w:val="none"/>
        </w:rPr>
      </w:pPr>
    </w:p>
    <w:p w14:paraId="2216412F">
      <w:pPr>
        <w:rPr>
          <w:rFonts w:hint="eastAsia" w:ascii="宋体" w:hAnsi="宋体" w:eastAsia="宋体" w:cs="宋体"/>
          <w:color w:val="auto"/>
          <w:szCs w:val="21"/>
          <w:highlight w:val="none"/>
        </w:rPr>
      </w:pPr>
    </w:p>
    <w:p w14:paraId="5D44E088">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7B1FC9A1">
      <w:pPr>
        <w:spacing w:line="480" w:lineRule="auto"/>
        <w:jc w:val="center"/>
        <w:rPr>
          <w:rFonts w:hint="eastAsia" w:ascii="宋体" w:hAnsi="宋体" w:eastAsia="宋体" w:cs="宋体"/>
          <w:color w:val="auto"/>
          <w:sz w:val="24"/>
          <w:highlight w:val="none"/>
        </w:rPr>
      </w:pPr>
    </w:p>
    <w:p w14:paraId="1A2A5681">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19BEAFD3">
      <w:pPr>
        <w:rPr>
          <w:rFonts w:hint="eastAsia" w:ascii="宋体" w:hAnsi="宋体" w:eastAsia="宋体" w:cs="宋体"/>
          <w:color w:val="auto"/>
          <w:highlight w:val="none"/>
        </w:rPr>
      </w:pPr>
    </w:p>
    <w:p w14:paraId="0686F868">
      <w:pPr>
        <w:spacing w:line="480" w:lineRule="auto"/>
        <w:ind w:left="1050" w:hanging="1050" w:hangingChars="500"/>
        <w:jc w:val="center"/>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年     月     日</w:t>
      </w:r>
    </w:p>
    <w:p w14:paraId="56F7443C">
      <w:pPr>
        <w:spacing w:line="480" w:lineRule="auto"/>
        <w:ind w:left="1200" w:hanging="1200" w:hangingChars="500"/>
        <w:jc w:val="center"/>
        <w:rPr>
          <w:rFonts w:hint="eastAsia" w:ascii="宋体" w:hAnsi="宋体" w:eastAsia="宋体" w:cs="宋体"/>
          <w:color w:val="auto"/>
          <w:sz w:val="24"/>
          <w:highlight w:val="none"/>
        </w:rPr>
      </w:pPr>
    </w:p>
    <w:p w14:paraId="6DD1895D">
      <w:pPr>
        <w:rPr>
          <w:rFonts w:hint="eastAsia" w:ascii="宋体" w:hAnsi="宋体" w:eastAsia="宋体" w:cs="宋体"/>
          <w:color w:val="auto"/>
          <w:highlight w:val="none"/>
        </w:rPr>
        <w:sectPr>
          <w:footerReference r:id="rId32" w:type="default"/>
          <w:pgSz w:w="11906" w:h="16839"/>
          <w:pgMar w:top="820" w:right="1800" w:bottom="1440" w:left="1800" w:header="0" w:footer="996" w:gutter="0"/>
          <w:pgNumType w:fmt="decimal"/>
          <w:cols w:space="720" w:num="1"/>
        </w:sectPr>
      </w:pPr>
      <w:r>
        <w:rPr>
          <w:rFonts w:hint="eastAsia" w:ascii="宋体" w:hAnsi="宋体" w:eastAsia="宋体" w:cs="宋体"/>
          <w:color w:val="auto"/>
          <w:highlight w:val="none"/>
        </w:rPr>
        <w:br w:type="page"/>
      </w:r>
    </w:p>
    <w:p w14:paraId="1278CE29">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42003D67">
      <w:pPr>
        <w:spacing w:before="104" w:line="240" w:lineRule="auto"/>
        <w:ind w:left="2940"/>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政</w:t>
      </w:r>
      <w:r>
        <w:rPr>
          <w:rFonts w:hint="eastAsia" w:ascii="宋体" w:hAnsi="宋体" w:eastAsia="宋体" w:cs="宋体"/>
          <w:color w:val="auto"/>
          <w:spacing w:val="9"/>
          <w:sz w:val="24"/>
          <w:szCs w:val="24"/>
          <w:highlight w:val="none"/>
        </w:rPr>
        <w:t>府采购促进中小企业发展管理办法</w:t>
      </w:r>
    </w:p>
    <w:p w14:paraId="4DE2705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第一条</w:t>
      </w:r>
    </w:p>
    <w:p w14:paraId="07B1F1A6">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为了发挥政府采购的政策功能，促进中小企业健康发展，根据《中华人民共和国政府采购法》、 《中华人民共和国中小企业促进法》等有关法律法规，制定本办法。</w:t>
      </w:r>
    </w:p>
    <w:p w14:paraId="39336A8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第二条</w:t>
      </w:r>
    </w:p>
    <w:p w14:paraId="5A0E5F9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 准确定的中型企业、小型企业和微型企业，但与大企业的负责人为同一人，或者与大企业存在直接控股、管理关系的除外。</w:t>
      </w:r>
    </w:p>
    <w:p w14:paraId="5F80025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4D885C2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第三条</w:t>
      </w:r>
    </w:p>
    <w:p w14:paraId="0041DAF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23512B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第四条</w:t>
      </w:r>
    </w:p>
    <w:p w14:paraId="51332FA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在政府采购活动中，供应商提供的货物、工程或者服务符合下列情形的，享受本办法规定的中小企业扶持政策：</w:t>
      </w:r>
    </w:p>
    <w:p w14:paraId="7515267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在货物采购项目中，货物由中小企业制造，即货物由中小企业生产且使用该中小企业商号 或者注册商标；</w:t>
      </w:r>
    </w:p>
    <w:p w14:paraId="772CB39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在工程采购项目中，工程由中小企业承建，即工程施工单位为中小企业；</w:t>
      </w:r>
    </w:p>
    <w:p w14:paraId="569A70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在服务采购项目中，服务由中小企业承接，即提供服务的人员为中小企业依照《中华人民共和国劳动合同法》订立劳动合同的从业人员。在货物采购项目中，供应商提供的货物既有中小企业 制造货物，也有大型企业制造货物的，不享受本办法规定的中小企业扶持政策。</w:t>
      </w:r>
    </w:p>
    <w:p w14:paraId="1BC162B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5A45CC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第五条</w:t>
      </w:r>
    </w:p>
    <w:p w14:paraId="334E972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 营业收入、从业人员、利润、纳税额等规模条件和财务指标作为供应商的资格要求或者评审因素，不得在企业股权结构、经营年限等方面对中小企业实行差别待遇或者歧视待遇。</w:t>
      </w:r>
    </w:p>
    <w:p w14:paraId="5D0954F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第六条</w:t>
      </w:r>
    </w:p>
    <w:p w14:paraId="6E953C9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 并在政府采购预算中单独列示。</w:t>
      </w:r>
    </w:p>
    <w:p w14:paraId="76D1723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2F83D00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一) 法律法规和国家有关政策明确规定优先或者应当面向事业单位、社会组织等非企业主体采 购的；</w:t>
      </w:r>
    </w:p>
    <w:p w14:paraId="0DD3AA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因确需使用不可替代的专利、专有技术，基础设施限制，或者提供特定公共服务等原因，只能从中小企业之外的供应商处采购的；</w:t>
      </w:r>
    </w:p>
    <w:p w14:paraId="462DBC2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按照本办法规定预留采购份额无法确保充分供应、充分竞争，或者存在可能影响政府采购 目标实现的情形；</w:t>
      </w:r>
    </w:p>
    <w:p w14:paraId="2B172A4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框架协议采购项目；</w:t>
      </w:r>
    </w:p>
    <w:p w14:paraId="0160186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省级以上人民政府财政部门规定的其他情形。</w:t>
      </w:r>
    </w:p>
    <w:p w14:paraId="6F52F76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0453346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第七条</w:t>
      </w:r>
    </w:p>
    <w:p w14:paraId="627DDD8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42F02A1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第八条</w:t>
      </w:r>
    </w:p>
    <w:p w14:paraId="218A7D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 60% 。预留份额通过下列措施进行：</w:t>
      </w:r>
    </w:p>
    <w:p w14:paraId="318A076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将采购项目整体或者设置采购包专门面向中小企业采购；</w:t>
      </w:r>
    </w:p>
    <w:p w14:paraId="42BBC9F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要求供应商以联合体形式参加采购活动，且联合体中中小企业承担的部分达到一定比例；</w:t>
      </w:r>
    </w:p>
    <w:p w14:paraId="1E8148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要求获得采购合同的供应商将采购项目中的一定比例分包给一家或者多家中小企业。组成联合体或者接受分包合同的中小企业与联合体内其他企业、分包企业之间不得存在直接控股、管理关系。</w:t>
      </w:r>
    </w:p>
    <w:p w14:paraId="2D0FDF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第九条</w:t>
      </w:r>
    </w:p>
    <w:p w14:paraId="7E286F0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对于经主管预算单位统筹后未预留份额专门面向中小企业采购的采购项目，以及预留份额项目中 的非预留部分采购包，采购人、采购代理机构应当对符合本办法规定的小微企业报价给予 6%—10%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3%—5%) 的扣除，用扣除后的价格参加评审。适用招标投标法的政府采购工程建设项 目，采用综合评估法但未采用低价优先法计算价格分的，评标时应当在采用原报价进行评分的基础上 增加其价格得分的 3%—5%作为其价格分。接受大中型企业与小微企业组成联合体或者允许大中型企业向一家或者多家小微企业分包的采购项目，对于联合协议或者分包意向协议约定小微企业的合同份 额占到合同总金额 30%以上的，采购人、采购代理机构应当对联合体或者大中型企业的报价给予 2%</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 xml:space="preserve">3%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1%—2%) 的扣除，用扣除后的价格参加评审。适用招标投标法的政府采购工程 建设项目，采用综合评估法但未采用低价优先法计算价格分的，评标时应当在采用原报价进行评分的 基础上增加其价格得分的 1%—2%作为其价格分。组成联合体或者接受分包的小微企业与联合体内其 他企业、分包企业之间存在直接控股、管理关系的，不享受价格扣除优惠政策。</w:t>
      </w:r>
    </w:p>
    <w:p w14:paraId="066DBF5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 价格扣除比例或者价格分加分比例， 由采购人根据采购标的相关行业平均利润率、市场竞争状况等， 在本办法规定的幅度内确定。</w:t>
      </w:r>
    </w:p>
    <w:p w14:paraId="5F7EA1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第十条</w:t>
      </w:r>
    </w:p>
    <w:p w14:paraId="62EBD6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 留份额的采购项目或者采购包，通过发布公告方式邀请供应商后，符合资格条件的中小企业数量不足 3 家的，应当中止采购活动，视同未预留份额的采购项目或者采购包，按照本办法第九条有关规定重新 组织采购活动。</w:t>
      </w:r>
    </w:p>
    <w:p w14:paraId="3D2E309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第十一条</w:t>
      </w:r>
    </w:p>
    <w:p w14:paraId="4EA546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中小企业参加政府采购活动，应当出具本办法规定的《中小企业声明函》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 1) ，否则不得享 受相关中小企业扶持政策。任何单位和个人不得要求供应商提供《中小企业声明函》之外的中小企业 身份证明文件。</w:t>
      </w:r>
    </w:p>
    <w:p w14:paraId="1A7A07D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第十二条</w:t>
      </w:r>
    </w:p>
    <w:p w14:paraId="61196DD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采购项目涉及中小企业采购的，</w:t>
      </w:r>
      <w:r>
        <w:rPr>
          <w:rFonts w:hint="eastAsia" w:ascii="宋体" w:hAnsi="宋体" w:eastAsia="宋体" w:cs="宋体"/>
          <w:color w:val="auto"/>
          <w:spacing w:val="7"/>
          <w:sz w:val="21"/>
          <w:szCs w:val="21"/>
          <w:highlight w:val="none"/>
          <w:lang w:eastAsia="zh-CN"/>
        </w:rPr>
        <w:t>招标文件</w:t>
      </w:r>
      <w:r>
        <w:rPr>
          <w:rFonts w:hint="eastAsia" w:ascii="宋体" w:hAnsi="宋体" w:eastAsia="宋体" w:cs="宋体"/>
          <w:color w:val="auto"/>
          <w:spacing w:val="7"/>
          <w:sz w:val="21"/>
          <w:szCs w:val="21"/>
          <w:highlight w:val="none"/>
        </w:rPr>
        <w:t>应当明确以下内容：</w:t>
      </w:r>
    </w:p>
    <w:p w14:paraId="3B073A4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预留份额的采购项目或者采购包，明确该项目或相关采购包专门面向中小企业采购，以及 相关标的及预算金额；</w:t>
      </w:r>
    </w:p>
    <w:p w14:paraId="6284CEE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要求以联合体形式参加或者合同分包的，明确联合协议或者分包意向协议中中小企业合同 金额应当达到的比例，并作为供应商资格条件；</w:t>
      </w:r>
    </w:p>
    <w:p w14:paraId="4CC3621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非预留份额的采购项目或者采购包，明确有关价格扣除比例或者价格分加分比例；</w:t>
      </w:r>
    </w:p>
    <w:p w14:paraId="62E34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规定依据本办法规定享受扶持政策获得政府采购合同的，小微企业不得将合同分包给大中 型企业，中型企业不得将合同分包给大型企业；</w:t>
      </w:r>
    </w:p>
    <w:p w14:paraId="1D7FDD0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采购人认为具备相关条件的，明确对中小企业在资金支付期限、预付款比例等方面的优惠 措施；</w:t>
      </w:r>
    </w:p>
    <w:p w14:paraId="5E13F30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六) 明确采购标的对应的中小企业划分标准所属行业；</w:t>
      </w:r>
    </w:p>
    <w:p w14:paraId="1F79332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七) 法律法规和省级以上人民政府财政部门规定的其他事项。</w:t>
      </w:r>
    </w:p>
    <w:p w14:paraId="6A0DD15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第十三条</w:t>
      </w:r>
    </w:p>
    <w:p w14:paraId="20FA1CD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中标、成交供应商享受本办法规定的中小企业扶持政策的，采购人、采购代理机构应当随中标、成交结果公开中标、成交供应商的《中小企业声明函》。适用招标投标法的政府采购工程建设项目， 应当在公示中标候选人时公开中标候选人的《中小企业声明函》。</w:t>
      </w:r>
    </w:p>
    <w:p w14:paraId="49E825AB">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第十四条</w:t>
      </w:r>
    </w:p>
    <w:p w14:paraId="20B105D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90F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第十五条</w:t>
      </w:r>
    </w:p>
    <w:p w14:paraId="26C8344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鼓励各地区、各部门在采购活动中允许中小企业引入信用担保手段，为中小企业在投标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响应) 保证、履约保证等方面提供专业化服务。鼓励中小企业依法合规通过政府采购合同融资。</w:t>
      </w:r>
    </w:p>
    <w:p w14:paraId="1F9FC57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第十六条</w:t>
      </w:r>
    </w:p>
    <w:p w14:paraId="101E36C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 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230E73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第十七条</w:t>
      </w:r>
    </w:p>
    <w:p w14:paraId="1D218B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2674E3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第十八条</w:t>
      </w:r>
    </w:p>
    <w:p w14:paraId="2983CBE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附2)。未达到本办法规定的预留份额比例的，应当作出说明。</w:t>
      </w:r>
    </w:p>
    <w:p w14:paraId="1FB118C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第十九条</w:t>
      </w:r>
    </w:p>
    <w:p w14:paraId="7DAC91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4C87C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第二十条</w:t>
      </w:r>
    </w:p>
    <w:p w14:paraId="7536398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2F70A82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第二十一条</w:t>
      </w:r>
    </w:p>
    <w:p w14:paraId="7DC4738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中华人民共和国公务员法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中华人民共和国监察法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中华人民共和国政府采购法实施条例》等国家有关规定追究相应责任；涉嫌犯罪的，依法移送有关国家机关处理。</w:t>
      </w:r>
    </w:p>
    <w:p w14:paraId="0354CED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第二十二条</w:t>
      </w:r>
    </w:p>
    <w:p w14:paraId="47EFBCB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对外援助项目、国家相关资格或者资质管理制度另有规定的项目，不适用本办法。 </w:t>
      </w:r>
    </w:p>
    <w:p w14:paraId="70296C3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第二十三条</w:t>
      </w:r>
    </w:p>
    <w:p w14:paraId="1320C3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关于视同中小企业的其他主体的政府采购扶持政策， 由财政部会同有关部门另行规定。</w:t>
      </w:r>
    </w:p>
    <w:p w14:paraId="1F1B1D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第二十四条</w:t>
      </w:r>
    </w:p>
    <w:p w14:paraId="60B847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省级财政部门可以会同中小企业主管部门根据本办法的规定制定具体实施办法。 </w:t>
      </w:r>
    </w:p>
    <w:p w14:paraId="782B21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第二十五条</w:t>
      </w:r>
    </w:p>
    <w:p w14:paraId="6F8C20D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z w:val="21"/>
          <w:szCs w:val="21"/>
          <w:highlight w:val="none"/>
        </w:rPr>
        <w:sectPr>
          <w:footerReference r:id="rId33" w:type="default"/>
          <w:pgSz w:w="11906" w:h="16839"/>
          <w:pgMar w:top="1040" w:right="1179" w:bottom="1156" w:left="1424" w:header="0" w:footer="996" w:gutter="0"/>
          <w:pgNumType w:fmt="decimal"/>
          <w:cols w:space="720" w:num="1"/>
        </w:sectPr>
      </w:pPr>
      <w:r>
        <w:rPr>
          <w:rFonts w:hint="eastAsia" w:ascii="宋体" w:hAnsi="宋体" w:eastAsia="宋体" w:cs="宋体"/>
          <w:color w:val="auto"/>
          <w:spacing w:val="7"/>
          <w:sz w:val="21"/>
          <w:szCs w:val="21"/>
          <w:highlight w:val="none"/>
        </w:rPr>
        <w:t>本办法自 2021年</w:t>
      </w:r>
      <w:r>
        <w:rPr>
          <w:rFonts w:hint="eastAsia" w:ascii="宋体" w:hAnsi="宋体" w:eastAsia="宋体" w:cs="宋体"/>
          <w:color w:val="auto"/>
          <w:spacing w:val="4"/>
          <w:sz w:val="21"/>
          <w:szCs w:val="21"/>
          <w:highlight w:val="none"/>
        </w:rPr>
        <w:t>1月1日起施行。财政部工业和信息化部关于印发〈政府采购促进中小企业</w:t>
      </w:r>
      <w:r>
        <w:rPr>
          <w:rFonts w:hint="eastAsia" w:ascii="宋体" w:hAnsi="宋体" w:eastAsia="宋体" w:cs="宋体"/>
          <w:color w:val="auto"/>
          <w:spacing w:val="-10"/>
          <w:sz w:val="21"/>
          <w:szCs w:val="21"/>
          <w:highlight w:val="none"/>
        </w:rPr>
        <w:t>发展暂</w:t>
      </w:r>
      <w:r>
        <w:rPr>
          <w:rFonts w:hint="eastAsia" w:ascii="宋体" w:hAnsi="宋体" w:eastAsia="宋体" w:cs="宋体"/>
          <w:color w:val="auto"/>
          <w:spacing w:val="-9"/>
          <w:sz w:val="21"/>
          <w:szCs w:val="21"/>
          <w:highlight w:val="none"/>
        </w:rPr>
        <w:t>行</w:t>
      </w:r>
      <w:r>
        <w:rPr>
          <w:rFonts w:hint="eastAsia" w:ascii="宋体" w:hAnsi="宋体" w:eastAsia="宋体" w:cs="宋体"/>
          <w:color w:val="auto"/>
          <w:spacing w:val="-5"/>
          <w:sz w:val="21"/>
          <w:szCs w:val="21"/>
          <w:highlight w:val="none"/>
        </w:rPr>
        <w:t>办法〉的通知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财库 ﹝ 2011 ﹞ 181  号) 同时废止。</w:t>
      </w:r>
    </w:p>
    <w:p w14:paraId="4C9471AB">
      <w:pPr>
        <w:spacing w:before="65" w:line="240" w:lineRule="auto"/>
        <w:ind w:left="3208"/>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统计上大中小微型企业划分标</w:t>
      </w:r>
      <w:r>
        <w:rPr>
          <w:rFonts w:hint="eastAsia" w:ascii="宋体" w:hAnsi="宋体" w:eastAsia="宋体" w:cs="宋体"/>
          <w:b/>
          <w:bCs/>
          <w:color w:val="auto"/>
          <w:spacing w:val="7"/>
          <w:sz w:val="21"/>
          <w:szCs w:val="21"/>
          <w:highlight w:val="none"/>
        </w:rPr>
        <w:t>准</w:t>
      </w:r>
    </w:p>
    <w:p w14:paraId="4900E940">
      <w:pPr>
        <w:spacing w:line="240" w:lineRule="auto"/>
        <w:rPr>
          <w:rFonts w:hint="eastAsia" w:ascii="宋体" w:hAnsi="宋体" w:eastAsia="宋体" w:cs="宋体"/>
          <w:color w:val="auto"/>
          <w:sz w:val="21"/>
          <w:szCs w:val="21"/>
          <w:highlight w:val="none"/>
        </w:rPr>
      </w:pPr>
    </w:p>
    <w:tbl>
      <w:tblPr>
        <w:tblStyle w:val="4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2014"/>
        <w:gridCol w:w="709"/>
        <w:gridCol w:w="1124"/>
        <w:gridCol w:w="1448"/>
        <w:gridCol w:w="1677"/>
        <w:gridCol w:w="996"/>
      </w:tblGrid>
      <w:tr w14:paraId="64BA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471" w:type="dxa"/>
            <w:vAlign w:val="top"/>
          </w:tcPr>
          <w:p w14:paraId="14D276FD">
            <w:pPr>
              <w:spacing w:before="21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行</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业名称</w:t>
            </w:r>
          </w:p>
        </w:tc>
        <w:tc>
          <w:tcPr>
            <w:tcW w:w="2014" w:type="dxa"/>
            <w:vAlign w:val="top"/>
          </w:tcPr>
          <w:p w14:paraId="497CA35B">
            <w:pPr>
              <w:spacing w:before="213" w:line="360" w:lineRule="auto"/>
              <w:ind w:left="27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指标名</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称</w:t>
            </w:r>
          </w:p>
        </w:tc>
        <w:tc>
          <w:tcPr>
            <w:tcW w:w="709" w:type="dxa"/>
            <w:vAlign w:val="top"/>
          </w:tcPr>
          <w:p w14:paraId="7E45C417">
            <w:pPr>
              <w:spacing w:before="56" w:line="360" w:lineRule="auto"/>
              <w:ind w:left="14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position w:val="7"/>
                <w:sz w:val="21"/>
                <w:szCs w:val="21"/>
                <w:highlight w:val="none"/>
                <w14:textOutline w14:w="3795" w14:cap="sq" w14:cmpd="sng">
                  <w14:solidFill>
                    <w14:srgbClr w14:val="000000"/>
                  </w14:solidFill>
                  <w14:prstDash w14:val="solid"/>
                  <w14:bevel/>
                </w14:textOutline>
              </w:rPr>
              <w:t>计量</w:t>
            </w:r>
          </w:p>
          <w:p w14:paraId="72902392">
            <w:pPr>
              <w:spacing w:line="360" w:lineRule="auto"/>
              <w:ind w:left="149"/>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单位</w:t>
            </w:r>
          </w:p>
        </w:tc>
        <w:tc>
          <w:tcPr>
            <w:tcW w:w="1124" w:type="dxa"/>
            <w:vAlign w:val="top"/>
          </w:tcPr>
          <w:p w14:paraId="53FE8043">
            <w:pPr>
              <w:spacing w:before="213" w:line="360" w:lineRule="auto"/>
              <w:ind w:left="35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大</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型</w:t>
            </w:r>
          </w:p>
        </w:tc>
        <w:tc>
          <w:tcPr>
            <w:tcW w:w="1448" w:type="dxa"/>
            <w:vAlign w:val="top"/>
          </w:tcPr>
          <w:p w14:paraId="512531C2">
            <w:pPr>
              <w:spacing w:before="213" w:line="360" w:lineRule="auto"/>
              <w:ind w:left="664"/>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中型</w:t>
            </w:r>
          </w:p>
        </w:tc>
        <w:tc>
          <w:tcPr>
            <w:tcW w:w="1677" w:type="dxa"/>
            <w:vAlign w:val="top"/>
          </w:tcPr>
          <w:p w14:paraId="57C3B95A">
            <w:pPr>
              <w:spacing w:before="212" w:line="360" w:lineRule="auto"/>
              <w:ind w:left="515"/>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小型</w:t>
            </w:r>
          </w:p>
        </w:tc>
        <w:tc>
          <w:tcPr>
            <w:tcW w:w="996" w:type="dxa"/>
            <w:vAlign w:val="top"/>
          </w:tcPr>
          <w:p w14:paraId="6AF7367C">
            <w:pPr>
              <w:spacing w:before="212" w:line="360" w:lineRule="auto"/>
              <w:ind w:left="291"/>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微型</w:t>
            </w:r>
          </w:p>
        </w:tc>
      </w:tr>
      <w:tr w14:paraId="75F2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Align w:val="top"/>
          </w:tcPr>
          <w:p w14:paraId="13337E4C">
            <w:pPr>
              <w:spacing w:before="20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农</w:t>
            </w:r>
            <w:r>
              <w:rPr>
                <w:rFonts w:hint="eastAsia" w:ascii="宋体" w:hAnsi="宋体" w:eastAsia="宋体" w:cs="宋体"/>
                <w:color w:val="auto"/>
                <w:spacing w:val="8"/>
                <w:sz w:val="21"/>
                <w:szCs w:val="21"/>
                <w:highlight w:val="none"/>
              </w:rPr>
              <w:t>、林、牧、渔业</w:t>
            </w:r>
          </w:p>
        </w:tc>
        <w:tc>
          <w:tcPr>
            <w:tcW w:w="2014" w:type="dxa"/>
            <w:vAlign w:val="center"/>
          </w:tcPr>
          <w:p w14:paraId="3150F5A2">
            <w:pPr>
              <w:spacing w:before="52" w:line="360"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59D52F2">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9"/>
                <w:sz w:val="21"/>
                <w:szCs w:val="21"/>
                <w:highlight w:val="none"/>
              </w:rPr>
              <w:t>Y</w:t>
            </w:r>
            <w:r>
              <w:rPr>
                <w:rFonts w:hint="eastAsia" w:ascii="宋体" w:hAnsi="宋体" w:eastAsia="宋体" w:cs="宋体"/>
                <w:color w:val="auto"/>
                <w:spacing w:val="-9"/>
                <w:sz w:val="21"/>
                <w:szCs w:val="21"/>
                <w:highlight w:val="none"/>
                <w:lang w:eastAsia="zh-CN"/>
              </w:rPr>
              <w:t>）</w:t>
            </w:r>
          </w:p>
        </w:tc>
        <w:tc>
          <w:tcPr>
            <w:tcW w:w="709" w:type="dxa"/>
            <w:vAlign w:val="top"/>
          </w:tcPr>
          <w:p w14:paraId="109D816C">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002D25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1C8F5ABB">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32484631">
            <w:pPr>
              <w:spacing w:before="208"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＜500</w:t>
            </w:r>
          </w:p>
        </w:tc>
        <w:tc>
          <w:tcPr>
            <w:tcW w:w="996" w:type="dxa"/>
            <w:vAlign w:val="top"/>
          </w:tcPr>
          <w:p w14:paraId="0D0129D4">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22F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center"/>
          </w:tcPr>
          <w:p w14:paraId="7C628471">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工业</w:t>
            </w:r>
            <w:r>
              <w:rPr>
                <w:rFonts w:hint="eastAsia" w:ascii="宋体" w:hAnsi="宋体" w:eastAsia="宋体" w:cs="宋体"/>
                <w:color w:val="auto"/>
                <w:spacing w:val="4"/>
                <w:sz w:val="21"/>
                <w:szCs w:val="21"/>
                <w:highlight w:val="none"/>
              </w:rPr>
              <w:t>*</w:t>
            </w:r>
          </w:p>
        </w:tc>
        <w:tc>
          <w:tcPr>
            <w:tcW w:w="2014" w:type="dxa"/>
            <w:vAlign w:val="center"/>
          </w:tcPr>
          <w:p w14:paraId="4EC8C503">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38555FE3">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5DC0098C">
            <w:pPr>
              <w:spacing w:before="207"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55309BB4">
            <w:pPr>
              <w:spacing w:before="208"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1DF8FBBE">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07583092">
            <w:pPr>
              <w:spacing w:before="208"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4D87E37">
            <w:pPr>
              <w:spacing w:before="208"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716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2B80B5B9">
            <w:pPr>
              <w:spacing w:line="360" w:lineRule="auto"/>
              <w:jc w:val="center"/>
              <w:rPr>
                <w:rFonts w:hint="eastAsia" w:ascii="宋体" w:hAnsi="宋体" w:eastAsia="宋体" w:cs="宋体"/>
                <w:color w:val="auto"/>
                <w:sz w:val="21"/>
                <w:szCs w:val="21"/>
                <w:highlight w:val="none"/>
              </w:rPr>
            </w:pPr>
          </w:p>
        </w:tc>
        <w:tc>
          <w:tcPr>
            <w:tcW w:w="2014" w:type="dxa"/>
            <w:vAlign w:val="center"/>
          </w:tcPr>
          <w:p w14:paraId="7DED4907">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7E7B6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64698752">
            <w:pPr>
              <w:spacing w:before="20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E3CF76F">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34808362">
            <w:pPr>
              <w:spacing w:before="208"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3AC25F89">
            <w:pPr>
              <w:spacing w:before="53" w:line="360" w:lineRule="auto"/>
              <w:ind w:left="511" w:right="261" w:hanging="15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0B6639BB">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190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63B4BA5C">
            <w:pPr>
              <w:spacing w:before="65" w:line="360" w:lineRule="auto"/>
              <w:ind w:left="119"/>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建筑业</w:t>
            </w:r>
          </w:p>
        </w:tc>
        <w:tc>
          <w:tcPr>
            <w:tcW w:w="2014" w:type="dxa"/>
            <w:vAlign w:val="center"/>
          </w:tcPr>
          <w:p w14:paraId="4F6BC353">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8A75FE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14A8E1A2">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816BDA6">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772F371">
            <w:pPr>
              <w:spacing w:before="208" w:line="360"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6</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＜80000</w:t>
            </w:r>
          </w:p>
        </w:tc>
        <w:tc>
          <w:tcPr>
            <w:tcW w:w="1677" w:type="dxa"/>
            <w:vAlign w:val="top"/>
          </w:tcPr>
          <w:p w14:paraId="25C247B2">
            <w:pPr>
              <w:spacing w:before="53" w:line="360" w:lineRule="auto"/>
              <w:ind w:left="510" w:right="261" w:hanging="15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3"/>
                <w:sz w:val="21"/>
                <w:szCs w:val="21"/>
                <w:highlight w:val="none"/>
              </w:rPr>
              <w:t>600</w:t>
            </w:r>
            <w:r>
              <w:rPr>
                <w:rFonts w:hint="eastAsia" w:ascii="宋体" w:hAnsi="宋体" w:eastAsia="宋体" w:cs="宋体"/>
                <w:color w:val="auto"/>
                <w:spacing w:val="2"/>
                <w:sz w:val="21"/>
                <w:szCs w:val="21"/>
                <w:highlight w:val="none"/>
              </w:rPr>
              <w:t>0</w:t>
            </w:r>
          </w:p>
        </w:tc>
        <w:tc>
          <w:tcPr>
            <w:tcW w:w="996" w:type="dxa"/>
            <w:vAlign w:val="top"/>
          </w:tcPr>
          <w:p w14:paraId="3B249785">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261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B62DB6">
            <w:pPr>
              <w:spacing w:line="360" w:lineRule="auto"/>
              <w:jc w:val="center"/>
              <w:rPr>
                <w:rFonts w:hint="eastAsia" w:ascii="宋体" w:hAnsi="宋体" w:eastAsia="宋体" w:cs="宋体"/>
                <w:color w:val="auto"/>
                <w:sz w:val="21"/>
                <w:szCs w:val="21"/>
                <w:highlight w:val="none"/>
              </w:rPr>
            </w:pPr>
          </w:p>
        </w:tc>
        <w:tc>
          <w:tcPr>
            <w:tcW w:w="2014" w:type="dxa"/>
            <w:vAlign w:val="top"/>
          </w:tcPr>
          <w:p w14:paraId="69CBF57C">
            <w:pPr>
              <w:spacing w:before="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EBBAE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77C6D5FC">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D2BBD4E">
            <w:pPr>
              <w:spacing w:before="210"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E8B34A1">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＜80000</w:t>
            </w:r>
          </w:p>
        </w:tc>
        <w:tc>
          <w:tcPr>
            <w:tcW w:w="1677" w:type="dxa"/>
            <w:vAlign w:val="top"/>
          </w:tcPr>
          <w:p w14:paraId="0AD712E8">
            <w:pPr>
              <w:spacing w:before="55" w:line="360" w:lineRule="auto"/>
              <w:ind w:left="513"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0≤Z＜ </w:t>
            </w:r>
            <w:r>
              <w:rPr>
                <w:rFonts w:hint="eastAsia" w:ascii="宋体" w:hAnsi="宋体" w:eastAsia="宋体" w:cs="宋体"/>
                <w:color w:val="auto"/>
                <w:spacing w:val="2"/>
                <w:sz w:val="21"/>
                <w:szCs w:val="21"/>
                <w:highlight w:val="none"/>
              </w:rPr>
              <w:t>5000</w:t>
            </w:r>
          </w:p>
        </w:tc>
        <w:tc>
          <w:tcPr>
            <w:tcW w:w="996" w:type="dxa"/>
            <w:vAlign w:val="top"/>
          </w:tcPr>
          <w:p w14:paraId="6583E9A7">
            <w:pPr>
              <w:spacing w:before="210"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300</w:t>
            </w:r>
          </w:p>
        </w:tc>
      </w:tr>
      <w:tr w14:paraId="7132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7A375C1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批发业</w:t>
            </w:r>
          </w:p>
        </w:tc>
        <w:tc>
          <w:tcPr>
            <w:tcW w:w="2014" w:type="dxa"/>
            <w:vAlign w:val="top"/>
          </w:tcPr>
          <w:p w14:paraId="0858724E">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6CA92FF8">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342773D1">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CE1241E">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76F03F95">
            <w:pPr>
              <w:spacing w:before="210" w:line="360" w:lineRule="auto"/>
              <w:ind w:left="333"/>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＜200</w:t>
            </w:r>
          </w:p>
        </w:tc>
        <w:tc>
          <w:tcPr>
            <w:tcW w:w="1677" w:type="dxa"/>
            <w:vAlign w:val="top"/>
          </w:tcPr>
          <w:p w14:paraId="6654CC18">
            <w:pPr>
              <w:spacing w:before="210" w:line="360" w:lineRule="auto"/>
              <w:ind w:left="355"/>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5</w:t>
            </w:r>
            <w:r>
              <w:rPr>
                <w:rFonts w:hint="eastAsia" w:ascii="宋体" w:hAnsi="宋体" w:eastAsia="宋体" w:cs="宋体"/>
                <w:color w:val="auto"/>
                <w:spacing w:val="5"/>
                <w:position w:val="1"/>
                <w:sz w:val="21"/>
                <w:szCs w:val="21"/>
                <w:highlight w:val="none"/>
              </w:rPr>
              <w:t>≤</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w:t>
            </w:r>
          </w:p>
        </w:tc>
        <w:tc>
          <w:tcPr>
            <w:tcW w:w="996" w:type="dxa"/>
            <w:vAlign w:val="top"/>
          </w:tcPr>
          <w:p w14:paraId="74E0A3BB">
            <w:pPr>
              <w:spacing w:before="210" w:line="360" w:lineRule="auto"/>
              <w:ind w:left="291"/>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w:t>
            </w:r>
          </w:p>
        </w:tc>
      </w:tr>
      <w:tr w14:paraId="552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964CE5">
            <w:pPr>
              <w:spacing w:line="360" w:lineRule="auto"/>
              <w:jc w:val="center"/>
              <w:rPr>
                <w:rFonts w:hint="eastAsia" w:ascii="宋体" w:hAnsi="宋体" w:eastAsia="宋体" w:cs="宋体"/>
                <w:color w:val="auto"/>
                <w:sz w:val="21"/>
                <w:szCs w:val="21"/>
                <w:highlight w:val="none"/>
              </w:rPr>
            </w:pPr>
          </w:p>
        </w:tc>
        <w:tc>
          <w:tcPr>
            <w:tcW w:w="2014" w:type="dxa"/>
            <w:vAlign w:val="top"/>
          </w:tcPr>
          <w:p w14:paraId="6D2C73C7">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6380A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F573A74">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7D33DA">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69DE4110">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7950077D">
            <w:pPr>
              <w:spacing w:before="55" w:line="360" w:lineRule="auto"/>
              <w:ind w:left="513" w:right="264" w:hanging="2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w:t>
            </w:r>
            <w:r>
              <w:rPr>
                <w:rFonts w:hint="eastAsia" w:ascii="宋体" w:hAnsi="宋体" w:eastAsia="宋体" w:cs="宋体"/>
                <w:color w:val="auto"/>
                <w:spacing w:val="1"/>
                <w:sz w:val="21"/>
                <w:szCs w:val="21"/>
                <w:highlight w:val="none"/>
              </w:rPr>
              <w:t>00</w:t>
            </w:r>
          </w:p>
        </w:tc>
        <w:tc>
          <w:tcPr>
            <w:tcW w:w="996" w:type="dxa"/>
            <w:vAlign w:val="top"/>
          </w:tcPr>
          <w:p w14:paraId="14377165">
            <w:pPr>
              <w:spacing w:before="210" w:line="360" w:lineRule="auto"/>
              <w:ind w:left="13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＜1000</w:t>
            </w:r>
          </w:p>
        </w:tc>
      </w:tr>
      <w:tr w14:paraId="64AC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8CFDCC8">
            <w:pPr>
              <w:spacing w:line="360" w:lineRule="auto"/>
              <w:jc w:val="center"/>
              <w:rPr>
                <w:rFonts w:hint="eastAsia" w:ascii="宋体" w:hAnsi="宋体" w:eastAsia="宋体" w:cs="宋体"/>
                <w:color w:val="auto"/>
                <w:sz w:val="21"/>
                <w:szCs w:val="21"/>
                <w:highlight w:val="none"/>
              </w:rPr>
            </w:pPr>
          </w:p>
          <w:p w14:paraId="28172B57">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零</w:t>
            </w:r>
            <w:r>
              <w:rPr>
                <w:rFonts w:hint="eastAsia" w:ascii="宋体" w:hAnsi="宋体" w:eastAsia="宋体" w:cs="宋体"/>
                <w:color w:val="auto"/>
                <w:spacing w:val="6"/>
                <w:sz w:val="21"/>
                <w:szCs w:val="21"/>
                <w:highlight w:val="none"/>
              </w:rPr>
              <w:t>售业</w:t>
            </w:r>
          </w:p>
        </w:tc>
        <w:tc>
          <w:tcPr>
            <w:tcW w:w="2014" w:type="dxa"/>
            <w:vAlign w:val="top"/>
          </w:tcPr>
          <w:p w14:paraId="626ED600">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A49236B">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2F4BA8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3A866E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3F1C3E20">
            <w:pPr>
              <w:spacing w:before="211" w:line="360" w:lineRule="auto"/>
              <w:ind w:left="3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677" w:type="dxa"/>
            <w:vAlign w:val="top"/>
          </w:tcPr>
          <w:p w14:paraId="67F2DFC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3"/>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3"/>
                <w:position w:val="1"/>
                <w:sz w:val="21"/>
                <w:szCs w:val="21"/>
                <w:highlight w:val="none"/>
              </w:rPr>
              <w:t>＜50</w:t>
            </w:r>
          </w:p>
        </w:tc>
        <w:tc>
          <w:tcPr>
            <w:tcW w:w="996" w:type="dxa"/>
            <w:vAlign w:val="top"/>
          </w:tcPr>
          <w:p w14:paraId="03D2B613">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42B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471" w:type="dxa"/>
            <w:vMerge w:val="continue"/>
            <w:vAlign w:val="top"/>
          </w:tcPr>
          <w:p w14:paraId="382E5FBC">
            <w:pPr>
              <w:spacing w:line="360" w:lineRule="auto"/>
              <w:jc w:val="center"/>
              <w:rPr>
                <w:rFonts w:hint="eastAsia" w:ascii="宋体" w:hAnsi="宋体" w:eastAsia="宋体" w:cs="宋体"/>
                <w:color w:val="auto"/>
                <w:sz w:val="21"/>
                <w:szCs w:val="21"/>
                <w:highlight w:val="none"/>
              </w:rPr>
            </w:pPr>
          </w:p>
        </w:tc>
        <w:tc>
          <w:tcPr>
            <w:tcW w:w="2014" w:type="dxa"/>
            <w:vAlign w:val="top"/>
          </w:tcPr>
          <w:p w14:paraId="420DC744">
            <w:pPr>
              <w:spacing w:before="1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5D36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258C75C">
            <w:pPr>
              <w:spacing w:before="13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F554EE">
            <w:pPr>
              <w:spacing w:before="13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7F49FFF6">
            <w:pPr>
              <w:spacing w:before="13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6AF11808">
            <w:pPr>
              <w:spacing w:before="138" w:line="360" w:lineRule="auto"/>
              <w:ind w:left="155"/>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w:t>
            </w:r>
          </w:p>
        </w:tc>
        <w:tc>
          <w:tcPr>
            <w:tcW w:w="996" w:type="dxa"/>
            <w:vAlign w:val="top"/>
          </w:tcPr>
          <w:p w14:paraId="1540DDAD">
            <w:pPr>
              <w:spacing w:before="13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8E8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F9BD1D1">
            <w:pPr>
              <w:spacing w:line="360" w:lineRule="auto"/>
              <w:jc w:val="center"/>
              <w:rPr>
                <w:rFonts w:hint="eastAsia" w:ascii="宋体" w:hAnsi="宋体" w:eastAsia="宋体" w:cs="宋体"/>
                <w:color w:val="auto"/>
                <w:sz w:val="21"/>
                <w:szCs w:val="21"/>
                <w:highlight w:val="none"/>
              </w:rPr>
            </w:pPr>
          </w:p>
          <w:p w14:paraId="1A72300B">
            <w:pPr>
              <w:spacing w:before="65" w:line="360"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交通运输业 *</w:t>
            </w:r>
          </w:p>
        </w:tc>
        <w:tc>
          <w:tcPr>
            <w:tcW w:w="2014" w:type="dxa"/>
            <w:vAlign w:val="top"/>
          </w:tcPr>
          <w:p w14:paraId="4B09D4B3">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B38AD2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D5FE5C3">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227E7968">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363293F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2D2DF510">
            <w:pPr>
              <w:spacing w:before="210"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70C48BA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391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5111B645">
            <w:pPr>
              <w:spacing w:line="360" w:lineRule="auto"/>
              <w:jc w:val="center"/>
              <w:rPr>
                <w:rFonts w:hint="eastAsia" w:ascii="宋体" w:hAnsi="宋体" w:eastAsia="宋体" w:cs="宋体"/>
                <w:color w:val="auto"/>
                <w:sz w:val="21"/>
                <w:szCs w:val="21"/>
                <w:highlight w:val="none"/>
              </w:rPr>
            </w:pPr>
          </w:p>
        </w:tc>
        <w:tc>
          <w:tcPr>
            <w:tcW w:w="2014" w:type="dxa"/>
            <w:vAlign w:val="top"/>
          </w:tcPr>
          <w:p w14:paraId="0229EA53">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289ED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9330A78">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377851">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6A5876E9">
            <w:pPr>
              <w:spacing w:before="212"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3000≤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AE3C03E">
            <w:pPr>
              <w:spacing w:before="57" w:line="360" w:lineRule="auto"/>
              <w:ind w:left="513" w:right="261" w:hanging="16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w:t>
            </w:r>
            <w:r>
              <w:rPr>
                <w:rFonts w:hint="eastAsia" w:ascii="宋体" w:hAnsi="宋体" w:eastAsia="宋体" w:cs="宋体"/>
                <w:color w:val="auto"/>
                <w:sz w:val="21"/>
                <w:szCs w:val="21"/>
                <w:highlight w:val="none"/>
              </w:rPr>
              <w:t xml:space="preserve">Y＜ </w:t>
            </w:r>
            <w:r>
              <w:rPr>
                <w:rFonts w:hint="eastAsia" w:ascii="宋体" w:hAnsi="宋体" w:eastAsia="宋体" w:cs="宋体"/>
                <w:color w:val="auto"/>
                <w:spacing w:val="2"/>
                <w:sz w:val="21"/>
                <w:szCs w:val="21"/>
                <w:highlight w:val="none"/>
              </w:rPr>
              <w:t>3000</w:t>
            </w:r>
          </w:p>
        </w:tc>
        <w:tc>
          <w:tcPr>
            <w:tcW w:w="996" w:type="dxa"/>
            <w:vAlign w:val="top"/>
          </w:tcPr>
          <w:p w14:paraId="72BE7CCB">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200</w:t>
            </w:r>
          </w:p>
        </w:tc>
      </w:tr>
      <w:tr w14:paraId="02F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A47820A">
            <w:pPr>
              <w:spacing w:line="360" w:lineRule="auto"/>
              <w:jc w:val="center"/>
              <w:rPr>
                <w:rFonts w:hint="eastAsia" w:ascii="宋体" w:hAnsi="宋体" w:eastAsia="宋体" w:cs="宋体"/>
                <w:color w:val="auto"/>
                <w:sz w:val="21"/>
                <w:szCs w:val="21"/>
                <w:highlight w:val="none"/>
              </w:rPr>
            </w:pPr>
          </w:p>
          <w:p w14:paraId="7B41BBC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仓</w:t>
            </w:r>
            <w:r>
              <w:rPr>
                <w:rFonts w:hint="eastAsia" w:ascii="宋体" w:hAnsi="宋体" w:eastAsia="宋体" w:cs="宋体"/>
                <w:color w:val="auto"/>
                <w:spacing w:val="6"/>
                <w:sz w:val="21"/>
                <w:szCs w:val="21"/>
                <w:highlight w:val="none"/>
              </w:rPr>
              <w:t>储业*</w:t>
            </w:r>
          </w:p>
        </w:tc>
        <w:tc>
          <w:tcPr>
            <w:tcW w:w="2014" w:type="dxa"/>
            <w:vAlign w:val="top"/>
          </w:tcPr>
          <w:p w14:paraId="566C8BEE">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644B78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6D02F98C">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09DD39E">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13145110">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w:t>
            </w:r>
          </w:p>
        </w:tc>
        <w:tc>
          <w:tcPr>
            <w:tcW w:w="1677" w:type="dxa"/>
            <w:vAlign w:val="top"/>
          </w:tcPr>
          <w:p w14:paraId="57545D21">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r>
              <w:rPr>
                <w:rFonts w:hint="eastAsia" w:ascii="宋体" w:hAnsi="宋体" w:eastAsia="宋体" w:cs="宋体"/>
                <w:color w:val="auto"/>
                <w:spacing w:val="5"/>
                <w:position w:val="1"/>
                <w:sz w:val="21"/>
                <w:szCs w:val="21"/>
                <w:highlight w:val="none"/>
              </w:rPr>
              <w:t>0</w:t>
            </w:r>
          </w:p>
        </w:tc>
        <w:tc>
          <w:tcPr>
            <w:tcW w:w="996" w:type="dxa"/>
            <w:vAlign w:val="top"/>
          </w:tcPr>
          <w:p w14:paraId="7A8910E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4FD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41EC4652">
            <w:pPr>
              <w:spacing w:line="360" w:lineRule="auto"/>
              <w:jc w:val="center"/>
              <w:rPr>
                <w:rFonts w:hint="eastAsia" w:ascii="宋体" w:hAnsi="宋体" w:eastAsia="宋体" w:cs="宋体"/>
                <w:color w:val="auto"/>
                <w:sz w:val="21"/>
                <w:szCs w:val="21"/>
                <w:highlight w:val="none"/>
              </w:rPr>
            </w:pPr>
          </w:p>
        </w:tc>
        <w:tc>
          <w:tcPr>
            <w:tcW w:w="2014" w:type="dxa"/>
            <w:vAlign w:val="top"/>
          </w:tcPr>
          <w:p w14:paraId="556CD05C">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B8BD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C5D9911">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30F78B6">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3A053102">
            <w:pPr>
              <w:spacing w:before="211"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＜30000</w:t>
            </w:r>
          </w:p>
        </w:tc>
        <w:tc>
          <w:tcPr>
            <w:tcW w:w="1677" w:type="dxa"/>
            <w:vAlign w:val="top"/>
          </w:tcPr>
          <w:p w14:paraId="6F6A5529">
            <w:pPr>
              <w:spacing w:before="56"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B69AEA0">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7D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040B22">
            <w:pPr>
              <w:spacing w:line="360" w:lineRule="auto"/>
              <w:jc w:val="center"/>
              <w:rPr>
                <w:rFonts w:hint="eastAsia" w:ascii="宋体" w:hAnsi="宋体" w:eastAsia="宋体" w:cs="宋体"/>
                <w:color w:val="auto"/>
                <w:sz w:val="21"/>
                <w:szCs w:val="21"/>
                <w:highlight w:val="none"/>
              </w:rPr>
            </w:pPr>
          </w:p>
          <w:p w14:paraId="20BF7FF9">
            <w:pPr>
              <w:spacing w:before="65" w:line="360" w:lineRule="auto"/>
              <w:ind w:left="13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w:t>
            </w:r>
            <w:r>
              <w:rPr>
                <w:rFonts w:hint="eastAsia" w:ascii="宋体" w:hAnsi="宋体" w:eastAsia="宋体" w:cs="宋体"/>
                <w:color w:val="auto"/>
                <w:spacing w:val="1"/>
                <w:sz w:val="21"/>
                <w:szCs w:val="21"/>
                <w:highlight w:val="none"/>
              </w:rPr>
              <w:t>业</w:t>
            </w:r>
          </w:p>
        </w:tc>
        <w:tc>
          <w:tcPr>
            <w:tcW w:w="2014" w:type="dxa"/>
            <w:vAlign w:val="top"/>
          </w:tcPr>
          <w:p w14:paraId="54B08CAF">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4829D31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4E9FB7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260ADCD">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6360ED1E">
            <w:pPr>
              <w:spacing w:before="211"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430C0AB5">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30B43CB">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53D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33E4CBA8">
            <w:pPr>
              <w:spacing w:line="360" w:lineRule="auto"/>
              <w:jc w:val="center"/>
              <w:rPr>
                <w:rFonts w:hint="eastAsia" w:ascii="宋体" w:hAnsi="宋体" w:eastAsia="宋体" w:cs="宋体"/>
                <w:color w:val="auto"/>
                <w:sz w:val="21"/>
                <w:szCs w:val="21"/>
                <w:highlight w:val="none"/>
              </w:rPr>
            </w:pPr>
          </w:p>
        </w:tc>
        <w:tc>
          <w:tcPr>
            <w:tcW w:w="2014" w:type="dxa"/>
            <w:vAlign w:val="top"/>
          </w:tcPr>
          <w:p w14:paraId="11A5D961">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59EFF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38520D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AA4743">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4AC6EF0D">
            <w:pPr>
              <w:spacing w:before="210"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10530DF">
            <w:pPr>
              <w:spacing w:before="55"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3985913">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3D55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885754">
            <w:pPr>
              <w:spacing w:line="360" w:lineRule="auto"/>
              <w:jc w:val="center"/>
              <w:rPr>
                <w:rFonts w:hint="eastAsia" w:ascii="宋体" w:hAnsi="宋体" w:eastAsia="宋体" w:cs="宋体"/>
                <w:color w:val="auto"/>
                <w:sz w:val="21"/>
                <w:szCs w:val="21"/>
                <w:highlight w:val="none"/>
              </w:rPr>
            </w:pPr>
          </w:p>
          <w:p w14:paraId="7DEDD743">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住宿业</w:t>
            </w:r>
          </w:p>
        </w:tc>
        <w:tc>
          <w:tcPr>
            <w:tcW w:w="2014" w:type="dxa"/>
            <w:vAlign w:val="top"/>
          </w:tcPr>
          <w:p w14:paraId="75DA7FC2">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53AF51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C6F5061">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5A3F191">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111B8C2">
            <w:pPr>
              <w:spacing w:before="210"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5D392D0B">
            <w:pPr>
              <w:spacing w:before="210"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B30204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1EB7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ABEE394">
            <w:pPr>
              <w:spacing w:line="360" w:lineRule="auto"/>
              <w:jc w:val="center"/>
              <w:rPr>
                <w:rFonts w:hint="eastAsia" w:ascii="宋体" w:hAnsi="宋体" w:eastAsia="宋体" w:cs="宋体"/>
                <w:color w:val="auto"/>
                <w:sz w:val="21"/>
                <w:szCs w:val="21"/>
                <w:highlight w:val="none"/>
              </w:rPr>
            </w:pPr>
          </w:p>
        </w:tc>
        <w:tc>
          <w:tcPr>
            <w:tcW w:w="2014" w:type="dxa"/>
            <w:vAlign w:val="top"/>
          </w:tcPr>
          <w:p w14:paraId="0AA5909A">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C58D1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9E994F3">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C652704">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608D9312">
            <w:pPr>
              <w:spacing w:before="212"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571EB78D">
            <w:pPr>
              <w:spacing w:before="57"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998C0D7">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5B4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8CA479C">
            <w:pPr>
              <w:spacing w:line="360" w:lineRule="auto"/>
              <w:jc w:val="center"/>
              <w:rPr>
                <w:rFonts w:hint="eastAsia" w:ascii="宋体" w:hAnsi="宋体" w:eastAsia="宋体" w:cs="宋体"/>
                <w:color w:val="auto"/>
                <w:sz w:val="21"/>
                <w:szCs w:val="21"/>
                <w:highlight w:val="none"/>
              </w:rPr>
            </w:pPr>
          </w:p>
          <w:p w14:paraId="6433E4CC">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餐</w:t>
            </w:r>
            <w:r>
              <w:rPr>
                <w:rFonts w:hint="eastAsia" w:ascii="宋体" w:hAnsi="宋体" w:eastAsia="宋体" w:cs="宋体"/>
                <w:color w:val="auto"/>
                <w:spacing w:val="6"/>
                <w:sz w:val="21"/>
                <w:szCs w:val="21"/>
                <w:highlight w:val="none"/>
              </w:rPr>
              <w:t>饮业</w:t>
            </w:r>
          </w:p>
        </w:tc>
        <w:tc>
          <w:tcPr>
            <w:tcW w:w="2014" w:type="dxa"/>
            <w:vAlign w:val="top"/>
          </w:tcPr>
          <w:p w14:paraId="6E081A34">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41649D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8D4054F">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0DBCF9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7ED1070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AA88F9F">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BBF7332">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5593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E75844C">
            <w:pPr>
              <w:spacing w:line="360" w:lineRule="auto"/>
              <w:rPr>
                <w:rFonts w:hint="eastAsia" w:ascii="宋体" w:hAnsi="宋体" w:eastAsia="宋体" w:cs="宋体"/>
                <w:color w:val="auto"/>
                <w:sz w:val="21"/>
                <w:szCs w:val="21"/>
                <w:highlight w:val="none"/>
              </w:rPr>
            </w:pPr>
          </w:p>
        </w:tc>
        <w:tc>
          <w:tcPr>
            <w:tcW w:w="2014" w:type="dxa"/>
            <w:vAlign w:val="top"/>
          </w:tcPr>
          <w:p w14:paraId="025CD938">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927E5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C97673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80C7C0">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34D23700">
            <w:pPr>
              <w:spacing w:before="211"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065221B2">
            <w:pPr>
              <w:spacing w:before="56"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3868773C">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57C1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0DA75BF">
            <w:pPr>
              <w:spacing w:line="360" w:lineRule="auto"/>
              <w:rPr>
                <w:rFonts w:hint="eastAsia" w:ascii="宋体" w:hAnsi="宋体" w:eastAsia="宋体" w:cs="宋体"/>
                <w:color w:val="auto"/>
                <w:sz w:val="21"/>
                <w:szCs w:val="21"/>
                <w:highlight w:val="none"/>
              </w:rPr>
            </w:pPr>
          </w:p>
          <w:p w14:paraId="36CECF00">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信</w:t>
            </w:r>
            <w:r>
              <w:rPr>
                <w:rFonts w:hint="eastAsia" w:ascii="宋体" w:hAnsi="宋体" w:eastAsia="宋体" w:cs="宋体"/>
                <w:color w:val="auto"/>
                <w:spacing w:val="7"/>
                <w:sz w:val="21"/>
                <w:szCs w:val="21"/>
                <w:highlight w:val="none"/>
              </w:rPr>
              <w:t>息传输业 *</w:t>
            </w:r>
          </w:p>
        </w:tc>
        <w:tc>
          <w:tcPr>
            <w:tcW w:w="2014" w:type="dxa"/>
            <w:vAlign w:val="top"/>
          </w:tcPr>
          <w:p w14:paraId="55FB6D55">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2F68700C">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256F7AE">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CAB09C9">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≥2000</w:t>
            </w:r>
          </w:p>
        </w:tc>
        <w:tc>
          <w:tcPr>
            <w:tcW w:w="1448" w:type="dxa"/>
            <w:vAlign w:val="top"/>
          </w:tcPr>
          <w:p w14:paraId="2225D26F">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＜2000</w:t>
            </w:r>
          </w:p>
        </w:tc>
        <w:tc>
          <w:tcPr>
            <w:tcW w:w="1677" w:type="dxa"/>
            <w:vAlign w:val="top"/>
          </w:tcPr>
          <w:p w14:paraId="157829F4">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A68EA6D">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06F5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18E42687">
            <w:pPr>
              <w:spacing w:line="360" w:lineRule="auto"/>
              <w:rPr>
                <w:rFonts w:hint="eastAsia" w:ascii="宋体" w:hAnsi="宋体" w:eastAsia="宋体" w:cs="宋体"/>
                <w:color w:val="auto"/>
                <w:sz w:val="21"/>
                <w:szCs w:val="21"/>
                <w:highlight w:val="none"/>
              </w:rPr>
            </w:pPr>
          </w:p>
        </w:tc>
        <w:tc>
          <w:tcPr>
            <w:tcW w:w="2014" w:type="dxa"/>
            <w:vMerge w:val="restart"/>
            <w:vAlign w:val="top"/>
          </w:tcPr>
          <w:p w14:paraId="21C8F7E9">
            <w:pPr>
              <w:spacing w:before="52"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FB7DC77">
            <w:pPr>
              <w:spacing w:before="17"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FAE48EB">
            <w:pPr>
              <w:spacing w:before="56"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93E6A1E">
            <w:pPr>
              <w:spacing w:before="55"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p>
        </w:tc>
        <w:tc>
          <w:tcPr>
            <w:tcW w:w="1448" w:type="dxa"/>
            <w:vAlign w:val="top"/>
          </w:tcPr>
          <w:p w14:paraId="68F14133">
            <w:pPr>
              <w:spacing w:before="55"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100</w:t>
            </w:r>
            <w:r>
              <w:rPr>
                <w:rFonts w:hint="eastAsia" w:ascii="宋体" w:hAnsi="宋体" w:eastAsia="宋体" w:cs="宋体"/>
                <w:color w:val="auto"/>
                <w:spacing w:val="1"/>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1677" w:type="dxa"/>
            <w:vAlign w:val="top"/>
          </w:tcPr>
          <w:p w14:paraId="7D882CE9">
            <w:pPr>
              <w:spacing w:before="55" w:line="360" w:lineRule="auto"/>
              <w:ind w:left="366"/>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w:t>
            </w:r>
            <w:r>
              <w:rPr>
                <w:rFonts w:hint="eastAsia" w:ascii="宋体" w:hAnsi="宋体" w:eastAsia="宋体" w:cs="宋体"/>
                <w:color w:val="auto"/>
                <w:spacing w:val="1"/>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996" w:type="dxa"/>
            <w:vAlign w:val="top"/>
          </w:tcPr>
          <w:p w14:paraId="5909B1DD">
            <w:pPr>
              <w:spacing w:before="55"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321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5CAA38C4">
            <w:pPr>
              <w:spacing w:line="360" w:lineRule="auto"/>
              <w:rPr>
                <w:rFonts w:hint="eastAsia" w:ascii="宋体" w:hAnsi="宋体" w:eastAsia="宋体" w:cs="宋体"/>
                <w:color w:val="auto"/>
                <w:sz w:val="21"/>
                <w:szCs w:val="21"/>
                <w:highlight w:val="none"/>
              </w:rPr>
            </w:pPr>
          </w:p>
        </w:tc>
        <w:tc>
          <w:tcPr>
            <w:tcW w:w="2014" w:type="dxa"/>
            <w:vMerge w:val="continue"/>
            <w:vAlign w:val="top"/>
          </w:tcPr>
          <w:p w14:paraId="7741D5DF">
            <w:pPr>
              <w:spacing w:before="17" w:line="360" w:lineRule="auto"/>
              <w:ind w:left="568" w:leftChars="0"/>
              <w:jc w:val="center"/>
              <w:rPr>
                <w:rFonts w:hint="eastAsia" w:ascii="宋体" w:hAnsi="宋体" w:eastAsia="宋体" w:cs="宋体"/>
                <w:snapToGrid w:val="0"/>
                <w:color w:val="auto"/>
                <w:kern w:val="0"/>
                <w:sz w:val="21"/>
                <w:szCs w:val="21"/>
                <w:highlight w:val="none"/>
              </w:rPr>
            </w:pPr>
          </w:p>
        </w:tc>
        <w:tc>
          <w:tcPr>
            <w:tcW w:w="709" w:type="dxa"/>
            <w:vAlign w:val="top"/>
          </w:tcPr>
          <w:p w14:paraId="0A8374F4">
            <w:pPr>
              <w:spacing w:line="360" w:lineRule="auto"/>
              <w:rPr>
                <w:rFonts w:hint="eastAsia" w:ascii="宋体" w:hAnsi="宋体" w:eastAsia="宋体" w:cs="宋体"/>
                <w:snapToGrid w:val="0"/>
                <w:color w:val="auto"/>
                <w:kern w:val="0"/>
                <w:sz w:val="21"/>
                <w:szCs w:val="21"/>
                <w:highlight w:val="none"/>
              </w:rPr>
            </w:pPr>
          </w:p>
        </w:tc>
        <w:tc>
          <w:tcPr>
            <w:tcW w:w="1124" w:type="dxa"/>
            <w:vAlign w:val="top"/>
          </w:tcPr>
          <w:p w14:paraId="637EAFB9">
            <w:pPr>
              <w:spacing w:before="89" w:line="360" w:lineRule="auto"/>
              <w:ind w:left="26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448" w:type="dxa"/>
            <w:vAlign w:val="top"/>
          </w:tcPr>
          <w:p w14:paraId="06202ACA">
            <w:pPr>
              <w:spacing w:before="89" w:line="360" w:lineRule="auto"/>
              <w:ind w:left="55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677" w:type="dxa"/>
            <w:vAlign w:val="top"/>
          </w:tcPr>
          <w:p w14:paraId="05054922">
            <w:pPr>
              <w:spacing w:before="89" w:line="360" w:lineRule="auto"/>
              <w:ind w:left="52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CF5AEBC">
            <w:pPr>
              <w:spacing w:line="360" w:lineRule="auto"/>
              <w:rPr>
                <w:rFonts w:hint="eastAsia" w:ascii="宋体" w:hAnsi="宋体" w:eastAsia="宋体" w:cs="宋体"/>
                <w:snapToGrid w:val="0"/>
                <w:color w:val="auto"/>
                <w:kern w:val="0"/>
                <w:sz w:val="21"/>
                <w:szCs w:val="21"/>
                <w:highlight w:val="none"/>
              </w:rPr>
            </w:pPr>
          </w:p>
        </w:tc>
      </w:tr>
      <w:tr w14:paraId="5FF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1E84C357">
            <w:pPr>
              <w:spacing w:line="360" w:lineRule="auto"/>
              <w:jc w:val="center"/>
              <w:rPr>
                <w:rFonts w:hint="eastAsia" w:ascii="宋体" w:hAnsi="宋体" w:eastAsia="宋体" w:cs="宋体"/>
                <w:color w:val="auto"/>
                <w:sz w:val="21"/>
                <w:szCs w:val="21"/>
                <w:highlight w:val="none"/>
              </w:rPr>
            </w:pPr>
          </w:p>
          <w:p w14:paraId="425604D3">
            <w:pPr>
              <w:spacing w:before="65" w:line="360" w:lineRule="auto"/>
              <w:ind w:left="115" w:right="306" w:firstLine="3"/>
              <w:jc w:val="center"/>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软</w:t>
            </w:r>
            <w:r>
              <w:rPr>
                <w:rFonts w:hint="eastAsia" w:ascii="宋体" w:hAnsi="宋体" w:eastAsia="宋体" w:cs="宋体"/>
                <w:color w:val="auto"/>
                <w:spacing w:val="-12"/>
                <w:sz w:val="21"/>
                <w:szCs w:val="21"/>
                <w:highlight w:val="none"/>
              </w:rPr>
              <w:t>件和信息技术</w:t>
            </w:r>
            <w:r>
              <w:rPr>
                <w:rFonts w:hint="eastAsia" w:ascii="宋体" w:hAnsi="宋体" w:eastAsia="宋体" w:cs="宋体"/>
                <w:color w:val="auto"/>
                <w:spacing w:val="-12"/>
                <w:sz w:val="21"/>
                <w:szCs w:val="21"/>
                <w:highlight w:val="none"/>
                <w:lang w:eastAsia="zh-CN"/>
              </w:rPr>
              <w:t>服务业</w:t>
            </w:r>
          </w:p>
        </w:tc>
        <w:tc>
          <w:tcPr>
            <w:tcW w:w="2014" w:type="dxa"/>
            <w:vAlign w:val="top"/>
          </w:tcPr>
          <w:p w14:paraId="10541DC5">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BB935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47B22C47">
            <w:pPr>
              <w:spacing w:before="20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DB0882C">
            <w:pPr>
              <w:spacing w:before="207"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524121CD">
            <w:pPr>
              <w:spacing w:before="207"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935D38D">
            <w:pPr>
              <w:spacing w:before="207"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9B9D505">
            <w:pPr>
              <w:spacing w:before="207"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3D1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6A7DA5F4">
            <w:pPr>
              <w:spacing w:line="360" w:lineRule="auto"/>
              <w:jc w:val="center"/>
              <w:rPr>
                <w:rFonts w:hint="eastAsia" w:ascii="宋体" w:hAnsi="宋体" w:eastAsia="宋体" w:cs="宋体"/>
                <w:color w:val="auto"/>
                <w:sz w:val="21"/>
                <w:szCs w:val="21"/>
                <w:highlight w:val="none"/>
              </w:rPr>
            </w:pPr>
          </w:p>
        </w:tc>
        <w:tc>
          <w:tcPr>
            <w:tcW w:w="2014" w:type="dxa"/>
            <w:vAlign w:val="top"/>
          </w:tcPr>
          <w:p w14:paraId="04E0D704">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7988CC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1A3B97">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A0F68A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723AB22F">
            <w:pPr>
              <w:spacing w:before="208"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＜10000</w:t>
            </w:r>
          </w:p>
        </w:tc>
        <w:tc>
          <w:tcPr>
            <w:tcW w:w="1677" w:type="dxa"/>
            <w:vAlign w:val="top"/>
          </w:tcPr>
          <w:p w14:paraId="6551A9FC">
            <w:pPr>
              <w:spacing w:before="52" w:line="360" w:lineRule="auto"/>
              <w:ind w:left="525" w:right="261" w:hanging="6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932B352">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3D52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7878915">
            <w:pPr>
              <w:spacing w:line="360" w:lineRule="auto"/>
              <w:jc w:val="center"/>
              <w:rPr>
                <w:rFonts w:hint="eastAsia" w:ascii="宋体" w:hAnsi="宋体" w:eastAsia="宋体" w:cs="宋体"/>
                <w:color w:val="auto"/>
                <w:sz w:val="21"/>
                <w:szCs w:val="21"/>
                <w:highlight w:val="none"/>
              </w:rPr>
            </w:pPr>
          </w:p>
          <w:p w14:paraId="74F45C68">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房</w:t>
            </w:r>
            <w:r>
              <w:rPr>
                <w:rFonts w:hint="eastAsia" w:ascii="宋体" w:hAnsi="宋体" w:eastAsia="宋体" w:cs="宋体"/>
                <w:color w:val="auto"/>
                <w:spacing w:val="8"/>
                <w:sz w:val="21"/>
                <w:szCs w:val="21"/>
                <w:highlight w:val="none"/>
              </w:rPr>
              <w:t>地产开发经营</w:t>
            </w:r>
          </w:p>
        </w:tc>
        <w:tc>
          <w:tcPr>
            <w:tcW w:w="2014" w:type="dxa"/>
            <w:vAlign w:val="top"/>
          </w:tcPr>
          <w:p w14:paraId="2F9F3B6C">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4B149B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8610F48">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7CD45A3">
            <w:pPr>
              <w:spacing w:before="51"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7"/>
                <w:position w:val="10"/>
                <w:sz w:val="21"/>
                <w:szCs w:val="21"/>
                <w:highlight w:val="none"/>
              </w:rPr>
              <w:t>≥</w:t>
            </w:r>
          </w:p>
          <w:p w14:paraId="4AA3E3A0">
            <w:pPr>
              <w:spacing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448" w:type="dxa"/>
            <w:vAlign w:val="top"/>
          </w:tcPr>
          <w:p w14:paraId="411CDCCD">
            <w:pPr>
              <w:spacing w:before="51"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0"/>
                <w:sz w:val="21"/>
                <w:szCs w:val="21"/>
                <w:highlight w:val="none"/>
              </w:rPr>
              <w:t>100</w:t>
            </w:r>
            <w:r>
              <w:rPr>
                <w:rFonts w:hint="eastAsia" w:ascii="宋体" w:hAnsi="宋体" w:eastAsia="宋体" w:cs="宋体"/>
                <w:color w:val="auto"/>
                <w:spacing w:val="1"/>
                <w:position w:val="10"/>
                <w:sz w:val="21"/>
                <w:szCs w:val="21"/>
                <w:highlight w:val="none"/>
              </w:rPr>
              <w:t>0≤</w:t>
            </w: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1"/>
                <w:position w:val="10"/>
                <w:sz w:val="21"/>
                <w:szCs w:val="21"/>
                <w:highlight w:val="none"/>
              </w:rPr>
              <w:t>＜</w:t>
            </w:r>
          </w:p>
          <w:p w14:paraId="49A13805">
            <w:pPr>
              <w:spacing w:line="360" w:lineRule="auto"/>
              <w:ind w:left="5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677" w:type="dxa"/>
            <w:vAlign w:val="top"/>
          </w:tcPr>
          <w:p w14:paraId="33DB0D06">
            <w:pPr>
              <w:spacing w:before="52"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E74B1E1">
            <w:pPr>
              <w:spacing w:before="207"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112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32CAF78">
            <w:pPr>
              <w:spacing w:line="360" w:lineRule="auto"/>
              <w:jc w:val="center"/>
              <w:rPr>
                <w:rFonts w:hint="eastAsia" w:ascii="宋体" w:hAnsi="宋体" w:eastAsia="宋体" w:cs="宋体"/>
                <w:color w:val="auto"/>
                <w:sz w:val="21"/>
                <w:szCs w:val="21"/>
                <w:highlight w:val="none"/>
              </w:rPr>
            </w:pPr>
          </w:p>
        </w:tc>
        <w:tc>
          <w:tcPr>
            <w:tcW w:w="2014" w:type="dxa"/>
            <w:vAlign w:val="top"/>
          </w:tcPr>
          <w:p w14:paraId="7D509606">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7A8F30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BEA189F">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DDBDEDC">
            <w:pPr>
              <w:spacing w:before="208"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589AEB8F">
            <w:pPr>
              <w:spacing w:before="208"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＜10000</w:t>
            </w:r>
          </w:p>
        </w:tc>
        <w:tc>
          <w:tcPr>
            <w:tcW w:w="1677" w:type="dxa"/>
            <w:vAlign w:val="top"/>
          </w:tcPr>
          <w:p w14:paraId="048C38E6">
            <w:pPr>
              <w:spacing w:before="53" w:line="360" w:lineRule="auto"/>
              <w:ind w:left="513" w:right="261" w:hanging="26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pacing w:val="1"/>
                <w:sz w:val="21"/>
                <w:szCs w:val="21"/>
                <w:highlight w:val="none"/>
              </w:rPr>
              <w:t>0≤</w:t>
            </w:r>
            <w:r>
              <w:rPr>
                <w:rFonts w:hint="eastAsia" w:ascii="宋体" w:hAnsi="宋体" w:eastAsia="宋体" w:cs="宋体"/>
                <w:color w:val="auto"/>
                <w:sz w:val="21"/>
                <w:szCs w:val="21"/>
                <w:highlight w:val="none"/>
              </w:rPr>
              <w:t>Z</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5000</w:t>
            </w:r>
          </w:p>
        </w:tc>
        <w:tc>
          <w:tcPr>
            <w:tcW w:w="996" w:type="dxa"/>
            <w:vAlign w:val="top"/>
          </w:tcPr>
          <w:p w14:paraId="4F5F51F8">
            <w:pPr>
              <w:spacing w:before="208" w:line="360" w:lineRule="auto"/>
              <w:ind w:left="13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5"/>
                <w:position w:val="1"/>
                <w:sz w:val="21"/>
                <w:szCs w:val="21"/>
                <w:highlight w:val="none"/>
              </w:rPr>
              <w:t>2000</w:t>
            </w:r>
          </w:p>
        </w:tc>
      </w:tr>
      <w:tr w14:paraId="0AC4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4BD58A98">
            <w:pPr>
              <w:spacing w:line="360" w:lineRule="auto"/>
              <w:jc w:val="center"/>
              <w:rPr>
                <w:rFonts w:hint="eastAsia" w:ascii="宋体" w:hAnsi="宋体" w:eastAsia="宋体" w:cs="宋体"/>
                <w:color w:val="auto"/>
                <w:sz w:val="21"/>
                <w:szCs w:val="21"/>
                <w:highlight w:val="none"/>
              </w:rPr>
            </w:pPr>
          </w:p>
          <w:p w14:paraId="42EECDF9">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物</w:t>
            </w:r>
            <w:r>
              <w:rPr>
                <w:rFonts w:hint="eastAsia" w:ascii="宋体" w:hAnsi="宋体" w:eastAsia="宋体" w:cs="宋体"/>
                <w:color w:val="auto"/>
                <w:spacing w:val="7"/>
                <w:sz w:val="21"/>
                <w:szCs w:val="21"/>
                <w:highlight w:val="none"/>
              </w:rPr>
              <w:t>业管理</w:t>
            </w:r>
          </w:p>
        </w:tc>
        <w:tc>
          <w:tcPr>
            <w:tcW w:w="2014" w:type="dxa"/>
            <w:vAlign w:val="top"/>
          </w:tcPr>
          <w:p w14:paraId="4406E555">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938F00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CC961C7">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952B495">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2F8AC12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6E9C822E">
            <w:pPr>
              <w:spacing w:before="210" w:line="360" w:lineRule="auto"/>
              <w:ind w:left="158"/>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996" w:type="dxa"/>
            <w:vAlign w:val="top"/>
          </w:tcPr>
          <w:p w14:paraId="79B7410F">
            <w:pPr>
              <w:spacing w:before="210" w:line="360" w:lineRule="auto"/>
              <w:ind w:left="18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w:t>
            </w:r>
          </w:p>
        </w:tc>
      </w:tr>
      <w:tr w14:paraId="37F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64B76CCA">
            <w:pPr>
              <w:spacing w:line="360" w:lineRule="auto"/>
              <w:jc w:val="center"/>
              <w:rPr>
                <w:rFonts w:hint="eastAsia" w:ascii="宋体" w:hAnsi="宋体" w:eastAsia="宋体" w:cs="宋体"/>
                <w:color w:val="auto"/>
                <w:sz w:val="21"/>
                <w:szCs w:val="21"/>
                <w:highlight w:val="none"/>
              </w:rPr>
            </w:pPr>
          </w:p>
        </w:tc>
        <w:tc>
          <w:tcPr>
            <w:tcW w:w="2014" w:type="dxa"/>
            <w:vAlign w:val="top"/>
          </w:tcPr>
          <w:p w14:paraId="2F4B2FCD">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C5740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716E50">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B0A421">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≥5000</w:t>
            </w:r>
          </w:p>
        </w:tc>
        <w:tc>
          <w:tcPr>
            <w:tcW w:w="1448" w:type="dxa"/>
            <w:vAlign w:val="top"/>
          </w:tcPr>
          <w:p w14:paraId="51170169">
            <w:pPr>
              <w:spacing w:before="210" w:line="360" w:lineRule="auto"/>
              <w:ind w:left="1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w:t>
            </w:r>
            <w:r>
              <w:rPr>
                <w:rFonts w:hint="eastAsia" w:ascii="宋体" w:hAnsi="宋体" w:eastAsia="宋体" w:cs="宋体"/>
                <w:color w:val="auto"/>
                <w:spacing w:val="4"/>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＜5000</w:t>
            </w:r>
          </w:p>
        </w:tc>
        <w:tc>
          <w:tcPr>
            <w:tcW w:w="1677" w:type="dxa"/>
            <w:vAlign w:val="top"/>
          </w:tcPr>
          <w:p w14:paraId="6A97E2A7">
            <w:pPr>
              <w:spacing w:before="55" w:line="360" w:lineRule="auto"/>
              <w:ind w:left="524" w:right="261" w:hanging="16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6FEAC387">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500</w:t>
            </w:r>
          </w:p>
        </w:tc>
      </w:tr>
      <w:tr w14:paraId="5D5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1E229F1">
            <w:pPr>
              <w:spacing w:line="360" w:lineRule="auto"/>
              <w:jc w:val="center"/>
              <w:rPr>
                <w:rFonts w:hint="eastAsia" w:ascii="宋体" w:hAnsi="宋体" w:eastAsia="宋体" w:cs="宋体"/>
                <w:color w:val="auto"/>
                <w:sz w:val="21"/>
                <w:szCs w:val="21"/>
                <w:highlight w:val="none"/>
              </w:rPr>
            </w:pPr>
          </w:p>
          <w:p w14:paraId="30C5DB3F">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租</w:t>
            </w:r>
            <w:r>
              <w:rPr>
                <w:rFonts w:hint="eastAsia" w:ascii="宋体" w:hAnsi="宋体" w:eastAsia="宋体" w:cs="宋体"/>
                <w:color w:val="auto"/>
                <w:spacing w:val="8"/>
                <w:sz w:val="21"/>
                <w:szCs w:val="21"/>
                <w:highlight w:val="none"/>
              </w:rPr>
              <w:t>赁和商务服务业</w:t>
            </w:r>
          </w:p>
        </w:tc>
        <w:tc>
          <w:tcPr>
            <w:tcW w:w="2014" w:type="dxa"/>
            <w:vAlign w:val="top"/>
          </w:tcPr>
          <w:p w14:paraId="1510E911">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DD272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17797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FDBE553">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023A9CC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6E4EDEB6">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3658169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6A2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2BFC551">
            <w:pPr>
              <w:spacing w:line="360" w:lineRule="auto"/>
              <w:jc w:val="center"/>
              <w:rPr>
                <w:rFonts w:hint="eastAsia" w:ascii="宋体" w:hAnsi="宋体" w:eastAsia="宋体" w:cs="宋体"/>
                <w:color w:val="auto"/>
                <w:sz w:val="21"/>
                <w:szCs w:val="21"/>
                <w:highlight w:val="none"/>
              </w:rPr>
            </w:pPr>
          </w:p>
        </w:tc>
        <w:tc>
          <w:tcPr>
            <w:tcW w:w="2014" w:type="dxa"/>
            <w:vAlign w:val="top"/>
          </w:tcPr>
          <w:p w14:paraId="657CD282">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D9330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D7A7DE9">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center"/>
          </w:tcPr>
          <w:p w14:paraId="37438729">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Z≥120000</w:t>
            </w:r>
          </w:p>
        </w:tc>
        <w:tc>
          <w:tcPr>
            <w:tcW w:w="1448" w:type="dxa"/>
            <w:vAlign w:val="top"/>
          </w:tcPr>
          <w:p w14:paraId="1D0A42B7">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10"/>
                <w:sz w:val="21"/>
                <w:szCs w:val="21"/>
                <w:highlight w:val="none"/>
              </w:rPr>
              <w:t>8000≤</w:t>
            </w:r>
            <w:r>
              <w:rPr>
                <w:rFonts w:hint="eastAsia" w:ascii="宋体" w:hAnsi="宋体" w:eastAsia="宋体" w:cs="宋体"/>
                <w:color w:val="auto"/>
                <w:position w:val="10"/>
                <w:sz w:val="21"/>
                <w:szCs w:val="21"/>
                <w:highlight w:val="none"/>
              </w:rPr>
              <w:t>Z</w:t>
            </w:r>
            <w:r>
              <w:rPr>
                <w:rFonts w:hint="eastAsia" w:ascii="宋体" w:hAnsi="宋体" w:eastAsia="宋体" w:cs="宋体"/>
                <w:color w:val="auto"/>
                <w:spacing w:val="4"/>
                <w:position w:val="10"/>
                <w:sz w:val="21"/>
                <w:szCs w:val="21"/>
                <w:highlight w:val="none"/>
              </w:rPr>
              <w:t>＜</w:t>
            </w:r>
            <w:r>
              <w:rPr>
                <w:rFonts w:hint="eastAsia" w:ascii="宋体" w:hAnsi="宋体" w:eastAsia="宋体" w:cs="宋体"/>
                <w:color w:val="auto"/>
                <w:spacing w:val="1"/>
                <w:sz w:val="21"/>
                <w:szCs w:val="21"/>
                <w:highlight w:val="none"/>
              </w:rPr>
              <w:t>120000</w:t>
            </w:r>
          </w:p>
        </w:tc>
        <w:tc>
          <w:tcPr>
            <w:tcW w:w="1677" w:type="dxa"/>
            <w:vAlign w:val="center"/>
          </w:tcPr>
          <w:p w14:paraId="1C00B72F">
            <w:pPr>
              <w:spacing w:before="55" w:line="360" w:lineRule="auto"/>
              <w:ind w:right="26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≤Z＜</w:t>
            </w:r>
            <w:r>
              <w:rPr>
                <w:rFonts w:hint="eastAsia" w:ascii="宋体" w:hAnsi="宋体" w:eastAsia="宋体" w:cs="宋体"/>
                <w:color w:val="auto"/>
                <w:spacing w:val="3"/>
                <w:sz w:val="21"/>
                <w:szCs w:val="21"/>
                <w:highlight w:val="none"/>
              </w:rPr>
              <w:t>8000</w:t>
            </w:r>
          </w:p>
        </w:tc>
        <w:tc>
          <w:tcPr>
            <w:tcW w:w="996" w:type="dxa"/>
            <w:vAlign w:val="top"/>
          </w:tcPr>
          <w:p w14:paraId="41448E49">
            <w:pPr>
              <w:spacing w:before="211"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100</w:t>
            </w:r>
          </w:p>
        </w:tc>
      </w:tr>
      <w:tr w14:paraId="401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471" w:type="dxa"/>
            <w:vAlign w:val="top"/>
          </w:tcPr>
          <w:p w14:paraId="60C97887">
            <w:pPr>
              <w:spacing w:before="209"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其他未列明行业 *</w:t>
            </w:r>
          </w:p>
        </w:tc>
        <w:tc>
          <w:tcPr>
            <w:tcW w:w="2014" w:type="dxa"/>
            <w:vAlign w:val="top"/>
          </w:tcPr>
          <w:p w14:paraId="4432F00D">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13A54B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17B93D97">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5AF0AE9">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748680D">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CB7BB3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077B2C6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bl>
    <w:p w14:paraId="5339BE67">
      <w:pPr>
        <w:spacing w:line="360" w:lineRule="auto"/>
        <w:rPr>
          <w:rFonts w:hint="eastAsia" w:ascii="宋体" w:hAnsi="宋体" w:eastAsia="宋体" w:cs="宋体"/>
          <w:color w:val="auto"/>
          <w:sz w:val="21"/>
          <w:szCs w:val="21"/>
          <w:highlight w:val="none"/>
        </w:rPr>
      </w:pPr>
    </w:p>
    <w:p w14:paraId="64B16658">
      <w:pPr>
        <w:spacing w:before="65" w:line="36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说明</w:t>
      </w:r>
      <w:r>
        <w:rPr>
          <w:rFonts w:hint="eastAsia" w:ascii="宋体" w:hAnsi="宋体" w:eastAsia="宋体" w:cs="宋体"/>
          <w:color w:val="auto"/>
          <w:spacing w:val="7"/>
          <w:sz w:val="21"/>
          <w:szCs w:val="21"/>
          <w:highlight w:val="none"/>
        </w:rPr>
        <w:t>：</w:t>
      </w:r>
    </w:p>
    <w:p w14:paraId="03F89F9D">
      <w:pPr>
        <w:spacing w:before="221"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1</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大型、中型和小型企业须同时满足所列指标的下限，否则下划一档；微型企业</w:t>
      </w:r>
      <w:r>
        <w:rPr>
          <w:rFonts w:hint="eastAsia" w:ascii="宋体" w:hAnsi="宋体" w:eastAsia="宋体" w:cs="宋体"/>
          <w:color w:val="auto"/>
          <w:spacing w:val="12"/>
          <w:sz w:val="21"/>
          <w:szCs w:val="21"/>
          <w:highlight w:val="none"/>
          <w:lang w:eastAsia="zh-CN"/>
        </w:rPr>
        <w:t>只需</w:t>
      </w:r>
      <w:r>
        <w:rPr>
          <w:rFonts w:hint="eastAsia" w:ascii="宋体" w:hAnsi="宋体" w:eastAsia="宋体" w:cs="宋体"/>
          <w:color w:val="auto"/>
          <w:spacing w:val="12"/>
          <w:sz w:val="21"/>
          <w:szCs w:val="21"/>
          <w:highlight w:val="none"/>
        </w:rPr>
        <w:t>满足</w:t>
      </w:r>
      <w:r>
        <w:rPr>
          <w:rFonts w:hint="eastAsia" w:ascii="宋体" w:hAnsi="宋体" w:eastAsia="宋体" w:cs="宋体"/>
          <w:color w:val="auto"/>
          <w:spacing w:val="23"/>
          <w:sz w:val="21"/>
          <w:szCs w:val="21"/>
          <w:highlight w:val="none"/>
        </w:rPr>
        <w:t>所列指标中的一项即可。</w:t>
      </w:r>
    </w:p>
    <w:p w14:paraId="54E12365">
      <w:pPr>
        <w:spacing w:before="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rPr>
        <w:t>T</w:t>
      </w:r>
      <w:r>
        <w:rPr>
          <w:rFonts w:hint="eastAsia" w:ascii="宋体" w:hAnsi="宋体" w:eastAsia="宋体" w:cs="宋体"/>
          <w:color w:val="auto"/>
          <w:spacing w:val="16"/>
          <w:sz w:val="21"/>
          <w:szCs w:val="21"/>
          <w:highlight w:val="none"/>
        </w:rPr>
        <w:t>4754-2017) 为准 。带*的项为行</w:t>
      </w:r>
      <w:r>
        <w:rPr>
          <w:rFonts w:hint="eastAsia" w:ascii="宋体" w:hAnsi="宋体" w:eastAsia="宋体" w:cs="宋体"/>
          <w:color w:val="auto"/>
          <w:spacing w:val="9"/>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组合类别 ，其中，工业包括采矿业，制造业，电力、热力、燃气及水生产和供应业；交通运</w:t>
      </w:r>
      <w:r>
        <w:rPr>
          <w:rFonts w:hint="eastAsia" w:ascii="宋体" w:hAnsi="宋体" w:eastAsia="宋体" w:cs="宋体"/>
          <w:color w:val="auto"/>
          <w:spacing w:val="2"/>
          <w:sz w:val="21"/>
          <w:szCs w:val="21"/>
          <w:highlight w:val="none"/>
        </w:rPr>
        <w:t>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业</w:t>
      </w:r>
      <w:r>
        <w:rPr>
          <w:rFonts w:hint="eastAsia" w:ascii="宋体" w:hAnsi="宋体" w:eastAsia="宋体" w:cs="宋体"/>
          <w:color w:val="auto"/>
          <w:spacing w:val="11"/>
          <w:sz w:val="21"/>
          <w:szCs w:val="21"/>
          <w:highlight w:val="none"/>
        </w:rPr>
        <w:t>包括道路运输业，水上运输业，航空运输业，管道运输业，多式联运和运输代理业、装卸搬</w:t>
      </w:r>
      <w:r>
        <w:rPr>
          <w:rFonts w:hint="eastAsia" w:ascii="宋体" w:hAnsi="宋体" w:eastAsia="宋体" w:cs="宋体"/>
          <w:color w:val="auto"/>
          <w:spacing w:val="9"/>
          <w:sz w:val="21"/>
          <w:szCs w:val="21"/>
          <w:highlight w:val="none"/>
        </w:rPr>
        <w:t>运，不包括铁路运输业；仓储业包括通用仓储，低温仓储 ，危险品仓储，谷物、棉花等农产</w:t>
      </w:r>
      <w:r>
        <w:rPr>
          <w:rFonts w:hint="eastAsia" w:ascii="宋体" w:hAnsi="宋体" w:eastAsia="宋体" w:cs="宋体"/>
          <w:color w:val="auto"/>
          <w:spacing w:val="2"/>
          <w:sz w:val="21"/>
          <w:szCs w:val="21"/>
          <w:highlight w:val="none"/>
        </w:rPr>
        <w:t>品</w:t>
      </w:r>
      <w:r>
        <w:rPr>
          <w:rFonts w:hint="eastAsia" w:ascii="宋体" w:hAnsi="宋体" w:eastAsia="宋体" w:cs="宋体"/>
          <w:color w:val="auto"/>
          <w:spacing w:val="16"/>
          <w:sz w:val="21"/>
          <w:szCs w:val="21"/>
          <w:highlight w:val="none"/>
        </w:rPr>
        <w:t>仓储，中药材仓储和其他仓储业</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信息传输业包括电信、广播电视和卫星传输服务 ，互联网</w:t>
      </w:r>
      <w:r>
        <w:rPr>
          <w:rFonts w:hint="eastAsia" w:ascii="宋体" w:hAnsi="宋体" w:eastAsia="宋体" w:cs="宋体"/>
          <w:color w:val="auto"/>
          <w:spacing w:val="12"/>
          <w:sz w:val="21"/>
          <w:szCs w:val="21"/>
          <w:highlight w:val="none"/>
        </w:rPr>
        <w:t>和</w:t>
      </w:r>
      <w:r>
        <w:rPr>
          <w:rFonts w:hint="eastAsia" w:ascii="宋体" w:hAnsi="宋体" w:eastAsia="宋体" w:cs="宋体"/>
          <w:color w:val="auto"/>
          <w:spacing w:val="28"/>
          <w:sz w:val="21"/>
          <w:szCs w:val="21"/>
          <w:highlight w:val="none"/>
        </w:rPr>
        <w:t>相</w:t>
      </w:r>
      <w:r>
        <w:rPr>
          <w:rFonts w:hint="eastAsia" w:ascii="宋体" w:hAnsi="宋体" w:eastAsia="宋体" w:cs="宋体"/>
          <w:color w:val="auto"/>
          <w:spacing w:val="16"/>
          <w:sz w:val="21"/>
          <w:szCs w:val="21"/>
          <w:highlight w:val="none"/>
        </w:rPr>
        <w:t>关服务；其他未列明行业包括科学研究和技术服务业，水利、环境和公共设施管理业 ，居民</w:t>
      </w:r>
      <w:r>
        <w:rPr>
          <w:rFonts w:hint="eastAsia" w:ascii="宋体" w:hAnsi="宋体" w:eastAsia="宋体" w:cs="宋体"/>
          <w:color w:val="auto"/>
          <w:spacing w:val="9"/>
          <w:sz w:val="21"/>
          <w:szCs w:val="21"/>
          <w:highlight w:val="none"/>
        </w:rPr>
        <w:t>服务、修理和其他服务业，社会工作，文化 、体育和娱乐业，以及房地产中介服务，其他房</w:t>
      </w:r>
      <w:r>
        <w:rPr>
          <w:rFonts w:hint="eastAsia" w:ascii="宋体" w:hAnsi="宋体" w:eastAsia="宋体" w:cs="宋体"/>
          <w:color w:val="auto"/>
          <w:spacing w:val="2"/>
          <w:sz w:val="21"/>
          <w:szCs w:val="21"/>
          <w:highlight w:val="none"/>
        </w:rPr>
        <w:t>地</w:t>
      </w:r>
      <w:r>
        <w:rPr>
          <w:rFonts w:hint="eastAsia" w:ascii="宋体" w:hAnsi="宋体" w:eastAsia="宋体" w:cs="宋体"/>
          <w:color w:val="auto"/>
          <w:spacing w:val="21"/>
          <w:sz w:val="21"/>
          <w:szCs w:val="21"/>
          <w:highlight w:val="none"/>
        </w:rPr>
        <w:t>产</w:t>
      </w:r>
      <w:r>
        <w:rPr>
          <w:rFonts w:hint="eastAsia" w:ascii="宋体" w:hAnsi="宋体" w:eastAsia="宋体" w:cs="宋体"/>
          <w:color w:val="auto"/>
          <w:spacing w:val="17"/>
          <w:sz w:val="21"/>
          <w:szCs w:val="21"/>
          <w:highlight w:val="none"/>
        </w:rPr>
        <w:t>业等，不包括自有房地产经营活动。</w:t>
      </w:r>
    </w:p>
    <w:p w14:paraId="10D58E62">
      <w:pPr>
        <w:spacing w:before="3" w:line="360" w:lineRule="auto"/>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3.企业划分指标以现行统计制度为准 。  </w:t>
      </w:r>
    </w:p>
    <w:p w14:paraId="3CB5018A">
      <w:pPr>
        <w:spacing w:before="3"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12"/>
          <w:sz w:val="21"/>
          <w:szCs w:val="21"/>
          <w:highlight w:val="none"/>
        </w:rPr>
        <w:t>(1)从业人员，是指期末从业人员数，没有期</w:t>
      </w:r>
      <w:r>
        <w:rPr>
          <w:rFonts w:hint="eastAsia" w:ascii="宋体" w:hAnsi="宋体" w:eastAsia="宋体" w:cs="宋体"/>
          <w:color w:val="auto"/>
          <w:spacing w:val="3"/>
          <w:sz w:val="21"/>
          <w:szCs w:val="21"/>
          <w:highlight w:val="none"/>
        </w:rPr>
        <w:t>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从</w:t>
      </w:r>
      <w:r>
        <w:rPr>
          <w:rFonts w:hint="eastAsia" w:ascii="宋体" w:hAnsi="宋体" w:eastAsia="宋体" w:cs="宋体"/>
          <w:color w:val="auto"/>
          <w:spacing w:val="14"/>
          <w:sz w:val="21"/>
          <w:szCs w:val="21"/>
          <w:highlight w:val="none"/>
        </w:rPr>
        <w:t>业</w:t>
      </w:r>
      <w:r>
        <w:rPr>
          <w:rFonts w:hint="eastAsia" w:ascii="宋体" w:hAnsi="宋体" w:eastAsia="宋体" w:cs="宋体"/>
          <w:color w:val="auto"/>
          <w:spacing w:val="8"/>
          <w:sz w:val="21"/>
          <w:szCs w:val="21"/>
          <w:highlight w:val="none"/>
        </w:rPr>
        <w:t xml:space="preserve">人员数的 ，采用全年平均人员数代替。  </w:t>
      </w:r>
    </w:p>
    <w:p w14:paraId="75BFD5EB">
      <w:pPr>
        <w:spacing w:before="3" w:line="36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(2)营业收入，工业、建筑业、限额以上批发和</w:t>
      </w:r>
      <w:r>
        <w:rPr>
          <w:rFonts w:hint="eastAsia" w:ascii="宋体" w:hAnsi="宋体" w:eastAsia="宋体" w:cs="宋体"/>
          <w:color w:val="auto"/>
          <w:spacing w:val="29"/>
          <w:sz w:val="21"/>
          <w:szCs w:val="21"/>
          <w:highlight w:val="none"/>
        </w:rPr>
        <w:t>零</w:t>
      </w:r>
      <w:r>
        <w:rPr>
          <w:rFonts w:hint="eastAsia" w:ascii="宋体" w:hAnsi="宋体" w:eastAsia="宋体" w:cs="宋体"/>
          <w:color w:val="auto"/>
          <w:spacing w:val="18"/>
          <w:sz w:val="21"/>
          <w:szCs w:val="21"/>
          <w:highlight w:val="none"/>
        </w:rPr>
        <w:t>售业、限额以上住宿和餐饮业以及其他设置主营业务收入指标的行业，采用主营业务收入；</w:t>
      </w:r>
      <w:r>
        <w:rPr>
          <w:rFonts w:hint="eastAsia" w:ascii="宋体" w:hAnsi="宋体" w:eastAsia="宋体" w:cs="宋体"/>
          <w:color w:val="auto"/>
          <w:spacing w:val="34"/>
          <w:sz w:val="21"/>
          <w:szCs w:val="21"/>
          <w:highlight w:val="none"/>
        </w:rPr>
        <w:t>限</w:t>
      </w:r>
      <w:r>
        <w:rPr>
          <w:rFonts w:hint="eastAsia" w:ascii="宋体" w:hAnsi="宋体" w:eastAsia="宋体" w:cs="宋体"/>
          <w:color w:val="auto"/>
          <w:spacing w:val="27"/>
          <w:sz w:val="21"/>
          <w:szCs w:val="21"/>
          <w:highlight w:val="none"/>
        </w:rPr>
        <w:t>额以下批发与零售业企业采用商品销售额代替； 限额以下住宿与餐饮业企业采用营业额代</w:t>
      </w:r>
      <w:r>
        <w:rPr>
          <w:rFonts w:hint="eastAsia" w:ascii="宋体" w:hAnsi="宋体" w:eastAsia="宋体" w:cs="宋体"/>
          <w:color w:val="auto"/>
          <w:spacing w:val="26"/>
          <w:sz w:val="21"/>
          <w:szCs w:val="21"/>
          <w:highlight w:val="none"/>
        </w:rPr>
        <w:t>替</w:t>
      </w:r>
      <w:r>
        <w:rPr>
          <w:rFonts w:hint="eastAsia" w:ascii="宋体" w:hAnsi="宋体" w:eastAsia="宋体" w:cs="宋体"/>
          <w:color w:val="auto"/>
          <w:spacing w:val="13"/>
          <w:sz w:val="21"/>
          <w:szCs w:val="21"/>
          <w:highlight w:val="none"/>
        </w:rPr>
        <w:t>；农、林、牧、渔业企业采用营业总收入代替；其他未设置主营业务收入的行业 ，采用营业</w:t>
      </w:r>
      <w:r>
        <w:rPr>
          <w:rFonts w:hint="eastAsia" w:ascii="宋体" w:hAnsi="宋体" w:eastAsia="宋体" w:cs="宋体"/>
          <w:color w:val="auto"/>
          <w:spacing w:val="14"/>
          <w:sz w:val="21"/>
          <w:szCs w:val="21"/>
          <w:highlight w:val="none"/>
        </w:rPr>
        <w:t>收入</w:t>
      </w:r>
      <w:r>
        <w:rPr>
          <w:rFonts w:hint="eastAsia" w:ascii="宋体" w:hAnsi="宋体" w:eastAsia="宋体" w:cs="宋体"/>
          <w:color w:val="auto"/>
          <w:spacing w:val="10"/>
          <w:sz w:val="21"/>
          <w:szCs w:val="21"/>
          <w:highlight w:val="none"/>
        </w:rPr>
        <w:t>指</w:t>
      </w:r>
      <w:r>
        <w:rPr>
          <w:rFonts w:hint="eastAsia" w:ascii="宋体" w:hAnsi="宋体" w:eastAsia="宋体" w:cs="宋体"/>
          <w:color w:val="auto"/>
          <w:spacing w:val="7"/>
          <w:sz w:val="21"/>
          <w:szCs w:val="21"/>
          <w:highlight w:val="none"/>
        </w:rPr>
        <w:t xml:space="preserve">标。  </w:t>
      </w:r>
    </w:p>
    <w:p w14:paraId="620AA976">
      <w:pPr>
        <w:spacing w:before="3"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(3)资产总额 ，采用资产总计代替。</w:t>
      </w:r>
    </w:p>
    <w:p w14:paraId="1DA21D92">
      <w:pPr>
        <w:spacing w:line="360" w:lineRule="auto"/>
        <w:rPr>
          <w:rFonts w:hint="eastAsia" w:ascii="宋体" w:hAnsi="宋体" w:eastAsia="宋体" w:cs="宋体"/>
          <w:color w:val="auto"/>
          <w:sz w:val="24"/>
          <w:szCs w:val="24"/>
          <w:highlight w:val="none"/>
        </w:rPr>
        <w:sectPr>
          <w:footerReference r:id="rId34" w:type="default"/>
          <w:pgSz w:w="11906" w:h="16839"/>
          <w:pgMar w:top="820" w:right="1264" w:bottom="1156" w:left="1425" w:header="0" w:footer="996" w:gutter="0"/>
          <w:pgNumType w:fmt="decimal"/>
          <w:cols w:space="720" w:num="1"/>
        </w:sectPr>
      </w:pPr>
    </w:p>
    <w:p w14:paraId="220F2E88">
      <w:pPr>
        <w:spacing w:before="65" w:line="24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附</w:t>
      </w:r>
      <w:r>
        <w:rPr>
          <w:rFonts w:hint="eastAsia" w:ascii="宋体" w:hAnsi="宋体" w:eastAsia="宋体" w:cs="宋体"/>
          <w:color w:val="auto"/>
          <w:spacing w:val="-3"/>
          <w:sz w:val="21"/>
          <w:szCs w:val="21"/>
          <w:highlight w:val="none"/>
        </w:rPr>
        <w:t>件</w:t>
      </w:r>
    </w:p>
    <w:p w14:paraId="300E13FE">
      <w:pPr>
        <w:spacing w:before="125" w:line="240" w:lineRule="auto"/>
        <w:ind w:left="5" w:right="3" w:firstLine="455"/>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《统计上大中小微型企业划分办法(2017)》修订说明</w:t>
      </w:r>
    </w:p>
    <w:p w14:paraId="1E2DB547">
      <w:pPr>
        <w:spacing w:before="221"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1"/>
          <w:position w:val="2"/>
          <w:sz w:val="18"/>
          <w:szCs w:val="18"/>
          <w:highlight w:val="none"/>
        </w:rPr>
        <w:t>一</w:t>
      </w:r>
      <w:r>
        <w:rPr>
          <w:rFonts w:hint="eastAsia" w:ascii="宋体" w:hAnsi="宋体" w:eastAsia="宋体" w:cs="宋体"/>
          <w:color w:val="auto"/>
          <w:spacing w:val="7"/>
          <w:position w:val="2"/>
          <w:sz w:val="18"/>
          <w:szCs w:val="18"/>
          <w:highlight w:val="none"/>
        </w:rPr>
        <w:t>、修订背景</w:t>
      </w:r>
    </w:p>
    <w:p w14:paraId="026BA737">
      <w:pPr>
        <w:spacing w:before="125" w:line="360" w:lineRule="auto"/>
        <w:ind w:left="5" w:right="3" w:firstLine="455"/>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目前执行的《统计上大</w:t>
      </w:r>
      <w:r>
        <w:rPr>
          <w:rFonts w:hint="eastAsia" w:ascii="宋体" w:hAnsi="宋体" w:eastAsia="宋体" w:cs="宋体"/>
          <w:color w:val="auto"/>
          <w:spacing w:val="4"/>
          <w:sz w:val="18"/>
          <w:szCs w:val="18"/>
          <w:highlight w:val="none"/>
        </w:rPr>
        <w:t>中</w:t>
      </w:r>
      <w:r>
        <w:rPr>
          <w:rFonts w:hint="eastAsia" w:ascii="宋体" w:hAnsi="宋体" w:eastAsia="宋体" w:cs="宋体"/>
          <w:color w:val="auto"/>
          <w:spacing w:val="3"/>
          <w:sz w:val="18"/>
          <w:szCs w:val="18"/>
          <w:highlight w:val="none"/>
        </w:rPr>
        <w:t>小微型企业划分办法》是 2011 年国家统计局根据工业和信息化部、国家</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统</w:t>
      </w:r>
      <w:r>
        <w:rPr>
          <w:rFonts w:hint="eastAsia" w:ascii="宋体" w:hAnsi="宋体" w:eastAsia="宋体" w:cs="宋体"/>
          <w:color w:val="auto"/>
          <w:spacing w:val="6"/>
          <w:sz w:val="18"/>
          <w:szCs w:val="18"/>
          <w:highlight w:val="none"/>
        </w:rPr>
        <w:t xml:space="preserve">计局、国家发展改革委、财政部《关于印发中小企业划型标准规定的通知》 </w:t>
      </w:r>
      <w:r>
        <w:rPr>
          <w:rFonts w:hint="eastAsia" w:ascii="宋体" w:hAnsi="宋体" w:eastAsia="宋体" w:cs="宋体"/>
          <w:color w:val="auto"/>
          <w:spacing w:val="6"/>
          <w:sz w:val="18"/>
          <w:szCs w:val="18"/>
          <w:highlight w:val="none"/>
          <w:lang w:eastAsia="zh-CN"/>
        </w:rPr>
        <w:t>（</w:t>
      </w:r>
      <w:r>
        <w:rPr>
          <w:rFonts w:hint="eastAsia" w:ascii="宋体" w:hAnsi="宋体" w:eastAsia="宋体" w:cs="宋体"/>
          <w:color w:val="auto"/>
          <w:spacing w:val="6"/>
          <w:sz w:val="18"/>
          <w:szCs w:val="18"/>
          <w:highlight w:val="none"/>
        </w:rPr>
        <w:t>工信部联企业〔2011〕</w:t>
      </w:r>
      <w:r>
        <w:rPr>
          <w:rFonts w:hint="eastAsia" w:ascii="宋体" w:hAnsi="宋体" w:eastAsia="宋体" w:cs="宋体"/>
          <w:color w:val="auto"/>
          <w:spacing w:val="7"/>
          <w:sz w:val="18"/>
          <w:szCs w:val="18"/>
          <w:highlight w:val="none"/>
        </w:rPr>
        <w:t>3</w:t>
      </w:r>
      <w:r>
        <w:rPr>
          <w:rFonts w:hint="eastAsia" w:ascii="宋体" w:hAnsi="宋体" w:eastAsia="宋体" w:cs="宋体"/>
          <w:color w:val="auto"/>
          <w:spacing w:val="4"/>
          <w:sz w:val="18"/>
          <w:szCs w:val="18"/>
          <w:highlight w:val="none"/>
        </w:rPr>
        <w:t>00 号) ，同时依据《国民经济行业分类》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4"/>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4"/>
          <w:sz w:val="18"/>
          <w:szCs w:val="18"/>
          <w:highlight w:val="none"/>
        </w:rPr>
        <w:t xml:space="preserve"> 4754—2011) ，制定并颁布的。</w:t>
      </w:r>
    </w:p>
    <w:p w14:paraId="3AFC6254">
      <w:pPr>
        <w:spacing w:line="360" w:lineRule="auto"/>
        <w:ind w:left="4" w:right="68" w:firstLine="420"/>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2</w:t>
      </w:r>
      <w:r>
        <w:rPr>
          <w:rFonts w:hint="eastAsia" w:ascii="宋体" w:hAnsi="宋体" w:eastAsia="宋体" w:cs="宋体"/>
          <w:color w:val="auto"/>
          <w:spacing w:val="-4"/>
          <w:sz w:val="18"/>
          <w:szCs w:val="18"/>
          <w:highlight w:val="none"/>
        </w:rPr>
        <w:t>0</w:t>
      </w:r>
      <w:r>
        <w:rPr>
          <w:rFonts w:hint="eastAsia" w:ascii="宋体" w:hAnsi="宋体" w:eastAsia="宋体" w:cs="宋体"/>
          <w:color w:val="auto"/>
          <w:spacing w:val="-3"/>
          <w:sz w:val="18"/>
          <w:szCs w:val="18"/>
          <w:highlight w:val="none"/>
        </w:rPr>
        <w:t>17年6月30日，《国民经济行业分类》  (GB/T 4754—2017) 正式颁布。8 月 29 日，国家统计</w:t>
      </w:r>
      <w:r>
        <w:rPr>
          <w:rFonts w:hint="eastAsia" w:ascii="宋体" w:hAnsi="宋体" w:eastAsia="宋体" w:cs="宋体"/>
          <w:color w:val="auto"/>
          <w:spacing w:val="4"/>
          <w:sz w:val="18"/>
          <w:szCs w:val="18"/>
          <w:highlight w:val="none"/>
        </w:rPr>
        <w:t>局印发《关于执行新</w:t>
      </w:r>
      <w:r>
        <w:rPr>
          <w:rFonts w:hint="eastAsia" w:ascii="宋体" w:hAnsi="宋体" w:eastAsia="宋体" w:cs="宋体"/>
          <w:color w:val="auto"/>
          <w:spacing w:val="3"/>
          <w:sz w:val="18"/>
          <w:szCs w:val="18"/>
          <w:highlight w:val="none"/>
        </w:rPr>
        <w:t>国</w:t>
      </w:r>
      <w:r>
        <w:rPr>
          <w:rFonts w:hint="eastAsia" w:ascii="宋体" w:hAnsi="宋体" w:eastAsia="宋体" w:cs="宋体"/>
          <w:color w:val="auto"/>
          <w:spacing w:val="2"/>
          <w:sz w:val="18"/>
          <w:szCs w:val="18"/>
          <w:highlight w:val="none"/>
        </w:rPr>
        <w:t xml:space="preserve">民经济行业分类国家标准的通知》 </w:t>
      </w:r>
      <w:r>
        <w:rPr>
          <w:rFonts w:hint="eastAsia" w:ascii="宋体" w:hAnsi="宋体" w:eastAsia="宋体" w:cs="宋体"/>
          <w:color w:val="auto"/>
          <w:spacing w:val="2"/>
          <w:sz w:val="18"/>
          <w:szCs w:val="18"/>
          <w:highlight w:val="none"/>
          <w:lang w:eastAsia="zh-CN"/>
        </w:rPr>
        <w:t>（</w:t>
      </w:r>
      <w:r>
        <w:rPr>
          <w:rFonts w:hint="eastAsia" w:ascii="宋体" w:hAnsi="宋体" w:eastAsia="宋体" w:cs="宋体"/>
          <w:color w:val="auto"/>
          <w:spacing w:val="2"/>
          <w:sz w:val="18"/>
          <w:szCs w:val="18"/>
          <w:highlight w:val="none"/>
        </w:rPr>
        <w:t>国统字〔2017〕142 号) ，规定从2017年</w:t>
      </w:r>
      <w:r>
        <w:rPr>
          <w:rFonts w:hint="eastAsia" w:ascii="宋体" w:hAnsi="宋体" w:eastAsia="宋体" w:cs="宋体"/>
          <w:color w:val="auto"/>
          <w:spacing w:val="8"/>
          <w:sz w:val="18"/>
          <w:szCs w:val="18"/>
          <w:highlight w:val="none"/>
        </w:rPr>
        <w:t>统计年报和</w:t>
      </w:r>
      <w:r>
        <w:rPr>
          <w:rFonts w:hint="eastAsia" w:ascii="宋体" w:hAnsi="宋体" w:eastAsia="宋体" w:cs="宋体"/>
          <w:color w:val="auto"/>
          <w:spacing w:val="5"/>
          <w:sz w:val="18"/>
          <w:szCs w:val="18"/>
          <w:highlight w:val="none"/>
        </w:rPr>
        <w:t>2</w:t>
      </w:r>
      <w:r>
        <w:rPr>
          <w:rFonts w:hint="eastAsia" w:ascii="宋体" w:hAnsi="宋体" w:eastAsia="宋体" w:cs="宋体"/>
          <w:color w:val="auto"/>
          <w:spacing w:val="4"/>
          <w:sz w:val="18"/>
          <w:szCs w:val="18"/>
          <w:highlight w:val="none"/>
        </w:rPr>
        <w:t>018年定期统计报表起统一使用新分类标准。为此，我们对2011年印发的《统计上大中</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5"/>
          <w:sz w:val="18"/>
          <w:szCs w:val="18"/>
          <w:highlight w:val="none"/>
        </w:rPr>
        <w:t>小</w:t>
      </w:r>
      <w:r>
        <w:rPr>
          <w:rFonts w:hint="eastAsia" w:ascii="宋体" w:hAnsi="宋体" w:eastAsia="宋体" w:cs="宋体"/>
          <w:color w:val="auto"/>
          <w:spacing w:val="8"/>
          <w:sz w:val="18"/>
          <w:szCs w:val="18"/>
          <w:highlight w:val="none"/>
        </w:rPr>
        <w:t>微型企业划分办法》进行修订。</w:t>
      </w:r>
    </w:p>
    <w:p w14:paraId="1A89BF72">
      <w:pPr>
        <w:spacing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0"/>
          <w:position w:val="1"/>
          <w:sz w:val="18"/>
          <w:szCs w:val="18"/>
          <w:highlight w:val="none"/>
        </w:rPr>
        <w:t>二</w:t>
      </w:r>
      <w:r>
        <w:rPr>
          <w:rFonts w:hint="eastAsia" w:ascii="宋体" w:hAnsi="宋体" w:eastAsia="宋体" w:cs="宋体"/>
          <w:color w:val="auto"/>
          <w:spacing w:val="8"/>
          <w:position w:val="1"/>
          <w:sz w:val="18"/>
          <w:szCs w:val="18"/>
          <w:highlight w:val="none"/>
        </w:rPr>
        <w:t>、修订主要内容</w:t>
      </w:r>
    </w:p>
    <w:p w14:paraId="36A24A6C">
      <w:pPr>
        <w:spacing w:before="194" w:line="360" w:lineRule="auto"/>
        <w:ind w:right="16" w:firstLine="422"/>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本次修订是在</w:t>
      </w:r>
      <w:r>
        <w:rPr>
          <w:rFonts w:hint="eastAsia" w:ascii="宋体" w:hAnsi="宋体" w:eastAsia="宋体" w:cs="宋体"/>
          <w:color w:val="auto"/>
          <w:spacing w:val="4"/>
          <w:sz w:val="18"/>
          <w:szCs w:val="18"/>
          <w:highlight w:val="none"/>
        </w:rPr>
        <w:t xml:space="preserve"> 2011 年《统计上大中小微型企业划分办法》基础上进行的，修订延续原有的分类原</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7"/>
          <w:sz w:val="18"/>
          <w:szCs w:val="18"/>
          <w:highlight w:val="none"/>
        </w:rPr>
        <w:t>则、方法和结构框架，在保持适用范围不变的情况下</w:t>
      </w:r>
      <w:r>
        <w:rPr>
          <w:rFonts w:hint="eastAsia" w:ascii="宋体" w:hAnsi="宋体" w:eastAsia="宋体"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依据标准由《国民经济行业分类》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7"/>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7"/>
          <w:sz w:val="18"/>
          <w:szCs w:val="18"/>
          <w:highlight w:val="none"/>
        </w:rPr>
        <w:t xml:space="preserve"> 475</w:t>
      </w:r>
      <w:r>
        <w:rPr>
          <w:rFonts w:hint="eastAsia" w:ascii="宋体" w:hAnsi="宋体" w:eastAsia="宋体" w:cs="宋体"/>
          <w:color w:val="auto"/>
          <w:spacing w:val="5"/>
          <w:sz w:val="18"/>
          <w:szCs w:val="18"/>
          <w:highlight w:val="none"/>
        </w:rPr>
        <w:t>4</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—20</w:t>
      </w:r>
      <w:r>
        <w:rPr>
          <w:rFonts w:hint="eastAsia" w:ascii="宋体" w:hAnsi="宋体" w:eastAsia="宋体" w:cs="宋体"/>
          <w:color w:val="auto"/>
          <w:spacing w:val="5"/>
          <w:sz w:val="18"/>
          <w:szCs w:val="18"/>
          <w:highlight w:val="none"/>
        </w:rPr>
        <w:t>11) 修改为《国民经济行业分类》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5"/>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5"/>
          <w:sz w:val="18"/>
          <w:szCs w:val="18"/>
          <w:highlight w:val="none"/>
        </w:rPr>
        <w:t xml:space="preserve"> 4754—2017) ，并根据新旧国民经济行业的对应关系，</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9"/>
          <w:sz w:val="18"/>
          <w:szCs w:val="18"/>
          <w:highlight w:val="none"/>
        </w:rPr>
        <w:t>进行了行业所包含类别的对应调整</w:t>
      </w:r>
      <w:r>
        <w:rPr>
          <w:rFonts w:hint="eastAsia" w:ascii="宋体" w:hAnsi="宋体" w:eastAsia="宋体" w:cs="宋体"/>
          <w:color w:val="auto"/>
          <w:spacing w:val="7"/>
          <w:sz w:val="18"/>
          <w:szCs w:val="18"/>
          <w:highlight w:val="none"/>
        </w:rPr>
        <w:t>。</w:t>
      </w:r>
    </w:p>
    <w:p w14:paraId="405BE3DC">
      <w:pPr>
        <w:spacing w:before="1" w:line="360" w:lineRule="auto"/>
        <w:ind w:left="420"/>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rPr>
        <w:t>将交通运</w:t>
      </w:r>
      <w:r>
        <w:rPr>
          <w:rFonts w:hint="eastAsia" w:ascii="宋体" w:hAnsi="宋体" w:eastAsia="宋体" w:cs="宋体"/>
          <w:color w:val="auto"/>
          <w:spacing w:val="6"/>
          <w:sz w:val="18"/>
          <w:szCs w:val="18"/>
          <w:highlight w:val="none"/>
        </w:rPr>
        <w:t>输业中包括的“装卸搬运和运输代理业”修改为“多式联运和运输代理业、装卸搬运”。</w:t>
      </w:r>
    </w:p>
    <w:p w14:paraId="256E7151">
      <w:pPr>
        <w:spacing w:before="222" w:line="360" w:lineRule="auto"/>
        <w:ind w:right="87" w:firstLine="451"/>
        <w:rPr>
          <w:rFonts w:hint="eastAsia" w:ascii="宋体" w:hAnsi="宋体" w:eastAsia="宋体" w:cs="宋体"/>
          <w:color w:val="auto"/>
          <w:sz w:val="18"/>
          <w:szCs w:val="18"/>
          <w:highlight w:val="none"/>
        </w:rPr>
      </w:pPr>
      <w:r>
        <w:rPr>
          <w:rFonts w:hint="eastAsia" w:ascii="宋体" w:hAnsi="宋体" w:eastAsia="宋体" w:cs="宋体"/>
          <w:color w:val="auto"/>
          <w:spacing w:val="22"/>
          <w:sz w:val="18"/>
          <w:szCs w:val="18"/>
          <w:highlight w:val="none"/>
        </w:rPr>
        <w:t>仓储业</w:t>
      </w:r>
      <w:r>
        <w:rPr>
          <w:rFonts w:hint="eastAsia" w:ascii="宋体" w:hAnsi="宋体" w:eastAsia="宋体" w:cs="宋体"/>
          <w:color w:val="auto"/>
          <w:spacing w:val="12"/>
          <w:sz w:val="18"/>
          <w:szCs w:val="18"/>
          <w:highlight w:val="none"/>
        </w:rPr>
        <w:t>所</w:t>
      </w:r>
      <w:r>
        <w:rPr>
          <w:rFonts w:hint="eastAsia" w:ascii="宋体" w:hAnsi="宋体" w:eastAsia="宋体" w:cs="宋体"/>
          <w:color w:val="auto"/>
          <w:spacing w:val="11"/>
          <w:sz w:val="18"/>
          <w:szCs w:val="18"/>
          <w:highlight w:val="none"/>
        </w:rPr>
        <w:t>包括的行业中类 ，根据《国民经济行业分类》(</w:t>
      </w:r>
      <w:r>
        <w:rPr>
          <w:rFonts w:hint="eastAsia" w:ascii="宋体" w:hAnsi="宋体" w:eastAsia="宋体" w:cs="宋体"/>
          <w:color w:val="auto"/>
          <w:sz w:val="18"/>
          <w:szCs w:val="18"/>
          <w:highlight w:val="none"/>
        </w:rPr>
        <w:t>GB</w:t>
      </w:r>
      <w:r>
        <w:rPr>
          <w:rFonts w:hint="eastAsia" w:ascii="宋体" w:hAnsi="宋体" w:eastAsia="宋体" w:cs="宋体"/>
          <w:color w:val="auto"/>
          <w:spacing w:val="11"/>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11"/>
          <w:sz w:val="18"/>
          <w:szCs w:val="18"/>
          <w:highlight w:val="none"/>
        </w:rPr>
        <w:t xml:space="preserve"> 4754—2017) 调整为 “通用</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1"/>
          <w:sz w:val="18"/>
          <w:szCs w:val="18"/>
          <w:highlight w:val="none"/>
        </w:rPr>
        <w:t>仓</w:t>
      </w:r>
      <w:r>
        <w:rPr>
          <w:rFonts w:hint="eastAsia" w:ascii="宋体" w:hAnsi="宋体" w:eastAsia="宋体" w:cs="宋体"/>
          <w:color w:val="auto"/>
          <w:spacing w:val="8"/>
          <w:sz w:val="18"/>
          <w:szCs w:val="18"/>
          <w:highlight w:val="none"/>
        </w:rPr>
        <w:t>储 ，低温仓储 ，危险品仓储 ，谷物 、棉花等农产品仓储 ， 中药材仓储和其他仓储业”。</w:t>
      </w:r>
    </w:p>
    <w:p w14:paraId="4C6E88B8">
      <w:pPr>
        <w:spacing w:line="360" w:lineRule="auto"/>
        <w:rPr>
          <w:rFonts w:hint="eastAsia" w:ascii="宋体" w:hAnsi="宋体" w:eastAsia="宋体" w:cs="宋体"/>
          <w:color w:val="auto"/>
          <w:sz w:val="24"/>
          <w:szCs w:val="24"/>
          <w:highlight w:val="none"/>
        </w:rPr>
        <w:sectPr>
          <w:footerReference r:id="rId35" w:type="default"/>
          <w:pgSz w:w="11906" w:h="16839"/>
          <w:pgMar w:top="820" w:right="1179" w:bottom="1156" w:left="1424" w:header="0" w:footer="996" w:gutter="0"/>
          <w:pgNumType w:fmt="decimal"/>
          <w:cols w:space="720" w:num="1"/>
        </w:sectPr>
      </w:pPr>
    </w:p>
    <w:p w14:paraId="35931ADD">
      <w:pPr>
        <w:spacing w:before="65" w:line="240" w:lineRule="auto"/>
        <w:ind w:left="17"/>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附</w:t>
      </w:r>
      <w:r>
        <w:rPr>
          <w:rFonts w:hint="eastAsia" w:ascii="宋体" w:hAnsi="宋体" w:eastAsia="宋体" w:cs="宋体"/>
          <w:b/>
          <w:bCs/>
          <w:color w:val="auto"/>
          <w:spacing w:val="-7"/>
          <w:sz w:val="24"/>
          <w:szCs w:val="24"/>
          <w:highlight w:val="none"/>
        </w:rPr>
        <w:t>件 1</w:t>
      </w:r>
    </w:p>
    <w:p w14:paraId="78A0A7E5">
      <w:pPr>
        <w:spacing w:before="221" w:line="240" w:lineRule="auto"/>
        <w:ind w:left="2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《中小企业划型标准规定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修订征求意见稿</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8"/>
          <w:sz w:val="24"/>
          <w:szCs w:val="24"/>
          <w:highlight w:val="none"/>
        </w:rPr>
        <w:t>》</w:t>
      </w:r>
    </w:p>
    <w:p w14:paraId="1EBB2EDF">
      <w:pPr>
        <w:spacing w:before="65"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5"/>
          <w:position w:val="2"/>
          <w:sz w:val="21"/>
          <w:szCs w:val="21"/>
          <w:highlight w:val="none"/>
        </w:rPr>
        <w:t>、</w:t>
      </w:r>
      <w:r>
        <w:rPr>
          <w:rFonts w:hint="eastAsia" w:ascii="宋体" w:hAnsi="宋体" w:eastAsia="宋体" w:cs="宋体"/>
          <w:color w:val="auto"/>
          <w:spacing w:val="9"/>
          <w:position w:val="2"/>
          <w:sz w:val="21"/>
          <w:szCs w:val="21"/>
          <w:highlight w:val="none"/>
        </w:rPr>
        <w:t>根据《中华人民共和国中小企业促进法》和国民经济社会发展需要，制定本规定。</w:t>
      </w:r>
    </w:p>
    <w:p w14:paraId="67531957">
      <w:pPr>
        <w:spacing w:before="125" w:line="360" w:lineRule="auto"/>
        <w:ind w:left="6" w:right="68" w:firstLine="417"/>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二、中</w:t>
      </w:r>
      <w:r>
        <w:rPr>
          <w:rFonts w:hint="eastAsia" w:ascii="宋体" w:hAnsi="宋体" w:eastAsia="宋体" w:cs="宋体"/>
          <w:color w:val="auto"/>
          <w:spacing w:val="12"/>
          <w:sz w:val="21"/>
          <w:szCs w:val="21"/>
          <w:highlight w:val="none"/>
        </w:rPr>
        <w:t>小</w:t>
      </w:r>
      <w:r>
        <w:rPr>
          <w:rFonts w:hint="eastAsia" w:ascii="宋体" w:hAnsi="宋体" w:eastAsia="宋体" w:cs="宋体"/>
          <w:color w:val="auto"/>
          <w:spacing w:val="9"/>
          <w:sz w:val="21"/>
          <w:szCs w:val="21"/>
          <w:highlight w:val="none"/>
        </w:rPr>
        <w:t>企业划分为中型、小型、微型三种类型，具体标准根据企业从业人员、营业收入、资产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总额等指标以及企业控股等情况，结合行业特点制定</w:t>
      </w:r>
      <w:r>
        <w:rPr>
          <w:rFonts w:hint="eastAsia" w:ascii="宋体" w:hAnsi="宋体" w:eastAsia="宋体" w:cs="宋体"/>
          <w:color w:val="auto"/>
          <w:spacing w:val="8"/>
          <w:sz w:val="21"/>
          <w:szCs w:val="21"/>
          <w:highlight w:val="none"/>
        </w:rPr>
        <w:t>。</w:t>
      </w:r>
    </w:p>
    <w:p w14:paraId="67C4AB75">
      <w:pPr>
        <w:spacing w:line="360" w:lineRule="auto"/>
        <w:ind w:right="68" w:firstLine="42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三、本规定适用于《国民经济行业分类》中的以下行业：农、林、牧、渔业，采矿业，制造业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电力、热力、燃气及水生产和供应业，建筑业，批发和零售业，交通运输、仓储和邮政业，住宿和</w:t>
      </w:r>
      <w:r>
        <w:rPr>
          <w:rFonts w:hint="eastAsia" w:ascii="宋体" w:hAnsi="宋体" w:eastAsia="宋体" w:cs="宋体"/>
          <w:color w:val="auto"/>
          <w:spacing w:val="1"/>
          <w:sz w:val="21"/>
          <w:szCs w:val="21"/>
          <w:highlight w:val="none"/>
        </w:rPr>
        <w:t>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饮业，信息传输、软件和信息技术服务业，房地产业，租赁和商务服务业，科学研究和技术服务业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水利、环境和公共设施管理业，居民服务、修理和其他服务业，教育，卫生和社会工作，文化、体</w:t>
      </w:r>
      <w:r>
        <w:rPr>
          <w:rFonts w:hint="eastAsia" w:ascii="宋体" w:hAnsi="宋体" w:eastAsia="宋体" w:cs="宋体"/>
          <w:color w:val="auto"/>
          <w:spacing w:val="1"/>
          <w:sz w:val="21"/>
          <w:szCs w:val="21"/>
          <w:highlight w:val="none"/>
        </w:rPr>
        <w:t>育</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和娱乐业</w:t>
      </w:r>
      <w:r>
        <w:rPr>
          <w:rFonts w:hint="eastAsia" w:ascii="宋体" w:hAnsi="宋体" w:eastAsia="宋体" w:cs="宋体"/>
          <w:color w:val="auto"/>
          <w:spacing w:val="5"/>
          <w:sz w:val="21"/>
          <w:szCs w:val="21"/>
          <w:highlight w:val="none"/>
        </w:rPr>
        <w:t>。</w:t>
      </w:r>
    </w:p>
    <w:p w14:paraId="69F34A0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各行业中小企业划型定量标准为：</w:t>
      </w:r>
    </w:p>
    <w:p w14:paraId="4853D1F5">
      <w:pPr>
        <w:spacing w:before="218" w:line="360" w:lineRule="auto"/>
        <w:ind w:left="7" w:right="70" w:firstLine="42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 xml:space="preserve"> 一) 农、林、牧、渔业。营业收入 2 亿元以下的为中小微型企业。其中：营业收入 300 万元以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下的为微型企业；营业收入 3000 万元以下的为小型企业；营业收入 2 亿元以下的为中型企业。</w:t>
      </w:r>
    </w:p>
    <w:p w14:paraId="6C4D467F">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二)</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 xml:space="preserve">工业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采矿业，制造业， 电力、热力、燃气及水生产和供应业) ，交通运输、仓储和邮政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业。从业人员 1000 人以下且营业收入 20 亿元以下的为中小</w:t>
      </w:r>
      <w:r>
        <w:rPr>
          <w:rFonts w:hint="eastAsia" w:ascii="宋体" w:hAnsi="宋体" w:eastAsia="宋体" w:cs="宋体"/>
          <w:color w:val="auto"/>
          <w:sz w:val="21"/>
          <w:szCs w:val="21"/>
          <w:highlight w:val="none"/>
        </w:rPr>
        <w:t xml:space="preserve">微型企业。其中：从业人员 20 人以下且营 </w:t>
      </w:r>
      <w:r>
        <w:rPr>
          <w:rFonts w:hint="eastAsia" w:ascii="宋体" w:hAnsi="宋体" w:eastAsia="宋体" w:cs="宋体"/>
          <w:color w:val="auto"/>
          <w:spacing w:val="1"/>
          <w:sz w:val="21"/>
          <w:szCs w:val="21"/>
          <w:highlight w:val="none"/>
        </w:rPr>
        <w:t>业收入 2000 万元以下的为微型企业；从业人员 300 人</w:t>
      </w:r>
      <w:r>
        <w:rPr>
          <w:rFonts w:hint="eastAsia" w:ascii="宋体" w:hAnsi="宋体" w:eastAsia="宋体" w:cs="宋体"/>
          <w:color w:val="auto"/>
          <w:sz w:val="21"/>
          <w:szCs w:val="21"/>
          <w:highlight w:val="none"/>
        </w:rPr>
        <w:t xml:space="preserve">以下且营业收入 2 亿元以下的为小型企业；从业 </w:t>
      </w:r>
      <w:r>
        <w:rPr>
          <w:rFonts w:hint="eastAsia" w:ascii="宋体" w:hAnsi="宋体" w:eastAsia="宋体" w:cs="宋体"/>
          <w:color w:val="auto"/>
          <w:spacing w:val="1"/>
          <w:sz w:val="21"/>
          <w:szCs w:val="21"/>
          <w:highlight w:val="none"/>
        </w:rPr>
        <w:t>人员 1000 人以下且营业收入 20 亿元以下的为中型企业</w:t>
      </w:r>
      <w:r>
        <w:rPr>
          <w:rFonts w:hint="eastAsia" w:ascii="宋体" w:hAnsi="宋体" w:eastAsia="宋体" w:cs="宋体"/>
          <w:color w:val="auto"/>
          <w:sz w:val="21"/>
          <w:szCs w:val="21"/>
          <w:highlight w:val="none"/>
        </w:rPr>
        <w:t>。</w:t>
      </w:r>
    </w:p>
    <w:p w14:paraId="760EF428">
      <w:pPr>
        <w:spacing w:line="360" w:lineRule="auto"/>
        <w:ind w:firstLine="43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三) 建筑</w:t>
      </w:r>
      <w:r>
        <w:rPr>
          <w:rFonts w:hint="eastAsia" w:ascii="宋体" w:hAnsi="宋体" w:eastAsia="宋体" w:cs="宋体"/>
          <w:color w:val="auto"/>
          <w:spacing w:val="5"/>
          <w:sz w:val="21"/>
          <w:szCs w:val="21"/>
          <w:highlight w:val="none"/>
        </w:rPr>
        <w:t>业，组织管理服务。营业收入 8 亿元以下且资产总额 10 亿元以下的为中小微型企业。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其中：营业收入800</w:t>
      </w:r>
      <w:r>
        <w:rPr>
          <w:rFonts w:hint="eastAsia" w:ascii="宋体" w:hAnsi="宋体" w:eastAsia="宋体" w:cs="宋体"/>
          <w:color w:val="auto"/>
          <w:spacing w:val="2"/>
          <w:sz w:val="21"/>
          <w:szCs w:val="21"/>
          <w:highlight w:val="none"/>
        </w:rPr>
        <w:t>万元以下且资产总额 1000 万元以下的为微型企业；营业收入8000万元以下且资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产总额 1 亿元以下的为小型企业；营业收入 8 亿元以下且资产总额 10 亿元以下的为中型企业</w:t>
      </w:r>
      <w:r>
        <w:rPr>
          <w:rFonts w:hint="eastAsia" w:ascii="宋体" w:hAnsi="宋体" w:eastAsia="宋体" w:cs="宋体"/>
          <w:color w:val="auto"/>
          <w:spacing w:val="1"/>
          <w:sz w:val="21"/>
          <w:szCs w:val="21"/>
          <w:highlight w:val="none"/>
        </w:rPr>
        <w:t>。</w:t>
      </w:r>
    </w:p>
    <w:p w14:paraId="532EE3FA">
      <w:pPr>
        <w:spacing w:line="360" w:lineRule="auto"/>
        <w:ind w:left="5" w:right="68" w:firstLine="42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5"/>
          <w:sz w:val="21"/>
          <w:szCs w:val="21"/>
          <w:highlight w:val="none"/>
        </w:rPr>
        <w:t>四</w:t>
      </w:r>
      <w:r>
        <w:rPr>
          <w:rFonts w:hint="eastAsia" w:ascii="宋体" w:hAnsi="宋体" w:eastAsia="宋体" w:cs="宋体"/>
          <w:color w:val="auto"/>
          <w:spacing w:val="4"/>
          <w:sz w:val="21"/>
          <w:szCs w:val="21"/>
          <w:highlight w:val="none"/>
        </w:rPr>
        <w:t>) 批发业。从业人员 200 人以下且营业收入20亿元以下的为中小微型企业。其中：从业人员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5 人以下且营业收</w:t>
      </w:r>
      <w:r>
        <w:rPr>
          <w:rFonts w:hint="eastAsia" w:ascii="宋体" w:hAnsi="宋体" w:eastAsia="宋体" w:cs="宋体"/>
          <w:color w:val="auto"/>
          <w:spacing w:val="3"/>
          <w:sz w:val="21"/>
          <w:szCs w:val="21"/>
          <w:highlight w:val="none"/>
        </w:rPr>
        <w:t>入</w:t>
      </w:r>
      <w:r>
        <w:rPr>
          <w:rFonts w:hint="eastAsia" w:ascii="宋体" w:hAnsi="宋体" w:eastAsia="宋体" w:cs="宋体"/>
          <w:color w:val="auto"/>
          <w:spacing w:val="2"/>
          <w:sz w:val="21"/>
          <w:szCs w:val="21"/>
          <w:highlight w:val="none"/>
        </w:rPr>
        <w:t xml:space="preserve"> 2000 万元以下的为微型企业；从业人员 20 人以下且营业收入 2 亿元以下的为小</w:t>
      </w:r>
      <w:r>
        <w:rPr>
          <w:rFonts w:hint="eastAsia" w:ascii="宋体" w:hAnsi="宋体" w:eastAsia="宋体" w:cs="宋体"/>
          <w:color w:val="auto"/>
          <w:spacing w:val="4"/>
          <w:sz w:val="21"/>
          <w:szCs w:val="21"/>
          <w:highlight w:val="none"/>
        </w:rPr>
        <w:t>型企业</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从业人员 200人以下且营业收入20 亿元以下的为中型企业。</w:t>
      </w:r>
    </w:p>
    <w:p w14:paraId="5F4C5BAD">
      <w:pPr>
        <w:spacing w:before="3" w:line="360" w:lineRule="auto"/>
        <w:ind w:left="6" w:right="70" w:firstLine="42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6"/>
          <w:sz w:val="21"/>
          <w:szCs w:val="21"/>
          <w:highlight w:val="none"/>
        </w:rPr>
        <w:t>) 零售业。从业人员300人以下且营业收入 5 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 人以下且营业收入 500 万元以下的为微</w:t>
      </w:r>
      <w:r>
        <w:rPr>
          <w:rFonts w:hint="eastAsia" w:ascii="宋体" w:hAnsi="宋体" w:eastAsia="宋体" w:cs="宋体"/>
          <w:color w:val="auto"/>
          <w:sz w:val="21"/>
          <w:szCs w:val="21"/>
          <w:highlight w:val="none"/>
        </w:rPr>
        <w:t xml:space="preserve">型企业；从业人员 50 人以下且营业收入 5000 万元以下的为 </w:t>
      </w:r>
      <w:r>
        <w:rPr>
          <w:rFonts w:hint="eastAsia" w:ascii="宋体" w:hAnsi="宋体" w:eastAsia="宋体" w:cs="宋体"/>
          <w:color w:val="auto"/>
          <w:spacing w:val="4"/>
          <w:sz w:val="21"/>
          <w:szCs w:val="21"/>
          <w:highlight w:val="none"/>
        </w:rPr>
        <w:t>小型企业；</w:t>
      </w:r>
      <w:r>
        <w:rPr>
          <w:rFonts w:hint="eastAsia" w:ascii="宋体" w:hAnsi="宋体" w:eastAsia="宋体" w:cs="宋体"/>
          <w:color w:val="auto"/>
          <w:spacing w:val="3"/>
          <w:sz w:val="21"/>
          <w:szCs w:val="21"/>
          <w:highlight w:val="none"/>
        </w:rPr>
        <w:t>从</w:t>
      </w:r>
      <w:r>
        <w:rPr>
          <w:rFonts w:hint="eastAsia" w:ascii="宋体" w:hAnsi="宋体" w:eastAsia="宋体" w:cs="宋体"/>
          <w:color w:val="auto"/>
          <w:spacing w:val="2"/>
          <w:sz w:val="21"/>
          <w:szCs w:val="21"/>
          <w:highlight w:val="none"/>
        </w:rPr>
        <w:t>业人员 300 人以下且营业收入 5 亿元以下的为中型企业。</w:t>
      </w:r>
    </w:p>
    <w:p w14:paraId="4378D26D">
      <w:pPr>
        <w:spacing w:before="2"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六</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 xml:space="preserve"> 住宿和餐饮业。从业人员300 人以下且营业收入 4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200 万元以下的为微型企业；从</w:t>
      </w:r>
      <w:r>
        <w:rPr>
          <w:rFonts w:hint="eastAsia" w:ascii="宋体" w:hAnsi="宋体" w:eastAsia="宋体" w:cs="宋体"/>
          <w:color w:val="auto"/>
          <w:sz w:val="21"/>
          <w:szCs w:val="21"/>
          <w:highlight w:val="none"/>
        </w:rPr>
        <w:t xml:space="preserve">业人员 100 人以下且营业收入 4000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4 亿元以下的为中型企业。</w:t>
      </w:r>
    </w:p>
    <w:p w14:paraId="298269BC">
      <w:pPr>
        <w:spacing w:before="65"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4"/>
          <w:sz w:val="21"/>
          <w:szCs w:val="21"/>
          <w:highlight w:val="none"/>
        </w:rPr>
        <w:t>七) 信息传输、软件和信息技术服务业。从业人员 500 人以下且营业收入 10 亿元以下的为中小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微型企业。其中：从业人员 </w:t>
      </w:r>
      <w:r>
        <w:rPr>
          <w:rFonts w:hint="eastAsia" w:ascii="宋体" w:hAnsi="宋体" w:eastAsia="宋体" w:cs="宋体"/>
          <w:color w:val="auto"/>
          <w:spacing w:val="2"/>
          <w:sz w:val="21"/>
          <w:szCs w:val="21"/>
          <w:highlight w:val="none"/>
        </w:rPr>
        <w:t>10 人以下且营业收入 1000 万元以下的为微型企业；从业人员 100 人以下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且营业收入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 xml:space="preserve"> 亿元以下的为小型企业；从业人员 500 人以下且营业收入 10 亿元以下的为中型企业。</w:t>
      </w:r>
    </w:p>
    <w:p w14:paraId="64FAAA13">
      <w:pPr>
        <w:spacing w:before="3" w:line="360" w:lineRule="auto"/>
        <w:ind w:left="1" w:right="17" w:firstLine="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rPr>
        <w:t>八</w:t>
      </w:r>
      <w:r>
        <w:rPr>
          <w:rFonts w:hint="eastAsia" w:ascii="宋体" w:hAnsi="宋体" w:eastAsia="宋体" w:cs="宋体"/>
          <w:color w:val="auto"/>
          <w:spacing w:val="3"/>
          <w:sz w:val="21"/>
          <w:szCs w:val="21"/>
          <w:highlight w:val="none"/>
        </w:rPr>
        <w:t>) 房地产开发经营。营业收入 10 亿元以下且资产总额 50 亿元以下的为中小微型企业。其中：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营业收入 1000 </w:t>
      </w:r>
      <w:r>
        <w:rPr>
          <w:rFonts w:hint="eastAsia" w:ascii="宋体" w:hAnsi="宋体" w:eastAsia="宋体" w:cs="宋体"/>
          <w:color w:val="auto"/>
          <w:spacing w:val="3"/>
          <w:sz w:val="21"/>
          <w:szCs w:val="21"/>
          <w:highlight w:val="none"/>
        </w:rPr>
        <w:t>万</w:t>
      </w:r>
      <w:r>
        <w:rPr>
          <w:rFonts w:hint="eastAsia" w:ascii="宋体" w:hAnsi="宋体" w:eastAsia="宋体" w:cs="宋体"/>
          <w:color w:val="auto"/>
          <w:spacing w:val="2"/>
          <w:sz w:val="21"/>
          <w:szCs w:val="21"/>
          <w:highlight w:val="none"/>
        </w:rPr>
        <w:t>元以下且资产总额 5000 万元以下的为微型企业；营业收入 1 亿元以下且资产总额 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亿元以下的为小型企</w:t>
      </w:r>
      <w:r>
        <w:rPr>
          <w:rFonts w:hint="eastAsia" w:ascii="宋体" w:hAnsi="宋体" w:eastAsia="宋体" w:cs="宋体"/>
          <w:color w:val="auto"/>
          <w:spacing w:val="4"/>
          <w:sz w:val="21"/>
          <w:szCs w:val="21"/>
          <w:highlight w:val="none"/>
        </w:rPr>
        <w:t>业</w:t>
      </w:r>
      <w:r>
        <w:rPr>
          <w:rFonts w:hint="eastAsia" w:ascii="宋体" w:hAnsi="宋体" w:eastAsia="宋体" w:cs="宋体"/>
          <w:color w:val="auto"/>
          <w:spacing w:val="3"/>
          <w:sz w:val="21"/>
          <w:szCs w:val="21"/>
          <w:highlight w:val="none"/>
        </w:rPr>
        <w:t>；营业收入 10 亿元以下且资产总额 50 亿元以下的为中型企业。</w:t>
      </w:r>
    </w:p>
    <w:p w14:paraId="378DA3F5">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20"/>
          <w:sz w:val="21"/>
          <w:szCs w:val="21"/>
          <w:highlight w:val="none"/>
        </w:rPr>
        <w:t>九)</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0"/>
          <w:sz w:val="21"/>
          <w:szCs w:val="21"/>
          <w:highlight w:val="none"/>
        </w:rPr>
        <w:t xml:space="preserve">房地产业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不含房地产开发经营) ，租赁和商务服务业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不含组织管理服务) ，科学研究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和技术服务业，水利、环境和公共设施管理业，居民服务、修理和其他服务业，教育，卫生和社会</w:t>
      </w:r>
      <w:r>
        <w:rPr>
          <w:rFonts w:hint="eastAsia" w:ascii="宋体" w:hAnsi="宋体" w:eastAsia="宋体" w:cs="宋体"/>
          <w:color w:val="auto"/>
          <w:spacing w:val="2"/>
          <w:sz w:val="21"/>
          <w:szCs w:val="21"/>
          <w:highlight w:val="none"/>
        </w:rPr>
        <w:t>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作，文化、体育和</w:t>
      </w:r>
      <w:r>
        <w:rPr>
          <w:rFonts w:hint="eastAsia" w:ascii="宋体" w:hAnsi="宋体" w:eastAsia="宋体" w:cs="宋体"/>
          <w:color w:val="auto"/>
          <w:spacing w:val="6"/>
          <w:sz w:val="21"/>
          <w:szCs w:val="21"/>
          <w:highlight w:val="none"/>
        </w:rPr>
        <w:t>娱</w:t>
      </w:r>
      <w:r>
        <w:rPr>
          <w:rFonts w:hint="eastAsia" w:ascii="宋体" w:hAnsi="宋体" w:eastAsia="宋体" w:cs="宋体"/>
          <w:color w:val="auto"/>
          <w:spacing w:val="4"/>
          <w:sz w:val="21"/>
          <w:szCs w:val="21"/>
          <w:highlight w:val="none"/>
        </w:rPr>
        <w:t>乐业。从业人员 300 人以下且营业收入 5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500 万元以下的为微型企业；从</w:t>
      </w:r>
      <w:r>
        <w:rPr>
          <w:rFonts w:hint="eastAsia" w:ascii="宋体" w:hAnsi="宋体" w:eastAsia="宋体" w:cs="宋体"/>
          <w:color w:val="auto"/>
          <w:sz w:val="21"/>
          <w:szCs w:val="21"/>
          <w:highlight w:val="none"/>
        </w:rPr>
        <w:t xml:space="preserve">业人员 100 人以下且营业收入 5000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5 亿元以下的为中型企业。</w:t>
      </w:r>
    </w:p>
    <w:p w14:paraId="3B31C06F">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9"/>
          <w:sz w:val="21"/>
          <w:szCs w:val="21"/>
          <w:highlight w:val="none"/>
        </w:rPr>
        <w:t>、企业规模类型划分以企业有关指标上年度数据为定量依据。</w:t>
      </w:r>
    </w:p>
    <w:p w14:paraId="722D4790">
      <w:pPr>
        <w:spacing w:before="210" w:line="360" w:lineRule="auto"/>
        <w:ind w:right="68"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没有上</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9"/>
          <w:sz w:val="21"/>
          <w:szCs w:val="21"/>
          <w:highlight w:val="none"/>
        </w:rPr>
        <w:t>度完整数据的企业规模类型划分，从业人员、资产总额以划型时的数据为定量依据，营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w:t>
      </w:r>
      <w:r>
        <w:rPr>
          <w:rFonts w:hint="eastAsia" w:ascii="宋体" w:hAnsi="宋体" w:eastAsia="宋体" w:cs="宋体"/>
          <w:color w:val="auto"/>
          <w:spacing w:val="8"/>
          <w:sz w:val="21"/>
          <w:szCs w:val="21"/>
          <w:highlight w:val="none"/>
        </w:rPr>
        <w:t>收入按照以下公式计算：</w:t>
      </w:r>
    </w:p>
    <w:p w14:paraId="7E96C083">
      <w:pPr>
        <w:spacing w:line="36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营</w:t>
      </w:r>
      <w:r>
        <w:rPr>
          <w:rFonts w:hint="eastAsia" w:ascii="宋体" w:hAnsi="宋体" w:eastAsia="宋体" w:cs="宋体"/>
          <w:color w:val="auto"/>
          <w:spacing w:val="8"/>
          <w:sz w:val="21"/>
          <w:szCs w:val="21"/>
          <w:highlight w:val="none"/>
        </w:rPr>
        <w:t xml:space="preserve">业收入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年) =企业实际存续期间营业收入/企业实际存续月数*12。</w:t>
      </w:r>
    </w:p>
    <w:p w14:paraId="7E0A3902">
      <w:pPr>
        <w:spacing w:before="222" w:line="360" w:lineRule="auto"/>
        <w:ind w:left="17" w:right="71" w:firstLine="40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六、不</w:t>
      </w:r>
      <w:r>
        <w:rPr>
          <w:rFonts w:hint="eastAsia" w:ascii="宋体" w:hAnsi="宋体" w:eastAsia="宋体" w:cs="宋体"/>
          <w:color w:val="auto"/>
          <w:spacing w:val="11"/>
          <w:sz w:val="21"/>
          <w:szCs w:val="21"/>
          <w:highlight w:val="none"/>
        </w:rPr>
        <w:t>符</w:t>
      </w:r>
      <w:r>
        <w:rPr>
          <w:rFonts w:hint="eastAsia" w:ascii="宋体" w:hAnsi="宋体" w:eastAsia="宋体" w:cs="宋体"/>
          <w:color w:val="auto"/>
          <w:spacing w:val="9"/>
          <w:sz w:val="21"/>
          <w:szCs w:val="21"/>
          <w:highlight w:val="none"/>
        </w:rPr>
        <w:t>合中小企业划型定量标准的企业即为大型企业。国家统计部门据此制定大中小微型企业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的统计分类</w:t>
      </w:r>
      <w:r>
        <w:rPr>
          <w:rFonts w:hint="eastAsia" w:ascii="宋体" w:hAnsi="宋体" w:eastAsia="宋体" w:cs="宋体"/>
          <w:color w:val="auto"/>
          <w:spacing w:val="3"/>
          <w:sz w:val="21"/>
          <w:szCs w:val="21"/>
          <w:highlight w:val="none"/>
        </w:rPr>
        <w:t>。</w:t>
      </w:r>
    </w:p>
    <w:p w14:paraId="4223BD5B">
      <w:pPr>
        <w:spacing w:line="360" w:lineRule="auto"/>
        <w:ind w:left="422" w:right="1365" w:hanging="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七、本</w:t>
      </w:r>
      <w:r>
        <w:rPr>
          <w:rFonts w:hint="eastAsia" w:ascii="宋体" w:hAnsi="宋体" w:eastAsia="宋体" w:cs="宋体"/>
          <w:color w:val="auto"/>
          <w:spacing w:val="11"/>
          <w:sz w:val="21"/>
          <w:szCs w:val="21"/>
          <w:highlight w:val="none"/>
        </w:rPr>
        <w:t>规</w:t>
      </w:r>
      <w:r>
        <w:rPr>
          <w:rFonts w:hint="eastAsia" w:ascii="宋体" w:hAnsi="宋体" w:eastAsia="宋体" w:cs="宋体"/>
          <w:color w:val="auto"/>
          <w:spacing w:val="8"/>
          <w:sz w:val="21"/>
          <w:szCs w:val="21"/>
          <w:highlight w:val="none"/>
        </w:rPr>
        <w:t>定适用于在中华人民共和国境内依法设立的企业，企业的分支机构除外。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符</w:t>
      </w:r>
      <w:r>
        <w:rPr>
          <w:rFonts w:hint="eastAsia" w:ascii="宋体" w:hAnsi="宋体" w:eastAsia="宋体" w:cs="宋体"/>
          <w:color w:val="auto"/>
          <w:spacing w:val="9"/>
          <w:sz w:val="21"/>
          <w:szCs w:val="21"/>
          <w:highlight w:val="none"/>
        </w:rPr>
        <w:t>合中小企业划型定量标准，但有下列情形之一的，视同大型企业：</w:t>
      </w:r>
    </w:p>
    <w:p w14:paraId="7BFA4EF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6"/>
          <w:sz w:val="21"/>
          <w:szCs w:val="21"/>
          <w:highlight w:val="none"/>
        </w:rPr>
        <w:t>) 单个大型企业或大型企业全资子公司直接控股超过 50%的企业；</w:t>
      </w:r>
    </w:p>
    <w:p w14:paraId="5B8D1923">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lang w:eastAsia="zh-CN"/>
        </w:rPr>
        <w:t>（</w:t>
      </w:r>
      <w:r>
        <w:rPr>
          <w:rFonts w:hint="eastAsia" w:ascii="宋体" w:hAnsi="宋体" w:eastAsia="宋体" w:cs="宋体"/>
          <w:color w:val="auto"/>
          <w:spacing w:val="18"/>
          <w:sz w:val="21"/>
          <w:szCs w:val="21"/>
          <w:highlight w:val="none"/>
        </w:rPr>
        <w:t>二</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9"/>
          <w:sz w:val="21"/>
          <w:szCs w:val="21"/>
          <w:highlight w:val="none"/>
        </w:rPr>
        <w:t xml:space="preserve"> 两个以上大型企业或大型企业全资子公司直接控股超过 50%的企业；</w:t>
      </w:r>
    </w:p>
    <w:p w14:paraId="27168EE4">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三) 与大型企业或大型企业全资子公司的法定代表人为同一人的企业</w:t>
      </w:r>
      <w:r>
        <w:rPr>
          <w:rFonts w:hint="eastAsia" w:ascii="宋体" w:hAnsi="宋体" w:eastAsia="宋体" w:cs="宋体"/>
          <w:color w:val="auto"/>
          <w:spacing w:val="6"/>
          <w:sz w:val="21"/>
          <w:szCs w:val="21"/>
          <w:highlight w:val="none"/>
        </w:rPr>
        <w:t>。</w:t>
      </w:r>
    </w:p>
    <w:p w14:paraId="260E2E9A">
      <w:pPr>
        <w:spacing w:before="223"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八</w:t>
      </w:r>
      <w:r>
        <w:rPr>
          <w:rFonts w:hint="eastAsia" w:ascii="宋体" w:hAnsi="宋体" w:eastAsia="宋体" w:cs="宋体"/>
          <w:color w:val="auto"/>
          <w:spacing w:val="9"/>
          <w:sz w:val="21"/>
          <w:szCs w:val="21"/>
          <w:highlight w:val="none"/>
        </w:rPr>
        <w:t>、企业规模类型采用自我声明的方式，企业对自我声明内容的真实性负责。</w:t>
      </w:r>
    </w:p>
    <w:p w14:paraId="1EB59FB6">
      <w:pPr>
        <w:spacing w:before="221" w:line="360" w:lineRule="auto"/>
        <w:ind w:right="68" w:firstLine="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在监督检查、投诉处理中对中小企业规模类型有争议的，有关部门可以向有争议的企业登记所</w:t>
      </w:r>
      <w:r>
        <w:rPr>
          <w:rFonts w:hint="eastAsia" w:ascii="宋体" w:hAnsi="宋体" w:eastAsia="宋体" w:cs="宋体"/>
          <w:color w:val="auto"/>
          <w:spacing w:val="2"/>
          <w:sz w:val="21"/>
          <w:szCs w:val="21"/>
          <w:highlight w:val="none"/>
        </w:rPr>
        <w:t>在</w:t>
      </w:r>
      <w:r>
        <w:rPr>
          <w:rFonts w:hint="eastAsia" w:ascii="宋体" w:hAnsi="宋体" w:eastAsia="宋体" w:cs="宋体"/>
          <w:color w:val="auto"/>
          <w:spacing w:val="15"/>
          <w:sz w:val="21"/>
          <w:szCs w:val="21"/>
          <w:highlight w:val="none"/>
        </w:rPr>
        <w:t>地</w:t>
      </w:r>
      <w:r>
        <w:rPr>
          <w:rFonts w:hint="eastAsia" w:ascii="宋体" w:hAnsi="宋体" w:eastAsia="宋体" w:cs="宋体"/>
          <w:color w:val="auto"/>
          <w:spacing w:val="9"/>
          <w:sz w:val="21"/>
          <w:szCs w:val="21"/>
          <w:highlight w:val="none"/>
        </w:rPr>
        <w:t>同级负责中小企业促进工作综合管理部门书面提请认定。</w:t>
      </w:r>
    </w:p>
    <w:p w14:paraId="0B2C7632">
      <w:pPr>
        <w:spacing w:before="2" w:line="360" w:lineRule="auto"/>
        <w:ind w:left="2" w:right="68" w:firstLine="423"/>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九、本</w:t>
      </w:r>
      <w:r>
        <w:rPr>
          <w:rFonts w:hint="eastAsia" w:ascii="宋体" w:hAnsi="宋体" w:eastAsia="宋体" w:cs="宋体"/>
          <w:color w:val="auto"/>
          <w:spacing w:val="10"/>
          <w:sz w:val="21"/>
          <w:szCs w:val="21"/>
          <w:highlight w:val="none"/>
        </w:rPr>
        <w:t>规</w:t>
      </w:r>
      <w:r>
        <w:rPr>
          <w:rFonts w:hint="eastAsia" w:ascii="宋体" w:hAnsi="宋体" w:eastAsia="宋体" w:cs="宋体"/>
          <w:color w:val="auto"/>
          <w:spacing w:val="9"/>
          <w:sz w:val="21"/>
          <w:szCs w:val="21"/>
          <w:highlight w:val="none"/>
        </w:rPr>
        <w:t>定由国务院负责中小企业促进工作综合管理部门、国家统计部门会同有关部门根据经济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社会发展情况，每 5 年定期评估，根据评估情况适时修订</w:t>
      </w:r>
      <w:r>
        <w:rPr>
          <w:rFonts w:hint="eastAsia" w:ascii="宋体" w:hAnsi="宋体" w:eastAsia="宋体" w:cs="宋体"/>
          <w:color w:val="auto"/>
          <w:spacing w:val="1"/>
          <w:sz w:val="21"/>
          <w:szCs w:val="21"/>
          <w:highlight w:val="none"/>
        </w:rPr>
        <w:t>。</w:t>
      </w:r>
    </w:p>
    <w:p w14:paraId="1EC87440">
      <w:pPr>
        <w:spacing w:line="360" w:lineRule="auto"/>
        <w:ind w:left="3" w:firstLine="41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十、本</w:t>
      </w:r>
      <w:r>
        <w:rPr>
          <w:rFonts w:hint="eastAsia" w:ascii="宋体" w:hAnsi="宋体" w:eastAsia="宋体" w:cs="宋体"/>
          <w:color w:val="auto"/>
          <w:spacing w:val="9"/>
          <w:sz w:val="21"/>
          <w:szCs w:val="21"/>
          <w:highlight w:val="none"/>
        </w:rPr>
        <w:t>规</w:t>
      </w:r>
      <w:r>
        <w:rPr>
          <w:rFonts w:hint="eastAsia" w:ascii="宋体" w:hAnsi="宋体" w:eastAsia="宋体" w:cs="宋体"/>
          <w:color w:val="auto"/>
          <w:spacing w:val="6"/>
          <w:sz w:val="21"/>
          <w:szCs w:val="21"/>
          <w:highlight w:val="none"/>
        </w:rPr>
        <w:t>定由国务院负责中小企业促进工作综合管理部门、国家统计部门会同有关部门负责解释。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各</w:t>
      </w:r>
      <w:r>
        <w:rPr>
          <w:rFonts w:hint="eastAsia" w:ascii="宋体" w:hAnsi="宋体" w:eastAsia="宋体" w:cs="宋体"/>
          <w:color w:val="auto"/>
          <w:spacing w:val="9"/>
          <w:sz w:val="21"/>
          <w:szCs w:val="21"/>
          <w:highlight w:val="none"/>
        </w:rPr>
        <w:t>部门各地区不得制定与本规定不一致的中小企业划型标准。</w:t>
      </w:r>
    </w:p>
    <w:p w14:paraId="405B3B0C">
      <w:pPr>
        <w:spacing w:line="360" w:lineRule="auto"/>
        <w:ind w:left="421"/>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十一、个体工商户参照本规定进行划型</w:t>
      </w:r>
      <w:r>
        <w:rPr>
          <w:rFonts w:hint="eastAsia" w:ascii="宋体" w:hAnsi="宋体" w:eastAsia="宋体" w:cs="宋体"/>
          <w:color w:val="auto"/>
          <w:spacing w:val="6"/>
          <w:sz w:val="21"/>
          <w:szCs w:val="21"/>
          <w:highlight w:val="none"/>
        </w:rPr>
        <w:t>。</w:t>
      </w:r>
    </w:p>
    <w:p w14:paraId="38CBDA08">
      <w:pPr>
        <w:spacing w:before="65" w:line="360" w:lineRule="auto"/>
        <w:ind w:firstLine="49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十二、</w:t>
      </w:r>
      <w:r>
        <w:rPr>
          <w:rFonts w:hint="eastAsia" w:ascii="宋体" w:hAnsi="宋体" w:eastAsia="宋体" w:cs="宋体"/>
          <w:color w:val="auto"/>
          <w:spacing w:val="14"/>
          <w:sz w:val="21"/>
          <w:szCs w:val="21"/>
          <w:highlight w:val="none"/>
        </w:rPr>
        <w:t>本</w:t>
      </w:r>
      <w:r>
        <w:rPr>
          <w:rFonts w:hint="eastAsia" w:ascii="宋体" w:hAnsi="宋体" w:eastAsia="宋体" w:cs="宋体"/>
          <w:color w:val="auto"/>
          <w:spacing w:val="9"/>
          <w:sz w:val="21"/>
          <w:szCs w:val="21"/>
          <w:highlight w:val="none"/>
        </w:rPr>
        <w:t>规定自发布之日起执行，工业和信息化部、国家统计局、国家发展和改革委员会、财政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部 </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4"/>
          <w:sz w:val="21"/>
          <w:szCs w:val="21"/>
          <w:highlight w:val="none"/>
        </w:rPr>
        <w:t>011 年颁布的《中小企业划型标准规定》同时废止。</w:t>
      </w:r>
    </w:p>
    <w:p w14:paraId="6654CCA1">
      <w:pPr>
        <w:pStyle w:val="38"/>
        <w:rPr>
          <w:rFonts w:hint="eastAsia" w:ascii="宋体" w:hAnsi="宋体" w:eastAsia="宋体" w:cs="宋体"/>
          <w:color w:val="auto"/>
          <w:sz w:val="24"/>
          <w:szCs w:val="24"/>
          <w:highlight w:val="none"/>
        </w:rPr>
        <w:sectPr>
          <w:footerReference r:id="rId36" w:type="default"/>
          <w:pgSz w:w="11906" w:h="16839"/>
          <w:pgMar w:top="840" w:right="1179" w:bottom="1153" w:left="1425" w:header="0" w:footer="996" w:gutter="0"/>
          <w:pgNumType w:fmt="decimal"/>
          <w:cols w:space="720" w:num="1"/>
        </w:sectPr>
      </w:pPr>
    </w:p>
    <w:p w14:paraId="25C24997">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附件 2</w:t>
      </w:r>
    </w:p>
    <w:p w14:paraId="0E8639A0">
      <w:pPr>
        <w:spacing w:before="260" w:line="240" w:lineRule="auto"/>
        <w:ind w:left="24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关</w:t>
      </w:r>
      <w:r>
        <w:rPr>
          <w:rFonts w:hint="eastAsia" w:ascii="宋体" w:hAnsi="宋体" w:eastAsia="宋体" w:cs="宋体"/>
          <w:color w:val="auto"/>
          <w:spacing w:val="9"/>
          <w:sz w:val="24"/>
          <w:szCs w:val="24"/>
          <w:highlight w:val="none"/>
        </w:rPr>
        <w:t>于《中小企业划型标准规定》修订情况的说明</w:t>
      </w:r>
    </w:p>
    <w:p w14:paraId="1E98A7C2">
      <w:pPr>
        <w:spacing w:line="240" w:lineRule="auto"/>
        <w:rPr>
          <w:rFonts w:hint="eastAsia" w:ascii="宋体" w:hAnsi="宋体" w:eastAsia="宋体" w:cs="宋体"/>
          <w:color w:val="auto"/>
          <w:sz w:val="24"/>
          <w:szCs w:val="24"/>
          <w:highlight w:val="none"/>
        </w:rPr>
      </w:pPr>
    </w:p>
    <w:p w14:paraId="3525FAC8">
      <w:pPr>
        <w:spacing w:before="65" w:line="360"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11"/>
          <w:position w:val="2"/>
          <w:sz w:val="21"/>
          <w:szCs w:val="21"/>
          <w:highlight w:val="none"/>
        </w:rPr>
        <w:t>一</w:t>
      </w:r>
      <w:r>
        <w:rPr>
          <w:rFonts w:hint="eastAsia" w:ascii="宋体" w:hAnsi="宋体" w:eastAsia="宋体" w:cs="宋体"/>
          <w:color w:val="auto"/>
          <w:spacing w:val="7"/>
          <w:position w:val="2"/>
          <w:sz w:val="21"/>
          <w:szCs w:val="21"/>
          <w:highlight w:val="none"/>
        </w:rPr>
        <w:t>、修订背景</w:t>
      </w:r>
    </w:p>
    <w:p w14:paraId="25873A7D">
      <w:pPr>
        <w:spacing w:before="125" w:line="360" w:lineRule="auto"/>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现行《中</w:t>
      </w:r>
      <w:r>
        <w:rPr>
          <w:rFonts w:hint="eastAsia" w:ascii="宋体" w:hAnsi="宋体" w:eastAsia="宋体" w:cs="宋体"/>
          <w:color w:val="auto"/>
          <w:spacing w:val="2"/>
          <w:sz w:val="21"/>
          <w:szCs w:val="21"/>
          <w:highlight w:val="none"/>
        </w:rPr>
        <w:t>小企业划型标准规定》</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工信部联企业〔2011〕300 号， 以下简称《划型标准》 ) 是经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z w:val="21"/>
          <w:szCs w:val="21"/>
          <w:highlight w:val="none"/>
        </w:rPr>
        <w:t>务院同意，由工业和信息化部、国家统计局、国家发展和改革委员会、财政部于 2011 年 6 月发布的。</w:t>
      </w:r>
      <w:r>
        <w:rPr>
          <w:rFonts w:hint="eastAsia" w:ascii="宋体" w:hAnsi="宋体" w:eastAsia="宋体" w:cs="宋体"/>
          <w:color w:val="auto"/>
          <w:spacing w:val="10"/>
          <w:sz w:val="21"/>
          <w:szCs w:val="21"/>
          <w:highlight w:val="none"/>
        </w:rPr>
        <w:t>《划型标准》作为促进中小企业发展政策实施和国民经济统计分类的基础依据，发布十年来，得到</w:t>
      </w:r>
      <w:r>
        <w:rPr>
          <w:rFonts w:hint="eastAsia" w:ascii="宋体" w:hAnsi="宋体" w:eastAsia="宋体" w:cs="宋体"/>
          <w:color w:val="auto"/>
          <w:spacing w:val="2"/>
          <w:sz w:val="21"/>
          <w:szCs w:val="21"/>
          <w:highlight w:val="none"/>
        </w:rPr>
        <w:t>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较好地执行，为各级政府部门制定和实施促进中小企业特别是小微企业发展政策提供了基础数据和</w:t>
      </w:r>
      <w:r>
        <w:rPr>
          <w:rFonts w:hint="eastAsia" w:ascii="宋体" w:hAnsi="宋体" w:eastAsia="宋体" w:cs="宋体"/>
          <w:color w:val="auto"/>
          <w:spacing w:val="2"/>
          <w:sz w:val="21"/>
          <w:szCs w:val="21"/>
          <w:highlight w:val="none"/>
        </w:rPr>
        <w:t>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策参考</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9"/>
          <w:sz w:val="21"/>
          <w:szCs w:val="21"/>
          <w:highlight w:val="none"/>
        </w:rPr>
        <w:t>但随着经济发展和产业结构调整，执行中也遇到了一些问题，主要是：一是部分中小企业规</w:t>
      </w:r>
      <w:r>
        <w:rPr>
          <w:rFonts w:hint="eastAsia" w:ascii="宋体" w:hAnsi="宋体" w:eastAsia="宋体" w:cs="宋体"/>
          <w:color w:val="auto"/>
          <w:spacing w:val="10"/>
          <w:sz w:val="21"/>
          <w:szCs w:val="21"/>
          <w:highlight w:val="none"/>
        </w:rPr>
        <w:t>模过大。因采用从业人员、营业收入或资产总额双指标并集划型，导致少数从业人员少而营业收入</w:t>
      </w:r>
      <w:r>
        <w:rPr>
          <w:rFonts w:hint="eastAsia" w:ascii="宋体" w:hAnsi="宋体" w:eastAsia="宋体" w:cs="宋体"/>
          <w:color w:val="auto"/>
          <w:spacing w:val="2"/>
          <w:sz w:val="21"/>
          <w:szCs w:val="21"/>
          <w:highlight w:val="none"/>
        </w:rPr>
        <w:t>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或资产规模</w:t>
      </w:r>
      <w:r>
        <w:rPr>
          <w:rFonts w:hint="eastAsia" w:ascii="宋体" w:hAnsi="宋体" w:eastAsia="宋体" w:cs="宋体"/>
          <w:color w:val="auto"/>
          <w:spacing w:val="7"/>
          <w:sz w:val="21"/>
          <w:szCs w:val="21"/>
          <w:highlight w:val="none"/>
        </w:rPr>
        <w:t>大</w:t>
      </w:r>
      <w:r>
        <w:rPr>
          <w:rFonts w:hint="eastAsia" w:ascii="宋体" w:hAnsi="宋体" w:eastAsia="宋体" w:cs="宋体"/>
          <w:color w:val="auto"/>
          <w:spacing w:val="6"/>
          <w:sz w:val="21"/>
          <w:szCs w:val="21"/>
          <w:highlight w:val="none"/>
        </w:rPr>
        <w:t>的企业划入中小企业。二是行业分类复杂繁琐，且未覆盖“教育”门类和“卫生”大类。</w:t>
      </w:r>
      <w:r>
        <w:rPr>
          <w:rFonts w:hint="eastAsia" w:ascii="宋体" w:hAnsi="宋体" w:eastAsia="宋体" w:cs="宋体"/>
          <w:color w:val="auto"/>
          <w:spacing w:val="10"/>
          <w:sz w:val="21"/>
          <w:szCs w:val="21"/>
          <w:highlight w:val="none"/>
        </w:rPr>
        <w:t>三是定性标准缺位。四是部分行业划型指标不适合行业大多数企业经营特征。五是定量标准需随劳</w:t>
      </w:r>
      <w:r>
        <w:rPr>
          <w:rFonts w:hint="eastAsia" w:ascii="宋体" w:hAnsi="宋体" w:eastAsia="宋体" w:cs="宋体"/>
          <w:color w:val="auto"/>
          <w:spacing w:val="2"/>
          <w:sz w:val="21"/>
          <w:szCs w:val="21"/>
          <w:highlight w:val="none"/>
        </w:rPr>
        <w:t>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生</w:t>
      </w:r>
      <w:r>
        <w:rPr>
          <w:rFonts w:hint="eastAsia" w:ascii="宋体" w:hAnsi="宋体" w:eastAsia="宋体" w:cs="宋体"/>
          <w:color w:val="auto"/>
          <w:spacing w:val="8"/>
          <w:sz w:val="21"/>
          <w:szCs w:val="21"/>
          <w:highlight w:val="none"/>
        </w:rPr>
        <w:t>产率提高等进行调整。</w:t>
      </w:r>
    </w:p>
    <w:p w14:paraId="0C5EA0B2">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二</w:t>
      </w:r>
      <w:r>
        <w:rPr>
          <w:rFonts w:hint="eastAsia" w:ascii="宋体" w:hAnsi="宋体" w:eastAsia="宋体" w:cs="宋体"/>
          <w:color w:val="auto"/>
          <w:spacing w:val="8"/>
          <w:position w:val="1"/>
          <w:sz w:val="21"/>
          <w:szCs w:val="21"/>
          <w:highlight w:val="none"/>
        </w:rPr>
        <w:t>、修订的原则</w:t>
      </w:r>
    </w:p>
    <w:p w14:paraId="03DA2E9B">
      <w:pPr>
        <w:spacing w:before="19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3"/>
          <w:position w:val="2"/>
          <w:sz w:val="21"/>
          <w:szCs w:val="21"/>
          <w:highlight w:val="none"/>
        </w:rPr>
        <w:t>是</w:t>
      </w:r>
      <w:r>
        <w:rPr>
          <w:rFonts w:hint="eastAsia" w:ascii="宋体" w:hAnsi="宋体" w:eastAsia="宋体" w:cs="宋体"/>
          <w:color w:val="auto"/>
          <w:spacing w:val="9"/>
          <w:position w:val="2"/>
          <w:sz w:val="21"/>
          <w:szCs w:val="21"/>
          <w:highlight w:val="none"/>
        </w:rPr>
        <w:t>坚持问题导向。针对《划型标准》执行中存在的问题，提出解决的方法和路径。</w:t>
      </w:r>
    </w:p>
    <w:p w14:paraId="3C4C5548">
      <w:pPr>
        <w:spacing w:before="12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二是综</w:t>
      </w:r>
      <w:r>
        <w:rPr>
          <w:rFonts w:hint="eastAsia" w:ascii="宋体" w:hAnsi="宋体" w:eastAsia="宋体" w:cs="宋体"/>
          <w:color w:val="auto"/>
          <w:spacing w:val="12"/>
          <w:sz w:val="21"/>
          <w:szCs w:val="21"/>
          <w:highlight w:val="none"/>
        </w:rPr>
        <w:t>合</w:t>
      </w:r>
      <w:r>
        <w:rPr>
          <w:rFonts w:hint="eastAsia" w:ascii="宋体" w:hAnsi="宋体" w:eastAsia="宋体" w:cs="宋体"/>
          <w:color w:val="auto"/>
          <w:spacing w:val="9"/>
          <w:sz w:val="21"/>
          <w:szCs w:val="21"/>
          <w:highlight w:val="none"/>
        </w:rPr>
        <w:t>现实发展需要和历史衔接。《划型标准》修订既要适应国民经济和促进中小企业发展需</w:t>
      </w:r>
      <w:r>
        <w:rPr>
          <w:rFonts w:hint="eastAsia" w:ascii="宋体" w:hAnsi="宋体" w:eastAsia="宋体" w:cs="宋体"/>
          <w:color w:val="auto"/>
          <w:spacing w:val="16"/>
          <w:sz w:val="21"/>
          <w:szCs w:val="21"/>
          <w:highlight w:val="none"/>
        </w:rPr>
        <w:t>要</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又要保持相对的稳定性和连续性。</w:t>
      </w:r>
    </w:p>
    <w:p w14:paraId="230FE816">
      <w:pPr>
        <w:spacing w:before="220" w:line="360" w:lineRule="auto"/>
        <w:ind w:left="3" w:right="119" w:firstLine="417"/>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三是注</w:t>
      </w:r>
      <w:r>
        <w:rPr>
          <w:rFonts w:hint="eastAsia" w:ascii="宋体" w:hAnsi="宋体" w:eastAsia="宋体" w:cs="宋体"/>
          <w:color w:val="auto"/>
          <w:spacing w:val="8"/>
          <w:sz w:val="21"/>
          <w:szCs w:val="21"/>
          <w:highlight w:val="none"/>
        </w:rPr>
        <w:t>重与国际一般标准的可比性。借鉴国际经验，结合我国实际确定各行业划型指标及标准，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为</w:t>
      </w:r>
      <w:r>
        <w:rPr>
          <w:rFonts w:hint="eastAsia" w:ascii="宋体" w:hAnsi="宋体" w:eastAsia="宋体" w:cs="宋体"/>
          <w:color w:val="auto"/>
          <w:spacing w:val="10"/>
          <w:sz w:val="21"/>
          <w:szCs w:val="21"/>
          <w:highlight w:val="none"/>
        </w:rPr>
        <w:t>中</w:t>
      </w:r>
      <w:r>
        <w:rPr>
          <w:rFonts w:hint="eastAsia" w:ascii="宋体" w:hAnsi="宋体" w:eastAsia="宋体" w:cs="宋体"/>
          <w:color w:val="auto"/>
          <w:spacing w:val="8"/>
          <w:sz w:val="21"/>
          <w:szCs w:val="21"/>
          <w:highlight w:val="none"/>
        </w:rPr>
        <w:t>小企业发展国际比较提供参照。</w:t>
      </w:r>
    </w:p>
    <w:p w14:paraId="3DE5F440">
      <w:pPr>
        <w:spacing w:before="1"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四是注</w:t>
      </w:r>
      <w:r>
        <w:rPr>
          <w:rFonts w:hint="eastAsia" w:ascii="宋体" w:hAnsi="宋体" w:eastAsia="宋体" w:cs="宋体"/>
          <w:color w:val="auto"/>
          <w:spacing w:val="9"/>
          <w:sz w:val="21"/>
          <w:szCs w:val="21"/>
          <w:highlight w:val="none"/>
        </w:rPr>
        <w:t>重</w:t>
      </w:r>
      <w:r>
        <w:rPr>
          <w:rFonts w:hint="eastAsia" w:ascii="宋体" w:hAnsi="宋体" w:eastAsia="宋体" w:cs="宋体"/>
          <w:color w:val="auto"/>
          <w:spacing w:val="8"/>
          <w:sz w:val="21"/>
          <w:szCs w:val="21"/>
          <w:highlight w:val="none"/>
        </w:rPr>
        <w:t>简单易行，便于操作。从实际出发，注重易于理解、识别和执行。</w:t>
      </w:r>
    </w:p>
    <w:p w14:paraId="22D0BCDA">
      <w:pPr>
        <w:spacing w:before="222"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三、修订的主要内</w:t>
      </w:r>
      <w:r>
        <w:rPr>
          <w:rFonts w:hint="eastAsia" w:ascii="宋体" w:hAnsi="宋体" w:eastAsia="宋体" w:cs="宋体"/>
          <w:color w:val="auto"/>
          <w:spacing w:val="8"/>
          <w:position w:val="1"/>
          <w:sz w:val="21"/>
          <w:szCs w:val="21"/>
          <w:highlight w:val="none"/>
        </w:rPr>
        <w:t>容</w:t>
      </w:r>
    </w:p>
    <w:p w14:paraId="0D1544E8">
      <w:pPr>
        <w:spacing w:before="202"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关于行业分类的修订</w:t>
      </w:r>
    </w:p>
    <w:p w14:paraId="5966E50B">
      <w:pPr>
        <w:spacing w:before="221" w:line="360" w:lineRule="auto"/>
        <w:ind w:left="1" w:right="68"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一是部</w:t>
      </w: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9"/>
          <w:sz w:val="21"/>
          <w:szCs w:val="21"/>
          <w:highlight w:val="none"/>
        </w:rPr>
        <w:t>行业分类保持不变。包括农、林、牧、渔业，工业，建筑业，批发业，零售业，房地产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开发经营业等</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涉及企业数量约占60%) </w:t>
      </w:r>
      <w:r>
        <w:rPr>
          <w:rFonts w:hint="eastAsia" w:ascii="宋体" w:hAnsi="宋体" w:eastAsia="宋体" w:cs="宋体"/>
          <w:color w:val="auto"/>
          <w:spacing w:val="7"/>
          <w:sz w:val="21"/>
          <w:szCs w:val="21"/>
          <w:highlight w:val="none"/>
        </w:rPr>
        <w:t>。</w:t>
      </w:r>
    </w:p>
    <w:p w14:paraId="3E30918E">
      <w:pPr>
        <w:spacing w:before="4"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二是以</w:t>
      </w:r>
      <w:r>
        <w:rPr>
          <w:rFonts w:hint="eastAsia" w:ascii="宋体" w:hAnsi="宋体" w:eastAsia="宋体" w:cs="宋体"/>
          <w:color w:val="auto"/>
          <w:spacing w:val="12"/>
          <w:sz w:val="21"/>
          <w:szCs w:val="21"/>
          <w:highlight w:val="none"/>
        </w:rPr>
        <w:t>门</w:t>
      </w:r>
      <w:r>
        <w:rPr>
          <w:rFonts w:hint="eastAsia" w:ascii="宋体" w:hAnsi="宋体" w:eastAsia="宋体" w:cs="宋体"/>
          <w:color w:val="auto"/>
          <w:spacing w:val="9"/>
          <w:sz w:val="21"/>
          <w:szCs w:val="21"/>
          <w:highlight w:val="none"/>
        </w:rPr>
        <w:t>类为基础调整简并行业分类。如将住宿业、餐饮业合并，按“住宿和餐饮业”门类统一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划型；</w:t>
      </w:r>
      <w:r>
        <w:rPr>
          <w:rFonts w:hint="eastAsia" w:ascii="宋体" w:hAnsi="宋体" w:eastAsia="宋体" w:cs="宋体"/>
          <w:color w:val="auto"/>
          <w:spacing w:val="16"/>
          <w:sz w:val="21"/>
          <w:szCs w:val="21"/>
          <w:highlight w:val="none"/>
        </w:rPr>
        <w:t>将</w:t>
      </w:r>
      <w:r>
        <w:rPr>
          <w:rFonts w:hint="eastAsia" w:ascii="宋体" w:hAnsi="宋体" w:eastAsia="宋体" w:cs="宋体"/>
          <w:color w:val="auto"/>
          <w:spacing w:val="9"/>
          <w:sz w:val="21"/>
          <w:szCs w:val="21"/>
          <w:highlight w:val="none"/>
        </w:rPr>
        <w:t>信息传输业、软件和信息技术服务业合并，按“信息传输、软件和信息技术服务业”门类统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一划型；将</w:t>
      </w:r>
      <w:r>
        <w:rPr>
          <w:rFonts w:hint="eastAsia" w:ascii="宋体" w:hAnsi="宋体" w:eastAsia="宋体" w:cs="宋体"/>
          <w:color w:val="auto"/>
          <w:spacing w:val="7"/>
          <w:sz w:val="21"/>
          <w:szCs w:val="21"/>
          <w:highlight w:val="none"/>
        </w:rPr>
        <w:t>交</w:t>
      </w:r>
      <w:r>
        <w:rPr>
          <w:rFonts w:hint="eastAsia" w:ascii="宋体" w:hAnsi="宋体" w:eastAsia="宋体" w:cs="宋体"/>
          <w:color w:val="auto"/>
          <w:spacing w:val="6"/>
          <w:sz w:val="21"/>
          <w:szCs w:val="21"/>
          <w:highlight w:val="none"/>
        </w:rPr>
        <w:t>通运输业、仓储业、邮政业合并，按“交通运输、仓储和邮政业”门类与工业统一划型。</w:t>
      </w:r>
    </w:p>
    <w:p w14:paraId="50B0AB17">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三</w:t>
      </w:r>
      <w:r>
        <w:rPr>
          <w:rFonts w:hint="eastAsia" w:ascii="宋体" w:hAnsi="宋体" w:eastAsia="宋体" w:cs="宋体"/>
          <w:color w:val="auto"/>
          <w:spacing w:val="6"/>
          <w:sz w:val="21"/>
          <w:szCs w:val="21"/>
          <w:highlight w:val="none"/>
        </w:rPr>
        <w:t>是增加《划型标准》 尚未覆盖的行业，如“教育”门类和“卫生”大类。</w:t>
      </w:r>
    </w:p>
    <w:p w14:paraId="24E8701B">
      <w:pPr>
        <w:spacing w:before="222" w:line="360" w:lineRule="auto"/>
        <w:ind w:left="2" w:right="68" w:firstLine="43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 xml:space="preserve">四是行业性质或特征相近的行业归并划型。将房地产业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房地产开发经营除外) ，租赁与商务</w:t>
      </w:r>
      <w:r>
        <w:rPr>
          <w:rFonts w:hint="eastAsia" w:ascii="宋体" w:hAnsi="宋体" w:eastAsia="宋体" w:cs="宋体"/>
          <w:color w:val="auto"/>
          <w:spacing w:val="2"/>
          <w:sz w:val="21"/>
          <w:szCs w:val="21"/>
          <w:highlight w:val="none"/>
        </w:rPr>
        <w:t>服</w:t>
      </w:r>
      <w:r>
        <w:rPr>
          <w:rFonts w:hint="eastAsia" w:ascii="宋体" w:hAnsi="宋体" w:eastAsia="宋体" w:cs="宋体"/>
          <w:color w:val="auto"/>
          <w:spacing w:val="18"/>
          <w:sz w:val="21"/>
          <w:szCs w:val="21"/>
          <w:highlight w:val="none"/>
        </w:rPr>
        <w:t>务</w:t>
      </w:r>
      <w:r>
        <w:rPr>
          <w:rFonts w:hint="eastAsia" w:ascii="宋体" w:hAnsi="宋体" w:eastAsia="宋体" w:cs="宋体"/>
          <w:color w:val="auto"/>
          <w:spacing w:val="16"/>
          <w:sz w:val="21"/>
          <w:szCs w:val="21"/>
          <w:highlight w:val="none"/>
        </w:rPr>
        <w:t>业</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组织管理服务除外) ，科学研究和技术服务业，水利、环境和公共设施管理业，居民服务、修</w:t>
      </w:r>
      <w:r>
        <w:rPr>
          <w:rFonts w:hint="eastAsia" w:ascii="宋体" w:hAnsi="宋体" w:eastAsia="宋体" w:cs="宋体"/>
          <w:color w:val="auto"/>
          <w:spacing w:val="18"/>
          <w:sz w:val="21"/>
          <w:szCs w:val="21"/>
          <w:highlight w:val="none"/>
        </w:rPr>
        <w:t>理和其</w:t>
      </w:r>
      <w:r>
        <w:rPr>
          <w:rFonts w:hint="eastAsia" w:ascii="宋体" w:hAnsi="宋体" w:eastAsia="宋体" w:cs="宋体"/>
          <w:color w:val="auto"/>
          <w:spacing w:val="12"/>
          <w:sz w:val="21"/>
          <w:szCs w:val="21"/>
          <w:highlight w:val="none"/>
        </w:rPr>
        <w:t>他</w:t>
      </w:r>
      <w:r>
        <w:rPr>
          <w:rFonts w:hint="eastAsia" w:ascii="宋体" w:hAnsi="宋体" w:eastAsia="宋体" w:cs="宋体"/>
          <w:color w:val="auto"/>
          <w:spacing w:val="9"/>
          <w:sz w:val="21"/>
          <w:szCs w:val="21"/>
          <w:highlight w:val="none"/>
        </w:rPr>
        <w:t>服务业，社会工作，文化、体育和娱乐业，以及新增的教育、卫生等八个行业门类归并统一</w:t>
      </w:r>
      <w:r>
        <w:rPr>
          <w:rFonts w:hint="eastAsia" w:ascii="宋体" w:hAnsi="宋体" w:eastAsia="宋体" w:cs="宋体"/>
          <w:color w:val="auto"/>
          <w:spacing w:val="4"/>
          <w:sz w:val="21"/>
          <w:szCs w:val="21"/>
          <w:highlight w:val="none"/>
        </w:rPr>
        <w:t>划</w:t>
      </w:r>
      <w:r>
        <w:rPr>
          <w:rFonts w:hint="eastAsia" w:ascii="宋体" w:hAnsi="宋体" w:eastAsia="宋体" w:cs="宋体"/>
          <w:color w:val="auto"/>
          <w:spacing w:val="3"/>
          <w:sz w:val="21"/>
          <w:szCs w:val="21"/>
          <w:highlight w:val="none"/>
        </w:rPr>
        <w:t>型。</w:t>
      </w:r>
    </w:p>
    <w:p w14:paraId="42B4D364">
      <w:pPr>
        <w:spacing w:line="360" w:lineRule="auto"/>
        <w:ind w:right="52" w:firstLine="4"/>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五</w:t>
      </w:r>
      <w:r>
        <w:rPr>
          <w:rFonts w:hint="eastAsia" w:ascii="宋体" w:hAnsi="宋体" w:eastAsia="宋体" w:cs="宋体"/>
          <w:color w:val="auto"/>
          <w:spacing w:val="13"/>
          <w:sz w:val="21"/>
          <w:szCs w:val="21"/>
          <w:highlight w:val="none"/>
        </w:rPr>
        <w:t>是</w:t>
      </w:r>
      <w:r>
        <w:rPr>
          <w:rFonts w:hint="eastAsia" w:ascii="宋体" w:hAnsi="宋体" w:eastAsia="宋体" w:cs="宋体"/>
          <w:color w:val="auto"/>
          <w:spacing w:val="7"/>
          <w:sz w:val="21"/>
          <w:szCs w:val="21"/>
          <w:highlight w:val="none"/>
        </w:rPr>
        <w:t>将不属于中小企业扶持重点领域的“组织管理服务”</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属于租赁和商务服务业门类，主要包括“企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业总</w:t>
      </w:r>
      <w:r>
        <w:rPr>
          <w:rFonts w:hint="eastAsia" w:ascii="宋体" w:hAnsi="宋体" w:eastAsia="宋体" w:cs="宋体"/>
          <w:color w:val="auto"/>
          <w:spacing w:val="16"/>
          <w:sz w:val="21"/>
          <w:szCs w:val="21"/>
          <w:highlight w:val="none"/>
        </w:rPr>
        <w:t>部</w:t>
      </w:r>
      <w:r>
        <w:rPr>
          <w:rFonts w:hint="eastAsia" w:ascii="宋体" w:hAnsi="宋体" w:eastAsia="宋体" w:cs="宋体"/>
          <w:color w:val="auto"/>
          <w:spacing w:val="9"/>
          <w:sz w:val="21"/>
          <w:szCs w:val="21"/>
          <w:highlight w:val="none"/>
        </w:rPr>
        <w:t>管理”“投资与资产管理”“资源与产权交易服务”等资产密集型行业小类) 采用建筑业指标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划</w:t>
      </w:r>
      <w:r>
        <w:rPr>
          <w:rFonts w:hint="eastAsia" w:ascii="宋体" w:hAnsi="宋体" w:eastAsia="宋体" w:cs="宋体"/>
          <w:color w:val="auto"/>
          <w:spacing w:val="8"/>
          <w:sz w:val="21"/>
          <w:szCs w:val="21"/>
          <w:highlight w:val="none"/>
        </w:rPr>
        <w:t>型，降低其小微企业占比。</w:t>
      </w:r>
    </w:p>
    <w:p w14:paraId="716A7504">
      <w:pPr>
        <w:spacing w:before="2" w:line="360" w:lineRule="auto"/>
        <w:ind w:left="1" w:right="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本次修订后，行业分类由原来的 16 类减少为 9 类，覆盖《国</w:t>
      </w:r>
      <w:r>
        <w:rPr>
          <w:rFonts w:hint="eastAsia" w:ascii="宋体" w:hAnsi="宋体" w:eastAsia="宋体" w:cs="宋体"/>
          <w:color w:val="auto"/>
          <w:sz w:val="21"/>
          <w:szCs w:val="21"/>
          <w:highlight w:val="none"/>
        </w:rPr>
        <w:t xml:space="preserve">民经济行业分类》  (GB/T 4754-2017) 除 </w:t>
      </w:r>
      <w:r>
        <w:rPr>
          <w:rFonts w:hint="eastAsia" w:ascii="宋体" w:hAnsi="宋体" w:eastAsia="宋体" w:cs="宋体"/>
          <w:color w:val="auto"/>
          <w:spacing w:val="17"/>
          <w:sz w:val="21"/>
          <w:szCs w:val="21"/>
          <w:highlight w:val="none"/>
        </w:rPr>
        <w:t>金</w:t>
      </w:r>
      <w:r>
        <w:rPr>
          <w:rFonts w:hint="eastAsia" w:ascii="宋体" w:hAnsi="宋体" w:eastAsia="宋体" w:cs="宋体"/>
          <w:color w:val="auto"/>
          <w:spacing w:val="9"/>
          <w:sz w:val="21"/>
          <w:szCs w:val="21"/>
          <w:highlight w:val="none"/>
        </w:rPr>
        <w:t>融业、公共管理和社会组织、国际组织三个门类之外的所有行业企业。</w:t>
      </w:r>
    </w:p>
    <w:p w14:paraId="4FB8A42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关于划型指标的修订</w:t>
      </w:r>
    </w:p>
    <w:p w14:paraId="164358A4">
      <w:pPr>
        <w:spacing w:before="221" w:line="360" w:lineRule="auto"/>
        <w:ind w:right="52"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各行业</w:t>
      </w:r>
      <w:r>
        <w:rPr>
          <w:rFonts w:hint="eastAsia" w:ascii="宋体" w:hAnsi="宋体" w:eastAsia="宋体" w:cs="宋体"/>
          <w:color w:val="auto"/>
          <w:spacing w:val="13"/>
          <w:sz w:val="21"/>
          <w:szCs w:val="21"/>
          <w:highlight w:val="none"/>
        </w:rPr>
        <w:t>划</w:t>
      </w:r>
      <w:r>
        <w:rPr>
          <w:rFonts w:hint="eastAsia" w:ascii="宋体" w:hAnsi="宋体" w:eastAsia="宋体" w:cs="宋体"/>
          <w:color w:val="auto"/>
          <w:spacing w:val="9"/>
          <w:sz w:val="21"/>
          <w:szCs w:val="21"/>
          <w:highlight w:val="none"/>
        </w:rPr>
        <w:t>型指标基本沿用现行《划型标准》，主要是采用从业人员和营业收入双指标划型，仅有</w:t>
      </w:r>
      <w:r>
        <w:rPr>
          <w:rFonts w:hint="eastAsia" w:ascii="宋体" w:hAnsi="宋体" w:eastAsia="宋体" w:cs="宋体"/>
          <w:color w:val="auto"/>
          <w:spacing w:val="18"/>
          <w:sz w:val="21"/>
          <w:szCs w:val="21"/>
          <w:highlight w:val="none"/>
        </w:rPr>
        <w:t>农</w:t>
      </w:r>
      <w:r>
        <w:rPr>
          <w:rFonts w:hint="eastAsia" w:ascii="宋体" w:hAnsi="宋体" w:eastAsia="宋体" w:cs="宋体"/>
          <w:color w:val="auto"/>
          <w:spacing w:val="12"/>
          <w:sz w:val="21"/>
          <w:szCs w:val="21"/>
          <w:highlight w:val="none"/>
        </w:rPr>
        <w:t>业</w:t>
      </w:r>
      <w:r>
        <w:rPr>
          <w:rFonts w:hint="eastAsia" w:ascii="宋体" w:hAnsi="宋体" w:eastAsia="宋体" w:cs="宋体"/>
          <w:color w:val="auto"/>
          <w:spacing w:val="9"/>
          <w:sz w:val="21"/>
          <w:szCs w:val="21"/>
          <w:highlight w:val="none"/>
        </w:rPr>
        <w:t>采用营业收入、建筑业和组织管理服务采用营业收入和资产总额划型。</w:t>
      </w:r>
    </w:p>
    <w:p w14:paraId="002CA0D6">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三)</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关于双指标并集转交集的调整</w:t>
      </w:r>
    </w:p>
    <w:p w14:paraId="5BD44D94">
      <w:pPr>
        <w:spacing w:before="222" w:line="360" w:lineRule="auto"/>
        <w:ind w:right="52" w:firstLine="421"/>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本次修</w:t>
      </w:r>
      <w:r>
        <w:rPr>
          <w:rFonts w:hint="eastAsia" w:ascii="宋体" w:hAnsi="宋体" w:eastAsia="宋体" w:cs="宋体"/>
          <w:color w:val="auto"/>
          <w:spacing w:val="15"/>
          <w:sz w:val="21"/>
          <w:szCs w:val="21"/>
          <w:highlight w:val="none"/>
        </w:rPr>
        <w:t>订</w:t>
      </w:r>
      <w:r>
        <w:rPr>
          <w:rFonts w:hint="eastAsia" w:ascii="宋体" w:hAnsi="宋体" w:eastAsia="宋体" w:cs="宋体"/>
          <w:color w:val="auto"/>
          <w:spacing w:val="9"/>
          <w:sz w:val="21"/>
          <w:szCs w:val="21"/>
          <w:highlight w:val="none"/>
        </w:rPr>
        <w:t>借鉴欧盟双指标交集模式，即双指标同时低于微型、小型、中型企业的阈值标准，才能</w:t>
      </w:r>
      <w:r>
        <w:rPr>
          <w:rFonts w:hint="eastAsia" w:ascii="宋体" w:hAnsi="宋体" w:eastAsia="宋体" w:cs="宋体"/>
          <w:color w:val="auto"/>
          <w:spacing w:val="14"/>
          <w:sz w:val="21"/>
          <w:szCs w:val="21"/>
          <w:highlight w:val="none"/>
        </w:rPr>
        <w:t>划入</w:t>
      </w:r>
      <w:r>
        <w:rPr>
          <w:rFonts w:hint="eastAsia" w:ascii="宋体" w:hAnsi="宋体" w:eastAsia="宋体" w:cs="宋体"/>
          <w:color w:val="auto"/>
          <w:spacing w:val="10"/>
          <w:sz w:val="21"/>
          <w:szCs w:val="21"/>
          <w:highlight w:val="none"/>
        </w:rPr>
        <w:t>相</w:t>
      </w:r>
      <w:r>
        <w:rPr>
          <w:rFonts w:hint="eastAsia" w:ascii="宋体" w:hAnsi="宋体" w:eastAsia="宋体" w:cs="宋体"/>
          <w:color w:val="auto"/>
          <w:spacing w:val="7"/>
          <w:sz w:val="21"/>
          <w:szCs w:val="21"/>
          <w:highlight w:val="none"/>
        </w:rPr>
        <w:t>应规模类型，强调“小企业要有小企业的样子”。这样可有效解决从业人员少、营业收入高或</w:t>
      </w:r>
      <w:r>
        <w:rPr>
          <w:rFonts w:hint="eastAsia" w:ascii="宋体" w:hAnsi="宋体" w:eastAsia="宋体" w:cs="宋体"/>
          <w:color w:val="auto"/>
          <w:spacing w:val="10"/>
          <w:sz w:val="21"/>
          <w:szCs w:val="21"/>
          <w:highlight w:val="none"/>
        </w:rPr>
        <w:t>资产总额大的企业划入中小企业的问题，更为客观地反映中小企业的经营规模，并可降低从业人员</w:t>
      </w:r>
      <w:r>
        <w:rPr>
          <w:rFonts w:hint="eastAsia" w:ascii="宋体" w:hAnsi="宋体" w:eastAsia="宋体" w:cs="宋体"/>
          <w:color w:val="auto"/>
          <w:spacing w:val="2"/>
          <w:sz w:val="21"/>
          <w:szCs w:val="21"/>
          <w:highlight w:val="none"/>
        </w:rPr>
        <w:t>统</w:t>
      </w:r>
      <w:r>
        <w:rPr>
          <w:rFonts w:hint="eastAsia" w:ascii="宋体" w:hAnsi="宋体" w:eastAsia="宋体" w:cs="宋体"/>
          <w:color w:val="auto"/>
          <w:spacing w:val="16"/>
          <w:sz w:val="21"/>
          <w:szCs w:val="21"/>
          <w:highlight w:val="none"/>
        </w:rPr>
        <w:t>计</w:t>
      </w:r>
      <w:r>
        <w:rPr>
          <w:rFonts w:hint="eastAsia" w:ascii="宋体" w:hAnsi="宋体" w:eastAsia="宋体" w:cs="宋体"/>
          <w:color w:val="auto"/>
          <w:spacing w:val="9"/>
          <w:sz w:val="21"/>
          <w:szCs w:val="21"/>
          <w:highlight w:val="none"/>
        </w:rPr>
        <w:t>口</w:t>
      </w:r>
      <w:r>
        <w:rPr>
          <w:rFonts w:hint="eastAsia" w:ascii="宋体" w:hAnsi="宋体" w:eastAsia="宋体" w:cs="宋体"/>
          <w:color w:val="auto"/>
          <w:spacing w:val="8"/>
          <w:sz w:val="21"/>
          <w:szCs w:val="21"/>
          <w:highlight w:val="none"/>
        </w:rPr>
        <w:t>径对企业规模变化的影响。</w:t>
      </w:r>
    </w:p>
    <w:p w14:paraId="7EFEC67A">
      <w:pPr>
        <w:spacing w:before="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四)</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关于定量指标阈值的调整</w:t>
      </w:r>
    </w:p>
    <w:p w14:paraId="1FF87121">
      <w:pPr>
        <w:spacing w:before="221" w:line="360" w:lineRule="auto"/>
        <w:ind w:right="52" w:firstLine="435"/>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w:t>
      </w:r>
      <w:r>
        <w:rPr>
          <w:rFonts w:hint="eastAsia" w:ascii="宋体" w:hAnsi="宋体" w:eastAsia="宋体" w:cs="宋体"/>
          <w:color w:val="auto"/>
          <w:spacing w:val="9"/>
          <w:sz w:val="21"/>
          <w:szCs w:val="21"/>
          <w:highlight w:val="none"/>
        </w:rPr>
        <w:t>.关于从业人员指标阈值。鉴于现行《划型标准》从业人员指标标准基本具有国际可比性且符合</w:t>
      </w:r>
      <w:r>
        <w:rPr>
          <w:rFonts w:hint="eastAsia" w:ascii="宋体" w:hAnsi="宋体" w:eastAsia="宋体" w:cs="宋体"/>
          <w:color w:val="auto"/>
          <w:spacing w:val="10"/>
          <w:sz w:val="21"/>
          <w:szCs w:val="21"/>
          <w:highlight w:val="none"/>
        </w:rPr>
        <w:t>国情。微型企业的人员标准基本与其他国家接近；中型和小型企业标准与其他国家有所差异，但基</w:t>
      </w:r>
      <w:r>
        <w:rPr>
          <w:rFonts w:hint="eastAsia" w:ascii="宋体" w:hAnsi="宋体" w:eastAsia="宋体" w:cs="宋体"/>
          <w:color w:val="auto"/>
          <w:spacing w:val="2"/>
          <w:sz w:val="21"/>
          <w:szCs w:val="21"/>
          <w:highlight w:val="none"/>
        </w:rPr>
        <w:t>本</w:t>
      </w:r>
      <w:r>
        <w:rPr>
          <w:rFonts w:hint="eastAsia" w:ascii="宋体" w:hAnsi="宋体" w:eastAsia="宋体" w:cs="宋体"/>
          <w:color w:val="auto"/>
          <w:spacing w:val="10"/>
          <w:sz w:val="21"/>
          <w:szCs w:val="21"/>
          <w:highlight w:val="none"/>
        </w:rPr>
        <w:t>适应我国人口众多、劳动生产率相对较低的基本国情。因此，本次修订中从业人员指标阈值主要沿</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现行《划型标准》，仅对仓储业，信息传输业、软件和信息技术服务业，物业管理业等少数涉及行</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0"/>
          <w:sz w:val="21"/>
          <w:szCs w:val="21"/>
          <w:highlight w:val="none"/>
        </w:rPr>
        <w:t>类</w:t>
      </w:r>
      <w:r>
        <w:rPr>
          <w:rFonts w:hint="eastAsia" w:ascii="宋体" w:hAnsi="宋体" w:eastAsia="宋体" w:cs="宋体"/>
          <w:color w:val="auto"/>
          <w:spacing w:val="8"/>
          <w:sz w:val="21"/>
          <w:szCs w:val="21"/>
          <w:highlight w:val="none"/>
        </w:rPr>
        <w:t>调整的从业人员指标进行调整。</w:t>
      </w:r>
    </w:p>
    <w:p w14:paraId="0638BE77">
      <w:pPr>
        <w:spacing w:line="360" w:lineRule="auto"/>
        <w:ind w:right="52" w:firstLine="244"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w:t>
      </w:r>
      <w:r>
        <w:rPr>
          <w:rFonts w:hint="eastAsia" w:ascii="宋体" w:hAnsi="宋体" w:eastAsia="宋体" w:cs="宋体"/>
          <w:color w:val="auto"/>
          <w:spacing w:val="9"/>
          <w:sz w:val="21"/>
          <w:szCs w:val="21"/>
          <w:highlight w:val="none"/>
        </w:rPr>
        <w:t>.关于财务指标阈值。参考国际经验，结合我国国情，本次修订主要考虑四方面因素影响：一</w:t>
      </w:r>
      <w:r>
        <w:rPr>
          <w:rFonts w:hint="eastAsia" w:ascii="宋体" w:hAnsi="宋体" w:eastAsia="宋体" w:cs="宋体"/>
          <w:color w:val="auto"/>
          <w:spacing w:val="18"/>
          <w:sz w:val="21"/>
          <w:szCs w:val="21"/>
          <w:highlight w:val="none"/>
        </w:rPr>
        <w:t>是劳动</w:t>
      </w:r>
      <w:r>
        <w:rPr>
          <w:rFonts w:hint="eastAsia" w:ascii="宋体" w:hAnsi="宋体" w:eastAsia="宋体" w:cs="宋体"/>
          <w:color w:val="auto"/>
          <w:spacing w:val="16"/>
          <w:sz w:val="21"/>
          <w:szCs w:val="21"/>
          <w:highlight w:val="none"/>
        </w:rPr>
        <w:t>生</w:t>
      </w:r>
      <w:r>
        <w:rPr>
          <w:rFonts w:hint="eastAsia" w:ascii="宋体" w:hAnsi="宋体" w:eastAsia="宋体" w:cs="宋体"/>
          <w:color w:val="auto"/>
          <w:spacing w:val="9"/>
          <w:sz w:val="21"/>
          <w:szCs w:val="21"/>
          <w:highlight w:val="none"/>
        </w:rPr>
        <w:t>产率提高的影响；二是双指标划型区间并集转交集的影响；三是定量指标阈值调整与部分行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 xml:space="preserve">业现有统计规模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或限额) 口径衔接；四是各行业规模类型比例相对稳定</w:t>
      </w:r>
      <w:r>
        <w:rPr>
          <w:rFonts w:hint="eastAsia" w:ascii="宋体" w:hAnsi="宋体" w:eastAsia="宋体" w:cs="宋体"/>
          <w:color w:val="auto"/>
          <w:spacing w:val="4"/>
          <w:sz w:val="21"/>
          <w:szCs w:val="21"/>
          <w:highlight w:val="none"/>
        </w:rPr>
        <w:t>。</w:t>
      </w:r>
    </w:p>
    <w:p w14:paraId="5D88E1D9">
      <w:pPr>
        <w:spacing w:before="4" w:line="360" w:lineRule="auto"/>
        <w:ind w:firstLine="23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修订后，各行</w:t>
      </w:r>
      <w:r>
        <w:rPr>
          <w:rFonts w:hint="eastAsia" w:ascii="宋体" w:hAnsi="宋体" w:eastAsia="宋体" w:cs="宋体"/>
          <w:color w:val="auto"/>
          <w:spacing w:val="5"/>
          <w:sz w:val="21"/>
          <w:szCs w:val="21"/>
          <w:highlight w:val="none"/>
        </w:rPr>
        <w:t>业各类型企业比例与《划型标准》制定时的大中小微企业类型分布比例相对稳定，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中</w:t>
      </w:r>
      <w:r>
        <w:rPr>
          <w:rFonts w:hint="eastAsia" w:ascii="宋体" w:hAnsi="宋体" w:eastAsia="宋体" w:cs="宋体"/>
          <w:color w:val="auto"/>
          <w:spacing w:val="11"/>
          <w:sz w:val="21"/>
          <w:szCs w:val="21"/>
          <w:highlight w:val="none"/>
        </w:rPr>
        <w:t>小</w:t>
      </w:r>
      <w:r>
        <w:rPr>
          <w:rFonts w:hint="eastAsia" w:ascii="宋体" w:hAnsi="宋体" w:eastAsia="宋体" w:cs="宋体"/>
          <w:color w:val="auto"/>
          <w:spacing w:val="9"/>
          <w:sz w:val="21"/>
          <w:szCs w:val="21"/>
          <w:highlight w:val="none"/>
        </w:rPr>
        <w:t xml:space="preserve">企业特别是小微企业分布维持相对合理比例。所有行业的规模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限额) 以上企业中将不再含有微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型企业，微型企业均为规模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限额) 以下企业</w:t>
      </w:r>
      <w:r>
        <w:rPr>
          <w:rFonts w:hint="eastAsia" w:ascii="宋体" w:hAnsi="宋体" w:eastAsia="宋体" w:cs="宋体"/>
          <w:color w:val="auto"/>
          <w:spacing w:val="7"/>
          <w:sz w:val="21"/>
          <w:szCs w:val="21"/>
          <w:highlight w:val="none"/>
        </w:rPr>
        <w:t>。</w:t>
      </w:r>
    </w:p>
    <w:p w14:paraId="630C1142">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五)</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增加定性标准</w:t>
      </w:r>
    </w:p>
    <w:p w14:paraId="3966A3C1">
      <w:pPr>
        <w:spacing w:before="221" w:line="360" w:lineRule="auto"/>
        <w:ind w:left="3" w:right="52" w:firstLine="42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为解决</w:t>
      </w:r>
      <w:r>
        <w:rPr>
          <w:rFonts w:hint="eastAsia" w:ascii="宋体" w:hAnsi="宋体" w:eastAsia="宋体" w:cs="宋体"/>
          <w:color w:val="auto"/>
          <w:spacing w:val="13"/>
          <w:sz w:val="21"/>
          <w:szCs w:val="21"/>
          <w:highlight w:val="none"/>
        </w:rPr>
        <w:t>实</w:t>
      </w:r>
      <w:r>
        <w:rPr>
          <w:rFonts w:hint="eastAsia" w:ascii="宋体" w:hAnsi="宋体" w:eastAsia="宋体" w:cs="宋体"/>
          <w:color w:val="auto"/>
          <w:spacing w:val="9"/>
          <w:sz w:val="21"/>
          <w:szCs w:val="21"/>
          <w:highlight w:val="none"/>
        </w:rPr>
        <w:t>践中大型企业所属子公司因符合中小企业划型定量标准，挤占中小企业有限的政策资源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或悬空</w:t>
      </w:r>
      <w:r>
        <w:rPr>
          <w:rFonts w:hint="eastAsia" w:ascii="宋体" w:hAnsi="宋体" w:eastAsia="宋体" w:cs="宋体"/>
          <w:color w:val="auto"/>
          <w:spacing w:val="15"/>
          <w:sz w:val="21"/>
          <w:szCs w:val="21"/>
          <w:highlight w:val="none"/>
        </w:rPr>
        <w:t>大</w:t>
      </w:r>
      <w:r>
        <w:rPr>
          <w:rFonts w:hint="eastAsia" w:ascii="宋体" w:hAnsi="宋体" w:eastAsia="宋体" w:cs="宋体"/>
          <w:color w:val="auto"/>
          <w:spacing w:val="9"/>
          <w:sz w:val="21"/>
          <w:szCs w:val="21"/>
          <w:highlight w:val="none"/>
        </w:rPr>
        <w:t>型企业法律责任义务问题，借鉴欧美日等设置中小企业独立经营方面定性标准的经验，增加</w:t>
      </w:r>
      <w:r>
        <w:rPr>
          <w:rFonts w:hint="eastAsia" w:ascii="宋体" w:hAnsi="宋体" w:eastAsia="宋体" w:cs="宋体"/>
          <w:color w:val="auto"/>
          <w:spacing w:val="10"/>
          <w:sz w:val="21"/>
          <w:szCs w:val="21"/>
          <w:highlight w:val="none"/>
        </w:rPr>
        <w:t>“定性”标准，即规定“符合中小企业划型定量标准，但有下列情形之一的，视同大型企业：单个</w:t>
      </w:r>
      <w:r>
        <w:rPr>
          <w:rFonts w:hint="eastAsia" w:ascii="宋体" w:hAnsi="宋体" w:eastAsia="宋体" w:cs="宋体"/>
          <w:color w:val="auto"/>
          <w:spacing w:val="9"/>
          <w:sz w:val="21"/>
          <w:szCs w:val="21"/>
          <w:highlight w:val="none"/>
        </w:rPr>
        <w:t>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型企</w:t>
      </w:r>
      <w:r>
        <w:rPr>
          <w:rFonts w:hint="eastAsia" w:ascii="宋体" w:hAnsi="宋体" w:eastAsia="宋体" w:cs="宋体"/>
          <w:color w:val="auto"/>
          <w:spacing w:val="9"/>
          <w:sz w:val="21"/>
          <w:szCs w:val="21"/>
          <w:highlight w:val="none"/>
        </w:rPr>
        <w:t>业或大型企业全资子公司直接控股超过 50%的企业；两个以上大型企业或大型企业全资子公司直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接</w:t>
      </w:r>
      <w:r>
        <w:rPr>
          <w:rFonts w:hint="eastAsia" w:ascii="宋体" w:hAnsi="宋体" w:eastAsia="宋体" w:cs="宋体"/>
          <w:color w:val="auto"/>
          <w:spacing w:val="7"/>
          <w:sz w:val="21"/>
          <w:szCs w:val="21"/>
          <w:highlight w:val="none"/>
        </w:rPr>
        <w:t>控股超过 50%的企业；与大型企业或大型企业全资子公司的法定代表人为同一人的企业。 ”将大型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企</w:t>
      </w:r>
      <w:r>
        <w:rPr>
          <w:rFonts w:hint="eastAsia" w:ascii="宋体" w:hAnsi="宋体" w:eastAsia="宋体" w:cs="宋体"/>
          <w:color w:val="auto"/>
          <w:spacing w:val="9"/>
          <w:sz w:val="21"/>
          <w:szCs w:val="21"/>
          <w:highlight w:val="none"/>
        </w:rPr>
        <w:t>业所属或直接控制企业排除在中小企业之外。</w:t>
      </w:r>
    </w:p>
    <w:p w14:paraId="2F9F8F8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六)</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增加有关中小企业规模类型自我声明及认定内容</w:t>
      </w:r>
    </w:p>
    <w:p w14:paraId="5C834B0D">
      <w:pPr>
        <w:spacing w:before="222" w:line="360" w:lineRule="auto"/>
        <w:ind w:left="9"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按照《</w:t>
      </w:r>
      <w:r>
        <w:rPr>
          <w:rFonts w:hint="eastAsia" w:ascii="宋体" w:hAnsi="宋体" w:eastAsia="宋体" w:cs="宋体"/>
          <w:color w:val="auto"/>
          <w:spacing w:val="14"/>
          <w:sz w:val="21"/>
          <w:szCs w:val="21"/>
          <w:highlight w:val="none"/>
        </w:rPr>
        <w:t>国</w:t>
      </w:r>
      <w:r>
        <w:rPr>
          <w:rFonts w:hint="eastAsia" w:ascii="宋体" w:hAnsi="宋体" w:eastAsia="宋体" w:cs="宋体"/>
          <w:color w:val="auto"/>
          <w:spacing w:val="9"/>
          <w:sz w:val="21"/>
          <w:szCs w:val="21"/>
          <w:highlight w:val="none"/>
        </w:rPr>
        <w:t>务院办公厅关于全面推行证明事项和涉企经营许可事项告知承诺制的指导意见》和《政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府采购促进中小企业发展管理办法》的实践做法，《划型标准》修订中明确“中小企业规模类型采</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自我</w:t>
      </w:r>
      <w:r>
        <w:rPr>
          <w:rFonts w:hint="eastAsia" w:ascii="宋体" w:hAnsi="宋体" w:eastAsia="宋体" w:cs="宋体"/>
          <w:color w:val="auto"/>
          <w:spacing w:val="8"/>
          <w:sz w:val="21"/>
          <w:szCs w:val="21"/>
          <w:highlight w:val="none"/>
        </w:rPr>
        <w:t>声</w:t>
      </w:r>
      <w:r>
        <w:rPr>
          <w:rFonts w:hint="eastAsia" w:ascii="宋体" w:hAnsi="宋体" w:eastAsia="宋体" w:cs="宋体"/>
          <w:color w:val="auto"/>
          <w:spacing w:val="7"/>
          <w:sz w:val="21"/>
          <w:szCs w:val="21"/>
          <w:highlight w:val="none"/>
        </w:rPr>
        <w:t>明的方式，企业对自我声明内容的真实性负责” 。同时，明确“在监督检查、投诉处理中对中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小企业规模类型有争议的，有关部门可以向有争议的企业登记所在地同级负责中小企业促进工作综</w:t>
      </w:r>
      <w:r>
        <w:rPr>
          <w:rFonts w:hint="eastAsia" w:ascii="宋体" w:hAnsi="宋体" w:eastAsia="宋体" w:cs="宋体"/>
          <w:color w:val="auto"/>
          <w:spacing w:val="2"/>
          <w:sz w:val="21"/>
          <w:szCs w:val="21"/>
          <w:highlight w:val="none"/>
        </w:rPr>
        <w:t>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管</w:t>
      </w:r>
      <w:r>
        <w:rPr>
          <w:rFonts w:hint="eastAsia" w:ascii="宋体" w:hAnsi="宋体" w:eastAsia="宋体" w:cs="宋体"/>
          <w:color w:val="auto"/>
          <w:spacing w:val="8"/>
          <w:sz w:val="21"/>
          <w:szCs w:val="21"/>
          <w:highlight w:val="none"/>
        </w:rPr>
        <w:t>理部门书面提请认定”。</w:t>
      </w:r>
    </w:p>
    <w:p w14:paraId="4588A3B4">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七)</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建立《划型标准》定期评估制度</w:t>
      </w:r>
    </w:p>
    <w:p w14:paraId="0D11CE73">
      <w:pPr>
        <w:spacing w:before="218" w:line="360" w:lineRule="auto"/>
        <w:ind w:left="12" w:right="2" w:firstLine="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借鉴国际经验，设</w:t>
      </w:r>
      <w:r>
        <w:rPr>
          <w:rFonts w:hint="eastAsia" w:ascii="宋体" w:hAnsi="宋体" w:eastAsia="宋体" w:cs="宋体"/>
          <w:color w:val="auto"/>
          <w:spacing w:val="5"/>
          <w:sz w:val="21"/>
          <w:szCs w:val="21"/>
          <w:highlight w:val="none"/>
        </w:rPr>
        <w:t>立</w:t>
      </w:r>
      <w:r>
        <w:rPr>
          <w:rFonts w:hint="eastAsia" w:ascii="宋体" w:hAnsi="宋体" w:eastAsia="宋体" w:cs="宋体"/>
          <w:color w:val="auto"/>
          <w:spacing w:val="4"/>
          <w:sz w:val="21"/>
          <w:szCs w:val="21"/>
          <w:highlight w:val="none"/>
        </w:rPr>
        <w:t>我国中小企业划型标准定期评估制度：“由国务院促进中小企业发展综合管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理</w:t>
      </w:r>
      <w:r>
        <w:rPr>
          <w:rFonts w:hint="eastAsia" w:ascii="宋体" w:hAnsi="宋体" w:eastAsia="宋体" w:cs="宋体"/>
          <w:color w:val="auto"/>
          <w:spacing w:val="7"/>
          <w:sz w:val="21"/>
          <w:szCs w:val="21"/>
          <w:highlight w:val="none"/>
        </w:rPr>
        <w:t>部门、国家统计部门会同有关部门根据经济社会发展情况，每5年定期评估，根据评估情况适时修</w:t>
      </w:r>
      <w:r>
        <w:rPr>
          <w:rFonts w:hint="eastAsia" w:ascii="宋体" w:hAnsi="宋体" w:eastAsia="宋体" w:cs="宋体"/>
          <w:color w:val="auto"/>
          <w:spacing w:val="6"/>
          <w:sz w:val="21"/>
          <w:szCs w:val="21"/>
          <w:highlight w:val="none"/>
        </w:rPr>
        <w:t>订</w:t>
      </w:r>
      <w:r>
        <w:rPr>
          <w:rFonts w:hint="eastAsia" w:ascii="宋体" w:hAnsi="宋体" w:eastAsia="宋体" w:cs="宋体"/>
          <w:color w:val="auto"/>
          <w:spacing w:val="4"/>
          <w:sz w:val="21"/>
          <w:szCs w:val="21"/>
          <w:highlight w:val="none"/>
        </w:rPr>
        <w:t>。 ”</w:t>
      </w:r>
    </w:p>
    <w:p w14:paraId="0C1F873D">
      <w:pPr>
        <w:spacing w:line="240" w:lineRule="auto"/>
        <w:rPr>
          <w:rFonts w:hint="eastAsia" w:ascii="宋体" w:hAnsi="宋体" w:eastAsia="宋体" w:cs="宋体"/>
          <w:color w:val="auto"/>
          <w:sz w:val="21"/>
          <w:szCs w:val="21"/>
          <w:highlight w:val="none"/>
        </w:rPr>
        <w:sectPr>
          <w:footerReference r:id="rId37" w:type="default"/>
          <w:pgSz w:w="11906" w:h="16839"/>
          <w:pgMar w:top="820" w:right="1247" w:bottom="1156" w:left="1416" w:header="0" w:footer="996" w:gutter="0"/>
          <w:pgNumType w:fmt="decimal"/>
          <w:cols w:space="720" w:num="1"/>
        </w:sectPr>
      </w:pPr>
    </w:p>
    <w:p w14:paraId="11346E58">
      <w:pPr>
        <w:pStyle w:val="18"/>
        <w:rPr>
          <w:rFonts w:hint="eastAsia" w:ascii="宋体" w:hAnsi="宋体" w:eastAsia="宋体" w:cs="宋体"/>
          <w:color w:val="auto"/>
          <w:highlight w:val="none"/>
        </w:rPr>
      </w:pPr>
      <w:r>
        <w:rPr>
          <w:rFonts w:hint="eastAsia" w:ascii="宋体" w:hAnsi="宋体" w:eastAsia="宋体" w:cs="宋体"/>
          <w:color w:val="auto"/>
          <w:highlight w:val="none"/>
        </w:rPr>
        <w:t>附件：</w:t>
      </w:r>
    </w:p>
    <w:p w14:paraId="4EBA7333">
      <w:pPr>
        <w:pStyle w:val="18"/>
        <w:jc w:val="center"/>
        <w:rPr>
          <w:rFonts w:hint="eastAsia" w:ascii="宋体" w:hAnsi="宋体" w:eastAsia="宋体" w:cs="宋体"/>
          <w:color w:val="auto"/>
          <w:highlight w:val="none"/>
        </w:rPr>
      </w:pPr>
      <w:r>
        <w:rPr>
          <w:rStyle w:val="24"/>
          <w:rFonts w:hint="eastAsia" w:ascii="宋体" w:hAnsi="宋体" w:eastAsia="宋体" w:cs="宋体"/>
          <w:color w:val="auto"/>
          <w:sz w:val="36"/>
          <w:szCs w:val="36"/>
          <w:highlight w:val="none"/>
        </w:rPr>
        <w:t>吉林省强化政府采购政策支持中小企业发展落实举措</w:t>
      </w:r>
    </w:p>
    <w:p w14:paraId="1D1A82FC">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34E0644">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一、强化政策落实支持中小企业发展</w:t>
      </w:r>
    </w:p>
    <w:p w14:paraId="3C191226">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972FE01">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二、提高政府采购项目价格评审优惠幅度</w:t>
      </w:r>
    </w:p>
    <w:p w14:paraId="3B524EF3">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自2022年7月1日起发布采购公告或者发出采购邀请，未预留份额专门面向中小企业采购的货物、服务项目，</w:t>
      </w:r>
      <w:r>
        <w:rPr>
          <w:rFonts w:hint="eastAsia" w:ascii="宋体" w:hAnsi="宋体" w:eastAsia="宋体" w:cs="宋体"/>
          <w:b/>
          <w:bCs/>
          <w:color w:val="auto"/>
          <w:sz w:val="21"/>
          <w:szCs w:val="21"/>
          <w:highlight w:val="none"/>
        </w:rPr>
        <w:t>给予小微企业的价格扣除优惠由《办法》规定的6%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10%提高至10%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20%；</w:t>
      </w:r>
      <w:r>
        <w:rPr>
          <w:rFonts w:hint="eastAsia" w:ascii="宋体" w:hAnsi="宋体" w:eastAsia="宋体" w:cs="宋体"/>
          <w:color w:val="auto"/>
          <w:sz w:val="21"/>
          <w:szCs w:val="21"/>
          <w:highlight w:val="none"/>
        </w:rPr>
        <w:t>大中型企业与小微企业组成联合体或者大中型企业向小微企业分包的，评审优惠幅度由2%—3%提高至4%—6%。政府采购工程的价格评审优惠按照《办法》的规定执行。</w:t>
      </w:r>
    </w:p>
    <w:p w14:paraId="39C2054F">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三、提高政府采购工程项目预留份额比例</w:t>
      </w:r>
    </w:p>
    <w:p w14:paraId="30A9A716">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0BB56759">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四、降低经营成本提高履约能力</w:t>
      </w:r>
    </w:p>
    <w:p w14:paraId="2EF9813A">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时可结合项目实际，明确中小企业获得合同后可采取分期付款的方式，最大限度的确定首期预付款比例，并尽量缩短资金支付期限。</w:t>
      </w:r>
    </w:p>
    <w:p w14:paraId="3E40C14D">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五、优化政府采购程序推进全流程电子化</w:t>
      </w:r>
    </w:p>
    <w:p w14:paraId="5C77C37C">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或者到场参加开标、谈判等。加快推进全省政府采购全流程电子化建设，实现在线发布采购公告、提供</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、提交投标（响应）文件，实行电子开标、电子评审，提升中小企业参与政府采购活动的便利度。</w:t>
      </w:r>
    </w:p>
    <w:p w14:paraId="6559DD85">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六、加强项目执行管理提升政府采购透明度</w:t>
      </w:r>
    </w:p>
    <w:p w14:paraId="5B880BD0">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；暂未实现电子化采购的，鼓励采购人、采购代理机构向中小企业免费提供纸质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78EE6F99">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8440B44">
      <w:pPr>
        <w:pStyle w:val="3"/>
        <w:rPr>
          <w:rFonts w:hint="eastAsia" w:ascii="宋体" w:hAnsi="宋体" w:eastAsia="宋体" w:cs="宋体"/>
          <w:color w:val="auto"/>
          <w:sz w:val="21"/>
          <w:szCs w:val="21"/>
          <w:highlight w:val="none"/>
        </w:rPr>
        <w:sectPr>
          <w:pgSz w:w="11906" w:h="16839"/>
          <w:pgMar w:top="820" w:right="1247" w:bottom="1156" w:left="1416" w:header="0" w:footer="996" w:gutter="0"/>
          <w:pgNumType w:fmt="decimal"/>
          <w:cols w:space="720" w:num="1"/>
        </w:sectPr>
      </w:pPr>
    </w:p>
    <w:p w14:paraId="19A40E43">
      <w:pPr>
        <w:pStyle w:val="2"/>
        <w:bidi w:val="0"/>
        <w:rPr>
          <w:rFonts w:hint="eastAsia" w:ascii="宋体" w:hAnsi="宋体" w:eastAsia="宋体" w:cs="宋体"/>
          <w:b/>
          <w:bCs/>
          <w:color w:val="auto"/>
          <w:sz w:val="21"/>
          <w:szCs w:val="21"/>
          <w:highlight w:val="none"/>
        </w:rPr>
      </w:pPr>
      <w:bookmarkStart w:id="61" w:name="_Toc25144"/>
      <w:r>
        <w:rPr>
          <w:rFonts w:hint="eastAsia" w:ascii="宋体" w:hAnsi="宋体" w:eastAsia="宋体" w:cs="宋体"/>
          <w:b/>
          <w:bCs/>
          <w:color w:val="auto"/>
          <w:sz w:val="21"/>
          <w:szCs w:val="21"/>
          <w:highlight w:val="none"/>
        </w:rPr>
        <w:t xml:space="preserve">第五章  评标办法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综合评分法)</w:t>
      </w:r>
      <w:bookmarkEnd w:id="61"/>
    </w:p>
    <w:p w14:paraId="26CCCB5C">
      <w:pPr>
        <w:spacing w:line="296" w:lineRule="auto"/>
        <w:rPr>
          <w:rFonts w:hint="eastAsia" w:ascii="宋体" w:hAnsi="宋体" w:eastAsia="宋体" w:cs="宋体"/>
          <w:color w:val="auto"/>
          <w:sz w:val="21"/>
          <w:szCs w:val="21"/>
          <w:highlight w:val="none"/>
        </w:rPr>
      </w:pPr>
    </w:p>
    <w:p w14:paraId="5B0BEF3C">
      <w:pPr>
        <w:spacing w:before="91" w:line="221" w:lineRule="auto"/>
        <w:ind w:left="3573"/>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、评</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标</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程</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序</w:t>
      </w:r>
    </w:p>
    <w:p w14:paraId="03FF2457">
      <w:pPr>
        <w:spacing w:line="312" w:lineRule="auto"/>
        <w:rPr>
          <w:rFonts w:hint="eastAsia" w:ascii="宋体" w:hAnsi="宋体" w:eastAsia="宋体" w:cs="宋体"/>
          <w:color w:val="auto"/>
          <w:sz w:val="21"/>
          <w:szCs w:val="21"/>
          <w:highlight w:val="none"/>
        </w:rPr>
      </w:pPr>
    </w:p>
    <w:p w14:paraId="0AE2E221">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组成评标委员会</w:t>
      </w:r>
    </w:p>
    <w:p w14:paraId="3BCF7480">
      <w:pPr>
        <w:spacing w:before="75" w:line="360" w:lineRule="auto"/>
        <w:ind w:right="80" w:firstLine="48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按照</w:t>
      </w:r>
      <w:r>
        <w:rPr>
          <w:rFonts w:hint="eastAsia" w:ascii="宋体" w:hAnsi="宋体" w:eastAsia="宋体" w:cs="宋体"/>
          <w:color w:val="auto"/>
          <w:spacing w:val="10"/>
          <w:sz w:val="21"/>
          <w:szCs w:val="21"/>
          <w:highlight w:val="none"/>
        </w:rPr>
        <w:t>国</w:t>
      </w:r>
      <w:r>
        <w:rPr>
          <w:rFonts w:hint="eastAsia" w:ascii="宋体" w:hAnsi="宋体" w:eastAsia="宋体" w:cs="宋体"/>
          <w:color w:val="auto"/>
          <w:spacing w:val="6"/>
          <w:sz w:val="21"/>
          <w:szCs w:val="21"/>
          <w:highlight w:val="none"/>
        </w:rPr>
        <w:t>家有关部委及省、市的相关规定，采购人代表从专家库中随机抽取技术、经济等方面的专家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与采购人代表共同组成评标委员会（以下简称“评委会”）。为保证评标工作的顺利进行，推荐一名评委担任评委会主任，负责评标全面工</w:t>
      </w:r>
      <w:r>
        <w:rPr>
          <w:rFonts w:hint="eastAsia" w:ascii="宋体" w:hAnsi="宋体" w:eastAsia="宋体" w:cs="宋体"/>
          <w:color w:val="auto"/>
          <w:spacing w:val="1"/>
          <w:sz w:val="21"/>
          <w:szCs w:val="21"/>
          <w:highlight w:val="none"/>
        </w:rPr>
        <w:t>作</w:t>
      </w:r>
      <w:r>
        <w:rPr>
          <w:rFonts w:hint="eastAsia" w:ascii="宋体" w:hAnsi="宋体" w:eastAsia="宋体" w:cs="宋体"/>
          <w:color w:val="auto"/>
          <w:sz w:val="21"/>
          <w:szCs w:val="21"/>
          <w:highlight w:val="none"/>
        </w:rPr>
        <w:t>。</w:t>
      </w:r>
    </w:p>
    <w:p w14:paraId="3BA782FA">
      <w:pPr>
        <w:spacing w:before="134"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评标过程的监督</w:t>
      </w:r>
    </w:p>
    <w:p w14:paraId="6CDFA1D0">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评标开始时，监督人首先向评委会及有关工作人员宣读在评标期间的纪律要求；同</w:t>
      </w:r>
      <w:r>
        <w:rPr>
          <w:rFonts w:hint="eastAsia" w:ascii="宋体" w:hAnsi="宋体" w:eastAsia="宋体" w:cs="宋体"/>
          <w:color w:val="auto"/>
          <w:spacing w:val="1"/>
          <w:sz w:val="21"/>
          <w:szCs w:val="21"/>
          <w:highlight w:val="none"/>
        </w:rPr>
        <w:t>时</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rPr>
        <w:t>在评标过程中</w:t>
      </w:r>
      <w:r>
        <w:rPr>
          <w:rFonts w:hint="eastAsia" w:ascii="宋体" w:hAnsi="宋体" w:eastAsia="宋体" w:cs="宋体"/>
          <w:color w:val="auto"/>
          <w:spacing w:val="3"/>
          <w:sz w:val="21"/>
          <w:szCs w:val="21"/>
          <w:highlight w:val="none"/>
        </w:rPr>
        <w:t>对</w:t>
      </w:r>
      <w:r>
        <w:rPr>
          <w:rFonts w:hint="eastAsia" w:ascii="宋体" w:hAnsi="宋体" w:eastAsia="宋体" w:cs="宋体"/>
          <w:color w:val="auto"/>
          <w:spacing w:val="2"/>
          <w:sz w:val="21"/>
          <w:szCs w:val="21"/>
          <w:highlight w:val="none"/>
        </w:rPr>
        <w:t>评审赋分、中标候选人的推荐、提交评标报告等各阶段步骤进行现场监督；</w:t>
      </w: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9"/>
          <w:sz w:val="21"/>
          <w:szCs w:val="21"/>
          <w:highlight w:val="none"/>
        </w:rPr>
        <w:t>标结束时，监督人对评标全过程做评标监督结论。</w:t>
      </w:r>
    </w:p>
    <w:p w14:paraId="3BA472CF">
      <w:pPr>
        <w:spacing w:before="13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三)</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评标工作</w:t>
      </w:r>
    </w:p>
    <w:p w14:paraId="67373700">
      <w:pPr>
        <w:spacing w:before="76" w:line="360" w:lineRule="auto"/>
        <w:ind w:left="13" w:right="80" w:firstLine="466"/>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评标本</w:t>
      </w:r>
      <w:r>
        <w:rPr>
          <w:rFonts w:hint="eastAsia" w:ascii="宋体" w:hAnsi="宋体" w:eastAsia="宋体" w:cs="宋体"/>
          <w:color w:val="auto"/>
          <w:spacing w:val="7"/>
          <w:sz w:val="21"/>
          <w:szCs w:val="21"/>
          <w:highlight w:val="none"/>
        </w:rPr>
        <w:t>着</w:t>
      </w:r>
      <w:r>
        <w:rPr>
          <w:rFonts w:hint="eastAsia" w:ascii="宋体" w:hAnsi="宋体" w:eastAsia="宋体" w:cs="宋体"/>
          <w:color w:val="auto"/>
          <w:spacing w:val="6"/>
          <w:sz w:val="21"/>
          <w:szCs w:val="21"/>
          <w:highlight w:val="none"/>
        </w:rPr>
        <w:t>客观公正、公平竞争、择优推荐、规范合法的原则进行。评标工作分为资格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审</w:t>
      </w:r>
      <w:r>
        <w:rPr>
          <w:rFonts w:hint="eastAsia" w:ascii="宋体" w:hAnsi="宋体" w:eastAsia="宋体" w:cs="宋体"/>
          <w:color w:val="auto"/>
          <w:spacing w:val="8"/>
          <w:sz w:val="21"/>
          <w:szCs w:val="21"/>
          <w:highlight w:val="none"/>
        </w:rPr>
        <w:t>查、符合评审和详细评审三个步骤。</w:t>
      </w:r>
    </w:p>
    <w:p w14:paraId="2B5290FF">
      <w:pPr>
        <w:spacing w:before="1" w:line="360" w:lineRule="auto"/>
        <w:ind w:left="2" w:right="80" w:firstLine="49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1.资格审查。评委会全体成员对各投标人的资格进行审查。资格审查合格的投标人</w:t>
      </w:r>
      <w:r>
        <w:rPr>
          <w:rFonts w:hint="eastAsia" w:ascii="宋体" w:hAnsi="宋体" w:eastAsia="宋体" w:cs="宋体"/>
          <w:color w:val="auto"/>
          <w:sz w:val="21"/>
          <w:szCs w:val="21"/>
          <w:highlight w:val="none"/>
        </w:rPr>
        <w:t>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进入符合评审。</w:t>
      </w:r>
    </w:p>
    <w:p w14:paraId="10DE8651">
      <w:pPr>
        <w:spacing w:before="2" w:line="360" w:lineRule="auto"/>
        <w:ind w:left="2" w:right="80"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符合评审。评委会对投标人的投标文件进行符合性鉴定。符合评审合格的投标人方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进入详细评审。</w:t>
      </w:r>
    </w:p>
    <w:p w14:paraId="2D280CAA">
      <w:pPr>
        <w:spacing w:before="2" w:line="360" w:lineRule="auto"/>
        <w:ind w:right="80" w:firstLine="48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详细评审。详细评审采用综合评分法。评委依据评标办法分别对各投标人的投标文</w:t>
      </w:r>
      <w:r>
        <w:rPr>
          <w:rFonts w:hint="eastAsia" w:ascii="宋体" w:hAnsi="宋体" w:eastAsia="宋体" w:cs="宋体"/>
          <w:color w:val="auto"/>
          <w:spacing w:val="8"/>
          <w:sz w:val="21"/>
          <w:szCs w:val="21"/>
          <w:highlight w:val="none"/>
        </w:rPr>
        <w:t>件进行评审、赋分</w:t>
      </w:r>
      <w:r>
        <w:rPr>
          <w:rFonts w:hint="eastAsia" w:ascii="宋体" w:hAnsi="宋体" w:eastAsia="宋体" w:cs="宋体"/>
          <w:color w:val="auto"/>
          <w:spacing w:val="7"/>
          <w:sz w:val="21"/>
          <w:szCs w:val="21"/>
          <w:highlight w:val="none"/>
        </w:rPr>
        <w:t>。</w:t>
      </w:r>
    </w:p>
    <w:p w14:paraId="3DDCD5E5">
      <w:pPr>
        <w:spacing w:before="136"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四)</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询标</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必要时</w:t>
      </w:r>
      <w:r>
        <w:rPr>
          <w:rFonts w:hint="eastAsia" w:ascii="宋体" w:hAnsi="宋体" w:eastAsia="宋体" w:cs="宋体"/>
          <w:color w:val="auto"/>
          <w:spacing w:val="15"/>
          <w:sz w:val="21"/>
          <w:szCs w:val="21"/>
          <w:highlight w:val="none"/>
          <w14:textOutline w14:w="4358" w14:cap="sq" w14:cmpd="sng">
            <w14:solidFill>
              <w14:srgbClr w14:val="000000"/>
            </w14:solidFill>
            <w14:prstDash w14:val="solid"/>
            <w14:bevel/>
          </w14:textOutline>
        </w:rPr>
        <w:t>)</w:t>
      </w:r>
    </w:p>
    <w:p w14:paraId="48D00F78">
      <w:pPr>
        <w:spacing w:before="75"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委员会对投标文件需要澄清的问题，采用集体询标方式进行。</w:t>
      </w:r>
    </w:p>
    <w:p w14:paraId="154BE604">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五)</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推荐中标候选人</w:t>
      </w:r>
    </w:p>
    <w:p w14:paraId="78A7E0C5">
      <w:pPr>
        <w:spacing w:before="75" w:line="360" w:lineRule="auto"/>
        <w:ind w:left="3" w:right="80" w:firstLine="47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按国家《</w:t>
      </w:r>
      <w:r>
        <w:rPr>
          <w:rFonts w:hint="eastAsia" w:ascii="宋体" w:hAnsi="宋体" w:eastAsia="宋体" w:cs="宋体"/>
          <w:color w:val="auto"/>
          <w:spacing w:val="3"/>
          <w:sz w:val="21"/>
          <w:szCs w:val="21"/>
          <w:highlight w:val="none"/>
          <w:lang w:eastAsia="zh-CN"/>
        </w:rPr>
        <w:t>中华人民共和国招标投标法</w:t>
      </w:r>
      <w:r>
        <w:rPr>
          <w:rFonts w:hint="eastAsia" w:ascii="宋体" w:hAnsi="宋体" w:eastAsia="宋体" w:cs="宋体"/>
          <w:color w:val="auto"/>
          <w:spacing w:val="3"/>
          <w:sz w:val="21"/>
          <w:szCs w:val="21"/>
          <w:highlight w:val="none"/>
        </w:rPr>
        <w:t>》第 41条第1款关于“能够最大限度地满足招标文件中规定的</w:t>
      </w:r>
      <w:r>
        <w:rPr>
          <w:rFonts w:hint="eastAsia" w:ascii="宋体" w:hAnsi="宋体" w:eastAsia="宋体" w:cs="宋体"/>
          <w:color w:val="auto"/>
          <w:spacing w:val="12"/>
          <w:sz w:val="21"/>
          <w:szCs w:val="21"/>
          <w:highlight w:val="none"/>
        </w:rPr>
        <w:t>各项综</w:t>
      </w:r>
      <w:r>
        <w:rPr>
          <w:rFonts w:hint="eastAsia" w:ascii="宋体" w:hAnsi="宋体" w:eastAsia="宋体" w:cs="宋体"/>
          <w:color w:val="auto"/>
          <w:spacing w:val="11"/>
          <w:sz w:val="21"/>
          <w:szCs w:val="21"/>
          <w:highlight w:val="none"/>
        </w:rPr>
        <w:t>合</w:t>
      </w:r>
      <w:r>
        <w:rPr>
          <w:rFonts w:hint="eastAsia" w:ascii="宋体" w:hAnsi="宋体" w:eastAsia="宋体" w:cs="宋体"/>
          <w:color w:val="auto"/>
          <w:spacing w:val="6"/>
          <w:sz w:val="21"/>
          <w:szCs w:val="21"/>
          <w:highlight w:val="none"/>
        </w:rPr>
        <w:t>评价标准”的原则，根据综合评审结果，采购人授权评委会，按照综合得分由高</w:t>
      </w:r>
      <w:r>
        <w:rPr>
          <w:rFonts w:hint="eastAsia" w:ascii="宋体" w:hAnsi="宋体" w:eastAsia="宋体" w:cs="宋体"/>
          <w:color w:val="auto"/>
          <w:spacing w:val="4"/>
          <w:sz w:val="21"/>
          <w:szCs w:val="21"/>
          <w:highlight w:val="none"/>
        </w:rPr>
        <w:t>到低的顺序，向采购人</w:t>
      </w:r>
      <w:r>
        <w:rPr>
          <w:rFonts w:hint="eastAsia" w:ascii="宋体" w:hAnsi="宋体" w:eastAsia="宋体" w:cs="宋体"/>
          <w:color w:val="auto"/>
          <w:spacing w:val="2"/>
          <w:sz w:val="21"/>
          <w:szCs w:val="21"/>
          <w:highlight w:val="none"/>
        </w:rPr>
        <w:t>推荐3名中标候选人</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得分相同的，按投标报价由低到</w:t>
      </w:r>
      <w:r>
        <w:rPr>
          <w:rFonts w:hint="eastAsia" w:ascii="宋体" w:hAnsi="宋体" w:eastAsia="宋体" w:cs="宋体"/>
          <w:color w:val="auto"/>
          <w:spacing w:val="2"/>
          <w:sz w:val="21"/>
          <w:szCs w:val="21"/>
          <w:highlight w:val="none"/>
          <w:lang w:eastAsia="zh-CN"/>
        </w:rPr>
        <w:t>高的</w:t>
      </w:r>
      <w:r>
        <w:rPr>
          <w:rFonts w:hint="eastAsia" w:ascii="宋体" w:hAnsi="宋体" w:eastAsia="宋体" w:cs="宋体"/>
          <w:color w:val="auto"/>
          <w:spacing w:val="2"/>
          <w:sz w:val="21"/>
          <w:szCs w:val="21"/>
          <w:highlight w:val="none"/>
        </w:rPr>
        <w:t>顺序排列。得分</w:t>
      </w:r>
      <w:r>
        <w:rPr>
          <w:rFonts w:hint="eastAsia" w:ascii="宋体" w:hAnsi="宋体" w:eastAsia="宋体" w:cs="宋体"/>
          <w:color w:val="auto"/>
          <w:spacing w:val="12"/>
          <w:sz w:val="21"/>
          <w:szCs w:val="21"/>
          <w:highlight w:val="none"/>
        </w:rPr>
        <w:t>且投</w:t>
      </w:r>
      <w:r>
        <w:rPr>
          <w:rFonts w:hint="eastAsia" w:ascii="宋体" w:hAnsi="宋体" w:eastAsia="宋体" w:cs="宋体"/>
          <w:color w:val="auto"/>
          <w:spacing w:val="7"/>
          <w:sz w:val="21"/>
          <w:szCs w:val="21"/>
          <w:highlight w:val="none"/>
        </w:rPr>
        <w:t>标</w:t>
      </w:r>
      <w:r>
        <w:rPr>
          <w:rFonts w:hint="eastAsia" w:ascii="宋体" w:hAnsi="宋体" w:eastAsia="宋体" w:cs="宋体"/>
          <w:color w:val="auto"/>
          <w:spacing w:val="6"/>
          <w:sz w:val="21"/>
          <w:szCs w:val="21"/>
          <w:highlight w:val="none"/>
        </w:rPr>
        <w:t>报价相同的并列。投标文件满足招标文件全部实质性要求，且按照评审因素的</w:t>
      </w:r>
      <w:r>
        <w:rPr>
          <w:rFonts w:hint="eastAsia" w:ascii="宋体" w:hAnsi="宋体" w:eastAsia="宋体" w:cs="宋体"/>
          <w:color w:val="auto"/>
          <w:spacing w:val="9"/>
          <w:sz w:val="21"/>
          <w:szCs w:val="21"/>
          <w:highlight w:val="none"/>
        </w:rPr>
        <w:t>量化指标评审得分最高的投标人为排名第一的中标候选人</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p>
    <w:p w14:paraId="3F177EC2">
      <w:pPr>
        <w:spacing w:before="135"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评标报告</w:t>
      </w:r>
    </w:p>
    <w:p w14:paraId="62449B63">
      <w:pPr>
        <w:spacing w:before="75" w:line="24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评标工</w:t>
      </w:r>
      <w:r>
        <w:rPr>
          <w:rFonts w:hint="eastAsia" w:ascii="宋体" w:hAnsi="宋体" w:eastAsia="宋体" w:cs="宋体"/>
          <w:color w:val="auto"/>
          <w:spacing w:val="9"/>
          <w:sz w:val="21"/>
          <w:szCs w:val="21"/>
          <w:highlight w:val="none"/>
        </w:rPr>
        <w:t>作</w:t>
      </w:r>
      <w:r>
        <w:rPr>
          <w:rFonts w:hint="eastAsia" w:ascii="宋体" w:hAnsi="宋体" w:eastAsia="宋体" w:cs="宋体"/>
          <w:color w:val="auto"/>
          <w:spacing w:val="6"/>
          <w:sz w:val="21"/>
          <w:szCs w:val="21"/>
          <w:highlight w:val="none"/>
        </w:rPr>
        <w:t>结束时，评委会将本项目综合评审结果向采购人提交书面“评标报告”，各</w:t>
      </w:r>
      <w:r>
        <w:rPr>
          <w:rFonts w:hint="eastAsia" w:ascii="宋体" w:hAnsi="宋体" w:eastAsia="宋体" w:cs="宋体"/>
          <w:color w:val="auto"/>
          <w:spacing w:val="16"/>
          <w:sz w:val="21"/>
          <w:szCs w:val="21"/>
          <w:highlight w:val="none"/>
        </w:rPr>
        <w:t>评委</w:t>
      </w:r>
      <w:r>
        <w:rPr>
          <w:rFonts w:hint="eastAsia" w:ascii="宋体" w:hAnsi="宋体" w:eastAsia="宋体" w:cs="宋体"/>
          <w:color w:val="auto"/>
          <w:spacing w:val="15"/>
          <w:sz w:val="21"/>
          <w:szCs w:val="21"/>
          <w:highlight w:val="none"/>
        </w:rPr>
        <w:t>对</w:t>
      </w:r>
      <w:r>
        <w:rPr>
          <w:rFonts w:hint="eastAsia" w:ascii="宋体" w:hAnsi="宋体" w:eastAsia="宋体" w:cs="宋体"/>
          <w:color w:val="auto"/>
          <w:spacing w:val="8"/>
          <w:sz w:val="21"/>
          <w:szCs w:val="21"/>
          <w:highlight w:val="none"/>
        </w:rPr>
        <w:t>评标报告内容讨论通过后，在“评标报告”上签字，对评标结果予以确认。</w:t>
      </w:r>
      <w:r>
        <w:rPr>
          <w:rFonts w:hint="eastAsia" w:ascii="宋体" w:hAnsi="宋体" w:eastAsia="宋体" w:cs="宋体"/>
          <w:color w:val="auto"/>
          <w:sz w:val="21"/>
          <w:szCs w:val="21"/>
          <w:highlight w:val="none"/>
        </w:rPr>
        <w:t xml:space="preserve"> </w:t>
      </w:r>
    </w:p>
    <w:p w14:paraId="3734334B">
      <w:pPr>
        <w:spacing w:before="184" w:line="240" w:lineRule="auto"/>
        <w:ind w:right="73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特</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殊说明</w:t>
      </w:r>
      <w:r>
        <w:rPr>
          <w:rFonts w:hint="eastAsia" w:ascii="宋体" w:hAnsi="宋体" w:eastAsia="宋体" w:cs="宋体"/>
          <w:color w:val="auto"/>
          <w:spacing w:val="6"/>
          <w:sz w:val="21"/>
          <w:szCs w:val="21"/>
          <w:highlight w:val="none"/>
        </w:rPr>
        <w:t>：</w:t>
      </w:r>
    </w:p>
    <w:p w14:paraId="2A5B49A7">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澄清有关问题。对投标文件中含义不明确、同类问题表述不一致或者有明显文字和计算</w:t>
      </w:r>
      <w:r>
        <w:rPr>
          <w:rFonts w:hint="eastAsia" w:ascii="宋体" w:hAnsi="宋体" w:eastAsia="宋体" w:cs="宋体"/>
          <w:color w:val="auto"/>
          <w:spacing w:val="12"/>
          <w:sz w:val="21"/>
          <w:szCs w:val="21"/>
          <w:highlight w:val="none"/>
        </w:rPr>
        <w:t>错误的内</w:t>
      </w:r>
      <w:r>
        <w:rPr>
          <w:rFonts w:hint="eastAsia" w:ascii="宋体" w:hAnsi="宋体" w:eastAsia="宋体" w:cs="宋体"/>
          <w:color w:val="auto"/>
          <w:spacing w:val="9"/>
          <w:sz w:val="21"/>
          <w:szCs w:val="21"/>
          <w:highlight w:val="none"/>
        </w:rPr>
        <w:t>容</w:t>
      </w:r>
      <w:r>
        <w:rPr>
          <w:rFonts w:hint="eastAsia" w:ascii="宋体" w:hAnsi="宋体" w:eastAsia="宋体" w:cs="宋体"/>
          <w:color w:val="auto"/>
          <w:spacing w:val="6"/>
          <w:sz w:val="21"/>
          <w:szCs w:val="21"/>
          <w:highlight w:val="none"/>
        </w:rPr>
        <w:t>，评标委员会可以书面形式要求投标人做出必要的澄清、说明或者纠正。投标</w:t>
      </w:r>
      <w:r>
        <w:rPr>
          <w:rFonts w:hint="eastAsia" w:ascii="宋体" w:hAnsi="宋体" w:eastAsia="宋体" w:cs="宋体"/>
          <w:color w:val="auto"/>
          <w:spacing w:val="20"/>
          <w:sz w:val="21"/>
          <w:szCs w:val="21"/>
          <w:highlight w:val="none"/>
        </w:rPr>
        <w:t>人</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10"/>
          <w:sz w:val="21"/>
          <w:szCs w:val="21"/>
          <w:highlight w:val="none"/>
        </w:rPr>
        <w:t>澄清、说明或者补正不得超出投标文件的范围或者改变投标文件的实质性内容</w:t>
      </w:r>
      <w:r>
        <w:rPr>
          <w:rFonts w:hint="eastAsia" w:ascii="宋体" w:hAnsi="宋体" w:eastAsia="宋体" w:cs="宋体"/>
          <w:color w:val="auto"/>
          <w:sz w:val="21"/>
          <w:szCs w:val="21"/>
          <w:highlight w:val="none"/>
        </w:rPr>
        <w:t xml:space="preserve"> </w:t>
      </w:r>
    </w:p>
    <w:p w14:paraId="6214140D">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rPr>
        <w:t>评</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6"/>
          <w:sz w:val="21"/>
          <w:szCs w:val="21"/>
          <w:highlight w:val="none"/>
        </w:rPr>
        <w:t>委员会将允许修正投标文件中不构成重大偏离的细微偏离，但这些修正应不会对实</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质上响应招标文件要求的投标人的竞争地位</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相互排序</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产生不公正的影响</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 xml:space="preserve">         </w:t>
      </w:r>
    </w:p>
    <w:p w14:paraId="515A7A9C">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.投标文件报价出现前后不一致的，除招标文件另有规定外，按照下列规定修正：</w:t>
      </w:r>
    </w:p>
    <w:p w14:paraId="7366B35C">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一) 投标文件中开标一览表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报价表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内容与投标文件中相应内容不一致的，以投标函为准； </w:t>
      </w:r>
      <w:r>
        <w:rPr>
          <w:rFonts w:hint="eastAsia" w:ascii="宋体" w:hAnsi="宋体" w:eastAsia="宋体" w:cs="宋体"/>
          <w:color w:val="auto"/>
          <w:spacing w:val="4"/>
          <w:sz w:val="21"/>
          <w:szCs w:val="21"/>
          <w:highlight w:val="none"/>
        </w:rPr>
        <w:tab/>
      </w:r>
    </w:p>
    <w:p w14:paraId="7719D09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二</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大写金额和小写金额不一致的，以大写金额为准；</w:t>
      </w:r>
    </w:p>
    <w:p w14:paraId="0489398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三</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单价金额小数点或者百分比有明显错位的，以开标一览表的总价为准，并修改单价；</w:t>
      </w:r>
    </w:p>
    <w:p w14:paraId="785DA6CE">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四) 总价金额与按单价汇总金额不一致的，以单价金额计算结果为准。同时出现两种以上不一致的，按照规定的顺序修正。修正后的报价经投标人确认后产生约束力，投标人不确认的，其投标无效。      </w:t>
      </w:r>
    </w:p>
    <w:p w14:paraId="56839BAB">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8F25DD">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3D5B8F5">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非单一产品采购项目，采购人根据采购项目技术构成、产品价格比重等合理确定核心产品，并在招标文件中载明。多家投标人提供的核心产品品牌相同的，按前款规定处理</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p>
    <w:p w14:paraId="6CDEB906">
      <w:pPr>
        <w:ind w:firstLine="446" w:firstLineChars="200"/>
        <w:rPr>
          <w:rFonts w:hint="eastAsia" w:ascii="宋体" w:hAnsi="宋体" w:eastAsia="宋体" w:cs="宋体"/>
          <w:b/>
          <w:bCs/>
          <w:snapToGrid w:val="0"/>
          <w:color w:val="auto"/>
          <w:spacing w:val="6"/>
          <w:kern w:val="0"/>
          <w:sz w:val="21"/>
          <w:szCs w:val="21"/>
          <w:highlight w:val="none"/>
          <w:lang w:val="en-US" w:eastAsia="zh-CN"/>
        </w:rPr>
      </w:pPr>
    </w:p>
    <w:p w14:paraId="62883AD0">
      <w:pPr>
        <w:ind w:firstLine="446" w:firstLineChars="200"/>
        <w:rPr>
          <w:rFonts w:hint="eastAsia" w:ascii="宋体" w:hAnsi="宋体" w:eastAsia="宋体" w:cs="宋体"/>
          <w:b/>
          <w:bCs/>
          <w:snapToGrid w:val="0"/>
          <w:color w:val="auto"/>
          <w:spacing w:val="6"/>
          <w:kern w:val="0"/>
          <w:sz w:val="21"/>
          <w:szCs w:val="21"/>
          <w:highlight w:val="none"/>
          <w:lang w:val="en-US" w:eastAsia="zh-CN"/>
        </w:rPr>
        <w:sectPr>
          <w:footerReference r:id="rId38" w:type="default"/>
          <w:pgSz w:w="11906" w:h="16839"/>
          <w:pgMar w:top="820" w:right="916" w:bottom="1156" w:left="1425" w:header="0" w:footer="996" w:gutter="0"/>
          <w:pgNumType w:fmt="decimal"/>
          <w:cols w:space="720" w:num="1"/>
        </w:sectPr>
      </w:pPr>
      <w:r>
        <w:rPr>
          <w:rFonts w:hint="eastAsia" w:ascii="宋体" w:hAnsi="宋体" w:eastAsia="宋体" w:cs="宋体"/>
          <w:b/>
          <w:bCs/>
          <w:snapToGrid w:val="0"/>
          <w:color w:val="auto"/>
          <w:spacing w:val="6"/>
          <w:kern w:val="0"/>
          <w:sz w:val="21"/>
          <w:szCs w:val="21"/>
          <w:highlight w:val="none"/>
          <w:lang w:val="en-US" w:eastAsia="zh-CN"/>
        </w:rPr>
        <w:t>核心产品：恒湿低反射玻璃独立柜</w:t>
      </w:r>
    </w:p>
    <w:p w14:paraId="3F057311">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附表 1</w:t>
      </w:r>
    </w:p>
    <w:p w14:paraId="45521883">
      <w:pPr>
        <w:spacing w:before="171" w:line="223" w:lineRule="auto"/>
        <w:ind w:left="3678"/>
        <w:rPr>
          <w:rFonts w:hint="eastAsia" w:ascii="宋体" w:hAnsi="宋体" w:eastAsia="宋体" w:cs="宋体"/>
          <w:b/>
          <w:bCs/>
          <w:i w:val="0"/>
          <w:iCs w:val="0"/>
          <w:color w:val="auto"/>
          <w:sz w:val="31"/>
          <w:szCs w:val="31"/>
          <w:highlight w:val="none"/>
        </w:rPr>
      </w:pPr>
      <w:r>
        <w:rPr>
          <w:rFonts w:hint="eastAsia" w:ascii="宋体" w:hAnsi="宋体" w:eastAsia="宋体" w:cs="宋体"/>
          <w:b/>
          <w:bCs/>
          <w:i w:val="0"/>
          <w:iCs w:val="0"/>
          <w:color w:val="auto"/>
          <w:spacing w:val="8"/>
          <w:sz w:val="31"/>
          <w:szCs w:val="31"/>
          <w:highlight w:val="none"/>
        </w:rPr>
        <w:t>资</w:t>
      </w:r>
      <w:r>
        <w:rPr>
          <w:rFonts w:hint="eastAsia" w:ascii="宋体" w:hAnsi="宋体" w:eastAsia="宋体" w:cs="宋体"/>
          <w:b/>
          <w:bCs/>
          <w:i w:val="0"/>
          <w:iCs w:val="0"/>
          <w:color w:val="auto"/>
          <w:spacing w:val="5"/>
          <w:sz w:val="31"/>
          <w:szCs w:val="31"/>
          <w:highlight w:val="none"/>
        </w:rPr>
        <w:t>格性评审表</w:t>
      </w:r>
    </w:p>
    <w:tbl>
      <w:tblPr>
        <w:tblStyle w:val="42"/>
        <w:tblpPr w:leftFromText="180" w:rightFromText="180" w:vertAnchor="text" w:horzAnchor="page" w:tblpX="1431" w:tblpY="5"/>
        <w:tblOverlap w:val="never"/>
        <w:tblW w:w="50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551"/>
        <w:gridCol w:w="7623"/>
      </w:tblGrid>
      <w:tr w14:paraId="6F99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41AAB8B1">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799" w:type="pct"/>
            <w:tcBorders>
              <w:top w:val="single" w:color="auto" w:sz="4" w:space="0"/>
              <w:left w:val="single" w:color="auto" w:sz="4" w:space="0"/>
              <w:bottom w:val="single" w:color="auto" w:sz="4" w:space="0"/>
              <w:right w:val="single" w:color="auto" w:sz="4" w:space="0"/>
            </w:tcBorders>
            <w:vAlign w:val="top"/>
          </w:tcPr>
          <w:p w14:paraId="12F01001">
            <w:pPr>
              <w:pStyle w:val="49"/>
              <w:spacing w:line="400" w:lineRule="exact"/>
              <w:ind w:left="105" w:leftChars="50" w:right="105" w:rightChars="50"/>
              <w:contextualSpacing/>
              <w:jc w:val="center"/>
              <w:rPr>
                <w:rFonts w:hint="eastAsia" w:ascii="宋体" w:hAnsi="宋体" w:eastAsia="宋体" w:cs="宋体"/>
                <w:b/>
                <w:bCs/>
                <w:color w:val="auto"/>
                <w:spacing w:val="9"/>
                <w:sz w:val="21"/>
                <w:szCs w:val="21"/>
                <w:highlight w:val="none"/>
              </w:rPr>
            </w:pPr>
            <w:r>
              <w:rPr>
                <w:rFonts w:hint="eastAsia" w:ascii="宋体" w:hAnsi="宋体" w:eastAsia="宋体" w:cs="宋体"/>
                <w:b/>
                <w:color w:val="auto"/>
                <w:szCs w:val="21"/>
                <w:highlight w:val="none"/>
              </w:rPr>
              <w:t>评审因素</w:t>
            </w:r>
          </w:p>
        </w:tc>
        <w:tc>
          <w:tcPr>
            <w:tcW w:w="3932" w:type="pct"/>
            <w:tcBorders>
              <w:top w:val="single" w:color="auto" w:sz="4" w:space="0"/>
              <w:left w:val="single" w:color="auto" w:sz="4" w:space="0"/>
              <w:bottom w:val="single" w:color="auto" w:sz="4" w:space="0"/>
              <w:right w:val="single" w:color="auto" w:sz="4" w:space="0"/>
            </w:tcBorders>
            <w:vAlign w:val="top"/>
          </w:tcPr>
          <w:p w14:paraId="09CC8847">
            <w:pPr>
              <w:pStyle w:val="49"/>
              <w:spacing w:line="400" w:lineRule="exact"/>
              <w:ind w:left="105" w:leftChars="50" w:right="105" w:rightChars="50"/>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评审标准</w:t>
            </w:r>
          </w:p>
        </w:tc>
      </w:tr>
      <w:tr w14:paraId="0C3E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228229E2">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9" w:type="pct"/>
            <w:tcBorders>
              <w:top w:val="single" w:color="auto" w:sz="4" w:space="0"/>
              <w:left w:val="single" w:color="auto" w:sz="4" w:space="0"/>
              <w:bottom w:val="single" w:color="auto" w:sz="4" w:space="0"/>
              <w:right w:val="single" w:color="auto" w:sz="4" w:space="0"/>
            </w:tcBorders>
            <w:vAlign w:val="center"/>
          </w:tcPr>
          <w:p w14:paraId="78143718">
            <w:pPr>
              <w:keepNext w:val="0"/>
              <w:keepLines w:val="0"/>
              <w:pageBreakBefore w:val="0"/>
              <w:widowControl/>
              <w:kinsoku w:val="0"/>
              <w:wordWrap/>
              <w:topLinePunct w:val="0"/>
              <w:autoSpaceDE w:val="0"/>
              <w:autoSpaceDN w:val="0"/>
              <w:bidi w:val="0"/>
              <w:adjustRightInd w:val="0"/>
              <w:snapToGrid w:val="0"/>
              <w:spacing w:before="185" w:line="240" w:lineRule="auto"/>
              <w:ind w:left="3747" w:leftChars="52" w:hanging="3638" w:hangingChars="1700"/>
              <w:jc w:val="center"/>
              <w:textAlignment w:val="baseline"/>
              <w:rPr>
                <w:rFonts w:hint="eastAsia" w:ascii="宋体" w:hAnsi="宋体" w:eastAsia="宋体" w:cs="宋体"/>
                <w:color w:val="auto"/>
                <w:spacing w:val="17"/>
                <w:sz w:val="21"/>
                <w:szCs w:val="21"/>
                <w:highlight w:val="none"/>
                <w:lang w:eastAsia="zh-CN"/>
              </w:rPr>
            </w:pPr>
            <w:r>
              <w:rPr>
                <w:rFonts w:hint="eastAsia" w:ascii="宋体" w:hAnsi="宋体" w:eastAsia="宋体" w:cs="宋体"/>
                <w:b w:val="0"/>
                <w:bCs w:val="0"/>
                <w:color w:val="auto"/>
                <w:spacing w:val="2"/>
                <w:sz w:val="21"/>
                <w:szCs w:val="21"/>
                <w:highlight w:val="none"/>
                <w:lang w:val="en-US" w:eastAsia="zh-CN"/>
              </w:rPr>
              <w:t>营业执照</w:t>
            </w:r>
          </w:p>
        </w:tc>
        <w:tc>
          <w:tcPr>
            <w:tcW w:w="3932" w:type="pct"/>
            <w:tcBorders>
              <w:top w:val="single" w:color="auto" w:sz="4" w:space="0"/>
              <w:left w:val="single" w:color="auto" w:sz="4" w:space="0"/>
              <w:bottom w:val="single" w:color="auto" w:sz="4" w:space="0"/>
              <w:right w:val="single" w:color="auto" w:sz="4" w:space="0"/>
            </w:tcBorders>
            <w:vAlign w:val="center"/>
          </w:tcPr>
          <w:p w14:paraId="6465E0BF">
            <w:pPr>
              <w:keepNext w:val="0"/>
              <w:keepLines w:val="0"/>
              <w:pageBreakBefore w:val="0"/>
              <w:widowControl/>
              <w:kinsoku w:val="0"/>
              <w:wordWrap/>
              <w:topLinePunct w:val="0"/>
              <w:autoSpaceDE w:val="0"/>
              <w:autoSpaceDN w:val="0"/>
              <w:bidi w:val="0"/>
              <w:adjustRightInd w:val="0"/>
              <w:snapToGrid w:val="0"/>
              <w:spacing w:before="145" w:line="240" w:lineRule="auto"/>
              <w:ind w:left="112"/>
              <w:jc w:val="left"/>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6"/>
                <w:sz w:val="21"/>
                <w:szCs w:val="21"/>
                <w:highlight w:val="none"/>
                <w:lang w:val="en-US" w:eastAsia="zh-CN"/>
              </w:rPr>
              <w:t>投标文件内附</w:t>
            </w:r>
            <w:r>
              <w:rPr>
                <w:rFonts w:hint="eastAsia" w:ascii="宋体" w:hAnsi="宋体" w:eastAsia="宋体" w:cs="宋体"/>
                <w:color w:val="auto"/>
                <w:spacing w:val="16"/>
                <w:sz w:val="21"/>
                <w:szCs w:val="21"/>
                <w:highlight w:val="none"/>
              </w:rPr>
              <w:t>营业执照副本复印件加盖</w:t>
            </w:r>
            <w:r>
              <w:rPr>
                <w:rFonts w:hint="eastAsia" w:ascii="宋体" w:hAnsi="宋体" w:eastAsia="宋体" w:cs="宋体"/>
                <w:color w:val="auto"/>
                <w:spacing w:val="16"/>
                <w:sz w:val="21"/>
                <w:szCs w:val="21"/>
                <w:highlight w:val="none"/>
                <w:lang w:val="en-US" w:eastAsia="zh-CN"/>
              </w:rPr>
              <w:t>单位</w:t>
            </w:r>
            <w:r>
              <w:rPr>
                <w:rFonts w:hint="eastAsia" w:ascii="宋体" w:hAnsi="宋体" w:eastAsia="宋体" w:cs="宋体"/>
                <w:color w:val="auto"/>
                <w:spacing w:val="16"/>
                <w:sz w:val="21"/>
                <w:szCs w:val="21"/>
                <w:highlight w:val="none"/>
              </w:rPr>
              <w:t>公章</w:t>
            </w:r>
            <w:r>
              <w:rPr>
                <w:rFonts w:hint="eastAsia" w:ascii="宋体" w:hAnsi="宋体" w:eastAsia="宋体" w:cs="宋体"/>
                <w:color w:val="auto"/>
                <w:spacing w:val="16"/>
                <w:sz w:val="21"/>
                <w:szCs w:val="21"/>
                <w:highlight w:val="none"/>
                <w:lang w:eastAsia="zh-CN"/>
              </w:rPr>
              <w:t>。</w:t>
            </w:r>
          </w:p>
        </w:tc>
      </w:tr>
      <w:tr w14:paraId="62AF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15C008F8">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2</w:t>
            </w:r>
          </w:p>
        </w:tc>
        <w:tc>
          <w:tcPr>
            <w:tcW w:w="799" w:type="pct"/>
            <w:tcBorders>
              <w:top w:val="single" w:color="auto" w:sz="4" w:space="0"/>
              <w:bottom w:val="single" w:color="auto" w:sz="4" w:space="0"/>
            </w:tcBorders>
            <w:shd w:val="clear" w:color="auto" w:fill="auto"/>
            <w:vAlign w:val="center"/>
          </w:tcPr>
          <w:p w14:paraId="087B51C1">
            <w:pPr>
              <w:keepNext w:val="0"/>
              <w:keepLines w:val="0"/>
              <w:pageBreakBefore w:val="0"/>
              <w:widowControl/>
              <w:kinsoku w:val="0"/>
              <w:wordWrap/>
              <w:topLinePunct w:val="0"/>
              <w:autoSpaceDE w:val="0"/>
              <w:autoSpaceDN w:val="0"/>
              <w:bidi w:val="0"/>
              <w:adjustRightInd w:val="0"/>
              <w:snapToGrid w:val="0"/>
              <w:spacing w:before="53" w:line="240" w:lineRule="auto"/>
              <w:ind w:left="109" w:leftChars="0" w:right="106" w:rightChars="0"/>
              <w:jc w:val="center"/>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财务要求</w:t>
            </w:r>
          </w:p>
        </w:tc>
        <w:tc>
          <w:tcPr>
            <w:tcW w:w="3932" w:type="pct"/>
            <w:tcBorders>
              <w:top w:val="single" w:color="auto" w:sz="4" w:space="0"/>
            </w:tcBorders>
            <w:shd w:val="clear" w:color="auto" w:fill="auto"/>
            <w:vAlign w:val="center"/>
          </w:tcPr>
          <w:p w14:paraId="48A39FCC">
            <w:pPr>
              <w:keepNext w:val="0"/>
              <w:keepLines w:val="0"/>
              <w:pageBreakBefore w:val="0"/>
              <w:widowControl/>
              <w:kinsoku w:val="0"/>
              <w:wordWrap/>
              <w:topLinePunct w:val="0"/>
              <w:autoSpaceDE w:val="0"/>
              <w:autoSpaceDN w:val="0"/>
              <w:bidi w:val="0"/>
              <w:adjustRightInd w:val="0"/>
              <w:snapToGrid w:val="0"/>
              <w:spacing w:before="145" w:line="240" w:lineRule="auto"/>
              <w:ind w:left="112" w:leftChars="0"/>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color w:val="auto"/>
                <w:spacing w:val="16"/>
                <w:sz w:val="21"/>
                <w:szCs w:val="21"/>
                <w:highlight w:val="none"/>
                <w:lang w:eastAsia="zh-CN"/>
              </w:rPr>
              <w:t>投标人须具有良好的商业信誉和健全的财务会计制度，提供近一年（2024年度）财务审计报告，2025年以后新成立的公司无财务审计报告的，投标文件内提供一份自成立之日起至今财务状况良好承诺书。</w:t>
            </w:r>
            <w:r>
              <w:rPr>
                <w:rFonts w:hint="eastAsia" w:ascii="宋体" w:hAnsi="宋体" w:eastAsia="宋体" w:cs="宋体"/>
                <w:color w:val="auto"/>
                <w:spacing w:val="16"/>
                <w:sz w:val="21"/>
                <w:szCs w:val="21"/>
                <w:highlight w:val="none"/>
                <w:lang w:val="en-US" w:eastAsia="zh-CN"/>
              </w:rPr>
              <w:t>投标文件内附复印件加盖单位公章。</w:t>
            </w:r>
          </w:p>
        </w:tc>
      </w:tr>
      <w:tr w14:paraId="0E340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0A44E9EB">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99" w:type="pct"/>
            <w:tcBorders>
              <w:top w:val="single" w:color="auto" w:sz="4" w:space="0"/>
              <w:bottom w:val="single" w:color="auto" w:sz="4" w:space="0"/>
            </w:tcBorders>
            <w:vAlign w:val="center"/>
          </w:tcPr>
          <w:p w14:paraId="6826FAE3">
            <w:pPr>
              <w:keepNext w:val="0"/>
              <w:keepLines w:val="0"/>
              <w:pageBreakBefore w:val="0"/>
              <w:widowControl/>
              <w:kinsoku w:val="0"/>
              <w:wordWrap/>
              <w:topLinePunct w:val="0"/>
              <w:autoSpaceDE w:val="0"/>
              <w:autoSpaceDN w:val="0"/>
              <w:bidi w:val="0"/>
              <w:adjustRightInd w:val="0"/>
              <w:snapToGrid w:val="0"/>
              <w:spacing w:before="53" w:line="240" w:lineRule="auto"/>
              <w:ind w:left="110" w:right="106" w:firstLine="4"/>
              <w:jc w:val="center"/>
              <w:textAlignment w:val="baseline"/>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pacing w:val="-1"/>
                <w:sz w:val="21"/>
                <w:szCs w:val="21"/>
                <w:highlight w:val="none"/>
                <w:lang w:val="en-US" w:eastAsia="zh-CN"/>
              </w:rPr>
              <w:t>具有</w:t>
            </w:r>
            <w:r>
              <w:rPr>
                <w:rFonts w:hint="eastAsia" w:ascii="宋体" w:hAnsi="宋体" w:eastAsia="宋体" w:cs="宋体"/>
                <w:b w:val="0"/>
                <w:bCs w:val="0"/>
                <w:color w:val="auto"/>
                <w:spacing w:val="-1"/>
                <w:sz w:val="21"/>
                <w:szCs w:val="21"/>
                <w:highlight w:val="none"/>
              </w:rPr>
              <w:t>依法缴纳</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"http://www.so.com/s?q=%E7%A8%8E%E6%94%B6&amp;ie=utf-8&amp;src=internal_wenda_recommend_textn"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税收</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和</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社会保障资金</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的良好记录</w:t>
            </w:r>
          </w:p>
        </w:tc>
        <w:tc>
          <w:tcPr>
            <w:tcW w:w="3932" w:type="pct"/>
            <w:tcBorders>
              <w:top w:val="single" w:color="auto" w:sz="4" w:space="0"/>
            </w:tcBorders>
            <w:vAlign w:val="center"/>
          </w:tcPr>
          <w:p w14:paraId="4D8AA156">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eastAsia="zh-CN"/>
              </w:rPr>
            </w:pPr>
            <w:r>
              <w:rPr>
                <w:rFonts w:hint="eastAsia" w:ascii="宋体" w:hAnsi="宋体" w:eastAsia="宋体" w:cs="宋体"/>
                <w:color w:val="auto"/>
                <w:spacing w:val="16"/>
                <w:sz w:val="21"/>
                <w:szCs w:val="21"/>
                <w:highlight w:val="none"/>
                <w:lang w:eastAsia="zh-CN"/>
              </w:rPr>
              <w:t>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r>
              <w:rPr>
                <w:rFonts w:hint="eastAsia" w:ascii="宋体" w:hAnsi="宋体" w:eastAsia="宋体" w:cs="宋体"/>
                <w:color w:val="auto"/>
                <w:spacing w:val="16"/>
                <w:sz w:val="21"/>
                <w:szCs w:val="21"/>
                <w:highlight w:val="none"/>
                <w:lang w:val="en-US" w:eastAsia="zh-CN"/>
              </w:rPr>
              <w:t>投标文件内附复印件加盖单位公章。</w:t>
            </w:r>
          </w:p>
        </w:tc>
      </w:tr>
      <w:tr w14:paraId="40F5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47DE3AE4">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99" w:type="pct"/>
            <w:vAlign w:val="center"/>
          </w:tcPr>
          <w:p w14:paraId="708F91C4">
            <w:pPr>
              <w:keepNext w:val="0"/>
              <w:keepLines w:val="0"/>
              <w:pageBreakBefore w:val="0"/>
              <w:widowControl/>
              <w:tabs>
                <w:tab w:val="left" w:pos="220"/>
              </w:tabs>
              <w:kinsoku w:val="0"/>
              <w:wordWrap/>
              <w:topLinePunct w:val="0"/>
              <w:autoSpaceDE w:val="0"/>
              <w:autoSpaceDN w:val="0"/>
              <w:bidi w:val="0"/>
              <w:adjustRightInd w:val="0"/>
              <w:snapToGrid w:val="0"/>
              <w:spacing w:before="55" w:line="240" w:lineRule="auto"/>
              <w:ind w:left="105" w:right="103" w:firstLine="5"/>
              <w:jc w:val="center"/>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信誉要求</w:t>
            </w:r>
          </w:p>
        </w:tc>
        <w:tc>
          <w:tcPr>
            <w:tcW w:w="3932" w:type="pct"/>
            <w:vAlign w:val="center"/>
          </w:tcPr>
          <w:p w14:paraId="4594C1DE">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r>
              <w:rPr>
                <w:rFonts w:hint="eastAsia" w:ascii="宋体" w:hAnsi="宋体" w:eastAsia="宋体" w:cs="宋体"/>
                <w:color w:val="auto"/>
                <w:spacing w:val="16"/>
                <w:sz w:val="21"/>
                <w:szCs w:val="21"/>
                <w:highlight w:val="none"/>
              </w:rPr>
              <w:t>投标文件内（1）附由法定代表人或其委托代理人签字（或盖章）并加盖投标单位公章（鲜章）的承诺书，（2）网站查询截图复印件加盖投标单位公章（鲜章）</w:t>
            </w:r>
          </w:p>
        </w:tc>
      </w:tr>
      <w:tr w14:paraId="17CA9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36FBE443">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9" w:type="pct"/>
            <w:vAlign w:val="center"/>
          </w:tcPr>
          <w:p w14:paraId="0C89C5A5">
            <w:pPr>
              <w:pStyle w:val="49"/>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color w:val="auto"/>
                <w:spacing w:val="-1"/>
                <w:sz w:val="21"/>
                <w:szCs w:val="21"/>
                <w:highlight w:val="none"/>
                <w:lang w:val="en-US" w:eastAsia="zh-CN"/>
              </w:rPr>
              <w:t>其他要求</w:t>
            </w:r>
          </w:p>
        </w:tc>
        <w:tc>
          <w:tcPr>
            <w:tcW w:w="3932" w:type="pct"/>
            <w:vAlign w:val="center"/>
          </w:tcPr>
          <w:p w14:paraId="6FB992DE">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lang w:val="en-US" w:eastAsia="zh-CN"/>
              </w:rPr>
              <w:t>1.投标人参加政府采购活动前3年内在经营活动中没有重大违法记录。投标文件内附承诺书加盖单位公章。</w:t>
            </w:r>
          </w:p>
          <w:p w14:paraId="5F08BAB2">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rPr>
            </w:pPr>
            <w:r>
              <w:rPr>
                <w:rFonts w:hint="eastAsia" w:ascii="宋体" w:hAnsi="宋体" w:eastAsia="宋体" w:cs="宋体"/>
                <w:color w:val="auto"/>
                <w:spacing w:val="16"/>
                <w:sz w:val="21"/>
                <w:szCs w:val="21"/>
                <w:highlight w:val="none"/>
                <w:lang w:val="en-US" w:eastAsia="zh-CN"/>
              </w:rPr>
              <w:t>2.投标人与采购人存在利害关系可能影响采购公正性的法人、其他组织或者个人，不得参加投标；单位负责人为同一人或者存在直接控股、管理关系的不同投标人，不得参加同一合同项下的政府采购活动。否则相关投标无效。。投标文件内附承诺书加盖单位公章。</w:t>
            </w:r>
          </w:p>
        </w:tc>
      </w:tr>
    </w:tbl>
    <w:p w14:paraId="2E87AB4A">
      <w:pPr>
        <w:spacing w:line="27" w:lineRule="exact"/>
        <w:rPr>
          <w:rFonts w:hint="eastAsia" w:ascii="宋体" w:hAnsi="宋体" w:eastAsia="宋体" w:cs="宋体"/>
          <w:color w:val="auto"/>
          <w:sz w:val="24"/>
          <w:szCs w:val="24"/>
          <w:highlight w:val="none"/>
        </w:rPr>
      </w:pPr>
    </w:p>
    <w:p w14:paraId="0DC9195D">
      <w:pPr>
        <w:spacing w:before="235" w:line="240" w:lineRule="auto"/>
        <w:ind w:left="3" w:right="333"/>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29BE42AE">
      <w:pPr>
        <w:spacing w:line="226"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评标委员会全体成员签名：</w:t>
      </w:r>
    </w:p>
    <w:p w14:paraId="4BF79A7E">
      <w:pPr>
        <w:spacing w:before="250" w:line="227" w:lineRule="auto"/>
        <w:ind w:right="290"/>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29026212">
      <w:pPr>
        <w:rPr>
          <w:rFonts w:hint="eastAsia" w:ascii="宋体" w:hAnsi="宋体" w:eastAsia="宋体" w:cs="宋体"/>
          <w:color w:val="auto"/>
          <w:sz w:val="24"/>
          <w:szCs w:val="24"/>
          <w:highlight w:val="none"/>
        </w:rPr>
        <w:sectPr>
          <w:pgSz w:w="11906" w:h="16839"/>
          <w:pgMar w:top="820" w:right="916" w:bottom="1156" w:left="1425" w:header="0" w:footer="996" w:gutter="0"/>
          <w:pgNumType w:fmt="decimal"/>
          <w:cols w:space="720" w:num="1"/>
        </w:sectPr>
      </w:pPr>
    </w:p>
    <w:p w14:paraId="5A4DC8A4">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15"/>
          <w:sz w:val="23"/>
          <w:szCs w:val="23"/>
          <w:highlight w:val="none"/>
        </w:rPr>
        <w:t>附</w:t>
      </w:r>
      <w:r>
        <w:rPr>
          <w:rFonts w:hint="eastAsia" w:ascii="宋体" w:hAnsi="宋体" w:eastAsia="宋体" w:cs="宋体"/>
          <w:b/>
          <w:bCs/>
          <w:color w:val="auto"/>
          <w:spacing w:val="-12"/>
          <w:sz w:val="23"/>
          <w:szCs w:val="23"/>
          <w:highlight w:val="none"/>
        </w:rPr>
        <w:t>表 2</w:t>
      </w:r>
    </w:p>
    <w:p w14:paraId="01DCCA91">
      <w:pPr>
        <w:spacing w:before="170" w:line="225" w:lineRule="auto"/>
        <w:ind w:left="3667"/>
        <w:rPr>
          <w:rFonts w:hint="eastAsia" w:ascii="宋体" w:hAnsi="宋体" w:eastAsia="宋体" w:cs="宋体"/>
          <w:b/>
          <w:bCs/>
          <w:color w:val="auto"/>
          <w:sz w:val="31"/>
          <w:szCs w:val="31"/>
          <w:highlight w:val="none"/>
        </w:rPr>
      </w:pPr>
      <w:r>
        <w:rPr>
          <w:rFonts w:hint="eastAsia" w:ascii="宋体" w:hAnsi="宋体" w:eastAsia="宋体" w:cs="宋体"/>
          <w:b/>
          <w:bCs/>
          <w:color w:val="auto"/>
          <w:spacing w:val="9"/>
          <w:sz w:val="31"/>
          <w:szCs w:val="31"/>
          <w:highlight w:val="none"/>
        </w:rPr>
        <w:t>符</w:t>
      </w:r>
      <w:r>
        <w:rPr>
          <w:rFonts w:hint="eastAsia" w:ascii="宋体" w:hAnsi="宋体" w:eastAsia="宋体" w:cs="宋体"/>
          <w:b/>
          <w:bCs/>
          <w:color w:val="auto"/>
          <w:spacing w:val="7"/>
          <w:sz w:val="31"/>
          <w:szCs w:val="31"/>
          <w:highlight w:val="none"/>
        </w:rPr>
        <w:t>合性评审表</w:t>
      </w:r>
    </w:p>
    <w:p w14:paraId="4599ADCB">
      <w:pPr>
        <w:spacing w:line="240" w:lineRule="auto"/>
        <w:rPr>
          <w:rFonts w:hint="eastAsia" w:ascii="宋体" w:hAnsi="宋体" w:eastAsia="宋体" w:cs="宋体"/>
          <w:color w:val="auto"/>
          <w:sz w:val="24"/>
          <w:szCs w:val="24"/>
          <w:highlight w:val="none"/>
        </w:rPr>
      </w:pPr>
    </w:p>
    <w:tbl>
      <w:tblPr>
        <w:tblStyle w:val="42"/>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5"/>
        <w:gridCol w:w="2575"/>
        <w:gridCol w:w="6379"/>
      </w:tblGrid>
      <w:tr w14:paraId="6A72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37" w:type="pct"/>
            <w:tcBorders>
              <w:top w:val="single" w:color="auto" w:sz="4" w:space="0"/>
              <w:left w:val="single" w:color="auto" w:sz="4" w:space="0"/>
              <w:bottom w:val="single" w:color="auto" w:sz="4" w:space="0"/>
              <w:right w:val="single" w:color="auto" w:sz="4" w:space="0"/>
            </w:tcBorders>
            <w:vAlign w:val="center"/>
          </w:tcPr>
          <w:p w14:paraId="156B1044">
            <w:pPr>
              <w:spacing w:before="65" w:line="360" w:lineRule="auto"/>
              <w:ind w:left="18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65A23D6D">
            <w:pPr>
              <w:pStyle w:val="49"/>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评审因素</w:t>
            </w:r>
          </w:p>
        </w:tc>
        <w:tc>
          <w:tcPr>
            <w:tcW w:w="3392" w:type="pct"/>
            <w:tcBorders>
              <w:top w:val="single" w:color="auto" w:sz="4" w:space="0"/>
              <w:left w:val="single" w:color="auto" w:sz="4" w:space="0"/>
              <w:bottom w:val="single" w:color="auto" w:sz="4" w:space="0"/>
              <w:right w:val="single" w:color="auto" w:sz="4" w:space="0"/>
            </w:tcBorders>
            <w:shd w:val="clear" w:color="auto" w:fill="auto"/>
            <w:vAlign w:val="center"/>
          </w:tcPr>
          <w:p w14:paraId="7F10C571">
            <w:pPr>
              <w:pStyle w:val="49"/>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评审标准</w:t>
            </w:r>
          </w:p>
        </w:tc>
      </w:tr>
      <w:tr w14:paraId="6F09F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tcBorders>
              <w:top w:val="single" w:color="auto" w:sz="4" w:space="0"/>
            </w:tcBorders>
            <w:vAlign w:val="center"/>
          </w:tcPr>
          <w:p w14:paraId="0E4ECB1A">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9" w:type="pct"/>
            <w:tcBorders>
              <w:top w:val="single" w:color="auto" w:sz="4" w:space="0"/>
            </w:tcBorders>
            <w:vAlign w:val="center"/>
          </w:tcPr>
          <w:p w14:paraId="6EFA080E">
            <w:pPr>
              <w:pStyle w:val="49"/>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投标人名称</w:t>
            </w:r>
          </w:p>
        </w:tc>
        <w:tc>
          <w:tcPr>
            <w:tcW w:w="3392" w:type="pct"/>
            <w:tcBorders>
              <w:top w:val="single" w:color="auto" w:sz="4" w:space="0"/>
            </w:tcBorders>
            <w:vAlign w:val="center"/>
          </w:tcPr>
          <w:p w14:paraId="3D0C549C">
            <w:pPr>
              <w:pStyle w:val="49"/>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与营业执照一致。</w:t>
            </w:r>
          </w:p>
        </w:tc>
      </w:tr>
      <w:tr w14:paraId="2B16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5C8D3DB6">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69" w:type="pct"/>
            <w:vAlign w:val="center"/>
          </w:tcPr>
          <w:p w14:paraId="7935C87B">
            <w:pPr>
              <w:pStyle w:val="49"/>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投标函签字盖章</w:t>
            </w:r>
          </w:p>
        </w:tc>
        <w:tc>
          <w:tcPr>
            <w:tcW w:w="3392" w:type="pct"/>
            <w:vAlign w:val="center"/>
          </w:tcPr>
          <w:p w14:paraId="06A837EC">
            <w:pPr>
              <w:pStyle w:val="49"/>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有法定代表人或其委托代理人签字和加盖单</w:t>
            </w:r>
            <w:r>
              <w:rPr>
                <w:rFonts w:hint="eastAsia" w:ascii="宋体" w:hAnsi="宋体" w:eastAsia="宋体" w:cs="宋体"/>
                <w:color w:val="auto"/>
                <w:highlight w:val="none"/>
                <w:lang w:eastAsia="zh-CN"/>
              </w:rPr>
              <w:t>位公</w:t>
            </w:r>
            <w:r>
              <w:rPr>
                <w:rFonts w:hint="eastAsia" w:ascii="宋体" w:hAnsi="宋体" w:eastAsia="宋体" w:cs="宋体"/>
                <w:color w:val="auto"/>
                <w:highlight w:val="none"/>
              </w:rPr>
              <w:t>章。</w:t>
            </w:r>
          </w:p>
        </w:tc>
      </w:tr>
      <w:tr w14:paraId="5BD94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D3DD514">
            <w:pPr>
              <w:spacing w:before="1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69" w:type="pct"/>
            <w:vAlign w:val="top"/>
          </w:tcPr>
          <w:p w14:paraId="010CDF00">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392" w:type="pct"/>
            <w:vAlign w:val="top"/>
          </w:tcPr>
          <w:p w14:paraId="175B0278">
            <w:pPr>
              <w:spacing w:before="148"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按</w:t>
            </w:r>
            <w:r>
              <w:rPr>
                <w:rFonts w:hint="eastAsia" w:ascii="宋体" w:hAnsi="宋体" w:eastAsia="宋体" w:cs="宋体"/>
                <w:color w:val="auto"/>
                <w:spacing w:val="9"/>
                <w:sz w:val="21"/>
                <w:szCs w:val="21"/>
                <w:highlight w:val="none"/>
              </w:rPr>
              <w:t>照招标文件的规定提供投标保证金的</w:t>
            </w:r>
          </w:p>
        </w:tc>
      </w:tr>
      <w:tr w14:paraId="5706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C60038D">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69" w:type="pct"/>
            <w:vAlign w:val="top"/>
          </w:tcPr>
          <w:p w14:paraId="205A62FC">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w:t>
            </w:r>
          </w:p>
        </w:tc>
        <w:tc>
          <w:tcPr>
            <w:tcW w:w="3392" w:type="pct"/>
            <w:vAlign w:val="top"/>
          </w:tcPr>
          <w:p w14:paraId="254CA3F0">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标有效期满足招标文件要求</w:t>
            </w:r>
          </w:p>
        </w:tc>
      </w:tr>
      <w:tr w14:paraId="1E48F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6FA812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69" w:type="pct"/>
            <w:vAlign w:val="top"/>
          </w:tcPr>
          <w:p w14:paraId="19CCBC66">
            <w:pPr>
              <w:spacing w:before="130" w:line="36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供货期</w:t>
            </w:r>
          </w:p>
        </w:tc>
        <w:tc>
          <w:tcPr>
            <w:tcW w:w="3392" w:type="pct"/>
            <w:vAlign w:val="top"/>
          </w:tcPr>
          <w:p w14:paraId="734D572E">
            <w:pPr>
              <w:spacing w:before="110" w:line="36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供货期满足招标文件要求</w:t>
            </w:r>
          </w:p>
        </w:tc>
      </w:tr>
      <w:tr w14:paraId="02AB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1D3C0F6E">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69" w:type="pct"/>
            <w:vAlign w:val="top"/>
          </w:tcPr>
          <w:p w14:paraId="363581C4">
            <w:pPr>
              <w:spacing w:before="13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3392" w:type="pct"/>
            <w:vAlign w:val="top"/>
          </w:tcPr>
          <w:p w14:paraId="110E4213">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投标报价未超过招标预</w:t>
            </w:r>
            <w:r>
              <w:rPr>
                <w:rFonts w:hint="eastAsia" w:ascii="宋体" w:hAnsi="宋体" w:eastAsia="宋体" w:cs="宋体"/>
                <w:color w:val="auto"/>
                <w:spacing w:val="8"/>
                <w:sz w:val="21"/>
                <w:szCs w:val="21"/>
                <w:highlight w:val="none"/>
              </w:rPr>
              <w:t>算</w:t>
            </w:r>
          </w:p>
        </w:tc>
      </w:tr>
      <w:tr w14:paraId="58862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636FCCF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69" w:type="pct"/>
            <w:vAlign w:val="center"/>
          </w:tcPr>
          <w:p w14:paraId="7B17DCFB">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8"/>
                <w:sz w:val="21"/>
                <w:szCs w:val="21"/>
                <w:highlight w:val="none"/>
              </w:rPr>
              <w:t>不能接受的条件</w:t>
            </w:r>
          </w:p>
        </w:tc>
        <w:tc>
          <w:tcPr>
            <w:tcW w:w="3392" w:type="pct"/>
            <w:vAlign w:val="top"/>
          </w:tcPr>
          <w:p w14:paraId="70FF8934">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投标文件没有买方不能接受的条件</w:t>
            </w:r>
          </w:p>
        </w:tc>
      </w:tr>
      <w:tr w14:paraId="3BAC7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21957DD">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69" w:type="pct"/>
            <w:vAlign w:val="center"/>
          </w:tcPr>
          <w:p w14:paraId="24E466AD">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商务和技术要求</w:t>
            </w:r>
          </w:p>
        </w:tc>
        <w:tc>
          <w:tcPr>
            <w:tcW w:w="3392" w:type="pct"/>
            <w:vAlign w:val="top"/>
          </w:tcPr>
          <w:p w14:paraId="47C97AAD">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按招标文件要求对商务和技术需求进行应答，投标人须如实根据所投产品信息填写“技术规格偏离表、商务条款偏离表”。</w:t>
            </w:r>
          </w:p>
          <w:p w14:paraId="25E251A0">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b/>
                <w:bCs/>
                <w:color w:val="auto"/>
                <w:spacing w:val="18"/>
                <w:sz w:val="21"/>
                <w:szCs w:val="21"/>
                <w:highlight w:val="none"/>
              </w:rPr>
              <w:t>商务和技术的主要条款用“*”表示，这些主要条款的任何负偏离将导致其投标被否决。</w:t>
            </w:r>
          </w:p>
        </w:tc>
      </w:tr>
      <w:tr w14:paraId="7959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2B1409C">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69" w:type="pct"/>
            <w:vAlign w:val="top"/>
          </w:tcPr>
          <w:p w14:paraId="1E0D0AF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实质性条款</w:t>
            </w:r>
          </w:p>
        </w:tc>
        <w:tc>
          <w:tcPr>
            <w:tcW w:w="3392" w:type="pct"/>
            <w:vAlign w:val="top"/>
          </w:tcPr>
          <w:p w14:paraId="2C667AC7">
            <w:pPr>
              <w:spacing w:before="111" w:line="360"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响</w:t>
            </w:r>
            <w:r>
              <w:rPr>
                <w:rFonts w:hint="eastAsia" w:ascii="宋体" w:hAnsi="宋体" w:eastAsia="宋体" w:cs="宋体"/>
                <w:color w:val="auto"/>
                <w:spacing w:val="10"/>
                <w:sz w:val="21"/>
                <w:szCs w:val="21"/>
                <w:highlight w:val="none"/>
              </w:rPr>
              <w:t>应</w:t>
            </w:r>
            <w:r>
              <w:rPr>
                <w:rFonts w:hint="eastAsia" w:ascii="宋体" w:hAnsi="宋体" w:eastAsia="宋体" w:cs="宋体"/>
                <w:color w:val="auto"/>
                <w:spacing w:val="8"/>
                <w:sz w:val="21"/>
                <w:szCs w:val="21"/>
                <w:highlight w:val="none"/>
              </w:rPr>
              <w:t>招标文件规定的全部实质性条款</w:t>
            </w:r>
          </w:p>
        </w:tc>
      </w:tr>
      <w:tr w14:paraId="2CDEB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10A2EE2">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0</w:t>
            </w:r>
          </w:p>
        </w:tc>
        <w:tc>
          <w:tcPr>
            <w:tcW w:w="1369" w:type="pct"/>
            <w:vAlign w:val="top"/>
          </w:tcPr>
          <w:p w14:paraId="4E242EF4">
            <w:pPr>
              <w:spacing w:before="130"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投标文件制作要求</w:t>
            </w:r>
          </w:p>
        </w:tc>
        <w:tc>
          <w:tcPr>
            <w:tcW w:w="3392" w:type="pct"/>
            <w:vAlign w:val="top"/>
          </w:tcPr>
          <w:p w14:paraId="5B0754B4">
            <w:pPr>
              <w:spacing w:before="112"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投标文件</w:t>
            </w:r>
            <w:r>
              <w:rPr>
                <w:rFonts w:hint="eastAsia" w:ascii="宋体" w:hAnsi="宋体" w:eastAsia="宋体" w:cs="宋体"/>
                <w:color w:val="auto"/>
                <w:spacing w:val="9"/>
                <w:sz w:val="21"/>
                <w:szCs w:val="21"/>
                <w:highlight w:val="none"/>
              </w:rPr>
              <w:t>关键内容没有不全、字迹模糊、无法辨认</w:t>
            </w:r>
          </w:p>
        </w:tc>
      </w:tr>
      <w:tr w14:paraId="5AEA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2E365776">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1</w:t>
            </w:r>
          </w:p>
        </w:tc>
        <w:tc>
          <w:tcPr>
            <w:tcW w:w="1369" w:type="pct"/>
            <w:vAlign w:val="top"/>
          </w:tcPr>
          <w:p w14:paraId="1EB31593">
            <w:pPr>
              <w:spacing w:before="128"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报价唯一</w:t>
            </w:r>
          </w:p>
        </w:tc>
        <w:tc>
          <w:tcPr>
            <w:tcW w:w="3392" w:type="pct"/>
            <w:vAlign w:val="top"/>
          </w:tcPr>
          <w:p w14:paraId="1A65BF5D">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9"/>
                <w:sz w:val="21"/>
                <w:szCs w:val="21"/>
                <w:highlight w:val="none"/>
              </w:rPr>
              <w:t>标人未报两个或两个以上报价的</w:t>
            </w:r>
          </w:p>
        </w:tc>
      </w:tr>
      <w:tr w14:paraId="6144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67BCA563">
            <w:pPr>
              <w:spacing w:before="12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2</w:t>
            </w:r>
          </w:p>
        </w:tc>
        <w:tc>
          <w:tcPr>
            <w:tcW w:w="1369" w:type="pct"/>
            <w:vAlign w:val="top"/>
          </w:tcPr>
          <w:p w14:paraId="37EDEFDA">
            <w:pPr>
              <w:spacing w:before="129" w:line="360" w:lineRule="auto"/>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偏离</w:t>
            </w:r>
          </w:p>
        </w:tc>
        <w:tc>
          <w:tcPr>
            <w:tcW w:w="3392" w:type="pct"/>
            <w:vAlign w:val="top"/>
          </w:tcPr>
          <w:p w14:paraId="3D312402">
            <w:pPr>
              <w:spacing w:before="112"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符</w:t>
            </w:r>
            <w:r>
              <w:rPr>
                <w:rFonts w:hint="eastAsia" w:ascii="宋体" w:hAnsi="宋体" w:eastAsia="宋体" w:cs="宋体"/>
                <w:color w:val="auto"/>
                <w:spacing w:val="9"/>
                <w:sz w:val="21"/>
                <w:szCs w:val="21"/>
                <w:highlight w:val="none"/>
              </w:rPr>
              <w:t>合招标文件规定要求，未出现重大偏离</w:t>
            </w:r>
          </w:p>
        </w:tc>
      </w:tr>
      <w:tr w14:paraId="1408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FDE6E6C">
            <w:pPr>
              <w:spacing w:before="1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369" w:type="pct"/>
            <w:vAlign w:val="center"/>
          </w:tcPr>
          <w:p w14:paraId="1CB43355">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392" w:type="pct"/>
            <w:vAlign w:val="center"/>
          </w:tcPr>
          <w:p w14:paraId="47575DA9">
            <w:pPr>
              <w:spacing w:before="111" w:line="360" w:lineRule="auto"/>
              <w:ind w:left="112"/>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无其他不符合法律法规和招标文件中规定予以否决的情形</w:t>
            </w:r>
          </w:p>
        </w:tc>
      </w:tr>
    </w:tbl>
    <w:p w14:paraId="3065C834">
      <w:pPr>
        <w:spacing w:before="235" w:line="240" w:lineRule="auto"/>
        <w:ind w:left="3" w:right="131"/>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2D67F93C">
      <w:pPr>
        <w:spacing w:before="74" w:line="240" w:lineRule="auto"/>
        <w:ind w:right="182"/>
        <w:jc w:val="both"/>
        <w:rPr>
          <w:rFonts w:hint="eastAsia" w:ascii="宋体" w:hAnsi="宋体" w:eastAsia="宋体" w:cs="宋体"/>
          <w:color w:val="auto"/>
          <w:spacing w:val="13"/>
          <w:sz w:val="21"/>
          <w:szCs w:val="21"/>
          <w:highlight w:val="none"/>
        </w:rPr>
      </w:pPr>
    </w:p>
    <w:p w14:paraId="5342539B">
      <w:pPr>
        <w:spacing w:before="74" w:line="240" w:lineRule="auto"/>
        <w:ind w:right="182"/>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8"/>
          <w:sz w:val="21"/>
          <w:szCs w:val="21"/>
          <w:highlight w:val="none"/>
        </w:rPr>
        <w:t>标委员会全体成员签名：</w:t>
      </w:r>
    </w:p>
    <w:p w14:paraId="22E06A40">
      <w:pPr>
        <w:spacing w:before="74" w:line="240" w:lineRule="auto"/>
        <w:ind w:right="182"/>
        <w:jc w:val="right"/>
        <w:rPr>
          <w:rFonts w:hint="eastAsia" w:ascii="宋体" w:hAnsi="宋体" w:eastAsia="宋体" w:cs="宋体"/>
          <w:color w:val="auto"/>
          <w:spacing w:val="-1"/>
          <w:sz w:val="21"/>
          <w:szCs w:val="21"/>
          <w:highlight w:val="none"/>
        </w:rPr>
      </w:pPr>
    </w:p>
    <w:p w14:paraId="17C285C7">
      <w:pPr>
        <w:spacing w:before="74" w:line="240" w:lineRule="auto"/>
        <w:ind w:right="182"/>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28BB5F22">
      <w:pPr>
        <w:spacing w:line="360" w:lineRule="auto"/>
        <w:rPr>
          <w:rFonts w:hint="eastAsia" w:ascii="宋体" w:hAnsi="宋体" w:eastAsia="宋体" w:cs="宋体"/>
          <w:color w:val="auto"/>
          <w:sz w:val="24"/>
          <w:szCs w:val="24"/>
          <w:highlight w:val="none"/>
        </w:rPr>
        <w:sectPr>
          <w:footerReference r:id="rId39" w:type="default"/>
          <w:pgSz w:w="11906" w:h="16839"/>
          <w:pgMar w:top="820" w:right="1118" w:bottom="1156" w:left="1425" w:header="0" w:footer="996" w:gutter="0"/>
          <w:pgNumType w:fmt="decimal"/>
          <w:cols w:space="720" w:num="1"/>
        </w:sectPr>
      </w:pPr>
    </w:p>
    <w:p w14:paraId="558DA130">
      <w:pPr>
        <w:spacing w:before="237" w:line="227"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附</w:t>
      </w:r>
      <w:r>
        <w:rPr>
          <w:rFonts w:hint="eastAsia" w:ascii="宋体" w:hAnsi="宋体" w:eastAsia="宋体" w:cs="宋体"/>
          <w:color w:val="auto"/>
          <w:spacing w:val="-12"/>
          <w:sz w:val="23"/>
          <w:szCs w:val="23"/>
          <w:highlight w:val="none"/>
        </w:rPr>
        <w:t>表 3</w:t>
      </w:r>
    </w:p>
    <w:p w14:paraId="24BF05C8">
      <w:pPr>
        <w:spacing w:before="168" w:line="225"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spacing w:val="7"/>
          <w:sz w:val="31"/>
          <w:szCs w:val="31"/>
          <w:highlight w:val="none"/>
        </w:rPr>
        <w:t>详细评审表</w:t>
      </w:r>
    </w:p>
    <w:tbl>
      <w:tblPr>
        <w:tblStyle w:val="22"/>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188"/>
        <w:gridCol w:w="7599"/>
      </w:tblGrid>
      <w:tr w14:paraId="1D8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shd w:val="pct5" w:color="auto" w:fill="auto"/>
            <w:noWrap w:val="0"/>
            <w:vAlign w:val="top"/>
          </w:tcPr>
          <w:p w14:paraId="7849068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603" w:type="pct"/>
            <w:shd w:val="pct5" w:color="auto" w:fill="auto"/>
            <w:noWrap w:val="0"/>
            <w:vAlign w:val="center"/>
          </w:tcPr>
          <w:p w14:paraId="459D51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得分项</w:t>
            </w:r>
          </w:p>
        </w:tc>
        <w:tc>
          <w:tcPr>
            <w:tcW w:w="3858" w:type="pct"/>
            <w:shd w:val="pct5" w:color="auto" w:fill="auto"/>
            <w:noWrap w:val="0"/>
            <w:vAlign w:val="center"/>
          </w:tcPr>
          <w:p w14:paraId="7727BDA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得分规则</w:t>
            </w:r>
          </w:p>
        </w:tc>
      </w:tr>
      <w:tr w14:paraId="6B95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shd w:val="clear" w:color="auto" w:fill="FFFFFF"/>
            <w:noWrap w:val="0"/>
            <w:vAlign w:val="center"/>
          </w:tcPr>
          <w:p w14:paraId="78D0096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价格因素（30分）</w:t>
            </w:r>
          </w:p>
        </w:tc>
        <w:tc>
          <w:tcPr>
            <w:tcW w:w="603" w:type="pct"/>
            <w:shd w:val="clear" w:color="auto" w:fill="FFFFFF"/>
            <w:noWrap w:val="0"/>
            <w:vAlign w:val="center"/>
          </w:tcPr>
          <w:p w14:paraId="49631CF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lang w:val="en-US" w:eastAsia="zh-CN"/>
              </w:rPr>
              <w:t>报价得分</w:t>
            </w:r>
            <w:r>
              <w:rPr>
                <w:rFonts w:hint="eastAsia" w:ascii="宋体" w:hAnsi="宋体" w:eastAsia="宋体" w:cs="宋体"/>
                <w:color w:val="auto"/>
                <w:kern w:val="0"/>
                <w:sz w:val="21"/>
                <w:szCs w:val="21"/>
                <w:highlight w:val="none"/>
                <w:shd w:val="clear" w:color="auto" w:fill="FFFFFF"/>
              </w:rPr>
              <w:t>（30分）</w:t>
            </w:r>
          </w:p>
        </w:tc>
        <w:tc>
          <w:tcPr>
            <w:tcW w:w="3858" w:type="pct"/>
            <w:shd w:val="clear" w:color="auto" w:fill="FFFFFF"/>
            <w:noWrap w:val="0"/>
            <w:vAlign w:val="center"/>
          </w:tcPr>
          <w:p w14:paraId="6958427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以满足招标文件要求且投标价格最低的投标报价作为评标基准价，其价格为满分。其余投标人的价格分按下式计算：价格分=（评分基准价/投标报价）×30。</w:t>
            </w:r>
          </w:p>
        </w:tc>
      </w:tr>
      <w:tr w14:paraId="5D9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restart"/>
            <w:shd w:val="clear" w:color="auto" w:fill="FFFFFF"/>
            <w:noWrap w:val="0"/>
            <w:vAlign w:val="center"/>
          </w:tcPr>
          <w:p w14:paraId="4D31EC8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c>
          <w:tcPr>
            <w:tcW w:w="603" w:type="pct"/>
            <w:shd w:val="clear" w:color="auto" w:fill="FFFFFF"/>
            <w:noWrap w:val="0"/>
            <w:vAlign w:val="center"/>
          </w:tcPr>
          <w:p w14:paraId="75C2339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管理体系（3分）</w:t>
            </w:r>
          </w:p>
        </w:tc>
        <w:tc>
          <w:tcPr>
            <w:tcW w:w="3858" w:type="pct"/>
            <w:shd w:val="clear" w:color="auto" w:fill="FFFFFF"/>
            <w:noWrap w:val="0"/>
            <w:vAlign w:val="top"/>
          </w:tcPr>
          <w:p w14:paraId="0832DB56">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4" w:leftChars="0" w:right="26" w:rightChars="0" w:firstLine="2" w:firstLineChars="0"/>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投标人具有全国认证认可信息公共服务平台可查询有效期内认证范围的质量管</w:t>
            </w:r>
          </w:p>
          <w:p w14:paraId="374CCD6F">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4" w:leftChars="0" w:right="26" w:rightChars="0" w:firstLine="2" w:firstLineChars="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理体系认证、环境管理体系认证、职业健康安全管理体系认证，每提供1类认证证书得1分，不提供不得分，最高得3分。</w:t>
            </w:r>
            <w:r>
              <w:rPr>
                <w:rFonts w:hint="eastAsia" w:ascii="宋体" w:hAnsi="宋体" w:eastAsia="宋体" w:cs="宋体"/>
                <w:b/>
                <w:bCs/>
                <w:color w:val="auto"/>
                <w:spacing w:val="2"/>
                <w:sz w:val="21"/>
                <w:szCs w:val="21"/>
                <w:highlight w:val="none"/>
              </w:rPr>
              <w:t>注:须提供证书扫描件上传至电子投标文件中，未提供完整或未提供不得分。</w:t>
            </w:r>
            <w:r>
              <w:rPr>
                <w:rFonts w:hint="eastAsia" w:ascii="宋体" w:hAnsi="宋体" w:eastAsia="宋体" w:cs="宋体"/>
                <w:color w:val="auto"/>
                <w:spacing w:val="2"/>
                <w:sz w:val="21"/>
                <w:szCs w:val="21"/>
                <w:highlight w:val="none"/>
              </w:rPr>
              <w:tab/>
            </w:r>
          </w:p>
        </w:tc>
      </w:tr>
      <w:tr w14:paraId="02BB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FFFFFF"/>
            <w:noWrap w:val="0"/>
            <w:vAlign w:val="center"/>
          </w:tcPr>
          <w:p w14:paraId="18F1E1D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rPr>
            </w:pPr>
          </w:p>
        </w:tc>
        <w:tc>
          <w:tcPr>
            <w:tcW w:w="603" w:type="pct"/>
            <w:shd w:val="clear" w:color="auto" w:fill="FFFFFF"/>
            <w:noWrap w:val="0"/>
            <w:vAlign w:val="center"/>
          </w:tcPr>
          <w:p w14:paraId="1A4A87D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投标人业绩（9分）</w:t>
            </w:r>
          </w:p>
        </w:tc>
        <w:tc>
          <w:tcPr>
            <w:tcW w:w="3858" w:type="pct"/>
            <w:shd w:val="clear" w:color="auto" w:fill="FFFFFF"/>
            <w:noWrap w:val="0"/>
            <w:vAlign w:val="top"/>
          </w:tcPr>
          <w:p w14:paraId="50ECE420">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102" w:firstLine="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投标人提供近三年（2022年1月1日至投标截止之日，以合同签订时间</w:t>
            </w:r>
            <w:r>
              <w:rPr>
                <w:rFonts w:hint="eastAsia" w:ascii="宋体" w:hAnsi="宋体" w:eastAsia="宋体" w:cs="宋体"/>
                <w:color w:val="auto"/>
                <w:spacing w:val="2"/>
                <w:sz w:val="21"/>
                <w:szCs w:val="21"/>
                <w:highlight w:val="none"/>
              </w:rPr>
              <w:t>为准</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2"/>
                <w:sz w:val="21"/>
                <w:szCs w:val="21"/>
                <w:highlight w:val="none"/>
              </w:rPr>
              <w:t>投标人承担的与本项目同类展柜供货项目</w:t>
            </w:r>
            <w:r>
              <w:rPr>
                <w:rFonts w:hint="eastAsia" w:ascii="宋体" w:hAnsi="宋体" w:eastAsia="宋体" w:cs="宋体"/>
                <w:color w:val="auto"/>
                <w:spacing w:val="1"/>
                <w:sz w:val="21"/>
                <w:szCs w:val="21"/>
                <w:highlight w:val="none"/>
              </w:rPr>
              <w:t>业绩（博物馆、美术</w:t>
            </w:r>
            <w:r>
              <w:rPr>
                <w:rFonts w:hint="eastAsia" w:ascii="宋体" w:hAnsi="宋体" w:eastAsia="宋体" w:cs="宋体"/>
                <w:color w:val="auto"/>
                <w:spacing w:val="-3"/>
                <w:sz w:val="21"/>
                <w:szCs w:val="21"/>
                <w:highlight w:val="none"/>
              </w:rPr>
              <w:t>馆、艺术馆等类似环境</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3"/>
                <w:sz w:val="21"/>
                <w:szCs w:val="21"/>
                <w:highlight w:val="none"/>
              </w:rPr>
              <w:t>每提供一份有效合同得</w:t>
            </w:r>
            <w:r>
              <w:rPr>
                <w:rFonts w:hint="eastAsia" w:ascii="宋体" w:hAnsi="宋体" w:eastAsia="宋体" w:cs="宋体"/>
                <w:color w:val="auto"/>
                <w:spacing w:val="-3"/>
                <w:sz w:val="21"/>
                <w:szCs w:val="21"/>
                <w:highlight w:val="none"/>
                <w:lang w:val="en-US" w:eastAsia="zh-CN"/>
              </w:rPr>
              <w:t>1</w:t>
            </w:r>
            <w:r>
              <w:rPr>
                <w:rFonts w:hint="eastAsia"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分，本项最高得</w:t>
            </w:r>
            <w:r>
              <w:rPr>
                <w:rFonts w:hint="eastAsia" w:cs="宋体"/>
                <w:color w:val="auto"/>
                <w:spacing w:val="-3"/>
                <w:sz w:val="21"/>
                <w:szCs w:val="21"/>
                <w:highlight w:val="none"/>
                <w:lang w:val="en-US" w:eastAsia="zh-CN"/>
              </w:rPr>
              <w:t>9</w:t>
            </w:r>
            <w:r>
              <w:rPr>
                <w:rFonts w:hint="eastAsia" w:ascii="宋体" w:hAnsi="宋体" w:eastAsia="宋体" w:cs="宋体"/>
                <w:color w:val="auto"/>
                <w:spacing w:val="-9"/>
                <w:sz w:val="21"/>
                <w:szCs w:val="21"/>
                <w:highlight w:val="none"/>
              </w:rPr>
              <w:t>分。</w:t>
            </w:r>
            <w:r>
              <w:rPr>
                <w:rFonts w:hint="eastAsia" w:ascii="宋体" w:hAnsi="宋体" w:eastAsia="宋体" w:cs="宋体"/>
                <w:b/>
                <w:bCs/>
                <w:color w:val="auto"/>
                <w:spacing w:val="-3"/>
                <w:sz w:val="21"/>
                <w:szCs w:val="21"/>
                <w:highlight w:val="none"/>
              </w:rPr>
              <w:t>注：提供有效合同扫描件上传至电子投标文件中，未提供完整不得分。</w:t>
            </w:r>
          </w:p>
        </w:tc>
      </w:tr>
      <w:tr w14:paraId="6F9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restart"/>
            <w:noWrap w:val="0"/>
            <w:vAlign w:val="center"/>
          </w:tcPr>
          <w:p w14:paraId="595B12B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技术部分（5</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c>
          <w:tcPr>
            <w:tcW w:w="603" w:type="pct"/>
            <w:noWrap w:val="0"/>
            <w:vAlign w:val="center"/>
          </w:tcPr>
          <w:p w14:paraId="16EE0E0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zh-CN" w:eastAsia="zh-CN"/>
              </w:rPr>
            </w:pPr>
            <w:r>
              <w:rPr>
                <w:rFonts w:hint="eastAsia" w:ascii="宋体" w:hAnsi="宋体" w:eastAsia="宋体" w:cs="宋体"/>
                <w:color w:val="auto"/>
                <w:kern w:val="0"/>
                <w:sz w:val="21"/>
                <w:szCs w:val="21"/>
                <w:highlight w:val="none"/>
                <w:shd w:val="clear" w:color="auto" w:fill="FFFFFF"/>
                <w:lang w:val="en-US" w:eastAsia="zh-CN"/>
              </w:rPr>
              <w:t>展柜设计方案整体效果</w:t>
            </w:r>
            <w:r>
              <w:rPr>
                <w:rFonts w:hint="eastAsia" w:ascii="宋体" w:hAnsi="宋体" w:eastAsia="宋体" w:cs="宋体"/>
                <w:color w:val="auto"/>
                <w:kern w:val="0"/>
                <w:sz w:val="21"/>
                <w:szCs w:val="21"/>
                <w:highlight w:val="none"/>
                <w:shd w:val="clear" w:color="auto" w:fill="FFFFFF"/>
                <w:lang w:val="en-US" w:eastAsia="zh-Hans"/>
              </w:rPr>
              <w:t>（</w:t>
            </w:r>
            <w:r>
              <w:rPr>
                <w:rFonts w:hint="eastAsia" w:ascii="宋体" w:hAnsi="宋体" w:eastAsia="宋体" w:cs="宋体"/>
                <w:color w:val="auto"/>
                <w:kern w:val="0"/>
                <w:sz w:val="21"/>
                <w:szCs w:val="21"/>
                <w:highlight w:val="none"/>
                <w:shd w:val="clear" w:color="auto" w:fill="FFFFFF"/>
                <w:lang w:val="en-US" w:eastAsia="zh-CN"/>
              </w:rPr>
              <w:t>10分</w:t>
            </w:r>
            <w:r>
              <w:rPr>
                <w:rFonts w:hint="eastAsia" w:ascii="宋体" w:hAnsi="宋体" w:eastAsia="宋体" w:cs="宋体"/>
                <w:color w:val="auto"/>
                <w:kern w:val="0"/>
                <w:sz w:val="21"/>
                <w:szCs w:val="21"/>
                <w:highlight w:val="none"/>
                <w:shd w:val="clear" w:color="auto" w:fill="FFFFFF"/>
                <w:lang w:val="en-US" w:eastAsia="zh-Hans"/>
              </w:rPr>
              <w:t>）</w:t>
            </w:r>
          </w:p>
        </w:tc>
        <w:tc>
          <w:tcPr>
            <w:tcW w:w="3858" w:type="pct"/>
            <w:noWrap w:val="0"/>
            <w:vAlign w:val="top"/>
          </w:tcPr>
          <w:p w14:paraId="0C88B3C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投标人以通柜（沿墙柜）</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平柜</w:t>
            </w:r>
            <w:r>
              <w:rPr>
                <w:rFonts w:hint="eastAsia" w:ascii="宋体" w:hAnsi="宋体" w:eastAsia="宋体" w:cs="宋体"/>
                <w:color w:val="auto"/>
                <w:spacing w:val="-1"/>
                <w:sz w:val="21"/>
                <w:szCs w:val="21"/>
                <w:highlight w:val="none"/>
              </w:rPr>
              <w:t>为样柜模型，提供设计方案及产品方案，提供展柜设计图（包含但不限于展柜平</w:t>
            </w:r>
            <w:r>
              <w:rPr>
                <w:rFonts w:hint="eastAsia" w:ascii="宋体" w:hAnsi="宋体" w:eastAsia="宋体" w:cs="宋体"/>
                <w:color w:val="auto"/>
                <w:spacing w:val="-7"/>
                <w:sz w:val="21"/>
                <w:szCs w:val="21"/>
                <w:highlight w:val="none"/>
              </w:rPr>
              <w:t>面图、立面图、剖面图、尺寸节点图、大样效果图等</w:t>
            </w:r>
            <w:r>
              <w:rPr>
                <w:rFonts w:hint="eastAsia" w:ascii="宋体" w:hAnsi="宋体" w:eastAsia="宋体" w:cs="宋体"/>
                <w:color w:val="auto"/>
                <w:spacing w:val="-59"/>
                <w:w w:val="93"/>
                <w:sz w:val="21"/>
                <w:szCs w:val="21"/>
                <w:highlight w:val="none"/>
              </w:rPr>
              <w:t>），</w:t>
            </w:r>
            <w:r>
              <w:rPr>
                <w:rFonts w:hint="eastAsia" w:ascii="宋体" w:hAnsi="宋体" w:eastAsia="宋体" w:cs="宋体"/>
                <w:color w:val="auto"/>
                <w:spacing w:val="-3"/>
                <w:sz w:val="21"/>
                <w:szCs w:val="21"/>
                <w:highlight w:val="none"/>
              </w:rPr>
              <w:t>充分考虑文物属性和展示效果，符合本项目实际需求。</w:t>
            </w:r>
            <w:r>
              <w:rPr>
                <w:rFonts w:hint="eastAsia" w:ascii="宋体" w:hAnsi="宋体" w:eastAsia="宋体" w:cs="宋体"/>
                <w:color w:val="auto"/>
                <w:spacing w:val="-1"/>
                <w:sz w:val="21"/>
                <w:szCs w:val="21"/>
                <w:highlight w:val="none"/>
              </w:rPr>
              <w:t>评标委员会根据投标人提供的展柜深化设计方案及工艺图纸情况进行综合评审：</w:t>
            </w:r>
          </w:p>
          <w:p w14:paraId="167E83B2">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5" w:right="103" w:firstLine="16"/>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pacing w:val="-2"/>
                <w:sz w:val="21"/>
                <w:szCs w:val="21"/>
                <w:highlight w:val="none"/>
              </w:rPr>
              <w:t>1、展柜设计效果准确美观，针对性、适用性强，开启</w:t>
            </w:r>
            <w:r>
              <w:rPr>
                <w:rFonts w:hint="eastAsia" w:ascii="宋体" w:hAnsi="宋体" w:eastAsia="宋体" w:cs="宋体"/>
                <w:color w:val="auto"/>
                <w:spacing w:val="-4"/>
                <w:sz w:val="21"/>
                <w:szCs w:val="21"/>
                <w:highlight w:val="none"/>
              </w:rPr>
              <w:t>方</w:t>
            </w:r>
            <w:r>
              <w:rPr>
                <w:rFonts w:hint="eastAsia" w:ascii="宋体" w:hAnsi="宋体" w:eastAsia="宋体" w:cs="宋体"/>
                <w:color w:val="auto"/>
                <w:spacing w:val="-1"/>
                <w:sz w:val="21"/>
                <w:szCs w:val="21"/>
                <w:highlight w:val="none"/>
              </w:rPr>
              <w:t>式细致安全得</w:t>
            </w:r>
            <w:r>
              <w:rPr>
                <w:rFonts w:hint="eastAsia" w:ascii="宋体" w:hAnsi="宋体" w:eastAsia="宋体" w:cs="宋体"/>
                <w:color w:val="auto"/>
                <w:spacing w:val="-1"/>
                <w:sz w:val="21"/>
                <w:szCs w:val="21"/>
                <w:highlight w:val="none"/>
                <w:lang w:val="en-US" w:eastAsia="zh-CN"/>
              </w:rPr>
              <w:t>10</w:t>
            </w:r>
            <w:r>
              <w:rPr>
                <w:rFonts w:hint="eastAsia" w:cs="宋体"/>
                <w:color w:val="auto"/>
                <w:spacing w:val="-1"/>
                <w:sz w:val="21"/>
                <w:szCs w:val="21"/>
                <w:highlight w:val="none"/>
                <w:lang w:val="en-US" w:eastAsia="zh-CN"/>
              </w:rPr>
              <w:t>分；</w:t>
            </w:r>
          </w:p>
          <w:p w14:paraId="28007E3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8" w:right="103" w:hanging="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2、展柜设计效果基本准确，具有针对性、适用性，开</w:t>
            </w:r>
            <w:r>
              <w:rPr>
                <w:rFonts w:hint="eastAsia" w:ascii="宋体" w:hAnsi="宋体" w:eastAsia="宋体" w:cs="宋体"/>
                <w:color w:val="auto"/>
                <w:spacing w:val="-4"/>
                <w:sz w:val="21"/>
                <w:szCs w:val="21"/>
                <w:highlight w:val="none"/>
              </w:rPr>
              <w:t>启方式基本安全得</w:t>
            </w:r>
            <w:r>
              <w:rPr>
                <w:rFonts w:hint="eastAsia" w:ascii="宋体" w:hAnsi="宋体" w:eastAsia="宋体" w:cs="宋体"/>
                <w:color w:val="auto"/>
                <w:spacing w:val="-40"/>
                <w:sz w:val="21"/>
                <w:szCs w:val="21"/>
                <w:highlight w:val="none"/>
                <w:lang w:val="en-US" w:eastAsia="zh-CN"/>
              </w:rPr>
              <w:t>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4"/>
                <w:sz w:val="21"/>
                <w:szCs w:val="21"/>
                <w:highlight w:val="none"/>
              </w:rPr>
              <w:t>分；</w:t>
            </w:r>
          </w:p>
          <w:p w14:paraId="789FBF17">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5" w:right="103" w:firstLine="16"/>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3、展柜设计效果有待提升，针对性、适用性有待增强，开启方式有待改善得1分；</w:t>
            </w:r>
          </w:p>
          <w:p w14:paraId="48561703">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5" w:leftChars="0" w:right="103" w:rightChars="0" w:firstLine="16"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4、未提供不得分。</w:t>
            </w:r>
          </w:p>
        </w:tc>
      </w:tr>
      <w:tr w14:paraId="4823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noWrap w:val="0"/>
            <w:vAlign w:val="top"/>
          </w:tcPr>
          <w:p w14:paraId="12992A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03" w:type="pct"/>
            <w:noWrap w:val="0"/>
            <w:vAlign w:val="center"/>
          </w:tcPr>
          <w:p w14:paraId="3559D9B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zh-CN" w:eastAsia="zh-CN"/>
              </w:rPr>
            </w:pPr>
            <w:r>
              <w:rPr>
                <w:rFonts w:hint="eastAsia" w:ascii="宋体" w:hAnsi="宋体" w:eastAsia="宋体" w:cs="宋体"/>
                <w:color w:val="auto"/>
                <w:kern w:val="0"/>
                <w:sz w:val="21"/>
                <w:szCs w:val="21"/>
                <w:highlight w:val="none"/>
                <w:shd w:val="clear" w:color="auto" w:fill="FFFFFF"/>
                <w:lang w:val="en-US" w:eastAsia="zh-CN"/>
              </w:rPr>
              <w:t>展柜图纸细化程度（12分）</w:t>
            </w:r>
          </w:p>
        </w:tc>
        <w:tc>
          <w:tcPr>
            <w:tcW w:w="3858" w:type="pct"/>
            <w:noWrap w:val="0"/>
            <w:vAlign w:val="center"/>
          </w:tcPr>
          <w:p w14:paraId="5467737E">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人以独立柜为展示内容，提供设计方案及产品方案，提供展柜设计图（包含但不限于展柜平面图、立面图、剖面图、尺寸节点图、大样效果图等），充分考虑文物属性和展示效果，符合本项目实际需求。评标委员会根据投标人提供的展柜深化设计方案及工艺图纸情况进行综合评审：</w:t>
            </w:r>
          </w:p>
          <w:p w14:paraId="7F0850A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1、展柜图纸表达细致准确，达到施工程度得</w:t>
            </w:r>
            <w:r>
              <w:rPr>
                <w:rFonts w:hint="eastAsia" w:ascii="宋体" w:hAnsi="宋体" w:eastAsia="宋体" w:cs="宋体"/>
                <w:color w:val="auto"/>
                <w:spacing w:val="-1"/>
                <w:sz w:val="21"/>
                <w:szCs w:val="21"/>
                <w:highlight w:val="none"/>
                <w:lang w:val="en-US" w:eastAsia="zh-CN"/>
              </w:rPr>
              <w:t>12</w:t>
            </w:r>
            <w:r>
              <w:rPr>
                <w:rFonts w:hint="eastAsia" w:ascii="宋体" w:hAnsi="宋体" w:eastAsia="宋体" w:cs="宋体"/>
                <w:color w:val="auto"/>
                <w:spacing w:val="-1"/>
                <w:sz w:val="21"/>
                <w:szCs w:val="21"/>
                <w:highlight w:val="none"/>
              </w:rPr>
              <w:t>分；</w:t>
            </w:r>
          </w:p>
          <w:p w14:paraId="7396EEEE">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2、展柜图纸具备基本细节要求，需局部修改后方可施工得</w:t>
            </w:r>
            <w:r>
              <w:rPr>
                <w:rFonts w:hint="eastAsia" w:ascii="宋体" w:hAnsi="宋体" w:eastAsia="宋体" w:cs="宋体"/>
                <w:color w:val="auto"/>
                <w:spacing w:val="-1"/>
                <w:sz w:val="21"/>
                <w:szCs w:val="21"/>
                <w:highlight w:val="none"/>
                <w:lang w:val="en-US" w:eastAsia="zh-CN"/>
              </w:rPr>
              <w:t>6分</w:t>
            </w:r>
            <w:r>
              <w:rPr>
                <w:rFonts w:hint="eastAsia" w:ascii="宋体" w:hAnsi="宋体" w:eastAsia="宋体" w:cs="宋体"/>
                <w:color w:val="auto"/>
                <w:spacing w:val="-1"/>
                <w:sz w:val="21"/>
                <w:szCs w:val="21"/>
                <w:highlight w:val="none"/>
              </w:rPr>
              <w:t>；</w:t>
            </w:r>
          </w:p>
          <w:p w14:paraId="0F633804">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3、展柜图纸表达有待提升，需整体修改方可施工得1分；</w:t>
            </w:r>
          </w:p>
          <w:p w14:paraId="67874DB1">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4、未提供不得分。</w:t>
            </w:r>
          </w:p>
        </w:tc>
      </w:tr>
      <w:tr w14:paraId="1A7E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noWrap w:val="0"/>
            <w:vAlign w:val="top"/>
          </w:tcPr>
          <w:p w14:paraId="419FE19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03" w:type="pct"/>
            <w:noWrap w:val="0"/>
            <w:vAlign w:val="center"/>
          </w:tcPr>
          <w:p w14:paraId="7909B2A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技术参数</w:t>
            </w:r>
          </w:p>
          <w:p w14:paraId="6B389A3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（26分）</w:t>
            </w:r>
          </w:p>
        </w:tc>
        <w:tc>
          <w:tcPr>
            <w:tcW w:w="3858" w:type="pct"/>
            <w:noWrap w:val="0"/>
            <w:vAlign w:val="center"/>
          </w:tcPr>
          <w:p w14:paraId="3B03E653">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投标人提交“技术参数要求”中展柜及相关材质的检测报告，满分2</w:t>
            </w:r>
            <w:r>
              <w:rPr>
                <w:rFonts w:hint="eastAsia" w:ascii="宋体" w:hAnsi="宋体" w:eastAsia="宋体" w:cs="宋体"/>
                <w:b/>
                <w:bCs/>
                <w:color w:val="auto"/>
                <w:spacing w:val="-8"/>
                <w:sz w:val="21"/>
                <w:szCs w:val="21"/>
                <w:highlight w:val="none"/>
                <w:lang w:val="en-US" w:eastAsia="zh-CN"/>
              </w:rPr>
              <w:t>6</w:t>
            </w:r>
            <w:r>
              <w:rPr>
                <w:rFonts w:hint="eastAsia" w:ascii="宋体" w:hAnsi="宋体" w:eastAsia="宋体" w:cs="宋体"/>
                <w:b/>
                <w:bCs/>
                <w:color w:val="auto"/>
                <w:spacing w:val="-8"/>
                <w:sz w:val="21"/>
                <w:szCs w:val="21"/>
                <w:highlight w:val="none"/>
              </w:rPr>
              <w:t>分。</w:t>
            </w:r>
          </w:p>
          <w:p w14:paraId="1AF704A3">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评委会根据投标人所投产品技术参数及要求的响应情况进行评分：</w:t>
            </w:r>
          </w:p>
          <w:p w14:paraId="17408284">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1、标注</w:t>
            </w:r>
            <w:r>
              <w:rPr>
                <w:rFonts w:hint="eastAsia" w:ascii="宋体" w:hAnsi="宋体" w:eastAsia="宋体" w:cs="宋体"/>
                <w:color w:val="auto"/>
                <w:spacing w:val="-1"/>
                <w:sz w:val="21"/>
                <w:szCs w:val="21"/>
                <w:highlight w:val="none"/>
              </w:rPr>
              <w:t>▲</w:t>
            </w:r>
            <w:r>
              <w:rPr>
                <w:rFonts w:hint="default" w:ascii="宋体" w:hAnsi="宋体" w:eastAsia="宋体" w:cs="宋体"/>
                <w:color w:val="auto"/>
                <w:spacing w:val="-1"/>
                <w:sz w:val="21"/>
                <w:szCs w:val="21"/>
                <w:highlight w:val="none"/>
              </w:rPr>
              <w:t>号的条款，每满足一项得1分，共</w:t>
            </w:r>
            <w:r>
              <w:rPr>
                <w:rFonts w:hint="eastAsia" w:ascii="宋体" w:hAnsi="宋体" w:eastAsia="宋体" w:cs="宋体"/>
                <w:color w:val="auto"/>
                <w:spacing w:val="-1"/>
                <w:sz w:val="21"/>
                <w:szCs w:val="21"/>
                <w:highlight w:val="none"/>
                <w:lang w:val="en-US" w:eastAsia="zh-CN"/>
              </w:rPr>
              <w:t>11</w:t>
            </w:r>
            <w:r>
              <w:rPr>
                <w:rFonts w:hint="default" w:ascii="宋体" w:hAnsi="宋体" w:eastAsia="宋体" w:cs="宋体"/>
                <w:color w:val="auto"/>
                <w:spacing w:val="-1"/>
                <w:sz w:val="21"/>
                <w:szCs w:val="21"/>
                <w:highlight w:val="none"/>
              </w:rPr>
              <w:t>项，满分</w:t>
            </w:r>
            <w:r>
              <w:rPr>
                <w:rFonts w:hint="eastAsia" w:ascii="宋体" w:hAnsi="宋体" w:eastAsia="宋体" w:cs="宋体"/>
                <w:color w:val="auto"/>
                <w:spacing w:val="-1"/>
                <w:sz w:val="21"/>
                <w:szCs w:val="21"/>
                <w:highlight w:val="none"/>
                <w:lang w:val="en-US" w:eastAsia="zh-CN"/>
              </w:rPr>
              <w:t>11</w:t>
            </w:r>
            <w:r>
              <w:rPr>
                <w:rFonts w:hint="default" w:ascii="宋体" w:hAnsi="宋体" w:eastAsia="宋体" w:cs="宋体"/>
                <w:color w:val="auto"/>
                <w:spacing w:val="-1"/>
                <w:sz w:val="21"/>
                <w:szCs w:val="21"/>
                <w:highlight w:val="none"/>
              </w:rPr>
              <w:t>分；</w:t>
            </w:r>
          </w:p>
          <w:p w14:paraId="78812B5E">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2、标注</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w:t>
            </w:r>
            <w:r>
              <w:rPr>
                <w:rFonts w:hint="default" w:ascii="宋体" w:hAnsi="宋体" w:eastAsia="宋体" w:cs="宋体"/>
                <w:color w:val="auto"/>
                <w:spacing w:val="-1"/>
                <w:sz w:val="21"/>
                <w:szCs w:val="21"/>
                <w:highlight w:val="none"/>
              </w:rPr>
              <w:t>号的条款，每满足一项得</w:t>
            </w:r>
            <w:r>
              <w:rPr>
                <w:rFonts w:hint="eastAsia" w:ascii="宋体" w:hAnsi="宋体" w:eastAsia="宋体" w:cs="宋体"/>
                <w:color w:val="auto"/>
                <w:spacing w:val="-1"/>
                <w:sz w:val="21"/>
                <w:szCs w:val="21"/>
                <w:highlight w:val="none"/>
                <w:lang w:val="en-US" w:eastAsia="zh-CN"/>
              </w:rPr>
              <w:t>3</w:t>
            </w:r>
            <w:r>
              <w:rPr>
                <w:rFonts w:hint="default" w:ascii="宋体" w:hAnsi="宋体" w:eastAsia="宋体" w:cs="宋体"/>
                <w:color w:val="auto"/>
                <w:spacing w:val="-1"/>
                <w:sz w:val="21"/>
                <w:szCs w:val="21"/>
                <w:highlight w:val="none"/>
              </w:rPr>
              <w:t>分，共</w:t>
            </w:r>
            <w:r>
              <w:rPr>
                <w:rFonts w:hint="eastAsia" w:ascii="宋体" w:hAnsi="宋体" w:eastAsia="宋体" w:cs="宋体"/>
                <w:color w:val="auto"/>
                <w:spacing w:val="-1"/>
                <w:sz w:val="21"/>
                <w:szCs w:val="21"/>
                <w:highlight w:val="none"/>
                <w:lang w:val="en-US" w:eastAsia="zh-CN"/>
              </w:rPr>
              <w:t>5</w:t>
            </w:r>
            <w:r>
              <w:rPr>
                <w:rFonts w:hint="default" w:ascii="宋体" w:hAnsi="宋体" w:eastAsia="宋体" w:cs="宋体"/>
                <w:color w:val="auto"/>
                <w:spacing w:val="-1"/>
                <w:sz w:val="21"/>
                <w:szCs w:val="21"/>
                <w:highlight w:val="none"/>
              </w:rPr>
              <w:t>项，满分</w:t>
            </w:r>
            <w:r>
              <w:rPr>
                <w:rFonts w:hint="eastAsia" w:ascii="宋体" w:hAnsi="宋体" w:eastAsia="宋体" w:cs="宋体"/>
                <w:color w:val="auto"/>
                <w:spacing w:val="-1"/>
                <w:sz w:val="21"/>
                <w:szCs w:val="21"/>
                <w:highlight w:val="none"/>
                <w:lang w:val="en-US" w:eastAsia="zh-CN"/>
              </w:rPr>
              <w:t>15</w:t>
            </w:r>
            <w:r>
              <w:rPr>
                <w:rFonts w:hint="default" w:ascii="宋体" w:hAnsi="宋体" w:eastAsia="宋体" w:cs="宋体"/>
                <w:color w:val="auto"/>
                <w:spacing w:val="-1"/>
                <w:sz w:val="21"/>
                <w:szCs w:val="21"/>
                <w:highlight w:val="none"/>
              </w:rPr>
              <w:t>分。</w:t>
            </w:r>
          </w:p>
          <w:p w14:paraId="2A5919AA">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right="22" w:firstLine="3"/>
              <w:jc w:val="both"/>
              <w:textAlignment w:val="baseline"/>
              <w:rPr>
                <w:rFonts w:hint="eastAsia" w:ascii="宋体" w:hAnsi="宋体" w:eastAsia="宋体" w:cs="宋体"/>
                <w:color w:val="auto"/>
                <w:spacing w:val="-4"/>
                <w:sz w:val="21"/>
                <w:szCs w:val="21"/>
                <w:highlight w:val="none"/>
              </w:rPr>
            </w:pPr>
            <w:r>
              <w:rPr>
                <w:rFonts w:hint="default"/>
                <w:b/>
                <w:bCs/>
                <w:color w:val="auto"/>
                <w:spacing w:val="-3"/>
                <w:sz w:val="21"/>
                <w:szCs w:val="21"/>
                <w:highlight w:val="none"/>
              </w:rPr>
              <w:t>注：以投标响应表及采购需求中标注“</w:t>
            </w:r>
            <w:r>
              <w:rPr>
                <w:rFonts w:hint="default"/>
                <w:color w:val="auto"/>
                <w:spacing w:val="-84"/>
                <w:sz w:val="21"/>
                <w:szCs w:val="21"/>
                <w:highlight w:val="none"/>
              </w:rPr>
              <w:t xml:space="preserve"> </w:t>
            </w:r>
            <w:r>
              <w:rPr>
                <w:rFonts w:hint="default"/>
                <w:b/>
                <w:bCs/>
                <w:color w:val="auto"/>
                <w:spacing w:val="-3"/>
                <w:sz w:val="21"/>
                <w:szCs w:val="21"/>
                <w:highlight w:val="none"/>
              </w:rPr>
              <w:t>■</w:t>
            </w:r>
            <w:r>
              <w:rPr>
                <w:rFonts w:hint="default"/>
                <w:color w:val="auto"/>
                <w:spacing w:val="-86"/>
                <w:sz w:val="21"/>
                <w:szCs w:val="21"/>
                <w:highlight w:val="none"/>
              </w:rPr>
              <w:t xml:space="preserve"> </w:t>
            </w:r>
            <w:r>
              <w:rPr>
                <w:rFonts w:hint="default"/>
                <w:b/>
                <w:bCs/>
                <w:color w:val="auto"/>
                <w:spacing w:val="-3"/>
                <w:sz w:val="21"/>
                <w:szCs w:val="21"/>
                <w:highlight w:val="none"/>
              </w:rPr>
              <w:t>”、“</w:t>
            </w:r>
            <w:r>
              <w:rPr>
                <w:rFonts w:hint="eastAsia" w:ascii="宋体" w:hAnsi="宋体" w:eastAsia="宋体" w:cs="宋体"/>
                <w:color w:val="auto"/>
                <w:spacing w:val="-7"/>
                <w:sz w:val="21"/>
                <w:szCs w:val="21"/>
                <w:highlight w:val="none"/>
              </w:rPr>
              <w:t>▲</w:t>
            </w:r>
            <w:r>
              <w:rPr>
                <w:rFonts w:hint="default"/>
                <w:color w:val="auto"/>
                <w:spacing w:val="-86"/>
                <w:sz w:val="21"/>
                <w:szCs w:val="21"/>
                <w:highlight w:val="none"/>
              </w:rPr>
              <w:t xml:space="preserve"> </w:t>
            </w:r>
            <w:r>
              <w:rPr>
                <w:rFonts w:hint="default"/>
                <w:b/>
                <w:bCs/>
                <w:color w:val="auto"/>
                <w:spacing w:val="-3"/>
                <w:sz w:val="21"/>
                <w:szCs w:val="21"/>
                <w:highlight w:val="none"/>
              </w:rPr>
              <w:t>”</w:t>
            </w:r>
            <w:r>
              <w:rPr>
                <w:rFonts w:hint="default"/>
                <w:color w:val="auto"/>
                <w:sz w:val="21"/>
                <w:szCs w:val="21"/>
                <w:highlight w:val="none"/>
              </w:rPr>
              <w:t xml:space="preserve"> </w:t>
            </w:r>
            <w:r>
              <w:rPr>
                <w:rFonts w:hint="default"/>
                <w:b/>
                <w:bCs/>
                <w:color w:val="auto"/>
                <w:spacing w:val="-3"/>
                <w:sz w:val="21"/>
                <w:szCs w:val="21"/>
                <w:highlight w:val="none"/>
              </w:rPr>
              <w:t>条款要求提供的证明材料作为评审依据。</w:t>
            </w:r>
          </w:p>
        </w:tc>
      </w:tr>
      <w:tr w14:paraId="21F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noWrap w:val="0"/>
            <w:vAlign w:val="center"/>
          </w:tcPr>
          <w:p w14:paraId="256C6D4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rPr>
            </w:pPr>
          </w:p>
        </w:tc>
        <w:tc>
          <w:tcPr>
            <w:tcW w:w="603" w:type="pct"/>
            <w:noWrap w:val="0"/>
            <w:vAlign w:val="center"/>
          </w:tcPr>
          <w:p w14:paraId="0A8F491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进度保障措施（6分）</w:t>
            </w:r>
          </w:p>
        </w:tc>
        <w:tc>
          <w:tcPr>
            <w:tcW w:w="3858" w:type="pct"/>
            <w:noWrap w:val="0"/>
            <w:vAlign w:val="top"/>
          </w:tcPr>
          <w:p w14:paraId="6E38E99D">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z w:val="21"/>
                <w:szCs w:val="21"/>
                <w:highlight w:val="none"/>
              </w:rPr>
              <w:t>投标人根据本项目特点编制进度保障措施，进度保障措施内</w:t>
            </w:r>
            <w:r>
              <w:rPr>
                <w:rFonts w:hint="eastAsia" w:ascii="宋体" w:hAnsi="宋体" w:eastAsia="宋体" w:cs="宋体"/>
                <w:color w:val="auto"/>
                <w:spacing w:val="-1"/>
                <w:sz w:val="21"/>
                <w:szCs w:val="21"/>
                <w:highlight w:val="none"/>
              </w:rPr>
              <w:t>容应包括：</w:t>
            </w:r>
            <w:r>
              <w:rPr>
                <w:rFonts w:hint="eastAsia" w:ascii="宋体" w:hAnsi="宋体" w:eastAsia="宋体" w:cs="宋体"/>
                <w:color w:val="auto"/>
                <w:sz w:val="21"/>
                <w:szCs w:val="21"/>
                <w:highlight w:val="none"/>
              </w:rPr>
              <w:t>①质量保证措施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②时间节点保障措施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③人员安排措施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④货物</w:t>
            </w:r>
            <w:r>
              <w:rPr>
                <w:rFonts w:hint="eastAsia" w:ascii="宋体" w:hAnsi="宋体" w:eastAsia="宋体" w:cs="宋体"/>
                <w:color w:val="auto"/>
                <w:spacing w:val="-1"/>
                <w:sz w:val="21"/>
                <w:szCs w:val="21"/>
                <w:highlight w:val="none"/>
              </w:rPr>
              <w:t>运输</w:t>
            </w:r>
            <w:r>
              <w:rPr>
                <w:rFonts w:hint="eastAsia" w:ascii="宋体" w:hAnsi="宋体" w:eastAsia="宋体" w:cs="宋体"/>
                <w:color w:val="auto"/>
                <w:spacing w:val="-2"/>
                <w:sz w:val="21"/>
                <w:szCs w:val="21"/>
                <w:highlight w:val="none"/>
              </w:rPr>
              <w:t>措施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⑤施工安装措施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⑥成品保护措施</w:t>
            </w:r>
            <w:r>
              <w:rPr>
                <w:rFonts w:hint="eastAsia" w:ascii="宋体" w:hAnsi="宋体" w:eastAsia="宋体" w:cs="宋体"/>
                <w:color w:val="auto"/>
                <w:spacing w:val="-2"/>
                <w:sz w:val="21"/>
                <w:szCs w:val="21"/>
                <w:highlight w:val="none"/>
                <w:lang w:eastAsia="zh-CN"/>
              </w:rPr>
              <w:t>。</w:t>
            </w:r>
          </w:p>
          <w:p w14:paraId="15FF00C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上述内容每提供1项得</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分，满分</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分。</w:t>
            </w:r>
          </w:p>
          <w:p w14:paraId="482AC613">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6A27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noWrap w:val="0"/>
            <w:vAlign w:val="center"/>
          </w:tcPr>
          <w:p w14:paraId="61D45B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rPr>
            </w:pPr>
          </w:p>
        </w:tc>
        <w:tc>
          <w:tcPr>
            <w:tcW w:w="603" w:type="pct"/>
            <w:noWrap w:val="0"/>
            <w:vAlign w:val="center"/>
          </w:tcPr>
          <w:p w14:paraId="48F7015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质保及售后服务方案（4分）</w:t>
            </w:r>
          </w:p>
        </w:tc>
        <w:tc>
          <w:tcPr>
            <w:tcW w:w="3858" w:type="pct"/>
            <w:noWrap w:val="0"/>
            <w:vAlign w:val="top"/>
          </w:tcPr>
          <w:p w14:paraId="19EA04F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投标人根据本项目特点编制售后服务方案，售后服务措施内容应包括：</w:t>
            </w:r>
            <w:r>
              <w:rPr>
                <w:rFonts w:hint="eastAsia" w:ascii="宋体" w:hAnsi="宋体" w:eastAsia="宋体" w:cs="宋体"/>
                <w:color w:val="auto"/>
                <w:sz w:val="21"/>
                <w:szCs w:val="21"/>
                <w:highlight w:val="none"/>
              </w:rPr>
              <w:t>①故障检测及排除、解决故障承诺的时间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②售后服务人员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③免</w:t>
            </w:r>
            <w:r>
              <w:rPr>
                <w:rFonts w:hint="eastAsia" w:ascii="宋体" w:hAnsi="宋体" w:eastAsia="宋体" w:cs="宋体"/>
                <w:color w:val="auto"/>
                <w:spacing w:val="-1"/>
                <w:sz w:val="21"/>
                <w:szCs w:val="21"/>
                <w:highlight w:val="none"/>
              </w:rPr>
              <w:t>费质</w:t>
            </w:r>
            <w:r>
              <w:rPr>
                <w:rFonts w:hint="eastAsia" w:ascii="宋体" w:hAnsi="宋体" w:eastAsia="宋体" w:cs="宋体"/>
                <w:color w:val="auto"/>
                <w:sz w:val="21"/>
                <w:szCs w:val="21"/>
                <w:highlight w:val="none"/>
              </w:rPr>
              <w:t>保期及后期维修更换配件的相关承诺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④培训方案等内容</w:t>
            </w:r>
            <w:r>
              <w:rPr>
                <w:rFonts w:hint="eastAsia" w:ascii="宋体" w:hAnsi="宋体" w:eastAsia="宋体" w:cs="宋体"/>
                <w:color w:val="auto"/>
                <w:sz w:val="21"/>
                <w:szCs w:val="21"/>
                <w:highlight w:val="none"/>
                <w:lang w:eastAsia="zh-CN"/>
              </w:rPr>
              <w:t>。</w:t>
            </w:r>
          </w:p>
          <w:p w14:paraId="4C9AD8D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z w:val="21"/>
                <w:szCs w:val="21"/>
                <w:highlight w:val="none"/>
              </w:rPr>
              <w:t>上述内</w:t>
            </w:r>
            <w:r>
              <w:rPr>
                <w:rFonts w:hint="eastAsia" w:ascii="宋体" w:hAnsi="宋体" w:eastAsia="宋体" w:cs="宋体"/>
                <w:color w:val="auto"/>
                <w:spacing w:val="-1"/>
                <w:sz w:val="21"/>
                <w:szCs w:val="21"/>
                <w:highlight w:val="none"/>
              </w:rPr>
              <w:t>容每</w:t>
            </w:r>
            <w:r>
              <w:rPr>
                <w:rFonts w:hint="eastAsia" w:ascii="宋体" w:hAnsi="宋体" w:eastAsia="宋体" w:cs="宋体"/>
                <w:color w:val="auto"/>
                <w:spacing w:val="-4"/>
                <w:sz w:val="21"/>
                <w:szCs w:val="21"/>
                <w:highlight w:val="none"/>
              </w:rPr>
              <w:t>提供1项得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分，满分</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5"/>
                <w:sz w:val="21"/>
                <w:szCs w:val="21"/>
                <w:highlight w:val="none"/>
              </w:rPr>
              <w:t>。</w:t>
            </w:r>
          </w:p>
          <w:p w14:paraId="3E5DE59C">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bl>
    <w:p w14:paraId="4CDABBFC">
      <w:pPr>
        <w:rPr>
          <w:rFonts w:hint="eastAsia" w:ascii="宋体" w:hAnsi="宋体" w:eastAsia="宋体" w:cs="宋体"/>
          <w:color w:val="auto"/>
          <w:highlight w:val="none"/>
          <w:lang w:val="en-US" w:eastAsia="zh-CN"/>
        </w:rPr>
      </w:pPr>
    </w:p>
    <w:p w14:paraId="2A2B3A63">
      <w:pPr>
        <w:rPr>
          <w:rFonts w:hint="eastAsia" w:ascii="宋体" w:hAnsi="宋体" w:eastAsia="宋体" w:cs="宋体"/>
          <w:b/>
          <w:bCs/>
          <w:color w:val="auto"/>
          <w:sz w:val="44"/>
          <w:szCs w:val="44"/>
          <w:highlight w:val="none"/>
        </w:rPr>
      </w:pPr>
      <w:bookmarkStart w:id="62" w:name="_Toc20564"/>
      <w:r>
        <w:rPr>
          <w:rFonts w:hint="eastAsia" w:ascii="宋体" w:hAnsi="宋体" w:eastAsia="宋体" w:cs="宋体"/>
          <w:b/>
          <w:bCs/>
          <w:color w:val="auto"/>
          <w:sz w:val="44"/>
          <w:szCs w:val="44"/>
          <w:highlight w:val="none"/>
        </w:rPr>
        <w:br w:type="page"/>
      </w:r>
    </w:p>
    <w:p w14:paraId="48797A6D">
      <w:pPr>
        <w:rPr>
          <w:rFonts w:hint="eastAsia" w:ascii="宋体" w:hAnsi="宋体" w:eastAsia="宋体" w:cs="宋体"/>
          <w:b/>
          <w:bCs/>
          <w:color w:val="auto"/>
          <w:sz w:val="44"/>
          <w:szCs w:val="44"/>
          <w:highlight w:val="none"/>
        </w:rPr>
        <w:sectPr>
          <w:footerReference r:id="rId40" w:type="default"/>
          <w:pgSz w:w="11906" w:h="16839"/>
          <w:pgMar w:top="1040" w:right="946" w:bottom="1156" w:left="1400" w:header="0" w:footer="998" w:gutter="0"/>
          <w:pgNumType w:fmt="decimal"/>
          <w:cols w:space="425" w:num="1"/>
          <w:rtlGutter w:val="0"/>
          <w:docGrid w:linePitch="0" w:charSpace="0"/>
        </w:sectPr>
      </w:pPr>
    </w:p>
    <w:p w14:paraId="57C4D521">
      <w:pPr>
        <w:pStyle w:val="2"/>
        <w:numPr>
          <w:ilvl w:val="0"/>
          <w:numId w:val="0"/>
        </w:numPr>
        <w:bidi w:val="0"/>
        <w:spacing w:line="360" w:lineRule="auto"/>
        <w:ind w:leftChars="0"/>
        <w:jc w:val="center"/>
        <w:rPr>
          <w:rFonts w:hint="default" w:ascii="宋体" w:hAnsi="宋体" w:eastAsia="宋体" w:cs="宋体"/>
          <w:b/>
          <w:bCs/>
          <w:color w:val="auto"/>
          <w:spacing w:val="5"/>
          <w:sz w:val="36"/>
          <w:szCs w:val="36"/>
          <w:highlight w:val="none"/>
          <w:lang w:val="en-US" w:eastAsia="zh-CN"/>
        </w:rPr>
      </w:pPr>
      <w:r>
        <w:rPr>
          <w:rFonts w:hint="eastAsia" w:ascii="宋体" w:hAnsi="宋体" w:eastAsia="宋体" w:cs="宋体"/>
          <w:b/>
          <w:bCs/>
          <w:color w:val="auto"/>
          <w:sz w:val="44"/>
          <w:szCs w:val="44"/>
          <w:highlight w:val="none"/>
        </w:rPr>
        <w:t xml:space="preserve">第六章 </w:t>
      </w:r>
      <w:bookmarkEnd w:id="62"/>
      <w:r>
        <w:rPr>
          <w:rFonts w:hint="eastAsia" w:ascii="宋体" w:hAnsi="宋体" w:eastAsia="宋体" w:cs="宋体"/>
          <w:b/>
          <w:bCs/>
          <w:color w:val="auto"/>
          <w:sz w:val="44"/>
          <w:szCs w:val="44"/>
          <w:highlight w:val="none"/>
          <w:lang w:val="en-US" w:eastAsia="zh-CN"/>
        </w:rPr>
        <w:t>技术需求</w:t>
      </w:r>
    </w:p>
    <w:p w14:paraId="781BFCBE">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采购清单</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3139"/>
        <w:gridCol w:w="3284"/>
        <w:gridCol w:w="837"/>
        <w:gridCol w:w="837"/>
        <w:gridCol w:w="837"/>
      </w:tblGrid>
      <w:tr w14:paraId="3053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 w:type="pct"/>
            <w:tcBorders>
              <w:top w:val="double" w:color="000000" w:sz="4" w:space="0"/>
              <w:left w:val="double" w:color="000000" w:sz="4" w:space="0"/>
              <w:bottom w:val="single" w:color="000000" w:sz="8" w:space="0"/>
              <w:right w:val="single" w:color="000000" w:sz="8" w:space="0"/>
            </w:tcBorders>
            <w:noWrap w:val="0"/>
            <w:vAlign w:val="center"/>
          </w:tcPr>
          <w:p w14:paraId="206DB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06" w:type="pct"/>
            <w:tcBorders>
              <w:top w:val="double" w:color="000000" w:sz="4" w:space="0"/>
              <w:left w:val="single" w:color="000000" w:sz="8" w:space="0"/>
              <w:bottom w:val="single" w:color="000000" w:sz="8" w:space="0"/>
              <w:right w:val="single" w:color="000000" w:sz="8" w:space="0"/>
            </w:tcBorders>
            <w:noWrap w:val="0"/>
            <w:vAlign w:val="center"/>
          </w:tcPr>
          <w:p w14:paraId="39FCA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1680" w:type="pct"/>
            <w:tcBorders>
              <w:top w:val="double" w:color="000000" w:sz="4" w:space="0"/>
              <w:left w:val="single" w:color="000000" w:sz="8" w:space="0"/>
              <w:bottom w:val="single" w:color="000000" w:sz="8" w:space="0"/>
              <w:right w:val="single" w:color="000000" w:sz="8" w:space="0"/>
            </w:tcBorders>
            <w:noWrap w:val="0"/>
            <w:vAlign w:val="center"/>
          </w:tcPr>
          <w:p w14:paraId="56D59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型号规格材质</w:t>
            </w:r>
          </w:p>
        </w:tc>
        <w:tc>
          <w:tcPr>
            <w:tcW w:w="428" w:type="pct"/>
            <w:tcBorders>
              <w:top w:val="double" w:color="000000" w:sz="4" w:space="0"/>
              <w:left w:val="single" w:color="000000" w:sz="8" w:space="0"/>
              <w:bottom w:val="single" w:color="000000" w:sz="8" w:space="0"/>
              <w:right w:val="single" w:color="000000" w:sz="8" w:space="0"/>
            </w:tcBorders>
            <w:noWrap w:val="0"/>
            <w:vAlign w:val="center"/>
          </w:tcPr>
          <w:p w14:paraId="695D0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8" w:type="pct"/>
            <w:tcBorders>
              <w:top w:val="double" w:color="000000" w:sz="4" w:space="0"/>
              <w:left w:val="single" w:color="000000" w:sz="8" w:space="0"/>
              <w:bottom w:val="single" w:color="000000" w:sz="8" w:space="0"/>
              <w:right w:val="single" w:color="000000" w:sz="8" w:space="0"/>
            </w:tcBorders>
            <w:noWrap w:val="0"/>
            <w:vAlign w:val="center"/>
          </w:tcPr>
          <w:p w14:paraId="0A12D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8" w:type="pct"/>
            <w:tcBorders>
              <w:top w:val="double" w:color="000000" w:sz="4" w:space="0"/>
              <w:left w:val="single" w:color="000000" w:sz="8" w:space="0"/>
              <w:bottom w:val="single" w:color="000000" w:sz="8" w:space="0"/>
              <w:right w:val="double" w:color="000000" w:sz="4" w:space="0"/>
            </w:tcBorders>
            <w:noWrap w:val="0"/>
            <w:vAlign w:val="center"/>
          </w:tcPr>
          <w:p w14:paraId="3E7F9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4FD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 w:type="pct"/>
            <w:tcBorders>
              <w:top w:val="single" w:color="000000" w:sz="8" w:space="0"/>
              <w:left w:val="double" w:color="000000" w:sz="4" w:space="0"/>
              <w:bottom w:val="single" w:color="000000" w:sz="8" w:space="0"/>
              <w:right w:val="single" w:color="000000" w:sz="8" w:space="0"/>
            </w:tcBorders>
            <w:noWrap w:val="0"/>
            <w:vAlign w:val="center"/>
          </w:tcPr>
          <w:p w14:paraId="3CB4E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4E325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恒湿低反射玻璃独立柜</w:t>
            </w:r>
          </w:p>
        </w:tc>
        <w:tc>
          <w:tcPr>
            <w:tcW w:w="1680" w:type="pct"/>
            <w:tcBorders>
              <w:top w:val="single" w:color="000000" w:sz="8" w:space="0"/>
              <w:left w:val="single" w:color="000000" w:sz="8" w:space="0"/>
              <w:bottom w:val="single" w:color="000000" w:sz="8" w:space="0"/>
              <w:right w:val="single" w:color="000000" w:sz="8" w:space="0"/>
            </w:tcBorders>
            <w:noWrap w:val="0"/>
            <w:vAlign w:val="center"/>
          </w:tcPr>
          <w:p w14:paraId="734A7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(800/4200)*800*2200mm</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49286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49CC0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8" w:type="pct"/>
            <w:tcBorders>
              <w:top w:val="single" w:color="000000" w:sz="8" w:space="0"/>
              <w:left w:val="single" w:color="000000" w:sz="8" w:space="0"/>
              <w:bottom w:val="single" w:color="000000" w:sz="8" w:space="0"/>
              <w:right w:val="double" w:color="000000" w:sz="4" w:space="0"/>
            </w:tcBorders>
            <w:noWrap w:val="0"/>
            <w:vAlign w:val="center"/>
          </w:tcPr>
          <w:p w14:paraId="67B667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978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 w:type="pct"/>
            <w:tcBorders>
              <w:top w:val="single" w:color="000000" w:sz="8" w:space="0"/>
              <w:left w:val="double" w:color="000000" w:sz="4" w:space="0"/>
              <w:bottom w:val="single" w:color="000000" w:sz="8" w:space="0"/>
              <w:right w:val="single" w:color="000000" w:sz="8" w:space="0"/>
            </w:tcBorders>
            <w:noWrap w:val="0"/>
            <w:vAlign w:val="center"/>
          </w:tcPr>
          <w:p w14:paraId="46B1D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06" w:type="pct"/>
            <w:tcBorders>
              <w:top w:val="single" w:color="000000" w:sz="8" w:space="0"/>
              <w:left w:val="single" w:color="000000" w:sz="8" w:space="0"/>
              <w:bottom w:val="single" w:color="000000" w:sz="8" w:space="0"/>
              <w:right w:val="single" w:color="000000" w:sz="8" w:space="0"/>
            </w:tcBorders>
            <w:noWrap w:val="0"/>
            <w:vAlign w:val="bottom"/>
          </w:tcPr>
          <w:p w14:paraId="6E2FA73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恒湿低反射玻璃通柜</w:t>
            </w:r>
          </w:p>
        </w:tc>
        <w:tc>
          <w:tcPr>
            <w:tcW w:w="1680" w:type="pct"/>
            <w:tcBorders>
              <w:top w:val="single" w:color="000000" w:sz="8" w:space="0"/>
              <w:left w:val="single" w:color="000000" w:sz="8" w:space="0"/>
              <w:bottom w:val="single" w:color="000000" w:sz="8" w:space="0"/>
              <w:right w:val="single" w:color="000000" w:sz="8" w:space="0"/>
            </w:tcBorders>
            <w:noWrap w:val="0"/>
            <w:vAlign w:val="center"/>
          </w:tcPr>
          <w:p w14:paraId="144AF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L*800*2550/3300</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6E338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34942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延米</w:t>
            </w:r>
          </w:p>
        </w:tc>
        <w:tc>
          <w:tcPr>
            <w:tcW w:w="428" w:type="pct"/>
            <w:tcBorders>
              <w:top w:val="single" w:color="000000" w:sz="8" w:space="0"/>
              <w:left w:val="single" w:color="000000" w:sz="8" w:space="0"/>
              <w:bottom w:val="single" w:color="000000" w:sz="8" w:space="0"/>
              <w:right w:val="double" w:color="000000" w:sz="4" w:space="0"/>
            </w:tcBorders>
            <w:noWrap w:val="0"/>
            <w:vAlign w:val="center"/>
          </w:tcPr>
          <w:p w14:paraId="4194C3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238E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 w:type="pct"/>
            <w:tcBorders>
              <w:top w:val="single" w:color="000000" w:sz="8" w:space="0"/>
              <w:left w:val="double" w:color="000000" w:sz="4" w:space="0"/>
              <w:bottom w:val="single" w:color="000000" w:sz="8" w:space="0"/>
              <w:right w:val="single" w:color="000000" w:sz="8" w:space="0"/>
            </w:tcBorders>
            <w:noWrap w:val="0"/>
            <w:vAlign w:val="center"/>
          </w:tcPr>
          <w:p w14:paraId="0EC33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1D23C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恒湿低反射玻璃平柜</w:t>
            </w:r>
          </w:p>
        </w:tc>
        <w:tc>
          <w:tcPr>
            <w:tcW w:w="1680" w:type="pct"/>
            <w:tcBorders>
              <w:top w:val="single" w:color="000000" w:sz="8" w:space="0"/>
              <w:left w:val="single" w:color="000000" w:sz="8" w:space="0"/>
              <w:bottom w:val="single" w:color="000000" w:sz="8" w:space="0"/>
              <w:right w:val="single" w:color="000000" w:sz="8" w:space="0"/>
            </w:tcBorders>
            <w:noWrap w:val="0"/>
            <w:vAlign w:val="center"/>
          </w:tcPr>
          <w:p w14:paraId="2F79B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L*650*1050mm</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6FB07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5EE3B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延米</w:t>
            </w:r>
          </w:p>
        </w:tc>
        <w:tc>
          <w:tcPr>
            <w:tcW w:w="428" w:type="pct"/>
            <w:tcBorders>
              <w:top w:val="single" w:color="000000" w:sz="8" w:space="0"/>
              <w:left w:val="single" w:color="000000" w:sz="8" w:space="0"/>
              <w:bottom w:val="single" w:color="000000" w:sz="8" w:space="0"/>
              <w:right w:val="double" w:color="000000" w:sz="4" w:space="0"/>
            </w:tcBorders>
            <w:noWrap w:val="0"/>
            <w:vAlign w:val="center"/>
          </w:tcPr>
          <w:p w14:paraId="2022CE7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3F56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 w:type="pct"/>
            <w:tcBorders>
              <w:top w:val="single" w:color="000000" w:sz="8" w:space="0"/>
              <w:left w:val="double" w:color="000000" w:sz="4" w:space="0"/>
              <w:bottom w:val="single" w:color="000000" w:sz="8" w:space="0"/>
              <w:right w:val="single" w:color="000000" w:sz="8" w:space="0"/>
            </w:tcBorders>
            <w:noWrap w:val="0"/>
            <w:vAlign w:val="center"/>
          </w:tcPr>
          <w:p w14:paraId="4FDBD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48EA8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展托定制</w:t>
            </w:r>
          </w:p>
        </w:tc>
        <w:tc>
          <w:tcPr>
            <w:tcW w:w="1680" w:type="pct"/>
            <w:tcBorders>
              <w:top w:val="single" w:color="000000" w:sz="8" w:space="0"/>
              <w:left w:val="single" w:color="000000" w:sz="8" w:space="0"/>
              <w:bottom w:val="single" w:color="000000" w:sz="8" w:space="0"/>
              <w:right w:val="single" w:color="000000" w:sz="8" w:space="0"/>
            </w:tcBorders>
            <w:noWrap w:val="0"/>
            <w:vAlign w:val="center"/>
          </w:tcPr>
          <w:p w14:paraId="18E59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按需定制</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09E65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8" w:type="pct"/>
            <w:tcBorders>
              <w:top w:val="single" w:color="000000" w:sz="8" w:space="0"/>
              <w:left w:val="single" w:color="000000" w:sz="8" w:space="0"/>
              <w:bottom w:val="single" w:color="000000" w:sz="8" w:space="0"/>
              <w:right w:val="single" w:color="000000" w:sz="8" w:space="0"/>
            </w:tcBorders>
            <w:noWrap w:val="0"/>
            <w:vAlign w:val="center"/>
          </w:tcPr>
          <w:p w14:paraId="2EA94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8" w:type="pct"/>
            <w:tcBorders>
              <w:top w:val="single" w:color="000000" w:sz="8" w:space="0"/>
              <w:left w:val="single" w:color="000000" w:sz="8" w:space="0"/>
              <w:bottom w:val="single" w:color="000000" w:sz="8" w:space="0"/>
              <w:right w:val="double" w:color="000000" w:sz="4" w:space="0"/>
            </w:tcBorders>
            <w:noWrap w:val="0"/>
            <w:vAlign w:val="center"/>
          </w:tcPr>
          <w:p w14:paraId="27FE15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bl>
    <w:p w14:paraId="07076E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val="0"/>
          <w:bCs w:val="0"/>
          <w:snapToGrid w:val="0"/>
          <w:color w:val="auto"/>
          <w:spacing w:val="-2"/>
          <w:kern w:val="0"/>
          <w:sz w:val="21"/>
          <w:szCs w:val="21"/>
          <w:highlight w:val="none"/>
          <w:lang w:val="en-US" w:eastAsia="zh-CN" w:bidi="ar"/>
        </w:rPr>
        <w:t>注：规格尺寸为暂定尺寸，具体以项目实施方案为准。</w:t>
      </w:r>
    </w:p>
    <w:p w14:paraId="14693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附件：展托清单</w:t>
      </w:r>
    </w:p>
    <w:tbl>
      <w:tblPr>
        <w:tblStyle w:val="2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2050"/>
        <w:gridCol w:w="3902"/>
        <w:gridCol w:w="767"/>
        <w:gridCol w:w="659"/>
        <w:gridCol w:w="1618"/>
      </w:tblGrid>
      <w:tr w14:paraId="5552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69E718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4EFB8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4C47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规格尺寸（mm）</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F44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06FF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27" w:type="pct"/>
            <w:tcBorders>
              <w:top w:val="single" w:color="000000" w:sz="4" w:space="0"/>
              <w:left w:val="single" w:color="000000" w:sz="4" w:space="0"/>
              <w:bottom w:val="single" w:color="000000" w:sz="4" w:space="0"/>
              <w:right w:val="single" w:color="000000" w:sz="4" w:space="0"/>
            </w:tcBorders>
            <w:noWrap/>
            <w:vAlign w:val="center"/>
          </w:tcPr>
          <w:p w14:paraId="11076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2291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0C3D4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5B64D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定制文物展台</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1060C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（200-8700）*（200-600）*（50-800）</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CC7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组</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B9EB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827" w:type="pct"/>
            <w:tcBorders>
              <w:top w:val="single" w:color="000000" w:sz="4" w:space="0"/>
              <w:left w:val="single" w:color="000000" w:sz="4" w:space="0"/>
              <w:bottom w:val="single" w:color="000000" w:sz="4" w:space="0"/>
              <w:right w:val="single" w:color="000000" w:sz="4" w:space="0"/>
            </w:tcBorders>
            <w:noWrap/>
            <w:vAlign w:val="center"/>
          </w:tcPr>
          <w:p w14:paraId="26E61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亚麻包布工艺</w:t>
            </w:r>
          </w:p>
        </w:tc>
      </w:tr>
      <w:tr w14:paraId="4A42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067EE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6B8DE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定制异形文物展托</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40C97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2000*350*30</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4237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组</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E038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noWrap/>
            <w:vAlign w:val="center"/>
          </w:tcPr>
          <w:p w14:paraId="72CED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亚麻包布工艺</w:t>
            </w:r>
          </w:p>
        </w:tc>
      </w:tr>
      <w:tr w14:paraId="065E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433A7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148B8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定制金属文物展托</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65963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300*300*（50-100）</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8957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FEE3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B0D0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根据展陈需要适配底打光照明设备</w:t>
            </w:r>
          </w:p>
        </w:tc>
      </w:tr>
      <w:tr w14:paraId="5C20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05602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5C7E1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金属挂件</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5BC29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按需配套定制</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D56D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1081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827" w:type="pct"/>
            <w:tcBorders>
              <w:top w:val="single" w:color="000000" w:sz="4" w:space="0"/>
              <w:left w:val="single" w:color="000000" w:sz="4" w:space="0"/>
              <w:bottom w:val="single" w:color="000000" w:sz="4" w:space="0"/>
              <w:right w:val="single" w:color="000000" w:sz="4" w:space="0"/>
            </w:tcBorders>
            <w:noWrap/>
            <w:vAlign w:val="center"/>
          </w:tcPr>
          <w:p w14:paraId="24E72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FED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14:paraId="48B8A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48" w:type="pct"/>
            <w:tcBorders>
              <w:top w:val="single" w:color="000000" w:sz="4" w:space="0"/>
              <w:left w:val="single" w:color="000000" w:sz="4" w:space="0"/>
              <w:bottom w:val="single" w:color="000000" w:sz="4" w:space="0"/>
              <w:right w:val="single" w:color="000000" w:sz="4" w:space="0"/>
            </w:tcBorders>
            <w:noWrap/>
            <w:vAlign w:val="center"/>
          </w:tcPr>
          <w:p w14:paraId="35AE9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亚克力展托</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7F685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按需配套定制</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49B5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AC56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14:paraId="6518D8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14:paraId="2851B90B">
      <w:pPr>
        <w:keepNext w:val="0"/>
        <w:keepLines w:val="0"/>
        <w:widowControl/>
        <w:numPr>
          <w:ilvl w:val="0"/>
          <w:numId w:val="0"/>
        </w:numPr>
        <w:suppressLineNumbers w:val="0"/>
        <w:jc w:val="both"/>
        <w:textAlignment w:val="bottom"/>
        <w:rPr>
          <w:rFonts w:hint="eastAsia" w:ascii="宋体" w:hAnsi="宋体" w:eastAsia="宋体" w:cs="宋体"/>
          <w:b w:val="0"/>
          <w:bCs w:val="0"/>
          <w:snapToGrid w:val="0"/>
          <w:color w:val="auto"/>
          <w:spacing w:val="-2"/>
          <w:kern w:val="0"/>
          <w:sz w:val="21"/>
          <w:szCs w:val="21"/>
          <w:highlight w:val="none"/>
          <w:lang w:val="en-US" w:eastAsia="zh-CN" w:bidi="ar"/>
        </w:rPr>
      </w:pPr>
      <w:r>
        <w:rPr>
          <w:rFonts w:hint="eastAsia" w:ascii="宋体" w:hAnsi="宋体" w:eastAsia="宋体" w:cs="宋体"/>
          <w:b w:val="0"/>
          <w:bCs w:val="0"/>
          <w:snapToGrid w:val="0"/>
          <w:color w:val="auto"/>
          <w:spacing w:val="-2"/>
          <w:kern w:val="0"/>
          <w:sz w:val="21"/>
          <w:szCs w:val="21"/>
          <w:highlight w:val="none"/>
          <w:lang w:val="en-US" w:eastAsia="zh-CN" w:bidi="ar"/>
        </w:rPr>
        <w:t>注：展托目前尺寸规格为暂定尺寸，具体需根据馆方展陈设计定制。</w:t>
      </w:r>
    </w:p>
    <w:p w14:paraId="570FD3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5"/>
          <w:sz w:val="21"/>
          <w:szCs w:val="21"/>
          <w:highlight w:val="none"/>
          <w:lang w:val="en-US" w:eastAsia="zh-CN"/>
        </w:rPr>
      </w:pPr>
    </w:p>
    <w:p w14:paraId="38AD90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二、技术要求</w:t>
      </w:r>
    </w:p>
    <w:p w14:paraId="7DCC0723">
      <w:pPr>
        <w:numPr>
          <w:ilvl w:val="0"/>
          <w:numId w:val="12"/>
        </w:numPr>
        <w:spacing w:before="92" w:line="221" w:lineRule="auto"/>
        <w:ind w:left="20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项目整体情况</w:t>
      </w:r>
    </w:p>
    <w:p w14:paraId="4B2B6D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olor w:val="auto"/>
          <w:spacing w:val="0"/>
          <w:sz w:val="21"/>
          <w:szCs w:val="21"/>
          <w:highlight w:val="none"/>
          <w:lang w:val="en-US" w:eastAsia="zh-CN"/>
        </w:rPr>
        <w:t>为了更好的展示利用藏品</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增设展览</w:t>
      </w:r>
      <w:r>
        <w:rPr>
          <w:rFonts w:hint="eastAsia" w:ascii="宋体" w:hAnsi="宋体" w:eastAsia="宋体" w:cs="宋体"/>
          <w:i w:val="0"/>
          <w:iCs w:val="0"/>
          <w:caps w:val="0"/>
          <w:color w:val="auto"/>
          <w:spacing w:val="0"/>
          <w:sz w:val="21"/>
          <w:szCs w:val="21"/>
          <w:highlight w:val="none"/>
        </w:rPr>
        <w:t>展厅必需的</w:t>
      </w:r>
      <w:r>
        <w:rPr>
          <w:rFonts w:hint="eastAsia" w:ascii="宋体" w:hAnsi="宋体" w:eastAsia="宋体" w:cs="宋体"/>
          <w:i w:val="0"/>
          <w:iCs w:val="0"/>
          <w:caps w:val="0"/>
          <w:color w:val="auto"/>
          <w:spacing w:val="0"/>
          <w:sz w:val="21"/>
          <w:szCs w:val="21"/>
          <w:highlight w:val="none"/>
          <w:lang w:val="en-US" w:eastAsia="zh-CN"/>
        </w:rPr>
        <w:t>藏品展陈设备设施</w:t>
      </w:r>
      <w:r>
        <w:rPr>
          <w:rFonts w:hint="eastAsia" w:ascii="宋体" w:hAnsi="宋体" w:eastAsia="宋体" w:cs="宋体"/>
          <w:i w:val="0"/>
          <w:iCs w:val="0"/>
          <w:caps w:val="0"/>
          <w:color w:val="auto"/>
          <w:spacing w:val="0"/>
          <w:sz w:val="21"/>
          <w:szCs w:val="21"/>
          <w:highlight w:val="none"/>
        </w:rPr>
        <w:t>。此次计划</w:t>
      </w:r>
      <w:r>
        <w:rPr>
          <w:rFonts w:hint="eastAsia" w:ascii="宋体" w:hAnsi="宋体" w:eastAsia="宋体" w:cs="宋体"/>
          <w:i w:val="0"/>
          <w:iCs w:val="0"/>
          <w:caps w:val="0"/>
          <w:color w:val="auto"/>
          <w:spacing w:val="0"/>
          <w:sz w:val="21"/>
          <w:szCs w:val="21"/>
          <w:highlight w:val="none"/>
          <w:lang w:val="en-US" w:eastAsia="zh-CN"/>
        </w:rPr>
        <w:t>采购</w:t>
      </w:r>
      <w:r>
        <w:rPr>
          <w:rFonts w:hint="eastAsia" w:ascii="宋体" w:hAnsi="宋体" w:eastAsia="宋体" w:cs="宋体"/>
          <w:color w:val="auto"/>
          <w:spacing w:val="-1"/>
          <w:sz w:val="21"/>
          <w:szCs w:val="21"/>
          <w:highlight w:val="none"/>
        </w:rPr>
        <w:t>定制一批具备</w:t>
      </w:r>
      <w:r>
        <w:rPr>
          <w:rFonts w:hint="eastAsia" w:ascii="宋体" w:hAnsi="宋体" w:eastAsia="宋体" w:cs="宋体"/>
          <w:color w:val="auto"/>
          <w:spacing w:val="-1"/>
          <w:sz w:val="21"/>
          <w:szCs w:val="21"/>
          <w:highlight w:val="none"/>
          <w:lang w:val="en-US" w:eastAsia="zh-CN"/>
        </w:rPr>
        <w:t>藏品</w:t>
      </w:r>
      <w:r>
        <w:rPr>
          <w:rFonts w:hint="eastAsia" w:ascii="宋体" w:hAnsi="宋体" w:eastAsia="宋体" w:cs="宋体"/>
          <w:color w:val="auto"/>
          <w:spacing w:val="-1"/>
          <w:sz w:val="21"/>
          <w:szCs w:val="21"/>
          <w:highlight w:val="none"/>
        </w:rPr>
        <w:t>保护预防性</w:t>
      </w:r>
      <w:r>
        <w:rPr>
          <w:rFonts w:hint="eastAsia" w:ascii="宋体" w:hAnsi="宋体" w:eastAsia="宋体" w:cs="宋体"/>
          <w:color w:val="auto"/>
          <w:spacing w:val="-2"/>
          <w:sz w:val="21"/>
          <w:szCs w:val="21"/>
          <w:highlight w:val="none"/>
        </w:rPr>
        <w:t>能的专业展柜。</w:t>
      </w:r>
      <w:r>
        <w:rPr>
          <w:rFonts w:hint="eastAsia" w:ascii="宋体" w:hAnsi="宋体" w:eastAsia="宋体" w:cs="宋体"/>
          <w:i w:val="0"/>
          <w:iCs w:val="0"/>
          <w:caps w:val="0"/>
          <w:color w:val="auto"/>
          <w:spacing w:val="0"/>
          <w:sz w:val="21"/>
          <w:szCs w:val="21"/>
          <w:highlight w:val="none"/>
        </w:rPr>
        <w:t>既要保证</w:t>
      </w:r>
      <w:r>
        <w:rPr>
          <w:rFonts w:hint="eastAsia" w:ascii="宋体" w:hAnsi="宋体" w:eastAsia="宋体" w:cs="宋体"/>
          <w:i w:val="0"/>
          <w:iCs w:val="0"/>
          <w:caps w:val="0"/>
          <w:color w:val="auto"/>
          <w:spacing w:val="0"/>
          <w:sz w:val="21"/>
          <w:szCs w:val="21"/>
          <w:highlight w:val="none"/>
          <w:lang w:val="en-US" w:eastAsia="zh-CN"/>
        </w:rPr>
        <w:t>藏品</w:t>
      </w:r>
      <w:r>
        <w:rPr>
          <w:rFonts w:hint="eastAsia" w:ascii="宋体" w:hAnsi="宋体" w:eastAsia="宋体" w:cs="宋体"/>
          <w:i w:val="0"/>
          <w:iCs w:val="0"/>
          <w:caps w:val="0"/>
          <w:color w:val="auto"/>
          <w:spacing w:val="0"/>
          <w:sz w:val="21"/>
          <w:szCs w:val="21"/>
          <w:highlight w:val="none"/>
        </w:rPr>
        <w:t>展示效果，又达到</w:t>
      </w:r>
      <w:r>
        <w:rPr>
          <w:rFonts w:hint="eastAsia" w:ascii="宋体" w:hAnsi="宋体" w:eastAsia="宋体" w:cs="宋体"/>
          <w:i w:val="0"/>
          <w:iCs w:val="0"/>
          <w:caps w:val="0"/>
          <w:color w:val="auto"/>
          <w:spacing w:val="0"/>
          <w:sz w:val="21"/>
          <w:szCs w:val="21"/>
          <w:highlight w:val="none"/>
          <w:lang w:val="en-US" w:eastAsia="zh-CN"/>
        </w:rPr>
        <w:t>藏品</w:t>
      </w:r>
      <w:r>
        <w:rPr>
          <w:rFonts w:hint="eastAsia" w:ascii="宋体" w:hAnsi="宋体" w:eastAsia="宋体" w:cs="宋体"/>
          <w:i w:val="0"/>
          <w:iCs w:val="0"/>
          <w:caps w:val="0"/>
          <w:color w:val="auto"/>
          <w:spacing w:val="0"/>
          <w:sz w:val="21"/>
          <w:szCs w:val="21"/>
          <w:highlight w:val="none"/>
        </w:rPr>
        <w:t>保护要求。</w:t>
      </w:r>
    </w:p>
    <w:p w14:paraId="76C8652E">
      <w:pPr>
        <w:keepNext w:val="0"/>
        <w:keepLines w:val="0"/>
        <w:pageBreakBefore w:val="0"/>
        <w:widowControl/>
        <w:kinsoku w:val="0"/>
        <w:wordWrap/>
        <w:overflowPunct/>
        <w:topLinePunct w:val="0"/>
        <w:autoSpaceDE w:val="0"/>
        <w:autoSpaceDN w:val="0"/>
        <w:bidi w:val="0"/>
        <w:adjustRightInd w:val="0"/>
        <w:snapToGrid w:val="0"/>
        <w:spacing w:line="360" w:lineRule="auto"/>
        <w:ind w:left="41" w:firstLine="41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具体内容包括但不限于：</w:t>
      </w:r>
    </w:p>
    <w:p w14:paraId="7CA220B0">
      <w:pPr>
        <w:keepNext w:val="0"/>
        <w:keepLines w:val="0"/>
        <w:pageBreakBefore w:val="0"/>
        <w:widowControl/>
        <w:kinsoku w:val="0"/>
        <w:wordWrap/>
        <w:overflowPunct/>
        <w:topLinePunct w:val="0"/>
        <w:autoSpaceDE w:val="0"/>
        <w:autoSpaceDN w:val="0"/>
        <w:bidi w:val="0"/>
        <w:adjustRightInd w:val="0"/>
        <w:snapToGrid w:val="0"/>
        <w:spacing w:line="360" w:lineRule="auto"/>
        <w:ind w:left="37" w:right="84" w:firstLine="4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（1）定制</w:t>
      </w:r>
      <w:r>
        <w:rPr>
          <w:rFonts w:hint="eastAsia" w:ascii="宋体" w:hAnsi="宋体" w:eastAsia="宋体" w:cs="宋体"/>
          <w:color w:val="auto"/>
          <w:spacing w:val="-1"/>
          <w:sz w:val="21"/>
          <w:szCs w:val="21"/>
          <w:highlight w:val="none"/>
          <w:lang w:val="en-US" w:eastAsia="zh-CN"/>
        </w:rPr>
        <w:t>平柜、独立柜、通柜</w:t>
      </w:r>
      <w:r>
        <w:rPr>
          <w:rFonts w:hint="eastAsia" w:ascii="宋体" w:hAnsi="宋体" w:eastAsia="宋体" w:cs="宋体"/>
          <w:color w:val="auto"/>
          <w:spacing w:val="-1"/>
          <w:sz w:val="21"/>
          <w:szCs w:val="21"/>
          <w:highlight w:val="none"/>
        </w:rPr>
        <w:t>等</w:t>
      </w:r>
      <w:r>
        <w:rPr>
          <w:rFonts w:hint="eastAsia" w:ascii="宋体" w:hAnsi="宋体" w:eastAsia="宋体" w:cs="宋体"/>
          <w:color w:val="auto"/>
          <w:spacing w:val="-1"/>
          <w:sz w:val="21"/>
          <w:szCs w:val="21"/>
          <w:highlight w:val="none"/>
          <w:lang w:val="en-US" w:eastAsia="zh-CN"/>
        </w:rPr>
        <w:t>恒湿</w:t>
      </w:r>
      <w:r>
        <w:rPr>
          <w:rFonts w:hint="eastAsia" w:ascii="宋体" w:hAnsi="宋体" w:eastAsia="宋体" w:cs="宋体"/>
          <w:color w:val="auto"/>
          <w:spacing w:val="-1"/>
          <w:sz w:val="21"/>
          <w:szCs w:val="21"/>
          <w:highlight w:val="none"/>
        </w:rPr>
        <w:t>低反射玻璃</w:t>
      </w:r>
      <w:r>
        <w:rPr>
          <w:rFonts w:hint="eastAsia" w:ascii="宋体" w:hAnsi="宋体" w:eastAsia="宋体" w:cs="宋体"/>
          <w:color w:val="auto"/>
          <w:spacing w:val="-1"/>
          <w:sz w:val="21"/>
          <w:szCs w:val="21"/>
          <w:highlight w:val="none"/>
          <w:lang w:val="en-US" w:eastAsia="zh-CN"/>
        </w:rPr>
        <w:t>藏品</w:t>
      </w:r>
      <w:r>
        <w:rPr>
          <w:rFonts w:hint="eastAsia" w:ascii="宋体" w:hAnsi="宋体" w:eastAsia="宋体" w:cs="宋体"/>
          <w:color w:val="auto"/>
          <w:spacing w:val="-1"/>
          <w:sz w:val="21"/>
          <w:szCs w:val="21"/>
          <w:highlight w:val="none"/>
        </w:rPr>
        <w:t>展柜；并提供</w:t>
      </w:r>
      <w:r>
        <w:rPr>
          <w:rFonts w:hint="eastAsia" w:ascii="宋体" w:hAnsi="宋体" w:eastAsia="宋体" w:cs="宋体"/>
          <w:color w:val="auto"/>
          <w:sz w:val="21"/>
          <w:szCs w:val="21"/>
          <w:highlight w:val="none"/>
        </w:rPr>
        <w:t>配套供货、安装、调试、</w:t>
      </w:r>
      <w:r>
        <w:rPr>
          <w:rFonts w:hint="eastAsia" w:ascii="宋体" w:hAnsi="宋体" w:eastAsia="宋体" w:cs="宋体"/>
          <w:color w:val="auto"/>
          <w:sz w:val="21"/>
          <w:szCs w:val="21"/>
          <w:highlight w:val="none"/>
          <w:lang w:val="en-US" w:eastAsia="zh-CN"/>
        </w:rPr>
        <w:t>展托定制</w:t>
      </w:r>
      <w:r>
        <w:rPr>
          <w:rFonts w:hint="eastAsia" w:ascii="宋体" w:hAnsi="宋体" w:eastAsia="宋体" w:cs="宋体"/>
          <w:color w:val="auto"/>
          <w:sz w:val="21"/>
          <w:szCs w:val="21"/>
          <w:highlight w:val="none"/>
        </w:rPr>
        <w:t>及售后服务等工作。</w:t>
      </w:r>
    </w:p>
    <w:p w14:paraId="6B25BCF0">
      <w:pPr>
        <w:keepNext w:val="0"/>
        <w:keepLines w:val="0"/>
        <w:pageBreakBefore w:val="0"/>
        <w:widowControl/>
        <w:kinsoku w:val="0"/>
        <w:wordWrap/>
        <w:overflowPunct/>
        <w:topLinePunct w:val="0"/>
        <w:autoSpaceDE w:val="0"/>
        <w:autoSpaceDN w:val="0"/>
        <w:bidi w:val="0"/>
        <w:adjustRightInd w:val="0"/>
        <w:snapToGrid w:val="0"/>
        <w:spacing w:line="360" w:lineRule="auto"/>
        <w:ind w:left="37" w:right="86" w:firstLine="4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（2）结合现场进行展柜深化设计，展柜应针对展厅及展品情况进行设计和</w:t>
      </w:r>
      <w:r>
        <w:rPr>
          <w:rFonts w:hint="eastAsia" w:ascii="宋体" w:hAnsi="宋体" w:eastAsia="宋体" w:cs="宋体"/>
          <w:color w:val="auto"/>
          <w:spacing w:val="-1"/>
          <w:sz w:val="21"/>
          <w:szCs w:val="21"/>
          <w:highlight w:val="none"/>
          <w:lang w:val="en-US" w:eastAsia="zh-CN"/>
        </w:rPr>
        <w:t>定制</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并按学院布展设计要求定制</w:t>
      </w:r>
      <w:r>
        <w:rPr>
          <w:rFonts w:hint="eastAsia" w:ascii="宋体" w:hAnsi="宋体" w:eastAsia="宋体" w:cs="宋体"/>
          <w:color w:val="auto"/>
          <w:spacing w:val="-1"/>
          <w:sz w:val="21"/>
          <w:szCs w:val="21"/>
          <w:highlight w:val="none"/>
        </w:rPr>
        <w:t>相应的展</w:t>
      </w:r>
      <w:r>
        <w:rPr>
          <w:rFonts w:hint="eastAsia" w:ascii="宋体" w:hAnsi="宋体" w:eastAsia="宋体" w:cs="宋体"/>
          <w:color w:val="auto"/>
          <w:spacing w:val="-1"/>
          <w:sz w:val="21"/>
          <w:szCs w:val="21"/>
          <w:highlight w:val="none"/>
          <w:lang w:val="en-US" w:eastAsia="zh-CN"/>
        </w:rPr>
        <w:t>台、展托，确保满足展陈需求</w:t>
      </w:r>
      <w:r>
        <w:rPr>
          <w:rFonts w:hint="eastAsia" w:ascii="宋体" w:hAnsi="宋体" w:eastAsia="宋体" w:cs="宋体"/>
          <w:color w:val="auto"/>
          <w:spacing w:val="-1"/>
          <w:sz w:val="21"/>
          <w:szCs w:val="21"/>
          <w:highlight w:val="none"/>
        </w:rPr>
        <w:t>。</w:t>
      </w:r>
    </w:p>
    <w:p w14:paraId="2E1D2DFC">
      <w:pPr>
        <w:keepNext w:val="0"/>
        <w:keepLines w:val="0"/>
        <w:pageBreakBefore w:val="0"/>
        <w:widowControl/>
        <w:kinsoku w:val="0"/>
        <w:wordWrap/>
        <w:overflowPunct/>
        <w:topLinePunct w:val="0"/>
        <w:autoSpaceDE w:val="0"/>
        <w:autoSpaceDN w:val="0"/>
        <w:bidi w:val="0"/>
        <w:adjustRightInd w:val="0"/>
        <w:snapToGrid w:val="0"/>
        <w:spacing w:line="360" w:lineRule="auto"/>
        <w:ind w:left="39" w:right="93" w:firstLine="4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（3）展柜安装调试完成后，</w:t>
      </w:r>
      <w:r>
        <w:rPr>
          <w:rFonts w:hint="eastAsia" w:ascii="宋体" w:hAnsi="宋体" w:eastAsia="宋体" w:cs="宋体"/>
          <w:color w:val="auto"/>
          <w:spacing w:val="-1"/>
          <w:sz w:val="21"/>
          <w:szCs w:val="21"/>
          <w:highlight w:val="none"/>
          <w:lang w:val="en-US" w:eastAsia="zh-CN"/>
        </w:rPr>
        <w:t>根据学院要求配合完成布展工作</w:t>
      </w:r>
      <w:r>
        <w:rPr>
          <w:rFonts w:hint="eastAsia" w:ascii="宋体" w:hAnsi="宋体" w:eastAsia="宋体" w:cs="宋体"/>
          <w:color w:val="auto"/>
          <w:spacing w:val="-1"/>
          <w:sz w:val="21"/>
          <w:szCs w:val="21"/>
          <w:highlight w:val="none"/>
        </w:rPr>
        <w:t>，通过</w:t>
      </w:r>
      <w:r>
        <w:rPr>
          <w:rFonts w:hint="eastAsia" w:ascii="宋体" w:hAnsi="宋体" w:eastAsia="宋体" w:cs="宋体"/>
          <w:color w:val="auto"/>
          <w:spacing w:val="-1"/>
          <w:sz w:val="21"/>
          <w:szCs w:val="21"/>
          <w:highlight w:val="none"/>
          <w:lang w:val="en-US" w:eastAsia="zh-CN"/>
        </w:rPr>
        <w:t>相关</w:t>
      </w:r>
      <w:r>
        <w:rPr>
          <w:rFonts w:hint="eastAsia" w:ascii="宋体" w:hAnsi="宋体" w:eastAsia="宋体" w:cs="宋体"/>
          <w:color w:val="auto"/>
          <w:spacing w:val="-1"/>
          <w:sz w:val="21"/>
          <w:szCs w:val="21"/>
          <w:highlight w:val="none"/>
        </w:rPr>
        <w:t>验</w:t>
      </w:r>
      <w:r>
        <w:rPr>
          <w:rFonts w:hint="eastAsia" w:ascii="宋体" w:hAnsi="宋体" w:eastAsia="宋体" w:cs="宋体"/>
          <w:color w:val="auto"/>
          <w:spacing w:val="-2"/>
          <w:sz w:val="21"/>
          <w:szCs w:val="21"/>
          <w:highlight w:val="none"/>
        </w:rPr>
        <w:t>收审</w:t>
      </w:r>
      <w:r>
        <w:rPr>
          <w:rFonts w:hint="eastAsia" w:ascii="宋体" w:hAnsi="宋体" w:eastAsia="宋体" w:cs="宋体"/>
          <w:color w:val="auto"/>
          <w:spacing w:val="-10"/>
          <w:sz w:val="21"/>
          <w:szCs w:val="21"/>
          <w:highlight w:val="none"/>
        </w:rPr>
        <w:t>查。</w:t>
      </w:r>
    </w:p>
    <w:p w14:paraId="5F03D6B4">
      <w:pPr>
        <w:keepNext w:val="0"/>
        <w:keepLines w:val="0"/>
        <w:pageBreakBefore w:val="0"/>
        <w:widowControl/>
        <w:kinsoku w:val="0"/>
        <w:wordWrap/>
        <w:overflowPunct/>
        <w:topLinePunct w:val="0"/>
        <w:autoSpaceDE w:val="0"/>
        <w:autoSpaceDN w:val="0"/>
        <w:bidi w:val="0"/>
        <w:adjustRightInd w:val="0"/>
        <w:snapToGrid w:val="0"/>
        <w:spacing w:line="360" w:lineRule="auto"/>
        <w:ind w:left="39" w:right="93" w:firstLine="424"/>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sz w:val="21"/>
          <w:szCs w:val="21"/>
          <w:highlight w:val="none"/>
        </w:rPr>
        <w:t>展柜具备良好的密闭性能，空气交换率满足高气密性展柜的国家标准要求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同时配置为藏品展柜专用的专业恒湿机</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展柜内所有使用材料均为环保材料，如板材、密封胶、布料等均经过文博行业权威检测机构的ODDY 检测，并得到适合在博物馆展柜内长期使用的结论。</w:t>
      </w:r>
      <w:r>
        <w:rPr>
          <w:rFonts w:hint="eastAsia" w:ascii="宋体" w:hAnsi="宋体" w:eastAsia="宋体" w:cs="宋体"/>
          <w:color w:val="auto"/>
          <w:spacing w:val="-1"/>
          <w:sz w:val="21"/>
          <w:szCs w:val="21"/>
          <w:highlight w:val="none"/>
        </w:rPr>
        <w:t>展柜整体结构为金属框架式结构，具有良好的安全性，结构稳固、安全，具有良好的防盗和防破</w:t>
      </w:r>
      <w:r>
        <w:rPr>
          <w:rFonts w:hint="eastAsia" w:ascii="宋体" w:hAnsi="宋体" w:eastAsia="宋体" w:cs="宋体"/>
          <w:color w:val="auto"/>
          <w:spacing w:val="2"/>
          <w:sz w:val="21"/>
          <w:szCs w:val="21"/>
          <w:highlight w:val="none"/>
        </w:rPr>
        <w:t>坏性能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开启方式满足展陈布置和安保需求，维护方便。</w:t>
      </w:r>
      <w:r>
        <w:rPr>
          <w:rFonts w:hint="eastAsia" w:ascii="宋体" w:hAnsi="宋体" w:eastAsia="宋体" w:cs="宋体"/>
          <w:color w:val="auto"/>
          <w:sz w:val="21"/>
          <w:szCs w:val="21"/>
          <w:highlight w:val="none"/>
        </w:rPr>
        <w:t>展柜外观金属饰面颜色由</w:t>
      </w:r>
      <w:r>
        <w:rPr>
          <w:rFonts w:hint="eastAsia" w:ascii="宋体" w:hAnsi="宋体" w:eastAsia="宋体" w:cs="宋体"/>
          <w:color w:val="auto"/>
          <w:sz w:val="21"/>
          <w:szCs w:val="21"/>
          <w:highlight w:val="none"/>
          <w:lang w:eastAsia="zh-CN"/>
        </w:rPr>
        <w:t>学院</w:t>
      </w:r>
      <w:r>
        <w:rPr>
          <w:rFonts w:hint="eastAsia" w:ascii="宋体" w:hAnsi="宋体" w:eastAsia="宋体" w:cs="宋体"/>
          <w:color w:val="auto"/>
          <w:sz w:val="21"/>
          <w:szCs w:val="21"/>
          <w:highlight w:val="none"/>
        </w:rPr>
        <w:t>指定，柜内底板、展托为环保亚麻包布材质。展柜内照度控制在书画类或展出器物类</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展品要求数值之内，满足博物馆照明相关要求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展柜整体为定制产品，所有设计方案需由学院确认后方可实施。</w:t>
      </w:r>
    </w:p>
    <w:p w14:paraId="1EB68A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outlineLvl w:val="0"/>
        <w:rPr>
          <w:rFonts w:hint="eastAsia" w:ascii="宋体" w:hAnsi="宋体" w:eastAsia="宋体" w:cs="宋体"/>
          <w:b/>
          <w:bCs/>
          <w:snapToGrid w:val="0"/>
          <w:color w:val="auto"/>
          <w:spacing w:val="-2"/>
          <w:kern w:val="0"/>
          <w:sz w:val="21"/>
          <w:szCs w:val="21"/>
          <w:highlight w:val="none"/>
          <w:lang w:val="en-US" w:eastAsia="zh-CN" w:bidi="ar"/>
        </w:rPr>
      </w:pPr>
      <w:bookmarkStart w:id="63" w:name="_Toc253"/>
      <w:bookmarkStart w:id="64" w:name="_Toc9210"/>
      <w:r>
        <w:rPr>
          <w:rFonts w:hint="eastAsia" w:ascii="宋体" w:hAnsi="宋体" w:eastAsia="宋体" w:cs="宋体"/>
          <w:b/>
          <w:bCs/>
          <w:snapToGrid w:val="0"/>
          <w:color w:val="auto"/>
          <w:spacing w:val="-2"/>
          <w:kern w:val="0"/>
          <w:sz w:val="21"/>
          <w:szCs w:val="21"/>
          <w:highlight w:val="none"/>
          <w:lang w:val="en-US" w:eastAsia="zh-CN" w:bidi="ar"/>
        </w:rPr>
        <w:t>2、整体技术要求</w:t>
      </w:r>
      <w:bookmarkEnd w:id="63"/>
      <w:bookmarkEnd w:id="64"/>
    </w:p>
    <w:p w14:paraId="777F7BE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auto"/>
          <w:spacing w:val="-2"/>
          <w:kern w:val="0"/>
          <w:sz w:val="21"/>
          <w:szCs w:val="21"/>
          <w:highlight w:val="none"/>
          <w:lang w:val="en-US" w:eastAsia="zh-CN" w:bidi="ar"/>
        </w:rPr>
      </w:pPr>
      <w:bookmarkStart w:id="65" w:name="_Toc61"/>
      <w:r>
        <w:rPr>
          <w:rFonts w:hint="eastAsia" w:ascii="宋体" w:hAnsi="宋体" w:eastAsia="宋体" w:cs="宋体"/>
          <w:b/>
          <w:bCs/>
          <w:snapToGrid w:val="0"/>
          <w:color w:val="auto"/>
          <w:spacing w:val="-2"/>
          <w:kern w:val="0"/>
          <w:sz w:val="21"/>
          <w:szCs w:val="21"/>
          <w:highlight w:val="none"/>
          <w:lang w:val="en-US" w:eastAsia="zh-CN" w:bidi="ar"/>
        </w:rPr>
        <w:t>2.1 通柜</w:t>
      </w:r>
      <w:bookmarkEnd w:id="65"/>
    </w:p>
    <w:p w14:paraId="334DDE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（1）结构特点：上设备层、展示区、底部设备层三部分组成，各部分具备独立空间。展柜质量符高气密性文物展柜相关现行规定要求。</w:t>
      </w:r>
    </w:p>
    <w:p w14:paraId="3125AE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（2）开启方式：电动推出，手动平移。</w:t>
      </w:r>
    </w:p>
    <w:p w14:paraId="347EAB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（3）玻璃选用：根据展柜规格尺寸，采用6+0.89+6mm低反射安全夹胶玻璃。</w:t>
      </w:r>
    </w:p>
    <w:p w14:paraId="4348AD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（4）底部调平设置：底部配备水平调节脚。</w:t>
      </w:r>
    </w:p>
    <w:p w14:paraId="7928A4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（5）微环：展柜为高气密性展柜，配备恒湿机进行微环境调控。</w:t>
      </w:r>
    </w:p>
    <w:p w14:paraId="484D06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（6）照明系统：配备柜内LED重点照明及泛照明系统。成品展柜的柜内照明应采用LED光源，减少光、热等对有机质藏品的损害，灯具要有防眩光设计。</w:t>
      </w:r>
    </w:p>
    <w:p w14:paraId="5675A8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（7）环保性能：在藏品展示环境中使用的各种材料，所散发的挥发物对藏品的潜在危害需严格控制。</w:t>
      </w:r>
    </w:p>
    <w:p w14:paraId="1CFD89B0">
      <w:pPr>
        <w:keepNext w:val="0"/>
        <w:keepLines w:val="0"/>
        <w:pageBreakBefore w:val="0"/>
        <w:widowControl/>
        <w:suppressLineNumbers w:val="0"/>
        <w:tabs>
          <w:tab w:val="left" w:pos="8293"/>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（8）结合展陈设计定制加工展托及展具，包含且不限于亚麻包布展台、金属展台。</w:t>
      </w:r>
      <w:r>
        <w:rPr>
          <w:rFonts w:hint="eastAsia" w:ascii="宋体" w:hAnsi="宋体" w:eastAsia="宋体" w:cs="宋体"/>
          <w:snapToGrid w:val="0"/>
          <w:color w:val="auto"/>
          <w:spacing w:val="-2"/>
          <w:kern w:val="0"/>
          <w:sz w:val="21"/>
          <w:szCs w:val="21"/>
          <w:highlight w:val="none"/>
          <w:lang w:val="en-US" w:eastAsia="zh-CN" w:bidi="ar"/>
        </w:rPr>
        <w:tab/>
      </w:r>
    </w:p>
    <w:p w14:paraId="253402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auto"/>
          <w:spacing w:val="-2"/>
          <w:kern w:val="0"/>
          <w:sz w:val="21"/>
          <w:szCs w:val="21"/>
          <w:highlight w:val="none"/>
          <w:lang w:val="en-US" w:eastAsia="zh-CN" w:bidi="ar"/>
        </w:rPr>
      </w:pPr>
      <w:bookmarkStart w:id="66" w:name="_Toc13114"/>
      <w:r>
        <w:rPr>
          <w:rFonts w:hint="eastAsia" w:ascii="宋体" w:hAnsi="宋体" w:eastAsia="宋体" w:cs="宋体"/>
          <w:b/>
          <w:bCs/>
          <w:snapToGrid w:val="0"/>
          <w:color w:val="auto"/>
          <w:spacing w:val="-2"/>
          <w:kern w:val="0"/>
          <w:sz w:val="21"/>
          <w:szCs w:val="21"/>
          <w:highlight w:val="none"/>
          <w:lang w:val="en-US" w:eastAsia="zh-CN" w:bidi="ar"/>
        </w:rPr>
        <w:t xml:space="preserve">2.2 </w:t>
      </w:r>
      <w:bookmarkEnd w:id="66"/>
      <w:r>
        <w:rPr>
          <w:rFonts w:hint="eastAsia" w:ascii="宋体" w:hAnsi="宋体" w:eastAsia="宋体" w:cs="宋体"/>
          <w:b/>
          <w:bCs/>
          <w:snapToGrid w:val="0"/>
          <w:color w:val="auto"/>
          <w:spacing w:val="-2"/>
          <w:kern w:val="0"/>
          <w:sz w:val="21"/>
          <w:szCs w:val="21"/>
          <w:highlight w:val="none"/>
          <w:lang w:val="en-US" w:eastAsia="zh-CN" w:bidi="ar"/>
        </w:rPr>
        <w:t>独立柜</w:t>
      </w:r>
    </w:p>
    <w:p w14:paraId="14D596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（1）结构特点：根据展陈需求设计定制，上设备层、展示区、底部设备层三部分组成，各部分具备独立空间。展柜质量符高气密性文物展柜相关现行规定要求。</w:t>
      </w:r>
    </w:p>
    <w:p w14:paraId="0FEBC5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（2）开启方式：根据柜体结构定制电动开启，根据需求定制。</w:t>
      </w:r>
    </w:p>
    <w:p w14:paraId="5DA380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（3）玻璃选用：根据展柜规格尺寸，采用6+0.76+6mm低反射安全夹胶玻璃。</w:t>
      </w:r>
    </w:p>
    <w:p w14:paraId="7C0C73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（4）微环境：展柜为高气密性展柜，配备恒湿机进行微环境调控。</w:t>
      </w:r>
    </w:p>
    <w:p w14:paraId="275CC6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（5）照明系统：按需配备柜内LED重点照系统。</w:t>
      </w:r>
    </w:p>
    <w:p w14:paraId="2CB02B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（6）环保性能：在藏品展示环境中使用的各种材料，所散发的挥发物对藏品的潜在危害需严格控制。</w:t>
      </w:r>
    </w:p>
    <w:p w14:paraId="4261D8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（7）结合展陈设计定制加工展托及展具，包含且不限于亚麻包布展台、金属展台。</w:t>
      </w:r>
    </w:p>
    <w:p w14:paraId="7B08FCB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auto"/>
          <w:spacing w:val="-2"/>
          <w:kern w:val="0"/>
          <w:sz w:val="21"/>
          <w:szCs w:val="21"/>
          <w:highlight w:val="none"/>
          <w:lang w:val="en-US" w:eastAsia="zh-CN" w:bidi="ar"/>
        </w:rPr>
      </w:pPr>
      <w:bookmarkStart w:id="67" w:name="_Toc1889"/>
      <w:r>
        <w:rPr>
          <w:rFonts w:hint="eastAsia" w:ascii="宋体" w:hAnsi="宋体" w:eastAsia="宋体" w:cs="宋体"/>
          <w:b/>
          <w:bCs/>
          <w:snapToGrid w:val="0"/>
          <w:color w:val="auto"/>
          <w:spacing w:val="-2"/>
          <w:kern w:val="0"/>
          <w:sz w:val="21"/>
          <w:szCs w:val="21"/>
          <w:highlight w:val="none"/>
          <w:lang w:val="en-US" w:eastAsia="zh-CN" w:bidi="ar"/>
        </w:rPr>
        <w:t>2.3 平柜</w:t>
      </w:r>
      <w:bookmarkEnd w:id="67"/>
    </w:p>
    <w:p w14:paraId="3D5D7B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（1）结构特点：展示区、底部设备层两部分组成，各部分具备独立空间。展柜质量符合高气密性文物展柜相关现行标准要求。</w:t>
      </w:r>
    </w:p>
    <w:p w14:paraId="0CC457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（2）开启方式：电动顶升式开启方式。</w:t>
      </w:r>
    </w:p>
    <w:p w14:paraId="672E40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（3）玻璃选用：根据展柜规格尺寸，采用6+0.76+6mm低反射安全夹胶玻璃。</w:t>
      </w:r>
    </w:p>
    <w:p w14:paraId="058D99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（4）微环境：展柜为高气密性展柜，配备恒湿机进行微环境调控。</w:t>
      </w:r>
    </w:p>
    <w:p w14:paraId="3DF8C2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（5）照明系统：按需配备柜内LED门型灯架。</w:t>
      </w:r>
    </w:p>
    <w:p w14:paraId="0D3143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（6）环保性能：在藏品展示环境中使用的各种材料，所散发的挥发物对藏品的潜在危害需严格控制。</w:t>
      </w:r>
    </w:p>
    <w:p w14:paraId="3B643A0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（7）结合展陈设计定制加工展托及展具，包含且不限于亚麻包布展台、金属展台。</w:t>
      </w:r>
    </w:p>
    <w:p w14:paraId="7165F4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3、展柜技术要求</w:t>
      </w:r>
    </w:p>
    <w:tbl>
      <w:tblPr>
        <w:tblStyle w:val="2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94"/>
        <w:gridCol w:w="1388"/>
        <w:gridCol w:w="6981"/>
      </w:tblGrid>
      <w:tr w14:paraId="166F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3" w:type="pct"/>
            <w:noWrap w:val="0"/>
            <w:vAlign w:val="center"/>
          </w:tcPr>
          <w:p w14:paraId="408E40A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bookmarkStart w:id="68" w:name="_Hlk18591180"/>
            <w:r>
              <w:rPr>
                <w:rFonts w:hint="eastAsia" w:ascii="宋体" w:hAnsi="宋体" w:eastAsia="宋体" w:cs="宋体"/>
                <w:color w:val="auto"/>
                <w:sz w:val="21"/>
                <w:szCs w:val="21"/>
                <w:highlight w:val="none"/>
              </w:rPr>
              <w:t>序号</w:t>
            </w:r>
          </w:p>
        </w:tc>
        <w:tc>
          <w:tcPr>
            <w:tcW w:w="355" w:type="pct"/>
            <w:noWrap w:val="0"/>
            <w:vAlign w:val="center"/>
          </w:tcPr>
          <w:p w14:paraId="7B2C4A4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11" w:type="pct"/>
            <w:noWrap w:val="0"/>
            <w:vAlign w:val="center"/>
          </w:tcPr>
          <w:p w14:paraId="1D9306E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w:t>
            </w:r>
          </w:p>
        </w:tc>
        <w:tc>
          <w:tcPr>
            <w:tcW w:w="3578" w:type="pct"/>
            <w:noWrap w:val="0"/>
            <w:vAlign w:val="center"/>
          </w:tcPr>
          <w:p w14:paraId="546BB53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14:paraId="0F2F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5D3E8AD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5" w:type="pct"/>
            <w:vMerge w:val="restart"/>
            <w:noWrap w:val="0"/>
            <w:vAlign w:val="center"/>
          </w:tcPr>
          <w:p w14:paraId="4AF289A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展柜总体</w:t>
            </w:r>
          </w:p>
        </w:tc>
        <w:tc>
          <w:tcPr>
            <w:tcW w:w="711" w:type="pct"/>
            <w:noWrap w:val="0"/>
            <w:vAlign w:val="center"/>
          </w:tcPr>
          <w:p w14:paraId="31C320C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外形样式</w:t>
            </w:r>
          </w:p>
        </w:tc>
        <w:tc>
          <w:tcPr>
            <w:tcW w:w="3578" w:type="pct"/>
            <w:noWrap w:val="0"/>
            <w:vAlign w:val="center"/>
          </w:tcPr>
          <w:p w14:paraId="5C56BE1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展柜外形应与展厅展陈设计、展柜形式设计风格相协调，外观工艺精致，颜色需经由采购人选定。</w:t>
            </w:r>
          </w:p>
        </w:tc>
      </w:tr>
      <w:tr w14:paraId="1619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589367E5">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3863B814">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30EBABC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安全性能</w:t>
            </w:r>
          </w:p>
        </w:tc>
        <w:tc>
          <w:tcPr>
            <w:tcW w:w="3578" w:type="pct"/>
            <w:noWrap w:val="0"/>
            <w:vAlign w:val="center"/>
          </w:tcPr>
          <w:p w14:paraId="3A0EE7D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展柜满足GB/T 36111—2018《文物展柜基本技术要求及检测》的要求。展柜具有良好的安全性，结构稳固、安全，具有良好的防盗和防破坏性能；开启方式满足展陈布置和安保需求，维护方便。</w:t>
            </w:r>
          </w:p>
          <w:p w14:paraId="2F5FE4F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2"/>
                <w:sz w:val="21"/>
                <w:szCs w:val="21"/>
                <w:highlight w:val="none"/>
              </w:rPr>
              <w:t>展柜（通柜、平柜</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独立柜3</w:t>
            </w:r>
            <w:r>
              <w:rPr>
                <w:rFonts w:hint="eastAsia" w:ascii="宋体" w:hAnsi="宋体" w:eastAsia="宋体" w:cs="宋体"/>
                <w:color w:val="auto"/>
                <w:spacing w:val="-2"/>
                <w:sz w:val="21"/>
                <w:szCs w:val="21"/>
                <w:highlight w:val="none"/>
              </w:rPr>
              <w:t>种柜型）的结构</w:t>
            </w:r>
            <w:r>
              <w:rPr>
                <w:rFonts w:hint="eastAsia" w:ascii="宋体" w:hAnsi="宋体" w:eastAsia="宋体" w:cs="宋体"/>
                <w:color w:val="auto"/>
                <w:spacing w:val="2"/>
                <w:sz w:val="21"/>
                <w:szCs w:val="21"/>
                <w:highlight w:val="none"/>
              </w:rPr>
              <w:t>外观、平整度、甲醛释放量、耐湿热、抗冲击性、金属涂层硬度及附着力符合</w:t>
            </w:r>
            <w:r>
              <w:rPr>
                <w:rFonts w:hint="eastAsia" w:ascii="宋体" w:hAnsi="宋体" w:eastAsia="宋体" w:cs="宋体"/>
                <w:color w:val="auto"/>
                <w:spacing w:val="2"/>
                <w:sz w:val="21"/>
                <w:szCs w:val="21"/>
                <w:highlight w:val="none"/>
                <w:lang w:val="en-US" w:eastAsia="zh-CN"/>
              </w:rPr>
              <w:t>GB/T 3325-2024</w:t>
            </w:r>
            <w:r>
              <w:rPr>
                <w:rFonts w:hint="eastAsia" w:cs="宋体"/>
                <w:color w:val="auto"/>
                <w:spacing w:val="2"/>
                <w:sz w:val="21"/>
                <w:szCs w:val="21"/>
                <w:highlight w:val="none"/>
                <w:lang w:val="en-US" w:eastAsia="zh-CN"/>
              </w:rPr>
              <w:t>的</w:t>
            </w:r>
            <w:r>
              <w:rPr>
                <w:rFonts w:hint="eastAsia" w:ascii="宋体" w:hAnsi="宋体" w:eastAsia="宋体" w:cs="宋体"/>
                <w:color w:val="auto"/>
                <w:spacing w:val="2"/>
                <w:sz w:val="21"/>
                <w:szCs w:val="21"/>
                <w:highlight w:val="none"/>
                <w:lang w:val="en-US" w:eastAsia="zh-CN"/>
              </w:rPr>
              <w:t>质量检测</w:t>
            </w:r>
            <w:r>
              <w:rPr>
                <w:rFonts w:hint="eastAsia" w:ascii="宋体" w:hAnsi="宋体" w:eastAsia="宋体" w:cs="宋体"/>
                <w:color w:val="auto"/>
                <w:spacing w:val="2"/>
                <w:sz w:val="21"/>
                <w:szCs w:val="21"/>
                <w:highlight w:val="none"/>
              </w:rPr>
              <w:t>要求</w:t>
            </w:r>
            <w:r>
              <w:rPr>
                <w:rFonts w:hint="eastAsia" w:cs="宋体"/>
                <w:color w:val="auto"/>
                <w:spacing w:val="2"/>
                <w:sz w:val="21"/>
                <w:szCs w:val="21"/>
                <w:highlight w:val="none"/>
                <w:lang w:eastAsia="zh-CN"/>
              </w:rPr>
              <w:t>。</w:t>
            </w:r>
            <w:r>
              <w:rPr>
                <w:rFonts w:hint="default"/>
                <w:b/>
                <w:bCs/>
                <w:color w:val="auto"/>
                <w:spacing w:val="-3"/>
                <w:highlight w:val="none"/>
              </w:rPr>
              <w:t>（投标文件中提供</w:t>
            </w:r>
            <w:r>
              <w:rPr>
                <w:rFonts w:hint="eastAsia" w:eastAsia="宋体"/>
                <w:b/>
                <w:bCs/>
                <w:color w:val="auto"/>
                <w:spacing w:val="-3"/>
                <w:highlight w:val="none"/>
                <w:lang w:val="en-US" w:eastAsia="zh-CN"/>
              </w:rPr>
              <w:t>所有柜型通过</w:t>
            </w:r>
            <w:r>
              <w:rPr>
                <w:rFonts w:hint="default"/>
                <w:b/>
                <w:bCs/>
                <w:color w:val="auto"/>
                <w:spacing w:val="-3"/>
                <w:highlight w:val="none"/>
              </w:rPr>
              <w:t>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565F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279D6217">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77180505">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7092637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文物防震</w:t>
            </w:r>
          </w:p>
        </w:tc>
        <w:tc>
          <w:tcPr>
            <w:tcW w:w="3578" w:type="pct"/>
            <w:noWrap w:val="0"/>
            <w:vAlign w:val="center"/>
          </w:tcPr>
          <w:p w14:paraId="1E41B57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展柜需进行防震性能设计，满足WW/T 0069-2015《馆藏文物防震规范》。</w:t>
            </w:r>
            <w:r>
              <w:rPr>
                <w:rFonts w:hint="eastAsia" w:ascii="宋体" w:hAnsi="宋体" w:eastAsia="宋体" w:cs="宋体"/>
                <w:color w:val="auto"/>
                <w:sz w:val="21"/>
                <w:szCs w:val="21"/>
                <w:highlight w:val="none"/>
                <w:lang w:val="en-US" w:eastAsia="zh-CN"/>
              </w:rPr>
              <w:t xml:space="preserve"> </w:t>
            </w:r>
          </w:p>
          <w:p w14:paraId="1DB8D3F5">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1"/>
                <w:sz w:val="21"/>
                <w:szCs w:val="21"/>
                <w:highlight w:val="none"/>
              </w:rPr>
              <w:t>独立柜</w:t>
            </w:r>
            <w:r>
              <w:rPr>
                <w:rFonts w:hint="eastAsia" w:ascii="宋体" w:hAnsi="宋体" w:eastAsia="宋体" w:cs="宋体"/>
                <w:color w:val="auto"/>
                <w:spacing w:val="1"/>
                <w:sz w:val="21"/>
                <w:szCs w:val="21"/>
                <w:highlight w:val="none"/>
                <w:lang w:val="en-US" w:eastAsia="zh-CN"/>
              </w:rPr>
              <w:t>通过GB/T2423.5-2019、GB/T2423.10-2019、WW/T 0069-2015《馆藏文物防震规范》及WW/T 0109-2020《馆藏文物展藏多功能展柜技术要求》</w:t>
            </w:r>
            <w:r>
              <w:rPr>
                <w:rFonts w:hint="eastAsia" w:ascii="宋体" w:hAnsi="宋体" w:eastAsia="宋体" w:cs="宋体"/>
                <w:color w:val="auto"/>
                <w:spacing w:val="1"/>
                <w:sz w:val="21"/>
                <w:szCs w:val="21"/>
                <w:highlight w:val="none"/>
              </w:rPr>
              <w:t>规定进行</w:t>
            </w:r>
            <w:r>
              <w:rPr>
                <w:rFonts w:hint="eastAsia" w:ascii="宋体" w:hAnsi="宋体" w:eastAsia="宋体" w:cs="宋体"/>
                <w:color w:val="auto"/>
                <w:spacing w:val="1"/>
                <w:sz w:val="21"/>
                <w:szCs w:val="21"/>
                <w:highlight w:val="none"/>
                <w:lang w:val="en-US" w:eastAsia="zh-CN"/>
              </w:rPr>
              <w:t>的</w:t>
            </w:r>
            <w:r>
              <w:rPr>
                <w:rFonts w:hint="eastAsia" w:ascii="宋体" w:hAnsi="宋体" w:eastAsia="宋体" w:cs="宋体"/>
                <w:color w:val="auto"/>
                <w:spacing w:val="1"/>
                <w:sz w:val="21"/>
                <w:szCs w:val="21"/>
                <w:highlight w:val="none"/>
              </w:rPr>
              <w:t>冲击、震动及模拟地震场景试验验证，要求满足对馆藏文物展柜防震规范要求。</w:t>
            </w:r>
            <w:r>
              <w:rPr>
                <w:rFonts w:hint="default"/>
                <w:b/>
                <w:bCs/>
                <w:color w:val="auto"/>
                <w:spacing w:val="-3"/>
                <w:highlight w:val="none"/>
              </w:rPr>
              <w:t>（投标文件中提供</w:t>
            </w:r>
            <w:r>
              <w:rPr>
                <w:rFonts w:hint="eastAsia" w:eastAsia="宋体"/>
                <w:b/>
                <w:bCs/>
                <w:color w:val="auto"/>
                <w:spacing w:val="-3"/>
                <w:highlight w:val="none"/>
                <w:lang w:val="en-US" w:eastAsia="zh-CN"/>
              </w:rPr>
              <w:t>通过</w:t>
            </w:r>
            <w:r>
              <w:rPr>
                <w:rFonts w:hint="default"/>
                <w:b/>
                <w:bCs/>
                <w:color w:val="auto"/>
                <w:spacing w:val="-3"/>
                <w:highlight w:val="none"/>
              </w:rPr>
              <w:t>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3030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1C3D2FA">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371325DC">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19F7FE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文物保护</w:t>
            </w:r>
          </w:p>
        </w:tc>
        <w:tc>
          <w:tcPr>
            <w:tcW w:w="3578" w:type="pct"/>
            <w:noWrap w:val="0"/>
            <w:vAlign w:val="center"/>
          </w:tcPr>
          <w:p w14:paraId="3774F95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展柜具有良好的密封性；温湿度、污染物浓度、照明等环境质量满足相应文物对展示环境控制的规定要求。</w:t>
            </w:r>
          </w:p>
          <w:p w14:paraId="2649A3B7">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2"/>
                <w:sz w:val="21"/>
                <w:szCs w:val="21"/>
                <w:highlight w:val="none"/>
              </w:rPr>
              <w:t>展柜</w:t>
            </w:r>
            <w:r>
              <w:rPr>
                <w:rFonts w:hint="eastAsia" w:ascii="宋体" w:hAnsi="宋体" w:eastAsia="宋体" w:cs="宋体"/>
                <w:color w:val="auto"/>
                <w:spacing w:val="-2"/>
                <w:sz w:val="21"/>
                <w:szCs w:val="21"/>
                <w:highlight w:val="none"/>
                <w:lang w:eastAsia="zh-CN"/>
              </w:rPr>
              <w:t>（通柜、平柜、独立柜3种柜型）</w:t>
            </w:r>
            <w:r>
              <w:rPr>
                <w:rFonts w:hint="eastAsia" w:ascii="宋体" w:hAnsi="宋体" w:eastAsia="宋体" w:cs="宋体"/>
                <w:color w:val="auto"/>
                <w:spacing w:val="-2"/>
                <w:sz w:val="21"/>
                <w:szCs w:val="21"/>
                <w:highlight w:val="none"/>
              </w:rPr>
              <w:t>柜内污</w:t>
            </w:r>
            <w:r>
              <w:rPr>
                <w:rFonts w:hint="eastAsia" w:ascii="宋体" w:hAnsi="宋体" w:eastAsia="宋体" w:cs="宋体"/>
                <w:color w:val="auto"/>
                <w:sz w:val="21"/>
                <w:szCs w:val="21"/>
                <w:highlight w:val="none"/>
              </w:rPr>
              <w:t>染物浓度符合</w:t>
            </w:r>
            <w:r>
              <w:rPr>
                <w:rFonts w:hint="eastAsia" w:ascii="宋体" w:hAnsi="宋体" w:eastAsia="宋体" w:cs="宋体"/>
                <w:color w:val="auto"/>
                <w:spacing w:val="-2"/>
                <w:sz w:val="21"/>
                <w:szCs w:val="21"/>
                <w:highlight w:val="none"/>
                <w:lang w:val="en-US" w:eastAsia="zh-CN"/>
              </w:rPr>
              <w:t>GB/T 36111-2018要求</w:t>
            </w:r>
            <w:r>
              <w:rPr>
                <w:rFonts w:hint="eastAsia" w:ascii="宋体" w:hAnsi="宋体" w:eastAsia="宋体" w:cs="宋体"/>
                <w:color w:val="auto"/>
                <w:sz w:val="21"/>
                <w:szCs w:val="21"/>
                <w:highlight w:val="none"/>
              </w:rPr>
              <w:t>，柜内空气中甲醛含量≤0.03mg/m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甲酸≤0.03mg/m</w:t>
            </w:r>
            <w:r>
              <w:rPr>
                <w:rFonts w:hint="eastAsia" w:ascii="宋体" w:hAnsi="宋体" w:eastAsia="宋体" w:cs="宋体"/>
                <w:color w:val="auto"/>
                <w:spacing w:val="-1"/>
                <w:sz w:val="21"/>
                <w:szCs w:val="21"/>
                <w:highlight w:val="none"/>
                <w:vertAlign w:val="superscript"/>
              </w:rPr>
              <w:t>3</w:t>
            </w:r>
            <w:r>
              <w:rPr>
                <w:rFonts w:hint="eastAsia" w:ascii="宋体" w:hAnsi="宋体" w:eastAsia="宋体" w:cs="宋体"/>
                <w:color w:val="auto"/>
                <w:spacing w:val="-1"/>
                <w:sz w:val="21"/>
                <w:szCs w:val="21"/>
                <w:highlight w:val="none"/>
              </w:rPr>
              <w:t>，乙酸≤0.1mg/m3，TVOC含量≤0.2mg/m3</w:t>
            </w:r>
            <w:r>
              <w:rPr>
                <w:rFonts w:hint="eastAsia" w:ascii="宋体" w:hAnsi="宋体" w:eastAsia="宋体" w:cs="宋体"/>
                <w:color w:val="auto"/>
                <w:spacing w:val="-2"/>
                <w:sz w:val="21"/>
                <w:szCs w:val="21"/>
                <w:highlight w:val="none"/>
              </w:rPr>
              <w:t>。</w:t>
            </w:r>
            <w:r>
              <w:rPr>
                <w:rFonts w:hint="default"/>
                <w:b/>
                <w:bCs/>
                <w:color w:val="auto"/>
                <w:spacing w:val="-3"/>
                <w:highlight w:val="none"/>
              </w:rPr>
              <w:t>（投标文件中提供</w:t>
            </w:r>
            <w:r>
              <w:rPr>
                <w:rFonts w:hint="eastAsia" w:eastAsia="宋体"/>
                <w:b/>
                <w:bCs/>
                <w:color w:val="auto"/>
                <w:spacing w:val="-3"/>
                <w:highlight w:val="none"/>
                <w:lang w:val="en-US" w:eastAsia="zh-CN"/>
              </w:rPr>
              <w:t>所有柜型通过</w:t>
            </w:r>
            <w:r>
              <w:rPr>
                <w:rFonts w:hint="default"/>
                <w:b/>
                <w:bCs/>
                <w:color w:val="auto"/>
                <w:spacing w:val="-3"/>
                <w:highlight w:val="none"/>
              </w:rPr>
              <w:t>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48B1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2BB229A7">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6C007278">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9756F8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w:t>
            </w:r>
          </w:p>
        </w:tc>
        <w:tc>
          <w:tcPr>
            <w:tcW w:w="3578" w:type="pct"/>
            <w:noWrap w:val="0"/>
            <w:vAlign w:val="center"/>
          </w:tcPr>
          <w:p w14:paraId="7745201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具体尺寸参照</w:t>
            </w:r>
            <w:r>
              <w:rPr>
                <w:rFonts w:hint="eastAsia" w:ascii="宋体" w:hAnsi="宋体" w:eastAsia="宋体" w:cs="宋体"/>
                <w:color w:val="auto"/>
                <w:sz w:val="21"/>
                <w:szCs w:val="21"/>
                <w:highlight w:val="none"/>
                <w:lang w:val="en-US" w:eastAsia="zh-CN"/>
              </w:rPr>
              <w:t>展柜清单</w:t>
            </w:r>
            <w:r>
              <w:rPr>
                <w:rFonts w:hint="eastAsia" w:ascii="宋体" w:hAnsi="宋体" w:eastAsia="宋体" w:cs="宋体"/>
                <w:color w:val="auto"/>
                <w:sz w:val="21"/>
                <w:szCs w:val="21"/>
                <w:highlight w:val="none"/>
              </w:rPr>
              <w:t>。</w:t>
            </w:r>
          </w:p>
        </w:tc>
      </w:tr>
      <w:tr w14:paraId="0FAF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33A0D6DC">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4354B5BE">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5718919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柜内环境</w:t>
            </w:r>
          </w:p>
        </w:tc>
        <w:tc>
          <w:tcPr>
            <w:tcW w:w="3578" w:type="pct"/>
            <w:noWrap w:val="0"/>
            <w:vAlign w:val="center"/>
          </w:tcPr>
          <w:p w14:paraId="4F2D3BF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展柜均</w:t>
            </w:r>
            <w:r>
              <w:rPr>
                <w:rFonts w:hint="eastAsia" w:ascii="宋体" w:hAnsi="宋体" w:eastAsia="宋体" w:cs="宋体"/>
                <w:color w:val="auto"/>
                <w:sz w:val="21"/>
                <w:szCs w:val="21"/>
                <w:highlight w:val="none"/>
                <w:lang w:val="en-US" w:eastAsia="zh-CN"/>
              </w:rPr>
              <w:t>配备电子恒湿机，具备柜内微环境调控功能</w:t>
            </w:r>
            <w:r>
              <w:rPr>
                <w:rFonts w:hint="eastAsia" w:ascii="宋体" w:hAnsi="宋体" w:eastAsia="宋体" w:cs="宋体"/>
                <w:color w:val="auto"/>
                <w:sz w:val="21"/>
                <w:szCs w:val="21"/>
                <w:highlight w:val="none"/>
              </w:rPr>
              <w:t>。</w:t>
            </w:r>
          </w:p>
          <w:p w14:paraId="5C20B00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2"/>
                <w:sz w:val="21"/>
                <w:szCs w:val="21"/>
                <w:highlight w:val="none"/>
              </w:rPr>
              <w:t>展柜</w:t>
            </w:r>
            <w:r>
              <w:rPr>
                <w:rFonts w:hint="eastAsia" w:ascii="宋体" w:hAnsi="宋体" w:eastAsia="宋体" w:cs="宋体"/>
                <w:color w:val="auto"/>
                <w:spacing w:val="-2"/>
                <w:sz w:val="21"/>
                <w:szCs w:val="21"/>
                <w:highlight w:val="none"/>
                <w:lang w:eastAsia="zh-CN"/>
              </w:rPr>
              <w:t>（通柜、平柜、独立柜3种柜型）</w:t>
            </w:r>
            <w:r>
              <w:rPr>
                <w:rFonts w:hint="eastAsia" w:ascii="宋体" w:hAnsi="宋体" w:eastAsia="宋体" w:cs="宋体"/>
                <w:color w:val="auto"/>
                <w:spacing w:val="-2"/>
                <w:sz w:val="21"/>
                <w:szCs w:val="21"/>
                <w:highlight w:val="none"/>
                <w:lang w:val="en-US" w:eastAsia="zh-CN"/>
              </w:rPr>
              <w:t>符合</w:t>
            </w:r>
            <w:r>
              <w:rPr>
                <w:rFonts w:hint="eastAsia" w:ascii="宋体" w:hAnsi="宋体" w:eastAsia="宋体" w:cs="宋体"/>
                <w:color w:val="auto"/>
                <w:spacing w:val="-3"/>
                <w:sz w:val="21"/>
                <w:szCs w:val="21"/>
                <w:highlight w:val="none"/>
                <w:lang w:val="en-US" w:eastAsia="zh-CN"/>
              </w:rPr>
              <w:t>GB/T 36110-2018要求，</w:t>
            </w:r>
            <w:r>
              <w:rPr>
                <w:rFonts w:hint="eastAsia" w:ascii="宋体" w:hAnsi="宋体" w:eastAsia="宋体" w:cs="宋体"/>
                <w:color w:val="auto"/>
                <w:spacing w:val="-2"/>
                <w:sz w:val="21"/>
                <w:szCs w:val="21"/>
                <w:highlight w:val="none"/>
                <w:lang w:val="en-US" w:eastAsia="zh-CN"/>
              </w:rPr>
              <w:t>为高气密性展柜，</w:t>
            </w:r>
            <w:r>
              <w:rPr>
                <w:rFonts w:hint="eastAsia" w:ascii="宋体" w:hAnsi="宋体" w:eastAsia="宋体" w:cs="宋体"/>
                <w:color w:val="auto"/>
                <w:spacing w:val="-3"/>
                <w:sz w:val="21"/>
                <w:szCs w:val="21"/>
                <w:highlight w:val="none"/>
              </w:rPr>
              <w:t>展柜空气交换率小于0.</w:t>
            </w: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d</w:t>
            </w:r>
            <w:r>
              <w:rPr>
                <w:rFonts w:hint="eastAsia" w:ascii="宋体" w:hAnsi="宋体" w:eastAsia="宋体" w:cs="宋体"/>
                <w:color w:val="auto"/>
                <w:spacing w:val="-3"/>
                <w:position w:val="10"/>
                <w:sz w:val="21"/>
                <w:szCs w:val="21"/>
                <w:highlight w:val="none"/>
              </w:rPr>
              <w:t>-1</w:t>
            </w:r>
            <w:r>
              <w:rPr>
                <w:rFonts w:hint="eastAsia" w:ascii="宋体" w:hAnsi="宋体" w:eastAsia="宋体" w:cs="宋体"/>
                <w:color w:val="auto"/>
                <w:spacing w:val="-3"/>
                <w:sz w:val="21"/>
                <w:szCs w:val="21"/>
                <w:highlight w:val="none"/>
              </w:rPr>
              <w:t>。</w:t>
            </w:r>
            <w:r>
              <w:rPr>
                <w:rFonts w:hint="default"/>
                <w:b/>
                <w:bCs/>
                <w:color w:val="auto"/>
                <w:spacing w:val="-3"/>
                <w:highlight w:val="none"/>
              </w:rPr>
              <w:t>（投标文件中提供</w:t>
            </w:r>
            <w:r>
              <w:rPr>
                <w:rFonts w:hint="eastAsia" w:eastAsia="宋体"/>
                <w:b/>
                <w:bCs/>
                <w:color w:val="auto"/>
                <w:spacing w:val="-3"/>
                <w:highlight w:val="none"/>
                <w:lang w:val="en-US" w:eastAsia="zh-CN"/>
              </w:rPr>
              <w:t>所有柜型通过</w:t>
            </w:r>
            <w:r>
              <w:rPr>
                <w:rFonts w:hint="default"/>
                <w:b/>
                <w:bCs/>
                <w:color w:val="auto"/>
                <w:spacing w:val="-3"/>
                <w:highlight w:val="none"/>
              </w:rPr>
              <w:t>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61E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1B5C7101">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58F71C92">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3F458CE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w:t>
            </w:r>
          </w:p>
        </w:tc>
        <w:tc>
          <w:tcPr>
            <w:tcW w:w="3578" w:type="pct"/>
            <w:noWrap w:val="0"/>
            <w:vAlign w:val="center"/>
          </w:tcPr>
          <w:p w14:paraId="3EECF19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展柜箱体表面喷涂涂层色泽均匀一致，喷涂工艺符合国家标准。玻璃表面平整、无划痕、无破碎。边角应当圆滑或倒角。展柜玻璃应当视线开阔，要考虑到儿童观看要求。</w:t>
            </w:r>
          </w:p>
        </w:tc>
      </w:tr>
      <w:tr w14:paraId="4A6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AC2E442">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3618E69E">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1AFCE7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柜内照明系统</w:t>
            </w:r>
          </w:p>
        </w:tc>
        <w:tc>
          <w:tcPr>
            <w:tcW w:w="3578" w:type="pct"/>
            <w:noWrap w:val="0"/>
            <w:vAlign w:val="center"/>
          </w:tcPr>
          <w:p w14:paraId="650B2AAD">
            <w:pPr>
              <w:keepNext w:val="0"/>
              <w:keepLines w:val="0"/>
              <w:widowControl/>
              <w:suppressLineNumbers w:val="0"/>
              <w:adjustRightInd w:val="0"/>
              <w:snapToGrid w:val="0"/>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2"/>
                <w:sz w:val="21"/>
                <w:szCs w:val="21"/>
                <w:highlight w:val="none"/>
              </w:rPr>
              <w:t>展柜</w:t>
            </w:r>
            <w:r>
              <w:rPr>
                <w:rFonts w:hint="eastAsia" w:ascii="宋体" w:hAnsi="宋体" w:eastAsia="宋体" w:cs="宋体"/>
                <w:color w:val="auto"/>
                <w:spacing w:val="-2"/>
                <w:sz w:val="21"/>
                <w:szCs w:val="21"/>
                <w:highlight w:val="none"/>
                <w:lang w:eastAsia="zh-CN"/>
              </w:rPr>
              <w:t>（通柜、平柜、独立柜3种柜型）</w:t>
            </w:r>
            <w:r>
              <w:rPr>
                <w:rFonts w:hint="eastAsia" w:ascii="宋体" w:hAnsi="宋体" w:eastAsia="宋体" w:cs="宋体"/>
                <w:color w:val="auto"/>
                <w:spacing w:val="-2"/>
                <w:sz w:val="21"/>
                <w:szCs w:val="21"/>
                <w:highlight w:val="none"/>
              </w:rPr>
              <w:t>柜内照</w:t>
            </w:r>
            <w:r>
              <w:rPr>
                <w:rFonts w:hint="eastAsia" w:ascii="宋体" w:hAnsi="宋体" w:eastAsia="宋体" w:cs="宋体"/>
                <w:color w:val="auto"/>
                <w:spacing w:val="-1"/>
                <w:sz w:val="21"/>
                <w:szCs w:val="21"/>
                <w:highlight w:val="none"/>
              </w:rPr>
              <w:t>明调控功能符合要求，要求</w:t>
            </w:r>
            <w:r>
              <w:rPr>
                <w:rFonts w:hint="eastAsia" w:ascii="宋体" w:hAnsi="宋体" w:eastAsia="宋体" w:cs="宋体"/>
                <w:color w:val="auto"/>
                <w:spacing w:val="-2"/>
                <w:sz w:val="21"/>
                <w:szCs w:val="21"/>
                <w:highlight w:val="none"/>
                <w:lang w:val="en-US" w:eastAsia="zh-CN"/>
              </w:rPr>
              <w:t>通过GB/T 36111-2018检测，</w:t>
            </w:r>
            <w:r>
              <w:rPr>
                <w:rFonts w:hint="eastAsia" w:ascii="宋体" w:hAnsi="宋体" w:eastAsia="宋体" w:cs="宋体"/>
                <w:color w:val="auto"/>
                <w:spacing w:val="-1"/>
                <w:sz w:val="21"/>
                <w:szCs w:val="21"/>
                <w:highlight w:val="none"/>
              </w:rPr>
              <w:t>照度可调、色温3</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00K±</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0K或者4000K±</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0K，显色性Ra≥9</w:t>
            </w:r>
            <w:r>
              <w:rPr>
                <w:rFonts w:hint="eastAsia" w:ascii="宋体" w:hAnsi="宋体" w:eastAsia="宋体" w:cs="宋体"/>
                <w:color w:val="auto"/>
                <w:spacing w:val="-2"/>
                <w:sz w:val="21"/>
                <w:szCs w:val="21"/>
                <w:highlight w:val="none"/>
              </w:rPr>
              <w:t>5</w:t>
            </w:r>
            <w:r>
              <w:rPr>
                <w:rFonts w:hint="eastAsia" w:ascii="宋体" w:hAnsi="宋体" w:eastAsia="宋体" w:cs="宋体"/>
                <w:color w:val="auto"/>
                <w:spacing w:val="-2"/>
                <w:sz w:val="21"/>
                <w:szCs w:val="21"/>
                <w:highlight w:val="none"/>
                <w:lang w:eastAsia="zh-CN"/>
              </w:rPr>
              <w:t>。</w:t>
            </w:r>
            <w:r>
              <w:rPr>
                <w:rFonts w:hint="default"/>
                <w:b/>
                <w:bCs/>
                <w:color w:val="auto"/>
                <w:spacing w:val="-3"/>
                <w:highlight w:val="none"/>
              </w:rPr>
              <w:t>（投标文件中提供</w:t>
            </w:r>
            <w:r>
              <w:rPr>
                <w:rFonts w:hint="eastAsia" w:eastAsia="宋体"/>
                <w:b/>
                <w:bCs/>
                <w:color w:val="auto"/>
                <w:spacing w:val="-3"/>
                <w:highlight w:val="none"/>
                <w:lang w:val="en-US" w:eastAsia="zh-CN"/>
              </w:rPr>
              <w:t>所有柜型通过</w:t>
            </w:r>
            <w:r>
              <w:rPr>
                <w:rFonts w:hint="default"/>
                <w:b/>
                <w:bCs/>
                <w:color w:val="auto"/>
                <w:spacing w:val="-3"/>
                <w:highlight w:val="none"/>
              </w:rPr>
              <w:t>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327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5A155BA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5" w:type="pct"/>
            <w:vMerge w:val="restart"/>
            <w:noWrap w:val="0"/>
            <w:vAlign w:val="center"/>
          </w:tcPr>
          <w:p w14:paraId="3337FAC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展柜材料</w:t>
            </w:r>
          </w:p>
        </w:tc>
        <w:tc>
          <w:tcPr>
            <w:tcW w:w="711" w:type="pct"/>
            <w:noWrap w:val="0"/>
            <w:vAlign w:val="center"/>
          </w:tcPr>
          <w:p w14:paraId="0D069FF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整体结构</w:t>
            </w:r>
          </w:p>
        </w:tc>
        <w:tc>
          <w:tcPr>
            <w:tcW w:w="3578" w:type="pct"/>
            <w:noWrap w:val="0"/>
            <w:vAlign w:val="center"/>
          </w:tcPr>
          <w:p w14:paraId="2A8D826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展柜整体结构为金属框架式结构。</w:t>
            </w:r>
          </w:p>
        </w:tc>
      </w:tr>
      <w:tr w14:paraId="37A6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4718BAF">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2925A023">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776266C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基座结构</w:t>
            </w:r>
          </w:p>
        </w:tc>
        <w:tc>
          <w:tcPr>
            <w:tcW w:w="3578" w:type="pct"/>
            <w:noWrap w:val="0"/>
            <w:vAlign w:val="center"/>
          </w:tcPr>
          <w:p w14:paraId="1E1C998E">
            <w:pPr>
              <w:keepNext w:val="0"/>
              <w:keepLines w:val="0"/>
              <w:widowControl/>
              <w:numPr>
                <w:ilvl w:val="0"/>
                <w:numId w:val="13"/>
              </w:numPr>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基座为钢结构，承载力达到每平米≥</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00kg/m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，展台底板承载力不低于150kg/m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（特重文物展柜应单独设计）。 </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p w14:paraId="50C8B0F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2、具有相当的自重稳定性和抗撞击稳固性，展柜框架式骨架应采用不小于单位100±1×50±1×4.0（mm）；50×50×2.5±0.1（mm）；50±1×50±1×3.0（mm）范围内等优质冷拔钢管型材，经专业加工设备加工制作完成。</w:t>
            </w:r>
          </w:p>
        </w:tc>
      </w:tr>
      <w:tr w14:paraId="7B25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C53575D">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113362DD">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5D5A71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移动方式</w:t>
            </w:r>
          </w:p>
        </w:tc>
        <w:tc>
          <w:tcPr>
            <w:tcW w:w="3578" w:type="pct"/>
            <w:noWrap w:val="0"/>
            <w:vAlign w:val="center"/>
          </w:tcPr>
          <w:p w14:paraId="5B2B1C17">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平柜</w:t>
            </w:r>
            <w:r>
              <w:rPr>
                <w:rFonts w:hint="eastAsia" w:ascii="宋体" w:hAnsi="宋体" w:eastAsia="宋体" w:cs="宋体"/>
                <w:color w:val="auto"/>
                <w:sz w:val="21"/>
                <w:szCs w:val="21"/>
                <w:highlight w:val="none"/>
              </w:rPr>
              <w:t>需安装水平调节装置及移动脚轮装置，能方便移动、调节水平和稳固，地面不平可作调整。调节脚承重能力大于展柜重量的5倍。</w:t>
            </w:r>
          </w:p>
        </w:tc>
      </w:tr>
      <w:tr w14:paraId="3257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5C2A3AB5">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26EEA827">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1199F6F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展柜型材</w:t>
            </w:r>
          </w:p>
        </w:tc>
        <w:tc>
          <w:tcPr>
            <w:tcW w:w="3578" w:type="pct"/>
            <w:noWrap w:val="0"/>
            <w:vAlign w:val="center"/>
          </w:tcPr>
          <w:p w14:paraId="78508706">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展柜型材应采用高性能铝合金材料（6063）生产，时效状态为T6：壁厚不小于 3mm，抗拉强度大于 205N/mm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，延伸强度大于 180N/mm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，断后伸长率≥8%，韦氏硬度≥8HW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符合GB/T 5237.1—2017《铝合金建筑型材 第1部分：基材》要求</w:t>
            </w:r>
            <w:r>
              <w:rPr>
                <w:rFonts w:hint="eastAsia" w:ascii="宋体" w:hAnsi="宋体" w:eastAsia="宋体" w:cs="宋体"/>
                <w:b/>
                <w:color w:val="auto"/>
                <w:sz w:val="21"/>
                <w:szCs w:val="21"/>
                <w:highlight w:val="none"/>
                <w:lang w:eastAsia="zh-CN"/>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532B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BA2E5E9">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47350E06">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59AB4E6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箱体结构</w:t>
            </w:r>
          </w:p>
        </w:tc>
        <w:tc>
          <w:tcPr>
            <w:tcW w:w="3578" w:type="pct"/>
            <w:noWrap w:val="0"/>
            <w:vAlign w:val="center"/>
          </w:tcPr>
          <w:p w14:paraId="59F6494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展柜箱体不同位置采用不同厚度的优质冷轧钢板：</w:t>
            </w:r>
          </w:p>
          <w:p w14:paraId="741BE337">
            <w:pPr>
              <w:keepNext w:val="0"/>
              <w:keepLines w:val="0"/>
              <w:widowControl/>
              <w:numPr>
                <w:ilvl w:val="0"/>
                <w:numId w:val="14"/>
              </w:numPr>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展柜外饰面</w:t>
            </w:r>
            <w:r>
              <w:rPr>
                <w:rFonts w:hint="eastAsia" w:ascii="宋体" w:hAnsi="宋体" w:eastAsia="宋体" w:cs="宋体"/>
                <w:color w:val="auto"/>
                <w:sz w:val="21"/>
                <w:szCs w:val="21"/>
                <w:highlight w:val="none"/>
              </w:rPr>
              <w:t>符合金属板材的平整度要求，无划伤、开裂或明显变形，外体表面涂层色泽应与展厅风格相融合，色泽一致，不能出现明显色差，表面装饰涂层无脱落，无橘皮，无褶皱。</w:t>
            </w:r>
          </w:p>
          <w:p w14:paraId="1FE6404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2、展柜外箱体及检修门采用厚度≥1.2mm的冷轧钢板，符合GB/T 11253—2019《碳素结构钢冷轧钢板及钢带》的规定，力学性能应不低于Q235牌号</w:t>
            </w:r>
            <w:r>
              <w:rPr>
                <w:rFonts w:hint="eastAsia" w:ascii="宋体" w:hAnsi="宋体" w:eastAsia="宋体" w:cs="宋体"/>
                <w:b/>
                <w:color w:val="auto"/>
                <w:sz w:val="21"/>
                <w:szCs w:val="21"/>
                <w:highlight w:val="none"/>
                <w:lang w:eastAsia="zh-CN"/>
              </w:rPr>
              <w:t>。</w:t>
            </w:r>
          </w:p>
          <w:p w14:paraId="465CE57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1"/>
                <w:sz w:val="21"/>
                <w:szCs w:val="21"/>
                <w:highlight w:val="none"/>
              </w:rPr>
              <w:t>铝合金材料表面涂层符合</w:t>
            </w:r>
            <w:r>
              <w:rPr>
                <w:rFonts w:hint="eastAsia" w:ascii="宋体" w:hAnsi="宋体" w:eastAsia="宋体" w:cs="宋体"/>
                <w:color w:val="auto"/>
                <w:spacing w:val="-3"/>
                <w:sz w:val="21"/>
                <w:szCs w:val="21"/>
                <w:highlight w:val="none"/>
                <w:lang w:val="en-US" w:eastAsia="zh-CN"/>
              </w:rPr>
              <w:t>通过</w:t>
            </w:r>
            <w:r>
              <w:rPr>
                <w:rFonts w:hint="eastAsia" w:ascii="宋体" w:hAnsi="宋体" w:eastAsia="宋体" w:cs="宋体"/>
                <w:color w:val="auto"/>
                <w:sz w:val="21"/>
                <w:szCs w:val="21"/>
                <w:highlight w:val="none"/>
              </w:rPr>
              <w:t>GB/T 5237.1—2017</w:t>
            </w:r>
            <w:r>
              <w:rPr>
                <w:rFonts w:hint="eastAsia" w:ascii="宋体" w:hAnsi="宋体" w:eastAsia="宋体" w:cs="宋体"/>
                <w:color w:val="auto"/>
                <w:spacing w:val="-1"/>
                <w:sz w:val="21"/>
                <w:szCs w:val="21"/>
                <w:highlight w:val="none"/>
              </w:rPr>
              <w:t>规定</w:t>
            </w:r>
            <w:r>
              <w:rPr>
                <w:rFonts w:hint="eastAsia" w:ascii="宋体" w:hAnsi="宋体" w:eastAsia="宋体" w:cs="宋体"/>
                <w:color w:val="auto"/>
                <w:spacing w:val="-2"/>
                <w:sz w:val="21"/>
                <w:szCs w:val="21"/>
                <w:highlight w:val="none"/>
              </w:rPr>
              <w:t>，外表</w:t>
            </w:r>
            <w:r>
              <w:rPr>
                <w:rFonts w:hint="eastAsia" w:ascii="宋体" w:hAnsi="宋体" w:eastAsia="宋体" w:cs="宋体"/>
                <w:color w:val="auto"/>
                <w:spacing w:val="2"/>
                <w:sz w:val="21"/>
                <w:szCs w:val="21"/>
                <w:highlight w:val="none"/>
              </w:rPr>
              <w:t>涂层应平滑、均匀，不允许有皱纹、裂紋、气泡、流痕、鼓泡、裂纹等影响使用的缺陷。饰面金属板材单色膜层与样板间色差ΔE≤1.5，断后</w:t>
            </w:r>
            <w:r>
              <w:rPr>
                <w:rFonts w:hint="eastAsia" w:ascii="宋体" w:hAnsi="宋体" w:eastAsia="宋体" w:cs="宋体"/>
                <w:color w:val="auto"/>
                <w:spacing w:val="-2"/>
                <w:sz w:val="21"/>
                <w:szCs w:val="21"/>
                <w:highlight w:val="none"/>
              </w:rPr>
              <w:t>伸长率≥9%，抗拉强度≥190N/mm</w:t>
            </w:r>
            <w:r>
              <w:rPr>
                <w:rFonts w:hint="eastAsia" w:ascii="宋体" w:hAnsi="宋体" w:eastAsia="宋体" w:cs="宋体"/>
                <w:color w:val="auto"/>
                <w:spacing w:val="-2"/>
                <w:position w:val="10"/>
                <w:sz w:val="21"/>
                <w:szCs w:val="21"/>
                <w:highlight w:val="none"/>
              </w:rPr>
              <w:t>2</w:t>
            </w:r>
            <w:r>
              <w:rPr>
                <w:rFonts w:hint="eastAsia" w:ascii="宋体" w:hAnsi="宋体" w:eastAsia="宋体" w:cs="宋体"/>
                <w:color w:val="auto"/>
                <w:spacing w:val="-2"/>
                <w:sz w:val="21"/>
                <w:szCs w:val="21"/>
                <w:highlight w:val="none"/>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69D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6B48C4E4">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43C64829">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5AF1CD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展柜焊接喷涂</w:t>
            </w:r>
          </w:p>
        </w:tc>
        <w:tc>
          <w:tcPr>
            <w:tcW w:w="3578" w:type="pct"/>
            <w:noWrap w:val="0"/>
            <w:vAlign w:val="center"/>
          </w:tcPr>
          <w:p w14:paraId="3B95025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柜型材经切割、钝化、调直、表校、胎具校正后采用气体保护焊焊接（焊口无氧化现象）。增加焊接强度，焊接成形后，经处理时效状态达到T6以上性能完毕后，用专业设备磨平打光，防锈处理后采用静电氟碳喷涂工艺，柜体结构水平及垂直度±≤3mm，并设计有水平调节装置。</w:t>
            </w:r>
          </w:p>
          <w:p w14:paraId="0BF0EE2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2、展柜用金属材料应耐腐蚀或作防腐蚀处理；表面经氟碳喷漆装饰涂层处理，保证30年不脱落、不变色。涂层色泽均匀一致。</w:t>
            </w:r>
          </w:p>
        </w:tc>
      </w:tr>
      <w:tr w14:paraId="19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4386661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355" w:type="pct"/>
            <w:vMerge w:val="continue"/>
            <w:noWrap w:val="0"/>
            <w:vAlign w:val="center"/>
          </w:tcPr>
          <w:p w14:paraId="4628D9A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711" w:type="pct"/>
            <w:noWrap w:val="0"/>
            <w:vAlign w:val="center"/>
          </w:tcPr>
          <w:p w14:paraId="0856DE3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低反夹层玻璃性能</w:t>
            </w:r>
          </w:p>
        </w:tc>
        <w:tc>
          <w:tcPr>
            <w:tcW w:w="3578" w:type="pct"/>
            <w:noWrap w:val="0"/>
            <w:vAlign w:val="center"/>
          </w:tcPr>
          <w:p w14:paraId="0E51D595">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▲6+0.76+6mm低反射</w:t>
            </w:r>
            <w:r>
              <w:rPr>
                <w:rFonts w:hint="eastAsia" w:ascii="宋体" w:hAnsi="宋体" w:eastAsia="宋体" w:cs="宋体"/>
                <w:color w:val="auto"/>
                <w:sz w:val="21"/>
                <w:szCs w:val="21"/>
                <w:highlight w:val="none"/>
              </w:rPr>
              <w:t>玻璃夹胶后可见光透光率≥97.3%，可见光反射比不高于0.9%，紫外线投射比0.3%。玻璃紫外线透光率等通过GB/T 2680-2021或GB 15763.3-2009相关检测</w:t>
            </w:r>
            <w:r>
              <w:rPr>
                <w:rFonts w:hint="eastAsia" w:ascii="宋体" w:hAnsi="宋体" w:eastAsia="宋体" w:cs="宋体"/>
                <w:color w:val="auto"/>
                <w:sz w:val="21"/>
                <w:szCs w:val="21"/>
                <w:highlight w:val="none"/>
                <w:lang w:eastAsia="zh-CN"/>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p w14:paraId="05E8B5A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2、所有玻璃均可阻隔不低于99.6%的紫外线。所有展柜玻璃的胶片</w:t>
            </w:r>
            <w:r>
              <w:rPr>
                <w:rFonts w:hint="eastAsia" w:ascii="宋体" w:hAnsi="宋体" w:eastAsia="宋体" w:cs="宋体"/>
                <w:color w:val="auto"/>
                <w:sz w:val="21"/>
                <w:szCs w:val="21"/>
                <w:highlight w:val="none"/>
                <w:lang w:val="en-US" w:eastAsia="zh-CN"/>
              </w:rPr>
              <w:t>根据柜型尺寸</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PVB或</w:t>
            </w:r>
            <w:r>
              <w:rPr>
                <w:rFonts w:hint="eastAsia" w:ascii="宋体" w:hAnsi="宋体" w:eastAsia="宋体" w:cs="宋体"/>
                <w:color w:val="auto"/>
                <w:sz w:val="21"/>
                <w:szCs w:val="21"/>
                <w:highlight w:val="none"/>
              </w:rPr>
              <w:t>SGP抗弯胶片，保证玻璃强度、抗弯及提高通透性。</w:t>
            </w:r>
          </w:p>
          <w:p w14:paraId="668C8AA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低反射夹层玻璃的外观通过观察内部应无气泡等和明显杂质缺陷，表面不允许有麻点；正常自然光下，距玻璃表面600mm处观察10s，划伤不可见；不允许存在裂口、爆边、脱胶及皱痕和条纹现象，可视区点状缺陷及可视区线装缺陷符合标准要求。夹层玻璃的弯曲度要符合最大弓形弯曲度≤0.04%，最大波形弯曲度≤0.03%。</w:t>
            </w:r>
          </w:p>
          <w:p w14:paraId="1003BB8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4、低反射夹层玻璃的耐久性，在耐热性、耐湿性测试后，不允许检出气泡及其他缺陷；耐辐照性测试后，不可产生显著变色、气泡及浑浊现象，可见光透射比变化≤1%。</w:t>
            </w:r>
          </w:p>
          <w:p w14:paraId="3F97613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、低反射玻璃耐磨性要求：膜层无明显脱落、剥离、起皱现象。试验前后玻璃膜层变化均匀，不得出现局部膜层脱落现象，试验后可见光透射比的绝对值∣△T∣≤4%</w:t>
            </w:r>
            <w:r>
              <w:rPr>
                <w:rFonts w:hint="eastAsia" w:ascii="宋体" w:hAnsi="宋体" w:eastAsia="宋体" w:cs="宋体"/>
                <w:b/>
                <w:color w:val="auto"/>
                <w:sz w:val="21"/>
                <w:szCs w:val="21"/>
                <w:highlight w:val="none"/>
                <w:lang w:eastAsia="zh-CN"/>
              </w:rPr>
              <w:t>。</w:t>
            </w:r>
          </w:p>
          <w:p w14:paraId="26A0B43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低反射玻璃需满足GB15763.3-2009中落球冲击剥离性能</w:t>
            </w:r>
            <w:r>
              <w:rPr>
                <w:rFonts w:hint="eastAsia" w:ascii="宋体" w:hAnsi="宋体" w:eastAsia="宋体" w:cs="宋体"/>
                <w:color w:val="auto"/>
                <w:sz w:val="21"/>
                <w:szCs w:val="21"/>
                <w:highlight w:val="none"/>
                <w:lang w:eastAsia="zh-CN"/>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37E1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24901831">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355" w:type="pct"/>
            <w:vMerge w:val="continue"/>
            <w:noWrap w:val="0"/>
            <w:vAlign w:val="center"/>
          </w:tcPr>
          <w:p w14:paraId="505FEB84">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711" w:type="pct"/>
            <w:noWrap w:val="0"/>
            <w:vAlign w:val="center"/>
          </w:tcPr>
          <w:p w14:paraId="6D54022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玻璃规格</w:t>
            </w:r>
          </w:p>
        </w:tc>
        <w:tc>
          <w:tcPr>
            <w:tcW w:w="3578" w:type="pct"/>
            <w:noWrap w:val="0"/>
            <w:vAlign w:val="center"/>
          </w:tcPr>
          <w:p w14:paraId="0F47D2A1">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展柜表面玻璃平整度误差在1mm以内</w:t>
            </w:r>
            <w:r>
              <w:rPr>
                <w:rFonts w:hint="eastAsia" w:ascii="宋体" w:hAnsi="宋体" w:eastAsia="宋体" w:cs="宋体"/>
                <w:color w:val="auto"/>
                <w:sz w:val="21"/>
                <w:szCs w:val="21"/>
                <w:highlight w:val="none"/>
                <w:lang w:eastAsia="zh-CN"/>
              </w:rPr>
              <w:t>：</w:t>
            </w:r>
          </w:p>
          <w:p w14:paraId="33C0848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1、外露的边缘精抛光。</w:t>
            </w:r>
          </w:p>
          <w:p w14:paraId="6ECCA35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2、外露的角为倒安全角。</w:t>
            </w:r>
          </w:p>
          <w:p w14:paraId="1F5C801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3、平面度允许偏差为±1mm/m。</w:t>
            </w:r>
          </w:p>
          <w:p w14:paraId="387BE16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4、侧边弯曲度允许偏差为±1mm/m。</w:t>
            </w:r>
          </w:p>
          <w:p w14:paraId="5171A69B">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5、方形度允许偏差为对角线每1m误差不能超过1.5mm。</w:t>
            </w:r>
          </w:p>
          <w:p w14:paraId="17ED8D46">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6、转角结合玻璃应根据实际需求进行拼合，确保玻璃拼接美观。</w:t>
            </w:r>
          </w:p>
          <w:p w14:paraId="22B913C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7、展柜玻璃应尽可能设计为整片玻璃面，必须拼接的玻璃也应选择尽可能大幅面玻璃。固定拼接缝或活动拼接玻璃缝隙均应有密封措施，拼接缝处理应视觉感知较弱。</w:t>
            </w:r>
          </w:p>
        </w:tc>
      </w:tr>
      <w:tr w14:paraId="0A6C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4F78B408">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355" w:type="pct"/>
            <w:vMerge w:val="continue"/>
            <w:noWrap w:val="0"/>
            <w:vAlign w:val="center"/>
          </w:tcPr>
          <w:p w14:paraId="75436406">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711" w:type="pct"/>
            <w:noWrap w:val="0"/>
            <w:vAlign w:val="center"/>
          </w:tcPr>
          <w:p w14:paraId="4275302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玻璃厚度</w:t>
            </w:r>
          </w:p>
        </w:tc>
        <w:tc>
          <w:tcPr>
            <w:tcW w:w="3578" w:type="pct"/>
            <w:noWrap w:val="0"/>
            <w:vAlign w:val="center"/>
          </w:tcPr>
          <w:p w14:paraId="228CDC8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通柜（沿墙柜）玻璃原则上采用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mm+0.89mm+</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mm厚度的抗弯低反射夹层玻璃，</w:t>
            </w:r>
            <w:r>
              <w:rPr>
                <w:rFonts w:hint="eastAsia" w:ascii="宋体" w:hAnsi="宋体" w:eastAsia="宋体" w:cs="宋体"/>
                <w:color w:val="auto"/>
                <w:sz w:val="21"/>
                <w:szCs w:val="21"/>
                <w:highlight w:val="none"/>
                <w:lang w:val="en-US" w:eastAsia="zh-CN"/>
              </w:rPr>
              <w:t>平</w:t>
            </w:r>
            <w:r>
              <w:rPr>
                <w:rFonts w:hint="eastAsia" w:ascii="宋体" w:hAnsi="宋体" w:eastAsia="宋体" w:cs="宋体"/>
                <w:color w:val="auto"/>
                <w:sz w:val="21"/>
                <w:szCs w:val="21"/>
                <w:highlight w:val="none"/>
              </w:rPr>
              <w:t>柜、独立柜原则上玻璃采用6mm+0.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mm+6mm或以上厚度的低反射夹层玻璃。</w:t>
            </w:r>
          </w:p>
        </w:tc>
      </w:tr>
      <w:tr w14:paraId="0C14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2888FC6A">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355" w:type="pct"/>
            <w:vMerge w:val="continue"/>
            <w:noWrap w:val="0"/>
            <w:vAlign w:val="center"/>
          </w:tcPr>
          <w:p w14:paraId="753D512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711" w:type="pct"/>
            <w:noWrap w:val="0"/>
            <w:vAlign w:val="center"/>
          </w:tcPr>
          <w:p w14:paraId="5893A9E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柜内板材</w:t>
            </w:r>
          </w:p>
        </w:tc>
        <w:tc>
          <w:tcPr>
            <w:tcW w:w="3578" w:type="pct"/>
            <w:noWrap w:val="0"/>
            <w:vAlign w:val="center"/>
          </w:tcPr>
          <w:p w14:paraId="0887FF1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展柜板材均应为环保材料，原木材料经过熏蒸消毒处理，防止虫霉滋生。柜内背板由内部背板及外部背板组合而成，展柜内部背板可负重且便于拆卸。</w:t>
            </w:r>
          </w:p>
          <w:p w14:paraId="0C7CB38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1.内部背板采用厚度不低于20mm的E0级</w:t>
            </w:r>
            <w:r>
              <w:rPr>
                <w:rFonts w:hint="eastAsia" w:ascii="宋体" w:hAnsi="宋体" w:eastAsia="宋体" w:cs="宋体"/>
                <w:color w:val="auto"/>
                <w:sz w:val="21"/>
                <w:szCs w:val="21"/>
                <w:highlight w:val="none"/>
                <w:lang w:val="en-US" w:eastAsia="zh-CN"/>
              </w:rPr>
              <w:t>板材</w:t>
            </w:r>
            <w:r>
              <w:rPr>
                <w:rFonts w:hint="eastAsia" w:ascii="宋体" w:hAnsi="宋体" w:eastAsia="宋体" w:cs="宋体"/>
                <w:color w:val="auto"/>
                <w:sz w:val="21"/>
                <w:szCs w:val="21"/>
                <w:highlight w:val="none"/>
              </w:rPr>
              <w:t>（检测标准GB/T 39600-2021），采用阻隔型铝塑膜进行全封闭包覆，甲醛释放量小于0.05mg/m³，需要经过防火、防腐、防潮处理，符合绿色环保标准。</w:t>
            </w:r>
          </w:p>
          <w:p w14:paraId="33CDEE72">
            <w:pPr>
              <w:pStyle w:val="61"/>
              <w:keepNext w:val="0"/>
              <w:keepLines w:val="0"/>
              <w:widowControl/>
              <w:suppressLineNumbers w:val="0"/>
              <w:spacing w:before="150" w:beforeAutospacing="0" w:after="0" w:afterAutospacing="0" w:line="308" w:lineRule="auto"/>
              <w:ind w:left="113" w:right="108" w:firstLine="2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柜内木质板材需依据GB/T 36111-2018《文物展柜基本技术要求及检测》，通过材料环境安全性评估，达到适合长期使用的要求。</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453D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291642F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355" w:type="pct"/>
            <w:vMerge w:val="continue"/>
            <w:noWrap w:val="0"/>
            <w:vAlign w:val="center"/>
          </w:tcPr>
          <w:p w14:paraId="50859F9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p>
        </w:tc>
        <w:tc>
          <w:tcPr>
            <w:tcW w:w="711" w:type="pct"/>
            <w:noWrap w:val="0"/>
            <w:vAlign w:val="center"/>
          </w:tcPr>
          <w:p w14:paraId="2521172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柜内织物</w:t>
            </w:r>
          </w:p>
        </w:tc>
        <w:tc>
          <w:tcPr>
            <w:tcW w:w="3578" w:type="pct"/>
            <w:noWrap w:val="0"/>
            <w:vAlign w:val="center"/>
          </w:tcPr>
          <w:p w14:paraId="08FFF928">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展柜内使用的织物应采用无胶粘接的方式固定在板材或面板上，投标人所投展柜所用织物采用100%纯棉或纯麻纺织物。各类纺织品释放的甲醛含量按GB/T 2912.2—2009《纺织品 甲醛的测定 第2部分：释放的甲醛（蒸汽吸收法）》检测应不高于20 mg/kg</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2"/>
                <w:sz w:val="21"/>
                <w:szCs w:val="21"/>
                <w:highlight w:val="none"/>
              </w:rPr>
              <w:t>可分解致癌芳香</w:t>
            </w:r>
            <w:r>
              <w:rPr>
                <w:rFonts w:hint="eastAsia" w:ascii="宋体" w:hAnsi="宋体" w:eastAsia="宋体" w:cs="宋体"/>
                <w:color w:val="auto"/>
                <w:spacing w:val="-1"/>
                <w:sz w:val="21"/>
                <w:szCs w:val="21"/>
                <w:highlight w:val="none"/>
              </w:rPr>
              <w:t>胺染料≤3mg/kg</w:t>
            </w:r>
            <w:r>
              <w:rPr>
                <w:rFonts w:hint="eastAsia" w:ascii="宋体" w:hAnsi="宋体" w:eastAsia="宋体" w:cs="宋体"/>
                <w:color w:val="auto"/>
                <w:sz w:val="21"/>
                <w:szCs w:val="21"/>
                <w:highlight w:val="none"/>
              </w:rPr>
              <w:t>；纺织物阻燃性能符合GB8624-2012中B1及以上级别。</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p w14:paraId="11A342C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柜内织物的材料环境安全性需依据GB/T 36111-2018《文物展柜基本技术要求及检测》要求，通过材料环境安全性评估，达到适合长期使用的要求。</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53A3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4F4D3B5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5" w:type="pct"/>
            <w:vMerge w:val="restart"/>
            <w:noWrap w:val="0"/>
            <w:vAlign w:val="center"/>
          </w:tcPr>
          <w:p w14:paraId="6F15B9D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展柜开启</w:t>
            </w:r>
          </w:p>
        </w:tc>
        <w:tc>
          <w:tcPr>
            <w:tcW w:w="711" w:type="pct"/>
            <w:noWrap w:val="0"/>
            <w:vAlign w:val="center"/>
          </w:tcPr>
          <w:p w14:paraId="66CF885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开启方式</w:t>
            </w:r>
          </w:p>
        </w:tc>
        <w:tc>
          <w:tcPr>
            <w:tcW w:w="3578" w:type="pct"/>
            <w:noWrap w:val="0"/>
            <w:vAlign w:val="center"/>
          </w:tcPr>
          <w:p w14:paraId="00CEB7D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平稳快捷、低噪音及阻滞现象；具有安全可靠,快捷简便的功能，确保安全、可靠性，避免需要一个以上工作人员操作开启和拆卸展柜部件开启。展柜开启方式应根据柜内文物与展览要求设计，展柜的不同开启方式、开启方向和开启度应满足文物取放平稳安全和人员操作方便的基本需求。</w:t>
            </w:r>
          </w:p>
          <w:p w14:paraId="488E52B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开启噪音≤50分贝。</w:t>
            </w:r>
          </w:p>
          <w:p w14:paraId="2E8BA5C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、展柜开启模式为电动模式的，应同时具备电动和手动双控制设计，在遇到突发情况或电力缺失情况的，可以通过手动方式正常开关展柜。</w:t>
            </w:r>
          </w:p>
        </w:tc>
      </w:tr>
      <w:tr w14:paraId="1E38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1FEE839">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331CA2BE">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7DEF16B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开启要求</w:t>
            </w:r>
          </w:p>
        </w:tc>
        <w:tc>
          <w:tcPr>
            <w:tcW w:w="3578" w:type="pct"/>
            <w:noWrap w:val="0"/>
            <w:vAlign w:val="center"/>
          </w:tcPr>
          <w:p w14:paraId="196FA2E6">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门要求采用高强度不锈钢轴作为支撑，通过科学的力学设计，以保证了开启门在旋出过程中的稳定性、安全性、轻便性。左右平移部分采用专用轴承固定于展柜滑动型材上，安装固定后与滑轨配合严密确保玻璃门运行平稳顺畅，限位器安装在滑轨上，确保玻璃门运行的安全性。</w:t>
            </w:r>
          </w:p>
          <w:p w14:paraId="0202FC9B">
            <w:pPr>
              <w:pStyle w:val="39"/>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独立柜，电动转开开启方式，大独立柜电动推出手动平移开启方式，平柜电动顶升开启方式，通柜电动推出手动平移开启方式。</w:t>
            </w:r>
          </w:p>
        </w:tc>
      </w:tr>
      <w:tr w14:paraId="7E35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noWrap w:val="0"/>
            <w:vAlign w:val="center"/>
          </w:tcPr>
          <w:p w14:paraId="309B650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5" w:type="pct"/>
            <w:noWrap w:val="0"/>
            <w:vAlign w:val="center"/>
          </w:tcPr>
          <w:p w14:paraId="1A2732E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展柜安全</w:t>
            </w:r>
          </w:p>
        </w:tc>
        <w:tc>
          <w:tcPr>
            <w:tcW w:w="711" w:type="pct"/>
            <w:noWrap w:val="0"/>
            <w:vAlign w:val="center"/>
          </w:tcPr>
          <w:p w14:paraId="34700D6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展柜锁具</w:t>
            </w:r>
          </w:p>
        </w:tc>
        <w:tc>
          <w:tcPr>
            <w:tcW w:w="3578" w:type="pct"/>
            <w:noWrap w:val="0"/>
            <w:vAlign w:val="center"/>
          </w:tcPr>
          <w:p w14:paraId="382D81B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1、展柜锁具选择及安装须符合馆藏、展陈专业专用锁具以及文物安全管理要求，具有高性能的防技术性盗窃功能。</w:t>
            </w:r>
          </w:p>
          <w:p w14:paraId="21CA503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2、锁具开启与维护要求实现基座与陈展空间分离，要保证陈列与维修分别管理。锁具安全牢固、操作方便，安装位置要具有隐蔽性、防盗性高，不易被人发觉。</w:t>
            </w:r>
          </w:p>
          <w:p w14:paraId="2C5ED9E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3、锁体及钥匙的材料为超硬度的耐磨、防锈材料，且钥匙的编号可根据要求采用统一的总钥匙管理系统，方便存档查询。</w:t>
            </w:r>
          </w:p>
          <w:p w14:paraId="635C9D8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锁具性能应符合GA/T 73-2015 《机械防盗锁》 C 级的相关规定。</w:t>
            </w:r>
            <w:r>
              <w:rPr>
                <w:rFonts w:hint="eastAsia" w:ascii="宋体" w:hAnsi="宋体" w:eastAsia="宋体" w:cs="宋体"/>
                <w:color w:val="auto"/>
                <w:spacing w:val="-1"/>
                <w:sz w:val="21"/>
                <w:szCs w:val="21"/>
                <w:highlight w:val="none"/>
              </w:rPr>
              <w:t>展陈空</w:t>
            </w:r>
            <w:r>
              <w:rPr>
                <w:rFonts w:hint="eastAsia" w:ascii="宋体" w:hAnsi="宋体" w:eastAsia="宋体" w:cs="宋体"/>
                <w:color w:val="auto"/>
                <w:spacing w:val="-5"/>
                <w:sz w:val="21"/>
                <w:szCs w:val="21"/>
                <w:highlight w:val="none"/>
              </w:rPr>
              <w:t>间钥匙互开率≤0.01%，差异量≥18°,具有防破坏功能</w:t>
            </w:r>
            <w:r>
              <w:rPr>
                <w:rFonts w:hint="eastAsia" w:ascii="宋体" w:hAnsi="宋体" w:eastAsia="宋体" w:cs="宋体"/>
                <w:color w:val="auto"/>
                <w:spacing w:val="2"/>
                <w:sz w:val="21"/>
                <w:szCs w:val="21"/>
                <w:highlight w:val="none"/>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0076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16E916B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55" w:type="pct"/>
            <w:vMerge w:val="restart"/>
            <w:noWrap w:val="0"/>
            <w:vAlign w:val="center"/>
          </w:tcPr>
          <w:p w14:paraId="0A5762D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展柜密封</w:t>
            </w:r>
          </w:p>
        </w:tc>
        <w:tc>
          <w:tcPr>
            <w:tcW w:w="711" w:type="pct"/>
            <w:noWrap w:val="0"/>
            <w:vAlign w:val="center"/>
          </w:tcPr>
          <w:p w14:paraId="3B02999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整体结构</w:t>
            </w:r>
          </w:p>
        </w:tc>
        <w:tc>
          <w:tcPr>
            <w:tcW w:w="3578" w:type="pct"/>
            <w:noWrap w:val="0"/>
            <w:vAlign w:val="center"/>
          </w:tcPr>
          <w:p w14:paraId="42A6126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展柜本身为整体密封型结构，采用专用密封型材、密封硅胶条及中性密封胶。</w:t>
            </w:r>
          </w:p>
        </w:tc>
      </w:tr>
      <w:tr w14:paraId="2CD1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6DD36652">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7D7A22CD">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4D942C8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空气交换率</w:t>
            </w:r>
          </w:p>
        </w:tc>
        <w:tc>
          <w:tcPr>
            <w:tcW w:w="3578" w:type="pct"/>
            <w:noWrap w:val="0"/>
            <w:vAlign w:val="center"/>
          </w:tcPr>
          <w:p w14:paraId="0329BBA9">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1、展柜结构应具有良好的整体密闭性，涉及展陈空间的构件应作密封处理，可做到防虫蛀、防尘。</w:t>
            </w:r>
          </w:p>
          <w:p w14:paraId="58251EC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b w:val="0"/>
                <w:bCs w:val="0"/>
                <w:color w:val="auto"/>
                <w:sz w:val="21"/>
                <w:szCs w:val="21"/>
                <w:highlight w:val="none"/>
              </w:rPr>
              <w:t>、展柜换气率符合GB/T 36110-2018的高气密性展柜标准。</w:t>
            </w:r>
          </w:p>
        </w:tc>
      </w:tr>
      <w:tr w14:paraId="456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47BB3E9">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2839866F">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16A165F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闭合环境密封性</w:t>
            </w:r>
          </w:p>
        </w:tc>
        <w:tc>
          <w:tcPr>
            <w:tcW w:w="3578" w:type="pct"/>
            <w:noWrap w:val="0"/>
            <w:vAlign w:val="center"/>
          </w:tcPr>
          <w:p w14:paraId="4D10E30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展柜闭合情况下应具有高度密闭性，防尘、防虫蛀。</w:t>
            </w:r>
          </w:p>
          <w:p w14:paraId="57E2360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展柜展台与底座之间需做好完善的密封措施。</w:t>
            </w:r>
          </w:p>
        </w:tc>
      </w:tr>
      <w:tr w14:paraId="668E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344EE592">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5491BAD6">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1308BC2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密封材料</w:t>
            </w:r>
          </w:p>
        </w:tc>
        <w:tc>
          <w:tcPr>
            <w:tcW w:w="3578" w:type="pct"/>
            <w:noWrap w:val="0"/>
            <w:vAlign w:val="center"/>
          </w:tcPr>
          <w:p w14:paraId="7A64664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柜密封材料应选用中性硅橡胶管和中性双组分密封胶相结合使用，其他部件相连接处应选用专业粘结剂，表面光滑、平直、无机械杂质。具有抗振、抗断裂、抗撕裂、抗老化、抗压缩、寿命持久、永不变形的特点。</w:t>
            </w:r>
          </w:p>
          <w:p w14:paraId="27D0D2A8">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2、材料为“O”型有机硅，不含有任何的酸性物质。</w:t>
            </w:r>
          </w:p>
          <w:p w14:paraId="1A954AA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3、表面要求光滑，无明显的机械杂质。</w:t>
            </w:r>
          </w:p>
          <w:p w14:paraId="4A73C671">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4、拉伸强度不小于8.5Mpa。</w:t>
            </w:r>
          </w:p>
          <w:p w14:paraId="4C2F4A6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5、断裂伸长率不小于400%。</w:t>
            </w:r>
          </w:p>
          <w:p w14:paraId="73DCD4CB">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6、撕裂强度不小于20KN/M。</w:t>
            </w:r>
          </w:p>
          <w:p w14:paraId="34ABB56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7、展柜内密封胶条需做阻燃处理,垂直燃烧性达到FV-0级。</w:t>
            </w:r>
          </w:p>
          <w:p w14:paraId="09E7623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8、不含任何酸、碱性物质、无异味、无挥发性、不含异氰酸盐，充分发挥密封材料的性能。</w:t>
            </w:r>
          </w:p>
          <w:p w14:paraId="307A4BEB">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9、永久变形率小于8%，硬度HA60±5。</w:t>
            </w:r>
          </w:p>
          <w:p w14:paraId="0537609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展柜用密封胶、展柜用密封胶条，需依据GB/T 36111-2018《文物展柜基本技术要求及检测》，</w:t>
            </w:r>
            <w:r>
              <w:rPr>
                <w:rFonts w:hint="eastAsia" w:ascii="宋体" w:hAnsi="宋体" w:eastAsia="宋体" w:cs="宋体"/>
                <w:bCs/>
                <w:color w:val="auto"/>
                <w:sz w:val="21"/>
                <w:szCs w:val="21"/>
                <w:highlight w:val="none"/>
              </w:rPr>
              <w:t>通过材料环境安全性评估，</w:t>
            </w:r>
            <w:r>
              <w:rPr>
                <w:rFonts w:hint="eastAsia" w:ascii="宋体" w:hAnsi="宋体" w:eastAsia="宋体" w:cs="宋体"/>
                <w:color w:val="auto"/>
                <w:sz w:val="21"/>
                <w:szCs w:val="21"/>
                <w:highlight w:val="none"/>
              </w:rPr>
              <w:t>达到适合长期使用的要求</w:t>
            </w:r>
            <w:r>
              <w:rPr>
                <w:rFonts w:hint="eastAsia" w:ascii="宋体" w:hAnsi="宋体" w:eastAsia="宋体" w:cs="宋体"/>
                <w:bCs/>
                <w:color w:val="auto"/>
                <w:sz w:val="21"/>
                <w:szCs w:val="21"/>
                <w:highlight w:val="none"/>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6B4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153FE55">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1E8DBCF3">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7064AE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污染气体</w:t>
            </w:r>
          </w:p>
        </w:tc>
        <w:tc>
          <w:tcPr>
            <w:tcW w:w="3578" w:type="pct"/>
            <w:noWrap w:val="0"/>
            <w:vAlign w:val="center"/>
          </w:tcPr>
          <w:p w14:paraId="0BEA8A1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藏品</w:t>
            </w:r>
            <w:r>
              <w:rPr>
                <w:rFonts w:hint="eastAsia" w:ascii="宋体" w:hAnsi="宋体" w:eastAsia="宋体" w:cs="宋体"/>
                <w:color w:val="auto"/>
                <w:sz w:val="21"/>
                <w:szCs w:val="21"/>
                <w:highlight w:val="none"/>
              </w:rPr>
              <w:t>展示密封环境中使用的各种材料，所散发的挥发物对</w:t>
            </w:r>
            <w:r>
              <w:rPr>
                <w:rFonts w:hint="eastAsia" w:ascii="宋体" w:hAnsi="宋体" w:eastAsia="宋体" w:cs="宋体"/>
                <w:color w:val="auto"/>
                <w:sz w:val="21"/>
                <w:szCs w:val="21"/>
                <w:highlight w:val="none"/>
                <w:lang w:val="en-US" w:eastAsia="zh-CN"/>
              </w:rPr>
              <w:t>藏品</w:t>
            </w:r>
            <w:r>
              <w:rPr>
                <w:rFonts w:hint="eastAsia" w:ascii="宋体" w:hAnsi="宋体" w:eastAsia="宋体" w:cs="宋体"/>
                <w:color w:val="auto"/>
                <w:sz w:val="21"/>
                <w:szCs w:val="21"/>
                <w:highlight w:val="none"/>
              </w:rPr>
              <w:t>的潜在危害需严格控制。展示环境中的污染气体中：</w:t>
            </w:r>
          </w:p>
          <w:p w14:paraId="4545A39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甲醛含量低于100μg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；甲酸含量低于50μg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；乙酸含量低于100μg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；挥发性有机化合物（VOCs）低于300ppb。</w:t>
            </w:r>
          </w:p>
          <w:p w14:paraId="2976F578">
            <w:pPr>
              <w:pStyle w:val="39"/>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w:t>
            </w:r>
            <w:r>
              <w:rPr>
                <w:rFonts w:hint="eastAsia" w:ascii="宋体" w:hAnsi="宋体" w:eastAsia="宋体" w:cs="宋体"/>
                <w:color w:val="auto"/>
                <w:sz w:val="21"/>
                <w:szCs w:val="21"/>
                <w:highlight w:val="none"/>
                <w:lang w:val="en-US" w:eastAsia="zh-CN"/>
              </w:rPr>
              <w:t>柜内污染物测试</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GB/T 36111-2018《文物展柜基本技术要求及检测》</w:t>
            </w:r>
            <w:r>
              <w:rPr>
                <w:rFonts w:hint="eastAsia" w:ascii="宋体" w:hAnsi="宋体" w:eastAsia="宋体" w:cs="宋体"/>
                <w:bCs/>
                <w:color w:val="auto"/>
                <w:sz w:val="21"/>
                <w:szCs w:val="21"/>
                <w:highlight w:val="none"/>
              </w:rPr>
              <w:t>。</w:t>
            </w:r>
          </w:p>
        </w:tc>
      </w:tr>
      <w:tr w14:paraId="48A8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75A3D12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55" w:type="pct"/>
            <w:vMerge w:val="restart"/>
            <w:noWrap w:val="0"/>
            <w:vAlign w:val="center"/>
          </w:tcPr>
          <w:p w14:paraId="44C4498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展柜照明</w:t>
            </w:r>
          </w:p>
        </w:tc>
        <w:tc>
          <w:tcPr>
            <w:tcW w:w="711" w:type="pct"/>
            <w:noWrap w:val="0"/>
            <w:vAlign w:val="center"/>
          </w:tcPr>
          <w:p w14:paraId="74C1BA0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灯具安全性</w:t>
            </w:r>
          </w:p>
        </w:tc>
        <w:tc>
          <w:tcPr>
            <w:tcW w:w="3578" w:type="pct"/>
            <w:noWrap w:val="0"/>
            <w:vAlign w:val="center"/>
          </w:tcPr>
          <w:p w14:paraId="1F5D22B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1、展柜顶部照明区域与展示空间相对独立并密封，温度不能传到展示空间，以保护</w:t>
            </w:r>
            <w:r>
              <w:rPr>
                <w:rFonts w:hint="eastAsia" w:ascii="宋体" w:hAnsi="宋体" w:eastAsia="宋体" w:cs="宋体"/>
                <w:color w:val="auto"/>
                <w:sz w:val="21"/>
                <w:szCs w:val="21"/>
                <w:highlight w:val="none"/>
                <w:lang w:val="en-US" w:eastAsia="zh-CN"/>
              </w:rPr>
              <w:t>藏品</w:t>
            </w:r>
            <w:r>
              <w:rPr>
                <w:rFonts w:hint="eastAsia" w:ascii="宋体" w:hAnsi="宋体" w:eastAsia="宋体" w:cs="宋体"/>
                <w:color w:val="auto"/>
                <w:sz w:val="21"/>
                <w:szCs w:val="21"/>
                <w:highlight w:val="none"/>
              </w:rPr>
              <w:t>及展示空间环境。</w:t>
            </w:r>
          </w:p>
          <w:p w14:paraId="402B43C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2、所有展柜照明设备均应采用LED照明，兼顾重点照明及环境照明。照明设备的具体使用应进行设计，使用设备种类及照明方案须经采购人同意。</w:t>
            </w:r>
          </w:p>
          <w:p w14:paraId="7DAB7EA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3、展示柜的照明设备具有对展品的保护功能，可以阻断紫外线等有害光线。照明设备紫外线相对含量小于5μW/1m。</w:t>
            </w:r>
          </w:p>
          <w:p w14:paraId="0F27782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4、蓝光防控级别要达到无危险类的要求。</w:t>
            </w:r>
          </w:p>
        </w:tc>
      </w:tr>
      <w:tr w14:paraId="551B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84E4F10">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61D1809E">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5F1E108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显色性</w:t>
            </w:r>
          </w:p>
        </w:tc>
        <w:tc>
          <w:tcPr>
            <w:tcW w:w="3578" w:type="pct"/>
            <w:noWrap w:val="0"/>
            <w:vAlign w:val="center"/>
          </w:tcPr>
          <w:p w14:paraId="100922B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1"/>
                <w:sz w:val="21"/>
                <w:szCs w:val="21"/>
                <w:highlight w:val="none"/>
              </w:rPr>
              <w:t>LED光源的灯具显色性CRI</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Ra≥9</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，特殊显色指数</w:t>
            </w:r>
            <w:r>
              <w:rPr>
                <w:rFonts w:hint="eastAsia" w:ascii="宋体" w:hAnsi="宋体" w:eastAsia="宋体" w:cs="宋体"/>
                <w:color w:val="auto"/>
                <w:spacing w:val="-3"/>
                <w:sz w:val="21"/>
                <w:szCs w:val="21"/>
                <w:highlight w:val="none"/>
              </w:rPr>
              <w:t>(R9)≥92</w:t>
            </w:r>
            <w:r>
              <w:rPr>
                <w:rFonts w:hint="eastAsia" w:ascii="宋体" w:hAnsi="宋体" w:eastAsia="宋体" w:cs="宋体"/>
                <w:color w:val="auto"/>
                <w:spacing w:val="-3"/>
                <w:sz w:val="21"/>
                <w:szCs w:val="21"/>
                <w:highlight w:val="none"/>
                <w:lang w:eastAsia="zh-CN"/>
              </w:rPr>
              <w:t>。</w:t>
            </w:r>
            <w:r>
              <w:rPr>
                <w:rFonts w:hint="default"/>
                <w:b/>
                <w:bCs/>
                <w:color w:val="auto"/>
                <w:spacing w:val="-3"/>
                <w:highlight w:val="none"/>
              </w:rPr>
              <w:t>（投标文件中提供第三方检测机构出具的带有 CMA 标志的检测报告扫描件</w:t>
            </w:r>
            <w:r>
              <w:rPr>
                <w:rFonts w:hint="eastAsia"/>
                <w:b/>
                <w:bCs/>
                <w:color w:val="auto"/>
                <w:spacing w:val="-3"/>
                <w:highlight w:val="none"/>
                <w:lang w:eastAsia="zh-CN"/>
              </w:rPr>
              <w:t>，</w:t>
            </w:r>
            <w:r>
              <w:rPr>
                <w:rFonts w:hint="eastAsia"/>
                <w:b/>
                <w:bCs/>
                <w:color w:val="auto"/>
                <w:spacing w:val="-3"/>
                <w:highlight w:val="none"/>
              </w:rPr>
              <w:t>且报告检测数据满足要求</w:t>
            </w:r>
            <w:r>
              <w:rPr>
                <w:rFonts w:hint="eastAsia"/>
                <w:b/>
                <w:bCs/>
                <w:color w:val="auto"/>
                <w:spacing w:val="-3"/>
                <w:highlight w:val="none"/>
                <w:lang w:eastAsia="zh-CN"/>
              </w:rPr>
              <w:t>。）</w:t>
            </w:r>
          </w:p>
        </w:tc>
      </w:tr>
      <w:tr w14:paraId="054F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9305E48">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5EA5E187">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55F7E01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灯头类型</w:t>
            </w:r>
          </w:p>
        </w:tc>
        <w:tc>
          <w:tcPr>
            <w:tcW w:w="3578" w:type="pct"/>
            <w:noWrap w:val="0"/>
            <w:vAlign w:val="center"/>
          </w:tcPr>
          <w:p w14:paraId="1BC3F0CA">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照明设备不外露，简便操作。设备调节、维护、更换可在不打开展柜的情况下实施。</w:t>
            </w:r>
          </w:p>
        </w:tc>
      </w:tr>
      <w:tr w14:paraId="1260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218374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10BD0F9A">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01374FF8">
            <w:pPr>
              <w:keepNext w:val="0"/>
              <w:keepLines w:val="0"/>
              <w:widowControl/>
              <w:suppressLineNumbers w:val="0"/>
              <w:adjustRightInd w:val="0"/>
              <w:snapToGrid w:val="0"/>
              <w:spacing w:before="0" w:beforeAutospacing="0" w:after="0" w:afterAutospacing="0" w:line="360" w:lineRule="auto"/>
              <w:ind w:left="0" w:right="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色温</w:t>
            </w:r>
          </w:p>
        </w:tc>
        <w:tc>
          <w:tcPr>
            <w:tcW w:w="3578" w:type="pct"/>
            <w:noWrap w:val="0"/>
            <w:vAlign w:val="center"/>
          </w:tcPr>
          <w:p w14:paraId="002734E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00K(±50K)</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4000K (±50K)（色温可根据</w:t>
            </w:r>
            <w:r>
              <w:rPr>
                <w:rFonts w:hint="eastAsia" w:ascii="宋体" w:hAnsi="宋体" w:eastAsia="宋体" w:cs="宋体"/>
                <w:color w:val="auto"/>
                <w:sz w:val="21"/>
                <w:szCs w:val="21"/>
                <w:highlight w:val="none"/>
                <w:lang w:val="en-US" w:eastAsia="zh-CN"/>
              </w:rPr>
              <w:t>学院</w:t>
            </w:r>
            <w:r>
              <w:rPr>
                <w:rFonts w:hint="eastAsia" w:ascii="宋体" w:hAnsi="宋体" w:eastAsia="宋体" w:cs="宋体"/>
                <w:color w:val="auto"/>
                <w:sz w:val="21"/>
                <w:szCs w:val="21"/>
                <w:highlight w:val="none"/>
              </w:rPr>
              <w:t>要求定制）</w:t>
            </w:r>
          </w:p>
        </w:tc>
      </w:tr>
      <w:tr w14:paraId="4E2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3F573B1">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47A161E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3A6733A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控制方式</w:t>
            </w:r>
          </w:p>
        </w:tc>
        <w:tc>
          <w:tcPr>
            <w:tcW w:w="3578" w:type="pct"/>
            <w:noWrap w:val="0"/>
            <w:vAlign w:val="center"/>
          </w:tcPr>
          <w:p w14:paraId="1810739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支持0-100%</w:t>
            </w:r>
            <w:r>
              <w:rPr>
                <w:rFonts w:hint="eastAsia" w:ascii="宋体" w:hAnsi="宋体" w:eastAsia="宋体" w:cs="宋体"/>
                <w:color w:val="auto"/>
                <w:sz w:val="21"/>
                <w:szCs w:val="21"/>
                <w:highlight w:val="none"/>
                <w:lang w:val="en-US" w:eastAsia="zh-CN"/>
              </w:rPr>
              <w:t>无极</w:t>
            </w:r>
            <w:r>
              <w:rPr>
                <w:rFonts w:hint="eastAsia" w:ascii="宋体" w:hAnsi="宋体" w:eastAsia="宋体" w:cs="宋体"/>
                <w:color w:val="auto"/>
                <w:sz w:val="21"/>
                <w:szCs w:val="21"/>
                <w:highlight w:val="none"/>
              </w:rPr>
              <w:t>调光，调光过程无频闪。</w:t>
            </w:r>
          </w:p>
        </w:tc>
      </w:tr>
      <w:tr w14:paraId="5FB2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3F00116C">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0F1A69C7">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32FD6B9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光束角调节</w:t>
            </w:r>
          </w:p>
        </w:tc>
        <w:tc>
          <w:tcPr>
            <w:tcW w:w="3578" w:type="pct"/>
            <w:noWrap w:val="0"/>
            <w:vAlign w:val="center"/>
          </w:tcPr>
          <w:p w14:paraId="11BCD65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可根据不同展览需求调节光束角，实现精准配光，匹配不同展项对光束角的需求，适配性强。</w:t>
            </w:r>
          </w:p>
        </w:tc>
      </w:tr>
      <w:tr w14:paraId="242E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5880007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797BDF9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0DD08B4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灯具布局</w:t>
            </w:r>
          </w:p>
        </w:tc>
        <w:tc>
          <w:tcPr>
            <w:tcW w:w="3578" w:type="pct"/>
            <w:noWrap w:val="0"/>
            <w:vAlign w:val="center"/>
          </w:tcPr>
          <w:p w14:paraId="0559D99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照明设备可不小于水平350°，垂直不小于90°转动，满足全方位投射可调</w:t>
            </w:r>
            <w:r>
              <w:rPr>
                <w:rFonts w:hint="eastAsia" w:ascii="宋体" w:hAnsi="宋体" w:eastAsia="宋体" w:cs="宋体"/>
                <w:color w:val="auto"/>
                <w:sz w:val="21"/>
                <w:szCs w:val="21"/>
                <w:highlight w:val="none"/>
                <w:lang w:eastAsia="zh-CN"/>
              </w:rPr>
              <w:t>。</w:t>
            </w:r>
          </w:p>
        </w:tc>
      </w:tr>
      <w:tr w14:paraId="1563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57A4EDC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6FD7290B">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B9007D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光源类型</w:t>
            </w:r>
          </w:p>
        </w:tc>
        <w:tc>
          <w:tcPr>
            <w:tcW w:w="3578" w:type="pct"/>
            <w:noWrap w:val="0"/>
            <w:vAlign w:val="center"/>
          </w:tcPr>
          <w:p w14:paraId="50FB6A81">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1、光源应为LED光源（非COB封装）</w:t>
            </w:r>
          </w:p>
          <w:p w14:paraId="68BA068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2、光源应采用高品质LED芯片，最大限度地减少照明设备光、热等因素对有机质</w:t>
            </w:r>
            <w:r>
              <w:rPr>
                <w:rFonts w:hint="eastAsia" w:ascii="宋体" w:hAnsi="宋体" w:eastAsia="宋体" w:cs="宋体"/>
                <w:color w:val="auto"/>
                <w:sz w:val="21"/>
                <w:szCs w:val="21"/>
                <w:highlight w:val="none"/>
                <w:lang w:val="en-US" w:eastAsia="zh-CN"/>
              </w:rPr>
              <w:t>藏品</w:t>
            </w:r>
            <w:r>
              <w:rPr>
                <w:rFonts w:hint="eastAsia" w:ascii="宋体" w:hAnsi="宋体" w:eastAsia="宋体" w:cs="宋体"/>
                <w:color w:val="auto"/>
                <w:sz w:val="21"/>
                <w:szCs w:val="21"/>
                <w:highlight w:val="none"/>
              </w:rPr>
              <w:t>的损坏。</w:t>
            </w:r>
          </w:p>
        </w:tc>
      </w:tr>
      <w:tr w14:paraId="177B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1EF59E5F">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08B2CC51">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23B487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灯具配件</w:t>
            </w:r>
          </w:p>
        </w:tc>
        <w:tc>
          <w:tcPr>
            <w:tcW w:w="3578" w:type="pct"/>
            <w:noWrap w:val="0"/>
            <w:vAlign w:val="center"/>
          </w:tcPr>
          <w:p w14:paraId="158D6691">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照明设备具有防护眩光的结构设计，需配备蜂窝网、遮光罩等配件，确保柜内灯光无眩光。</w:t>
            </w:r>
          </w:p>
        </w:tc>
      </w:tr>
      <w:tr w14:paraId="636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78862913">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34C7FD02">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1CF5D00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色容差</w:t>
            </w:r>
          </w:p>
        </w:tc>
        <w:tc>
          <w:tcPr>
            <w:tcW w:w="3578" w:type="pct"/>
            <w:noWrap w:val="0"/>
            <w:vAlign w:val="center"/>
          </w:tcPr>
          <w:p w14:paraId="527B4DC1">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照明设备色容差SDCM≤2</w:t>
            </w:r>
          </w:p>
        </w:tc>
      </w:tr>
      <w:tr w14:paraId="0DB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06D21CF4">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64D1D1C0">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653EEF7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照度</w:t>
            </w:r>
          </w:p>
        </w:tc>
        <w:tc>
          <w:tcPr>
            <w:tcW w:w="3578" w:type="pct"/>
            <w:noWrap w:val="0"/>
            <w:vAlign w:val="center"/>
          </w:tcPr>
          <w:p w14:paraId="6F8B549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展柜照明设备照度可调节，照度可整组或分段调节。</w:t>
            </w:r>
          </w:p>
        </w:tc>
      </w:tr>
      <w:tr w14:paraId="0EFB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noWrap w:val="0"/>
            <w:vAlign w:val="center"/>
          </w:tcPr>
          <w:p w14:paraId="20A967B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5" w:type="pct"/>
            <w:noWrap w:val="0"/>
            <w:vAlign w:val="center"/>
          </w:tcPr>
          <w:p w14:paraId="1BADD5A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柜内微环境</w:t>
            </w:r>
          </w:p>
        </w:tc>
        <w:tc>
          <w:tcPr>
            <w:tcW w:w="711" w:type="pct"/>
            <w:noWrap w:val="0"/>
            <w:vAlign w:val="center"/>
          </w:tcPr>
          <w:p w14:paraId="4141C4F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恒湿机</w:t>
            </w:r>
          </w:p>
        </w:tc>
        <w:tc>
          <w:tcPr>
            <w:tcW w:w="3578" w:type="pct"/>
            <w:noWrap w:val="0"/>
            <w:vAlign w:val="center"/>
          </w:tcPr>
          <w:p w14:paraId="187BD575">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1）功能特点</w:t>
            </w:r>
          </w:p>
          <w:p w14:paraId="3F1C9BD7">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①提供一个不间断、有效、温和无突变的湿度控制给展柜。</w:t>
            </w:r>
          </w:p>
          <w:p w14:paraId="3360500E">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②湿度准确地控制在1.5%设定范围内。</w:t>
            </w:r>
          </w:p>
          <w:p w14:paraId="57DE9ABC">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③正压空气调节及过滤可防止污染微粒流入展柜。</w:t>
            </w:r>
          </w:p>
          <w:p w14:paraId="76FE2D65">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④不断循环的气流把展柜里的湿度控制得比较稳定以及对温度的改变反应快速。</w:t>
            </w:r>
          </w:p>
          <w:p w14:paraId="3FB35946">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⑤主机体积小，可以安装在展柜的底部或顶部。</w:t>
            </w:r>
          </w:p>
          <w:p w14:paraId="5A7442CE">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⑥全半导体设计，非常可靠，保养小。</w:t>
            </w:r>
          </w:p>
          <w:p w14:paraId="0153A1D5">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⑦操作简易，多层面自我失控监测系统。不会死机。</w:t>
            </w:r>
          </w:p>
          <w:p w14:paraId="15C421DC">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⑧无线监控（双向），数据存储。</w:t>
            </w:r>
          </w:p>
          <w:p w14:paraId="55689AED">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⑨配增压阀，可正压工作。可配空气过滤功能</w:t>
            </w:r>
          </w:p>
          <w:p w14:paraId="1B51980E">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2）规格</w:t>
            </w:r>
          </w:p>
          <w:p w14:paraId="0628D094">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①主机大小： 满足展柜下设备空间高度</w:t>
            </w:r>
          </w:p>
          <w:p w14:paraId="7EC37224">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②电源： 不大于220V</w:t>
            </w:r>
          </w:p>
          <w:p w14:paraId="7414E3B2">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③最大工作电流： 不大于2A </w:t>
            </w:r>
          </w:p>
          <w:p w14:paraId="267BAF11">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④噪音：  不大于45分贝</w:t>
            </w:r>
          </w:p>
          <w:p w14:paraId="56A0C2AF">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⑤出入气管： 20mm </w:t>
            </w:r>
          </w:p>
          <w:p w14:paraId="5228500F">
            <w:pPr>
              <w:pStyle w:val="38"/>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⑥输出容量：调控容量：在工作温度15-32℃，设定范围RH35%-70%时，气流可</w:t>
            </w:r>
            <w:r>
              <w:rPr>
                <w:rFonts w:hint="eastAsia" w:ascii="宋体" w:hAnsi="宋体" w:cs="宋体"/>
                <w:color w:val="auto"/>
                <w:kern w:val="2"/>
                <w:sz w:val="21"/>
                <w:szCs w:val="21"/>
                <w:highlight w:val="none"/>
                <w:lang w:val="en-US" w:eastAsia="zh-CN" w:bidi="ar-SA"/>
              </w:rPr>
              <w:t>适配展柜提供微环境调控</w:t>
            </w:r>
            <w:r>
              <w:rPr>
                <w:rFonts w:hint="eastAsia" w:ascii="宋体" w:hAnsi="宋体" w:eastAsia="宋体" w:cs="宋体"/>
                <w:color w:val="auto"/>
                <w:kern w:val="2"/>
                <w:sz w:val="21"/>
                <w:szCs w:val="21"/>
                <w:highlight w:val="none"/>
                <w:lang w:val="en-US" w:eastAsia="zh-CN" w:bidi="ar-SA"/>
              </w:rPr>
              <w:t>(具体适配方案最终由学院对设计方案进行审定后确认)（展柜密闭性：≤1次/天换气率的条件下）</w:t>
            </w:r>
          </w:p>
        </w:tc>
      </w:tr>
      <w:tr w14:paraId="1928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noWrap w:val="0"/>
            <w:vAlign w:val="center"/>
          </w:tcPr>
          <w:p w14:paraId="51615CC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355" w:type="pct"/>
            <w:noWrap w:val="0"/>
            <w:vAlign w:val="center"/>
          </w:tcPr>
          <w:p w14:paraId="25973B8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展柜电器</w:t>
            </w:r>
          </w:p>
        </w:tc>
        <w:tc>
          <w:tcPr>
            <w:tcW w:w="711" w:type="pct"/>
            <w:noWrap w:val="0"/>
            <w:vAlign w:val="center"/>
          </w:tcPr>
          <w:p w14:paraId="1B5E615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电器开关及布线</w:t>
            </w:r>
          </w:p>
        </w:tc>
        <w:tc>
          <w:tcPr>
            <w:tcW w:w="3578" w:type="pct"/>
            <w:noWrap w:val="0"/>
            <w:vAlign w:val="center"/>
          </w:tcPr>
          <w:p w14:paraId="771B5F7B">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1、各类设备的布线需合理隐蔽，符合安全标准；</w:t>
            </w:r>
          </w:p>
          <w:p w14:paraId="1BA01D0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2、独立开关，配备漏电保护器，预留弱电接口，电容量及布线考虑增加设备及日后升级需求。</w:t>
            </w:r>
          </w:p>
        </w:tc>
      </w:tr>
      <w:tr w14:paraId="7FB9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noWrap w:val="0"/>
            <w:vAlign w:val="center"/>
          </w:tcPr>
          <w:p w14:paraId="5654752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55" w:type="pct"/>
            <w:vMerge w:val="restart"/>
            <w:noWrap w:val="0"/>
            <w:vAlign w:val="center"/>
          </w:tcPr>
          <w:p w14:paraId="355B0A4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展柜维护管理</w:t>
            </w:r>
          </w:p>
        </w:tc>
        <w:tc>
          <w:tcPr>
            <w:tcW w:w="711" w:type="pct"/>
            <w:noWrap w:val="0"/>
            <w:vAlign w:val="center"/>
          </w:tcPr>
          <w:p w14:paraId="1EE8F281">
            <w:pPr>
              <w:keepNext w:val="0"/>
              <w:keepLines w:val="0"/>
              <w:widowControl/>
              <w:suppressLineNumbers w:val="0"/>
              <w:adjustRightInd w:val="0"/>
              <w:snapToGrid w:val="0"/>
              <w:spacing w:before="0" w:beforeAutospacing="0" w:after="0" w:afterAutospacing="0" w:line="360" w:lineRule="auto"/>
              <w:ind w:left="0" w:right="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w:t>
            </w:r>
          </w:p>
        </w:tc>
        <w:tc>
          <w:tcPr>
            <w:tcW w:w="3578" w:type="pct"/>
            <w:noWrap w:val="0"/>
            <w:vAlign w:val="center"/>
          </w:tcPr>
          <w:p w14:paraId="6008A8D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展柜按标准化技术进行设计、生产、组装，除恒湿设备及灯具外，不再需要其他维修。</w:t>
            </w:r>
          </w:p>
        </w:tc>
      </w:tr>
      <w:tr w14:paraId="2743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39538993">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56B34D06">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788D65F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设备隔离</w:t>
            </w:r>
          </w:p>
        </w:tc>
        <w:tc>
          <w:tcPr>
            <w:tcW w:w="3578" w:type="pct"/>
            <w:noWrap w:val="0"/>
            <w:vAlign w:val="center"/>
          </w:tcPr>
          <w:p w14:paraId="3DBB1378">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1、恒湿环境控制设备和灯具的检修均设立单独检修门和空间，并与展示空间相隔离，检修时无需打开柜门。</w:t>
            </w:r>
          </w:p>
          <w:p w14:paraId="41E2161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2、以便更好地保护</w:t>
            </w:r>
            <w:r>
              <w:rPr>
                <w:rFonts w:hint="eastAsia" w:ascii="宋体" w:hAnsi="宋体" w:eastAsia="宋体" w:cs="宋体"/>
                <w:color w:val="auto"/>
                <w:sz w:val="21"/>
                <w:szCs w:val="21"/>
                <w:highlight w:val="none"/>
                <w:lang w:val="en-US" w:eastAsia="zh-CN"/>
              </w:rPr>
              <w:t>藏品，</w:t>
            </w:r>
            <w:r>
              <w:rPr>
                <w:rFonts w:hint="eastAsia" w:ascii="宋体" w:hAnsi="宋体" w:eastAsia="宋体" w:cs="宋体"/>
                <w:color w:val="auto"/>
                <w:sz w:val="21"/>
                <w:szCs w:val="21"/>
                <w:highlight w:val="none"/>
              </w:rPr>
              <w:t>设备维修时不会对柜内微环境造成任何波动。</w:t>
            </w:r>
          </w:p>
        </w:tc>
      </w:tr>
      <w:tr w14:paraId="2EC4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noWrap w:val="0"/>
            <w:vAlign w:val="center"/>
          </w:tcPr>
          <w:p w14:paraId="1ECD690A">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355" w:type="pct"/>
            <w:vMerge w:val="continue"/>
            <w:noWrap w:val="0"/>
            <w:vAlign w:val="center"/>
          </w:tcPr>
          <w:p w14:paraId="519BED58">
            <w:pPr>
              <w:keepNext w:val="0"/>
              <w:keepLines w:val="0"/>
              <w:widowControl/>
              <w:suppressLineNumbers w:val="0"/>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711" w:type="pct"/>
            <w:noWrap w:val="0"/>
            <w:vAlign w:val="center"/>
          </w:tcPr>
          <w:p w14:paraId="261D541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预留空间</w:t>
            </w:r>
          </w:p>
        </w:tc>
        <w:tc>
          <w:tcPr>
            <w:tcW w:w="3578" w:type="pct"/>
            <w:noWrap w:val="0"/>
            <w:vAlign w:val="center"/>
          </w:tcPr>
          <w:p w14:paraId="350FAFE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展柜内预留安保等设备的安装空间，及其相关管道的接口，方便设备进行调整、检测、维系、升级或增加、更新设备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方便日后提高文保环境要求的需要。</w:t>
            </w:r>
          </w:p>
        </w:tc>
      </w:tr>
      <w:bookmarkEnd w:id="68"/>
    </w:tbl>
    <w:p w14:paraId="1722D014">
      <w:pPr>
        <w:pStyle w:val="6"/>
        <w:keepNext w:val="0"/>
        <w:keepLines w:val="0"/>
        <w:pageBreakBefore w:val="0"/>
        <w:wordWrap/>
        <w:overflowPunct/>
        <w:topLinePunct w:val="0"/>
        <w:bidi w:val="0"/>
        <w:spacing w:after="0" w:line="360" w:lineRule="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val="en-US" w:eastAsia="zh-CN"/>
        </w:rPr>
        <w:t>三</w:t>
      </w:r>
      <w:r>
        <w:rPr>
          <w:rFonts w:hint="eastAsia" w:ascii="宋体" w:hAnsi="宋体" w:eastAsia="宋体" w:cs="宋体"/>
          <w:b/>
          <w:bCs/>
          <w:color w:val="auto"/>
          <w:spacing w:val="-4"/>
          <w:sz w:val="21"/>
          <w:szCs w:val="21"/>
          <w:highlight w:val="none"/>
        </w:rPr>
        <w:t>、安装调试、质保及售后服务要求</w:t>
      </w:r>
    </w:p>
    <w:p w14:paraId="517CDB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1、售后服务：24*7 全天候响应，除特殊情况（无备件、大型故障等）外，中标人应在采购人要求时限内完成展柜维修工作，并提供一年免费质保。</w:t>
      </w:r>
    </w:p>
    <w:p w14:paraId="7F3FBF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2、安装服务：中标人需按照采购人要求，于指定地点对采购展柜进行安装、 调试，具体时间由实际情况决定。</w:t>
      </w:r>
    </w:p>
    <w:p w14:paraId="71F000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3、柜内照明组合：中标人应负责柜内照明的组合深化设计、设备采购、加工、安装、调光等一体化工作。</w:t>
      </w:r>
    </w:p>
    <w:p w14:paraId="55018F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4、培训：项目验收合格后，中标人提供采购人单位 1-2 名人员的文物展柜技术培训。</w:t>
      </w:r>
    </w:p>
    <w:p w14:paraId="25CB01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5、验收：展柜经过双方检验认可无误后，签署验收报告，产品保修期自验收合格之日起算1年，由中标人提供货物保修证书。</w:t>
      </w:r>
    </w:p>
    <w:p w14:paraId="3323A0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6、如中标人不配合采购人或未经采购人同意擅自对展柜规格、数量及技术要求做出调整，造成的一切后果均由中标人承担。</w:t>
      </w:r>
    </w:p>
    <w:p w14:paraId="2832C9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7、维护：由于设备为定制设备，存在维修设备专业性和唯一性问题，需由中标人采用项目专人负责形式，并承诺委派专业技术人员进行现场维修。如采购人自行安排项目无关人员对展柜进行维修或拆卸工作，中标人可以不再承担保修责任。</w:t>
      </w:r>
    </w:p>
    <w:p w14:paraId="67624AA7">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val="en-US" w:eastAsia="zh-CN"/>
        </w:rPr>
        <w:t>四</w:t>
      </w:r>
      <w:r>
        <w:rPr>
          <w:rFonts w:hint="eastAsia" w:ascii="宋体" w:hAnsi="宋体" w:eastAsia="宋体" w:cs="宋体"/>
          <w:b/>
          <w:bCs/>
          <w:color w:val="auto"/>
          <w:spacing w:val="-4"/>
          <w:sz w:val="21"/>
          <w:szCs w:val="21"/>
          <w:highlight w:val="none"/>
        </w:rPr>
        <w:t>、报价要求</w:t>
      </w:r>
    </w:p>
    <w:p w14:paraId="387A75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1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lang w:val="en-US" w:eastAsia="zh-CN" w:bidi="ar"/>
        </w:rPr>
        <w:t>本项目报投标总价，投标报价包含为完成本项目所需一切费用。</w:t>
      </w:r>
    </w:p>
    <w:p w14:paraId="19CD1288">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val="en-US" w:eastAsia="zh-CN"/>
        </w:rPr>
        <w:t>五</w:t>
      </w:r>
      <w:r>
        <w:rPr>
          <w:rFonts w:hint="eastAsia" w:ascii="宋体" w:hAnsi="宋体" w:eastAsia="宋体" w:cs="宋体"/>
          <w:b/>
          <w:bCs/>
          <w:color w:val="auto"/>
          <w:spacing w:val="-4"/>
          <w:sz w:val="21"/>
          <w:szCs w:val="21"/>
          <w:highlight w:val="none"/>
        </w:rPr>
        <w:t>、其他要求</w:t>
      </w:r>
    </w:p>
    <w:p w14:paraId="41DFEB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1、合同签订后30 个日历日内，完成设备定制加工，并根据采购人要求完成进场安装工作。</w:t>
      </w:r>
    </w:p>
    <w:p w14:paraId="4CEE8B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2"/>
          <w:kern w:val="0"/>
          <w:sz w:val="21"/>
          <w:szCs w:val="21"/>
          <w:highlight w:val="none"/>
          <w:lang w:val="en-US" w:eastAsia="zh-CN" w:bidi="ar"/>
        </w:rPr>
      </w:pPr>
      <w:r>
        <w:rPr>
          <w:rFonts w:hint="eastAsia" w:ascii="宋体" w:hAnsi="宋体" w:eastAsia="宋体" w:cs="宋体"/>
          <w:snapToGrid w:val="0"/>
          <w:color w:val="auto"/>
          <w:spacing w:val="-2"/>
          <w:kern w:val="0"/>
          <w:sz w:val="21"/>
          <w:szCs w:val="21"/>
          <w:highlight w:val="none"/>
          <w:lang w:val="en-US" w:eastAsia="zh-CN" w:bidi="ar"/>
        </w:rPr>
        <w:t>2、本项目涉及柜体定制项目，对应展柜需配合后期展览改造进行深化设计， 中标人需无条件配合，故中标人需将因深化设计造成的成本变动提前考虑。</w:t>
      </w:r>
    </w:p>
    <w:p w14:paraId="2D165437">
      <w:pPr>
        <w:pStyle w:val="37"/>
        <w:keepNext w:val="0"/>
        <w:keepLines w:val="0"/>
        <w:pageBreakBefore w:val="0"/>
        <w:wordWrap/>
        <w:overflowPunct/>
        <w:topLinePunct w:val="0"/>
        <w:bidi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pacing w:val="-2"/>
          <w:kern w:val="0"/>
          <w:sz w:val="21"/>
          <w:szCs w:val="21"/>
          <w:highlight w:val="none"/>
          <w:lang w:val="en-US" w:eastAsia="zh-CN" w:bidi="ar"/>
        </w:rPr>
        <w:t>3、展柜供货完成后，在验收前中标人需提供展柜的出厂合格证或质检报告。</w:t>
      </w:r>
    </w:p>
    <w:p w14:paraId="2B372DCF">
      <w:pPr>
        <w:rPr>
          <w:rFonts w:hint="default"/>
          <w:color w:val="auto"/>
          <w:highlight w:val="none"/>
          <w:lang w:val="en-US" w:eastAsia="zh-CN"/>
        </w:rPr>
      </w:pPr>
    </w:p>
    <w:sectPr>
      <w:footerReference r:id="rId41" w:type="default"/>
      <w:pgSz w:w="11906" w:h="16839"/>
      <w:pgMar w:top="1040" w:right="946" w:bottom="1156" w:left="1400" w:header="0" w:footer="998"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84C4">
    <w:pPr>
      <w:spacing w:line="196" w:lineRule="auto"/>
      <w:ind w:left="4641"/>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D8D0">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35AD7">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0135AD7">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625">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7225A">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297225A">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ACC5">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E5C9">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6F0E5C9">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FB9">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F05C">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9CF05C">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246E">
    <w:pPr>
      <w:spacing w:line="196" w:lineRule="auto"/>
      <w:ind w:left="45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876C">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2FE876C">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8B8D">
    <w:pPr>
      <w:spacing w:line="196" w:lineRule="auto"/>
      <w:ind w:left="48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9071">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5359071">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834B">
    <w:pPr>
      <w:spacing w:line="196" w:lineRule="auto"/>
      <w:ind w:left="45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F7268">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1FF7268">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AC36">
    <w:pPr>
      <w:spacing w:line="196" w:lineRule="auto"/>
      <w:ind w:left="47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126B6">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39126B6">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9FFA">
    <w:pPr>
      <w:spacing w:line="196"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6CC44">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96CC44">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7BCC">
    <w:pPr>
      <w:spacing w:line="196" w:lineRule="auto"/>
      <w:ind w:left="45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A083">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5F6A083">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2C4E">
    <w:pPr>
      <w:spacing w:line="193" w:lineRule="auto"/>
      <w:ind w:left="46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FCD67">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2AFCD67">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36E">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E6E81">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09E6E81">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1E96">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7703">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E3D7703">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A681">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20F18">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1320F18">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DB2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6B2B">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5346B2B">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6F9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07D9">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69D07D9">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E00E">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DE0F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5EDE0F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E6B8">
    <w:pPr>
      <w:spacing w:line="196"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23F8A">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7823F8A">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A40D">
    <w:pPr>
      <w:spacing w:line="196" w:lineRule="auto"/>
      <w:ind w:left="45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746C">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427746C">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91FC">
    <w:pPr>
      <w:spacing w:line="193"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E6BF">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3CE6BF">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ED47">
    <w:pPr>
      <w:spacing w:line="196" w:lineRule="auto"/>
      <w:ind w:left="45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287C">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F90287C">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932F">
    <w:pPr>
      <w:spacing w:line="196" w:lineRule="auto"/>
      <w:ind w:left="46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0A2C4">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3C0A2C4">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30BA">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2B615">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EE2B615">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4DF4">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55C2C">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2D55C2C">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9B7D">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08B6C">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08B6C">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4E05">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C3388">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DCC3388">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57C8">
    <w:pPr>
      <w:spacing w:line="196" w:lineRule="auto"/>
      <w:ind w:left="45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67156">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A767156">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BBF1">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604C">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826604C">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34C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F7A7">
    <w:pPr>
      <w:spacing w:line="196" w:lineRule="auto"/>
      <w:ind w:left="4222"/>
      <w:rPr>
        <w:rFonts w:ascii="Times New Roman" w:hAnsi="Times New Roman" w:eastAsia="Times New Roman" w:cs="Times New Roman"/>
        <w:sz w:val="17"/>
        <w:szCs w:val="17"/>
      </w:rPr>
    </w:pPr>
    <w:bookmarkStart w:id="69" w:name="_bookmark3"/>
    <w:bookmarkEnd w:id="69"/>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3A52A">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3C3A52A">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F73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3A12">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FA53A12">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FB7F">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5EC38">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CE5EC38">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6381">
    <w:pPr>
      <w:pStyle w:val="14"/>
      <w:pBdr>
        <w:bottom w:val="none" w:color="auto" w:sz="0" w:space="1"/>
      </w:pBdr>
      <w:rPr>
        <w:rFonts w:hint="eastAsia"/>
        <w:b/>
        <w:bCs w:val="0"/>
        <w:i/>
        <w:iCs/>
        <w:lang w:eastAsia="zh-CN"/>
      </w:rPr>
    </w:pPr>
  </w:p>
  <w:p w14:paraId="72F31359">
    <w:pPr>
      <w:pStyle w:val="14"/>
      <w:pBdr>
        <w:bottom w:val="none" w:color="auto" w:sz="0" w:space="1"/>
      </w:pBdr>
      <w:rPr>
        <w:rFonts w:hint="default"/>
        <w:b/>
        <w:bCs w:val="0"/>
        <w:i/>
        <w:iCs/>
        <w:lang w:val="en-US" w:eastAsia="zh-CN"/>
      </w:rPr>
    </w:pPr>
    <w:r>
      <w:rPr>
        <w:rFonts w:hint="eastAsia"/>
        <w:b/>
        <w:bCs w:val="0"/>
        <w:i/>
        <w:iCs/>
        <w:lang w:val="en-US" w:eastAsia="zh-CN"/>
      </w:rPr>
      <w:t xml:space="preserve"> </w:t>
    </w:r>
  </w:p>
  <w:p w14:paraId="34818D58">
    <w:pPr>
      <w:pStyle w:val="14"/>
      <w:pBdr>
        <w:bottom w:val="none" w:color="auto" w:sz="0" w:space="1"/>
      </w:pBdr>
    </w:pPr>
    <w:r>
      <w:rPr>
        <w:rFonts w:hint="eastAsia"/>
        <w:b/>
        <w:bCs w:val="0"/>
        <w:i/>
        <w:iCs/>
        <w:lang w:eastAsia="zh-CN"/>
      </w:rPr>
      <w:tab/>
    </w:r>
    <w:r>
      <w:rPr>
        <w:rFonts w:hint="eastAsia"/>
        <w:b/>
        <w:bCs w:val="0"/>
        <w:i/>
        <w:iCs/>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7EF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7EC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900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DD48"/>
    <w:multiLevelType w:val="singleLevel"/>
    <w:tmpl w:val="BAF1DD48"/>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D"/>
    <w:multiLevelType w:val="multilevel"/>
    <w:tmpl w:val="0000000D"/>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E6AD29C"/>
    <w:multiLevelType w:val="singleLevel"/>
    <w:tmpl w:val="1E6AD29C"/>
    <w:lvl w:ilvl="0" w:tentative="0">
      <w:start w:val="1"/>
      <w:numFmt w:val="chineseCounting"/>
      <w:suff w:val="nothing"/>
      <w:lvlText w:val="%1、"/>
      <w:lvlJc w:val="left"/>
      <w:rPr>
        <w:rFonts w:hint="eastAsia"/>
      </w:rPr>
    </w:lvl>
  </w:abstractNum>
  <w:abstractNum w:abstractNumId="9">
    <w:nsid w:val="53782023"/>
    <w:multiLevelType w:val="singleLevel"/>
    <w:tmpl w:val="53782023"/>
    <w:lvl w:ilvl="0" w:tentative="0">
      <w:start w:val="1"/>
      <w:numFmt w:val="decimal"/>
      <w:lvlText w:val="%1."/>
      <w:lvlJc w:val="left"/>
      <w:pPr>
        <w:tabs>
          <w:tab w:val="left" w:pos="312"/>
        </w:tabs>
      </w:pPr>
    </w:lvl>
  </w:abstractNum>
  <w:abstractNum w:abstractNumId="10">
    <w:nsid w:val="5532F468"/>
    <w:multiLevelType w:val="singleLevel"/>
    <w:tmpl w:val="5532F468"/>
    <w:lvl w:ilvl="0" w:tentative="0">
      <w:start w:val="1"/>
      <w:numFmt w:val="decimal"/>
      <w:suff w:val="nothing"/>
      <w:lvlText w:val="%1、"/>
      <w:lvlJc w:val="left"/>
    </w:lvl>
  </w:abstractNum>
  <w:abstractNum w:abstractNumId="1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B3252DD"/>
    <w:multiLevelType w:val="singleLevel"/>
    <w:tmpl w:val="7B3252DD"/>
    <w:lvl w:ilvl="0" w:tentative="0">
      <w:start w:val="1"/>
      <w:numFmt w:val="decimal"/>
      <w:suff w:val="nothing"/>
      <w:lvlText w:val="%1、"/>
      <w:lvlJc w:val="left"/>
    </w:lvl>
  </w:abstractNum>
  <w:num w:numId="1">
    <w:abstractNumId w:val="7"/>
  </w:num>
  <w:num w:numId="2">
    <w:abstractNumId w:val="11"/>
  </w:num>
  <w:num w:numId="3">
    <w:abstractNumId w:val="12"/>
  </w:num>
  <w:num w:numId="4">
    <w:abstractNumId w:val="2"/>
  </w:num>
  <w:num w:numId="5">
    <w:abstractNumId w:val="6"/>
  </w:num>
  <w:num w:numId="6">
    <w:abstractNumId w:val="4"/>
  </w:num>
  <w:num w:numId="7">
    <w:abstractNumId w:val="3"/>
  </w:num>
  <w:num w:numId="8">
    <w:abstractNumId w:val="1"/>
  </w:num>
  <w:num w:numId="9">
    <w:abstractNumId w:val="5"/>
  </w:num>
  <w:num w:numId="10">
    <w:abstractNumId w:val="9"/>
  </w:num>
  <w:num w:numId="11">
    <w:abstractNumId w:val="8"/>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58"/>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zNDhlNDU2MDY3OWFiMjJkZWQ1NjRiOTI0ZDM5OTgifQ=="/>
  </w:docVars>
  <w:rsids>
    <w:rsidRoot w:val="00000000"/>
    <w:rsid w:val="00443541"/>
    <w:rsid w:val="007C1BF8"/>
    <w:rsid w:val="009E5347"/>
    <w:rsid w:val="011D61A5"/>
    <w:rsid w:val="0154649E"/>
    <w:rsid w:val="016C2D4F"/>
    <w:rsid w:val="018207C5"/>
    <w:rsid w:val="01E114EA"/>
    <w:rsid w:val="02391959"/>
    <w:rsid w:val="023C2195"/>
    <w:rsid w:val="025F50AB"/>
    <w:rsid w:val="02963DFC"/>
    <w:rsid w:val="02BE3A7E"/>
    <w:rsid w:val="02F74D40"/>
    <w:rsid w:val="038D5FDC"/>
    <w:rsid w:val="0391378D"/>
    <w:rsid w:val="03AC1B29"/>
    <w:rsid w:val="03DC6B9D"/>
    <w:rsid w:val="04A233F9"/>
    <w:rsid w:val="04D34891"/>
    <w:rsid w:val="04F34BE0"/>
    <w:rsid w:val="04F80D9E"/>
    <w:rsid w:val="051E25B2"/>
    <w:rsid w:val="05306C95"/>
    <w:rsid w:val="0546203A"/>
    <w:rsid w:val="05C321A6"/>
    <w:rsid w:val="06035C4C"/>
    <w:rsid w:val="065B140F"/>
    <w:rsid w:val="066E4CAE"/>
    <w:rsid w:val="069B1336"/>
    <w:rsid w:val="06A02F37"/>
    <w:rsid w:val="0745615D"/>
    <w:rsid w:val="07B76CEE"/>
    <w:rsid w:val="07C35693"/>
    <w:rsid w:val="07D202FB"/>
    <w:rsid w:val="0825634E"/>
    <w:rsid w:val="084A5867"/>
    <w:rsid w:val="087D1F9C"/>
    <w:rsid w:val="088C1F29"/>
    <w:rsid w:val="08AE3BA1"/>
    <w:rsid w:val="08D940D8"/>
    <w:rsid w:val="094600B4"/>
    <w:rsid w:val="0963384C"/>
    <w:rsid w:val="097C147B"/>
    <w:rsid w:val="09BC4260"/>
    <w:rsid w:val="09F9539C"/>
    <w:rsid w:val="0A1B7A08"/>
    <w:rsid w:val="0A213B0C"/>
    <w:rsid w:val="0A7F7F97"/>
    <w:rsid w:val="0A847F67"/>
    <w:rsid w:val="0AB17316"/>
    <w:rsid w:val="0AE34D89"/>
    <w:rsid w:val="0BDA584A"/>
    <w:rsid w:val="0BF56037"/>
    <w:rsid w:val="0CD93263"/>
    <w:rsid w:val="0CE66124"/>
    <w:rsid w:val="0D3229EB"/>
    <w:rsid w:val="0D35077C"/>
    <w:rsid w:val="0D54663C"/>
    <w:rsid w:val="0DB53CD0"/>
    <w:rsid w:val="0DCF74D9"/>
    <w:rsid w:val="0DEA2F67"/>
    <w:rsid w:val="0E2872D6"/>
    <w:rsid w:val="0E9953A0"/>
    <w:rsid w:val="0EF35DD3"/>
    <w:rsid w:val="0EF54495"/>
    <w:rsid w:val="0F0D5446"/>
    <w:rsid w:val="0FDF5034"/>
    <w:rsid w:val="0FF52C8D"/>
    <w:rsid w:val="0FFA1E6E"/>
    <w:rsid w:val="0FFC1742"/>
    <w:rsid w:val="10617714"/>
    <w:rsid w:val="10AF38A6"/>
    <w:rsid w:val="11450BF1"/>
    <w:rsid w:val="12092C87"/>
    <w:rsid w:val="121449C9"/>
    <w:rsid w:val="12713AE0"/>
    <w:rsid w:val="12C0739F"/>
    <w:rsid w:val="12C329EB"/>
    <w:rsid w:val="13387832"/>
    <w:rsid w:val="13413D6E"/>
    <w:rsid w:val="138E6551"/>
    <w:rsid w:val="13A0020C"/>
    <w:rsid w:val="14045069"/>
    <w:rsid w:val="141B02CD"/>
    <w:rsid w:val="143808D3"/>
    <w:rsid w:val="14E804E7"/>
    <w:rsid w:val="151B08BC"/>
    <w:rsid w:val="15253D0A"/>
    <w:rsid w:val="157A0988"/>
    <w:rsid w:val="15C80229"/>
    <w:rsid w:val="16A81E04"/>
    <w:rsid w:val="16CE665A"/>
    <w:rsid w:val="172577D0"/>
    <w:rsid w:val="18550E35"/>
    <w:rsid w:val="18716A45"/>
    <w:rsid w:val="187A1D9E"/>
    <w:rsid w:val="18B254C1"/>
    <w:rsid w:val="18B30C92"/>
    <w:rsid w:val="18D71B4A"/>
    <w:rsid w:val="18DB1D5C"/>
    <w:rsid w:val="193469D4"/>
    <w:rsid w:val="19AD1399"/>
    <w:rsid w:val="19C2220A"/>
    <w:rsid w:val="1A55434C"/>
    <w:rsid w:val="1A8011C2"/>
    <w:rsid w:val="1AD70534"/>
    <w:rsid w:val="1B481CDF"/>
    <w:rsid w:val="1B6A434C"/>
    <w:rsid w:val="1BF200FA"/>
    <w:rsid w:val="1C3B44EC"/>
    <w:rsid w:val="1C6A1E5C"/>
    <w:rsid w:val="1CB4672F"/>
    <w:rsid w:val="1D2A6D2F"/>
    <w:rsid w:val="1E000B58"/>
    <w:rsid w:val="1E122A78"/>
    <w:rsid w:val="1EF508FE"/>
    <w:rsid w:val="1F02126B"/>
    <w:rsid w:val="1F0F1BA8"/>
    <w:rsid w:val="1F5E5472"/>
    <w:rsid w:val="1F9E3D2A"/>
    <w:rsid w:val="1FC222E8"/>
    <w:rsid w:val="1FD10A8F"/>
    <w:rsid w:val="1FDA258B"/>
    <w:rsid w:val="1FDF2C3F"/>
    <w:rsid w:val="1FF16DE9"/>
    <w:rsid w:val="20120B0E"/>
    <w:rsid w:val="20975D94"/>
    <w:rsid w:val="20AC1CAF"/>
    <w:rsid w:val="20D61B3B"/>
    <w:rsid w:val="21206B34"/>
    <w:rsid w:val="21352D06"/>
    <w:rsid w:val="215F0D65"/>
    <w:rsid w:val="216A0FCF"/>
    <w:rsid w:val="219747EA"/>
    <w:rsid w:val="21D16C6B"/>
    <w:rsid w:val="222F390D"/>
    <w:rsid w:val="225C3529"/>
    <w:rsid w:val="230760FB"/>
    <w:rsid w:val="23461597"/>
    <w:rsid w:val="23490CEA"/>
    <w:rsid w:val="237A5348"/>
    <w:rsid w:val="23CA1C8E"/>
    <w:rsid w:val="23D07225"/>
    <w:rsid w:val="24101808"/>
    <w:rsid w:val="242C34E7"/>
    <w:rsid w:val="248209B5"/>
    <w:rsid w:val="24BB2450"/>
    <w:rsid w:val="24E52C95"/>
    <w:rsid w:val="24FF3177"/>
    <w:rsid w:val="255032FC"/>
    <w:rsid w:val="25955F3A"/>
    <w:rsid w:val="25DD44ED"/>
    <w:rsid w:val="261B627D"/>
    <w:rsid w:val="267E4F9C"/>
    <w:rsid w:val="26F61BE2"/>
    <w:rsid w:val="26FD2F81"/>
    <w:rsid w:val="27C724E2"/>
    <w:rsid w:val="27F86FC3"/>
    <w:rsid w:val="28371F5F"/>
    <w:rsid w:val="28A3206F"/>
    <w:rsid w:val="292A5C2A"/>
    <w:rsid w:val="294C017B"/>
    <w:rsid w:val="295003BD"/>
    <w:rsid w:val="29862B06"/>
    <w:rsid w:val="299C5B8A"/>
    <w:rsid w:val="2A1A65E6"/>
    <w:rsid w:val="2A1A7C98"/>
    <w:rsid w:val="2A3B1461"/>
    <w:rsid w:val="2A3C27FB"/>
    <w:rsid w:val="2AC534C9"/>
    <w:rsid w:val="2AEC08CB"/>
    <w:rsid w:val="2B7E34FB"/>
    <w:rsid w:val="2B98685A"/>
    <w:rsid w:val="2C972AC7"/>
    <w:rsid w:val="2D0462E7"/>
    <w:rsid w:val="2D404F0C"/>
    <w:rsid w:val="2E2D5BF8"/>
    <w:rsid w:val="2E7D1DD8"/>
    <w:rsid w:val="2F1C43F7"/>
    <w:rsid w:val="2F2E6FE6"/>
    <w:rsid w:val="2F3D15F2"/>
    <w:rsid w:val="2F462F02"/>
    <w:rsid w:val="2F516105"/>
    <w:rsid w:val="2FC260AC"/>
    <w:rsid w:val="2FFE4C0B"/>
    <w:rsid w:val="301E4FFC"/>
    <w:rsid w:val="30C80E3B"/>
    <w:rsid w:val="30ED7159"/>
    <w:rsid w:val="30EE2B85"/>
    <w:rsid w:val="30F64A07"/>
    <w:rsid w:val="314677C6"/>
    <w:rsid w:val="31C845BB"/>
    <w:rsid w:val="321D4C62"/>
    <w:rsid w:val="328624F4"/>
    <w:rsid w:val="328C7E14"/>
    <w:rsid w:val="32BB162B"/>
    <w:rsid w:val="32BD6FFF"/>
    <w:rsid w:val="32E248F4"/>
    <w:rsid w:val="336B48C2"/>
    <w:rsid w:val="33C54F3B"/>
    <w:rsid w:val="347507BC"/>
    <w:rsid w:val="35FF6407"/>
    <w:rsid w:val="3600792F"/>
    <w:rsid w:val="36490068"/>
    <w:rsid w:val="36657792"/>
    <w:rsid w:val="367C1297"/>
    <w:rsid w:val="36C908B5"/>
    <w:rsid w:val="37297ECE"/>
    <w:rsid w:val="378B296A"/>
    <w:rsid w:val="37A61D7E"/>
    <w:rsid w:val="37CF5A51"/>
    <w:rsid w:val="37EC2E7A"/>
    <w:rsid w:val="38CD2A1D"/>
    <w:rsid w:val="38E56968"/>
    <w:rsid w:val="38ED0768"/>
    <w:rsid w:val="394959C6"/>
    <w:rsid w:val="3A4A1178"/>
    <w:rsid w:val="3ABC59CE"/>
    <w:rsid w:val="3B2620DC"/>
    <w:rsid w:val="3B423ABA"/>
    <w:rsid w:val="3B7B35B3"/>
    <w:rsid w:val="3BDA1E3C"/>
    <w:rsid w:val="3C356086"/>
    <w:rsid w:val="3C6B187A"/>
    <w:rsid w:val="3CD613E9"/>
    <w:rsid w:val="3D624C18"/>
    <w:rsid w:val="3DBF3C2B"/>
    <w:rsid w:val="3E3D3AAB"/>
    <w:rsid w:val="3E6D7B2B"/>
    <w:rsid w:val="3E8F409D"/>
    <w:rsid w:val="3F3A6AF8"/>
    <w:rsid w:val="3F554C6B"/>
    <w:rsid w:val="3F89538C"/>
    <w:rsid w:val="40322D41"/>
    <w:rsid w:val="40EB4D37"/>
    <w:rsid w:val="40FF2708"/>
    <w:rsid w:val="414219E5"/>
    <w:rsid w:val="418F600A"/>
    <w:rsid w:val="41BD2B78"/>
    <w:rsid w:val="428B0FFC"/>
    <w:rsid w:val="42A20F0B"/>
    <w:rsid w:val="42B40431"/>
    <w:rsid w:val="43081BD1"/>
    <w:rsid w:val="434D6261"/>
    <w:rsid w:val="437C1635"/>
    <w:rsid w:val="439B3DEF"/>
    <w:rsid w:val="43B66223"/>
    <w:rsid w:val="43E22422"/>
    <w:rsid w:val="44744D5B"/>
    <w:rsid w:val="44763954"/>
    <w:rsid w:val="44A147AB"/>
    <w:rsid w:val="44AE6C74"/>
    <w:rsid w:val="44B414A4"/>
    <w:rsid w:val="44B55D88"/>
    <w:rsid w:val="44ED76B2"/>
    <w:rsid w:val="45167D6C"/>
    <w:rsid w:val="45384064"/>
    <w:rsid w:val="45FA1749"/>
    <w:rsid w:val="46163A9C"/>
    <w:rsid w:val="46520770"/>
    <w:rsid w:val="469E71A8"/>
    <w:rsid w:val="46A7691E"/>
    <w:rsid w:val="474A3B9E"/>
    <w:rsid w:val="47D73DAC"/>
    <w:rsid w:val="47F00E85"/>
    <w:rsid w:val="480035E7"/>
    <w:rsid w:val="484C07B1"/>
    <w:rsid w:val="488943E8"/>
    <w:rsid w:val="48DA5DBD"/>
    <w:rsid w:val="48EB621C"/>
    <w:rsid w:val="48FB0FF7"/>
    <w:rsid w:val="49396F88"/>
    <w:rsid w:val="493A68E9"/>
    <w:rsid w:val="493B4A30"/>
    <w:rsid w:val="49601BD6"/>
    <w:rsid w:val="4A001853"/>
    <w:rsid w:val="4A5B22DB"/>
    <w:rsid w:val="4A954692"/>
    <w:rsid w:val="4AAE7CBC"/>
    <w:rsid w:val="4AB71B3C"/>
    <w:rsid w:val="4AC565F9"/>
    <w:rsid w:val="4AC57851"/>
    <w:rsid w:val="4AF04449"/>
    <w:rsid w:val="4B0F6C49"/>
    <w:rsid w:val="4B475260"/>
    <w:rsid w:val="4B876F91"/>
    <w:rsid w:val="4BC70343"/>
    <w:rsid w:val="4BC95C91"/>
    <w:rsid w:val="4BFB49C8"/>
    <w:rsid w:val="4C2D4456"/>
    <w:rsid w:val="4C3A6B73"/>
    <w:rsid w:val="4C46376A"/>
    <w:rsid w:val="4CA87F80"/>
    <w:rsid w:val="4D1216BD"/>
    <w:rsid w:val="4D2C6E03"/>
    <w:rsid w:val="4D45071D"/>
    <w:rsid w:val="4D7D140D"/>
    <w:rsid w:val="4E130ED5"/>
    <w:rsid w:val="4E31629E"/>
    <w:rsid w:val="4E742810"/>
    <w:rsid w:val="4E8F1391"/>
    <w:rsid w:val="4EAE260F"/>
    <w:rsid w:val="4EDE412D"/>
    <w:rsid w:val="4F8E345D"/>
    <w:rsid w:val="4FA41988"/>
    <w:rsid w:val="4FB06C3D"/>
    <w:rsid w:val="4FC450D1"/>
    <w:rsid w:val="50165E6F"/>
    <w:rsid w:val="501F10F2"/>
    <w:rsid w:val="504C135C"/>
    <w:rsid w:val="510410B1"/>
    <w:rsid w:val="512170E0"/>
    <w:rsid w:val="51217BA2"/>
    <w:rsid w:val="516C76B6"/>
    <w:rsid w:val="51A11B6E"/>
    <w:rsid w:val="51B51175"/>
    <w:rsid w:val="51B934F5"/>
    <w:rsid w:val="51D0683C"/>
    <w:rsid w:val="52DC6BD6"/>
    <w:rsid w:val="5323137F"/>
    <w:rsid w:val="53A56537"/>
    <w:rsid w:val="53AF2EC0"/>
    <w:rsid w:val="53B84F4D"/>
    <w:rsid w:val="53E04F87"/>
    <w:rsid w:val="53E94252"/>
    <w:rsid w:val="53FC50FF"/>
    <w:rsid w:val="54273E81"/>
    <w:rsid w:val="543138F2"/>
    <w:rsid w:val="54C81203"/>
    <w:rsid w:val="54E97B2D"/>
    <w:rsid w:val="55325943"/>
    <w:rsid w:val="55AE5725"/>
    <w:rsid w:val="56002BDB"/>
    <w:rsid w:val="56380938"/>
    <w:rsid w:val="56731B2D"/>
    <w:rsid w:val="56810D29"/>
    <w:rsid w:val="56824BF3"/>
    <w:rsid w:val="57342B3C"/>
    <w:rsid w:val="57534881"/>
    <w:rsid w:val="577E46FF"/>
    <w:rsid w:val="57945CD1"/>
    <w:rsid w:val="57AB2CD6"/>
    <w:rsid w:val="57B43C7D"/>
    <w:rsid w:val="57BC2B32"/>
    <w:rsid w:val="57DD31D4"/>
    <w:rsid w:val="57EF2F07"/>
    <w:rsid w:val="58140991"/>
    <w:rsid w:val="587E03BA"/>
    <w:rsid w:val="58C074B6"/>
    <w:rsid w:val="59095701"/>
    <w:rsid w:val="59492B33"/>
    <w:rsid w:val="5964405A"/>
    <w:rsid w:val="59967832"/>
    <w:rsid w:val="59B30690"/>
    <w:rsid w:val="59D50E71"/>
    <w:rsid w:val="5A2E765D"/>
    <w:rsid w:val="5B2C37D5"/>
    <w:rsid w:val="5B39517C"/>
    <w:rsid w:val="5B495558"/>
    <w:rsid w:val="5B4E6197"/>
    <w:rsid w:val="5B5873DE"/>
    <w:rsid w:val="5B984680"/>
    <w:rsid w:val="5C05655A"/>
    <w:rsid w:val="5D303F37"/>
    <w:rsid w:val="5D4930BA"/>
    <w:rsid w:val="5D541BE0"/>
    <w:rsid w:val="5DA84284"/>
    <w:rsid w:val="5DE80B25"/>
    <w:rsid w:val="5E272633"/>
    <w:rsid w:val="5E8379C4"/>
    <w:rsid w:val="5EC210EC"/>
    <w:rsid w:val="5EC24ED2"/>
    <w:rsid w:val="5F1478DE"/>
    <w:rsid w:val="5F1D26BF"/>
    <w:rsid w:val="5F225EF4"/>
    <w:rsid w:val="5F8713AF"/>
    <w:rsid w:val="5F9F07EB"/>
    <w:rsid w:val="606129DD"/>
    <w:rsid w:val="60B624D5"/>
    <w:rsid w:val="60F41E2E"/>
    <w:rsid w:val="61A10079"/>
    <w:rsid w:val="61E31745"/>
    <w:rsid w:val="620C4235"/>
    <w:rsid w:val="62742987"/>
    <w:rsid w:val="627D5CDF"/>
    <w:rsid w:val="6346360C"/>
    <w:rsid w:val="634C7460"/>
    <w:rsid w:val="63C33BC6"/>
    <w:rsid w:val="640A3DC4"/>
    <w:rsid w:val="644E1AA1"/>
    <w:rsid w:val="64527AD0"/>
    <w:rsid w:val="64970BAF"/>
    <w:rsid w:val="64D12312"/>
    <w:rsid w:val="6500504D"/>
    <w:rsid w:val="651D7315"/>
    <w:rsid w:val="6543080B"/>
    <w:rsid w:val="658B67A2"/>
    <w:rsid w:val="665C2A9E"/>
    <w:rsid w:val="66EF082E"/>
    <w:rsid w:val="676B4AD5"/>
    <w:rsid w:val="683A3D2B"/>
    <w:rsid w:val="68AF170A"/>
    <w:rsid w:val="68E61754"/>
    <w:rsid w:val="6962419D"/>
    <w:rsid w:val="69E21DAA"/>
    <w:rsid w:val="69FB573C"/>
    <w:rsid w:val="6A201927"/>
    <w:rsid w:val="6A4964A7"/>
    <w:rsid w:val="6A4E3ABD"/>
    <w:rsid w:val="6A7554EE"/>
    <w:rsid w:val="6AC454F4"/>
    <w:rsid w:val="6AC70517"/>
    <w:rsid w:val="6AE74C41"/>
    <w:rsid w:val="6B89624D"/>
    <w:rsid w:val="6BBB55C7"/>
    <w:rsid w:val="6C104901"/>
    <w:rsid w:val="6C3B62C3"/>
    <w:rsid w:val="6C847C6A"/>
    <w:rsid w:val="6CAD4A62"/>
    <w:rsid w:val="6CF11AC6"/>
    <w:rsid w:val="6D550929"/>
    <w:rsid w:val="6D5C4743"/>
    <w:rsid w:val="6DA94999"/>
    <w:rsid w:val="6E11552E"/>
    <w:rsid w:val="6E156513"/>
    <w:rsid w:val="6E6E472E"/>
    <w:rsid w:val="6EB52295"/>
    <w:rsid w:val="6F5F0164"/>
    <w:rsid w:val="6F9401C4"/>
    <w:rsid w:val="6FAF14A2"/>
    <w:rsid w:val="6FEC1DAE"/>
    <w:rsid w:val="70763D6E"/>
    <w:rsid w:val="708A6E3A"/>
    <w:rsid w:val="70DA605C"/>
    <w:rsid w:val="71407193"/>
    <w:rsid w:val="71494FDF"/>
    <w:rsid w:val="718970EA"/>
    <w:rsid w:val="71A212BE"/>
    <w:rsid w:val="72A76461"/>
    <w:rsid w:val="72A870C9"/>
    <w:rsid w:val="72B47D45"/>
    <w:rsid w:val="72FC79FE"/>
    <w:rsid w:val="733777E5"/>
    <w:rsid w:val="73484A46"/>
    <w:rsid w:val="736D46B7"/>
    <w:rsid w:val="73895DF2"/>
    <w:rsid w:val="73D70FC8"/>
    <w:rsid w:val="73EF3771"/>
    <w:rsid w:val="740A3A87"/>
    <w:rsid w:val="742008AE"/>
    <w:rsid w:val="743C5607"/>
    <w:rsid w:val="74635A50"/>
    <w:rsid w:val="748F1C7A"/>
    <w:rsid w:val="74D679F9"/>
    <w:rsid w:val="74E07172"/>
    <w:rsid w:val="75023E22"/>
    <w:rsid w:val="75510906"/>
    <w:rsid w:val="75B5325E"/>
    <w:rsid w:val="75DA4B7C"/>
    <w:rsid w:val="761D53B8"/>
    <w:rsid w:val="764543ED"/>
    <w:rsid w:val="766905FD"/>
    <w:rsid w:val="769F6178"/>
    <w:rsid w:val="76F71AA7"/>
    <w:rsid w:val="78E1360D"/>
    <w:rsid w:val="7919798C"/>
    <w:rsid w:val="793956BF"/>
    <w:rsid w:val="79907C4E"/>
    <w:rsid w:val="7A4D5B40"/>
    <w:rsid w:val="7A7A333C"/>
    <w:rsid w:val="7A8A28F0"/>
    <w:rsid w:val="7A8F40D8"/>
    <w:rsid w:val="7A930C94"/>
    <w:rsid w:val="7AAF2B49"/>
    <w:rsid w:val="7B0F21BC"/>
    <w:rsid w:val="7B105150"/>
    <w:rsid w:val="7B5A3576"/>
    <w:rsid w:val="7BBA79BE"/>
    <w:rsid w:val="7C077F70"/>
    <w:rsid w:val="7C4F0FD9"/>
    <w:rsid w:val="7C520A0E"/>
    <w:rsid w:val="7D294C7F"/>
    <w:rsid w:val="7D443A02"/>
    <w:rsid w:val="7D491356"/>
    <w:rsid w:val="7D562F5D"/>
    <w:rsid w:val="7E2C35D6"/>
    <w:rsid w:val="7E7713DD"/>
    <w:rsid w:val="7E7B3C1E"/>
    <w:rsid w:val="7E9B1327"/>
    <w:rsid w:val="7EC5613F"/>
    <w:rsid w:val="7EDB7BBE"/>
    <w:rsid w:val="7F3215D4"/>
    <w:rsid w:val="7F4C7055"/>
    <w:rsid w:val="7FA53B9B"/>
    <w:rsid w:val="7FEE3921"/>
    <w:rsid w:val="7FF07699"/>
    <w:rsid w:val="7FFA7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numPr>
        <w:ilvl w:val="0"/>
        <w:numId w:val="1"/>
      </w:numPr>
      <w:jc w:val="center"/>
      <w:outlineLvl w:val="0"/>
    </w:pPr>
    <w:rPr>
      <w:rFonts w:ascii="黑体" w:hAnsi="宋体" w:eastAsia="黑体"/>
      <w:sz w:val="5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numPr>
        <w:ilvl w:val="2"/>
        <w:numId w:val="2"/>
      </w:numPr>
      <w:spacing w:before="120" w:after="120" w:line="360" w:lineRule="auto"/>
      <w:jc w:val="center"/>
      <w:outlineLvl w:val="2"/>
    </w:pPr>
    <w:rPr>
      <w:b/>
      <w:kern w:val="0"/>
      <w:sz w:val="32"/>
      <w:szCs w:val="20"/>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pPr>
  </w:style>
  <w:style w:type="paragraph" w:styleId="7">
    <w:name w:val="Body Text Indent"/>
    <w:basedOn w:val="1"/>
    <w:qFormat/>
    <w:uiPriority w:val="0"/>
    <w:pPr>
      <w:spacing w:after="120" w:afterLines="0"/>
      <w:ind w:left="420" w:leftChars="200"/>
    </w:pPr>
  </w:style>
  <w:style w:type="paragraph" w:styleId="8">
    <w:name w:val="List 2"/>
    <w:basedOn w:val="1"/>
    <w:qFormat/>
    <w:uiPriority w:val="0"/>
    <w:pPr>
      <w:ind w:left="100" w:leftChars="200" w:hanging="200" w:hangingChars="200"/>
    </w:pPr>
  </w:style>
  <w:style w:type="paragraph" w:styleId="9">
    <w:name w:val="toc 3"/>
    <w:basedOn w:val="1"/>
    <w:next w:val="1"/>
    <w:qFormat/>
    <w:uiPriority w:val="0"/>
    <w:pPr>
      <w:ind w:left="840" w:leftChars="400"/>
    </w:pPr>
  </w:style>
  <w:style w:type="paragraph" w:styleId="10">
    <w:name w:val="Plain Text"/>
    <w:basedOn w:val="1"/>
    <w:qFormat/>
    <w:uiPriority w:val="0"/>
    <w:pPr>
      <w:widowControl w:val="0"/>
      <w:jc w:val="both"/>
    </w:pPr>
    <w:rPr>
      <w:rFonts w:ascii="宋体" w:hAnsi="Courier New"/>
      <w:kern w:val="2"/>
      <w:sz w:val="21"/>
    </w:rPr>
  </w:style>
  <w:style w:type="paragraph" w:styleId="11">
    <w:name w:val="Date"/>
    <w:basedOn w:val="1"/>
    <w:next w:val="1"/>
    <w:qFormat/>
    <w:uiPriority w:val="0"/>
    <w:rPr>
      <w:sz w:val="24"/>
      <w:szCs w:val="20"/>
    </w:rPr>
  </w:style>
  <w:style w:type="paragraph" w:styleId="12">
    <w:name w:val="Body Text Indent 2"/>
    <w:basedOn w:val="1"/>
    <w:qFormat/>
    <w:uiPriority w:val="0"/>
    <w:pPr>
      <w:spacing w:after="120" w:afterLines="0" w:line="480" w:lineRule="auto"/>
      <w:ind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spacing w:before="100" w:beforeAutospacing="1" w:after="100" w:afterAutospacing="1"/>
    </w:pPr>
  </w:style>
  <w:style w:type="paragraph" w:styleId="19">
    <w:name w:val="Body Text First Indent"/>
    <w:basedOn w:val="6"/>
    <w:qFormat/>
    <w:uiPriority w:val="0"/>
    <w:pPr>
      <w:widowControl/>
      <w:overflowPunct w:val="0"/>
      <w:autoSpaceDE w:val="0"/>
      <w:ind w:left="0" w:right="0" w:firstLine="420"/>
      <w:jc w:val="left"/>
      <w:textAlignment w:val="baseline"/>
    </w:pPr>
    <w:rPr>
      <w:kern w:val="1"/>
      <w:sz w:val="20"/>
      <w:szCs w:val="20"/>
    </w:rPr>
  </w:style>
  <w:style w:type="paragraph" w:styleId="20">
    <w:name w:val="Body Text First Indent 2"/>
    <w:basedOn w:val="7"/>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hint="eastAsia"/>
      <w:b/>
      <w:bCs/>
    </w:rPr>
  </w:style>
  <w:style w:type="character" w:styleId="25">
    <w:name w:val="FollowedHyperlink"/>
    <w:basedOn w:val="23"/>
    <w:qFormat/>
    <w:uiPriority w:val="0"/>
    <w:rPr>
      <w:color w:val="333333"/>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333333"/>
      <w:u w:val="non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99"/>
    <w:rPr>
      <w:sz w:val="21"/>
      <w:szCs w:val="21"/>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vanish/>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首行缩进"/>
    <w:basedOn w:val="40"/>
    <w:qFormat/>
    <w:uiPriority w:val="0"/>
    <w:pPr>
      <w:spacing w:line="360" w:lineRule="auto"/>
      <w:ind w:firstLine="480" w:firstLineChars="200"/>
    </w:pPr>
    <w:rPr>
      <w:rFonts w:eastAsia="黑体"/>
      <w:sz w:val="24"/>
      <w:szCs w:val="22"/>
      <w:lang w:val="zh-CN"/>
    </w:rPr>
  </w:style>
  <w:style w:type="paragraph" w:customStyle="1" w:styleId="40">
    <w:name w:val="Normal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表格文字"/>
    <w:basedOn w:val="1"/>
    <w:next w:val="6"/>
    <w:qFormat/>
    <w:uiPriority w:val="0"/>
    <w:pPr>
      <w:adjustRightInd w:val="0"/>
      <w:spacing w:line="420" w:lineRule="atLeast"/>
      <w:jc w:val="left"/>
      <w:textAlignment w:val="baseline"/>
    </w:pPr>
    <w:rPr>
      <w:kern w:val="0"/>
      <w:szCs w:val="20"/>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styleId="43">
    <w:name w:val="List Paragraph"/>
    <w:basedOn w:val="1"/>
    <w:qFormat/>
    <w:uiPriority w:val="34"/>
    <w:pPr>
      <w:widowControl w:val="0"/>
      <w:ind w:firstLine="420" w:firstLineChars="200"/>
      <w:jc w:val="both"/>
    </w:pPr>
    <w:rPr>
      <w:kern w:val="2"/>
      <w:sz w:val="21"/>
      <w:szCs w:val="21"/>
    </w:rPr>
  </w:style>
  <w:style w:type="character" w:customStyle="1" w:styleId="44">
    <w:name w:val="font21"/>
    <w:basedOn w:val="23"/>
    <w:qFormat/>
    <w:uiPriority w:val="0"/>
    <w:rPr>
      <w:rFonts w:hint="eastAsia" w:ascii="宋体" w:hAnsi="宋体" w:eastAsia="宋体" w:cs="宋体"/>
      <w:color w:val="FF0000"/>
      <w:sz w:val="20"/>
      <w:szCs w:val="20"/>
      <w:u w:val="none"/>
    </w:rPr>
  </w:style>
  <w:style w:type="character" w:customStyle="1" w:styleId="45">
    <w:name w:val="font41"/>
    <w:basedOn w:val="23"/>
    <w:qFormat/>
    <w:uiPriority w:val="0"/>
    <w:rPr>
      <w:rFonts w:hint="eastAsia" w:ascii="宋体" w:hAnsi="宋体" w:eastAsia="宋体" w:cs="宋体"/>
      <w:color w:val="000000"/>
      <w:sz w:val="18"/>
      <w:szCs w:val="18"/>
      <w:u w:val="none"/>
    </w:rPr>
  </w:style>
  <w:style w:type="character" w:customStyle="1" w:styleId="46">
    <w:name w:val="font31"/>
    <w:basedOn w:val="23"/>
    <w:qFormat/>
    <w:uiPriority w:val="0"/>
    <w:rPr>
      <w:rFonts w:hint="eastAsia" w:ascii="宋体" w:hAnsi="宋体" w:eastAsia="宋体" w:cs="宋体"/>
      <w:color w:val="000000"/>
      <w:sz w:val="20"/>
      <w:szCs w:val="20"/>
      <w:u w:val="none"/>
    </w:rPr>
  </w:style>
  <w:style w:type="paragraph" w:customStyle="1" w:styleId="4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7"/>
    <w:qFormat/>
    <w:uiPriority w:val="0"/>
    <w:rPr>
      <w:rFonts w:ascii="Times New Roman" w:hAnsi="Times New Roman" w:eastAsia="宋体" w:cs="Times New Roman"/>
      <w:sz w:val="21"/>
      <w:lang w:val="en-US" w:eastAsia="zh-CN" w:bidi="ar-SA"/>
    </w:rPr>
  </w:style>
  <w:style w:type="paragraph" w:customStyle="1" w:styleId="49">
    <w:name w:val="Table Paragraph"/>
    <w:basedOn w:val="1"/>
    <w:qFormat/>
    <w:uiPriority w:val="1"/>
    <w:rPr>
      <w:rFonts w:ascii="宋体" w:hAnsi="宋体" w:eastAsia="宋体" w:cs="宋体"/>
      <w:lang w:val="zh-CN" w:bidi="zh-CN"/>
    </w:rPr>
  </w:style>
  <w:style w:type="character" w:customStyle="1" w:styleId="50">
    <w:name w:val="layui-laypage-curr"/>
    <w:basedOn w:val="23"/>
    <w:qFormat/>
    <w:uiPriority w:val="0"/>
  </w:style>
  <w:style w:type="character" w:customStyle="1" w:styleId="51">
    <w:name w:val="bsharetext"/>
    <w:basedOn w:val="23"/>
    <w:qFormat/>
    <w:uiPriority w:val="0"/>
  </w:style>
  <w:style w:type="character" w:customStyle="1" w:styleId="52">
    <w:name w:val="font51"/>
    <w:basedOn w:val="23"/>
    <w:qFormat/>
    <w:uiPriority w:val="0"/>
    <w:rPr>
      <w:rFonts w:hint="eastAsia" w:ascii="宋体" w:hAnsi="宋体" w:eastAsia="宋体" w:cs="宋体"/>
      <w:color w:val="000000"/>
      <w:sz w:val="20"/>
      <w:szCs w:val="20"/>
      <w:u w:val="none"/>
    </w:rPr>
  </w:style>
  <w:style w:type="character" w:customStyle="1" w:styleId="53">
    <w:name w:val="font61"/>
    <w:basedOn w:val="23"/>
    <w:qFormat/>
    <w:uiPriority w:val="0"/>
    <w:rPr>
      <w:rFonts w:hint="default" w:ascii="Times New Roman" w:hAnsi="Times New Roman" w:cs="Times New Roman"/>
      <w:color w:val="000000"/>
      <w:sz w:val="20"/>
      <w:szCs w:val="20"/>
      <w:u w:val="none"/>
    </w:rPr>
  </w:style>
  <w:style w:type="paragraph" w:customStyle="1" w:styleId="54">
    <w:name w:val="列出段落1"/>
    <w:basedOn w:val="1"/>
    <w:qFormat/>
    <w:uiPriority w:val="0"/>
    <w:pPr>
      <w:ind w:firstLine="420" w:firstLineChars="200"/>
    </w:pPr>
    <w:rPr>
      <w:szCs w:val="21"/>
    </w:rPr>
  </w:style>
  <w:style w:type="character" w:customStyle="1" w:styleId="55">
    <w:name w:val="font81"/>
    <w:basedOn w:val="23"/>
    <w:qFormat/>
    <w:uiPriority w:val="0"/>
    <w:rPr>
      <w:rFonts w:hint="default" w:ascii="Times New Roman" w:hAnsi="Times New Roman" w:cs="Times New Roman"/>
      <w:color w:val="000000"/>
      <w:sz w:val="12"/>
      <w:szCs w:val="12"/>
      <w:u w:val="none"/>
    </w:rPr>
  </w:style>
  <w:style w:type="character" w:customStyle="1" w:styleId="56">
    <w:name w:val="font71"/>
    <w:basedOn w:val="23"/>
    <w:qFormat/>
    <w:uiPriority w:val="0"/>
    <w:rPr>
      <w:rFonts w:hint="eastAsia" w:ascii="宋体" w:hAnsi="宋体" w:eastAsia="宋体" w:cs="宋体"/>
      <w:color w:val="000000"/>
      <w:sz w:val="12"/>
      <w:szCs w:val="12"/>
      <w:u w:val="none"/>
    </w:rPr>
  </w:style>
  <w:style w:type="character" w:customStyle="1" w:styleId="57">
    <w:name w:val="font91"/>
    <w:basedOn w:val="23"/>
    <w:qFormat/>
    <w:uiPriority w:val="0"/>
    <w:rPr>
      <w:rFonts w:hint="eastAsia" w:ascii="宋体" w:hAnsi="宋体" w:eastAsia="宋体" w:cs="宋体"/>
      <w:b/>
      <w:bCs/>
      <w:color w:val="000000"/>
      <w:sz w:val="12"/>
      <w:szCs w:val="12"/>
      <w:u w:val="none"/>
    </w:rPr>
  </w:style>
  <w:style w:type="character" w:customStyle="1" w:styleId="58">
    <w:name w:val="font101"/>
    <w:basedOn w:val="23"/>
    <w:qFormat/>
    <w:uiPriority w:val="0"/>
    <w:rPr>
      <w:rFonts w:hint="default" w:ascii="Times New Roman" w:hAnsi="Times New Roman" w:cs="Times New Roman"/>
      <w:b/>
      <w:bCs/>
      <w:color w:val="000000"/>
      <w:sz w:val="12"/>
      <w:szCs w:val="12"/>
      <w:u w:val="none"/>
    </w:rPr>
  </w:style>
  <w:style w:type="character" w:customStyle="1" w:styleId="59">
    <w:name w:val="font111"/>
    <w:basedOn w:val="23"/>
    <w:qFormat/>
    <w:uiPriority w:val="0"/>
    <w:rPr>
      <w:rFonts w:hint="default" w:ascii="Times New Roman" w:hAnsi="Times New Roman" w:cs="Times New Roman"/>
      <w:color w:val="000000"/>
      <w:sz w:val="20"/>
      <w:szCs w:val="20"/>
      <w:u w:val="none"/>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Table Text"/>
    <w:basedOn w:val="1"/>
    <w:semiHidden/>
    <w:qFormat/>
    <w:uiPriority w:val="0"/>
    <w:rPr>
      <w:rFonts w:ascii="宋体" w:hAnsi="宋体" w:eastAsia="宋体" w:cs="宋体"/>
      <w:sz w:val="21"/>
      <w:szCs w:val="21"/>
      <w:lang w:val="en-US" w:eastAsia="en-US" w:bidi="ar-SA"/>
    </w:rPr>
  </w:style>
  <w:style w:type="paragraph" w:customStyle="1" w:styleId="62">
    <w:name w:val="列表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2033</Words>
  <Characters>2352</Characters>
  <TotalTime>63</TotalTime>
  <ScaleCrop>false</ScaleCrop>
  <LinksUpToDate>false</LinksUpToDate>
  <CharactersWithSpaces>2428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2022-06-08T17:03:00Z</dcterms:created>
  <dc:creator>zxf</dc:creator>
  <cp:lastModifiedBy>Administrator</cp:lastModifiedBy>
  <dcterms:modified xsi:type="dcterms:W3CDTF">2025-06-27T06:40:32Z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2022-06-09T15:13:04Z</vt:filetime>
  </property>
  <property fmtid="{D5CDD505-2E9C-101B-9397-08002B2CF9AE}" pid="4" name="KSOProductBuildVer">
    <vt:lpwstr>2052-12.1.0.21915</vt:lpwstr>
  </property>
  <property fmtid="{D5CDD505-2E9C-101B-9397-08002B2CF9AE}" pid="5" name="ICV">
    <vt:lpwstr>AC82FFB436264C2D9ABB4F9A1A29197B_13</vt:lpwstr>
  </property>
  <property fmtid="{D5CDD505-2E9C-101B-9397-08002B2CF9AE}" pid="6" name="KSOTemplateDocerSaveRecord">
    <vt:lpwstr>eyJoZGlkIjoiOTE5ODBkY2IzNDkzMTBjZjU3NzczYmEyOGM5YzZmYWYiLCJ1c2VySWQiOiIzMDg1NjkxNTEifQ==</vt:lpwstr>
  </property>
</Properties>
</file>