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F236F">
      <w:pPr>
        <w:jc w:val="center"/>
        <w:rPr>
          <w:rFonts w:hint="eastAsia"/>
          <w:b/>
          <w:bCs/>
          <w:sz w:val="24"/>
          <w:szCs w:val="24"/>
          <w:highlight w:val="none"/>
        </w:rPr>
      </w:pPr>
    </w:p>
    <w:p w14:paraId="627C3300">
      <w:pPr>
        <w:jc w:val="center"/>
        <w:rPr>
          <w:rFonts w:hint="eastAsia" w:eastAsia="宋体"/>
          <w:b/>
          <w:bCs/>
          <w:sz w:val="24"/>
          <w:szCs w:val="24"/>
          <w:highlight w:val="none"/>
          <w:lang w:eastAsia="zh-CN"/>
        </w:rPr>
      </w:pPr>
      <w:r>
        <w:rPr>
          <w:rFonts w:hint="eastAsia" w:eastAsia="宋体"/>
          <w:b/>
          <w:bCs/>
          <w:sz w:val="36"/>
          <w:szCs w:val="36"/>
          <w:highlight w:val="none"/>
          <w:lang w:eastAsia="zh-CN"/>
        </w:rPr>
        <w:t>长春北湖科技开发区北部污水处理厂污泥</w:t>
      </w:r>
      <w:bookmarkStart w:id="411" w:name="_GoBack"/>
      <w:bookmarkEnd w:id="411"/>
      <w:r>
        <w:rPr>
          <w:rFonts w:hint="eastAsia" w:eastAsia="宋体"/>
          <w:b/>
          <w:bCs/>
          <w:sz w:val="36"/>
          <w:szCs w:val="36"/>
          <w:highlight w:val="none"/>
          <w:lang w:eastAsia="zh-CN"/>
        </w:rPr>
        <w:t>处置项目</w:t>
      </w:r>
    </w:p>
    <w:p w14:paraId="08B55147">
      <w:pPr>
        <w:pStyle w:val="24"/>
        <w:rPr>
          <w:rFonts w:hint="eastAsia"/>
          <w:b/>
          <w:bCs/>
          <w:sz w:val="24"/>
          <w:szCs w:val="24"/>
          <w:highlight w:val="none"/>
        </w:rPr>
      </w:pPr>
    </w:p>
    <w:p w14:paraId="3EBE1917">
      <w:pPr>
        <w:pStyle w:val="24"/>
        <w:rPr>
          <w:rFonts w:hint="eastAsia"/>
          <w:b/>
          <w:bCs/>
          <w:sz w:val="24"/>
          <w:szCs w:val="24"/>
          <w:highlight w:val="none"/>
        </w:rPr>
      </w:pPr>
    </w:p>
    <w:p w14:paraId="0E2F95F7">
      <w:pPr>
        <w:pStyle w:val="24"/>
        <w:rPr>
          <w:rFonts w:hint="eastAsia"/>
          <w:b/>
          <w:bCs/>
          <w:sz w:val="24"/>
          <w:szCs w:val="24"/>
          <w:highlight w:val="none"/>
        </w:rPr>
      </w:pPr>
    </w:p>
    <w:p w14:paraId="21BCCCA0">
      <w:pPr>
        <w:pStyle w:val="24"/>
        <w:rPr>
          <w:rFonts w:hint="eastAsia"/>
          <w:b/>
          <w:bCs/>
          <w:sz w:val="24"/>
          <w:szCs w:val="24"/>
          <w:highlight w:val="none"/>
        </w:rPr>
      </w:pPr>
    </w:p>
    <w:p w14:paraId="39DAE9DF">
      <w:pPr>
        <w:pStyle w:val="24"/>
        <w:rPr>
          <w:rFonts w:hint="eastAsia"/>
          <w:b/>
          <w:bCs/>
          <w:sz w:val="24"/>
          <w:szCs w:val="24"/>
          <w:highlight w:val="none"/>
        </w:rPr>
      </w:pPr>
    </w:p>
    <w:p w14:paraId="5B2181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b/>
          <w:bCs/>
          <w:sz w:val="24"/>
          <w:szCs w:val="24"/>
          <w:highlight w:val="none"/>
          <w:lang w:val="en-US" w:eastAsia="zh-CN"/>
        </w:rPr>
      </w:pPr>
      <w:r>
        <w:rPr>
          <w:rFonts w:hint="eastAsia"/>
          <w:b/>
          <w:bCs/>
          <w:sz w:val="84"/>
          <w:szCs w:val="84"/>
          <w:highlight w:val="none"/>
          <w:lang w:val="en-US" w:eastAsia="zh-CN"/>
        </w:rPr>
        <w:t>采 购 文 件</w:t>
      </w:r>
    </w:p>
    <w:p w14:paraId="1C9312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bCs/>
          <w:caps w:val="0"/>
          <w:color w:val="000000"/>
          <w:sz w:val="28"/>
          <w:szCs w:val="28"/>
          <w:highlight w:val="none"/>
          <w:vertAlign w:val="baseline"/>
          <w:lang w:val="en-US"/>
        </w:rPr>
      </w:pPr>
      <w:r>
        <w:rPr>
          <w:rFonts w:hint="eastAsia" w:ascii="宋体" w:hAnsi="宋体" w:eastAsia="宋体" w:cs="宋体"/>
          <w:b/>
          <w:bCs/>
          <w:caps w:val="0"/>
          <w:color w:val="000000"/>
          <w:kern w:val="0"/>
          <w:sz w:val="28"/>
          <w:szCs w:val="28"/>
          <w:highlight w:val="none"/>
          <w:vertAlign w:val="baseline"/>
          <w:lang w:val="en-US" w:eastAsia="zh-CN" w:bidi="ar"/>
        </w:rPr>
        <w:t>项目编号：</w:t>
      </w:r>
      <w:bookmarkStart w:id="0" w:name="_Hlk64874388"/>
      <w:bookmarkEnd w:id="0"/>
      <w:r>
        <w:rPr>
          <w:rFonts w:hint="eastAsia" w:ascii="宋体" w:hAnsi="宋体" w:cs="宋体"/>
          <w:b/>
          <w:bCs/>
          <w:caps w:val="0"/>
          <w:color w:val="000000"/>
          <w:kern w:val="0"/>
          <w:sz w:val="28"/>
          <w:szCs w:val="28"/>
          <w:highlight w:val="none"/>
          <w:vertAlign w:val="baseline"/>
          <w:lang w:val="en-US" w:eastAsia="zh-CN" w:bidi="ar"/>
        </w:rPr>
        <w:t>BQZCWT2025-015</w:t>
      </w:r>
    </w:p>
    <w:p w14:paraId="1366F3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黑体" w:hAnsi="宋体" w:eastAsia="黑体" w:cs="黑体"/>
          <w:b/>
          <w:bCs/>
          <w:caps w:val="0"/>
          <w:color w:val="000000"/>
          <w:sz w:val="28"/>
          <w:szCs w:val="28"/>
          <w:highlight w:val="none"/>
          <w:vertAlign w:val="baseline"/>
        </w:rPr>
      </w:pPr>
    </w:p>
    <w:p w14:paraId="661825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p>
    <w:p w14:paraId="44158E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p>
    <w:p w14:paraId="3DA478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p>
    <w:p w14:paraId="0967F7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28"/>
          <w:szCs w:val="28"/>
          <w:highlight w:val="none"/>
          <w:vertAlign w:val="baseline"/>
        </w:rPr>
      </w:pPr>
    </w:p>
    <w:p w14:paraId="5E6A7061">
      <w:pPr>
        <w:pStyle w:val="16"/>
        <w:rPr>
          <w:rFonts w:hint="eastAsia" w:ascii="宋体" w:hAnsi="宋体" w:eastAsia="宋体" w:cs="宋体"/>
          <w:caps w:val="0"/>
          <w:color w:val="000000"/>
          <w:sz w:val="28"/>
          <w:szCs w:val="28"/>
          <w:highlight w:val="none"/>
          <w:vertAlign w:val="baseline"/>
        </w:rPr>
      </w:pPr>
    </w:p>
    <w:p w14:paraId="65C81324">
      <w:pPr>
        <w:rPr>
          <w:rFonts w:hint="eastAsia"/>
          <w:highlight w:val="none"/>
        </w:rPr>
      </w:pPr>
    </w:p>
    <w:p w14:paraId="1EA7B25D">
      <w:pPr>
        <w:pStyle w:val="16"/>
        <w:rPr>
          <w:rFonts w:hint="eastAsia"/>
          <w:highlight w:val="none"/>
        </w:rPr>
      </w:pPr>
    </w:p>
    <w:p w14:paraId="7BB95F4C">
      <w:pPr>
        <w:rPr>
          <w:rFonts w:hint="eastAsia"/>
          <w:highlight w:val="none"/>
        </w:rPr>
      </w:pPr>
    </w:p>
    <w:p w14:paraId="24DB7D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left"/>
        <w:outlineLvl w:val="9"/>
        <w:rPr>
          <w:rFonts w:hint="eastAsia" w:ascii="宋体" w:hAnsi="宋体" w:cs="宋体"/>
          <w:b/>
          <w:bCs/>
          <w:caps w:val="0"/>
          <w:color w:val="000000"/>
          <w:kern w:val="0"/>
          <w:sz w:val="28"/>
          <w:szCs w:val="28"/>
          <w:highlight w:val="none"/>
          <w:vertAlign w:val="baseline"/>
          <w:lang w:val="en-US" w:eastAsia="zh-CN" w:bidi="ar"/>
        </w:rPr>
      </w:pPr>
    </w:p>
    <w:p w14:paraId="554BC8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left"/>
        <w:outlineLvl w:val="9"/>
        <w:rPr>
          <w:rFonts w:hint="eastAsia" w:ascii="宋体" w:hAnsi="宋体" w:eastAsia="宋体" w:cs="宋体"/>
          <w:b/>
          <w:bCs/>
          <w:caps w:val="0"/>
          <w:color w:val="000000"/>
          <w:sz w:val="28"/>
          <w:szCs w:val="28"/>
          <w:highlight w:val="none"/>
          <w:u w:val="single"/>
          <w:vertAlign w:val="baseline"/>
        </w:rPr>
      </w:pPr>
      <w:r>
        <w:rPr>
          <w:rFonts w:hint="eastAsia" w:ascii="宋体" w:hAnsi="宋体" w:cs="宋体"/>
          <w:b/>
          <w:bCs/>
          <w:caps w:val="0"/>
          <w:color w:val="000000"/>
          <w:kern w:val="0"/>
          <w:sz w:val="28"/>
          <w:szCs w:val="28"/>
          <w:highlight w:val="none"/>
          <w:vertAlign w:val="baseline"/>
          <w:lang w:val="en-US" w:eastAsia="zh-CN" w:bidi="ar"/>
        </w:rPr>
        <w:t>采   购</w:t>
      </w:r>
      <w:r>
        <w:rPr>
          <w:rFonts w:hint="eastAsia" w:ascii="宋体" w:hAnsi="宋体" w:eastAsia="宋体" w:cs="宋体"/>
          <w:b/>
          <w:bCs/>
          <w:caps w:val="0"/>
          <w:color w:val="000000"/>
          <w:kern w:val="0"/>
          <w:sz w:val="28"/>
          <w:szCs w:val="28"/>
          <w:highlight w:val="none"/>
          <w:vertAlign w:val="baseline"/>
          <w:lang w:val="en-US" w:eastAsia="zh-CN" w:bidi="ar"/>
        </w:rPr>
        <w:t xml:space="preserve">   人：</w:t>
      </w:r>
      <w:r>
        <w:rPr>
          <w:rFonts w:hint="eastAsia" w:ascii="宋体" w:hAnsi="宋体" w:cs="宋体"/>
          <w:b/>
          <w:bCs/>
          <w:caps w:val="0"/>
          <w:color w:val="000000"/>
          <w:kern w:val="0"/>
          <w:sz w:val="28"/>
          <w:szCs w:val="28"/>
          <w:highlight w:val="none"/>
          <w:vertAlign w:val="baseline"/>
          <w:lang w:val="en-US" w:eastAsia="zh-CN" w:bidi="ar"/>
        </w:rPr>
        <w:t>长春北湖科技开发区管理委员会</w:t>
      </w:r>
    </w:p>
    <w:p w14:paraId="42F42D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left"/>
        <w:outlineLvl w:val="9"/>
        <w:rPr>
          <w:rFonts w:hint="eastAsia"/>
          <w:sz w:val="28"/>
          <w:szCs w:val="28"/>
          <w:highlight w:val="none"/>
        </w:rPr>
      </w:pPr>
      <w:r>
        <w:rPr>
          <w:rFonts w:hint="eastAsia" w:ascii="宋体" w:hAnsi="宋体" w:cs="宋体"/>
          <w:b/>
          <w:bCs/>
          <w:caps w:val="0"/>
          <w:color w:val="000000"/>
          <w:kern w:val="0"/>
          <w:sz w:val="28"/>
          <w:szCs w:val="28"/>
          <w:highlight w:val="none"/>
          <w:vertAlign w:val="baseline"/>
          <w:lang w:val="en-US" w:eastAsia="zh-CN" w:bidi="ar"/>
        </w:rPr>
        <w:t>采购</w:t>
      </w:r>
      <w:r>
        <w:rPr>
          <w:rFonts w:hint="eastAsia" w:ascii="宋体" w:hAnsi="宋体" w:eastAsia="宋体" w:cs="宋体"/>
          <w:b/>
          <w:bCs/>
          <w:caps w:val="0"/>
          <w:color w:val="000000"/>
          <w:kern w:val="0"/>
          <w:sz w:val="28"/>
          <w:szCs w:val="28"/>
          <w:highlight w:val="none"/>
          <w:vertAlign w:val="baseline"/>
          <w:lang w:val="en-US" w:eastAsia="zh-CN" w:bidi="ar"/>
        </w:rPr>
        <w:t>代理机构：天宇工程咨询有限公司</w:t>
      </w:r>
    </w:p>
    <w:p w14:paraId="708AD7DE">
      <w:pPr>
        <w:pStyle w:val="24"/>
        <w:ind w:left="0" w:leftChars="0" w:firstLine="0" w:firstLineChars="0"/>
        <w:jc w:val="both"/>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日     期：</w:t>
      </w:r>
      <w:r>
        <w:rPr>
          <w:rFonts w:hint="eastAsia" w:cs="宋体"/>
          <w:b/>
          <w:bCs/>
          <w:caps w:val="0"/>
          <w:color w:val="000000"/>
          <w:kern w:val="0"/>
          <w:sz w:val="28"/>
          <w:szCs w:val="28"/>
          <w:highlight w:val="none"/>
          <w:vertAlign w:val="baseline"/>
          <w:lang w:val="en-US" w:eastAsia="zh-CN" w:bidi="ar"/>
        </w:rPr>
        <w:t>2025</w:t>
      </w:r>
      <w:r>
        <w:rPr>
          <w:rFonts w:hint="eastAsia" w:ascii="宋体" w:hAnsi="宋体" w:eastAsia="宋体" w:cs="宋体"/>
          <w:b/>
          <w:bCs/>
          <w:caps w:val="0"/>
          <w:color w:val="000000"/>
          <w:kern w:val="0"/>
          <w:sz w:val="28"/>
          <w:szCs w:val="28"/>
          <w:highlight w:val="none"/>
          <w:vertAlign w:val="baseline"/>
          <w:lang w:val="en-US" w:eastAsia="zh-CN" w:bidi="ar"/>
        </w:rPr>
        <w:t>年</w:t>
      </w:r>
      <w:r>
        <w:rPr>
          <w:rFonts w:hint="eastAsia" w:cs="宋体"/>
          <w:b/>
          <w:bCs/>
          <w:caps w:val="0"/>
          <w:color w:val="000000"/>
          <w:kern w:val="0"/>
          <w:sz w:val="28"/>
          <w:szCs w:val="28"/>
          <w:highlight w:val="none"/>
          <w:vertAlign w:val="baseline"/>
          <w:lang w:val="en-US" w:eastAsia="zh-CN" w:bidi="ar"/>
        </w:rPr>
        <w:t>7</w:t>
      </w:r>
      <w:r>
        <w:rPr>
          <w:rFonts w:hint="eastAsia" w:ascii="宋体" w:hAnsi="宋体" w:eastAsia="宋体" w:cs="宋体"/>
          <w:b/>
          <w:bCs/>
          <w:caps w:val="0"/>
          <w:color w:val="000000"/>
          <w:kern w:val="0"/>
          <w:sz w:val="28"/>
          <w:szCs w:val="28"/>
          <w:highlight w:val="none"/>
          <w:vertAlign w:val="baseline"/>
          <w:lang w:val="en-US" w:eastAsia="zh-CN" w:bidi="ar"/>
        </w:rPr>
        <w:t>月</w:t>
      </w:r>
    </w:p>
    <w:p w14:paraId="2666EA3C">
      <w:pPr>
        <w:pStyle w:val="24"/>
        <w:ind w:left="0" w:leftChars="0" w:firstLine="0" w:firstLineChars="0"/>
        <w:jc w:val="both"/>
        <w:rPr>
          <w:rFonts w:hint="eastAsia" w:ascii="宋体" w:hAnsi="宋体" w:eastAsia="宋体" w:cs="宋体"/>
          <w:b/>
          <w:bCs/>
          <w:caps w:val="0"/>
          <w:color w:val="000000"/>
          <w:kern w:val="0"/>
          <w:sz w:val="28"/>
          <w:szCs w:val="28"/>
          <w:highlight w:val="none"/>
          <w:vertAlign w:val="baseline"/>
          <w:lang w:val="en-US" w:eastAsia="zh-CN" w:bidi="ar"/>
        </w:rPr>
      </w:pPr>
    </w:p>
    <w:p w14:paraId="1F24783C">
      <w:pPr>
        <w:pStyle w:val="24"/>
        <w:ind w:left="0" w:leftChars="0" w:firstLine="0" w:firstLineChars="0"/>
        <w:jc w:val="center"/>
        <w:rPr>
          <w:rFonts w:hint="eastAsia" w:cs="宋体"/>
          <w:b/>
          <w:bCs/>
          <w:caps w:val="0"/>
          <w:color w:val="000000"/>
          <w:kern w:val="0"/>
          <w:sz w:val="36"/>
          <w:szCs w:val="36"/>
          <w:highlight w:val="none"/>
          <w:vertAlign w:val="baseline"/>
          <w:lang w:val="en-US" w:eastAsia="zh-CN" w:bidi="ar"/>
        </w:rPr>
      </w:pPr>
      <w:r>
        <w:rPr>
          <w:rFonts w:hint="eastAsia" w:cs="宋体"/>
          <w:b/>
          <w:bCs/>
          <w:caps w:val="0"/>
          <w:color w:val="000000"/>
          <w:kern w:val="0"/>
          <w:sz w:val="36"/>
          <w:szCs w:val="36"/>
          <w:highlight w:val="none"/>
          <w:vertAlign w:val="baseline"/>
          <w:lang w:val="en-US" w:eastAsia="zh-CN" w:bidi="ar"/>
        </w:rPr>
        <w:t>目   录</w:t>
      </w:r>
    </w:p>
    <w:p w14:paraId="7F2DF7F7">
      <w:pPr>
        <w:pStyle w:val="24"/>
        <w:ind w:left="0" w:leftChars="0" w:firstLine="0" w:firstLineChars="0"/>
        <w:jc w:val="center"/>
        <w:rPr>
          <w:rFonts w:hint="eastAsia" w:cs="宋体"/>
          <w:b/>
          <w:bCs/>
          <w:caps w:val="0"/>
          <w:color w:val="000000"/>
          <w:kern w:val="0"/>
          <w:sz w:val="36"/>
          <w:szCs w:val="36"/>
          <w:highlight w:val="none"/>
          <w:vertAlign w:val="baseline"/>
          <w:lang w:val="en-US" w:eastAsia="zh-CN" w:bidi="ar"/>
        </w:rPr>
      </w:pPr>
    </w:p>
    <w:p w14:paraId="7C9866EC">
      <w:pPr>
        <w:pStyle w:val="24"/>
        <w:numPr>
          <w:ilvl w:val="0"/>
          <w:numId w:val="2"/>
        </w:numPr>
        <w:ind w:left="0" w:leftChars="0" w:firstLine="0" w:firstLineChars="0"/>
        <w:jc w:val="both"/>
        <w:rPr>
          <w:rFonts w:hint="eastAsia" w:cs="宋体"/>
          <w:b w:val="0"/>
          <w:bCs w:val="0"/>
          <w:caps w:val="0"/>
          <w:color w:val="000000"/>
          <w:kern w:val="0"/>
          <w:sz w:val="21"/>
          <w:szCs w:val="21"/>
          <w:highlight w:val="none"/>
          <w:vertAlign w:val="baseline"/>
          <w:lang w:val="en-US" w:eastAsia="zh-CN" w:bidi="ar"/>
        </w:rPr>
      </w:pPr>
      <w:r>
        <w:rPr>
          <w:rFonts w:hint="eastAsia" w:cs="宋体"/>
          <w:b w:val="0"/>
          <w:bCs w:val="0"/>
          <w:caps w:val="0"/>
          <w:color w:val="000000"/>
          <w:kern w:val="0"/>
          <w:sz w:val="21"/>
          <w:szCs w:val="21"/>
          <w:highlight w:val="none"/>
          <w:vertAlign w:val="baseline"/>
          <w:lang w:val="en-US" w:eastAsia="zh-CN" w:bidi="ar"/>
        </w:rPr>
        <w:t>招标公告..................................................................3</w:t>
      </w:r>
    </w:p>
    <w:p w14:paraId="7A002820">
      <w:pPr>
        <w:pStyle w:val="24"/>
        <w:numPr>
          <w:ilvl w:val="0"/>
          <w:numId w:val="2"/>
        </w:numPr>
        <w:ind w:left="0" w:leftChars="0" w:firstLine="0" w:firstLineChars="0"/>
        <w:jc w:val="both"/>
        <w:rPr>
          <w:rFonts w:hint="default" w:cs="宋体"/>
          <w:b w:val="0"/>
          <w:bCs w:val="0"/>
          <w:caps w:val="0"/>
          <w:color w:val="000000"/>
          <w:kern w:val="0"/>
          <w:sz w:val="21"/>
          <w:szCs w:val="21"/>
          <w:highlight w:val="none"/>
          <w:vertAlign w:val="baseline"/>
          <w:lang w:val="en-US" w:eastAsia="zh-CN" w:bidi="ar"/>
        </w:rPr>
      </w:pPr>
      <w:r>
        <w:rPr>
          <w:rFonts w:hint="eastAsia" w:cs="宋体"/>
          <w:b w:val="0"/>
          <w:bCs w:val="0"/>
          <w:caps w:val="0"/>
          <w:color w:val="000000"/>
          <w:kern w:val="0"/>
          <w:sz w:val="21"/>
          <w:szCs w:val="21"/>
          <w:highlight w:val="none"/>
          <w:vertAlign w:val="baseline"/>
          <w:lang w:val="en-US" w:eastAsia="zh-CN" w:bidi="ar"/>
        </w:rPr>
        <w:t>供应商须知................................................................7</w:t>
      </w:r>
    </w:p>
    <w:p w14:paraId="2067A8E5">
      <w:pPr>
        <w:pStyle w:val="24"/>
        <w:numPr>
          <w:ilvl w:val="0"/>
          <w:numId w:val="2"/>
        </w:numPr>
        <w:ind w:left="0" w:leftChars="0" w:firstLine="0" w:firstLineChars="0"/>
        <w:jc w:val="both"/>
        <w:rPr>
          <w:rFonts w:hint="default" w:cs="宋体"/>
          <w:b w:val="0"/>
          <w:bCs w:val="0"/>
          <w:caps w:val="0"/>
          <w:color w:val="000000"/>
          <w:kern w:val="0"/>
          <w:sz w:val="21"/>
          <w:szCs w:val="21"/>
          <w:highlight w:val="none"/>
          <w:vertAlign w:val="baseline"/>
          <w:lang w:val="en-US" w:eastAsia="zh-CN" w:bidi="ar"/>
        </w:rPr>
      </w:pPr>
      <w:r>
        <w:rPr>
          <w:rFonts w:hint="eastAsia" w:cs="宋体"/>
          <w:b w:val="0"/>
          <w:bCs w:val="0"/>
          <w:caps w:val="0"/>
          <w:color w:val="000000"/>
          <w:kern w:val="0"/>
          <w:sz w:val="21"/>
          <w:szCs w:val="21"/>
          <w:highlight w:val="none"/>
          <w:vertAlign w:val="baseline"/>
          <w:lang w:val="en-US" w:eastAsia="zh-CN" w:bidi="ar"/>
        </w:rPr>
        <w:t>评标办法.................................................................22</w:t>
      </w:r>
    </w:p>
    <w:p w14:paraId="38DB259B">
      <w:pPr>
        <w:pStyle w:val="24"/>
        <w:numPr>
          <w:ilvl w:val="0"/>
          <w:numId w:val="2"/>
        </w:numPr>
        <w:ind w:left="0" w:leftChars="0" w:firstLine="0" w:firstLineChars="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合同条款及格式</w:t>
      </w:r>
      <w:r>
        <w:rPr>
          <w:rFonts w:hint="eastAsia" w:cs="宋体"/>
          <w:b w:val="0"/>
          <w:bCs w:val="0"/>
          <w:caps w:val="0"/>
          <w:color w:val="000000"/>
          <w:kern w:val="0"/>
          <w:sz w:val="21"/>
          <w:szCs w:val="21"/>
          <w:highlight w:val="none"/>
          <w:vertAlign w:val="baseline"/>
          <w:lang w:val="en-US" w:eastAsia="zh-CN" w:bidi="ar"/>
        </w:rPr>
        <w:t>...........................................................33</w:t>
      </w:r>
    </w:p>
    <w:p w14:paraId="0E9F1088">
      <w:pPr>
        <w:pStyle w:val="24"/>
        <w:numPr>
          <w:ilvl w:val="0"/>
          <w:numId w:val="2"/>
        </w:numPr>
        <w:ind w:left="0" w:leftChars="0" w:firstLine="0" w:firstLineChars="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采购</w:t>
      </w:r>
      <w:r>
        <w:rPr>
          <w:rFonts w:hint="eastAsia" w:cs="宋体"/>
          <w:b w:val="0"/>
          <w:bCs w:val="0"/>
          <w:caps w:val="0"/>
          <w:color w:val="000000"/>
          <w:kern w:val="0"/>
          <w:sz w:val="21"/>
          <w:szCs w:val="21"/>
          <w:highlight w:val="none"/>
          <w:vertAlign w:val="baseline"/>
          <w:lang w:val="en-US" w:eastAsia="zh-CN" w:bidi="ar"/>
        </w:rPr>
        <w:t>人</w:t>
      </w:r>
      <w:r>
        <w:rPr>
          <w:rFonts w:hint="default" w:cs="宋体"/>
          <w:b w:val="0"/>
          <w:bCs w:val="0"/>
          <w:caps w:val="0"/>
          <w:color w:val="000000"/>
          <w:kern w:val="0"/>
          <w:sz w:val="21"/>
          <w:szCs w:val="21"/>
          <w:highlight w:val="none"/>
          <w:vertAlign w:val="baseline"/>
          <w:lang w:val="en-US" w:eastAsia="zh-CN" w:bidi="ar"/>
        </w:rPr>
        <w:t>需求</w:t>
      </w:r>
      <w:r>
        <w:rPr>
          <w:rFonts w:hint="eastAsia" w:cs="宋体"/>
          <w:b w:val="0"/>
          <w:bCs w:val="0"/>
          <w:caps w:val="0"/>
          <w:color w:val="000000"/>
          <w:kern w:val="0"/>
          <w:sz w:val="21"/>
          <w:szCs w:val="21"/>
          <w:highlight w:val="none"/>
          <w:vertAlign w:val="baseline"/>
          <w:lang w:val="en-US" w:eastAsia="zh-CN" w:bidi="ar"/>
        </w:rPr>
        <w:t>...............................................................40</w:t>
      </w:r>
    </w:p>
    <w:p w14:paraId="1C43E72E">
      <w:pPr>
        <w:pStyle w:val="24"/>
        <w:numPr>
          <w:ilvl w:val="0"/>
          <w:numId w:val="2"/>
        </w:numPr>
        <w:ind w:left="0" w:leftChars="0" w:firstLine="0" w:firstLineChars="0"/>
        <w:jc w:val="both"/>
        <w:rPr>
          <w:rFonts w:hint="default" w:cs="宋体"/>
          <w:b w:val="0"/>
          <w:bCs w:val="0"/>
          <w:caps w:val="0"/>
          <w:color w:val="000000"/>
          <w:kern w:val="0"/>
          <w:sz w:val="21"/>
          <w:szCs w:val="21"/>
          <w:highlight w:val="none"/>
          <w:vertAlign w:val="baseline"/>
          <w:lang w:val="en-US" w:eastAsia="zh-CN" w:bidi="ar"/>
        </w:rPr>
      </w:pPr>
      <w:r>
        <w:rPr>
          <w:rFonts w:hint="eastAsia" w:cs="宋体"/>
          <w:b w:val="0"/>
          <w:bCs w:val="0"/>
          <w:caps w:val="0"/>
          <w:color w:val="000000"/>
          <w:kern w:val="0"/>
          <w:sz w:val="21"/>
          <w:szCs w:val="21"/>
          <w:highlight w:val="none"/>
          <w:vertAlign w:val="baseline"/>
          <w:lang w:val="en-US" w:eastAsia="zh-CN" w:bidi="ar"/>
        </w:rPr>
        <w:t>响应文件格式.............................................................41</w:t>
      </w:r>
    </w:p>
    <w:p w14:paraId="25E47239">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6AF85282">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6713228B">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0BBC8B39">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2BB78C97">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57F7E8CA">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2C204035">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21061E90">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6A7C6F89">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0DC32FEB">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1A8B4A69">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2F595044">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7A798FEE">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6CC7B26D">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5A637413">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6F034561">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059759E7">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40052297">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2D6DB15E">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4E89E66F">
      <w:pPr>
        <w:pStyle w:val="24"/>
        <w:widowControl w:val="0"/>
        <w:numPr>
          <w:ilvl w:val="0"/>
          <w:numId w:val="0"/>
        </w:numPr>
        <w:spacing w:line="500" w:lineRule="exact"/>
        <w:jc w:val="both"/>
        <w:rPr>
          <w:rFonts w:hint="eastAsia" w:cs="宋体"/>
          <w:b/>
          <w:bCs/>
          <w:caps w:val="0"/>
          <w:color w:val="000000"/>
          <w:kern w:val="0"/>
          <w:sz w:val="28"/>
          <w:szCs w:val="28"/>
          <w:highlight w:val="none"/>
          <w:vertAlign w:val="baseline"/>
          <w:lang w:val="en-US" w:eastAsia="zh-CN" w:bidi="ar"/>
        </w:rPr>
      </w:pPr>
    </w:p>
    <w:p w14:paraId="56BFB250">
      <w:pPr>
        <w:pStyle w:val="24"/>
        <w:widowControl w:val="0"/>
        <w:numPr>
          <w:ilvl w:val="0"/>
          <w:numId w:val="0"/>
        </w:numPr>
        <w:spacing w:line="500" w:lineRule="exact"/>
        <w:jc w:val="center"/>
        <w:rPr>
          <w:rFonts w:hint="eastAsia" w:cs="宋体"/>
          <w:b/>
          <w:bCs/>
          <w:caps w:val="0"/>
          <w:color w:val="000000"/>
          <w:kern w:val="0"/>
          <w:sz w:val="32"/>
          <w:szCs w:val="32"/>
          <w:highlight w:val="none"/>
          <w:vertAlign w:val="baseline"/>
          <w:lang w:val="en-US" w:eastAsia="zh-CN" w:bidi="ar"/>
        </w:rPr>
      </w:pPr>
      <w:r>
        <w:rPr>
          <w:rFonts w:hint="eastAsia" w:cs="宋体"/>
          <w:b/>
          <w:bCs/>
          <w:caps w:val="0"/>
          <w:color w:val="000000"/>
          <w:kern w:val="0"/>
          <w:sz w:val="32"/>
          <w:szCs w:val="32"/>
          <w:highlight w:val="none"/>
          <w:vertAlign w:val="baseline"/>
          <w:lang w:val="en-US" w:eastAsia="zh-CN" w:bidi="ar"/>
        </w:rPr>
        <w:t>第一章 招标公告</w:t>
      </w:r>
    </w:p>
    <w:p w14:paraId="262DDF1D">
      <w:pPr>
        <w:pStyle w:val="24"/>
        <w:widowControl w:val="0"/>
        <w:numPr>
          <w:ilvl w:val="0"/>
          <w:numId w:val="0"/>
        </w:numPr>
        <w:spacing w:line="500" w:lineRule="exact"/>
        <w:jc w:val="both"/>
        <w:rPr>
          <w:rFonts w:hint="default" w:cs="宋体"/>
          <w:b/>
          <w:bCs/>
          <w:caps w:val="0"/>
          <w:color w:val="000000"/>
          <w:kern w:val="0"/>
          <w:sz w:val="28"/>
          <w:szCs w:val="28"/>
          <w:highlight w:val="none"/>
          <w:vertAlign w:val="baseline"/>
          <w:lang w:val="en-US" w:eastAsia="zh-CN" w:bidi="ar"/>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BB3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7DF3E98">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项目概况</w:t>
            </w:r>
          </w:p>
          <w:p w14:paraId="7B5103F3">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cs="宋体"/>
                <w:b w:val="0"/>
                <w:bCs w:val="0"/>
                <w:caps w:val="0"/>
                <w:color w:val="000000"/>
                <w:kern w:val="0"/>
                <w:sz w:val="21"/>
                <w:szCs w:val="21"/>
                <w:highlight w:val="none"/>
                <w:u w:val="single"/>
                <w:vertAlign w:val="baseline"/>
                <w:lang w:val="en-US" w:eastAsia="zh-CN" w:bidi="ar"/>
              </w:rPr>
              <w:t>长春北湖科技开发区北部污水处理厂污泥处置项目</w:t>
            </w:r>
            <w:r>
              <w:rPr>
                <w:rFonts w:hint="eastAsia" w:ascii="宋体" w:hAnsi="宋体" w:eastAsia="宋体" w:cs="宋体"/>
                <w:b w:val="0"/>
                <w:bCs w:val="0"/>
                <w:caps w:val="0"/>
                <w:color w:val="000000"/>
                <w:kern w:val="0"/>
                <w:sz w:val="21"/>
                <w:szCs w:val="21"/>
                <w:highlight w:val="none"/>
                <w:vertAlign w:val="baseline"/>
                <w:lang w:val="en-US" w:eastAsia="zh-CN" w:bidi="ar"/>
              </w:rPr>
              <w:t>的潜在供应商</w:t>
            </w:r>
            <w:r>
              <w:rPr>
                <w:rFonts w:hint="eastAsia" w:ascii="宋体" w:hAnsi="宋体" w:eastAsia="宋体" w:cs="宋体"/>
                <w:sz w:val="21"/>
                <w:szCs w:val="21"/>
                <w:highlight w:val="none"/>
              </w:rPr>
              <w:t>应自行登录“政采云”平台（http：//www.zcygov.cn）下载采购文件</w:t>
            </w:r>
            <w:r>
              <w:rPr>
                <w:rFonts w:hint="eastAsia" w:ascii="宋体" w:hAnsi="宋体" w:eastAsia="宋体" w:cs="宋体"/>
                <w:b w:val="0"/>
                <w:bCs w:val="0"/>
                <w:caps w:val="0"/>
                <w:color w:val="000000"/>
                <w:kern w:val="0"/>
                <w:sz w:val="21"/>
                <w:szCs w:val="21"/>
                <w:highlight w:val="none"/>
                <w:vertAlign w:val="baseline"/>
                <w:lang w:val="en-US" w:eastAsia="zh-CN" w:bidi="ar"/>
              </w:rPr>
              <w:t>（操作路径：登录“政采云”平台-项目采购-获取采购文件-找到本项目-点击“申请获取采购文件”）</w:t>
            </w:r>
            <w:r>
              <w:rPr>
                <w:rFonts w:hint="eastAsia" w:ascii="宋体" w:hAnsi="宋体" w:eastAsia="宋体" w:cs="宋体"/>
                <w:sz w:val="21"/>
                <w:szCs w:val="21"/>
                <w:highlight w:val="none"/>
              </w:rPr>
              <w:t>，电子响应文件制作需要基于“政采云”平台获取的采购文件编制。并于2025年0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r>
              <w:rPr>
                <w:rFonts w:hint="eastAsia" w:ascii="宋体" w:hAnsi="宋体" w:eastAsia="宋体" w:cs="宋体"/>
                <w:sz w:val="21"/>
                <w:szCs w:val="21"/>
                <w:highlight w:val="none"/>
              </w:rPr>
              <w:t>（北京时间）前提交响应文件</w:t>
            </w:r>
            <w:r>
              <w:rPr>
                <w:rFonts w:hint="eastAsia" w:ascii="宋体" w:hAnsi="宋体" w:eastAsia="宋体" w:cs="宋体"/>
                <w:b w:val="0"/>
                <w:bCs w:val="0"/>
                <w:caps w:val="0"/>
                <w:color w:val="000000"/>
                <w:kern w:val="0"/>
                <w:sz w:val="21"/>
                <w:szCs w:val="21"/>
                <w:highlight w:val="none"/>
                <w:vertAlign w:val="baseline"/>
                <w:lang w:val="en-US" w:eastAsia="zh-CN" w:bidi="ar"/>
              </w:rPr>
              <w:t>。</w:t>
            </w:r>
          </w:p>
        </w:tc>
      </w:tr>
    </w:tbl>
    <w:p w14:paraId="48000CC7">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left="0" w:right="0" w:firstLine="0"/>
        <w:jc w:val="left"/>
        <w:textAlignment w:val="auto"/>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一、项目基本情况</w:t>
      </w:r>
    </w:p>
    <w:p w14:paraId="2A1344A7">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default" w:ascii="宋体" w:hAnsi="宋体" w:eastAsia="宋体" w:cs="宋体"/>
          <w:caps w:val="0"/>
          <w:color w:val="000000"/>
          <w:sz w:val="21"/>
          <w:szCs w:val="21"/>
          <w:highlight w:val="none"/>
          <w:vertAlign w:val="baseline"/>
          <w:lang w:val="en-US"/>
        </w:rPr>
      </w:pPr>
      <w:r>
        <w:rPr>
          <w:rFonts w:hint="eastAsia" w:ascii="宋体" w:hAnsi="宋体" w:eastAsia="宋体" w:cs="宋体"/>
          <w:b w:val="0"/>
          <w:bCs w:val="0"/>
          <w:caps w:val="0"/>
          <w:color w:val="000000"/>
          <w:kern w:val="0"/>
          <w:sz w:val="21"/>
          <w:szCs w:val="21"/>
          <w:highlight w:val="none"/>
          <w:vertAlign w:val="baseline"/>
          <w:lang w:val="en-US" w:eastAsia="zh-CN" w:bidi="ar"/>
        </w:rPr>
        <w:t>1、项目编号：</w:t>
      </w:r>
      <w:r>
        <w:rPr>
          <w:rFonts w:hint="eastAsia" w:ascii="宋体" w:hAnsi="宋体" w:cs="宋体"/>
          <w:b w:val="0"/>
          <w:bCs w:val="0"/>
          <w:caps w:val="0"/>
          <w:color w:val="000000"/>
          <w:kern w:val="0"/>
          <w:sz w:val="21"/>
          <w:szCs w:val="21"/>
          <w:highlight w:val="none"/>
          <w:vertAlign w:val="baseline"/>
          <w:lang w:val="en-US" w:eastAsia="zh-CN" w:bidi="ar"/>
        </w:rPr>
        <w:t>BQZCWT2025-015</w:t>
      </w:r>
    </w:p>
    <w:p w14:paraId="01B07CE1">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2、项目名称：</w:t>
      </w:r>
      <w:r>
        <w:rPr>
          <w:rFonts w:hint="eastAsia" w:ascii="宋体" w:hAnsi="宋体" w:cs="宋体"/>
          <w:b w:val="0"/>
          <w:bCs w:val="0"/>
          <w:caps w:val="0"/>
          <w:color w:val="000000"/>
          <w:kern w:val="0"/>
          <w:sz w:val="21"/>
          <w:szCs w:val="21"/>
          <w:highlight w:val="none"/>
          <w:vertAlign w:val="baseline"/>
          <w:lang w:val="en-US" w:eastAsia="zh-CN" w:bidi="ar"/>
        </w:rPr>
        <w:t>长春北湖科技开发区北部污水处理厂污泥处置项目</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43FFBDA0">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3、采购方式：公开招标</w:t>
      </w:r>
    </w:p>
    <w:p w14:paraId="0B8D7A36">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4、预算金额：</w:t>
      </w:r>
      <w:r>
        <w:rPr>
          <w:rFonts w:hint="eastAsia" w:ascii="宋体" w:hAnsi="宋体" w:cs="宋体"/>
          <w:b w:val="0"/>
          <w:bCs w:val="0"/>
          <w:caps w:val="0"/>
          <w:color w:val="000000"/>
          <w:kern w:val="0"/>
          <w:sz w:val="21"/>
          <w:szCs w:val="21"/>
          <w:highlight w:val="none"/>
          <w:vertAlign w:val="baseline"/>
          <w:lang w:val="en-US" w:eastAsia="zh-CN" w:bidi="ar"/>
        </w:rPr>
        <w:t>1584万元</w:t>
      </w:r>
    </w:p>
    <w:p w14:paraId="7B929121">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default"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5、最高投标限价：</w:t>
      </w:r>
      <w:r>
        <w:rPr>
          <w:rFonts w:hint="eastAsia" w:ascii="宋体" w:hAnsi="宋体" w:cs="宋体"/>
          <w:b w:val="0"/>
          <w:bCs w:val="0"/>
          <w:caps w:val="0"/>
          <w:color w:val="000000"/>
          <w:kern w:val="0"/>
          <w:sz w:val="21"/>
          <w:szCs w:val="21"/>
          <w:highlight w:val="none"/>
          <w:vertAlign w:val="baseline"/>
          <w:lang w:val="en-US" w:eastAsia="zh-CN" w:bidi="ar"/>
        </w:rPr>
        <w:t>330元/吨</w:t>
      </w:r>
    </w:p>
    <w:p w14:paraId="6A783B63">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6、采购需求：减量化、无害化、资源化转运及处理处置长春北部污水处理厂生产含水率80%及以下的污泥，每天产生量在10—250吨左右（设备检修及故障除外）</w:t>
      </w:r>
      <w:r>
        <w:rPr>
          <w:rFonts w:hint="eastAsia" w:ascii="宋体" w:hAnsi="宋体" w:eastAsia="宋体" w:cs="宋体"/>
          <w:color w:val="auto"/>
          <w:sz w:val="21"/>
          <w:szCs w:val="21"/>
          <w:highlight w:val="none"/>
          <w:u w:val="none"/>
          <w:lang w:val="en-US" w:eastAsia="zh-CN"/>
        </w:rPr>
        <w:t>。污泥处置数量：平均日产量约65吨，计划年产量约为24000吨</w:t>
      </w:r>
      <w:r>
        <w:rPr>
          <w:rFonts w:hint="eastAsia" w:ascii="宋体" w:hAnsi="宋体" w:cs="宋体"/>
          <w:color w:val="auto"/>
          <w:sz w:val="21"/>
          <w:szCs w:val="21"/>
          <w:highlight w:val="none"/>
          <w:u w:val="none"/>
          <w:lang w:val="en-US" w:eastAsia="zh-CN"/>
        </w:rPr>
        <w:t>。</w:t>
      </w:r>
    </w:p>
    <w:p w14:paraId="1FC354E0">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7、合同履行期限</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cs="宋体"/>
          <w:b w:val="0"/>
          <w:bCs w:val="0"/>
          <w:caps w:val="0"/>
          <w:color w:val="000000"/>
          <w:kern w:val="0"/>
          <w:sz w:val="21"/>
          <w:szCs w:val="21"/>
          <w:highlight w:val="none"/>
          <w:vertAlign w:val="baseline"/>
          <w:lang w:val="en-US" w:eastAsia="zh-CN" w:bidi="ar"/>
        </w:rPr>
        <w:t>自签订合同之日起两年</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684E6D97">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en-US" w:eastAsia="zh-CN"/>
        </w:rPr>
        <w:t>质量及验收</w:t>
      </w:r>
      <w:r>
        <w:rPr>
          <w:rFonts w:hint="eastAsia" w:ascii="宋体" w:hAnsi="宋体" w:eastAsia="宋体" w:cs="宋体"/>
          <w:sz w:val="21"/>
          <w:szCs w:val="21"/>
          <w:highlight w:val="none"/>
          <w:lang w:val="en-US" w:eastAsia="zh-CN"/>
        </w:rPr>
        <w:t>标准</w:t>
      </w:r>
      <w:r>
        <w:rPr>
          <w:rFonts w:hint="eastAsia" w:ascii="宋体" w:hAnsi="宋体" w:eastAsia="宋体" w:cs="宋体"/>
          <w:sz w:val="21"/>
          <w:szCs w:val="21"/>
          <w:highlight w:val="none"/>
          <w:lang w:val="en-US" w:eastAsia="zh-CN"/>
        </w:rPr>
        <w:t>：</w:t>
      </w:r>
      <w:r>
        <w:rPr>
          <w:rFonts w:hint="eastAsia" w:ascii="宋体" w:hAnsi="宋体" w:eastAsia="宋体" w:cs="宋体"/>
          <w:b w:val="0"/>
          <w:bCs w:val="0"/>
          <w:caps w:val="0"/>
          <w:color w:val="000000"/>
          <w:kern w:val="0"/>
          <w:sz w:val="21"/>
          <w:szCs w:val="21"/>
          <w:highlight w:val="none"/>
          <w:vertAlign w:val="baseline"/>
          <w:lang w:val="en-US" w:eastAsia="zh-CN" w:bidi="ar"/>
        </w:rPr>
        <w:t>符合国家、地方及行业环保要求</w:t>
      </w:r>
      <w:r>
        <w:rPr>
          <w:rFonts w:hint="eastAsia" w:ascii="宋体" w:hAnsi="宋体" w:eastAsia="宋体" w:cs="宋体"/>
          <w:sz w:val="21"/>
          <w:szCs w:val="21"/>
          <w:highlight w:val="none"/>
        </w:rPr>
        <w:t>。</w:t>
      </w:r>
    </w:p>
    <w:p w14:paraId="6C304239">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aps w:val="0"/>
          <w:snapToGrid/>
          <w:color w:val="auto"/>
          <w:spacing w:val="0"/>
          <w:w w:val="100"/>
          <w:kern w:val="0"/>
          <w:position w:val="0"/>
          <w:sz w:val="21"/>
          <w:szCs w:val="21"/>
          <w:highlight w:val="none"/>
          <w:u w:val="none" w:color="auto"/>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9、本项目</w:t>
      </w:r>
      <w:bookmarkStart w:id="1" w:name="blank35_copy_16296833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接受联合体投标</w:t>
      </w:r>
      <w:bookmarkEnd w:id="1"/>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如为联合体投标，联合体各方应签订联合体协议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明确牵头人及各自分工，联合体各方不得再以自己名义单独参与或参加其他联合体在本项目中的投标，联合体各方共同与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人签订合同</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w:t>
      </w:r>
    </w:p>
    <w:p w14:paraId="76EA308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二、申请人资格要求：</w:t>
      </w:r>
    </w:p>
    <w:p w14:paraId="0048E2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满足《中华人民共和国政府采购法》第二十二条规定</w:t>
      </w:r>
      <w:r>
        <w:rPr>
          <w:rFonts w:hint="eastAsia" w:ascii="宋体" w:hAnsi="宋体" w:eastAsia="宋体" w:cs="宋体"/>
          <w:bCs/>
          <w:sz w:val="21"/>
          <w:szCs w:val="21"/>
          <w:highlight w:val="none"/>
          <w:lang w:eastAsia="zh-CN"/>
        </w:rPr>
        <w:t>：</w:t>
      </w:r>
    </w:p>
    <w:p w14:paraId="005F373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（1）具有独立承担民事责任的能力；</w:t>
      </w:r>
    </w:p>
    <w:p w14:paraId="125F350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（2）具有良好的商业信誉和健全的财务会计制度</w:t>
      </w:r>
    </w:p>
    <w:p w14:paraId="407565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（3）具有履行合同所必需的设备和专业技术能力；</w:t>
      </w:r>
    </w:p>
    <w:p w14:paraId="28CABFC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（4）有依法缴纳税收和社会保障资金的良好记录；</w:t>
      </w:r>
    </w:p>
    <w:p w14:paraId="1F65076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（5）参加政府采购活动前三年内，在经营活动中没有重大违法记录；</w:t>
      </w:r>
    </w:p>
    <w:p w14:paraId="51DA4E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（6）法律、行政法规规定的其他条件。</w:t>
      </w:r>
    </w:p>
    <w:p w14:paraId="0FC300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落实政府采购政策需满足的资格要求：本项目为专门面向中小企业（本项目中小企业划分标准所属行业：其他未列明行业）</w:t>
      </w:r>
      <w:r>
        <w:rPr>
          <w:rFonts w:hint="eastAsia" w:ascii="宋体" w:hAnsi="宋体" w:eastAsia="宋体" w:cs="宋体"/>
          <w:bCs/>
          <w:sz w:val="21"/>
          <w:szCs w:val="21"/>
          <w:highlight w:val="none"/>
        </w:rPr>
        <w:t>；</w:t>
      </w:r>
      <w:r>
        <w:rPr>
          <w:rFonts w:hint="eastAsia" w:ascii="宋体" w:hAnsi="宋体" w:eastAsia="宋体" w:cs="宋体"/>
          <w:bCs/>
          <w:color w:val="auto"/>
          <w:kern w:val="0"/>
          <w:sz w:val="21"/>
          <w:szCs w:val="21"/>
          <w:highlight w:val="none"/>
          <w:lang w:val="zh-CN"/>
        </w:rPr>
        <w:t>《中华人民共和国中小企业促进法》、《关于促进中小企业健康发展的指导意见》、《政府采购促进中小企业发展管理办法》（财库[2020]46号）</w:t>
      </w:r>
      <w:r>
        <w:rPr>
          <w:rFonts w:hint="eastAsia" w:ascii="宋体" w:hAnsi="宋体" w:eastAsia="宋体" w:cs="宋体"/>
          <w:bCs/>
          <w:sz w:val="21"/>
          <w:szCs w:val="21"/>
          <w:highlight w:val="none"/>
        </w:rPr>
        <w:t>、</w:t>
      </w:r>
      <w:r>
        <w:rPr>
          <w:rFonts w:hint="eastAsia" w:ascii="宋体" w:hAnsi="宋体" w:eastAsia="宋体" w:cs="宋体"/>
          <w:bCs/>
          <w:color w:val="auto"/>
          <w:kern w:val="0"/>
          <w:sz w:val="21"/>
          <w:szCs w:val="21"/>
          <w:highlight w:val="none"/>
          <w:lang w:val="zh-CN"/>
        </w:rPr>
        <w:t>《关于进一步加大政府采购支持中小企业力度的通知》（财库〔2022〕19号）、《财政部、司法部关于政府采购支持监狱企业发展有关问题的通知》（财库[2014]68号）、《关于促进残疾人就业政府采购政策的通知》（财库〔2017〕141号）</w:t>
      </w:r>
      <w:r>
        <w:rPr>
          <w:rFonts w:hint="eastAsia" w:ascii="宋体" w:hAnsi="宋体" w:eastAsia="宋体" w:cs="宋体"/>
          <w:bCs/>
          <w:sz w:val="21"/>
          <w:szCs w:val="21"/>
          <w:highlight w:val="none"/>
        </w:rPr>
        <w:t>等。</w:t>
      </w:r>
    </w:p>
    <w:p w14:paraId="0FB1636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本项目的特定资格要求：</w:t>
      </w:r>
    </w:p>
    <w:p w14:paraId="102A9A5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Cs/>
          <w:sz w:val="21"/>
          <w:szCs w:val="21"/>
          <w:highlight w:val="none"/>
          <w:lang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须</w:t>
      </w:r>
      <w:r>
        <w:rPr>
          <w:rFonts w:hint="eastAsia" w:ascii="宋体" w:hAnsi="宋体" w:eastAsia="宋体" w:cs="宋体"/>
          <w:bCs/>
          <w:sz w:val="21"/>
          <w:szCs w:val="21"/>
          <w:highlight w:val="none"/>
          <w:lang w:eastAsia="zh-CN"/>
        </w:rPr>
        <w:t>是</w:t>
      </w:r>
      <w:r>
        <w:rPr>
          <w:rFonts w:hint="eastAsia" w:ascii="宋体" w:hAnsi="宋体" w:eastAsia="宋体" w:cs="宋体"/>
          <w:bCs/>
          <w:sz w:val="21"/>
          <w:szCs w:val="21"/>
          <w:highlight w:val="none"/>
        </w:rPr>
        <w:t>在中华人民共和国境内合法注册，能够独立承担民事责任的企业法人或其他组织，具备有效的营业执照</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lang w:val="en-US" w:eastAsia="zh-CN"/>
        </w:rPr>
        <w:t>供应商</w:t>
      </w:r>
      <w:r>
        <w:rPr>
          <w:rFonts w:hint="eastAsia" w:ascii="宋体" w:hAnsi="宋体" w:cs="宋体"/>
          <w:bCs/>
          <w:sz w:val="21"/>
          <w:szCs w:val="21"/>
          <w:highlight w:val="none"/>
          <w:lang w:eastAsia="zh-CN"/>
        </w:rPr>
        <w:t>须具有中华人民共和国道路运输经营许可证。</w:t>
      </w:r>
    </w:p>
    <w:p w14:paraId="0C0DC5F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3.2 供应商</w:t>
      </w:r>
      <w:r>
        <w:rPr>
          <w:rFonts w:hint="eastAsia" w:ascii="宋体" w:hAnsi="宋体" w:eastAsia="宋体" w:cs="宋体"/>
          <w:bCs/>
          <w:sz w:val="21"/>
          <w:szCs w:val="21"/>
          <w:highlight w:val="none"/>
        </w:rPr>
        <w:t>必须具备满足处理10万吨/日规模污水处理厂（即北部污水处理厂）日常生产污泥综合处理能力，以及具备因自身停产、减产等因素处理能力不足时应急处置北部污水处理厂日常产生污泥的能力和措施。具备污泥综合处置能力（包含转运及最终处置）以及对应本项目所必需的设施、设备和专业技术能力（提供相关业绩证明资料），不得以处置能力借口拒收北部污水处理厂产生之污泥</w:t>
      </w:r>
      <w:r>
        <w:rPr>
          <w:rFonts w:hint="eastAsia" w:ascii="宋体" w:hAnsi="宋体" w:cs="宋体"/>
          <w:bCs/>
          <w:sz w:val="21"/>
          <w:szCs w:val="21"/>
          <w:highlight w:val="none"/>
          <w:lang w:eastAsia="zh-CN"/>
        </w:rPr>
        <w:t>。</w:t>
      </w:r>
    </w:p>
    <w:p w14:paraId="406C359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供应商必须</w:t>
      </w:r>
      <w:r>
        <w:rPr>
          <w:rFonts w:hint="eastAsia" w:ascii="宋体" w:hAnsi="宋体" w:eastAsia="宋体" w:cs="宋体"/>
          <w:bCs/>
          <w:sz w:val="21"/>
          <w:szCs w:val="21"/>
          <w:highlight w:val="none"/>
          <w:lang w:val="en-US" w:eastAsia="zh-CN"/>
        </w:rPr>
        <w:t>具备污泥处置地点，</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en-US" w:eastAsia="zh-CN"/>
        </w:rPr>
        <w:t>文件中须提供污泥处置地点的证明文件，证明文件须包含允许该处置点接收污水处理厂污泥处置的环评批复和环保验收批复</w:t>
      </w:r>
      <w:r>
        <w:rPr>
          <w:rFonts w:hint="eastAsia" w:ascii="宋体" w:hAnsi="宋体" w:eastAsia="宋体" w:cs="宋体"/>
          <w:bCs/>
          <w:sz w:val="21"/>
          <w:szCs w:val="21"/>
          <w:highlight w:val="none"/>
        </w:rPr>
        <w:t>。</w:t>
      </w:r>
    </w:p>
    <w:p w14:paraId="5FB3DDA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3.4 财务要求：</w:t>
      </w:r>
      <w:r>
        <w:rPr>
          <w:rFonts w:hint="eastAsia" w:ascii="宋体" w:hAnsi="宋体" w:eastAsia="宋体" w:cs="宋体"/>
          <w:sz w:val="21"/>
          <w:szCs w:val="21"/>
          <w:highlight w:val="none"/>
          <w:lang w:val="en-US"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347753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 xml:space="preserve">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w:t>
      </w:r>
      <w:r>
        <w:rPr>
          <w:rFonts w:hint="eastAsia" w:ascii="宋体" w:hAnsi="宋体" w:cs="宋体"/>
          <w:bCs/>
          <w:sz w:val="21"/>
          <w:szCs w:val="21"/>
          <w:highlight w:val="none"/>
          <w:lang w:val="en-US" w:eastAsia="zh-CN"/>
        </w:rPr>
        <w:t>2022年1月1日起至今</w:t>
      </w:r>
      <w:r>
        <w:rPr>
          <w:rFonts w:hint="eastAsia" w:ascii="宋体" w:hAnsi="宋体" w:eastAsia="宋体" w:cs="宋体"/>
          <w:bCs/>
          <w:sz w:val="21"/>
          <w:szCs w:val="21"/>
          <w:highlight w:val="none"/>
          <w:lang w:val="en-US" w:eastAsia="zh-CN"/>
        </w:rPr>
        <w:t>）内</w:t>
      </w:r>
      <w:r>
        <w:rPr>
          <w:rFonts w:hint="eastAsia" w:ascii="宋体" w:hAnsi="宋体" w:cs="宋体"/>
          <w:bCs/>
          <w:sz w:val="21"/>
          <w:szCs w:val="21"/>
          <w:highlight w:val="none"/>
          <w:lang w:val="en-US" w:eastAsia="zh-CN"/>
        </w:rPr>
        <w:t>供应商及</w:t>
      </w:r>
      <w:r>
        <w:rPr>
          <w:rFonts w:hint="eastAsia" w:ascii="宋体" w:hAnsi="宋体" w:eastAsia="宋体" w:cs="宋体"/>
          <w:bCs/>
          <w:sz w:val="21"/>
          <w:szCs w:val="21"/>
          <w:highlight w:val="none"/>
          <w:lang w:val="en-US" w:eastAsia="zh-CN"/>
        </w:rPr>
        <w:t>其法定代表人未在“中国裁判文书网”(wenshu.court.gov.cn)上有行贿犯罪行为。</w:t>
      </w:r>
    </w:p>
    <w:p w14:paraId="082E189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 xml:space="preserve">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　</w:t>
      </w:r>
    </w:p>
    <w:p w14:paraId="1727E07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 xml:space="preserve"> 招投标过程中，</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所提供的所有证件均需在有效期内且注册单位名称与</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的名称一致，如企业名称发生变更，需提供主管部门出具的变更证明材料，否则不接受其</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参与本次</w:t>
      </w:r>
      <w:r>
        <w:rPr>
          <w:rFonts w:hint="eastAsia" w:ascii="宋体" w:hAnsi="宋体" w:cs="宋体"/>
          <w:bCs/>
          <w:sz w:val="21"/>
          <w:szCs w:val="21"/>
          <w:highlight w:val="none"/>
          <w:lang w:val="en-US" w:eastAsia="zh-CN"/>
        </w:rPr>
        <w:t>采购</w:t>
      </w:r>
      <w:r>
        <w:rPr>
          <w:rFonts w:hint="eastAsia" w:ascii="宋体" w:hAnsi="宋体" w:eastAsia="宋体" w:cs="宋体"/>
          <w:bCs/>
          <w:sz w:val="21"/>
          <w:szCs w:val="21"/>
          <w:highlight w:val="none"/>
        </w:rPr>
        <w:t>项目的投标。</w:t>
      </w:r>
    </w:p>
    <w:p w14:paraId="0828994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sz w:val="21"/>
          <w:szCs w:val="21"/>
          <w:highlight w:val="none"/>
          <w:lang w:val="zh-CN"/>
        </w:rPr>
      </w:pPr>
      <w:bookmarkStart w:id="2" w:name="_Toc35393800"/>
      <w:bookmarkStart w:id="3" w:name="_Toc35393631"/>
      <w:r>
        <w:rPr>
          <w:rFonts w:hint="eastAsia" w:ascii="宋体" w:hAnsi="宋体" w:eastAsia="宋体" w:cs="宋体"/>
          <w:b/>
          <w:sz w:val="21"/>
          <w:szCs w:val="21"/>
          <w:highlight w:val="none"/>
          <w:lang w:val="zh-CN"/>
        </w:rPr>
        <w:t>三、获取采购文件</w:t>
      </w:r>
      <w:bookmarkEnd w:id="2"/>
      <w:bookmarkEnd w:id="3"/>
    </w:p>
    <w:p w14:paraId="26186BBC">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1、时间：202</w:t>
      </w:r>
      <w:r>
        <w:rPr>
          <w:rFonts w:hint="eastAsia" w:ascii="宋体" w:hAnsi="宋体" w:cs="宋体"/>
          <w:b w:val="0"/>
          <w:bCs w:val="0"/>
          <w:caps w:val="0"/>
          <w:color w:val="000000"/>
          <w:kern w:val="0"/>
          <w:sz w:val="21"/>
          <w:szCs w:val="21"/>
          <w:highlight w:val="none"/>
          <w:vertAlign w:val="baseline"/>
          <w:lang w:val="en-US" w:eastAsia="zh-CN" w:bidi="ar"/>
        </w:rPr>
        <w:t>5</w:t>
      </w:r>
      <w:r>
        <w:rPr>
          <w:rFonts w:hint="eastAsia" w:ascii="宋体" w:hAnsi="宋体" w:eastAsia="宋体" w:cs="宋体"/>
          <w:b w:val="0"/>
          <w:bCs w:val="0"/>
          <w:caps w:val="0"/>
          <w:color w:val="000000"/>
          <w:kern w:val="0"/>
          <w:sz w:val="21"/>
          <w:szCs w:val="21"/>
          <w:highlight w:val="none"/>
          <w:vertAlign w:val="baseline"/>
          <w:lang w:val="en-US" w:eastAsia="zh-CN" w:bidi="ar"/>
        </w:rPr>
        <w:t>年0</w:t>
      </w:r>
      <w:r>
        <w:rPr>
          <w:rFonts w:hint="eastAsia" w:ascii="宋体" w:hAnsi="宋体" w:cs="宋体"/>
          <w:b w:val="0"/>
          <w:bCs w:val="0"/>
          <w:caps w:val="0"/>
          <w:color w:val="000000"/>
          <w:kern w:val="0"/>
          <w:sz w:val="21"/>
          <w:szCs w:val="21"/>
          <w:highlight w:val="none"/>
          <w:vertAlign w:val="baseline"/>
          <w:lang w:val="en-US" w:eastAsia="zh-CN" w:bidi="ar"/>
        </w:rPr>
        <w:t>7</w:t>
      </w:r>
      <w:r>
        <w:rPr>
          <w:rFonts w:hint="eastAsia" w:ascii="宋体" w:hAnsi="宋体" w:eastAsia="宋体" w:cs="宋体"/>
          <w:b w:val="0"/>
          <w:bCs w:val="0"/>
          <w:caps w:val="0"/>
          <w:color w:val="000000"/>
          <w:kern w:val="0"/>
          <w:sz w:val="21"/>
          <w:szCs w:val="21"/>
          <w:highlight w:val="none"/>
          <w:vertAlign w:val="baseline"/>
          <w:lang w:val="en-US" w:eastAsia="zh-CN" w:bidi="ar"/>
        </w:rPr>
        <w:t>月</w:t>
      </w:r>
      <w:r>
        <w:rPr>
          <w:rFonts w:hint="eastAsia" w:ascii="宋体" w:hAnsi="宋体" w:cs="宋体"/>
          <w:b w:val="0"/>
          <w:bCs w:val="0"/>
          <w:caps w:val="0"/>
          <w:color w:val="000000"/>
          <w:kern w:val="0"/>
          <w:sz w:val="21"/>
          <w:szCs w:val="21"/>
          <w:highlight w:val="none"/>
          <w:vertAlign w:val="baseline"/>
          <w:lang w:val="en-US" w:eastAsia="zh-CN" w:bidi="ar"/>
        </w:rPr>
        <w:t>16</w:t>
      </w:r>
      <w:r>
        <w:rPr>
          <w:rFonts w:hint="eastAsia" w:ascii="宋体" w:hAnsi="宋体" w:eastAsia="宋体" w:cs="宋体"/>
          <w:b w:val="0"/>
          <w:bCs w:val="0"/>
          <w:caps w:val="0"/>
          <w:color w:val="000000"/>
          <w:kern w:val="0"/>
          <w:sz w:val="21"/>
          <w:szCs w:val="21"/>
          <w:highlight w:val="none"/>
          <w:vertAlign w:val="baseline"/>
          <w:lang w:val="en-US" w:eastAsia="zh-CN" w:bidi="ar"/>
        </w:rPr>
        <w:t>日至202</w:t>
      </w:r>
      <w:r>
        <w:rPr>
          <w:rFonts w:hint="eastAsia" w:ascii="宋体" w:hAnsi="宋体" w:cs="宋体"/>
          <w:b w:val="0"/>
          <w:bCs w:val="0"/>
          <w:caps w:val="0"/>
          <w:color w:val="000000"/>
          <w:kern w:val="0"/>
          <w:sz w:val="21"/>
          <w:szCs w:val="21"/>
          <w:highlight w:val="none"/>
          <w:vertAlign w:val="baseline"/>
          <w:lang w:val="en-US" w:eastAsia="zh-CN" w:bidi="ar"/>
        </w:rPr>
        <w:t>5</w:t>
      </w:r>
      <w:r>
        <w:rPr>
          <w:rFonts w:hint="eastAsia" w:ascii="宋体" w:hAnsi="宋体" w:eastAsia="宋体" w:cs="宋体"/>
          <w:b w:val="0"/>
          <w:bCs w:val="0"/>
          <w:caps w:val="0"/>
          <w:color w:val="000000"/>
          <w:kern w:val="0"/>
          <w:sz w:val="21"/>
          <w:szCs w:val="21"/>
          <w:highlight w:val="none"/>
          <w:vertAlign w:val="baseline"/>
          <w:lang w:val="en-US" w:eastAsia="zh-CN" w:bidi="ar"/>
        </w:rPr>
        <w:t>年0</w:t>
      </w:r>
      <w:r>
        <w:rPr>
          <w:rFonts w:hint="eastAsia" w:ascii="宋体" w:hAnsi="宋体" w:cs="宋体"/>
          <w:b w:val="0"/>
          <w:bCs w:val="0"/>
          <w:caps w:val="0"/>
          <w:color w:val="000000"/>
          <w:kern w:val="0"/>
          <w:sz w:val="21"/>
          <w:szCs w:val="21"/>
          <w:highlight w:val="none"/>
          <w:vertAlign w:val="baseline"/>
          <w:lang w:val="en-US" w:eastAsia="zh-CN" w:bidi="ar"/>
        </w:rPr>
        <w:t>7</w:t>
      </w:r>
      <w:r>
        <w:rPr>
          <w:rFonts w:hint="eastAsia" w:ascii="宋体" w:hAnsi="宋体" w:eastAsia="宋体" w:cs="宋体"/>
          <w:b w:val="0"/>
          <w:bCs w:val="0"/>
          <w:caps w:val="0"/>
          <w:color w:val="000000"/>
          <w:kern w:val="0"/>
          <w:sz w:val="21"/>
          <w:szCs w:val="21"/>
          <w:highlight w:val="none"/>
          <w:vertAlign w:val="baseline"/>
          <w:lang w:val="en-US" w:eastAsia="zh-CN" w:bidi="ar"/>
        </w:rPr>
        <w:t>月</w:t>
      </w:r>
      <w:r>
        <w:rPr>
          <w:rFonts w:hint="eastAsia" w:ascii="宋体" w:hAnsi="宋体" w:cs="宋体"/>
          <w:b w:val="0"/>
          <w:bCs w:val="0"/>
          <w:caps w:val="0"/>
          <w:color w:val="000000"/>
          <w:kern w:val="0"/>
          <w:sz w:val="21"/>
          <w:szCs w:val="21"/>
          <w:highlight w:val="none"/>
          <w:vertAlign w:val="baseline"/>
          <w:lang w:val="en-US" w:eastAsia="zh-CN" w:bidi="ar"/>
        </w:rPr>
        <w:t>22</w:t>
      </w:r>
      <w:r>
        <w:rPr>
          <w:rFonts w:hint="eastAsia" w:ascii="宋体" w:hAnsi="宋体" w:eastAsia="宋体" w:cs="宋体"/>
          <w:b w:val="0"/>
          <w:bCs w:val="0"/>
          <w:caps w:val="0"/>
          <w:color w:val="000000"/>
          <w:kern w:val="0"/>
          <w:sz w:val="21"/>
          <w:szCs w:val="21"/>
          <w:highlight w:val="none"/>
          <w:vertAlign w:val="baseline"/>
          <w:lang w:val="en-US" w:eastAsia="zh-CN" w:bidi="ar"/>
        </w:rPr>
        <w:t>日</w:t>
      </w:r>
      <w:r>
        <w:rPr>
          <w:rFonts w:hint="eastAsia" w:ascii="宋体" w:hAnsi="宋体" w:eastAsia="宋体" w:cs="宋体"/>
          <w:b w:val="0"/>
          <w:bCs w:val="0"/>
          <w:caps w:val="0"/>
          <w:color w:val="000000"/>
          <w:kern w:val="0"/>
          <w:sz w:val="21"/>
          <w:szCs w:val="21"/>
          <w:highlight w:val="none"/>
          <w:vertAlign w:val="baseline"/>
          <w:lang w:val="en-US" w:eastAsia="zh-CN" w:bidi="ar"/>
        </w:rPr>
        <w:t>，每天上午8:00时至下午23:59时（北京时间，法定节假日/公休日除外）。</w:t>
      </w:r>
    </w:p>
    <w:p w14:paraId="3BFC78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地点：政府采购云平台（网址：http://www.zcygov.cn）。</w:t>
      </w:r>
    </w:p>
    <w:p w14:paraId="38965C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2034A8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售价：0元。</w:t>
      </w:r>
    </w:p>
    <w:p w14:paraId="13D3BB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有效供应商不足三家时，采购人另行组织采购。</w:t>
      </w:r>
    </w:p>
    <w:p w14:paraId="61AC200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Cs/>
          <w:sz w:val="21"/>
          <w:szCs w:val="21"/>
          <w:highlight w:val="none"/>
          <w:lang w:val="zh-CN"/>
        </w:rPr>
      </w:pPr>
      <w:bookmarkStart w:id="4" w:name="_Toc35393632"/>
      <w:bookmarkStart w:id="5" w:name="_Toc28359092"/>
      <w:bookmarkStart w:id="6" w:name="_Toc28359015"/>
      <w:bookmarkStart w:id="7" w:name="_Toc35393801"/>
      <w:r>
        <w:rPr>
          <w:rFonts w:hint="eastAsia" w:ascii="宋体" w:hAnsi="宋体" w:eastAsia="宋体" w:cs="宋体"/>
          <w:b/>
          <w:sz w:val="21"/>
          <w:szCs w:val="21"/>
          <w:highlight w:val="none"/>
          <w:lang w:val="zh-CN"/>
        </w:rPr>
        <w:t>四、</w:t>
      </w:r>
      <w:bookmarkEnd w:id="4"/>
      <w:bookmarkEnd w:id="5"/>
      <w:bookmarkEnd w:id="6"/>
      <w:bookmarkEnd w:id="7"/>
      <w:r>
        <w:rPr>
          <w:rFonts w:hint="eastAsia" w:ascii="宋体" w:hAnsi="宋体" w:eastAsia="宋体" w:cs="宋体"/>
          <w:b/>
          <w:sz w:val="21"/>
          <w:szCs w:val="21"/>
          <w:highlight w:val="none"/>
          <w:lang w:val="zh-CN"/>
        </w:rPr>
        <w:t>提交</w:t>
      </w:r>
      <w:r>
        <w:rPr>
          <w:rFonts w:hint="eastAsia" w:ascii="宋体" w:hAnsi="宋体" w:cs="宋体"/>
          <w:b/>
          <w:sz w:val="21"/>
          <w:szCs w:val="21"/>
          <w:highlight w:val="none"/>
          <w:lang w:val="en-US" w:eastAsia="zh-CN"/>
        </w:rPr>
        <w:t>响应</w:t>
      </w:r>
      <w:r>
        <w:rPr>
          <w:rFonts w:hint="eastAsia" w:ascii="宋体" w:hAnsi="宋体" w:eastAsia="宋体" w:cs="宋体"/>
          <w:b/>
          <w:sz w:val="21"/>
          <w:szCs w:val="21"/>
          <w:highlight w:val="none"/>
          <w:lang w:val="zh-CN"/>
        </w:rPr>
        <w:t>文件截止时间、开标时间和地点</w:t>
      </w:r>
    </w:p>
    <w:p w14:paraId="22E3786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提交</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rPr>
        <w:t>文件截止时间（开标时间）：</w:t>
      </w:r>
      <w:r>
        <w:rPr>
          <w:rFonts w:hint="eastAsia" w:ascii="宋体" w:hAnsi="宋体" w:eastAsia="宋体" w:cs="宋体"/>
          <w:bCs/>
          <w:sz w:val="21"/>
          <w:szCs w:val="21"/>
          <w:highlight w:val="none"/>
          <w:lang w:eastAsia="zh-CN"/>
        </w:rPr>
        <w:t>202</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eastAsia="zh-CN"/>
        </w:rPr>
        <w:t>年</w:t>
      </w:r>
      <w:r>
        <w:rPr>
          <w:rFonts w:hint="eastAsia" w:ascii="宋体" w:hAnsi="宋体" w:cs="宋体"/>
          <w:bCs/>
          <w:sz w:val="21"/>
          <w:szCs w:val="21"/>
          <w:highlight w:val="none"/>
          <w:lang w:eastAsia="zh-CN"/>
        </w:rPr>
        <w:t>0</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lang w:eastAsia="zh-CN"/>
        </w:rPr>
        <w:t>月</w:t>
      </w:r>
      <w:r>
        <w:rPr>
          <w:rFonts w:hint="eastAsia" w:ascii="宋体" w:hAnsi="宋体" w:cs="宋体"/>
          <w:bCs/>
          <w:sz w:val="21"/>
          <w:szCs w:val="21"/>
          <w:highlight w:val="none"/>
          <w:lang w:val="en-US" w:eastAsia="zh-CN"/>
        </w:rPr>
        <w:t>05</w:t>
      </w:r>
      <w:r>
        <w:rPr>
          <w:rFonts w:hint="eastAsia" w:ascii="宋体" w:hAnsi="宋体" w:cs="宋体"/>
          <w:bCs/>
          <w:sz w:val="21"/>
          <w:szCs w:val="21"/>
          <w:highlight w:val="none"/>
          <w:lang w:eastAsia="zh-CN"/>
        </w:rPr>
        <w:t>日</w:t>
      </w:r>
      <w:r>
        <w:rPr>
          <w:rFonts w:hint="eastAsia" w:ascii="宋体" w:hAnsi="宋体" w:cs="宋体"/>
          <w:bCs/>
          <w:sz w:val="21"/>
          <w:szCs w:val="21"/>
          <w:highlight w:val="none"/>
          <w:lang w:val="en-US" w:eastAsia="zh-CN"/>
        </w:rPr>
        <w:t>09</w:t>
      </w:r>
      <w:r>
        <w:rPr>
          <w:rFonts w:hint="eastAsia" w:ascii="宋体" w:hAnsi="宋体" w:eastAsia="宋体" w:cs="宋体"/>
          <w:bCs/>
          <w:sz w:val="21"/>
          <w:szCs w:val="21"/>
          <w:highlight w:val="none"/>
          <w:lang w:val="en-US" w:eastAsia="zh-CN"/>
        </w:rPr>
        <w:t>时</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lang w:eastAsia="zh-CN"/>
        </w:rPr>
        <w:t>分</w:t>
      </w:r>
      <w:r>
        <w:rPr>
          <w:rFonts w:hint="eastAsia" w:ascii="宋体" w:hAnsi="宋体" w:eastAsia="宋体" w:cs="宋体"/>
          <w:bCs/>
          <w:sz w:val="21"/>
          <w:szCs w:val="21"/>
          <w:highlight w:val="none"/>
        </w:rPr>
        <w:t>（北京时间）</w:t>
      </w:r>
    </w:p>
    <w:p w14:paraId="4EE6831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递交</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rPr>
        <w:t>文件地点：长春新区政务服务中心公共资源交易大厅二楼B2</w:t>
      </w:r>
      <w:r>
        <w:rPr>
          <w:rFonts w:hint="eastAsia" w:ascii="宋体" w:hAnsi="宋体" w:cs="宋体"/>
          <w:bCs/>
          <w:sz w:val="21"/>
          <w:szCs w:val="21"/>
          <w:highlight w:val="none"/>
          <w:lang w:val="en-US" w:eastAsia="zh-CN"/>
        </w:rPr>
        <w:t>08</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大</w:t>
      </w:r>
      <w:r>
        <w:rPr>
          <w:rFonts w:hint="eastAsia" w:ascii="宋体" w:hAnsi="宋体" w:eastAsia="宋体" w:cs="宋体"/>
          <w:bCs/>
          <w:sz w:val="21"/>
          <w:szCs w:val="21"/>
          <w:highlight w:val="none"/>
        </w:rPr>
        <w:t>）开标室（龙湖大路5799号）</w:t>
      </w:r>
    </w:p>
    <w:p w14:paraId="4A45CB9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3、方式：本项目执行电子化招投标，供应商须通过政府采购云平台（网址：http:// www.zcygov.cn）递交电子版响应文件，并按规定时间解密成功。</w:t>
      </w:r>
    </w:p>
    <w:p w14:paraId="09B4C148">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701197AB">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数字证书办理及投标技术咨询：供应商须办理数字证书方可参加投标。供应商须自行考虑数字证书办理时限，由于供应商自身原因在开标前无法完成办理，后果自负。</w:t>
      </w:r>
    </w:p>
    <w:p w14:paraId="4A8DFCF9">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2109B488">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4、未成功解密的响应文件，采购人或采购代理机构不予受理。</w:t>
      </w:r>
    </w:p>
    <w:p w14:paraId="4097FFF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5、有效供应商不足法定个数时，采购人另行组织采购。</w:t>
      </w:r>
    </w:p>
    <w:p w14:paraId="7918FF0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五、公告期限</w:t>
      </w:r>
    </w:p>
    <w:p w14:paraId="5068470B">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自本公告发布之日起5个工作日。</w:t>
      </w:r>
    </w:p>
    <w:p w14:paraId="42B300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sz w:val="21"/>
          <w:szCs w:val="21"/>
          <w:highlight w:val="none"/>
          <w:lang w:val="zh-CN"/>
        </w:rPr>
      </w:pPr>
      <w:bookmarkStart w:id="8" w:name="_Toc35393635"/>
      <w:bookmarkStart w:id="9" w:name="_Toc35393804"/>
      <w:r>
        <w:rPr>
          <w:rFonts w:hint="eastAsia" w:ascii="宋体" w:hAnsi="宋体" w:eastAsia="宋体" w:cs="宋体"/>
          <w:b/>
          <w:sz w:val="21"/>
          <w:szCs w:val="21"/>
          <w:highlight w:val="none"/>
          <w:lang w:val="zh-CN"/>
        </w:rPr>
        <w:t>六、其他补充事宜</w:t>
      </w:r>
      <w:bookmarkEnd w:id="8"/>
      <w:bookmarkEnd w:id="9"/>
    </w:p>
    <w:p w14:paraId="5A3022CF">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1、CA证书申请方式及操作指南下载地址：</w:t>
      </w:r>
    </w:p>
    <w:p w14:paraId="02FE3F79">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1.1 政采云供应商注册流程：https://middle.zcygov.cn/v-settle-front/registry</w:t>
      </w:r>
    </w:p>
    <w:p w14:paraId="336692D2">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1.2 安信CA申请流程：http://www.anxinca.com/kehu/zcy/kh-zcy-zsshenqing.html</w:t>
      </w:r>
    </w:p>
    <w:p w14:paraId="199E77AB">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1.3 政采云投标客户端及CA驱动下载地址：</w:t>
      </w:r>
    </w:p>
    <w:p w14:paraId="10753DAA">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left="0"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https://customer.zcygov.cn/CA-driver-download?utm=web-login-front.52cebfa2.0.0.04df4040034511edaac705fda12edb43</w:t>
      </w:r>
    </w:p>
    <w:p w14:paraId="33BFB85E">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1.4 未进行网上注册并办理CA认证的供应商将无法参与本次采购活动。数字证书办理时限为3-5个工作日，供应商须自行考虑办理时间，由于供应商自身原因在开启前无法完成办理，后果自负。</w:t>
      </w:r>
    </w:p>
    <w:p w14:paraId="7E5EDC5C">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w:t>
      </w:r>
      <w:r>
        <w:rPr>
          <w:rFonts w:hint="eastAsia" w:ascii="宋体" w:hAnsi="宋体" w:cs="宋体"/>
          <w:szCs w:val="21"/>
          <w:highlight w:val="none"/>
        </w:rPr>
        <w:t>公告发布媒体：“政采云”平台（</w:t>
      </w:r>
      <w:r>
        <w:rPr>
          <w:rFonts w:hint="eastAsia" w:ascii="宋体" w:hAnsi="宋体" w:eastAsia="宋体" w:cs="宋体"/>
          <w:sz w:val="21"/>
          <w:szCs w:val="21"/>
          <w:highlight w:val="none"/>
          <w:lang w:val="en-US" w:eastAsia="zh-CN"/>
        </w:rPr>
        <w:t>https://www.zcygov.cn/</w:t>
      </w:r>
      <w:r>
        <w:rPr>
          <w:rFonts w:hint="eastAsia" w:ascii="宋体" w:hAnsi="宋体" w:cs="宋体"/>
          <w:szCs w:val="21"/>
          <w:highlight w:val="none"/>
        </w:rPr>
        <w:t>），同步推送到吉林省政府采购网（http://www.ccgp-jilin.gov.cn/）</w:t>
      </w:r>
      <w:r>
        <w:rPr>
          <w:rFonts w:hint="eastAsia" w:ascii="宋体" w:hAnsi="宋体" w:cs="宋体"/>
          <w:szCs w:val="21"/>
          <w:highlight w:val="none"/>
          <w:lang w:eastAsia="zh-CN"/>
        </w:rPr>
        <w:t>、</w:t>
      </w:r>
      <w:r>
        <w:rPr>
          <w:rFonts w:hint="eastAsia" w:ascii="宋体" w:hAnsi="宋体" w:eastAsia="宋体" w:cs="宋体"/>
          <w:i w:val="0"/>
          <w:iCs w:val="0"/>
          <w:caps w:val="0"/>
          <w:color w:val="000000"/>
          <w:spacing w:val="0"/>
          <w:sz w:val="21"/>
          <w:szCs w:val="21"/>
          <w:highlight w:val="none"/>
        </w:rPr>
        <w:t>长春市公共资源交易网</w:t>
      </w:r>
      <w:r>
        <w:rPr>
          <w:rFonts w:hint="eastAsia" w:ascii="宋体" w:hAnsi="宋体" w:cs="宋体"/>
          <w:szCs w:val="21"/>
          <w:highlight w:val="none"/>
        </w:rPr>
        <w:t>、中国政府采购网上发布</w:t>
      </w: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w:t>
      </w:r>
    </w:p>
    <w:p w14:paraId="6BB50F7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七、对本次招标提出询问，请按以下方式联系</w:t>
      </w:r>
    </w:p>
    <w:p w14:paraId="4EC8F57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bookmarkStart w:id="10" w:name="_Toc35393637"/>
      <w:bookmarkStart w:id="11" w:name="_Toc35393806"/>
      <w:bookmarkStart w:id="12" w:name="_Toc28359019"/>
      <w:bookmarkStart w:id="13" w:name="_Toc28359096"/>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lang w:val="zh-CN"/>
        </w:rPr>
        <w:t>信息</w:t>
      </w:r>
      <w:bookmarkEnd w:id="10"/>
      <w:bookmarkEnd w:id="11"/>
      <w:bookmarkEnd w:id="12"/>
      <w:bookmarkEnd w:id="13"/>
    </w:p>
    <w:p w14:paraId="313AB64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名称：</w:t>
      </w:r>
      <w:r>
        <w:rPr>
          <w:rFonts w:hint="eastAsia" w:ascii="宋体" w:hAnsi="宋体" w:cs="宋体"/>
          <w:bCs/>
          <w:sz w:val="21"/>
          <w:szCs w:val="21"/>
          <w:highlight w:val="none"/>
          <w:lang w:val="zh-CN"/>
        </w:rPr>
        <w:t>长春北湖科技开发区管理委员会</w:t>
      </w:r>
    </w:p>
    <w:p w14:paraId="06B6299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地址：长春北湖科技开发区吉星大厦</w:t>
      </w:r>
    </w:p>
    <w:p w14:paraId="25C0C6E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联系</w:t>
      </w:r>
      <w:r>
        <w:rPr>
          <w:rFonts w:hint="eastAsia" w:ascii="宋体" w:hAnsi="宋体" w:eastAsia="宋体" w:cs="宋体"/>
          <w:bCs/>
          <w:sz w:val="21"/>
          <w:szCs w:val="21"/>
          <w:highlight w:val="none"/>
          <w:lang w:val="en-US" w:eastAsia="zh-CN"/>
        </w:rPr>
        <w:t>方式</w:t>
      </w:r>
      <w:r>
        <w:rPr>
          <w:rFonts w:hint="eastAsia" w:ascii="宋体" w:hAnsi="宋体" w:eastAsia="宋体" w:cs="宋体"/>
          <w:bCs/>
          <w:sz w:val="21"/>
          <w:szCs w:val="21"/>
          <w:highlight w:val="none"/>
          <w:lang w:val="zh-CN"/>
        </w:rPr>
        <w:t>：</w:t>
      </w:r>
      <w:bookmarkStart w:id="14" w:name="_Toc28359020"/>
      <w:bookmarkStart w:id="15" w:name="_Toc28359097"/>
      <w:bookmarkStart w:id="16" w:name="_Toc35393638"/>
      <w:bookmarkStart w:id="17" w:name="_Toc35393807"/>
      <w:r>
        <w:rPr>
          <w:rFonts w:hint="eastAsia" w:ascii="宋体" w:hAnsi="宋体" w:eastAsia="宋体" w:cs="宋体"/>
          <w:bCs/>
          <w:sz w:val="21"/>
          <w:szCs w:val="21"/>
          <w:highlight w:val="none"/>
          <w:lang w:val="zh-CN"/>
        </w:rPr>
        <w:t>宗德生</w:t>
      </w:r>
      <w:r>
        <w:rPr>
          <w:rFonts w:hint="eastAsia" w:ascii="宋体" w:hAnsi="宋体" w:cs="宋体"/>
          <w:bCs/>
          <w:sz w:val="21"/>
          <w:szCs w:val="21"/>
          <w:highlight w:val="none"/>
          <w:lang w:val="en-US" w:eastAsia="zh-CN"/>
        </w:rPr>
        <w:t>0431-</w:t>
      </w:r>
      <w:r>
        <w:rPr>
          <w:rFonts w:hint="eastAsia" w:ascii="宋体" w:hAnsi="宋体" w:eastAsia="宋体" w:cs="宋体"/>
          <w:bCs/>
          <w:sz w:val="21"/>
          <w:szCs w:val="21"/>
          <w:highlight w:val="none"/>
          <w:lang w:val="zh-CN"/>
        </w:rPr>
        <w:t>89672859</w:t>
      </w:r>
    </w:p>
    <w:p w14:paraId="093BB47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p>
    <w:p w14:paraId="09192A0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2、采购代理机构信息</w:t>
      </w:r>
      <w:bookmarkEnd w:id="14"/>
      <w:bookmarkEnd w:id="15"/>
      <w:bookmarkEnd w:id="16"/>
      <w:bookmarkEnd w:id="17"/>
      <w:r>
        <w:rPr>
          <w:rFonts w:hint="eastAsia" w:ascii="宋体" w:hAnsi="宋体" w:eastAsia="宋体" w:cs="宋体"/>
          <w:bCs/>
          <w:sz w:val="21"/>
          <w:szCs w:val="21"/>
          <w:highlight w:val="none"/>
          <w:lang w:val="zh-CN"/>
        </w:rPr>
        <w:t>　　　　　　　　　　　　</w:t>
      </w:r>
    </w:p>
    <w:p w14:paraId="4934096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名称：</w:t>
      </w:r>
      <w:r>
        <w:rPr>
          <w:rFonts w:hint="eastAsia" w:ascii="宋体" w:hAnsi="宋体" w:eastAsia="宋体" w:cs="宋体"/>
          <w:bCs/>
          <w:sz w:val="21"/>
          <w:szCs w:val="21"/>
          <w:highlight w:val="none"/>
          <w:lang w:val="zh-CN" w:eastAsia="zh-CN"/>
        </w:rPr>
        <w:t>天宇工程咨询有限公司</w:t>
      </w:r>
    </w:p>
    <w:p w14:paraId="0E7241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地址：长春市</w:t>
      </w:r>
      <w:r>
        <w:rPr>
          <w:rFonts w:hint="eastAsia" w:ascii="宋体" w:hAnsi="宋体" w:cs="宋体"/>
          <w:bCs/>
          <w:sz w:val="21"/>
          <w:szCs w:val="21"/>
          <w:highlight w:val="none"/>
          <w:lang w:val="en-US" w:eastAsia="zh-CN"/>
        </w:rPr>
        <w:t>高新区越达科技园</w:t>
      </w:r>
      <w:r>
        <w:rPr>
          <w:rFonts w:hint="eastAsia" w:ascii="宋体" w:hAnsi="宋体" w:eastAsia="宋体" w:cs="宋体"/>
          <w:bCs/>
          <w:sz w:val="21"/>
          <w:szCs w:val="21"/>
          <w:highlight w:val="none"/>
          <w:lang w:val="zh-CN"/>
        </w:rPr>
        <w:t> </w:t>
      </w:r>
    </w:p>
    <w:p w14:paraId="1568EA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联系</w:t>
      </w:r>
      <w:r>
        <w:rPr>
          <w:rFonts w:hint="eastAsia" w:ascii="宋体" w:hAnsi="宋体" w:eastAsia="宋体" w:cs="宋体"/>
          <w:bCs/>
          <w:sz w:val="21"/>
          <w:szCs w:val="21"/>
          <w:highlight w:val="none"/>
          <w:lang w:val="en-US" w:eastAsia="zh-CN"/>
        </w:rPr>
        <w:t>方式</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en-US" w:eastAsia="zh-CN"/>
        </w:rPr>
        <w:t>王金超</w:t>
      </w:r>
      <w:r>
        <w:rPr>
          <w:rFonts w:hint="eastAsia" w:ascii="宋体" w:hAnsi="宋体" w:eastAsia="宋体" w:cs="宋体"/>
          <w:bCs/>
          <w:sz w:val="21"/>
          <w:szCs w:val="21"/>
          <w:highlight w:val="none"/>
          <w:lang w:val="zh-CN" w:eastAsia="zh-CN"/>
        </w:rPr>
        <w:t>0431-88073777</w:t>
      </w:r>
      <w:r>
        <w:rPr>
          <w:rFonts w:hint="eastAsia" w:ascii="宋体" w:hAnsi="宋体" w:eastAsia="宋体" w:cs="宋体"/>
          <w:bCs/>
          <w:sz w:val="21"/>
          <w:szCs w:val="21"/>
          <w:highlight w:val="none"/>
          <w:lang w:val="zh-CN"/>
        </w:rPr>
        <w:t xml:space="preserve">  </w:t>
      </w:r>
    </w:p>
    <w:p w14:paraId="4987C79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p>
    <w:p w14:paraId="6469693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3、项目联系方式</w:t>
      </w:r>
    </w:p>
    <w:p w14:paraId="1E90921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项目联系人：</w:t>
      </w:r>
      <w:r>
        <w:rPr>
          <w:rFonts w:hint="eastAsia" w:ascii="宋体" w:hAnsi="宋体" w:cs="宋体"/>
          <w:bCs/>
          <w:sz w:val="21"/>
          <w:szCs w:val="21"/>
          <w:highlight w:val="none"/>
          <w:lang w:val="en-US" w:eastAsia="zh-CN"/>
        </w:rPr>
        <w:t>王金超</w:t>
      </w:r>
    </w:p>
    <w:p w14:paraId="741E45E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电话：</w:t>
      </w:r>
      <w:r>
        <w:rPr>
          <w:rFonts w:hint="eastAsia" w:ascii="宋体" w:hAnsi="宋体" w:eastAsia="宋体" w:cs="宋体"/>
          <w:bCs/>
          <w:sz w:val="21"/>
          <w:szCs w:val="21"/>
          <w:highlight w:val="none"/>
          <w:lang w:val="zh-CN" w:eastAsia="zh-CN"/>
        </w:rPr>
        <w:t>0431-88073777</w:t>
      </w:r>
    </w:p>
    <w:p w14:paraId="201D0D0E">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p>
    <w:p w14:paraId="6147D707">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监督机构：长春北湖科技开发区财政局政府采购管理办公室</w:t>
      </w:r>
    </w:p>
    <w:p w14:paraId="117458D5">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投诉方式：书面投诉</w:t>
      </w:r>
    </w:p>
    <w:p w14:paraId="36C3DF08">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电话：0431-89672889</w:t>
      </w:r>
    </w:p>
    <w:p w14:paraId="10183799">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000000"/>
          <w:kern w:val="0"/>
          <w:sz w:val="21"/>
          <w:szCs w:val="21"/>
          <w:highlight w:val="none"/>
          <w:vertAlign w:val="baseline"/>
          <w:lang w:val="en-US" w:eastAsia="zh-CN" w:bidi="ar"/>
        </w:rPr>
      </w:pPr>
    </w:p>
    <w:p w14:paraId="3DC08622">
      <w:pPr>
        <w:keepNext w:val="0"/>
        <w:keepLines w:val="0"/>
        <w:pageBreakBefore w:val="0"/>
        <w:widowControl/>
        <w:suppressLineNumbers w:val="0"/>
        <w:suppressAutoHyphens w:val="0"/>
        <w:kinsoku/>
        <w:wordWrap/>
        <w:overflowPunct/>
        <w:topLinePunct w:val="0"/>
        <w:autoSpaceDE/>
        <w:autoSpaceDN w:val="0"/>
        <w:bidi w:val="0"/>
        <w:adjustRightInd/>
        <w:snapToGrid/>
        <w:spacing w:beforeAutospacing="0" w:afterAutospacing="0" w:line="400" w:lineRule="exact"/>
        <w:ind w:right="0" w:firstLine="420" w:firstLineChars="200"/>
        <w:jc w:val="left"/>
        <w:textAlignment w:val="auto"/>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5、</w:t>
      </w:r>
      <w:r>
        <w:rPr>
          <w:rFonts w:hint="eastAsia" w:ascii="宋体" w:hAnsi="宋体" w:eastAsia="宋体" w:cs="宋体"/>
          <w:b w:val="0"/>
          <w:bCs w:val="0"/>
          <w:caps w:val="0"/>
          <w:color w:val="000000"/>
          <w:kern w:val="0"/>
          <w:sz w:val="21"/>
          <w:szCs w:val="21"/>
          <w:highlight w:val="none"/>
          <w:vertAlign w:val="baseline"/>
          <w:lang w:val="zh-CN" w:eastAsia="zh-CN" w:bidi="ar"/>
        </w:rPr>
        <w:t>技术服务</w:t>
      </w:r>
    </w:p>
    <w:p w14:paraId="4596AFC5">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数字证书办理咨询电话：0431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85177688</w:t>
      </w:r>
    </w:p>
    <w:p w14:paraId="0FA1A532">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政采云客服电话：</w:t>
      </w:r>
      <w:r>
        <w:rPr>
          <w:rFonts w:hint="eastAsia" w:ascii="宋体" w:hAnsi="宋体" w:eastAsia="宋体" w:cs="宋体"/>
          <w:sz w:val="21"/>
          <w:szCs w:val="21"/>
          <w:highlight w:val="none"/>
          <w:lang w:val="zh-CN" w:eastAsia="zh-CN"/>
        </w:rPr>
        <w:t>95763，工作日9:00-18:00</w:t>
      </w:r>
    </w:p>
    <w:p w14:paraId="44795A10">
      <w:pPr>
        <w:keepNext w:val="0"/>
        <w:keepLines w:val="0"/>
        <w:pageBreakBefore w:val="0"/>
        <w:tabs>
          <w:tab w:val="left" w:pos="432"/>
        </w:tabs>
        <w:kinsoku/>
        <w:wordWrap/>
        <w:overflowPunct/>
        <w:topLinePunct w:val="0"/>
        <w:bidi w:val="0"/>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“政采数金平台”联系电话：0431-81888992/81888798</w:t>
      </w:r>
    </w:p>
    <w:p w14:paraId="78D838D7">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541244C9">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来源：天宇工程咨询有限公司</w:t>
      </w:r>
    </w:p>
    <w:p w14:paraId="42A7F3DC">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初审：</w:t>
      </w:r>
      <w:r>
        <w:rPr>
          <w:rFonts w:hint="eastAsia" w:cs="宋体"/>
          <w:b w:val="0"/>
          <w:bCs w:val="0"/>
          <w:caps w:val="0"/>
          <w:color w:val="000000"/>
          <w:kern w:val="0"/>
          <w:sz w:val="21"/>
          <w:szCs w:val="21"/>
          <w:highlight w:val="none"/>
          <w:vertAlign w:val="baseline"/>
          <w:lang w:val="en-US" w:eastAsia="zh-CN" w:bidi="ar"/>
        </w:rPr>
        <w:t>王金超</w:t>
      </w:r>
    </w:p>
    <w:p w14:paraId="660C6CD6">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复审：</w:t>
      </w:r>
      <w:r>
        <w:rPr>
          <w:rFonts w:hint="eastAsia" w:cs="宋体"/>
          <w:b w:val="0"/>
          <w:bCs w:val="0"/>
          <w:caps w:val="0"/>
          <w:color w:val="000000"/>
          <w:kern w:val="0"/>
          <w:sz w:val="21"/>
          <w:szCs w:val="21"/>
          <w:highlight w:val="none"/>
          <w:vertAlign w:val="baseline"/>
          <w:lang w:val="en-US" w:eastAsia="zh-CN" w:bidi="ar"/>
        </w:rPr>
        <w:t>张雅莲</w:t>
      </w:r>
    </w:p>
    <w:p w14:paraId="35EB5E9B">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r>
        <w:rPr>
          <w:rFonts w:hint="default" w:cs="宋体"/>
          <w:b w:val="0"/>
          <w:bCs w:val="0"/>
          <w:caps w:val="0"/>
          <w:color w:val="000000"/>
          <w:kern w:val="0"/>
          <w:sz w:val="21"/>
          <w:szCs w:val="21"/>
          <w:highlight w:val="none"/>
          <w:vertAlign w:val="baseline"/>
          <w:lang w:val="en-US" w:eastAsia="zh-CN" w:bidi="ar"/>
        </w:rPr>
        <w:t xml:space="preserve">终审：宗德生 </w:t>
      </w:r>
    </w:p>
    <w:p w14:paraId="39BD69C5">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p>
    <w:p w14:paraId="0B675035">
      <w:pPr>
        <w:pStyle w:val="24"/>
        <w:widowControl w:val="0"/>
        <w:numPr>
          <w:ilvl w:val="0"/>
          <w:numId w:val="0"/>
        </w:numPr>
        <w:spacing w:line="500" w:lineRule="exact"/>
        <w:ind w:firstLine="420" w:firstLineChars="200"/>
        <w:jc w:val="both"/>
        <w:rPr>
          <w:rFonts w:hint="default" w:cs="宋体"/>
          <w:b w:val="0"/>
          <w:bCs w:val="0"/>
          <w:caps w:val="0"/>
          <w:color w:val="000000"/>
          <w:kern w:val="0"/>
          <w:sz w:val="21"/>
          <w:szCs w:val="21"/>
          <w:highlight w:val="none"/>
          <w:vertAlign w:val="baseline"/>
          <w:lang w:val="en-US" w:eastAsia="zh-CN" w:bidi="ar"/>
        </w:rPr>
      </w:pPr>
    </w:p>
    <w:p w14:paraId="268B839F">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2DC99513">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175A89D6">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29CB7E6D">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A2C1455">
      <w:pPr>
        <w:pStyle w:val="24"/>
        <w:widowControl w:val="0"/>
        <w:numPr>
          <w:ilvl w:val="0"/>
          <w:numId w:val="0"/>
        </w:numPr>
        <w:spacing w:line="500" w:lineRule="exact"/>
        <w:jc w:val="center"/>
        <w:rPr>
          <w:rFonts w:hint="eastAsia" w:cs="宋体"/>
          <w:b/>
          <w:bCs/>
          <w:caps w:val="0"/>
          <w:color w:val="000000"/>
          <w:kern w:val="0"/>
          <w:sz w:val="32"/>
          <w:szCs w:val="32"/>
          <w:highlight w:val="none"/>
          <w:vertAlign w:val="baseline"/>
          <w:lang w:val="en-US" w:eastAsia="zh-CN" w:bidi="ar"/>
        </w:rPr>
      </w:pPr>
      <w:r>
        <w:rPr>
          <w:rFonts w:hint="eastAsia" w:cs="宋体"/>
          <w:b/>
          <w:bCs/>
          <w:caps w:val="0"/>
          <w:color w:val="000000"/>
          <w:kern w:val="0"/>
          <w:sz w:val="32"/>
          <w:szCs w:val="32"/>
          <w:highlight w:val="none"/>
          <w:vertAlign w:val="baseline"/>
          <w:lang w:val="en-US" w:eastAsia="zh-CN" w:bidi="ar"/>
        </w:rPr>
        <w:t>第二章 供应商须知</w:t>
      </w:r>
    </w:p>
    <w:p w14:paraId="6CBC804B">
      <w:pPr>
        <w:pStyle w:val="24"/>
        <w:widowControl w:val="0"/>
        <w:numPr>
          <w:ilvl w:val="0"/>
          <w:numId w:val="0"/>
        </w:numPr>
        <w:spacing w:line="500" w:lineRule="exact"/>
        <w:jc w:val="both"/>
        <w:rPr>
          <w:rFonts w:hint="default" w:cs="宋体"/>
          <w:b/>
          <w:bCs/>
          <w:caps w:val="0"/>
          <w:color w:val="000000"/>
          <w:kern w:val="0"/>
          <w:sz w:val="32"/>
          <w:szCs w:val="32"/>
          <w:highlight w:val="none"/>
          <w:vertAlign w:val="baseline"/>
          <w:lang w:val="en-US" w:eastAsia="zh-CN" w:bidi="ar"/>
        </w:rPr>
      </w:pPr>
      <w:r>
        <w:rPr>
          <w:rFonts w:hint="eastAsia" w:cs="宋体"/>
          <w:b/>
          <w:bCs/>
          <w:caps w:val="0"/>
          <w:color w:val="000000"/>
          <w:kern w:val="0"/>
          <w:sz w:val="28"/>
          <w:szCs w:val="28"/>
          <w:highlight w:val="none"/>
          <w:vertAlign w:val="baseline"/>
          <w:lang w:val="en-US" w:eastAsia="zh-CN" w:bidi="ar"/>
        </w:rPr>
        <w:t>供应商须知前附表</w:t>
      </w:r>
    </w:p>
    <w:tbl>
      <w:tblPr>
        <w:tblStyle w:val="18"/>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1916"/>
        <w:gridCol w:w="6970"/>
      </w:tblGrid>
      <w:tr w14:paraId="772A2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51462AC2">
            <w:pPr>
              <w:pStyle w:val="25"/>
              <w:adjustRightInd/>
              <w:snapToGrid w:val="0"/>
              <w:spacing w:line="240" w:lineRule="auto"/>
              <w:contextualSpacing/>
              <w:jc w:val="center"/>
              <w:rPr>
                <w:sz w:val="21"/>
                <w:szCs w:val="21"/>
                <w:highlight w:val="none"/>
                <w:lang w:val="zh-CN"/>
              </w:rPr>
            </w:pPr>
            <w:r>
              <w:rPr>
                <w:rFonts w:hint="eastAsia"/>
                <w:sz w:val="21"/>
                <w:szCs w:val="21"/>
                <w:highlight w:val="none"/>
                <w:lang w:val="zh-CN"/>
              </w:rPr>
              <w:t>序号</w:t>
            </w:r>
          </w:p>
        </w:tc>
        <w:tc>
          <w:tcPr>
            <w:tcW w:w="1916" w:type="dxa"/>
            <w:vAlign w:val="center"/>
          </w:tcPr>
          <w:p w14:paraId="10931033">
            <w:pPr>
              <w:pStyle w:val="25"/>
              <w:adjustRightInd/>
              <w:snapToGrid w:val="0"/>
              <w:spacing w:line="240" w:lineRule="auto"/>
              <w:contextualSpacing/>
              <w:jc w:val="center"/>
              <w:rPr>
                <w:sz w:val="21"/>
                <w:szCs w:val="21"/>
                <w:highlight w:val="none"/>
                <w:lang w:val="zh-CN"/>
              </w:rPr>
            </w:pPr>
            <w:r>
              <w:rPr>
                <w:rFonts w:hint="eastAsia"/>
                <w:sz w:val="21"/>
                <w:szCs w:val="21"/>
                <w:highlight w:val="none"/>
                <w:lang w:val="zh-CN"/>
              </w:rPr>
              <w:t>条款名称</w:t>
            </w:r>
          </w:p>
        </w:tc>
        <w:tc>
          <w:tcPr>
            <w:tcW w:w="6970" w:type="dxa"/>
            <w:vAlign w:val="center"/>
          </w:tcPr>
          <w:p w14:paraId="1E8235CA">
            <w:pPr>
              <w:pStyle w:val="25"/>
              <w:adjustRightInd/>
              <w:snapToGrid w:val="0"/>
              <w:spacing w:line="240" w:lineRule="auto"/>
              <w:contextualSpacing/>
              <w:jc w:val="center"/>
              <w:rPr>
                <w:sz w:val="21"/>
                <w:szCs w:val="21"/>
                <w:highlight w:val="none"/>
                <w:lang w:val="zh-CN"/>
              </w:rPr>
            </w:pPr>
            <w:r>
              <w:rPr>
                <w:rFonts w:hint="eastAsia"/>
                <w:sz w:val="21"/>
                <w:szCs w:val="21"/>
                <w:highlight w:val="none"/>
                <w:lang w:val="zh-CN"/>
              </w:rPr>
              <w:t>说明和要求</w:t>
            </w:r>
          </w:p>
        </w:tc>
      </w:tr>
      <w:tr w14:paraId="63834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4E40F0EF">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sz w:val="21"/>
                <w:szCs w:val="21"/>
                <w:highlight w:val="none"/>
                <w:lang w:val="zh-CN"/>
              </w:rPr>
              <w:t>1</w:t>
            </w:r>
          </w:p>
        </w:tc>
        <w:tc>
          <w:tcPr>
            <w:tcW w:w="1916" w:type="dxa"/>
            <w:vAlign w:val="center"/>
          </w:tcPr>
          <w:p w14:paraId="5A86B39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采购人</w:t>
            </w:r>
          </w:p>
        </w:tc>
        <w:tc>
          <w:tcPr>
            <w:tcW w:w="6970" w:type="dxa"/>
            <w:vAlign w:val="center"/>
          </w:tcPr>
          <w:p w14:paraId="69B88510">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szCs w:val="21"/>
                <w:highlight w:val="none"/>
                <w:lang w:val="en-US" w:eastAsia="zh-CN"/>
              </w:rPr>
              <w:t>名称</w:t>
            </w:r>
            <w:r>
              <w:rPr>
                <w:rFonts w:hint="eastAsia" w:ascii="宋体" w:hAnsi="宋体" w:eastAsia="宋体"/>
                <w:szCs w:val="21"/>
                <w:highlight w:val="none"/>
                <w:lang w:eastAsia="zh-CN"/>
              </w:rPr>
              <w:t>：</w:t>
            </w:r>
            <w:r>
              <w:rPr>
                <w:rFonts w:hint="eastAsia" w:ascii="宋体" w:hAnsi="宋体" w:cs="宋体"/>
                <w:bCs/>
                <w:sz w:val="21"/>
                <w:szCs w:val="21"/>
                <w:highlight w:val="none"/>
                <w:lang w:val="zh-CN"/>
              </w:rPr>
              <w:t>长春北湖科技开发区管理委员会</w:t>
            </w:r>
          </w:p>
          <w:p w14:paraId="279D7C4D">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 xml:space="preserve">地址：长春北湖科技开发区吉星大厦              </w:t>
            </w:r>
          </w:p>
          <w:p w14:paraId="34ECE50E">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cs="宋体"/>
                <w:bCs/>
                <w:sz w:val="21"/>
                <w:szCs w:val="21"/>
                <w:highlight w:val="none"/>
                <w:lang w:val="zh-CN"/>
              </w:rPr>
              <w:t>联系</w:t>
            </w:r>
            <w:r>
              <w:rPr>
                <w:rFonts w:hint="eastAsia" w:ascii="宋体" w:hAnsi="宋体" w:eastAsia="宋体" w:cs="宋体"/>
                <w:bCs/>
                <w:sz w:val="21"/>
                <w:szCs w:val="21"/>
                <w:highlight w:val="none"/>
                <w:lang w:val="en-US" w:eastAsia="zh-CN"/>
              </w:rPr>
              <w:t>方式</w:t>
            </w:r>
            <w:r>
              <w:rPr>
                <w:rFonts w:hint="eastAsia" w:ascii="宋体" w:hAnsi="宋体" w:eastAsia="宋体"/>
                <w:szCs w:val="21"/>
                <w:highlight w:val="none"/>
                <w:lang w:eastAsia="zh-CN"/>
              </w:rPr>
              <w:t>：宗德生</w:t>
            </w:r>
            <w:r>
              <w:rPr>
                <w:rFonts w:hint="eastAsia" w:ascii="宋体" w:hAnsi="宋体" w:cs="宋体"/>
                <w:bCs/>
                <w:sz w:val="21"/>
                <w:szCs w:val="21"/>
                <w:highlight w:val="none"/>
                <w:lang w:val="en-US" w:eastAsia="zh-CN"/>
              </w:rPr>
              <w:t>0431-</w:t>
            </w:r>
            <w:r>
              <w:rPr>
                <w:rFonts w:hint="eastAsia" w:ascii="宋体" w:hAnsi="宋体" w:eastAsia="宋体" w:cs="宋体"/>
                <w:bCs/>
                <w:sz w:val="21"/>
                <w:szCs w:val="21"/>
                <w:highlight w:val="none"/>
                <w:lang w:val="zh-CN"/>
              </w:rPr>
              <w:t>89672859</w:t>
            </w:r>
          </w:p>
        </w:tc>
      </w:tr>
      <w:tr w14:paraId="55426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262114F">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2</w:t>
            </w:r>
          </w:p>
        </w:tc>
        <w:tc>
          <w:tcPr>
            <w:tcW w:w="1916" w:type="dxa"/>
            <w:vAlign w:val="center"/>
          </w:tcPr>
          <w:p w14:paraId="6195E6C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采购代理机构</w:t>
            </w:r>
          </w:p>
        </w:tc>
        <w:tc>
          <w:tcPr>
            <w:tcW w:w="6970" w:type="dxa"/>
            <w:vAlign w:val="center"/>
          </w:tcPr>
          <w:p w14:paraId="1DA4547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名称：</w:t>
            </w:r>
            <w:r>
              <w:rPr>
                <w:rFonts w:hint="eastAsia" w:ascii="宋体" w:hAnsi="宋体" w:eastAsia="宋体" w:cs="宋体"/>
                <w:bCs/>
                <w:sz w:val="21"/>
                <w:szCs w:val="21"/>
                <w:highlight w:val="none"/>
                <w:lang w:val="zh-CN" w:eastAsia="zh-CN"/>
              </w:rPr>
              <w:t>天宇工程咨询有限公司</w:t>
            </w:r>
          </w:p>
          <w:p w14:paraId="0351B86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地址：长春市</w:t>
            </w:r>
            <w:r>
              <w:rPr>
                <w:rFonts w:hint="eastAsia" w:ascii="宋体" w:hAnsi="宋体" w:cs="宋体"/>
                <w:bCs/>
                <w:sz w:val="21"/>
                <w:szCs w:val="21"/>
                <w:highlight w:val="none"/>
                <w:lang w:val="en-US" w:eastAsia="zh-CN"/>
              </w:rPr>
              <w:t>高新区越达科技园</w:t>
            </w:r>
            <w:r>
              <w:rPr>
                <w:rFonts w:hint="eastAsia" w:ascii="宋体" w:hAnsi="宋体" w:eastAsia="宋体" w:cs="宋体"/>
                <w:bCs/>
                <w:sz w:val="21"/>
                <w:szCs w:val="21"/>
                <w:highlight w:val="none"/>
                <w:lang w:val="zh-CN"/>
              </w:rPr>
              <w:t> </w:t>
            </w:r>
          </w:p>
          <w:p w14:paraId="6F32225E">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eastAsia="宋体" w:cs="宋体"/>
                <w:bCs/>
                <w:sz w:val="21"/>
                <w:szCs w:val="21"/>
                <w:highlight w:val="none"/>
                <w:lang w:val="zh-CN"/>
              </w:rPr>
              <w:t>联系</w:t>
            </w:r>
            <w:r>
              <w:rPr>
                <w:rFonts w:hint="eastAsia" w:ascii="宋体" w:hAnsi="宋体" w:eastAsia="宋体" w:cs="宋体"/>
                <w:bCs/>
                <w:sz w:val="21"/>
                <w:szCs w:val="21"/>
                <w:highlight w:val="none"/>
                <w:lang w:val="en-US" w:eastAsia="zh-CN"/>
              </w:rPr>
              <w:t>方式</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en-US" w:eastAsia="zh-CN"/>
              </w:rPr>
              <w:t>王金超</w:t>
            </w:r>
            <w:r>
              <w:rPr>
                <w:rFonts w:hint="eastAsia" w:ascii="宋体" w:hAnsi="宋体" w:eastAsia="宋体" w:cs="宋体"/>
                <w:bCs/>
                <w:sz w:val="21"/>
                <w:szCs w:val="21"/>
                <w:highlight w:val="none"/>
                <w:lang w:val="zh-CN" w:eastAsia="zh-CN"/>
              </w:rPr>
              <w:t>0431-88073777</w:t>
            </w:r>
          </w:p>
        </w:tc>
      </w:tr>
      <w:tr w14:paraId="4EFDB9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2E03F47">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3</w:t>
            </w:r>
          </w:p>
        </w:tc>
        <w:tc>
          <w:tcPr>
            <w:tcW w:w="1916" w:type="dxa"/>
            <w:vAlign w:val="center"/>
          </w:tcPr>
          <w:p w14:paraId="3A871E1A">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项目编号</w:t>
            </w:r>
          </w:p>
        </w:tc>
        <w:tc>
          <w:tcPr>
            <w:tcW w:w="6970" w:type="dxa"/>
            <w:vAlign w:val="center"/>
          </w:tcPr>
          <w:p w14:paraId="327ADC76">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szCs w:val="21"/>
                <w:highlight w:val="none"/>
                <w:lang w:val="en-US" w:eastAsia="zh-CN"/>
              </w:rPr>
            </w:pPr>
            <w:r>
              <w:rPr>
                <w:rFonts w:hint="eastAsia" w:ascii="宋体" w:hAnsi="宋体"/>
                <w:szCs w:val="21"/>
                <w:highlight w:val="none"/>
                <w:lang w:val="en-US" w:eastAsia="zh-CN"/>
              </w:rPr>
              <w:t>BQZCWT2025-015</w:t>
            </w:r>
          </w:p>
        </w:tc>
      </w:tr>
      <w:tr w14:paraId="28CDC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A298517">
            <w:pPr>
              <w:pStyle w:val="25"/>
              <w:keepNext w:val="0"/>
              <w:keepLines w:val="0"/>
              <w:pageBreakBefore w:val="0"/>
              <w:widowControl w:val="0"/>
              <w:kinsoku/>
              <w:wordWrap/>
              <w:overflowPunct/>
              <w:topLinePunct w:val="0"/>
              <w:bidi w:val="0"/>
              <w:adjustRightInd/>
              <w:snapToGrid w:val="0"/>
              <w:spacing w:line="240" w:lineRule="auto"/>
              <w:contextualSpacing/>
              <w:jc w:val="center"/>
              <w:textAlignment w:val="auto"/>
              <w:rPr>
                <w:sz w:val="21"/>
                <w:szCs w:val="21"/>
                <w:highlight w:val="none"/>
                <w:lang w:val="zh-CN"/>
              </w:rPr>
            </w:pPr>
            <w:r>
              <w:rPr>
                <w:rFonts w:hint="eastAsia"/>
                <w:sz w:val="21"/>
                <w:szCs w:val="21"/>
                <w:highlight w:val="none"/>
                <w:lang w:val="zh-CN"/>
              </w:rPr>
              <w:t>4</w:t>
            </w:r>
          </w:p>
        </w:tc>
        <w:tc>
          <w:tcPr>
            <w:tcW w:w="1916" w:type="dxa"/>
            <w:vAlign w:val="center"/>
          </w:tcPr>
          <w:p w14:paraId="7BA4AD07">
            <w:pPr>
              <w:pStyle w:val="25"/>
              <w:keepNext w:val="0"/>
              <w:keepLines w:val="0"/>
              <w:pageBreakBefore w:val="0"/>
              <w:widowControl w:val="0"/>
              <w:kinsoku/>
              <w:wordWrap/>
              <w:overflowPunct/>
              <w:topLinePunct w:val="0"/>
              <w:bidi w:val="0"/>
              <w:adjustRightInd/>
              <w:snapToGrid w:val="0"/>
              <w:spacing w:line="240" w:lineRule="auto"/>
              <w:contextualSpacing/>
              <w:jc w:val="center"/>
              <w:textAlignment w:val="auto"/>
              <w:rPr>
                <w:sz w:val="21"/>
                <w:szCs w:val="21"/>
                <w:highlight w:val="none"/>
                <w:lang w:val="zh-CN"/>
              </w:rPr>
            </w:pPr>
            <w:r>
              <w:rPr>
                <w:rFonts w:hint="eastAsia"/>
                <w:sz w:val="21"/>
                <w:szCs w:val="21"/>
                <w:highlight w:val="none"/>
                <w:lang w:val="zh-CN"/>
              </w:rPr>
              <w:t>项目名称</w:t>
            </w:r>
          </w:p>
        </w:tc>
        <w:tc>
          <w:tcPr>
            <w:tcW w:w="6970" w:type="dxa"/>
            <w:vAlign w:val="center"/>
          </w:tcPr>
          <w:p w14:paraId="12EED4F2">
            <w:pPr>
              <w:keepNext w:val="0"/>
              <w:keepLines w:val="0"/>
              <w:pageBreakBefore w:val="0"/>
              <w:widowControl w:val="0"/>
              <w:kinsoku/>
              <w:wordWrap/>
              <w:overflowPunct/>
              <w:topLinePunct w:val="0"/>
              <w:bidi w:val="0"/>
              <w:adjustRightInd/>
              <w:snapToGrid w:val="0"/>
              <w:spacing w:line="240" w:lineRule="auto"/>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长春北湖科技开发区北部污水处理厂污泥处置项目</w:t>
            </w:r>
          </w:p>
        </w:tc>
      </w:tr>
      <w:tr w14:paraId="07B8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58" w:type="dxa"/>
            <w:vAlign w:val="center"/>
          </w:tcPr>
          <w:p w14:paraId="0E51952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5</w:t>
            </w:r>
          </w:p>
        </w:tc>
        <w:tc>
          <w:tcPr>
            <w:tcW w:w="1916" w:type="dxa"/>
            <w:vAlign w:val="center"/>
          </w:tcPr>
          <w:p w14:paraId="2695DFAD">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采购需求</w:t>
            </w:r>
          </w:p>
        </w:tc>
        <w:tc>
          <w:tcPr>
            <w:tcW w:w="6970" w:type="dxa"/>
            <w:vAlign w:val="center"/>
          </w:tcPr>
          <w:p w14:paraId="758B80C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val="zh-CN"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减量化、无害化、资源化转运及处理处置长春北部污水处理厂生产含水率80%及以下的污泥，每天产生量在10—250吨左右（设备检修及故障除外）</w:t>
            </w:r>
            <w:r>
              <w:rPr>
                <w:rFonts w:hint="eastAsia" w:ascii="宋体" w:hAnsi="宋体" w:eastAsia="宋体" w:cs="宋体"/>
                <w:color w:val="auto"/>
                <w:sz w:val="21"/>
                <w:szCs w:val="21"/>
                <w:highlight w:val="none"/>
                <w:u w:val="none"/>
                <w:lang w:val="en-US" w:eastAsia="zh-CN"/>
              </w:rPr>
              <w:t>。污泥处置数量：平均日产量约65吨，计划年产量约为24000吨</w:t>
            </w:r>
            <w:r>
              <w:rPr>
                <w:rFonts w:hint="eastAsia" w:ascii="宋体" w:hAnsi="宋体"/>
                <w:szCs w:val="21"/>
                <w:highlight w:val="none"/>
                <w:lang w:val="zh-CN" w:eastAsia="zh-CN"/>
              </w:rPr>
              <w:t>。</w:t>
            </w:r>
          </w:p>
        </w:tc>
      </w:tr>
      <w:tr w14:paraId="1CCE3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58" w:type="dxa"/>
            <w:vAlign w:val="center"/>
          </w:tcPr>
          <w:p w14:paraId="741AD0B7">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6</w:t>
            </w:r>
          </w:p>
        </w:tc>
        <w:tc>
          <w:tcPr>
            <w:tcW w:w="1916" w:type="dxa"/>
            <w:vAlign w:val="center"/>
          </w:tcPr>
          <w:p w14:paraId="7308798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zh-CN"/>
              </w:rPr>
              <w:t>资金来源</w:t>
            </w:r>
            <w:r>
              <w:rPr>
                <w:rFonts w:hint="eastAsia"/>
                <w:color w:val="auto"/>
                <w:sz w:val="21"/>
                <w:szCs w:val="21"/>
                <w:highlight w:val="none"/>
                <w:lang w:val="en-US" w:eastAsia="zh-CN"/>
              </w:rPr>
              <w:t>及比例</w:t>
            </w:r>
          </w:p>
        </w:tc>
        <w:tc>
          <w:tcPr>
            <w:tcW w:w="6970" w:type="dxa"/>
            <w:vAlign w:val="center"/>
          </w:tcPr>
          <w:p w14:paraId="59751989">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color w:val="auto"/>
                <w:sz w:val="21"/>
                <w:szCs w:val="21"/>
                <w:highlight w:val="none"/>
                <w:lang w:val="en-US" w:eastAsia="zh-CN"/>
              </w:rPr>
            </w:pPr>
            <w:r>
              <w:rPr>
                <w:rFonts w:hint="eastAsia"/>
                <w:color w:val="auto"/>
                <w:sz w:val="21"/>
                <w:szCs w:val="21"/>
                <w:highlight w:val="none"/>
                <w:lang w:val="zh-CN"/>
              </w:rPr>
              <w:t>财政资金，</w:t>
            </w:r>
            <w:r>
              <w:rPr>
                <w:rFonts w:hint="eastAsia"/>
                <w:color w:val="auto"/>
                <w:sz w:val="21"/>
                <w:szCs w:val="21"/>
                <w:highlight w:val="none"/>
                <w:lang w:val="en-US" w:eastAsia="zh-CN"/>
              </w:rPr>
              <w:t>100%，已落实。</w:t>
            </w:r>
          </w:p>
        </w:tc>
      </w:tr>
      <w:tr w14:paraId="2E6EE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58" w:type="dxa"/>
            <w:vMerge w:val="restart"/>
            <w:vAlign w:val="center"/>
          </w:tcPr>
          <w:p w14:paraId="3BBD3CB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7</w:t>
            </w:r>
          </w:p>
        </w:tc>
        <w:tc>
          <w:tcPr>
            <w:tcW w:w="1916" w:type="dxa"/>
            <w:vMerge w:val="restart"/>
            <w:vAlign w:val="center"/>
          </w:tcPr>
          <w:p w14:paraId="2730AFD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sz w:val="21"/>
                <w:szCs w:val="21"/>
                <w:highlight w:val="none"/>
                <w:lang w:val="zh-CN"/>
              </w:rPr>
            </w:pPr>
            <w:r>
              <w:rPr>
                <w:rFonts w:hint="eastAsia"/>
                <w:sz w:val="21"/>
                <w:szCs w:val="21"/>
                <w:highlight w:val="none"/>
                <w:lang w:val="zh-CN"/>
              </w:rPr>
              <w:t>采购方式及</w:t>
            </w:r>
          </w:p>
          <w:p w14:paraId="60DBBC2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资格审查方式</w:t>
            </w:r>
          </w:p>
        </w:tc>
        <w:tc>
          <w:tcPr>
            <w:tcW w:w="6970" w:type="dxa"/>
            <w:tcBorders>
              <w:bottom w:val="single" w:color="auto" w:sz="4" w:space="0"/>
            </w:tcBorders>
            <w:vAlign w:val="center"/>
          </w:tcPr>
          <w:p w14:paraId="2D66E96C">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sz w:val="21"/>
                <w:szCs w:val="21"/>
                <w:highlight w:val="none"/>
                <w:lang w:val="en-US" w:eastAsia="zh-CN"/>
              </w:rPr>
            </w:pPr>
            <w:r>
              <w:rPr>
                <w:rFonts w:hint="eastAsia"/>
                <w:sz w:val="21"/>
                <w:szCs w:val="21"/>
                <w:highlight w:val="none"/>
                <w:lang w:val="zh-CN"/>
              </w:rPr>
              <w:t>采购方式：</w:t>
            </w:r>
            <w:r>
              <w:rPr>
                <w:rFonts w:hint="eastAsia"/>
                <w:sz w:val="21"/>
                <w:szCs w:val="21"/>
                <w:highlight w:val="none"/>
                <w:lang w:val="en-US" w:eastAsia="zh-CN"/>
              </w:rPr>
              <w:t>公开招标</w:t>
            </w:r>
          </w:p>
        </w:tc>
      </w:tr>
      <w:tr w14:paraId="60991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858" w:type="dxa"/>
            <w:vMerge w:val="continue"/>
            <w:vAlign w:val="center"/>
          </w:tcPr>
          <w:p w14:paraId="0292D890">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1916" w:type="dxa"/>
            <w:vMerge w:val="continue"/>
            <w:vAlign w:val="center"/>
          </w:tcPr>
          <w:p w14:paraId="47738124">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6970" w:type="dxa"/>
            <w:tcBorders>
              <w:top w:val="single" w:color="auto" w:sz="4" w:space="0"/>
            </w:tcBorders>
            <w:vAlign w:val="center"/>
          </w:tcPr>
          <w:p w14:paraId="3FE7DE1D">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资格审查方式：资格后审</w:t>
            </w:r>
          </w:p>
        </w:tc>
      </w:tr>
      <w:tr w14:paraId="3349D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DE4D1F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8</w:t>
            </w:r>
          </w:p>
        </w:tc>
        <w:tc>
          <w:tcPr>
            <w:tcW w:w="1916" w:type="dxa"/>
            <w:vAlign w:val="center"/>
          </w:tcPr>
          <w:p w14:paraId="2899333F">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eastAsia="zh-CN"/>
              </w:rPr>
              <w:t>供应商</w:t>
            </w:r>
            <w:r>
              <w:rPr>
                <w:sz w:val="21"/>
                <w:szCs w:val="21"/>
                <w:highlight w:val="none"/>
              </w:rPr>
              <w:t>资质要求</w:t>
            </w:r>
          </w:p>
        </w:tc>
        <w:tc>
          <w:tcPr>
            <w:tcW w:w="6970" w:type="dxa"/>
            <w:vAlign w:val="center"/>
          </w:tcPr>
          <w:p w14:paraId="326CC36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满足《中华人民共和国政府采购法》第二十二条规定</w:t>
            </w:r>
            <w:r>
              <w:rPr>
                <w:rFonts w:hint="eastAsia" w:ascii="宋体" w:hAnsi="宋体" w:eastAsia="宋体" w:cs="宋体"/>
                <w:bCs/>
                <w:sz w:val="21"/>
                <w:szCs w:val="21"/>
                <w:highlight w:val="none"/>
                <w:lang w:eastAsia="zh-CN"/>
              </w:rPr>
              <w:t>：</w:t>
            </w:r>
          </w:p>
          <w:p w14:paraId="030421F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（1）具有独立承担民事责任的能力；</w:t>
            </w:r>
          </w:p>
          <w:p w14:paraId="5185E0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（2）具有良好的商业信誉和健全的财务会计制度</w:t>
            </w:r>
          </w:p>
          <w:p w14:paraId="26EB26D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（3）具有履行合同所必需的设备和专业技术能力；</w:t>
            </w:r>
          </w:p>
          <w:p w14:paraId="446B82E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（4）有依法缴纳税收和社会保障资金的良好记录；</w:t>
            </w:r>
          </w:p>
          <w:p w14:paraId="7792709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（5）参加政府采购活动前三年内，在经营活动中没有重大违法记录；</w:t>
            </w:r>
          </w:p>
          <w:p w14:paraId="582071F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（6）法律、行政法规规定的其他条件。</w:t>
            </w:r>
          </w:p>
          <w:p w14:paraId="1DC9B6B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落实政府采购政策需满足的资格要求：本项目为专门面向中小企业（本项目中小企业划分标准所属行业：其他未列明行业）</w:t>
            </w:r>
            <w:r>
              <w:rPr>
                <w:rFonts w:hint="eastAsia" w:ascii="宋体" w:hAnsi="宋体" w:eastAsia="宋体" w:cs="宋体"/>
                <w:bCs/>
                <w:sz w:val="21"/>
                <w:szCs w:val="21"/>
                <w:highlight w:val="none"/>
              </w:rPr>
              <w:t>；</w:t>
            </w:r>
            <w:r>
              <w:rPr>
                <w:rFonts w:hint="eastAsia" w:ascii="宋体" w:hAnsi="宋体" w:eastAsia="宋体" w:cs="宋体"/>
                <w:bCs/>
                <w:color w:val="auto"/>
                <w:kern w:val="0"/>
                <w:sz w:val="21"/>
                <w:szCs w:val="21"/>
                <w:highlight w:val="none"/>
                <w:lang w:val="zh-CN"/>
              </w:rPr>
              <w:t>《中华人民共和国中小企业促进法》、《关于促进中小企业健康发展的指导意见》、《政府采购促进中小企业发展管理办法》（财库[2020]46号）</w:t>
            </w:r>
            <w:r>
              <w:rPr>
                <w:rFonts w:hint="eastAsia" w:ascii="宋体" w:hAnsi="宋体" w:eastAsia="宋体" w:cs="宋体"/>
                <w:bCs/>
                <w:sz w:val="21"/>
                <w:szCs w:val="21"/>
                <w:highlight w:val="none"/>
              </w:rPr>
              <w:t>、</w:t>
            </w:r>
            <w:r>
              <w:rPr>
                <w:rFonts w:hint="eastAsia" w:ascii="宋体" w:hAnsi="宋体" w:eastAsia="宋体" w:cs="宋体"/>
                <w:bCs/>
                <w:color w:val="auto"/>
                <w:kern w:val="0"/>
                <w:sz w:val="21"/>
                <w:szCs w:val="21"/>
                <w:highlight w:val="none"/>
                <w:lang w:val="zh-CN"/>
              </w:rPr>
              <w:t>《关于进一步加大政府采购支持中小企业力度的通知》（财库〔2022〕19号）、《财政部、司法部关于政府采购支持监狱企业发展有关问题的通知》（财库[2014]68号）、《关于促进残疾人就业政府采购政策的通知》（财库〔2017〕141号）</w:t>
            </w:r>
            <w:r>
              <w:rPr>
                <w:rFonts w:hint="eastAsia" w:ascii="宋体" w:hAnsi="宋体" w:eastAsia="宋体" w:cs="宋体"/>
                <w:bCs/>
                <w:sz w:val="21"/>
                <w:szCs w:val="21"/>
                <w:highlight w:val="none"/>
              </w:rPr>
              <w:t>等。</w:t>
            </w:r>
          </w:p>
          <w:p w14:paraId="4CDBBE1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本项目的特定资格要求：</w:t>
            </w:r>
          </w:p>
          <w:p w14:paraId="1E56815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Cs/>
                <w:sz w:val="21"/>
                <w:szCs w:val="21"/>
                <w:highlight w:val="none"/>
                <w:lang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须</w:t>
            </w:r>
            <w:r>
              <w:rPr>
                <w:rFonts w:hint="eastAsia" w:ascii="宋体" w:hAnsi="宋体" w:eastAsia="宋体" w:cs="宋体"/>
                <w:bCs/>
                <w:sz w:val="21"/>
                <w:szCs w:val="21"/>
                <w:highlight w:val="none"/>
                <w:lang w:eastAsia="zh-CN"/>
              </w:rPr>
              <w:t>是</w:t>
            </w:r>
            <w:r>
              <w:rPr>
                <w:rFonts w:hint="eastAsia" w:ascii="宋体" w:hAnsi="宋体" w:eastAsia="宋体" w:cs="宋体"/>
                <w:bCs/>
                <w:sz w:val="21"/>
                <w:szCs w:val="21"/>
                <w:highlight w:val="none"/>
              </w:rPr>
              <w:t>在中华人民共和国境内合法注册，能够独立承担民事责任的企业法人或其他组织，具备有效的营业执照</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lang w:val="en-US" w:eastAsia="zh-CN"/>
              </w:rPr>
              <w:t>供应商</w:t>
            </w:r>
            <w:r>
              <w:rPr>
                <w:rFonts w:hint="eastAsia" w:ascii="宋体" w:hAnsi="宋体" w:cs="宋体"/>
                <w:bCs/>
                <w:sz w:val="21"/>
                <w:szCs w:val="21"/>
                <w:highlight w:val="none"/>
                <w:lang w:eastAsia="zh-CN"/>
              </w:rPr>
              <w:t>须具有中华人民共和国道路运输经营许可证。</w:t>
            </w:r>
          </w:p>
          <w:p w14:paraId="2B57939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3.2 供应商</w:t>
            </w:r>
            <w:r>
              <w:rPr>
                <w:rFonts w:hint="eastAsia" w:ascii="宋体" w:hAnsi="宋体" w:eastAsia="宋体" w:cs="宋体"/>
                <w:bCs/>
                <w:sz w:val="21"/>
                <w:szCs w:val="21"/>
                <w:highlight w:val="none"/>
              </w:rPr>
              <w:t>必须具备满足处理10万吨/日规模污水处理厂（即北部污水处理厂）日常生产污泥综合处理能力，以及具备因自身停产、减产等因素处理能力不足时应急处置北部污水处理厂日常产生污泥的能力和措施。具备污泥综合处置能力（包含转运及最终处置）以及对应本项目所必需的设施、设备和专业技术能力（提供相关业绩证明资料），不得以处置能力借口拒收北部污水处理厂产生之污泥</w:t>
            </w:r>
            <w:r>
              <w:rPr>
                <w:rFonts w:hint="eastAsia" w:ascii="宋体" w:hAnsi="宋体" w:cs="宋体"/>
                <w:bCs/>
                <w:sz w:val="21"/>
                <w:szCs w:val="21"/>
                <w:highlight w:val="none"/>
                <w:lang w:eastAsia="zh-CN"/>
              </w:rPr>
              <w:t>。</w:t>
            </w:r>
          </w:p>
          <w:p w14:paraId="5288D74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供应商必须</w:t>
            </w:r>
            <w:r>
              <w:rPr>
                <w:rFonts w:hint="eastAsia" w:ascii="宋体" w:hAnsi="宋体" w:eastAsia="宋体" w:cs="宋体"/>
                <w:bCs/>
                <w:sz w:val="21"/>
                <w:szCs w:val="21"/>
                <w:highlight w:val="none"/>
                <w:lang w:val="en-US" w:eastAsia="zh-CN"/>
              </w:rPr>
              <w:t>具备污泥处置地点，</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en-US" w:eastAsia="zh-CN"/>
              </w:rPr>
              <w:t>文件中须提供污泥处置地点的证明文件，证明文件须包含允许该处置点接收污水处理厂污泥处置的环评批复和环保验收批复</w:t>
            </w:r>
            <w:r>
              <w:rPr>
                <w:rFonts w:hint="eastAsia" w:ascii="宋体" w:hAnsi="宋体" w:eastAsia="宋体" w:cs="宋体"/>
                <w:bCs/>
                <w:sz w:val="21"/>
                <w:szCs w:val="21"/>
                <w:highlight w:val="none"/>
              </w:rPr>
              <w:t>。</w:t>
            </w:r>
          </w:p>
          <w:p w14:paraId="64FCA29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3.4 财务要求：</w:t>
            </w:r>
            <w:r>
              <w:rPr>
                <w:rFonts w:hint="eastAsia" w:ascii="宋体" w:hAnsi="宋体" w:eastAsia="宋体" w:cs="宋体"/>
                <w:sz w:val="21"/>
                <w:szCs w:val="21"/>
                <w:highlight w:val="none"/>
                <w:lang w:val="en-US"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688B974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 xml:space="preserve">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w:t>
            </w:r>
            <w:r>
              <w:rPr>
                <w:rFonts w:hint="eastAsia" w:ascii="宋体" w:hAnsi="宋体" w:cs="宋体"/>
                <w:bCs/>
                <w:sz w:val="21"/>
                <w:szCs w:val="21"/>
                <w:highlight w:val="none"/>
                <w:lang w:val="en-US" w:eastAsia="zh-CN"/>
              </w:rPr>
              <w:t>2022年1月1日起至今</w:t>
            </w:r>
            <w:r>
              <w:rPr>
                <w:rFonts w:hint="eastAsia" w:ascii="宋体" w:hAnsi="宋体" w:eastAsia="宋体" w:cs="宋体"/>
                <w:bCs/>
                <w:sz w:val="21"/>
                <w:szCs w:val="21"/>
                <w:highlight w:val="none"/>
                <w:lang w:val="en-US" w:eastAsia="zh-CN"/>
              </w:rPr>
              <w:t>）内</w:t>
            </w:r>
            <w:r>
              <w:rPr>
                <w:rFonts w:hint="eastAsia" w:ascii="宋体" w:hAnsi="宋体" w:cs="宋体"/>
                <w:bCs/>
                <w:sz w:val="21"/>
                <w:szCs w:val="21"/>
                <w:highlight w:val="none"/>
                <w:lang w:val="en-US" w:eastAsia="zh-CN"/>
              </w:rPr>
              <w:t>供应商及</w:t>
            </w:r>
            <w:r>
              <w:rPr>
                <w:rFonts w:hint="eastAsia" w:ascii="宋体" w:hAnsi="宋体" w:eastAsia="宋体" w:cs="宋体"/>
                <w:bCs/>
                <w:sz w:val="21"/>
                <w:szCs w:val="21"/>
                <w:highlight w:val="none"/>
                <w:lang w:val="en-US" w:eastAsia="zh-CN"/>
              </w:rPr>
              <w:t>其法定代表人未在“中国裁判文书网”(wenshu.court.gov.cn)上有行贿犯罪行为。</w:t>
            </w:r>
          </w:p>
          <w:p w14:paraId="11C547C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 xml:space="preserve">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　</w:t>
            </w:r>
          </w:p>
          <w:p w14:paraId="2FCFE8E6">
            <w:pPr>
              <w:keepNext w:val="0"/>
              <w:keepLines w:val="0"/>
              <w:pageBreakBefore w:val="0"/>
              <w:widowControl w:val="0"/>
              <w:kinsoku/>
              <w:wordWrap/>
              <w:overflowPunct/>
              <w:topLinePunct w:val="0"/>
              <w:bidi w:val="0"/>
              <w:adjustRightInd/>
              <w:spacing w:line="440" w:lineRule="exact"/>
              <w:ind w:firstLine="420" w:firstLineChars="200"/>
              <w:textAlignment w:val="auto"/>
              <w:rPr>
                <w:rFonts w:ascii="宋体" w:hAnsi="宋体"/>
                <w:szCs w:val="21"/>
                <w:highlight w:val="none"/>
              </w:rPr>
            </w:pPr>
            <w:r>
              <w:rPr>
                <w:rFonts w:hint="eastAsia" w:ascii="宋体" w:hAnsi="宋体" w:eastAsia="宋体" w:cs="宋体"/>
                <w:bCs/>
                <w:sz w:val="21"/>
                <w:szCs w:val="21"/>
                <w:highlight w:val="none"/>
                <w:lang w:val="en-US" w:eastAsia="zh-CN"/>
              </w:rPr>
              <w:t>3.</w:t>
            </w: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 xml:space="preserve"> 招投标过程中，</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所提供的所有证件均需在有效期内且注册单位名称与</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的名称一致，如企业名称发生变更，需提供主管部门出具的变更证明材料，否则不接受其</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rPr>
              <w:t>参与本次</w:t>
            </w:r>
            <w:r>
              <w:rPr>
                <w:rFonts w:hint="eastAsia" w:ascii="宋体" w:hAnsi="宋体" w:cs="宋体"/>
                <w:bCs/>
                <w:sz w:val="21"/>
                <w:szCs w:val="21"/>
                <w:highlight w:val="none"/>
                <w:lang w:val="en-US" w:eastAsia="zh-CN"/>
              </w:rPr>
              <w:t>采购</w:t>
            </w:r>
            <w:r>
              <w:rPr>
                <w:rFonts w:hint="eastAsia" w:ascii="宋体" w:hAnsi="宋体" w:eastAsia="宋体" w:cs="宋体"/>
                <w:bCs/>
                <w:sz w:val="21"/>
                <w:szCs w:val="21"/>
                <w:highlight w:val="none"/>
              </w:rPr>
              <w:t>项目的投标</w:t>
            </w:r>
            <w:r>
              <w:rPr>
                <w:rFonts w:hint="eastAsia" w:ascii="宋体" w:hAnsi="宋体"/>
                <w:szCs w:val="21"/>
                <w:highlight w:val="none"/>
              </w:rPr>
              <w:t>。</w:t>
            </w:r>
          </w:p>
        </w:tc>
      </w:tr>
      <w:tr w14:paraId="52082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255B05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9</w:t>
            </w:r>
          </w:p>
        </w:tc>
        <w:tc>
          <w:tcPr>
            <w:tcW w:w="1916" w:type="dxa"/>
            <w:vAlign w:val="center"/>
          </w:tcPr>
          <w:p w14:paraId="45B6F02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合同履行期限</w:t>
            </w:r>
          </w:p>
        </w:tc>
        <w:tc>
          <w:tcPr>
            <w:tcW w:w="6970" w:type="dxa"/>
            <w:vAlign w:val="center"/>
          </w:tcPr>
          <w:p w14:paraId="2B2EE4D6">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ascii="宋体" w:hAnsi="宋体" w:cs="宋体"/>
                <w:b w:val="0"/>
                <w:bCs w:val="0"/>
                <w:caps w:val="0"/>
                <w:color w:val="000000"/>
                <w:kern w:val="0"/>
                <w:sz w:val="21"/>
                <w:szCs w:val="21"/>
                <w:highlight w:val="none"/>
                <w:vertAlign w:val="baseline"/>
                <w:lang w:val="en-US" w:eastAsia="zh-CN" w:bidi="ar"/>
              </w:rPr>
              <w:t>自签订合同之日起两年</w:t>
            </w:r>
          </w:p>
        </w:tc>
      </w:tr>
      <w:tr w14:paraId="65448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A7AB577">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sz w:val="21"/>
                <w:szCs w:val="21"/>
                <w:highlight w:val="none"/>
                <w:lang w:val="zh-CN"/>
              </w:rPr>
              <w:t>10</w:t>
            </w:r>
          </w:p>
        </w:tc>
        <w:tc>
          <w:tcPr>
            <w:tcW w:w="1916" w:type="dxa"/>
            <w:vAlign w:val="center"/>
          </w:tcPr>
          <w:p w14:paraId="6595C74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地点</w:t>
            </w:r>
          </w:p>
        </w:tc>
        <w:tc>
          <w:tcPr>
            <w:tcW w:w="6970" w:type="dxa"/>
            <w:vAlign w:val="center"/>
          </w:tcPr>
          <w:p w14:paraId="75A35475">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长春北部污水处理厂</w:t>
            </w:r>
          </w:p>
        </w:tc>
      </w:tr>
      <w:tr w14:paraId="54350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4DB86800">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11</w:t>
            </w:r>
          </w:p>
        </w:tc>
        <w:tc>
          <w:tcPr>
            <w:tcW w:w="1916" w:type="dxa"/>
            <w:vAlign w:val="center"/>
          </w:tcPr>
          <w:p w14:paraId="64A1C28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rPr>
              <w:t>付款方式</w:t>
            </w:r>
          </w:p>
        </w:tc>
        <w:tc>
          <w:tcPr>
            <w:tcW w:w="6970" w:type="dxa"/>
            <w:vAlign w:val="center"/>
          </w:tcPr>
          <w:p w14:paraId="3B0E8FA5">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sz w:val="21"/>
                <w:szCs w:val="21"/>
                <w:highlight w:val="none"/>
                <w:lang w:eastAsia="zh-CN"/>
              </w:rPr>
              <w:t>以单价*最终实际发生量，以经甲方及柏林水务共同确认的乙方进场污泥称重小票计量合计，每月一结算。</w:t>
            </w:r>
          </w:p>
        </w:tc>
      </w:tr>
      <w:tr w14:paraId="41336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1B68674">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12</w:t>
            </w:r>
          </w:p>
        </w:tc>
        <w:tc>
          <w:tcPr>
            <w:tcW w:w="1916" w:type="dxa"/>
            <w:vAlign w:val="center"/>
          </w:tcPr>
          <w:p w14:paraId="5B97FE71">
            <w:pPr>
              <w:pStyle w:val="25"/>
              <w:keepNext w:val="0"/>
              <w:keepLines w:val="0"/>
              <w:pageBreakBefore w:val="0"/>
              <w:widowControl w:val="0"/>
              <w:kinsoku/>
              <w:wordWrap/>
              <w:overflowPunct/>
              <w:topLinePunct w:val="0"/>
              <w:bidi w:val="0"/>
              <w:adjustRightInd/>
              <w:spacing w:line="440" w:lineRule="exact"/>
              <w:jc w:val="center"/>
              <w:textAlignment w:val="auto"/>
              <w:rPr>
                <w:sz w:val="21"/>
                <w:szCs w:val="21"/>
                <w:highlight w:val="none"/>
                <w:lang w:val="zh-CN"/>
              </w:rPr>
            </w:pPr>
            <w:r>
              <w:rPr>
                <w:rFonts w:hint="eastAsia"/>
                <w:sz w:val="21"/>
                <w:szCs w:val="21"/>
                <w:highlight w:val="none"/>
                <w:lang w:val="en-US" w:eastAsia="zh-CN"/>
              </w:rPr>
              <w:t>质量及验收</w:t>
            </w:r>
            <w:r>
              <w:rPr>
                <w:rFonts w:hint="eastAsia"/>
                <w:sz w:val="21"/>
                <w:szCs w:val="21"/>
                <w:highlight w:val="none"/>
                <w:lang w:val="zh-CN"/>
              </w:rPr>
              <w:t>标准</w:t>
            </w:r>
          </w:p>
        </w:tc>
        <w:tc>
          <w:tcPr>
            <w:tcW w:w="6970" w:type="dxa"/>
            <w:vAlign w:val="center"/>
          </w:tcPr>
          <w:p w14:paraId="795EA27A">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val="zh-CN"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符合国家、地方及行业环保要求</w:t>
            </w:r>
            <w:r>
              <w:rPr>
                <w:rFonts w:hint="eastAsia"/>
                <w:sz w:val="21"/>
                <w:szCs w:val="21"/>
                <w:highlight w:val="none"/>
                <w:lang w:eastAsia="zh-CN"/>
              </w:rPr>
              <w:t>。</w:t>
            </w:r>
          </w:p>
        </w:tc>
      </w:tr>
      <w:tr w14:paraId="0F135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5F6A943">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3</w:t>
            </w:r>
          </w:p>
        </w:tc>
        <w:tc>
          <w:tcPr>
            <w:tcW w:w="1916" w:type="dxa"/>
            <w:vAlign w:val="center"/>
          </w:tcPr>
          <w:p w14:paraId="34FD04A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sz w:val="21"/>
                <w:szCs w:val="21"/>
                <w:highlight w:val="none"/>
              </w:rPr>
            </w:pPr>
            <w:r>
              <w:rPr>
                <w:rFonts w:hint="eastAsia"/>
                <w:sz w:val="21"/>
                <w:szCs w:val="21"/>
                <w:highlight w:val="none"/>
              </w:rPr>
              <w:t>预算金额</w:t>
            </w:r>
          </w:p>
          <w:p w14:paraId="4068ED2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eastAsia="zh-CN"/>
              </w:rPr>
              <w:t>（最高限价）</w:t>
            </w:r>
          </w:p>
        </w:tc>
        <w:tc>
          <w:tcPr>
            <w:tcW w:w="6970" w:type="dxa"/>
            <w:vAlign w:val="center"/>
          </w:tcPr>
          <w:p w14:paraId="3C2C6EEE">
            <w:pPr>
              <w:pStyle w:val="25"/>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sz w:val="21"/>
                <w:szCs w:val="21"/>
                <w:highlight w:val="none"/>
              </w:rPr>
            </w:pPr>
            <w:r>
              <w:rPr>
                <w:rFonts w:hint="eastAsia" w:ascii="宋体" w:hAnsi="宋体" w:eastAsia="宋体" w:cs="宋体"/>
                <w:b w:val="0"/>
                <w:bCs w:val="0"/>
                <w:caps w:val="0"/>
                <w:color w:val="000000"/>
                <w:kern w:val="0"/>
                <w:sz w:val="21"/>
                <w:szCs w:val="21"/>
                <w:highlight w:val="none"/>
                <w:vertAlign w:val="baseline"/>
                <w:lang w:val="en-US" w:eastAsia="zh-CN" w:bidi="ar"/>
              </w:rPr>
              <w:t>预算金额：</w:t>
            </w:r>
            <w:r>
              <w:rPr>
                <w:rFonts w:hint="eastAsia" w:ascii="宋体" w:hAnsi="宋体" w:cs="宋体"/>
                <w:b w:val="0"/>
                <w:bCs w:val="0"/>
                <w:caps w:val="0"/>
                <w:color w:val="000000"/>
                <w:kern w:val="0"/>
                <w:sz w:val="21"/>
                <w:szCs w:val="21"/>
                <w:highlight w:val="none"/>
                <w:vertAlign w:val="baseline"/>
                <w:lang w:val="en-US" w:eastAsia="zh-CN" w:bidi="ar"/>
              </w:rPr>
              <w:t>1584万元</w:t>
            </w:r>
          </w:p>
          <w:p w14:paraId="0489D43C">
            <w:pPr>
              <w:pStyle w:val="25"/>
              <w:keepNext w:val="0"/>
              <w:keepLines w:val="0"/>
              <w:pageBreakBefore w:val="0"/>
              <w:widowControl w:val="0"/>
              <w:kinsoku/>
              <w:wordWrap/>
              <w:overflowPunct/>
              <w:topLinePunct w:val="0"/>
              <w:bidi w:val="0"/>
              <w:adjustRightInd/>
              <w:snapToGrid w:val="0"/>
              <w:spacing w:line="440" w:lineRule="exact"/>
              <w:contextualSpacing/>
              <w:textAlignment w:val="auto"/>
              <w:rPr>
                <w:sz w:val="21"/>
                <w:szCs w:val="21"/>
                <w:highlight w:val="none"/>
                <w:lang w:val="zh-CN"/>
              </w:rPr>
            </w:pPr>
            <w:r>
              <w:rPr>
                <w:rFonts w:hint="eastAsia"/>
                <w:b w:val="0"/>
                <w:bCs w:val="0"/>
                <w:sz w:val="21"/>
                <w:szCs w:val="21"/>
                <w:highlight w:val="none"/>
                <w:lang w:val="zh-CN"/>
              </w:rPr>
              <w:t>最高投标限价：</w:t>
            </w:r>
            <w:r>
              <w:rPr>
                <w:rFonts w:hint="eastAsia" w:ascii="宋体" w:hAnsi="宋体" w:cs="宋体"/>
                <w:b w:val="0"/>
                <w:bCs w:val="0"/>
                <w:caps w:val="0"/>
                <w:color w:val="000000"/>
                <w:kern w:val="0"/>
                <w:sz w:val="21"/>
                <w:szCs w:val="21"/>
                <w:highlight w:val="none"/>
                <w:vertAlign w:val="baseline"/>
                <w:lang w:val="en-US" w:eastAsia="zh-CN" w:bidi="ar"/>
              </w:rPr>
              <w:t>330元/吨</w:t>
            </w:r>
          </w:p>
        </w:tc>
      </w:tr>
      <w:tr w14:paraId="45214E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24E44B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4</w:t>
            </w:r>
          </w:p>
        </w:tc>
        <w:tc>
          <w:tcPr>
            <w:tcW w:w="1916" w:type="dxa"/>
            <w:vAlign w:val="center"/>
          </w:tcPr>
          <w:p w14:paraId="591580E6">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是否接受联合体投标</w:t>
            </w:r>
          </w:p>
        </w:tc>
        <w:tc>
          <w:tcPr>
            <w:tcW w:w="6970" w:type="dxa"/>
            <w:vAlign w:val="center"/>
          </w:tcPr>
          <w:p w14:paraId="2FD33FE7">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sz w:val="21"/>
                <w:szCs w:val="21"/>
                <w:highlight w:val="none"/>
                <w:lang w:eastAsia="zh-CN"/>
              </w:rPr>
            </w:pPr>
            <w:r>
              <w:rPr>
                <w:rFonts w:hint="eastAsia" w:ascii="宋体" w:hAnsi="宋体" w:eastAsia="宋体" w:cs="宋体"/>
                <w:b w:val="0"/>
                <w:bCs w:val="0"/>
                <w:caps w:val="0"/>
                <w:color w:val="auto"/>
                <w:kern w:val="0"/>
                <w:sz w:val="21"/>
                <w:szCs w:val="21"/>
                <w:highlight w:val="none"/>
                <w:vertAlign w:val="baseline"/>
                <w:lang w:val="en-US" w:eastAsia="zh-CN" w:bidi="ar"/>
              </w:rPr>
              <w:t>本项目</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接受联合体投标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如为联合体投标，联合体各方应签订联合体协议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明确牵头人及各自分工，联合体各方不得再以自己名义单独参与或参加其他联合体在本项目中的投标，联合体各方共同与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人签订合同</w:t>
            </w:r>
            <w:r>
              <w:rPr>
                <w:rFonts w:hint="eastAsia" w:ascii="宋体" w:hAnsi="宋体" w:eastAsia="宋体" w:cs="宋体"/>
                <w:color w:val="auto"/>
                <w:sz w:val="21"/>
                <w:szCs w:val="21"/>
                <w:highlight w:val="none"/>
                <w:lang w:eastAsia="zh-CN"/>
              </w:rPr>
              <w:t>。</w:t>
            </w:r>
          </w:p>
        </w:tc>
      </w:tr>
      <w:tr w14:paraId="19BE4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2" w:hRule="atLeast"/>
          <w:jc w:val="center"/>
        </w:trPr>
        <w:tc>
          <w:tcPr>
            <w:tcW w:w="858" w:type="dxa"/>
            <w:vAlign w:val="center"/>
          </w:tcPr>
          <w:p w14:paraId="4DD210D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5</w:t>
            </w:r>
          </w:p>
        </w:tc>
        <w:tc>
          <w:tcPr>
            <w:tcW w:w="1916" w:type="dxa"/>
            <w:vAlign w:val="center"/>
          </w:tcPr>
          <w:p w14:paraId="1BB898C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供应商提出问题的截止时间</w:t>
            </w:r>
          </w:p>
        </w:tc>
        <w:tc>
          <w:tcPr>
            <w:tcW w:w="6970" w:type="dxa"/>
            <w:vAlign w:val="center"/>
          </w:tcPr>
          <w:p w14:paraId="479CFF86">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截止时间：投标截止时间</w:t>
            </w:r>
            <w:r>
              <w:rPr>
                <w:rFonts w:hint="eastAsia" w:ascii="宋体" w:hAnsi="宋体" w:cs="宋体"/>
                <w:szCs w:val="21"/>
                <w:highlight w:val="none"/>
                <w:lang w:val="en-US" w:eastAsia="zh-CN"/>
              </w:rPr>
              <w:t>10</w:t>
            </w:r>
            <w:r>
              <w:rPr>
                <w:rFonts w:hint="eastAsia" w:ascii="宋体" w:hAnsi="宋体" w:cs="宋体"/>
                <w:szCs w:val="21"/>
                <w:highlight w:val="none"/>
              </w:rPr>
              <w:t>日前</w:t>
            </w:r>
          </w:p>
          <w:p w14:paraId="54BBE541">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递交地点：各供应商须在截止时间前将对</w:t>
            </w:r>
            <w:r>
              <w:rPr>
                <w:rFonts w:hint="eastAsia" w:ascii="宋体" w:hAnsi="宋体" w:cs="宋体"/>
                <w:szCs w:val="21"/>
                <w:highlight w:val="none"/>
                <w:lang w:val="en-US" w:eastAsia="zh-CN"/>
              </w:rPr>
              <w:t>采购</w:t>
            </w:r>
            <w:r>
              <w:rPr>
                <w:rFonts w:hint="eastAsia" w:ascii="宋体" w:hAnsi="宋体" w:cs="宋体"/>
                <w:szCs w:val="21"/>
                <w:highlight w:val="none"/>
              </w:rPr>
              <w:t>文件需澄清的问题以书面方式盖公章后递交到采购代理机构，逾期不再接收任何问题。</w:t>
            </w:r>
          </w:p>
          <w:p w14:paraId="75BF4981">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王金超</w:t>
            </w:r>
          </w:p>
          <w:p w14:paraId="24194C07">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szCs w:val="21"/>
                <w:highlight w:val="none"/>
                <w:lang w:eastAsia="zh-CN"/>
              </w:rPr>
            </w:pPr>
            <w:r>
              <w:rPr>
                <w:rFonts w:hint="eastAsia" w:ascii="宋体" w:hAnsi="宋体" w:cs="宋体"/>
                <w:szCs w:val="21"/>
                <w:highlight w:val="none"/>
              </w:rPr>
              <w:t>电话：0431-88073777</w:t>
            </w:r>
          </w:p>
          <w:p w14:paraId="2E48E594">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若供应商未按规定提交疑问，则视为其无疑问。</w:t>
            </w:r>
          </w:p>
        </w:tc>
      </w:tr>
      <w:tr w14:paraId="6A70C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CA7DA1A">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6</w:t>
            </w:r>
          </w:p>
        </w:tc>
        <w:tc>
          <w:tcPr>
            <w:tcW w:w="1916" w:type="dxa"/>
            <w:vAlign w:val="center"/>
          </w:tcPr>
          <w:p w14:paraId="5DB53B83">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szCs w:val="21"/>
                <w:highlight w:val="none"/>
              </w:rPr>
            </w:pPr>
            <w:r>
              <w:rPr>
                <w:rFonts w:hint="eastAsia" w:ascii="宋体" w:hAnsi="宋体" w:cs="宋体"/>
                <w:szCs w:val="21"/>
                <w:highlight w:val="none"/>
              </w:rPr>
              <w:t>采购人书面澄清的</w:t>
            </w:r>
          </w:p>
          <w:p w14:paraId="64B89201">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时间</w:t>
            </w:r>
          </w:p>
        </w:tc>
        <w:tc>
          <w:tcPr>
            <w:tcW w:w="6970" w:type="dxa"/>
            <w:vAlign w:val="center"/>
          </w:tcPr>
          <w:p w14:paraId="1CBCC7EC">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投标截止时间</w:t>
            </w:r>
            <w:r>
              <w:rPr>
                <w:rFonts w:hint="eastAsia" w:ascii="宋体" w:hAnsi="宋体" w:cs="宋体"/>
                <w:szCs w:val="21"/>
                <w:highlight w:val="none"/>
                <w:lang w:val="en-US" w:eastAsia="zh-CN"/>
              </w:rPr>
              <w:t>1</w:t>
            </w:r>
            <w:r>
              <w:rPr>
                <w:rFonts w:hint="eastAsia" w:ascii="宋体" w:hAnsi="宋体" w:cs="宋体"/>
                <w:szCs w:val="21"/>
                <w:highlight w:val="none"/>
              </w:rPr>
              <w:t>5日前</w:t>
            </w:r>
          </w:p>
        </w:tc>
      </w:tr>
      <w:tr w14:paraId="68427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B0E70EA">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7</w:t>
            </w:r>
          </w:p>
        </w:tc>
        <w:tc>
          <w:tcPr>
            <w:tcW w:w="1916" w:type="dxa"/>
            <w:vAlign w:val="center"/>
          </w:tcPr>
          <w:p w14:paraId="3126DDA9">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分包履约</w:t>
            </w:r>
          </w:p>
        </w:tc>
        <w:tc>
          <w:tcPr>
            <w:tcW w:w="6970" w:type="dxa"/>
            <w:vAlign w:val="center"/>
          </w:tcPr>
          <w:p w14:paraId="5508A577">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lang w:val="zh-CN"/>
              </w:rPr>
              <w:t>拒绝分包履约</w:t>
            </w:r>
          </w:p>
        </w:tc>
      </w:tr>
      <w:tr w14:paraId="6FCFD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E3594D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8</w:t>
            </w:r>
          </w:p>
        </w:tc>
        <w:tc>
          <w:tcPr>
            <w:tcW w:w="1916" w:type="dxa"/>
            <w:vAlign w:val="center"/>
          </w:tcPr>
          <w:p w14:paraId="3F9EC9E7">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sz w:val="21"/>
                <w:szCs w:val="21"/>
                <w:highlight w:val="none"/>
              </w:rPr>
            </w:pPr>
            <w:r>
              <w:rPr>
                <w:rFonts w:hint="eastAsia" w:cs="宋体"/>
                <w:sz w:val="21"/>
                <w:szCs w:val="21"/>
                <w:highlight w:val="none"/>
              </w:rPr>
              <w:t>构成</w:t>
            </w:r>
            <w:r>
              <w:rPr>
                <w:rFonts w:hint="eastAsia" w:cs="宋体"/>
                <w:sz w:val="21"/>
                <w:szCs w:val="21"/>
                <w:highlight w:val="none"/>
                <w:lang w:val="en-US" w:eastAsia="zh-CN"/>
              </w:rPr>
              <w:t>采购</w:t>
            </w:r>
            <w:r>
              <w:rPr>
                <w:rFonts w:hint="eastAsia" w:cs="宋体"/>
                <w:sz w:val="21"/>
                <w:szCs w:val="21"/>
                <w:highlight w:val="none"/>
              </w:rPr>
              <w:t>文件的</w:t>
            </w:r>
          </w:p>
          <w:p w14:paraId="4E4BBE4D">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其他材料</w:t>
            </w:r>
          </w:p>
        </w:tc>
        <w:tc>
          <w:tcPr>
            <w:tcW w:w="6970" w:type="dxa"/>
            <w:vAlign w:val="center"/>
          </w:tcPr>
          <w:p w14:paraId="3D30FF2D">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en-US" w:eastAsia="zh-CN"/>
              </w:rPr>
              <w:t>采购</w:t>
            </w:r>
            <w:r>
              <w:rPr>
                <w:rFonts w:hint="eastAsia"/>
                <w:sz w:val="21"/>
                <w:szCs w:val="21"/>
                <w:highlight w:val="none"/>
                <w:lang w:val="zh-CN"/>
              </w:rPr>
              <w:t>文件的澄清</w:t>
            </w:r>
            <w:r>
              <w:rPr>
                <w:rFonts w:hint="eastAsia"/>
                <w:sz w:val="21"/>
                <w:szCs w:val="21"/>
                <w:highlight w:val="none"/>
              </w:rPr>
              <w:t>、修改书及有关补充通知为</w:t>
            </w:r>
            <w:r>
              <w:rPr>
                <w:rFonts w:hint="eastAsia"/>
                <w:sz w:val="21"/>
                <w:szCs w:val="21"/>
                <w:highlight w:val="none"/>
                <w:lang w:val="en-US" w:eastAsia="zh-CN"/>
              </w:rPr>
              <w:t>采购</w:t>
            </w:r>
            <w:r>
              <w:rPr>
                <w:rFonts w:hint="eastAsia"/>
                <w:sz w:val="21"/>
                <w:szCs w:val="21"/>
                <w:highlight w:val="none"/>
                <w:lang w:val="zh-CN"/>
              </w:rPr>
              <w:t>文件</w:t>
            </w:r>
            <w:r>
              <w:rPr>
                <w:rFonts w:hint="eastAsia"/>
                <w:sz w:val="21"/>
                <w:szCs w:val="21"/>
                <w:highlight w:val="none"/>
              </w:rPr>
              <w:t>的有效组成部分。</w:t>
            </w:r>
          </w:p>
        </w:tc>
      </w:tr>
      <w:tr w14:paraId="6527E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6879B25">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19</w:t>
            </w:r>
          </w:p>
        </w:tc>
        <w:tc>
          <w:tcPr>
            <w:tcW w:w="1916" w:type="dxa"/>
            <w:vAlign w:val="center"/>
          </w:tcPr>
          <w:p w14:paraId="656BAF5F">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lang w:val="en-US" w:eastAsia="zh-CN"/>
              </w:rPr>
              <w:t>投标</w:t>
            </w:r>
            <w:r>
              <w:rPr>
                <w:rFonts w:hint="eastAsia" w:cs="宋体"/>
                <w:color w:val="auto"/>
                <w:sz w:val="21"/>
                <w:szCs w:val="21"/>
                <w:highlight w:val="none"/>
              </w:rPr>
              <w:t>截止时间</w:t>
            </w:r>
          </w:p>
        </w:tc>
        <w:tc>
          <w:tcPr>
            <w:tcW w:w="6970" w:type="dxa"/>
            <w:vAlign w:val="center"/>
          </w:tcPr>
          <w:p w14:paraId="30CA01A4">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08月05日09</w:t>
            </w:r>
            <w:r>
              <w:rPr>
                <w:rFonts w:hint="eastAsia"/>
                <w:color w:val="auto"/>
                <w:sz w:val="21"/>
                <w:szCs w:val="21"/>
                <w:highlight w:val="none"/>
                <w:lang w:eastAsia="zh-CN"/>
              </w:rPr>
              <w:t>时</w:t>
            </w:r>
            <w:r>
              <w:rPr>
                <w:rFonts w:hint="eastAsia"/>
                <w:color w:val="auto"/>
                <w:sz w:val="21"/>
                <w:szCs w:val="21"/>
                <w:highlight w:val="none"/>
                <w:lang w:val="en-US" w:eastAsia="zh-CN"/>
              </w:rPr>
              <w:t>30</w:t>
            </w:r>
            <w:r>
              <w:rPr>
                <w:rFonts w:hint="eastAsia"/>
                <w:color w:val="auto"/>
                <w:sz w:val="21"/>
                <w:szCs w:val="21"/>
                <w:highlight w:val="none"/>
                <w:lang w:eastAsia="zh-CN"/>
              </w:rPr>
              <w:t>分</w:t>
            </w:r>
            <w:r>
              <w:rPr>
                <w:color w:val="auto"/>
                <w:sz w:val="21"/>
                <w:szCs w:val="21"/>
                <w:highlight w:val="none"/>
              </w:rPr>
              <w:t>（北京时间）</w:t>
            </w:r>
          </w:p>
        </w:tc>
      </w:tr>
      <w:tr w14:paraId="10F89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C8DF0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szCs w:val="21"/>
                <w:highlight w:val="none"/>
                <w:lang w:val="zh-CN" w:eastAsia="zh-CN"/>
              </w:rPr>
            </w:pPr>
            <w:r>
              <w:rPr>
                <w:rFonts w:hint="eastAsia" w:ascii="宋体" w:hAnsi="宋体"/>
                <w:szCs w:val="21"/>
                <w:highlight w:val="none"/>
                <w:lang w:val="zh-CN"/>
              </w:rPr>
              <w:t>2</w:t>
            </w:r>
            <w:r>
              <w:rPr>
                <w:rFonts w:hint="eastAsia" w:ascii="宋体" w:hAnsi="宋体"/>
                <w:szCs w:val="21"/>
                <w:highlight w:val="none"/>
                <w:lang w:val="en-US" w:eastAsia="zh-CN"/>
              </w:rPr>
              <w:t>0</w:t>
            </w:r>
          </w:p>
        </w:tc>
        <w:tc>
          <w:tcPr>
            <w:tcW w:w="1916" w:type="dxa"/>
            <w:vAlign w:val="center"/>
          </w:tcPr>
          <w:p w14:paraId="5BD173CD">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lang w:val="en-US" w:eastAsia="zh-CN"/>
              </w:rPr>
              <w:t>投标</w:t>
            </w:r>
            <w:r>
              <w:rPr>
                <w:rFonts w:hint="eastAsia" w:cs="宋体"/>
                <w:sz w:val="21"/>
                <w:szCs w:val="21"/>
                <w:highlight w:val="none"/>
              </w:rPr>
              <w:t>有效期</w:t>
            </w:r>
          </w:p>
        </w:tc>
        <w:tc>
          <w:tcPr>
            <w:tcW w:w="6970" w:type="dxa"/>
            <w:vAlign w:val="center"/>
          </w:tcPr>
          <w:p w14:paraId="4AFF6AB0">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rPr>
              <w:t>本项目的</w:t>
            </w:r>
            <w:r>
              <w:rPr>
                <w:rFonts w:hint="eastAsia" w:cs="宋体"/>
                <w:sz w:val="21"/>
                <w:szCs w:val="21"/>
                <w:highlight w:val="none"/>
                <w:lang w:val="en-US" w:eastAsia="zh-CN"/>
              </w:rPr>
              <w:t>投标</w:t>
            </w:r>
            <w:r>
              <w:rPr>
                <w:rFonts w:hint="eastAsia" w:cs="宋体"/>
                <w:sz w:val="21"/>
                <w:szCs w:val="21"/>
                <w:highlight w:val="none"/>
              </w:rPr>
              <w:t>有效期</w:t>
            </w:r>
            <w:r>
              <w:rPr>
                <w:rFonts w:hint="eastAsia"/>
                <w:sz w:val="21"/>
                <w:szCs w:val="21"/>
                <w:highlight w:val="none"/>
              </w:rPr>
              <w:t>为</w:t>
            </w:r>
            <w:r>
              <w:rPr>
                <w:rFonts w:hint="eastAsia" w:cs="宋体"/>
                <w:sz w:val="21"/>
                <w:szCs w:val="21"/>
                <w:highlight w:val="none"/>
                <w:lang w:val="en-US" w:eastAsia="zh-CN"/>
              </w:rPr>
              <w:t>投标</w:t>
            </w:r>
            <w:r>
              <w:rPr>
                <w:rFonts w:hint="eastAsia"/>
                <w:sz w:val="21"/>
                <w:szCs w:val="21"/>
                <w:highlight w:val="none"/>
              </w:rPr>
              <w:t>截止期后90日历天</w:t>
            </w:r>
          </w:p>
        </w:tc>
      </w:tr>
      <w:tr w14:paraId="43EE0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6A85630">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1</w:t>
            </w:r>
          </w:p>
        </w:tc>
        <w:tc>
          <w:tcPr>
            <w:tcW w:w="1916" w:type="dxa"/>
            <w:vAlign w:val="center"/>
          </w:tcPr>
          <w:p w14:paraId="0B73632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lang w:val="en-US" w:eastAsia="zh-CN"/>
              </w:rPr>
              <w:t>投标</w:t>
            </w:r>
            <w:r>
              <w:rPr>
                <w:rFonts w:hint="eastAsia" w:cs="宋体"/>
                <w:sz w:val="21"/>
                <w:szCs w:val="21"/>
                <w:highlight w:val="none"/>
              </w:rPr>
              <w:t>保证金</w:t>
            </w:r>
          </w:p>
        </w:tc>
        <w:tc>
          <w:tcPr>
            <w:tcW w:w="6970" w:type="dxa"/>
            <w:vAlign w:val="center"/>
          </w:tcPr>
          <w:p w14:paraId="4F98AB37">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szCs w:val="21"/>
                <w:highlight w:val="none"/>
                <w:lang w:eastAsia="zh-CN"/>
              </w:rPr>
            </w:pPr>
            <w:r>
              <w:rPr>
                <w:rFonts w:hint="eastAsia" w:ascii="宋体" w:hAnsi="宋体"/>
                <w:szCs w:val="21"/>
                <w:highlight w:val="none"/>
                <w:lang w:val="en-US" w:eastAsia="zh-CN"/>
              </w:rPr>
              <w:t>不收取</w:t>
            </w:r>
          </w:p>
        </w:tc>
      </w:tr>
      <w:tr w14:paraId="6F94A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1752C346">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2</w:t>
            </w:r>
          </w:p>
        </w:tc>
        <w:tc>
          <w:tcPr>
            <w:tcW w:w="1916" w:type="dxa"/>
            <w:vAlign w:val="center"/>
          </w:tcPr>
          <w:p w14:paraId="4A13FCE3">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履约保证金</w:t>
            </w:r>
          </w:p>
        </w:tc>
        <w:tc>
          <w:tcPr>
            <w:tcW w:w="6970" w:type="dxa"/>
            <w:vAlign w:val="center"/>
          </w:tcPr>
          <w:p w14:paraId="69BD9643">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sz w:val="21"/>
                <w:szCs w:val="21"/>
                <w:highlight w:val="none"/>
                <w:lang w:val="en-US" w:eastAsia="zh-CN"/>
              </w:rPr>
            </w:pPr>
            <w:r>
              <w:rPr>
                <w:rFonts w:hint="eastAsia"/>
                <w:sz w:val="21"/>
                <w:szCs w:val="21"/>
                <w:highlight w:val="none"/>
                <w:lang w:val="en-US" w:eastAsia="zh-CN"/>
              </w:rPr>
              <w:t>甲、乙双方合同中约定。</w:t>
            </w:r>
          </w:p>
        </w:tc>
      </w:tr>
      <w:tr w14:paraId="63B9D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88610FA">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3</w:t>
            </w:r>
          </w:p>
        </w:tc>
        <w:tc>
          <w:tcPr>
            <w:tcW w:w="1916" w:type="dxa"/>
            <w:vAlign w:val="center"/>
          </w:tcPr>
          <w:p w14:paraId="4C38AD7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备选方案和报价</w:t>
            </w:r>
          </w:p>
        </w:tc>
        <w:tc>
          <w:tcPr>
            <w:tcW w:w="6970" w:type="dxa"/>
            <w:vAlign w:val="center"/>
          </w:tcPr>
          <w:p w14:paraId="3DFFDD30">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不接受备选方案和多个报价。</w:t>
            </w:r>
          </w:p>
        </w:tc>
      </w:tr>
      <w:tr w14:paraId="37F8D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65F313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4</w:t>
            </w:r>
          </w:p>
        </w:tc>
        <w:tc>
          <w:tcPr>
            <w:tcW w:w="1916" w:type="dxa"/>
            <w:vAlign w:val="center"/>
          </w:tcPr>
          <w:p w14:paraId="216D1496">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en-US" w:eastAsia="zh-CN"/>
              </w:rPr>
            </w:pPr>
            <w:r>
              <w:rPr>
                <w:rFonts w:hint="eastAsia"/>
                <w:sz w:val="21"/>
                <w:szCs w:val="21"/>
                <w:highlight w:val="none"/>
                <w:lang w:val="zh-CN"/>
              </w:rPr>
              <w:t>签字</w:t>
            </w:r>
            <w:r>
              <w:rPr>
                <w:rFonts w:hint="eastAsia"/>
                <w:sz w:val="21"/>
                <w:szCs w:val="21"/>
                <w:highlight w:val="none"/>
                <w:lang w:val="en-US" w:eastAsia="zh-CN"/>
              </w:rPr>
              <w:t>和</w:t>
            </w:r>
            <w:r>
              <w:rPr>
                <w:rFonts w:hint="eastAsia"/>
                <w:sz w:val="21"/>
                <w:szCs w:val="21"/>
                <w:highlight w:val="none"/>
                <w:lang w:val="zh-CN"/>
              </w:rPr>
              <w:t>盖章</w:t>
            </w:r>
            <w:r>
              <w:rPr>
                <w:rFonts w:hint="eastAsia"/>
                <w:sz w:val="21"/>
                <w:szCs w:val="21"/>
                <w:highlight w:val="none"/>
                <w:lang w:val="en-US" w:eastAsia="zh-CN"/>
              </w:rPr>
              <w:t>要求</w:t>
            </w:r>
          </w:p>
        </w:tc>
        <w:tc>
          <w:tcPr>
            <w:tcW w:w="6970" w:type="dxa"/>
            <w:vAlign w:val="center"/>
          </w:tcPr>
          <w:p w14:paraId="08CC53D0">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1、所有要求签字的地方都应用不褪色的墨水或签字笔由本人亲笔手写签字（包括姓和名），不得用盖章（如签名章、签字章等）代替，也不得由他人代签。</w:t>
            </w:r>
          </w:p>
          <w:p w14:paraId="27EC9549">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2、所有要求盖章的地方都应按照</w:t>
            </w:r>
            <w:r>
              <w:rPr>
                <w:rFonts w:hint="eastAsia" w:ascii="宋体" w:hAnsi="宋体"/>
                <w:szCs w:val="21"/>
                <w:highlight w:val="none"/>
                <w:lang w:val="en-US" w:eastAsia="zh-CN"/>
              </w:rPr>
              <w:t>采购</w:t>
            </w:r>
            <w:r>
              <w:rPr>
                <w:rFonts w:hint="eastAsia" w:ascii="宋体" w:hAnsi="宋体"/>
                <w:szCs w:val="21"/>
                <w:highlight w:val="none"/>
              </w:rPr>
              <w:t>文件的规定加盖</w:t>
            </w:r>
            <w:r>
              <w:rPr>
                <w:rFonts w:hint="eastAsia" w:ascii="宋体" w:hAnsi="宋体"/>
                <w:szCs w:val="21"/>
                <w:highlight w:val="none"/>
                <w:lang w:val="en-US" w:eastAsia="zh-CN"/>
              </w:rPr>
              <w:t>与</w:t>
            </w:r>
            <w:r>
              <w:rPr>
                <w:rFonts w:hint="eastAsia" w:ascii="宋体" w:hAnsi="宋体"/>
                <w:szCs w:val="21"/>
                <w:highlight w:val="none"/>
              </w:rPr>
              <w:t>供应商名称</w:t>
            </w:r>
            <w:r>
              <w:rPr>
                <w:rFonts w:hint="eastAsia" w:ascii="宋体" w:hAnsi="宋体"/>
                <w:szCs w:val="21"/>
                <w:highlight w:val="none"/>
                <w:lang w:val="en-US" w:eastAsia="zh-CN"/>
              </w:rPr>
              <w:t>全称</w:t>
            </w:r>
            <w:r>
              <w:rPr>
                <w:rFonts w:hint="eastAsia" w:ascii="宋体" w:hAnsi="宋体"/>
                <w:szCs w:val="21"/>
                <w:highlight w:val="none"/>
              </w:rPr>
              <w:t>一致的标准公章，不得使用彩喷或者彩印的印章、不得使用专用章（如经济专用章、投标专用章等）或下属单位印章代替。</w:t>
            </w:r>
          </w:p>
          <w:p w14:paraId="4E635B25">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rPr>
              <w:t>3、</w:t>
            </w:r>
            <w:r>
              <w:rPr>
                <w:rFonts w:hint="eastAsia"/>
                <w:sz w:val="21"/>
                <w:szCs w:val="21"/>
                <w:highlight w:val="none"/>
                <w:lang w:val="en-US" w:eastAsia="zh-CN"/>
              </w:rPr>
              <w:t>响应文件</w:t>
            </w:r>
            <w:r>
              <w:rPr>
                <w:rFonts w:hint="eastAsia"/>
                <w:sz w:val="21"/>
                <w:szCs w:val="21"/>
                <w:highlight w:val="none"/>
              </w:rPr>
              <w:t>格式中要求供应商“法定代表人或其委托代理人”签字的，如法定代表人亲自投标而不委托代理人投标，由法定代表人签字；如法定代表人授权委托代理人投标，由委托代理人签字，也可由法定代表人签字。</w:t>
            </w:r>
          </w:p>
        </w:tc>
      </w:tr>
      <w:tr w14:paraId="1CB2F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81BF530">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5</w:t>
            </w:r>
          </w:p>
        </w:tc>
        <w:tc>
          <w:tcPr>
            <w:tcW w:w="1916" w:type="dxa"/>
            <w:vAlign w:val="center"/>
          </w:tcPr>
          <w:p w14:paraId="593DBE25">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sz w:val="21"/>
                <w:szCs w:val="21"/>
                <w:highlight w:val="none"/>
                <w:lang w:val="zh-CN"/>
              </w:rPr>
            </w:pPr>
            <w:r>
              <w:rPr>
                <w:rFonts w:hint="eastAsia" w:cs="宋体"/>
                <w:bCs/>
                <w:sz w:val="21"/>
                <w:szCs w:val="21"/>
                <w:highlight w:val="none"/>
                <w:lang w:val="en-US" w:eastAsia="zh-CN"/>
              </w:rPr>
              <w:t>响应文件</w:t>
            </w:r>
            <w:r>
              <w:rPr>
                <w:rFonts w:hint="eastAsia" w:ascii="宋体" w:hAnsi="宋体" w:eastAsia="宋体" w:cs="宋体"/>
                <w:bCs/>
                <w:sz w:val="21"/>
                <w:szCs w:val="21"/>
                <w:highlight w:val="none"/>
                <w:lang w:val="zh-CN"/>
              </w:rPr>
              <w:t>份数</w:t>
            </w:r>
          </w:p>
        </w:tc>
        <w:tc>
          <w:tcPr>
            <w:tcW w:w="6970" w:type="dxa"/>
            <w:vAlign w:val="center"/>
          </w:tcPr>
          <w:p w14:paraId="46F770F4">
            <w:pPr>
              <w:pStyle w:val="25"/>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11"/>
                <w:highlight w:val="none"/>
                <w:lang w:val="zh-CN"/>
              </w:rPr>
              <w:t>本项目为全流程电子化招投标项目，通过“政采云”平台（http：//www.zcygov.cn）实行在线电子投标，</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文件和“政采云”平台的要求编制、加密后在投标截止时间前通过网络上传至“政采云”平台</w:t>
            </w:r>
            <w:r>
              <w:rPr>
                <w:rFonts w:hint="eastAsia" w:cs="宋体"/>
                <w:bCs/>
                <w:sz w:val="21"/>
                <w:szCs w:val="21"/>
                <w:highlight w:val="none"/>
                <w:lang w:val="en-US" w:eastAsia="zh-CN"/>
              </w:rPr>
              <w:t>。</w:t>
            </w:r>
          </w:p>
        </w:tc>
      </w:tr>
      <w:tr w14:paraId="02673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C5F4685">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26</w:t>
            </w:r>
          </w:p>
        </w:tc>
        <w:tc>
          <w:tcPr>
            <w:tcW w:w="1916" w:type="dxa"/>
            <w:vAlign w:val="center"/>
          </w:tcPr>
          <w:p w14:paraId="14CDB2A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lang w:val="en-US" w:eastAsia="zh-CN"/>
              </w:rPr>
              <w:t>投标截止</w:t>
            </w:r>
            <w:r>
              <w:rPr>
                <w:rFonts w:hint="eastAsia" w:cs="宋体"/>
                <w:sz w:val="21"/>
                <w:szCs w:val="21"/>
                <w:highlight w:val="none"/>
              </w:rPr>
              <w:t>时间和地点</w:t>
            </w:r>
          </w:p>
        </w:tc>
        <w:tc>
          <w:tcPr>
            <w:tcW w:w="6970" w:type="dxa"/>
            <w:vAlign w:val="center"/>
          </w:tcPr>
          <w:p w14:paraId="492A3235">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时间：2025年08月05日09时30分（北京时间）</w:t>
            </w:r>
          </w:p>
          <w:p w14:paraId="4CD78F26">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szCs w:val="21"/>
                <w:highlight w:val="none"/>
                <w:lang w:val="zh-CN"/>
              </w:rPr>
            </w:pPr>
            <w:r>
              <w:rPr>
                <w:rFonts w:hint="eastAsia" w:ascii="宋体" w:hAnsi="宋体" w:cs="宋体"/>
                <w:szCs w:val="21"/>
                <w:highlight w:val="none"/>
              </w:rPr>
              <w:t>地点：长春新区政务服务中心公共资源交易大厅二楼B2</w:t>
            </w:r>
            <w:r>
              <w:rPr>
                <w:rFonts w:hint="eastAsia" w:ascii="宋体" w:hAnsi="宋体" w:cs="宋体"/>
                <w:szCs w:val="21"/>
                <w:highlight w:val="none"/>
                <w:lang w:val="en-US" w:eastAsia="zh-CN"/>
              </w:rPr>
              <w:t>08</w:t>
            </w:r>
            <w:r>
              <w:rPr>
                <w:rFonts w:hint="eastAsia" w:ascii="宋体" w:hAnsi="宋体" w:cs="宋体"/>
                <w:szCs w:val="21"/>
                <w:highlight w:val="none"/>
              </w:rPr>
              <w:t>（</w:t>
            </w:r>
            <w:r>
              <w:rPr>
                <w:rFonts w:hint="eastAsia" w:ascii="宋体" w:hAnsi="宋体" w:cs="宋体"/>
                <w:szCs w:val="21"/>
                <w:highlight w:val="none"/>
                <w:lang w:val="en-US" w:eastAsia="zh-CN"/>
              </w:rPr>
              <w:t>大</w:t>
            </w:r>
            <w:r>
              <w:rPr>
                <w:rFonts w:hint="eastAsia" w:ascii="宋体" w:hAnsi="宋体" w:cs="宋体"/>
                <w:szCs w:val="21"/>
                <w:highlight w:val="none"/>
              </w:rPr>
              <w:t>）开标室</w:t>
            </w:r>
            <w:r>
              <w:rPr>
                <w:rFonts w:hint="eastAsia" w:ascii="宋体" w:hAnsi="宋体" w:cs="宋体"/>
                <w:szCs w:val="21"/>
                <w:highlight w:val="none"/>
              </w:rPr>
              <w:t>（龙湖大路5799号）</w:t>
            </w:r>
          </w:p>
        </w:tc>
      </w:tr>
      <w:tr w14:paraId="41E34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DA80A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27</w:t>
            </w:r>
          </w:p>
        </w:tc>
        <w:tc>
          <w:tcPr>
            <w:tcW w:w="1916" w:type="dxa"/>
            <w:vAlign w:val="center"/>
          </w:tcPr>
          <w:p w14:paraId="76880EE8">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lang w:val="en-US" w:eastAsia="zh-CN"/>
              </w:rPr>
              <w:t>开标</w:t>
            </w:r>
            <w:r>
              <w:rPr>
                <w:rFonts w:hint="eastAsia" w:cs="宋体"/>
                <w:sz w:val="21"/>
                <w:szCs w:val="21"/>
                <w:highlight w:val="none"/>
              </w:rPr>
              <w:t>时间和地点</w:t>
            </w:r>
          </w:p>
        </w:tc>
        <w:tc>
          <w:tcPr>
            <w:tcW w:w="6970" w:type="dxa"/>
            <w:vAlign w:val="center"/>
          </w:tcPr>
          <w:p w14:paraId="6AF18743">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szCs w:val="21"/>
                <w:highlight w:val="none"/>
              </w:rPr>
            </w:pPr>
            <w:r>
              <w:rPr>
                <w:rFonts w:hint="eastAsia" w:ascii="宋体" w:hAnsi="宋体" w:cs="宋体"/>
                <w:szCs w:val="21"/>
                <w:highlight w:val="none"/>
              </w:rPr>
              <w:t>时间：同</w:t>
            </w:r>
            <w:r>
              <w:rPr>
                <w:rFonts w:hint="eastAsia" w:cs="宋体"/>
                <w:sz w:val="21"/>
                <w:szCs w:val="21"/>
                <w:highlight w:val="none"/>
                <w:lang w:val="en-US" w:eastAsia="zh-CN"/>
              </w:rPr>
              <w:t>投标截止</w:t>
            </w:r>
            <w:r>
              <w:rPr>
                <w:rFonts w:hint="eastAsia" w:cs="宋体"/>
                <w:sz w:val="21"/>
                <w:szCs w:val="21"/>
                <w:highlight w:val="none"/>
              </w:rPr>
              <w:t>时间</w:t>
            </w:r>
          </w:p>
          <w:p w14:paraId="26FF6A2C">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szCs w:val="21"/>
                <w:highlight w:val="none"/>
                <w:lang w:val="zh-CN" w:eastAsia="zh-CN"/>
              </w:rPr>
            </w:pPr>
            <w:r>
              <w:rPr>
                <w:rFonts w:hint="eastAsia" w:ascii="宋体" w:hAnsi="宋体" w:cs="宋体"/>
                <w:szCs w:val="21"/>
                <w:highlight w:val="none"/>
              </w:rPr>
              <w:t>地点：同</w:t>
            </w:r>
            <w:r>
              <w:rPr>
                <w:rFonts w:hint="eastAsia" w:cs="宋体"/>
                <w:sz w:val="21"/>
                <w:szCs w:val="21"/>
                <w:highlight w:val="none"/>
                <w:lang w:val="en-US" w:eastAsia="zh-CN"/>
              </w:rPr>
              <w:t>投标截止地点</w:t>
            </w:r>
          </w:p>
        </w:tc>
      </w:tr>
      <w:tr w14:paraId="1D21D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7E225F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28</w:t>
            </w:r>
          </w:p>
        </w:tc>
        <w:tc>
          <w:tcPr>
            <w:tcW w:w="1916" w:type="dxa"/>
            <w:vAlign w:val="center"/>
          </w:tcPr>
          <w:p w14:paraId="7ADE8C24">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cs="宋体"/>
                <w:szCs w:val="21"/>
                <w:highlight w:val="none"/>
                <w:lang w:val="en-US" w:eastAsia="zh-CN"/>
              </w:rPr>
              <w:t>评标委员会</w:t>
            </w:r>
            <w:r>
              <w:rPr>
                <w:rFonts w:hint="eastAsia" w:ascii="宋体" w:hAnsi="宋体" w:cs="宋体"/>
                <w:szCs w:val="21"/>
                <w:highlight w:val="none"/>
              </w:rPr>
              <w:t>的组建</w:t>
            </w:r>
          </w:p>
        </w:tc>
        <w:tc>
          <w:tcPr>
            <w:tcW w:w="6970" w:type="dxa"/>
            <w:vAlign w:val="center"/>
          </w:tcPr>
          <w:p w14:paraId="6D757718">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szCs w:val="21"/>
                <w:highlight w:val="none"/>
              </w:rPr>
            </w:pPr>
            <w:r>
              <w:rPr>
                <w:rFonts w:hint="eastAsia" w:ascii="宋体" w:hAnsi="宋体"/>
                <w:szCs w:val="21"/>
                <w:highlight w:val="none"/>
              </w:rPr>
              <w:t>评标委员会构成：</w:t>
            </w:r>
            <w:r>
              <w:rPr>
                <w:rFonts w:hint="eastAsia" w:ascii="宋体" w:hAnsi="宋体"/>
                <w:szCs w:val="21"/>
                <w:highlight w:val="none"/>
                <w:lang w:val="en-US" w:eastAsia="zh-CN"/>
              </w:rPr>
              <w:t>社会</w:t>
            </w:r>
            <w:r>
              <w:rPr>
                <w:rFonts w:hint="eastAsia" w:ascii="宋体" w:hAnsi="宋体"/>
                <w:szCs w:val="21"/>
                <w:highlight w:val="none"/>
              </w:rPr>
              <w:t>专家</w:t>
            </w:r>
            <w:r>
              <w:rPr>
                <w:rFonts w:hint="eastAsia" w:ascii="宋体" w:hAnsi="宋体"/>
                <w:szCs w:val="21"/>
                <w:highlight w:val="none"/>
                <w:lang w:val="en-US" w:eastAsia="zh-CN"/>
              </w:rPr>
              <w:t>7人</w:t>
            </w:r>
            <w:r>
              <w:rPr>
                <w:rFonts w:hint="eastAsia" w:ascii="宋体" w:hAnsi="宋体"/>
                <w:szCs w:val="21"/>
                <w:highlight w:val="none"/>
              </w:rPr>
              <w:t>。</w:t>
            </w:r>
          </w:p>
          <w:p w14:paraId="442067AA">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确定方式：从政府采购云平台专家库中随机抽取产生。</w:t>
            </w:r>
          </w:p>
        </w:tc>
      </w:tr>
      <w:tr w14:paraId="508E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5DBE6C">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29</w:t>
            </w:r>
          </w:p>
        </w:tc>
        <w:tc>
          <w:tcPr>
            <w:tcW w:w="1916" w:type="dxa"/>
            <w:vAlign w:val="center"/>
          </w:tcPr>
          <w:p w14:paraId="5434A67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11"/>
                <w:highlight w:val="none"/>
                <w:lang w:val="zh-CN"/>
              </w:rPr>
              <w:t>是否授权</w:t>
            </w:r>
            <w:r>
              <w:rPr>
                <w:rFonts w:hint="eastAsia" w:ascii="宋体" w:hAnsi="宋体" w:cs="宋体"/>
                <w:szCs w:val="21"/>
                <w:highlight w:val="none"/>
                <w:lang w:val="en-US" w:eastAsia="zh-CN"/>
              </w:rPr>
              <w:t>评标委员会</w:t>
            </w:r>
            <w:r>
              <w:rPr>
                <w:rFonts w:hint="eastAsia" w:ascii="宋体" w:hAnsi="宋体"/>
                <w:szCs w:val="21"/>
                <w:highlight w:val="none"/>
                <w:lang w:val="en-US" w:eastAsia="zh-CN"/>
              </w:rPr>
              <w:t>直接</w:t>
            </w:r>
            <w:r>
              <w:rPr>
                <w:rFonts w:ascii="宋体" w:hAnsi="宋体"/>
                <w:szCs w:val="21"/>
                <w:highlight w:val="none"/>
              </w:rPr>
              <w:t>确定</w:t>
            </w:r>
            <w:r>
              <w:rPr>
                <w:rFonts w:hint="eastAsia" w:ascii="宋体" w:hAnsi="宋体"/>
                <w:szCs w:val="21"/>
                <w:highlight w:val="none"/>
              </w:rPr>
              <w:t>成交供应商</w:t>
            </w:r>
          </w:p>
        </w:tc>
        <w:tc>
          <w:tcPr>
            <w:tcW w:w="6970" w:type="dxa"/>
            <w:vAlign w:val="center"/>
          </w:tcPr>
          <w:p w14:paraId="2CA7B0BA">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是</w:t>
            </w:r>
            <w:r>
              <w:rPr>
                <w:rFonts w:hint="eastAsia" w:ascii="宋体" w:hAnsi="宋体" w:cs="宋体"/>
                <w:color w:val="auto"/>
                <w:szCs w:val="21"/>
                <w:highlight w:val="none"/>
                <w:lang w:eastAsia="zh-CN"/>
              </w:rPr>
              <w:t>，授权评标委员会</w:t>
            </w:r>
            <w:r>
              <w:rPr>
                <w:rFonts w:hint="eastAsia" w:ascii="宋体" w:hAnsi="宋体" w:eastAsia="宋体" w:cs="宋体"/>
                <w:snapToGrid/>
                <w:sz w:val="21"/>
                <w:szCs w:val="21"/>
                <w:highlight w:val="none"/>
                <w:lang w:val="zh-CN"/>
              </w:rPr>
              <w:t>直接确定</w:t>
            </w:r>
            <w:r>
              <w:rPr>
                <w:rFonts w:hint="eastAsia" w:ascii="宋体" w:hAnsi="宋体" w:eastAsia="宋体" w:cs="宋体"/>
                <w:snapToGrid/>
                <w:sz w:val="21"/>
                <w:szCs w:val="21"/>
                <w:highlight w:val="none"/>
                <w:lang w:val="en-US" w:eastAsia="zh-CN"/>
              </w:rPr>
              <w:t>综合得分最高的供应商为成交商</w:t>
            </w:r>
            <w:r>
              <w:rPr>
                <w:rFonts w:hint="eastAsia" w:ascii="宋体" w:hAnsi="宋体" w:cs="宋体"/>
                <w:color w:val="auto"/>
                <w:szCs w:val="21"/>
                <w:highlight w:val="none"/>
              </w:rPr>
              <w:t>。</w:t>
            </w:r>
          </w:p>
        </w:tc>
      </w:tr>
      <w:tr w14:paraId="103C6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9916FE5">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cs="Times New Roman"/>
                <w:sz w:val="21"/>
                <w:szCs w:val="21"/>
                <w:highlight w:val="none"/>
                <w:lang w:val="en-US" w:eastAsia="zh-CN" w:bidi="ar-SA"/>
              </w:rPr>
            </w:pPr>
            <w:r>
              <w:rPr>
                <w:rFonts w:hint="eastAsia" w:eastAsia="宋体"/>
                <w:sz w:val="21"/>
                <w:szCs w:val="21"/>
                <w:highlight w:val="none"/>
                <w:lang w:val="en-US" w:eastAsia="zh-CN"/>
              </w:rPr>
              <w:t>30</w:t>
            </w:r>
          </w:p>
        </w:tc>
        <w:tc>
          <w:tcPr>
            <w:tcW w:w="1916" w:type="dxa"/>
            <w:vAlign w:val="center"/>
          </w:tcPr>
          <w:p w14:paraId="4D3FE1B2">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成交结果公告媒介</w:t>
            </w:r>
          </w:p>
        </w:tc>
        <w:tc>
          <w:tcPr>
            <w:tcW w:w="6970" w:type="dxa"/>
            <w:vAlign w:val="center"/>
          </w:tcPr>
          <w:p w14:paraId="697310F3">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在</w:t>
            </w:r>
            <w:r>
              <w:rPr>
                <w:rFonts w:hint="eastAsia" w:ascii="宋体" w:hAnsi="宋体"/>
                <w:szCs w:val="21"/>
                <w:highlight w:val="none"/>
                <w:lang w:eastAsia="zh-CN"/>
              </w:rPr>
              <w:t>成交</w:t>
            </w:r>
            <w:r>
              <w:rPr>
                <w:rFonts w:hint="eastAsia" w:ascii="宋体" w:hAnsi="宋体"/>
                <w:szCs w:val="21"/>
                <w:highlight w:val="none"/>
              </w:rPr>
              <w:t>通知书发出前，采购人将中标</w:t>
            </w:r>
            <w:r>
              <w:rPr>
                <w:rFonts w:hint="eastAsia" w:ascii="宋体" w:hAnsi="宋体"/>
                <w:szCs w:val="21"/>
                <w:highlight w:val="none"/>
                <w:lang w:val="en-US" w:eastAsia="zh-CN"/>
              </w:rPr>
              <w:t>结果</w:t>
            </w:r>
            <w:r>
              <w:rPr>
                <w:rFonts w:hint="eastAsia" w:ascii="宋体" w:hAnsi="宋体"/>
                <w:szCs w:val="21"/>
                <w:highlight w:val="none"/>
              </w:rPr>
              <w:t>情况在本项目</w:t>
            </w:r>
            <w:r>
              <w:rPr>
                <w:rFonts w:hint="eastAsia" w:ascii="宋体" w:hAnsi="宋体"/>
                <w:szCs w:val="21"/>
                <w:highlight w:val="none"/>
                <w:lang w:val="en-US" w:eastAsia="zh-CN"/>
              </w:rPr>
              <w:t>招标</w:t>
            </w:r>
            <w:r>
              <w:rPr>
                <w:rFonts w:hint="eastAsia" w:ascii="宋体" w:hAnsi="宋体"/>
                <w:szCs w:val="21"/>
                <w:highlight w:val="none"/>
              </w:rPr>
              <w:t>公告发布的同一网站媒介予以公示，公示期不少于1日。</w:t>
            </w:r>
          </w:p>
        </w:tc>
      </w:tr>
      <w:tr w14:paraId="64FA9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6FD09A0">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31</w:t>
            </w:r>
          </w:p>
        </w:tc>
        <w:tc>
          <w:tcPr>
            <w:tcW w:w="1916" w:type="dxa"/>
            <w:vAlign w:val="center"/>
          </w:tcPr>
          <w:p w14:paraId="7C86CC38">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签订合同</w:t>
            </w:r>
          </w:p>
        </w:tc>
        <w:tc>
          <w:tcPr>
            <w:tcW w:w="6970" w:type="dxa"/>
            <w:vAlign w:val="center"/>
          </w:tcPr>
          <w:p w14:paraId="19D712FE">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lang w:val="en-US" w:eastAsia="zh-CN"/>
              </w:rPr>
              <w:t>成交商</w:t>
            </w:r>
            <w:r>
              <w:rPr>
                <w:rFonts w:hint="eastAsia" w:ascii="宋体" w:hAnsi="宋体" w:cs="宋体"/>
                <w:szCs w:val="21"/>
                <w:highlight w:val="none"/>
              </w:rPr>
              <w:t>应在中标结果确定后30天内签订采购合同。</w:t>
            </w:r>
          </w:p>
        </w:tc>
      </w:tr>
      <w:tr w14:paraId="2106B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8EBF63F">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32</w:t>
            </w:r>
          </w:p>
        </w:tc>
        <w:tc>
          <w:tcPr>
            <w:tcW w:w="1916" w:type="dxa"/>
            <w:vAlign w:val="center"/>
          </w:tcPr>
          <w:p w14:paraId="43E87EE7">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szCs w:val="21"/>
                <w:highlight w:val="none"/>
              </w:rPr>
            </w:pPr>
            <w:r>
              <w:rPr>
                <w:rFonts w:hint="eastAsia" w:ascii="宋体" w:hAnsi="宋体" w:cs="宋体"/>
                <w:szCs w:val="21"/>
                <w:highlight w:val="none"/>
              </w:rPr>
              <w:t>合同存档</w:t>
            </w:r>
          </w:p>
        </w:tc>
        <w:tc>
          <w:tcPr>
            <w:tcW w:w="6970" w:type="dxa"/>
            <w:vAlign w:val="center"/>
          </w:tcPr>
          <w:p w14:paraId="1D442289">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成交商与采购人签订合同后5个工作日内将采购合同PDF扫描件发送至采购代理机构存档。联系人：王金超0431-88073777，邮箱tianyujls@163.com</w:t>
            </w:r>
          </w:p>
        </w:tc>
      </w:tr>
      <w:tr w14:paraId="1EB05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880B244">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33</w:t>
            </w:r>
          </w:p>
        </w:tc>
        <w:tc>
          <w:tcPr>
            <w:tcW w:w="1916" w:type="dxa"/>
            <w:vAlign w:val="center"/>
          </w:tcPr>
          <w:p w14:paraId="7B78E883">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szCs w:val="21"/>
                <w:highlight w:val="none"/>
              </w:rPr>
              <w:t>招标代理服务费</w:t>
            </w:r>
          </w:p>
        </w:tc>
        <w:tc>
          <w:tcPr>
            <w:tcW w:w="6970" w:type="dxa"/>
            <w:vAlign w:val="center"/>
          </w:tcPr>
          <w:p w14:paraId="58B0B39E">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szCs w:val="21"/>
                <w:highlight w:val="none"/>
                <w:lang w:eastAsia="zh-CN"/>
              </w:rPr>
            </w:pPr>
            <w:r>
              <w:rPr>
                <w:rFonts w:hint="eastAsia" w:ascii="宋体" w:hAnsi="宋体"/>
                <w:szCs w:val="21"/>
                <w:highlight w:val="none"/>
              </w:rPr>
              <w:t>参照发改办价格[2003]857号文件和发改价格[2011]534号文件规定，执行发改价格〔2015〕299号文件</w:t>
            </w:r>
            <w:r>
              <w:rPr>
                <w:rFonts w:hint="eastAsia" w:ascii="宋体" w:hAnsi="宋体"/>
                <w:szCs w:val="21"/>
                <w:highlight w:val="none"/>
                <w:lang w:eastAsia="zh-CN"/>
              </w:rPr>
              <w:t>，</w:t>
            </w:r>
            <w:r>
              <w:rPr>
                <w:rFonts w:hint="eastAsia" w:ascii="宋体" w:hAnsi="宋体"/>
                <w:szCs w:val="21"/>
                <w:highlight w:val="none"/>
              </w:rPr>
              <w:t>向成交供应商收取招标代理服务费</w:t>
            </w:r>
            <w:r>
              <w:rPr>
                <w:rFonts w:hint="eastAsia" w:ascii="宋体" w:hAnsi="宋体"/>
                <w:szCs w:val="21"/>
                <w:highlight w:val="none"/>
                <w:lang w:eastAsia="zh-CN"/>
              </w:rPr>
              <w:t>。</w:t>
            </w:r>
          </w:p>
        </w:tc>
      </w:tr>
      <w:tr w14:paraId="0EF57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1C2C8AE">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34</w:t>
            </w:r>
          </w:p>
        </w:tc>
        <w:tc>
          <w:tcPr>
            <w:tcW w:w="1916" w:type="dxa"/>
            <w:vAlign w:val="center"/>
          </w:tcPr>
          <w:p w14:paraId="08B6AC97">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szCs w:val="21"/>
                <w:highlight w:val="none"/>
              </w:rPr>
              <w:t>报价方式</w:t>
            </w:r>
          </w:p>
        </w:tc>
        <w:tc>
          <w:tcPr>
            <w:tcW w:w="6970" w:type="dxa"/>
            <w:vAlign w:val="center"/>
          </w:tcPr>
          <w:p w14:paraId="48DDDFDA">
            <w:pPr>
              <w:keepNext w:val="0"/>
              <w:keepLines w:val="0"/>
              <w:pageBreakBefore w:val="0"/>
              <w:widowControl w:val="0"/>
              <w:numPr>
                <w:ilvl w:val="0"/>
                <w:numId w:val="3"/>
              </w:numPr>
              <w:kinsoku/>
              <w:wordWrap/>
              <w:overflowPunct/>
              <w:topLinePunct w:val="0"/>
              <w:bidi w:val="0"/>
              <w:adjustRightInd/>
              <w:spacing w:line="44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污泥处置数量：平均日产量约65吨，计划年产量约为24000吨；服务期共两年；</w:t>
            </w:r>
          </w:p>
          <w:p w14:paraId="033D873A">
            <w:pPr>
              <w:keepNext w:val="0"/>
              <w:keepLines w:val="0"/>
              <w:pageBreakBefore w:val="0"/>
              <w:widowControl w:val="0"/>
              <w:numPr>
                <w:ilvl w:val="0"/>
                <w:numId w:val="3"/>
              </w:numPr>
              <w:kinsoku/>
              <w:wordWrap/>
              <w:overflowPunct/>
              <w:topLinePunct w:val="0"/>
              <w:bidi w:val="0"/>
              <w:adjustRightInd/>
              <w:spacing w:line="440" w:lineRule="exact"/>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投标报价包</w:t>
            </w:r>
            <w:r>
              <w:rPr>
                <w:rFonts w:hint="default" w:ascii="宋体" w:hAnsi="宋体" w:eastAsia="宋体"/>
                <w:szCs w:val="21"/>
                <w:highlight w:val="none"/>
                <w:lang w:val="en-US" w:eastAsia="zh-CN"/>
              </w:rPr>
              <w:t>含运输费用</w:t>
            </w:r>
            <w:r>
              <w:rPr>
                <w:rFonts w:hint="eastAsia" w:ascii="宋体" w:hAnsi="宋体"/>
                <w:szCs w:val="21"/>
                <w:highlight w:val="none"/>
                <w:lang w:val="en-US" w:eastAsia="zh-CN"/>
              </w:rPr>
              <w:t>，</w:t>
            </w:r>
            <w:r>
              <w:rPr>
                <w:rFonts w:hint="default" w:ascii="宋体" w:hAnsi="宋体" w:eastAsia="宋体"/>
                <w:szCs w:val="21"/>
                <w:highlight w:val="none"/>
                <w:lang w:val="en-US" w:eastAsia="zh-CN"/>
              </w:rPr>
              <w:t>北部污水处理厂至处置地减去30公里</w:t>
            </w:r>
            <w:r>
              <w:rPr>
                <w:rFonts w:hint="eastAsia" w:ascii="宋体" w:hAnsi="宋体"/>
                <w:szCs w:val="21"/>
                <w:highlight w:val="none"/>
                <w:lang w:val="en-US" w:eastAsia="zh-CN"/>
              </w:rPr>
              <w:t>（</w:t>
            </w:r>
            <w:r>
              <w:rPr>
                <w:rFonts w:hint="default" w:ascii="宋体" w:hAnsi="宋体" w:eastAsia="宋体"/>
                <w:szCs w:val="21"/>
                <w:highlight w:val="none"/>
                <w:lang w:val="en-US" w:eastAsia="zh-CN"/>
              </w:rPr>
              <w:t>30公里内费用由柏林水务长春高新污水处理有限公司承担</w:t>
            </w:r>
            <w:r>
              <w:rPr>
                <w:rFonts w:hint="eastAsia" w:ascii="宋体" w:hAnsi="宋体"/>
                <w:szCs w:val="21"/>
                <w:highlight w:val="none"/>
                <w:lang w:val="en-US" w:eastAsia="zh-CN"/>
              </w:rPr>
              <w:t>）</w:t>
            </w:r>
            <w:r>
              <w:rPr>
                <w:rFonts w:hint="default" w:ascii="宋体" w:hAnsi="宋体" w:eastAsia="宋体"/>
                <w:szCs w:val="21"/>
                <w:highlight w:val="none"/>
                <w:lang w:val="en-US" w:eastAsia="zh-CN"/>
              </w:rPr>
              <w:t>之后的运输费用。</w:t>
            </w:r>
          </w:p>
          <w:p w14:paraId="63C2431F">
            <w:pPr>
              <w:keepNext w:val="0"/>
              <w:keepLines w:val="0"/>
              <w:pageBreakBefore w:val="0"/>
              <w:widowControl w:val="0"/>
              <w:numPr>
                <w:ilvl w:val="0"/>
                <w:numId w:val="3"/>
              </w:numPr>
              <w:kinsoku/>
              <w:wordWrap/>
              <w:overflowPunct/>
              <w:topLinePunct w:val="0"/>
              <w:bidi w:val="0"/>
              <w:adjustRightInd/>
              <w:spacing w:line="440" w:lineRule="exact"/>
              <w:textAlignment w:val="auto"/>
              <w:rPr>
                <w:rFonts w:hint="default" w:ascii="宋体" w:hAnsi="宋体" w:eastAsia="宋体"/>
                <w:szCs w:val="21"/>
                <w:highlight w:val="none"/>
                <w:lang w:val="en-US" w:eastAsia="zh-CN"/>
              </w:rPr>
            </w:pPr>
            <w:r>
              <w:rPr>
                <w:rFonts w:hint="eastAsia" w:ascii="宋体" w:hAnsi="宋体" w:cs="宋体"/>
                <w:b w:val="0"/>
                <w:bCs w:val="0"/>
                <w:caps w:val="0"/>
                <w:color w:val="000000"/>
                <w:kern w:val="0"/>
                <w:sz w:val="21"/>
                <w:szCs w:val="21"/>
                <w:highlight w:val="none"/>
                <w:vertAlign w:val="baseline"/>
                <w:lang w:val="en-US" w:eastAsia="zh-CN" w:bidi="ar"/>
              </w:rPr>
              <w:t>供应商根据项目情况，结合市场因素及企业自身情况等，自主报价，以“元/吨”为单位，保留小数点后两位，第三位四舍五入；投标报价不得超过最高投标限价330元/吨，否则将否决其投标。</w:t>
            </w:r>
          </w:p>
        </w:tc>
      </w:tr>
      <w:tr w14:paraId="51028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49EA5E3">
            <w:pPr>
              <w:pStyle w:val="25"/>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35</w:t>
            </w:r>
          </w:p>
        </w:tc>
        <w:tc>
          <w:tcPr>
            <w:tcW w:w="1916" w:type="dxa"/>
            <w:vAlign w:val="center"/>
          </w:tcPr>
          <w:p w14:paraId="068800C3">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szCs w:val="21"/>
                <w:highlight w:val="none"/>
              </w:rPr>
            </w:pPr>
            <w:r>
              <w:rPr>
                <w:rFonts w:hint="eastAsia" w:ascii="宋体" w:hAnsi="宋体" w:cs="宋体"/>
                <w:bCs/>
                <w:sz w:val="21"/>
                <w:szCs w:val="21"/>
                <w:highlight w:val="none"/>
                <w:lang w:val="en-US" w:eastAsia="zh-CN"/>
              </w:rPr>
              <w:t>供应商</w:t>
            </w:r>
            <w:r>
              <w:rPr>
                <w:rFonts w:hint="eastAsia" w:ascii="宋体" w:hAnsi="宋体"/>
                <w:szCs w:val="21"/>
                <w:highlight w:val="none"/>
              </w:rPr>
              <w:t>信用信息查询</w:t>
            </w:r>
          </w:p>
        </w:tc>
        <w:tc>
          <w:tcPr>
            <w:tcW w:w="6970" w:type="dxa"/>
            <w:vAlign w:val="center"/>
          </w:tcPr>
          <w:p w14:paraId="3AB8878F">
            <w:pPr>
              <w:keepNext w:val="0"/>
              <w:keepLines w:val="0"/>
              <w:pageBreakBefore w:val="0"/>
              <w:widowControl w:val="0"/>
              <w:kinsoku/>
              <w:wordWrap/>
              <w:overflowPunct/>
              <w:topLinePunct w:val="0"/>
              <w:bidi w:val="0"/>
              <w:adjustRightInd/>
              <w:spacing w:line="440" w:lineRule="exact"/>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查询渠道：</w:t>
            </w:r>
          </w:p>
          <w:p w14:paraId="0B5A5566">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szCs w:val="21"/>
                <w:highlight w:val="none"/>
                <w:lang w:val="en-US" w:eastAsia="zh-CN"/>
              </w:rPr>
              <w:t>①“信用中国”网站（www.creditchina.gov.cn）：失信被执行人、重大税收违法失信主体、政府采购严重违法失信行为记录名单。</w:t>
            </w:r>
          </w:p>
          <w:p w14:paraId="34B5D24F">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szCs w:val="21"/>
                <w:highlight w:val="none"/>
                <w:lang w:val="en-US" w:eastAsia="zh-CN"/>
              </w:rPr>
              <w:t>②中国政府采购网（http://www.ccgp.gov.cn/）：政府采购严重违法失信行为记录名单。</w:t>
            </w:r>
          </w:p>
          <w:p w14:paraId="73C98E1F">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szCs w:val="21"/>
                <w:highlight w:val="none"/>
                <w:lang w:val="en-US" w:eastAsia="zh-CN"/>
              </w:rPr>
              <w:t>③全国企业信用信息公示系统（http://www.gsxt.gov.cn/index.html）：严重违法失信企业名单（黑名单）。</w:t>
            </w:r>
          </w:p>
          <w:p w14:paraId="44C4A355">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szCs w:val="21"/>
                <w:highlight w:val="none"/>
                <w:lang w:val="en-US" w:eastAsia="zh-CN"/>
              </w:rPr>
              <w:t>④中国裁判文书网（wenshu.court.gov.cn）：在近年（2022年1月1日起至今）内供应商</w:t>
            </w:r>
            <w:r>
              <w:rPr>
                <w:rFonts w:hint="eastAsia" w:ascii="宋体" w:hAnsi="宋体" w:cs="宋体"/>
                <w:bCs/>
                <w:sz w:val="21"/>
                <w:szCs w:val="21"/>
                <w:highlight w:val="none"/>
                <w:lang w:val="en-US" w:eastAsia="zh-CN"/>
              </w:rPr>
              <w:t>及</w:t>
            </w:r>
            <w:r>
              <w:rPr>
                <w:rFonts w:hint="eastAsia" w:ascii="宋体" w:hAnsi="宋体"/>
                <w:szCs w:val="21"/>
                <w:highlight w:val="none"/>
                <w:lang w:val="en-US" w:eastAsia="zh-CN"/>
              </w:rPr>
              <w:t>其法定代表人在“中国裁判文书网”上的行贿犯罪行为。</w:t>
            </w:r>
          </w:p>
          <w:p w14:paraId="6B7FF484">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b/>
                <w:bCs/>
                <w:szCs w:val="21"/>
                <w:highlight w:val="none"/>
                <w:lang w:val="en-US" w:eastAsia="zh-CN"/>
              </w:rPr>
              <w:t>查询截止时间：</w:t>
            </w:r>
            <w:r>
              <w:rPr>
                <w:rFonts w:hint="eastAsia" w:ascii="宋体" w:hAnsi="宋体"/>
                <w:szCs w:val="21"/>
                <w:highlight w:val="none"/>
                <w:lang w:val="en-US" w:eastAsia="zh-CN"/>
              </w:rPr>
              <w:t>同投标截止时间</w:t>
            </w:r>
          </w:p>
          <w:p w14:paraId="54484ADA">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b/>
                <w:bCs/>
                <w:szCs w:val="21"/>
                <w:highlight w:val="none"/>
                <w:lang w:val="en-US" w:eastAsia="zh-CN"/>
              </w:rPr>
              <w:t>信用信息查询记录和证据留存的具体方式：</w:t>
            </w:r>
          </w:p>
          <w:p w14:paraId="0722A7DD">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szCs w:val="21"/>
                <w:highlight w:val="none"/>
                <w:lang w:val="en-US" w:eastAsia="zh-CN"/>
              </w:rPr>
              <w:t>采购人或采购代理机构将按投标截止时间后对所有供应商的信用信息进行查询，网站查询记录作为招投标存档备案材料的组成部分进行留存。</w:t>
            </w:r>
          </w:p>
          <w:p w14:paraId="2C4F920D">
            <w:pPr>
              <w:keepNext w:val="0"/>
              <w:keepLines w:val="0"/>
              <w:pageBreakBefore w:val="0"/>
              <w:widowControl w:val="0"/>
              <w:kinsoku/>
              <w:wordWrap/>
              <w:overflowPunct/>
              <w:topLinePunct w:val="0"/>
              <w:bidi w:val="0"/>
              <w:adjustRightInd/>
              <w:spacing w:line="440" w:lineRule="exact"/>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信用信息的使用规则：</w:t>
            </w:r>
          </w:p>
          <w:p w14:paraId="38FE523F">
            <w:pPr>
              <w:keepNext w:val="0"/>
              <w:keepLines w:val="0"/>
              <w:pageBreakBefore w:val="0"/>
              <w:widowControl w:val="0"/>
              <w:kinsoku/>
              <w:wordWrap/>
              <w:overflowPunct/>
              <w:topLinePunct w:val="0"/>
              <w:bidi w:val="0"/>
              <w:adjustRightInd/>
              <w:spacing w:line="440" w:lineRule="exact"/>
              <w:textAlignment w:val="auto"/>
              <w:rPr>
                <w:rFonts w:hint="eastAsia" w:ascii="宋体" w:hAnsi="宋体"/>
                <w:szCs w:val="21"/>
                <w:highlight w:val="none"/>
                <w:lang w:val="en-US" w:eastAsia="zh-CN"/>
              </w:rPr>
            </w:pPr>
            <w:r>
              <w:rPr>
                <w:rFonts w:hint="eastAsia" w:ascii="宋体" w:hAnsi="宋体" w:eastAsia="宋体" w:cs="宋体"/>
                <w:sz w:val="21"/>
                <w:szCs w:val="11"/>
                <w:highlight w:val="none"/>
                <w:lang w:val="zh-CN"/>
              </w:rPr>
              <w:t>采购人或采购代理机构将按查询截止时间对所有</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r>
              <w:rPr>
                <w:rFonts w:hint="eastAsia" w:ascii="宋体" w:hAnsi="宋体"/>
                <w:szCs w:val="21"/>
                <w:highlight w:val="none"/>
                <w:lang w:val="en-US" w:eastAsia="zh-CN"/>
              </w:rPr>
              <w:t>。</w:t>
            </w:r>
          </w:p>
        </w:tc>
      </w:tr>
      <w:tr w14:paraId="56690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9744" w:type="dxa"/>
            <w:gridSpan w:val="3"/>
            <w:vAlign w:val="center"/>
          </w:tcPr>
          <w:p w14:paraId="6D86B7B9">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b/>
                <w:szCs w:val="21"/>
                <w:highlight w:val="none"/>
              </w:rPr>
            </w:pPr>
            <w:r>
              <w:rPr>
                <w:rFonts w:hint="eastAsia" w:ascii="宋体" w:hAnsi="宋体" w:cs="宋体"/>
                <w:bCs/>
                <w:szCs w:val="21"/>
                <w:highlight w:val="none"/>
              </w:rPr>
              <w:t>注：</w:t>
            </w:r>
            <w:r>
              <w:rPr>
                <w:rFonts w:hint="eastAsia" w:ascii="宋体" w:hAnsi="宋体" w:cs="宋体"/>
                <w:bCs/>
                <w:szCs w:val="21"/>
                <w:highlight w:val="none"/>
                <w:lang w:val="en-US" w:eastAsia="zh-CN"/>
              </w:rPr>
              <w:t>招标</w:t>
            </w:r>
            <w:r>
              <w:rPr>
                <w:rFonts w:hint="eastAsia" w:ascii="宋体" w:hAnsi="宋体" w:cs="宋体"/>
                <w:bCs/>
                <w:szCs w:val="21"/>
                <w:highlight w:val="none"/>
              </w:rPr>
              <w:t>公告</w:t>
            </w:r>
            <w:r>
              <w:rPr>
                <w:rFonts w:hint="eastAsia" w:ascii="宋体" w:hAnsi="宋体" w:cs="宋体"/>
                <w:bCs/>
                <w:szCs w:val="21"/>
                <w:highlight w:val="none"/>
                <w:lang w:val="en-US" w:eastAsia="zh-CN"/>
              </w:rPr>
              <w:t>与采购文件中</w:t>
            </w:r>
            <w:r>
              <w:rPr>
                <w:rFonts w:hint="eastAsia" w:ascii="宋体" w:hAnsi="宋体" w:cs="宋体"/>
                <w:bCs/>
                <w:szCs w:val="21"/>
                <w:highlight w:val="none"/>
              </w:rPr>
              <w:t>内容有不一致之处，</w:t>
            </w:r>
            <w:r>
              <w:rPr>
                <w:rFonts w:hint="eastAsia" w:ascii="宋体" w:hAnsi="宋体" w:cs="宋体"/>
                <w:bCs/>
                <w:szCs w:val="21"/>
                <w:highlight w:val="none"/>
                <w:lang w:val="en-US" w:eastAsia="zh-CN"/>
              </w:rPr>
              <w:t>采购文件中</w:t>
            </w:r>
            <w:r>
              <w:rPr>
                <w:rFonts w:hint="eastAsia" w:ascii="宋体" w:hAnsi="宋体" w:cs="宋体"/>
                <w:bCs/>
                <w:szCs w:val="21"/>
                <w:highlight w:val="none"/>
              </w:rPr>
              <w:t>内容为准。</w:t>
            </w:r>
          </w:p>
        </w:tc>
      </w:tr>
    </w:tbl>
    <w:p w14:paraId="0F390E4D">
      <w:pPr>
        <w:pStyle w:val="16"/>
        <w:rPr>
          <w:rFonts w:hint="eastAsia" w:ascii="宋体" w:hAnsi="宋体" w:cs="楷体"/>
          <w:color w:val="auto"/>
          <w:sz w:val="28"/>
          <w:highlight w:val="none"/>
          <w:lang w:val="zh-CN"/>
        </w:rPr>
      </w:pPr>
    </w:p>
    <w:p w14:paraId="2B74AFCD">
      <w:pPr>
        <w:pStyle w:val="16"/>
        <w:rPr>
          <w:rFonts w:hint="eastAsia" w:ascii="宋体" w:hAnsi="宋体" w:cs="楷体"/>
          <w:color w:val="auto"/>
          <w:sz w:val="28"/>
          <w:highlight w:val="none"/>
          <w:lang w:val="zh-CN"/>
        </w:rPr>
      </w:pPr>
    </w:p>
    <w:p w14:paraId="0449AB42">
      <w:pPr>
        <w:pStyle w:val="16"/>
        <w:rPr>
          <w:rFonts w:hint="eastAsia" w:ascii="宋体" w:hAnsi="宋体" w:cs="楷体"/>
          <w:color w:val="auto"/>
          <w:highlight w:val="none"/>
        </w:rPr>
      </w:pPr>
      <w:r>
        <w:rPr>
          <w:rFonts w:hint="eastAsia" w:ascii="宋体" w:hAnsi="宋体" w:cs="楷体"/>
          <w:color w:val="auto"/>
          <w:sz w:val="28"/>
          <w:highlight w:val="none"/>
          <w:lang w:val="zh-CN"/>
        </w:rPr>
        <w:t>1.总则</w:t>
      </w:r>
      <w:bookmarkStart w:id="18" w:name="_Toc222900703"/>
      <w:bookmarkStart w:id="19" w:name="_Toc223345300"/>
      <w:bookmarkStart w:id="20" w:name="_Toc228014252"/>
      <w:bookmarkStart w:id="21" w:name="_Toc223580583"/>
      <w:bookmarkStart w:id="22" w:name="_Toc279848074"/>
      <w:bookmarkStart w:id="23" w:name="_Toc223256342"/>
      <w:bookmarkStart w:id="24" w:name="_Toc259125178"/>
      <w:bookmarkStart w:id="25" w:name="_Toc223068439"/>
      <w:bookmarkStart w:id="26" w:name="_Toc223161266"/>
      <w:bookmarkStart w:id="27" w:name="_Toc223063714"/>
      <w:bookmarkStart w:id="28" w:name="_Toc259131287"/>
      <w:bookmarkStart w:id="29" w:name="_Toc222987625"/>
      <w:bookmarkStart w:id="30" w:name="_Toc222907580"/>
      <w:bookmarkStart w:id="31" w:name="_Toc201719065"/>
      <w:bookmarkStart w:id="32" w:name="_Toc222905984"/>
      <w:bookmarkStart w:id="33" w:name="_Toc222987472"/>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D014B9A">
      <w:pPr>
        <w:pStyle w:val="12"/>
        <w:spacing w:before="156" w:beforeLines="50" w:after="0" w:line="240" w:lineRule="auto"/>
        <w:jc w:val="left"/>
        <w:rPr>
          <w:rFonts w:ascii="宋体" w:hAnsi="宋体" w:cs="楷体"/>
          <w:color w:val="auto"/>
          <w:kern w:val="2"/>
          <w:sz w:val="21"/>
          <w:szCs w:val="24"/>
          <w:highlight w:val="none"/>
        </w:rPr>
      </w:pPr>
      <w:bookmarkStart w:id="34" w:name="_Toc4151"/>
      <w:bookmarkStart w:id="35" w:name="_Toc508803973"/>
      <w:bookmarkStart w:id="36" w:name="_Toc30292"/>
      <w:bookmarkStart w:id="37" w:name="_Toc5737"/>
      <w:bookmarkStart w:id="38" w:name="_Toc30307"/>
      <w:bookmarkStart w:id="39" w:name="_Toc21674"/>
      <w:r>
        <w:rPr>
          <w:rFonts w:hint="eastAsia" w:ascii="宋体" w:hAnsi="宋体" w:cs="楷体"/>
          <w:color w:val="auto"/>
          <w:kern w:val="2"/>
          <w:sz w:val="21"/>
          <w:szCs w:val="24"/>
          <w:highlight w:val="none"/>
        </w:rPr>
        <w:t>1.1 采购项目概况</w:t>
      </w:r>
      <w:bookmarkEnd w:id="34"/>
      <w:bookmarkEnd w:id="35"/>
      <w:bookmarkEnd w:id="36"/>
      <w:bookmarkEnd w:id="37"/>
      <w:bookmarkEnd w:id="38"/>
      <w:bookmarkEnd w:id="39"/>
    </w:p>
    <w:p w14:paraId="385D45AE">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 xml:space="preserve">1.1.1 </w:t>
      </w:r>
      <w:r>
        <w:rPr>
          <w:rFonts w:hint="eastAsia" w:ascii="宋体" w:hAnsi="宋体"/>
          <w:color w:val="auto"/>
          <w:highlight w:val="none"/>
        </w:rPr>
        <w:t>根据《中华人民共和国政府采购法》等有关法律、法规和规章的规定，本采购项目已具备采购条件，现对本项目进行</w:t>
      </w:r>
      <w:r>
        <w:rPr>
          <w:rFonts w:hint="eastAsia" w:ascii="宋体" w:hAnsi="宋体"/>
          <w:color w:val="auto"/>
          <w:highlight w:val="none"/>
          <w:lang w:val="en-US" w:eastAsia="zh-CN"/>
        </w:rPr>
        <w:t>招标</w:t>
      </w:r>
      <w:r>
        <w:rPr>
          <w:rFonts w:hint="eastAsia" w:ascii="宋体" w:hAnsi="宋体"/>
          <w:color w:val="auto"/>
          <w:highlight w:val="none"/>
        </w:rPr>
        <w:t>。</w:t>
      </w:r>
    </w:p>
    <w:p w14:paraId="420B61D1">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1.1.2 采购人：见供应商须知前附表。</w:t>
      </w:r>
    </w:p>
    <w:p w14:paraId="574850CB">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1.1.3 采购代理机构：见供应商须知前附表。</w:t>
      </w:r>
    </w:p>
    <w:p w14:paraId="5735BF08">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 xml:space="preserve">1.1.4 </w:t>
      </w:r>
      <w:r>
        <w:rPr>
          <w:rFonts w:hint="eastAsia" w:ascii="宋体" w:hAnsi="宋体" w:cs="Arial"/>
          <w:bCs/>
          <w:color w:val="auto"/>
          <w:szCs w:val="21"/>
          <w:highlight w:val="none"/>
          <w:lang w:val="zh-CN"/>
        </w:rPr>
        <w:t>项目名称及项目编号</w:t>
      </w:r>
      <w:r>
        <w:rPr>
          <w:rFonts w:hint="eastAsia" w:ascii="宋体" w:hAnsi="宋体" w:cs="楷体"/>
          <w:color w:val="auto"/>
          <w:szCs w:val="21"/>
          <w:highlight w:val="none"/>
        </w:rPr>
        <w:t>：见供应商须知前附表。</w:t>
      </w:r>
    </w:p>
    <w:p w14:paraId="16111C94">
      <w:pPr>
        <w:pStyle w:val="12"/>
        <w:spacing w:before="156" w:beforeLines="50" w:after="0" w:line="240" w:lineRule="auto"/>
        <w:jc w:val="left"/>
        <w:rPr>
          <w:rFonts w:ascii="宋体" w:hAnsi="宋体" w:cs="楷体"/>
          <w:color w:val="auto"/>
          <w:kern w:val="2"/>
          <w:sz w:val="21"/>
          <w:szCs w:val="24"/>
          <w:highlight w:val="none"/>
        </w:rPr>
      </w:pPr>
      <w:bookmarkStart w:id="40" w:name="_Toc5589"/>
      <w:bookmarkStart w:id="41" w:name="_Toc8967"/>
      <w:bookmarkStart w:id="42" w:name="_Toc508803974"/>
      <w:bookmarkStart w:id="43" w:name="_Toc18192"/>
      <w:bookmarkStart w:id="44" w:name="_Toc31079"/>
      <w:bookmarkStart w:id="45" w:name="_Toc16427"/>
      <w:r>
        <w:rPr>
          <w:rFonts w:hint="eastAsia" w:ascii="宋体" w:hAnsi="宋体" w:cs="楷体"/>
          <w:color w:val="auto"/>
          <w:kern w:val="2"/>
          <w:sz w:val="21"/>
          <w:szCs w:val="24"/>
          <w:highlight w:val="none"/>
        </w:rPr>
        <w:t>1.2 采购项目的资金来源和落实情况</w:t>
      </w:r>
      <w:bookmarkEnd w:id="40"/>
      <w:bookmarkEnd w:id="41"/>
      <w:bookmarkEnd w:id="42"/>
      <w:bookmarkEnd w:id="43"/>
      <w:bookmarkEnd w:id="44"/>
      <w:bookmarkEnd w:id="45"/>
    </w:p>
    <w:p w14:paraId="28D2BABE">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1.2.1 资金来源及比例：见供应商须知前附表。</w:t>
      </w:r>
    </w:p>
    <w:p w14:paraId="56092B7B">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1.2.2 资金落实情况：见供应商须知前附表。</w:t>
      </w:r>
    </w:p>
    <w:p w14:paraId="00218F9D">
      <w:pPr>
        <w:pStyle w:val="12"/>
        <w:spacing w:before="156" w:beforeLines="50" w:after="0" w:line="240" w:lineRule="auto"/>
        <w:jc w:val="left"/>
        <w:rPr>
          <w:rFonts w:ascii="宋体" w:hAnsi="宋体" w:cs="楷体"/>
          <w:color w:val="auto"/>
          <w:kern w:val="2"/>
          <w:sz w:val="21"/>
          <w:szCs w:val="24"/>
          <w:highlight w:val="none"/>
        </w:rPr>
      </w:pPr>
      <w:bookmarkStart w:id="46" w:name="_Toc28281"/>
      <w:bookmarkStart w:id="47" w:name="_Toc28981"/>
      <w:bookmarkStart w:id="48" w:name="_Toc10616"/>
      <w:bookmarkStart w:id="49" w:name="_Toc508803975"/>
      <w:bookmarkStart w:id="50" w:name="_Toc14641"/>
      <w:bookmarkStart w:id="51" w:name="_Toc23345"/>
      <w:r>
        <w:rPr>
          <w:rFonts w:hint="eastAsia" w:ascii="宋体" w:hAnsi="宋体" w:cs="楷体"/>
          <w:color w:val="auto"/>
          <w:kern w:val="2"/>
          <w:sz w:val="21"/>
          <w:szCs w:val="24"/>
          <w:highlight w:val="none"/>
        </w:rPr>
        <w:t>1.3 采购</w:t>
      </w:r>
      <w:r>
        <w:rPr>
          <w:rFonts w:hint="eastAsia" w:ascii="宋体" w:hAnsi="宋体" w:cs="楷体"/>
          <w:color w:val="auto"/>
          <w:kern w:val="2"/>
          <w:sz w:val="21"/>
          <w:szCs w:val="24"/>
          <w:highlight w:val="none"/>
          <w:lang w:val="en-US" w:eastAsia="zh-CN"/>
        </w:rPr>
        <w:t>需求</w:t>
      </w:r>
      <w:r>
        <w:rPr>
          <w:rFonts w:hint="eastAsia" w:ascii="宋体" w:hAnsi="宋体" w:cs="楷体"/>
          <w:color w:val="auto"/>
          <w:kern w:val="2"/>
          <w:sz w:val="21"/>
          <w:szCs w:val="24"/>
          <w:highlight w:val="none"/>
        </w:rPr>
        <w:t>、</w:t>
      </w:r>
      <w:r>
        <w:rPr>
          <w:rFonts w:hint="eastAsia" w:ascii="宋体" w:hAnsi="宋体" w:cs="楷体"/>
          <w:color w:val="auto"/>
          <w:kern w:val="2"/>
          <w:sz w:val="21"/>
          <w:szCs w:val="24"/>
          <w:highlight w:val="none"/>
          <w:lang w:val="en-US" w:eastAsia="zh-CN"/>
        </w:rPr>
        <w:t>合同履行期限</w:t>
      </w:r>
      <w:r>
        <w:rPr>
          <w:rFonts w:hint="eastAsia" w:ascii="宋体" w:hAnsi="宋体" w:cs="楷体"/>
          <w:color w:val="auto"/>
          <w:kern w:val="2"/>
          <w:sz w:val="21"/>
          <w:szCs w:val="24"/>
          <w:highlight w:val="none"/>
        </w:rPr>
        <w:t>、项目地点和</w:t>
      </w:r>
      <w:bookmarkEnd w:id="46"/>
      <w:bookmarkEnd w:id="47"/>
      <w:bookmarkEnd w:id="48"/>
      <w:bookmarkEnd w:id="49"/>
      <w:r>
        <w:rPr>
          <w:rFonts w:hint="eastAsia" w:ascii="宋体" w:hAnsi="宋体" w:cs="楷体"/>
          <w:color w:val="auto"/>
          <w:kern w:val="2"/>
          <w:sz w:val="21"/>
          <w:szCs w:val="24"/>
          <w:highlight w:val="none"/>
          <w:lang w:val="en-US" w:eastAsia="zh-CN"/>
        </w:rPr>
        <w:t>质量及验收</w:t>
      </w:r>
      <w:r>
        <w:rPr>
          <w:rFonts w:hint="eastAsia" w:ascii="宋体" w:hAnsi="宋体" w:cs="楷体"/>
          <w:color w:val="auto"/>
          <w:kern w:val="2"/>
          <w:sz w:val="21"/>
          <w:szCs w:val="24"/>
          <w:highlight w:val="none"/>
        </w:rPr>
        <w:t>标准</w:t>
      </w:r>
      <w:bookmarkEnd w:id="50"/>
      <w:bookmarkEnd w:id="51"/>
    </w:p>
    <w:p w14:paraId="4F89CB26">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1.3.1 采购</w:t>
      </w:r>
      <w:r>
        <w:rPr>
          <w:rFonts w:hint="eastAsia" w:ascii="宋体" w:hAnsi="宋体" w:cs="楷体"/>
          <w:color w:val="auto"/>
          <w:szCs w:val="21"/>
          <w:highlight w:val="none"/>
          <w:lang w:val="en-US" w:eastAsia="zh-CN"/>
        </w:rPr>
        <w:t>需求</w:t>
      </w:r>
      <w:r>
        <w:rPr>
          <w:rFonts w:hint="eastAsia" w:ascii="宋体" w:hAnsi="宋体" w:cs="楷体"/>
          <w:color w:val="auto"/>
          <w:szCs w:val="21"/>
          <w:highlight w:val="none"/>
        </w:rPr>
        <w:t>：见供应商须知前附表。</w:t>
      </w:r>
    </w:p>
    <w:p w14:paraId="618DAFB4">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1.3.2 合同履行期限：见供应商须知前附表。</w:t>
      </w:r>
    </w:p>
    <w:p w14:paraId="400B556A">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1.3.3 项目地点：见供应商须知前附表。</w:t>
      </w:r>
    </w:p>
    <w:p w14:paraId="0DE0A44A">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 xml:space="preserve">1.3.4 </w:t>
      </w:r>
      <w:r>
        <w:rPr>
          <w:rFonts w:hint="eastAsia" w:ascii="宋体" w:hAnsi="宋体" w:cs="楷体"/>
          <w:color w:val="auto"/>
          <w:szCs w:val="21"/>
          <w:highlight w:val="none"/>
          <w:lang w:val="en-US" w:eastAsia="zh-CN"/>
        </w:rPr>
        <w:t>质量及验收</w:t>
      </w:r>
      <w:r>
        <w:rPr>
          <w:rFonts w:hint="eastAsia" w:ascii="宋体" w:hAnsi="宋体" w:cs="楷体"/>
          <w:color w:val="auto"/>
          <w:szCs w:val="21"/>
          <w:highlight w:val="none"/>
        </w:rPr>
        <w:t>标准：见供应商须知前附表。</w:t>
      </w:r>
    </w:p>
    <w:p w14:paraId="104E78EC">
      <w:pPr>
        <w:pStyle w:val="12"/>
        <w:spacing w:before="156" w:beforeLines="50" w:after="0" w:line="240" w:lineRule="auto"/>
        <w:jc w:val="left"/>
        <w:rPr>
          <w:rFonts w:ascii="宋体" w:hAnsi="宋体" w:cs="楷体"/>
          <w:color w:val="auto"/>
          <w:kern w:val="2"/>
          <w:sz w:val="21"/>
          <w:szCs w:val="24"/>
          <w:highlight w:val="none"/>
        </w:rPr>
      </w:pPr>
      <w:bookmarkStart w:id="52" w:name="_Toc508803976"/>
      <w:bookmarkStart w:id="53" w:name="_Toc17251"/>
      <w:bookmarkStart w:id="54" w:name="_Toc18055"/>
      <w:bookmarkStart w:id="55" w:name="_Toc9263"/>
      <w:bookmarkStart w:id="56" w:name="_Toc28586"/>
      <w:bookmarkStart w:id="57" w:name="_Toc20368"/>
      <w:r>
        <w:rPr>
          <w:rFonts w:hint="eastAsia" w:ascii="宋体" w:hAnsi="宋体" w:cs="楷体"/>
          <w:color w:val="auto"/>
          <w:kern w:val="2"/>
          <w:sz w:val="21"/>
          <w:szCs w:val="24"/>
          <w:highlight w:val="none"/>
        </w:rPr>
        <w:t>1.4 供应商资格要求</w:t>
      </w:r>
      <w:bookmarkEnd w:id="52"/>
      <w:bookmarkEnd w:id="53"/>
      <w:bookmarkEnd w:id="54"/>
      <w:bookmarkEnd w:id="55"/>
      <w:bookmarkEnd w:id="56"/>
      <w:bookmarkEnd w:id="57"/>
    </w:p>
    <w:p w14:paraId="65981042">
      <w:pPr>
        <w:spacing w:line="440" w:lineRule="exact"/>
        <w:ind w:firstLine="420" w:firstLineChars="200"/>
        <w:rPr>
          <w:rFonts w:hint="eastAsia" w:ascii="宋体" w:hAnsi="宋体" w:eastAsia="宋体" w:cs="楷体"/>
          <w:color w:val="auto"/>
          <w:szCs w:val="21"/>
          <w:highlight w:val="none"/>
          <w:lang w:eastAsia="zh-CN"/>
        </w:rPr>
      </w:pPr>
      <w:r>
        <w:rPr>
          <w:rFonts w:hint="eastAsia" w:ascii="宋体" w:hAnsi="宋体" w:cs="楷体"/>
          <w:color w:val="auto"/>
          <w:szCs w:val="21"/>
          <w:highlight w:val="none"/>
        </w:rPr>
        <w:t>1.4.1 供应商应具备承担本采购项目资质条件、能力和信誉：见供应商须知前附表</w:t>
      </w:r>
      <w:r>
        <w:rPr>
          <w:rFonts w:hint="eastAsia" w:ascii="宋体" w:hAnsi="宋体" w:cs="楷体"/>
          <w:color w:val="auto"/>
          <w:szCs w:val="21"/>
          <w:highlight w:val="none"/>
          <w:lang w:eastAsia="zh-CN"/>
        </w:rPr>
        <w:t>。</w:t>
      </w:r>
    </w:p>
    <w:p w14:paraId="6F420BD8">
      <w:pPr>
        <w:spacing w:line="440" w:lineRule="exact"/>
        <w:ind w:firstLine="420" w:firstLineChars="200"/>
        <w:rPr>
          <w:rFonts w:ascii="宋体" w:hAnsi="宋体" w:cs="楷体"/>
          <w:color w:val="auto"/>
          <w:szCs w:val="21"/>
          <w:highlight w:val="none"/>
        </w:rPr>
      </w:pPr>
      <w:bookmarkStart w:id="58" w:name="page20"/>
      <w:bookmarkEnd w:id="58"/>
      <w:r>
        <w:rPr>
          <w:rFonts w:hint="eastAsia" w:ascii="宋体" w:hAnsi="宋体" w:cs="楷体"/>
          <w:color w:val="auto"/>
          <w:szCs w:val="21"/>
          <w:highlight w:val="none"/>
        </w:rPr>
        <w:t>1.4.2 供应商须知前附表规定接受联合体投标的，联合体除应符合本章第1.4.1项和供应商须知前附表的要求外，还应遵守以下规定：</w:t>
      </w:r>
    </w:p>
    <w:p w14:paraId="7446E2E4">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（1）联合体各方应按采购文件提供的格式签订联合体协议书，明确联合体牵头人和各方权利义务，并承诺就中标项目向采购人承担连带责任；</w:t>
      </w:r>
    </w:p>
    <w:p w14:paraId="2CB094BA">
      <w:pPr>
        <w:spacing w:line="440" w:lineRule="exact"/>
        <w:ind w:firstLine="420" w:firstLineChars="200"/>
        <w:rPr>
          <w:rFonts w:ascii="宋体" w:hAnsi="宋体" w:cs="楷体"/>
          <w:color w:val="auto"/>
          <w:szCs w:val="21"/>
          <w:highlight w:val="none"/>
        </w:rPr>
      </w:pPr>
      <w:r>
        <w:rPr>
          <w:rFonts w:hint="eastAsia" w:ascii="宋体" w:hAnsi="宋体" w:cs="楷体"/>
          <w:color w:val="auto"/>
          <w:szCs w:val="21"/>
          <w:highlight w:val="none"/>
        </w:rPr>
        <w:t>（2）由同一专业的单位组成的联合体，按照资质等级较低的单位确定资质等级；</w:t>
      </w:r>
    </w:p>
    <w:p w14:paraId="3D2674C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（3）联合体各方不得再以自己名义单独或参加其他联合体在本采购项目中投标，否则各相关投标均无效。</w:t>
      </w:r>
    </w:p>
    <w:p w14:paraId="39EDBF1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1.4.3 供应商不得存在下列情形之一：</w:t>
      </w:r>
    </w:p>
    <w:p w14:paraId="7604EB4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eastAsia="zh-CN"/>
        </w:rPr>
        <w:t>为采购人不具有独立法人资格的附属机构</w:t>
      </w:r>
      <w:r>
        <w:rPr>
          <w:rFonts w:hint="eastAsia" w:ascii="宋体" w:hAnsi="宋体" w:cs="楷体"/>
          <w:color w:val="auto"/>
          <w:szCs w:val="21"/>
          <w:highlight w:val="none"/>
        </w:rPr>
        <w:t>（单位）；</w:t>
      </w:r>
    </w:p>
    <w:p w14:paraId="0004EAC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sz w:val="21"/>
          <w:szCs w:val="21"/>
          <w:highlight w:val="none"/>
          <w:lang w:eastAsia="zh-CN"/>
        </w:rPr>
      </w:pPr>
      <w:r>
        <w:rPr>
          <w:rFonts w:hint="eastAsia" w:ascii="宋体" w:hAnsi="宋体" w:cs="楷体"/>
          <w:color w:val="auto"/>
          <w:szCs w:val="21"/>
          <w:highlight w:val="none"/>
        </w:rPr>
        <w:t>（2）</w:t>
      </w:r>
      <w:r>
        <w:rPr>
          <w:rFonts w:hint="eastAsia" w:hAnsi="宋体" w:cs="宋体"/>
          <w:sz w:val="21"/>
          <w:szCs w:val="21"/>
          <w:highlight w:val="none"/>
          <w:lang w:eastAsia="zh-CN"/>
        </w:rPr>
        <w:t>为</w:t>
      </w:r>
      <w:r>
        <w:rPr>
          <w:rFonts w:hint="eastAsia" w:hAnsi="宋体" w:cs="宋体"/>
          <w:sz w:val="21"/>
          <w:szCs w:val="21"/>
          <w:highlight w:val="none"/>
          <w:lang w:val="en-US" w:eastAsia="zh-CN"/>
        </w:rPr>
        <w:t>本</w:t>
      </w:r>
      <w:r>
        <w:rPr>
          <w:rFonts w:hint="eastAsia" w:hAnsi="宋体" w:cs="宋体"/>
          <w:sz w:val="21"/>
          <w:szCs w:val="21"/>
          <w:highlight w:val="none"/>
          <w:lang w:eastAsia="zh-CN"/>
        </w:rPr>
        <w:t>采购项目提供整体设计、规范编制或者项目管理、监理、检测等服务的；</w:t>
      </w:r>
    </w:p>
    <w:p w14:paraId="4FDA139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cs="楷体"/>
          <w:color w:val="auto"/>
          <w:szCs w:val="21"/>
          <w:highlight w:val="none"/>
        </w:rPr>
        <w:t>与采购人存在利害关系且可能影响招标公正性；</w:t>
      </w:r>
    </w:p>
    <w:p w14:paraId="0382033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w:t>
      </w:r>
      <w:r>
        <w:rPr>
          <w:rFonts w:hint="eastAsia" w:ascii="宋体" w:hAnsi="宋体" w:cs="楷体"/>
          <w:color w:val="auto"/>
          <w:szCs w:val="21"/>
          <w:highlight w:val="none"/>
          <w:lang w:val="en-US" w:eastAsia="zh-CN"/>
        </w:rPr>
        <w:t>4</w:t>
      </w:r>
      <w:r>
        <w:rPr>
          <w:rFonts w:hint="eastAsia" w:ascii="宋体" w:hAnsi="宋体" w:cs="楷体"/>
          <w:color w:val="auto"/>
          <w:szCs w:val="21"/>
          <w:highlight w:val="none"/>
        </w:rPr>
        <w:t>）与本采购项目的其他</w:t>
      </w:r>
      <w:r>
        <w:rPr>
          <w:rFonts w:hint="eastAsia" w:ascii="宋体" w:hAnsi="宋体" w:cs="宋体"/>
          <w:bCs/>
          <w:sz w:val="21"/>
          <w:szCs w:val="21"/>
          <w:highlight w:val="none"/>
          <w:lang w:val="en-US" w:eastAsia="zh-CN"/>
        </w:rPr>
        <w:t>供应商</w:t>
      </w:r>
      <w:r>
        <w:rPr>
          <w:rFonts w:hint="eastAsia" w:ascii="宋体" w:hAnsi="宋体" w:cs="楷体"/>
          <w:color w:val="auto"/>
          <w:szCs w:val="21"/>
          <w:highlight w:val="none"/>
        </w:rPr>
        <w:t>为同一个单位负责人；</w:t>
      </w:r>
    </w:p>
    <w:p w14:paraId="130EBAD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w:t>
      </w:r>
      <w:r>
        <w:rPr>
          <w:rFonts w:hint="eastAsia" w:ascii="宋体" w:hAnsi="宋体" w:cs="楷体"/>
          <w:color w:val="auto"/>
          <w:szCs w:val="21"/>
          <w:highlight w:val="none"/>
          <w:lang w:val="en-US" w:eastAsia="zh-CN"/>
        </w:rPr>
        <w:t>5</w:t>
      </w:r>
      <w:r>
        <w:rPr>
          <w:rFonts w:hint="eastAsia" w:ascii="宋体" w:hAnsi="宋体" w:cs="楷体"/>
          <w:color w:val="auto"/>
          <w:szCs w:val="21"/>
          <w:highlight w:val="none"/>
        </w:rPr>
        <w:t>）与本采购项目的其他</w:t>
      </w:r>
      <w:r>
        <w:rPr>
          <w:rFonts w:hint="eastAsia" w:ascii="宋体" w:hAnsi="宋体" w:cs="宋体"/>
          <w:bCs/>
          <w:sz w:val="21"/>
          <w:szCs w:val="21"/>
          <w:highlight w:val="none"/>
          <w:lang w:val="en-US" w:eastAsia="zh-CN"/>
        </w:rPr>
        <w:t>供应商</w:t>
      </w:r>
      <w:r>
        <w:rPr>
          <w:rFonts w:hint="eastAsia" w:ascii="宋体" w:hAnsi="宋体" w:cs="楷体"/>
          <w:color w:val="auto"/>
          <w:szCs w:val="21"/>
          <w:highlight w:val="none"/>
        </w:rPr>
        <w:t>存在</w:t>
      </w:r>
      <w:r>
        <w:rPr>
          <w:rFonts w:hint="eastAsia" w:ascii="宋体" w:hAnsi="宋体" w:cs="楷体"/>
          <w:color w:val="auto"/>
          <w:szCs w:val="21"/>
          <w:highlight w:val="none"/>
          <w:lang w:val="en-US" w:eastAsia="zh-CN"/>
        </w:rPr>
        <w:t>直接</w:t>
      </w:r>
      <w:r>
        <w:rPr>
          <w:rFonts w:hint="eastAsia" w:ascii="宋体" w:hAnsi="宋体" w:cs="楷体"/>
          <w:color w:val="auto"/>
          <w:szCs w:val="21"/>
          <w:highlight w:val="none"/>
        </w:rPr>
        <w:t>控股、管理关系；</w:t>
      </w:r>
    </w:p>
    <w:p w14:paraId="6AF1D98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w:t>
      </w:r>
      <w:r>
        <w:rPr>
          <w:rFonts w:hint="eastAsia" w:ascii="宋体" w:hAnsi="宋体" w:cs="楷体"/>
          <w:color w:val="auto"/>
          <w:szCs w:val="21"/>
          <w:highlight w:val="none"/>
          <w:lang w:val="en-US" w:eastAsia="zh-CN"/>
        </w:rPr>
        <w:t>6</w:t>
      </w:r>
      <w:r>
        <w:rPr>
          <w:rFonts w:hint="eastAsia" w:ascii="宋体" w:hAnsi="宋体" w:cs="楷体"/>
          <w:color w:val="auto"/>
          <w:szCs w:val="21"/>
          <w:highlight w:val="none"/>
        </w:rPr>
        <w:t>）为本采购项目的采购代理机构；</w:t>
      </w:r>
    </w:p>
    <w:p w14:paraId="720CB5E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（7）与本采购项目的采购代理机构同为一个法定代表人；</w:t>
      </w:r>
    </w:p>
    <w:p w14:paraId="4FAABC2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（8）与本采购项目的采购代理机构存在控股或参股关系；</w:t>
      </w:r>
    </w:p>
    <w:p w14:paraId="2457EE1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（9）被依法暂停或者取消投标资格；</w:t>
      </w:r>
    </w:p>
    <w:p w14:paraId="30FE6EE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（10）被责令停产停业，暂扣或者吊销执照，或吊销资质证书；</w:t>
      </w:r>
    </w:p>
    <w:p w14:paraId="7455E57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lang w:eastAsia="zh-CN"/>
        </w:rPr>
      </w:pPr>
      <w:r>
        <w:rPr>
          <w:rFonts w:hint="eastAsia" w:ascii="宋体" w:hAnsi="宋体" w:cs="楷体"/>
          <w:color w:val="auto"/>
          <w:szCs w:val="21"/>
          <w:highlight w:val="none"/>
        </w:rPr>
        <w:t>（11）进入清算程序，或被宣告破产，或其他丧失履约能力的情形</w:t>
      </w:r>
      <w:r>
        <w:rPr>
          <w:rFonts w:hint="eastAsia" w:ascii="宋体" w:hAnsi="宋体" w:cs="楷体"/>
          <w:color w:val="auto"/>
          <w:szCs w:val="21"/>
          <w:highlight w:val="none"/>
          <w:lang w:eastAsia="zh-CN"/>
        </w:rPr>
        <w:t>；</w:t>
      </w:r>
    </w:p>
    <w:p w14:paraId="32D4C64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2</w:t>
      </w:r>
      <w:r>
        <w:rPr>
          <w:rFonts w:hint="eastAsia" w:ascii="宋体" w:hAnsi="宋体" w:cs="楷体"/>
          <w:color w:val="auto"/>
          <w:szCs w:val="21"/>
          <w:highlight w:val="none"/>
        </w:rPr>
        <w:t>）</w:t>
      </w:r>
      <w:r>
        <w:rPr>
          <w:rFonts w:hint="eastAsia" w:ascii="宋体" w:hAnsi="宋体" w:eastAsia="宋体" w:cs="宋体"/>
          <w:bCs/>
          <w:sz w:val="21"/>
          <w:szCs w:val="21"/>
          <w:highlight w:val="none"/>
        </w:rPr>
        <w:t>参加政府采购活动前三年内，在经营活动中有重大违法记录</w:t>
      </w:r>
      <w:r>
        <w:rPr>
          <w:rFonts w:hint="eastAsia" w:ascii="宋体" w:hAnsi="宋体" w:cs="楷体"/>
          <w:color w:val="auto"/>
          <w:szCs w:val="21"/>
          <w:highlight w:val="none"/>
        </w:rPr>
        <w:t>；</w:t>
      </w:r>
    </w:p>
    <w:p w14:paraId="0F1C05A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3</w:t>
      </w:r>
      <w:r>
        <w:rPr>
          <w:rFonts w:hint="eastAsia" w:ascii="宋体" w:hAnsi="宋体" w:cs="楷体"/>
          <w:color w:val="auto"/>
          <w:szCs w:val="21"/>
          <w:highlight w:val="none"/>
        </w:rPr>
        <w:t>）被“中国政府采购网”列入政府采购严重违法失信行为记录名单；</w:t>
      </w:r>
    </w:p>
    <w:p w14:paraId="6AF3EF4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4</w:t>
      </w:r>
      <w:r>
        <w:rPr>
          <w:rFonts w:hint="eastAsia" w:ascii="宋体" w:hAnsi="宋体" w:cs="楷体"/>
          <w:color w:val="auto"/>
          <w:szCs w:val="21"/>
          <w:highlight w:val="none"/>
        </w:rPr>
        <w:t>）被工商行政管理机关在“全国企业信用信息公示系统”中列入严重违法失信企业名单（黑名单）；</w:t>
      </w:r>
    </w:p>
    <w:p w14:paraId="642FC7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5</w:t>
      </w:r>
      <w:r>
        <w:rPr>
          <w:rFonts w:hint="eastAsia" w:ascii="宋体" w:hAnsi="宋体" w:cs="楷体"/>
          <w:color w:val="auto"/>
          <w:szCs w:val="21"/>
          <w:highlight w:val="none"/>
        </w:rPr>
        <w:t>）被最高人民法院在“信用中国”网站列入失信被执行人、重大税收违法失信主体、政府采购严重违法失信行为记录名单；</w:t>
      </w:r>
    </w:p>
    <w:p w14:paraId="4E8CDE9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6</w:t>
      </w:r>
      <w:r>
        <w:rPr>
          <w:rFonts w:hint="eastAsia" w:ascii="宋体" w:hAnsi="宋体" w:cs="楷体"/>
          <w:color w:val="auto"/>
          <w:szCs w:val="21"/>
          <w:highlight w:val="none"/>
        </w:rPr>
        <w:t>）在近年（2022年1月1日起至今）内供应商</w:t>
      </w:r>
      <w:r>
        <w:rPr>
          <w:rFonts w:hint="eastAsia" w:ascii="宋体" w:hAnsi="宋体" w:cs="楷体"/>
          <w:color w:val="auto"/>
          <w:szCs w:val="21"/>
          <w:highlight w:val="none"/>
          <w:lang w:val="en-US" w:eastAsia="zh-CN"/>
        </w:rPr>
        <w:t>及</w:t>
      </w:r>
      <w:r>
        <w:rPr>
          <w:rFonts w:hint="eastAsia" w:ascii="宋体" w:hAnsi="宋体" w:cs="楷体"/>
          <w:color w:val="auto"/>
          <w:szCs w:val="21"/>
          <w:highlight w:val="none"/>
        </w:rPr>
        <w:t>其法定代表人在“中国裁判文书网”上有行贿犯罪行为；</w:t>
      </w:r>
    </w:p>
    <w:p w14:paraId="58BBE5E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w:t>
      </w:r>
      <w:r>
        <w:rPr>
          <w:rFonts w:hint="eastAsia" w:ascii="宋体" w:hAnsi="宋体" w:cs="楷体"/>
          <w:color w:val="auto"/>
          <w:szCs w:val="21"/>
          <w:highlight w:val="none"/>
          <w:lang w:val="en-US" w:eastAsia="zh-CN"/>
        </w:rPr>
        <w:t>7</w:t>
      </w:r>
      <w:r>
        <w:rPr>
          <w:rFonts w:hint="eastAsia" w:ascii="宋体" w:hAnsi="宋体" w:cs="楷体"/>
          <w:color w:val="auto"/>
          <w:szCs w:val="21"/>
          <w:highlight w:val="none"/>
        </w:rPr>
        <w:t>）法律法规或供应商须知前附表规定的其他情形。</w:t>
      </w:r>
    </w:p>
    <w:p w14:paraId="31605A58">
      <w:pPr>
        <w:pStyle w:val="12"/>
        <w:spacing w:before="156" w:beforeLines="50" w:after="0" w:line="240" w:lineRule="auto"/>
        <w:jc w:val="left"/>
        <w:rPr>
          <w:rFonts w:ascii="宋体" w:hAnsi="宋体" w:cs="楷体"/>
          <w:color w:val="auto"/>
          <w:kern w:val="2"/>
          <w:sz w:val="21"/>
          <w:szCs w:val="24"/>
          <w:highlight w:val="none"/>
        </w:rPr>
      </w:pPr>
      <w:bookmarkStart w:id="59" w:name="page21"/>
      <w:bookmarkEnd w:id="59"/>
      <w:bookmarkStart w:id="60" w:name="_Toc32351"/>
      <w:bookmarkStart w:id="61" w:name="_Toc15067"/>
      <w:bookmarkStart w:id="62" w:name="_Toc508803977"/>
      <w:bookmarkStart w:id="63" w:name="_Toc13512"/>
      <w:bookmarkStart w:id="64" w:name="_Toc14323"/>
      <w:bookmarkStart w:id="65" w:name="_Toc5109"/>
      <w:r>
        <w:rPr>
          <w:rFonts w:hint="eastAsia" w:ascii="宋体" w:hAnsi="宋体" w:cs="楷体"/>
          <w:color w:val="auto"/>
          <w:kern w:val="2"/>
          <w:sz w:val="21"/>
          <w:szCs w:val="24"/>
          <w:highlight w:val="none"/>
        </w:rPr>
        <w:t>1.5 费用承担</w:t>
      </w:r>
      <w:bookmarkEnd w:id="60"/>
      <w:bookmarkEnd w:id="61"/>
      <w:bookmarkEnd w:id="62"/>
      <w:bookmarkEnd w:id="63"/>
      <w:bookmarkEnd w:id="64"/>
      <w:bookmarkEnd w:id="65"/>
    </w:p>
    <w:p w14:paraId="5CBEEFA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供应商准备和参加投标活动发生的费用自理。</w:t>
      </w:r>
    </w:p>
    <w:p w14:paraId="5CBD0565">
      <w:pPr>
        <w:pStyle w:val="12"/>
        <w:spacing w:before="156" w:beforeLines="50" w:after="0" w:line="240" w:lineRule="auto"/>
        <w:jc w:val="left"/>
        <w:rPr>
          <w:rFonts w:ascii="宋体" w:hAnsi="宋体" w:cs="楷体"/>
          <w:color w:val="auto"/>
          <w:kern w:val="2"/>
          <w:sz w:val="21"/>
          <w:szCs w:val="24"/>
          <w:highlight w:val="none"/>
        </w:rPr>
      </w:pPr>
      <w:bookmarkStart w:id="66" w:name="_Toc30017"/>
      <w:bookmarkStart w:id="67" w:name="_Toc9464"/>
      <w:bookmarkStart w:id="68" w:name="_Toc22932"/>
      <w:bookmarkStart w:id="69" w:name="_Toc23819"/>
      <w:bookmarkStart w:id="70" w:name="_Toc89"/>
      <w:bookmarkStart w:id="71" w:name="_Toc508803978"/>
      <w:r>
        <w:rPr>
          <w:rFonts w:hint="eastAsia" w:ascii="宋体" w:hAnsi="宋体" w:cs="楷体"/>
          <w:color w:val="auto"/>
          <w:kern w:val="2"/>
          <w:sz w:val="21"/>
          <w:szCs w:val="24"/>
          <w:highlight w:val="none"/>
        </w:rPr>
        <w:t>1.6 保密</w:t>
      </w:r>
      <w:bookmarkEnd w:id="66"/>
      <w:bookmarkEnd w:id="67"/>
      <w:bookmarkEnd w:id="68"/>
      <w:bookmarkEnd w:id="69"/>
      <w:bookmarkEnd w:id="70"/>
      <w:bookmarkEnd w:id="71"/>
    </w:p>
    <w:p w14:paraId="5B43EFF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参与招标投标活动的各方应对采购文件和</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中的商业和技术等秘密保密，否则应承担相应的法律责任。</w:t>
      </w:r>
    </w:p>
    <w:p w14:paraId="15D36E43">
      <w:pPr>
        <w:pStyle w:val="12"/>
        <w:spacing w:before="156" w:beforeLines="50" w:after="0" w:line="240" w:lineRule="auto"/>
        <w:jc w:val="left"/>
        <w:rPr>
          <w:rFonts w:ascii="宋体" w:hAnsi="宋体" w:cs="楷体"/>
          <w:color w:val="auto"/>
          <w:kern w:val="2"/>
          <w:sz w:val="21"/>
          <w:szCs w:val="24"/>
          <w:highlight w:val="none"/>
        </w:rPr>
      </w:pPr>
      <w:bookmarkStart w:id="72" w:name="_Toc5206"/>
      <w:bookmarkStart w:id="73" w:name="_Toc508803979"/>
      <w:bookmarkStart w:id="74" w:name="_Toc5435"/>
      <w:bookmarkStart w:id="75" w:name="_Toc17674"/>
      <w:bookmarkStart w:id="76" w:name="_Toc9443"/>
      <w:bookmarkStart w:id="77" w:name="_Toc11758"/>
      <w:r>
        <w:rPr>
          <w:rFonts w:hint="eastAsia" w:ascii="宋体" w:hAnsi="宋体" w:cs="楷体"/>
          <w:color w:val="auto"/>
          <w:kern w:val="2"/>
          <w:sz w:val="21"/>
          <w:szCs w:val="24"/>
          <w:highlight w:val="none"/>
        </w:rPr>
        <w:t>1.7 语言文字</w:t>
      </w:r>
      <w:bookmarkEnd w:id="72"/>
      <w:bookmarkEnd w:id="73"/>
      <w:bookmarkEnd w:id="74"/>
      <w:bookmarkEnd w:id="75"/>
      <w:bookmarkEnd w:id="76"/>
      <w:bookmarkEnd w:id="77"/>
    </w:p>
    <w:p w14:paraId="46B10D1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招标</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使用的语言文字为中文。专用术语使用外文的，应附有中文注释。</w:t>
      </w:r>
    </w:p>
    <w:p w14:paraId="3D400B55">
      <w:pPr>
        <w:pStyle w:val="12"/>
        <w:spacing w:before="156" w:beforeLines="50" w:after="0" w:line="240" w:lineRule="auto"/>
        <w:jc w:val="left"/>
        <w:rPr>
          <w:rFonts w:ascii="宋体" w:hAnsi="宋体" w:cs="楷体"/>
          <w:color w:val="auto"/>
          <w:kern w:val="2"/>
          <w:sz w:val="21"/>
          <w:szCs w:val="24"/>
          <w:highlight w:val="none"/>
        </w:rPr>
      </w:pPr>
      <w:bookmarkStart w:id="78" w:name="_Toc508803980"/>
      <w:bookmarkStart w:id="79" w:name="_Toc8672"/>
      <w:bookmarkStart w:id="80" w:name="_Toc27899"/>
      <w:bookmarkStart w:id="81" w:name="_Toc11907"/>
      <w:bookmarkStart w:id="82" w:name="_Toc29825"/>
      <w:bookmarkStart w:id="83" w:name="_Toc21780"/>
      <w:r>
        <w:rPr>
          <w:rFonts w:hint="eastAsia" w:ascii="宋体" w:hAnsi="宋体" w:cs="楷体"/>
          <w:color w:val="auto"/>
          <w:kern w:val="2"/>
          <w:sz w:val="21"/>
          <w:szCs w:val="24"/>
          <w:highlight w:val="none"/>
        </w:rPr>
        <w:t>1.8 计量单位</w:t>
      </w:r>
      <w:bookmarkEnd w:id="78"/>
      <w:bookmarkEnd w:id="79"/>
      <w:bookmarkEnd w:id="80"/>
      <w:bookmarkEnd w:id="81"/>
      <w:bookmarkEnd w:id="82"/>
      <w:bookmarkEnd w:id="83"/>
    </w:p>
    <w:p w14:paraId="34F79D1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所有计量均采用中华人民共和国法定计量单位。</w:t>
      </w:r>
    </w:p>
    <w:p w14:paraId="281CB58E">
      <w:pPr>
        <w:pStyle w:val="12"/>
        <w:spacing w:before="156" w:beforeLines="50" w:after="0" w:line="240" w:lineRule="auto"/>
        <w:jc w:val="left"/>
        <w:rPr>
          <w:rFonts w:ascii="宋体" w:hAnsi="宋体" w:cs="楷体"/>
          <w:color w:val="auto"/>
          <w:kern w:val="2"/>
          <w:sz w:val="21"/>
          <w:szCs w:val="24"/>
          <w:highlight w:val="none"/>
        </w:rPr>
      </w:pPr>
      <w:bookmarkStart w:id="84" w:name="_Toc8757"/>
      <w:bookmarkStart w:id="85" w:name="_Toc11796"/>
      <w:bookmarkStart w:id="86" w:name="_Toc24004"/>
      <w:bookmarkStart w:id="87" w:name="_Toc10200"/>
      <w:bookmarkStart w:id="88" w:name="_Toc13448"/>
      <w:bookmarkStart w:id="89" w:name="_Toc508803981"/>
      <w:r>
        <w:rPr>
          <w:rFonts w:hint="eastAsia" w:ascii="宋体" w:hAnsi="宋体" w:cs="楷体"/>
          <w:color w:val="auto"/>
          <w:kern w:val="2"/>
          <w:sz w:val="21"/>
          <w:szCs w:val="24"/>
          <w:highlight w:val="none"/>
        </w:rPr>
        <w:t>1.9 投标预备会</w:t>
      </w:r>
      <w:bookmarkEnd w:id="84"/>
      <w:bookmarkEnd w:id="85"/>
      <w:bookmarkEnd w:id="86"/>
      <w:bookmarkEnd w:id="87"/>
      <w:bookmarkEnd w:id="88"/>
      <w:bookmarkEnd w:id="89"/>
    </w:p>
    <w:p w14:paraId="12D546A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1.9.1 供应商须知前附表规定召开投标预备会的，采购人按供应商须知前附表规定的时间和地点召开投标预备会，澄清供应商提出的问题。</w:t>
      </w:r>
    </w:p>
    <w:p w14:paraId="0FFF3A2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1.9.2 供应商应按供应商须知前附表规定的时间和形式将提出的问题送达采购人，以便采购人在会议期间澄清。</w:t>
      </w:r>
    </w:p>
    <w:p w14:paraId="1DBEE98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1.9.3 投标预备会后，采购人将对供应商所提问题的澄清，以供应商须知前附表规定的形式通知所有购买采购文件的供应商。该澄清内容为</w:t>
      </w:r>
      <w:r>
        <w:rPr>
          <w:rFonts w:hint="eastAsia" w:ascii="宋体" w:hAnsi="宋体"/>
          <w:color w:val="auto"/>
          <w:highlight w:val="none"/>
        </w:rPr>
        <w:t>采购</w:t>
      </w:r>
      <w:r>
        <w:rPr>
          <w:rFonts w:hint="eastAsia" w:ascii="宋体" w:hAnsi="宋体" w:cs="楷体"/>
          <w:color w:val="auto"/>
          <w:szCs w:val="21"/>
          <w:highlight w:val="none"/>
        </w:rPr>
        <w:t>文件的组成部分。</w:t>
      </w:r>
    </w:p>
    <w:p w14:paraId="6A11247B">
      <w:pPr>
        <w:pStyle w:val="12"/>
        <w:spacing w:before="156" w:beforeLines="50" w:after="0" w:line="240" w:lineRule="auto"/>
        <w:jc w:val="left"/>
        <w:rPr>
          <w:rFonts w:ascii="宋体" w:hAnsi="宋体" w:cs="楷体"/>
          <w:color w:val="auto"/>
          <w:kern w:val="2"/>
          <w:sz w:val="21"/>
          <w:szCs w:val="24"/>
          <w:highlight w:val="none"/>
        </w:rPr>
      </w:pPr>
      <w:bookmarkStart w:id="90" w:name="_Toc29313"/>
      <w:bookmarkStart w:id="91" w:name="_Toc3053"/>
      <w:bookmarkStart w:id="92" w:name="_Toc11795"/>
      <w:bookmarkStart w:id="93" w:name="_Toc25278"/>
      <w:bookmarkStart w:id="94" w:name="_Toc28804"/>
      <w:bookmarkStart w:id="95" w:name="_Toc508803982"/>
      <w:r>
        <w:rPr>
          <w:rFonts w:hint="eastAsia" w:ascii="宋体" w:hAnsi="宋体" w:cs="楷体"/>
          <w:color w:val="auto"/>
          <w:kern w:val="2"/>
          <w:sz w:val="21"/>
          <w:szCs w:val="24"/>
          <w:highlight w:val="none"/>
        </w:rPr>
        <w:t>1.10 分包</w:t>
      </w:r>
      <w:bookmarkEnd w:id="90"/>
      <w:bookmarkEnd w:id="91"/>
      <w:bookmarkEnd w:id="92"/>
      <w:bookmarkEnd w:id="93"/>
      <w:bookmarkEnd w:id="94"/>
      <w:bookmarkEnd w:id="95"/>
    </w:p>
    <w:p w14:paraId="20B2344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 xml:space="preserve">1.10.1 </w:t>
      </w:r>
      <w:r>
        <w:rPr>
          <w:rFonts w:hint="eastAsia" w:ascii="宋体" w:hAnsi="宋体" w:cs="楷体"/>
          <w:color w:val="auto"/>
          <w:szCs w:val="21"/>
          <w:highlight w:val="none"/>
          <w:lang w:val="en-US" w:eastAsia="zh-CN"/>
        </w:rPr>
        <w:t>不允许</w:t>
      </w:r>
      <w:r>
        <w:rPr>
          <w:rFonts w:hint="eastAsia" w:ascii="宋体" w:hAnsi="宋体" w:cs="楷体"/>
          <w:color w:val="auto"/>
          <w:szCs w:val="21"/>
          <w:highlight w:val="none"/>
        </w:rPr>
        <w:t>。</w:t>
      </w:r>
    </w:p>
    <w:p w14:paraId="731A9463">
      <w:pPr>
        <w:pStyle w:val="12"/>
        <w:spacing w:before="156" w:beforeLines="50" w:after="0" w:line="240" w:lineRule="auto"/>
        <w:jc w:val="left"/>
        <w:rPr>
          <w:rFonts w:ascii="宋体" w:hAnsi="宋体" w:cs="楷体"/>
          <w:color w:val="auto"/>
          <w:kern w:val="2"/>
          <w:sz w:val="21"/>
          <w:szCs w:val="24"/>
          <w:highlight w:val="none"/>
        </w:rPr>
      </w:pPr>
      <w:bookmarkStart w:id="96" w:name="_Toc24673"/>
      <w:bookmarkStart w:id="97" w:name="_Toc28214"/>
      <w:bookmarkStart w:id="98" w:name="_Toc19024"/>
      <w:bookmarkStart w:id="99" w:name="_Toc14160"/>
      <w:bookmarkStart w:id="100" w:name="_Toc7269"/>
      <w:bookmarkStart w:id="101" w:name="_Toc508803983"/>
      <w:r>
        <w:rPr>
          <w:rFonts w:hint="eastAsia" w:ascii="宋体" w:hAnsi="宋体" w:cs="楷体"/>
          <w:color w:val="auto"/>
          <w:kern w:val="2"/>
          <w:sz w:val="21"/>
          <w:szCs w:val="24"/>
          <w:highlight w:val="none"/>
        </w:rPr>
        <w:t>1.11 响应和偏差</w:t>
      </w:r>
      <w:bookmarkEnd w:id="96"/>
      <w:bookmarkEnd w:id="97"/>
      <w:bookmarkEnd w:id="98"/>
      <w:bookmarkEnd w:id="99"/>
      <w:bookmarkEnd w:id="100"/>
      <w:bookmarkEnd w:id="101"/>
    </w:p>
    <w:p w14:paraId="191D5D5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 xml:space="preserve">1.11.1 </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应当对采购文件的实质性要求和条件作出满足性或更有利于采购人的响应，</w:t>
      </w:r>
      <w:bookmarkStart w:id="102" w:name="page22"/>
      <w:bookmarkEnd w:id="102"/>
      <w:r>
        <w:rPr>
          <w:rFonts w:hint="eastAsia" w:ascii="宋体" w:hAnsi="宋体" w:cs="楷体"/>
          <w:color w:val="auto"/>
          <w:szCs w:val="21"/>
          <w:highlight w:val="none"/>
        </w:rPr>
        <w:t>否则，供应商的投标将被否决。实质性要求和条件见供应商须知前附表。</w:t>
      </w:r>
    </w:p>
    <w:p w14:paraId="3B22FDC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1.11.2 供应商应根据采购文件的要求对采购文件作出响应。</w:t>
      </w:r>
    </w:p>
    <w:p w14:paraId="7D13F1B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1.11.3 供应商须知前附表规定了可以偏差的范围和最高偏差项数的，偏差应当符合供应商须知前附表规定的偏差范围和最高项数，超出偏差范围和最高偏差项数的投标将被否决。</w:t>
      </w:r>
    </w:p>
    <w:p w14:paraId="12E8641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color w:val="auto"/>
          <w:szCs w:val="21"/>
          <w:highlight w:val="none"/>
        </w:rPr>
        <w:t>1.11.</w:t>
      </w:r>
      <w:r>
        <w:rPr>
          <w:rFonts w:hint="eastAsia" w:ascii="宋体" w:hAnsi="宋体" w:cs="楷体"/>
          <w:color w:val="auto"/>
          <w:szCs w:val="21"/>
          <w:highlight w:val="none"/>
          <w:lang w:val="en-US" w:eastAsia="zh-CN"/>
        </w:rPr>
        <w:t>4</w:t>
      </w:r>
      <w:r>
        <w:rPr>
          <w:rFonts w:hint="eastAsia" w:ascii="宋体" w:hAnsi="宋体" w:cs="楷体"/>
          <w:color w:val="auto"/>
          <w:szCs w:val="21"/>
          <w:highlight w:val="none"/>
        </w:rPr>
        <w:t xml:space="preserve"> </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对采购文件的全部偏差，均应在</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的商务和技术偏差表中列明，除列明的内容外，视为供应商响应采购文件的全部要求。</w:t>
      </w:r>
    </w:p>
    <w:p w14:paraId="43DD5994">
      <w:pPr>
        <w:pStyle w:val="16"/>
        <w:rPr>
          <w:rFonts w:hint="eastAsia" w:ascii="宋体" w:hAnsi="宋体" w:cs="楷体"/>
          <w:color w:val="auto"/>
          <w:sz w:val="28"/>
          <w:highlight w:val="none"/>
          <w:lang w:val="zh-CN"/>
        </w:rPr>
      </w:pPr>
      <w:bookmarkStart w:id="103" w:name="_Toc9029"/>
      <w:bookmarkStart w:id="104" w:name="_Toc9924"/>
      <w:bookmarkStart w:id="105" w:name="_Toc471822563"/>
      <w:bookmarkStart w:id="106" w:name="_Toc406417355"/>
      <w:bookmarkStart w:id="107" w:name="_Toc4389"/>
      <w:bookmarkStart w:id="108" w:name="_Toc223580594"/>
      <w:bookmarkStart w:id="109" w:name="_Toc471822506"/>
      <w:bookmarkStart w:id="110" w:name="_Toc201719077"/>
      <w:bookmarkStart w:id="111" w:name="_Toc31163"/>
      <w:bookmarkStart w:id="112" w:name="_Toc14223"/>
      <w:r>
        <w:rPr>
          <w:rFonts w:hint="eastAsia" w:ascii="宋体" w:hAnsi="宋体" w:cs="楷体"/>
          <w:color w:val="auto"/>
          <w:sz w:val="28"/>
          <w:highlight w:val="none"/>
          <w:lang w:val="zh-CN"/>
        </w:rPr>
        <w:t>2.</w:t>
      </w:r>
      <w:r>
        <w:rPr>
          <w:rFonts w:hint="eastAsia" w:ascii="宋体" w:hAnsi="宋体" w:cs="楷体"/>
          <w:color w:val="auto"/>
          <w:sz w:val="28"/>
          <w:highlight w:val="none"/>
        </w:rPr>
        <w:t>采购</w:t>
      </w:r>
      <w:r>
        <w:rPr>
          <w:rFonts w:hint="eastAsia" w:ascii="宋体" w:hAnsi="宋体" w:cs="楷体"/>
          <w:color w:val="auto"/>
          <w:sz w:val="28"/>
          <w:highlight w:val="none"/>
          <w:lang w:val="zh-CN"/>
        </w:rPr>
        <w:t>文件</w:t>
      </w:r>
      <w:bookmarkEnd w:id="103"/>
      <w:bookmarkEnd w:id="104"/>
      <w:bookmarkEnd w:id="105"/>
      <w:bookmarkEnd w:id="106"/>
      <w:bookmarkEnd w:id="107"/>
      <w:bookmarkEnd w:id="108"/>
      <w:bookmarkEnd w:id="109"/>
      <w:bookmarkEnd w:id="110"/>
      <w:bookmarkEnd w:id="111"/>
      <w:bookmarkEnd w:id="112"/>
    </w:p>
    <w:p w14:paraId="484BBD81">
      <w:pPr>
        <w:rPr>
          <w:rFonts w:hint="eastAsia" w:ascii="宋体" w:hAnsi="宋体" w:cs="楷体"/>
          <w:b/>
          <w:color w:val="auto"/>
          <w:highlight w:val="none"/>
        </w:rPr>
      </w:pPr>
      <w:bookmarkStart w:id="113" w:name="_Toc201719078"/>
      <w:bookmarkStart w:id="114" w:name="_Toc223580595"/>
      <w:bookmarkStart w:id="115" w:name="_Toc223063726"/>
      <w:bookmarkStart w:id="116" w:name="_Toc222987637"/>
      <w:bookmarkStart w:id="117" w:name="_Toc222905996"/>
      <w:bookmarkStart w:id="118" w:name="_Toc279848087"/>
      <w:bookmarkStart w:id="119" w:name="_Toc222900715"/>
      <w:bookmarkStart w:id="120" w:name="_Toc223161278"/>
      <w:bookmarkStart w:id="121" w:name="_Toc259125191"/>
      <w:bookmarkStart w:id="122" w:name="_Toc223345312"/>
      <w:bookmarkStart w:id="123" w:name="_Toc259131300"/>
      <w:bookmarkStart w:id="124" w:name="_Toc228014264"/>
      <w:bookmarkStart w:id="125" w:name="_Toc223256354"/>
      <w:bookmarkStart w:id="126" w:name="_Toc222987484"/>
      <w:bookmarkStart w:id="127" w:name="_Toc223068451"/>
      <w:bookmarkStart w:id="128" w:name="_Toc222907592"/>
      <w:r>
        <w:rPr>
          <w:rFonts w:hint="eastAsia" w:ascii="宋体" w:hAnsi="宋体" w:cs="楷体"/>
          <w:b/>
          <w:color w:val="auto"/>
          <w:highlight w:val="none"/>
        </w:rPr>
        <w:t>2.1 采购文件的组成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4D65C96">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 xml:space="preserve">  </w:t>
      </w:r>
      <w:r>
        <w:rPr>
          <w:rFonts w:hint="eastAsia" w:ascii="宋体" w:hAnsi="宋体" w:cs="楷体"/>
          <w:bCs/>
          <w:color w:val="auto"/>
          <w:szCs w:val="21"/>
          <w:highlight w:val="none"/>
        </w:rPr>
        <w:t xml:space="preserve">  </w:t>
      </w:r>
      <w:r>
        <w:rPr>
          <w:rFonts w:hint="eastAsia" w:ascii="宋体" w:hAnsi="宋体" w:cs="楷体"/>
          <w:bCs/>
          <w:color w:val="auto"/>
          <w:szCs w:val="21"/>
          <w:highlight w:val="none"/>
          <w:lang w:val="zh-CN"/>
        </w:rPr>
        <w:t>本</w:t>
      </w:r>
      <w:r>
        <w:rPr>
          <w:rFonts w:hint="eastAsia" w:ascii="宋体" w:hAnsi="宋体" w:cs="楷体"/>
          <w:color w:val="auto"/>
          <w:szCs w:val="21"/>
          <w:highlight w:val="none"/>
        </w:rPr>
        <w:t>采购</w:t>
      </w:r>
      <w:r>
        <w:rPr>
          <w:rFonts w:hint="eastAsia" w:ascii="宋体" w:hAnsi="宋体" w:cs="楷体"/>
          <w:bCs/>
          <w:color w:val="auto"/>
          <w:szCs w:val="21"/>
          <w:highlight w:val="none"/>
          <w:lang w:val="zh-CN"/>
        </w:rPr>
        <w:t>文件包括：</w:t>
      </w:r>
    </w:p>
    <w:p w14:paraId="25983E4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（1）</w:t>
      </w:r>
      <w:r>
        <w:rPr>
          <w:rFonts w:hint="eastAsia" w:ascii="宋体" w:hAnsi="宋体" w:cs="楷体"/>
          <w:color w:val="auto"/>
          <w:szCs w:val="21"/>
          <w:highlight w:val="none"/>
          <w:lang w:val="en-US" w:eastAsia="zh-CN"/>
        </w:rPr>
        <w:t>招标</w:t>
      </w:r>
      <w:r>
        <w:rPr>
          <w:rFonts w:hint="eastAsia" w:ascii="宋体" w:hAnsi="宋体" w:cs="楷体"/>
          <w:bCs/>
          <w:color w:val="auto"/>
          <w:szCs w:val="21"/>
          <w:highlight w:val="none"/>
          <w:lang w:val="zh-CN"/>
        </w:rPr>
        <w:t>公告；</w:t>
      </w:r>
    </w:p>
    <w:p w14:paraId="6E540DF1">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（2）供应商须知；</w:t>
      </w:r>
    </w:p>
    <w:p w14:paraId="72A1541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（3）评标办法；</w:t>
      </w:r>
    </w:p>
    <w:p w14:paraId="506F77CC">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（4）合同条款及格式；</w:t>
      </w:r>
    </w:p>
    <w:p w14:paraId="767C129C">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（5）</w:t>
      </w:r>
      <w:r>
        <w:rPr>
          <w:rFonts w:hint="eastAsia" w:ascii="宋体" w:hAnsi="宋体" w:cs="楷体"/>
          <w:bCs/>
          <w:color w:val="auto"/>
          <w:szCs w:val="21"/>
          <w:highlight w:val="none"/>
        </w:rPr>
        <w:t>采购人需求</w:t>
      </w:r>
      <w:r>
        <w:rPr>
          <w:rFonts w:hint="eastAsia" w:ascii="宋体" w:hAnsi="宋体" w:cs="楷体"/>
          <w:bCs/>
          <w:color w:val="auto"/>
          <w:szCs w:val="21"/>
          <w:highlight w:val="none"/>
          <w:lang w:val="zh-CN"/>
        </w:rPr>
        <w:t>；</w:t>
      </w:r>
    </w:p>
    <w:p w14:paraId="622E3B11">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（6）响应文件格式。</w:t>
      </w:r>
    </w:p>
    <w:p w14:paraId="1908E8F3">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bCs/>
          <w:color w:val="auto"/>
          <w:szCs w:val="21"/>
          <w:highlight w:val="none"/>
          <w:lang w:val="zh-CN"/>
        </w:rPr>
        <w:t>根据本章第 1.9 款、第 2.2 款和第 2.3 款对</w:t>
      </w:r>
      <w:r>
        <w:rPr>
          <w:rFonts w:hint="eastAsia" w:ascii="宋体" w:hAnsi="宋体"/>
          <w:color w:val="auto"/>
          <w:highlight w:val="none"/>
        </w:rPr>
        <w:t>采购</w:t>
      </w:r>
      <w:r>
        <w:rPr>
          <w:rFonts w:hint="eastAsia" w:ascii="宋体" w:hAnsi="宋体" w:cs="楷体"/>
          <w:bCs/>
          <w:color w:val="auto"/>
          <w:szCs w:val="21"/>
          <w:highlight w:val="none"/>
          <w:lang w:val="zh-CN"/>
        </w:rPr>
        <w:t>文件所作的澄清、修改，构成</w:t>
      </w:r>
      <w:r>
        <w:rPr>
          <w:rFonts w:hint="eastAsia" w:ascii="宋体" w:hAnsi="宋体" w:cs="楷体"/>
          <w:color w:val="auto"/>
          <w:szCs w:val="21"/>
          <w:highlight w:val="none"/>
        </w:rPr>
        <w:t>采购</w:t>
      </w:r>
      <w:r>
        <w:rPr>
          <w:rFonts w:hint="eastAsia" w:ascii="宋体" w:hAnsi="宋体" w:cs="楷体"/>
          <w:bCs/>
          <w:color w:val="auto"/>
          <w:szCs w:val="21"/>
          <w:highlight w:val="none"/>
          <w:lang w:val="zh-CN"/>
        </w:rPr>
        <w:t>文件的组成部分。</w:t>
      </w:r>
    </w:p>
    <w:p w14:paraId="5314B1E9">
      <w:pPr>
        <w:pStyle w:val="12"/>
        <w:spacing w:before="156" w:beforeLines="50" w:after="0" w:line="240" w:lineRule="auto"/>
        <w:jc w:val="left"/>
        <w:rPr>
          <w:rFonts w:ascii="宋体" w:hAnsi="宋体" w:cs="楷体"/>
          <w:color w:val="auto"/>
          <w:kern w:val="2"/>
          <w:sz w:val="21"/>
          <w:szCs w:val="24"/>
          <w:highlight w:val="none"/>
        </w:rPr>
      </w:pPr>
      <w:bookmarkStart w:id="129" w:name="_Toc28863"/>
      <w:bookmarkStart w:id="130" w:name="_Toc508803986"/>
      <w:bookmarkStart w:id="131" w:name="_Toc27716"/>
      <w:bookmarkStart w:id="132" w:name="_Toc2524"/>
      <w:bookmarkStart w:id="133" w:name="_Toc13000"/>
      <w:bookmarkStart w:id="134" w:name="_Toc27546"/>
      <w:r>
        <w:rPr>
          <w:rFonts w:hint="eastAsia" w:ascii="宋体" w:hAnsi="宋体" w:cs="楷体"/>
          <w:color w:val="auto"/>
          <w:kern w:val="2"/>
          <w:sz w:val="21"/>
          <w:szCs w:val="24"/>
          <w:highlight w:val="none"/>
        </w:rPr>
        <w:t xml:space="preserve">2.2 </w:t>
      </w:r>
      <w:r>
        <w:rPr>
          <w:rFonts w:hint="eastAsia" w:ascii="宋体" w:hAnsi="宋体" w:cs="楷体"/>
          <w:color w:val="auto"/>
          <w:kern w:val="2"/>
          <w:sz w:val="21"/>
          <w:szCs w:val="21"/>
          <w:highlight w:val="none"/>
        </w:rPr>
        <w:t>采购</w:t>
      </w:r>
      <w:r>
        <w:rPr>
          <w:rFonts w:hint="eastAsia" w:ascii="宋体" w:hAnsi="宋体" w:cs="楷体"/>
          <w:color w:val="auto"/>
          <w:kern w:val="2"/>
          <w:sz w:val="21"/>
          <w:szCs w:val="24"/>
          <w:highlight w:val="none"/>
        </w:rPr>
        <w:t>文件的澄清</w:t>
      </w:r>
      <w:bookmarkEnd w:id="129"/>
      <w:bookmarkEnd w:id="130"/>
      <w:bookmarkEnd w:id="131"/>
      <w:bookmarkEnd w:id="132"/>
      <w:bookmarkEnd w:id="133"/>
      <w:bookmarkEnd w:id="134"/>
    </w:p>
    <w:p w14:paraId="3518E3E3">
      <w:pPr>
        <w:keepNext w:val="0"/>
        <w:keepLines w:val="0"/>
        <w:pageBreakBefore w:val="0"/>
        <w:widowControl w:val="0"/>
        <w:kinsoku/>
        <w:wordWrap/>
        <w:overflowPunct/>
        <w:topLinePunct w:val="0"/>
        <w:autoSpaceDE w:val="0"/>
        <w:autoSpaceDN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2.2.1 供应商应仔细阅读和检查采购文件的全部内容。如发现缺页或附件不全，应及时向采购人提出，以便补齐。如有疑问，应按供应商须知前附表规定的时间和形式将提出的问题送达采购人，要求采购人对采购文件予以澄清。</w:t>
      </w:r>
    </w:p>
    <w:p w14:paraId="0C2F2F2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2.2.2 采购文件的澄清以供应商须知前附表规定的形式发给所有</w:t>
      </w:r>
      <w:r>
        <w:rPr>
          <w:rFonts w:hint="eastAsia" w:ascii="宋体" w:hAnsi="宋体" w:cs="楷体"/>
          <w:color w:val="auto"/>
          <w:szCs w:val="21"/>
          <w:highlight w:val="none"/>
          <w:lang w:val="en-US" w:eastAsia="zh-CN"/>
        </w:rPr>
        <w:t>获取</w:t>
      </w:r>
      <w:r>
        <w:rPr>
          <w:rFonts w:hint="eastAsia" w:ascii="宋体" w:hAnsi="宋体" w:cs="楷体"/>
          <w:color w:val="auto"/>
          <w:szCs w:val="21"/>
          <w:highlight w:val="none"/>
        </w:rPr>
        <w:t>采购文件的供应商，但不指明澄清问题的来源。澄清发出的时间距本章第4.2.1项规定的投标截止时间不足15日的，</w:t>
      </w:r>
      <w:bookmarkStart w:id="135" w:name="page23"/>
      <w:bookmarkEnd w:id="135"/>
      <w:r>
        <w:rPr>
          <w:rFonts w:hint="eastAsia" w:ascii="宋体" w:hAnsi="宋体" w:cs="楷体"/>
          <w:color w:val="auto"/>
          <w:szCs w:val="21"/>
          <w:highlight w:val="none"/>
        </w:rPr>
        <w:t>并且澄清内容可能影响</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编制的，将相应延长投标截止时间。</w:t>
      </w:r>
    </w:p>
    <w:p w14:paraId="2A1C8F4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2.2.3 供应商在收到澄清后，应按供应商须知前附表规定的时间和形式通知采购人，确认已收到该澄清。</w:t>
      </w:r>
    </w:p>
    <w:p w14:paraId="769A13F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2.2.4 除非采购人认为确有必要答复，否则，采购人有权拒绝回复供应商在本章第2.2.1项规定的时间后的任何澄清要求。</w:t>
      </w:r>
    </w:p>
    <w:p w14:paraId="13232DF5">
      <w:pPr>
        <w:pStyle w:val="12"/>
        <w:spacing w:before="156" w:beforeLines="50" w:after="0" w:line="240" w:lineRule="auto"/>
        <w:jc w:val="left"/>
        <w:rPr>
          <w:rFonts w:ascii="宋体" w:hAnsi="宋体" w:cs="楷体"/>
          <w:color w:val="auto"/>
          <w:kern w:val="2"/>
          <w:sz w:val="21"/>
          <w:szCs w:val="24"/>
          <w:highlight w:val="none"/>
        </w:rPr>
      </w:pPr>
      <w:bookmarkStart w:id="136" w:name="_Toc31710"/>
      <w:bookmarkStart w:id="137" w:name="_Toc3226"/>
      <w:bookmarkStart w:id="138" w:name="_Toc8700"/>
      <w:bookmarkStart w:id="139" w:name="_Toc10936"/>
      <w:bookmarkStart w:id="140" w:name="_Toc508803987"/>
      <w:bookmarkStart w:id="141" w:name="_Toc8553"/>
      <w:r>
        <w:rPr>
          <w:rFonts w:hint="eastAsia" w:ascii="宋体" w:hAnsi="宋体" w:cs="楷体"/>
          <w:color w:val="auto"/>
          <w:kern w:val="2"/>
          <w:sz w:val="21"/>
          <w:szCs w:val="24"/>
          <w:highlight w:val="none"/>
        </w:rPr>
        <w:t xml:space="preserve">2.3 </w:t>
      </w:r>
      <w:r>
        <w:rPr>
          <w:rFonts w:hint="eastAsia" w:ascii="宋体" w:hAnsi="宋体" w:cs="楷体"/>
          <w:color w:val="auto"/>
          <w:kern w:val="2"/>
          <w:sz w:val="21"/>
          <w:szCs w:val="21"/>
          <w:highlight w:val="none"/>
        </w:rPr>
        <w:t>采购</w:t>
      </w:r>
      <w:r>
        <w:rPr>
          <w:rFonts w:hint="eastAsia" w:ascii="宋体" w:hAnsi="宋体" w:cs="楷体"/>
          <w:color w:val="auto"/>
          <w:kern w:val="2"/>
          <w:sz w:val="21"/>
          <w:szCs w:val="24"/>
          <w:highlight w:val="none"/>
        </w:rPr>
        <w:t>文件的修改</w:t>
      </w:r>
      <w:bookmarkEnd w:id="136"/>
      <w:bookmarkEnd w:id="137"/>
      <w:bookmarkEnd w:id="138"/>
      <w:bookmarkEnd w:id="139"/>
      <w:bookmarkEnd w:id="140"/>
      <w:bookmarkEnd w:id="141"/>
    </w:p>
    <w:p w14:paraId="1C67C7B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2.3.1 采购人以供应商须知前附表规定的形式修改采购文件，并通知所有已</w:t>
      </w:r>
      <w:r>
        <w:rPr>
          <w:rFonts w:hint="eastAsia" w:ascii="宋体" w:hAnsi="宋体" w:cs="楷体"/>
          <w:color w:val="auto"/>
          <w:szCs w:val="21"/>
          <w:highlight w:val="none"/>
          <w:lang w:val="en-US" w:eastAsia="zh-CN"/>
        </w:rPr>
        <w:t>获取</w:t>
      </w:r>
      <w:r>
        <w:rPr>
          <w:rFonts w:hint="eastAsia" w:ascii="宋体" w:hAnsi="宋体" w:cs="楷体"/>
          <w:color w:val="auto"/>
          <w:szCs w:val="21"/>
          <w:highlight w:val="none"/>
        </w:rPr>
        <w:t>采购文件的供应商。修改采购文件的时间距本章第4.2.1项规定的投标截止时间不足15日的，并且修改内容可能影响</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编制的，将相应延长投标截止时间。</w:t>
      </w:r>
    </w:p>
    <w:p w14:paraId="520158A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2.3.2 供应商收到修改内容后，应按供应商须知前附表规定的时间和形式通知采购人，确认已收到该修改。</w:t>
      </w:r>
    </w:p>
    <w:p w14:paraId="1FA63E5E">
      <w:pPr>
        <w:pStyle w:val="12"/>
        <w:spacing w:before="156" w:beforeLines="50" w:after="0" w:line="240" w:lineRule="auto"/>
        <w:jc w:val="left"/>
        <w:rPr>
          <w:rFonts w:ascii="宋体" w:hAnsi="宋体" w:cs="楷体"/>
          <w:color w:val="auto"/>
          <w:kern w:val="2"/>
          <w:sz w:val="21"/>
          <w:szCs w:val="24"/>
          <w:highlight w:val="none"/>
        </w:rPr>
      </w:pPr>
      <w:bookmarkStart w:id="142" w:name="_Toc31592"/>
      <w:bookmarkStart w:id="143" w:name="_Toc15368"/>
      <w:bookmarkStart w:id="144" w:name="_Toc3395"/>
      <w:bookmarkStart w:id="145" w:name="_Toc508803988"/>
      <w:bookmarkStart w:id="146" w:name="_Toc9185"/>
      <w:bookmarkStart w:id="147" w:name="_Toc22706"/>
      <w:r>
        <w:rPr>
          <w:rFonts w:hint="eastAsia" w:ascii="宋体" w:hAnsi="宋体" w:cs="楷体"/>
          <w:color w:val="auto"/>
          <w:kern w:val="2"/>
          <w:sz w:val="21"/>
          <w:szCs w:val="24"/>
          <w:highlight w:val="none"/>
        </w:rPr>
        <w:t xml:space="preserve">2.4 </w:t>
      </w:r>
      <w:r>
        <w:rPr>
          <w:rFonts w:hint="eastAsia" w:ascii="宋体" w:hAnsi="宋体" w:cs="楷体"/>
          <w:color w:val="auto"/>
          <w:kern w:val="2"/>
          <w:sz w:val="21"/>
          <w:szCs w:val="21"/>
          <w:highlight w:val="none"/>
        </w:rPr>
        <w:t>采购</w:t>
      </w:r>
      <w:r>
        <w:rPr>
          <w:rFonts w:hint="eastAsia" w:ascii="宋体" w:hAnsi="宋体" w:cs="楷体"/>
          <w:color w:val="auto"/>
          <w:kern w:val="2"/>
          <w:sz w:val="21"/>
          <w:szCs w:val="24"/>
          <w:highlight w:val="none"/>
        </w:rPr>
        <w:t>文件的异议</w:t>
      </w:r>
      <w:bookmarkEnd w:id="142"/>
      <w:bookmarkEnd w:id="143"/>
      <w:bookmarkEnd w:id="144"/>
      <w:bookmarkEnd w:id="145"/>
      <w:bookmarkEnd w:id="146"/>
      <w:bookmarkEnd w:id="147"/>
    </w:p>
    <w:p w14:paraId="79C5EA1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供应商或者其他利害关系人对采购文件有异议的，应当在投标截止时间10日前以书面形式提出。采购人将在收到异议之日起3日内作出答复；作出答复前，将暂停招标投标活动。</w:t>
      </w:r>
    </w:p>
    <w:p w14:paraId="2932502B">
      <w:pPr>
        <w:pStyle w:val="16"/>
        <w:rPr>
          <w:rFonts w:hint="eastAsia" w:ascii="宋体" w:hAnsi="宋体" w:cs="楷体"/>
          <w:color w:val="auto"/>
          <w:sz w:val="28"/>
          <w:highlight w:val="none"/>
          <w:lang w:val="zh-CN"/>
        </w:rPr>
      </w:pPr>
      <w:bookmarkStart w:id="148" w:name="_Toc201719081"/>
      <w:bookmarkStart w:id="149" w:name="_Toc30405"/>
      <w:bookmarkStart w:id="150" w:name="_Toc406417356"/>
      <w:bookmarkStart w:id="151" w:name="_Toc30140"/>
      <w:bookmarkStart w:id="152" w:name="_Toc471822564"/>
      <w:bookmarkStart w:id="153" w:name="_Toc14264"/>
      <w:bookmarkStart w:id="154" w:name="_Toc471822507"/>
      <w:bookmarkStart w:id="155" w:name="_Toc24795"/>
      <w:bookmarkStart w:id="156" w:name="_Toc223580598"/>
      <w:bookmarkStart w:id="157" w:name="_Toc20417"/>
      <w:r>
        <w:rPr>
          <w:rFonts w:hint="eastAsia" w:ascii="宋体" w:hAnsi="宋体" w:cs="楷体"/>
          <w:color w:val="auto"/>
          <w:sz w:val="28"/>
          <w:highlight w:val="none"/>
          <w:lang w:val="zh-CN"/>
        </w:rPr>
        <w:t>3.</w:t>
      </w:r>
      <w:bookmarkEnd w:id="148"/>
      <w:bookmarkEnd w:id="149"/>
      <w:bookmarkEnd w:id="150"/>
      <w:bookmarkEnd w:id="151"/>
      <w:bookmarkEnd w:id="152"/>
      <w:bookmarkEnd w:id="153"/>
      <w:bookmarkEnd w:id="154"/>
      <w:bookmarkEnd w:id="155"/>
      <w:bookmarkEnd w:id="156"/>
      <w:bookmarkEnd w:id="157"/>
      <w:r>
        <w:rPr>
          <w:rFonts w:hint="eastAsia" w:ascii="宋体" w:hAnsi="宋体" w:cs="楷体"/>
          <w:color w:val="auto"/>
          <w:sz w:val="28"/>
          <w:highlight w:val="none"/>
          <w:lang w:val="zh-CN"/>
        </w:rPr>
        <w:t>响应文件</w:t>
      </w:r>
    </w:p>
    <w:p w14:paraId="4909FDD8">
      <w:pPr>
        <w:pStyle w:val="12"/>
        <w:spacing w:before="156" w:beforeLines="50" w:after="0" w:line="240" w:lineRule="auto"/>
        <w:jc w:val="left"/>
        <w:rPr>
          <w:rFonts w:ascii="宋体" w:hAnsi="宋体"/>
          <w:color w:val="auto"/>
          <w:sz w:val="28"/>
          <w:highlight w:val="none"/>
        </w:rPr>
      </w:pPr>
      <w:bookmarkStart w:id="158" w:name="_Toc28465"/>
      <w:bookmarkStart w:id="159" w:name="_Toc20470"/>
      <w:bookmarkStart w:id="160" w:name="_Toc25869"/>
      <w:bookmarkStart w:id="161" w:name="_Toc508803991"/>
      <w:bookmarkStart w:id="162" w:name="_Toc13774"/>
      <w:bookmarkStart w:id="163" w:name="_Toc13697"/>
      <w:r>
        <w:rPr>
          <w:rFonts w:hint="eastAsia" w:ascii="宋体" w:hAnsi="宋体"/>
          <w:color w:val="auto"/>
          <w:sz w:val="21"/>
          <w:szCs w:val="20"/>
          <w:highlight w:val="none"/>
        </w:rPr>
        <w:t xml:space="preserve">3.1 </w:t>
      </w:r>
      <w:r>
        <w:rPr>
          <w:rFonts w:hint="eastAsia" w:ascii="宋体" w:hAnsi="宋体"/>
          <w:color w:val="auto"/>
          <w:sz w:val="21"/>
          <w:szCs w:val="20"/>
          <w:highlight w:val="none"/>
          <w:lang w:eastAsia="zh-CN"/>
        </w:rPr>
        <w:t>响应文件</w:t>
      </w:r>
      <w:r>
        <w:rPr>
          <w:rFonts w:hint="eastAsia" w:ascii="宋体" w:hAnsi="宋体"/>
          <w:color w:val="auto"/>
          <w:sz w:val="21"/>
          <w:szCs w:val="20"/>
          <w:highlight w:val="none"/>
        </w:rPr>
        <w:t>的组成</w:t>
      </w:r>
      <w:bookmarkEnd w:id="158"/>
      <w:bookmarkEnd w:id="159"/>
      <w:bookmarkEnd w:id="160"/>
    </w:p>
    <w:p w14:paraId="0BC2BA0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eastAsia="zh-CN"/>
        </w:rPr>
        <w:t>响应文件</w:t>
      </w:r>
      <w:r>
        <w:rPr>
          <w:rFonts w:hint="eastAsia" w:ascii="宋体" w:hAnsi="宋体"/>
          <w:color w:val="auto"/>
          <w:highlight w:val="none"/>
        </w:rPr>
        <w:t>应包括下列内容：</w:t>
      </w:r>
    </w:p>
    <w:p w14:paraId="1AAE66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w:t>
      </w:r>
      <w:r>
        <w:rPr>
          <w:rFonts w:ascii="宋体" w:hAnsi="宋体" w:cs="楷体"/>
          <w:color w:val="auto"/>
          <w:szCs w:val="21"/>
          <w:highlight w:val="none"/>
        </w:rPr>
        <w:t>1</w:t>
      </w:r>
      <w:r>
        <w:rPr>
          <w:rFonts w:hint="eastAsia" w:ascii="宋体" w:hAnsi="宋体" w:cs="楷体"/>
          <w:color w:val="auto"/>
          <w:szCs w:val="21"/>
          <w:highlight w:val="none"/>
        </w:rPr>
        <w:t>）投标函；</w:t>
      </w:r>
    </w:p>
    <w:p w14:paraId="106E01F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（2）法定代表人身份证明</w:t>
      </w:r>
    </w:p>
    <w:p w14:paraId="2A82C68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lang w:eastAsia="zh-CN"/>
        </w:rPr>
        <w:t>（</w:t>
      </w:r>
      <w:r>
        <w:rPr>
          <w:rFonts w:hint="eastAsia" w:ascii="宋体" w:hAnsi="宋体" w:cs="楷体"/>
          <w:color w:val="auto"/>
          <w:szCs w:val="21"/>
          <w:highlight w:val="none"/>
          <w:lang w:val="en-US" w:eastAsia="zh-CN"/>
        </w:rPr>
        <w:t>3</w:t>
      </w:r>
      <w:r>
        <w:rPr>
          <w:rFonts w:hint="eastAsia" w:ascii="宋体" w:hAnsi="宋体" w:cs="楷体"/>
          <w:color w:val="auto"/>
          <w:szCs w:val="21"/>
          <w:highlight w:val="none"/>
          <w:lang w:eastAsia="zh-CN"/>
        </w:rPr>
        <w:t>）</w:t>
      </w:r>
      <w:r>
        <w:rPr>
          <w:rFonts w:hint="eastAsia" w:ascii="宋体" w:hAnsi="宋体" w:cs="楷体"/>
          <w:color w:val="auto"/>
          <w:szCs w:val="21"/>
          <w:highlight w:val="none"/>
        </w:rPr>
        <w:t>授权委托书；</w:t>
      </w:r>
    </w:p>
    <w:p w14:paraId="11A9737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w:t>
      </w:r>
      <w:r>
        <w:rPr>
          <w:rFonts w:hint="eastAsia" w:ascii="宋体" w:hAnsi="宋体" w:cs="楷体"/>
          <w:color w:val="auto"/>
          <w:szCs w:val="21"/>
          <w:highlight w:val="none"/>
          <w:lang w:val="en-US" w:eastAsia="zh-CN"/>
        </w:rPr>
        <w:t>4</w:t>
      </w:r>
      <w:r>
        <w:rPr>
          <w:rFonts w:hint="eastAsia" w:ascii="宋体" w:hAnsi="宋体" w:cs="楷体"/>
          <w:color w:val="auto"/>
          <w:szCs w:val="21"/>
          <w:highlight w:val="none"/>
        </w:rPr>
        <w:t>）开标一览表；</w:t>
      </w:r>
    </w:p>
    <w:p w14:paraId="2209852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（5）资格审查资料；</w:t>
      </w:r>
    </w:p>
    <w:p w14:paraId="69474BA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olor w:val="auto"/>
          <w:highlight w:val="none"/>
        </w:rPr>
      </w:pPr>
      <w:r>
        <w:rPr>
          <w:rFonts w:hint="eastAsia" w:ascii="宋体" w:hAnsi="宋体" w:cs="楷体"/>
          <w:color w:val="auto"/>
          <w:szCs w:val="21"/>
          <w:highlight w:val="none"/>
        </w:rPr>
        <w:t>（6）</w:t>
      </w:r>
      <w:r>
        <w:rPr>
          <w:rFonts w:hint="eastAsia" w:ascii="宋体" w:hAnsi="宋体" w:cs="楷体"/>
          <w:color w:val="auto"/>
          <w:szCs w:val="21"/>
          <w:highlight w:val="none"/>
          <w:lang w:val="en-US" w:eastAsia="zh-CN"/>
        </w:rPr>
        <w:t>服务方案</w:t>
      </w:r>
      <w:r>
        <w:rPr>
          <w:rFonts w:hint="eastAsia" w:ascii="宋体" w:hAnsi="宋体" w:cs="楷体"/>
          <w:color w:val="auto"/>
          <w:szCs w:val="21"/>
          <w:highlight w:val="none"/>
        </w:rPr>
        <w:t>；</w:t>
      </w:r>
    </w:p>
    <w:p w14:paraId="20CAE72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w:t>
      </w:r>
      <w:r>
        <w:rPr>
          <w:rFonts w:hint="eastAsia" w:ascii="宋体" w:hAnsi="宋体" w:cs="楷体"/>
          <w:color w:val="auto"/>
          <w:szCs w:val="21"/>
          <w:highlight w:val="none"/>
          <w:lang w:val="en-US" w:eastAsia="zh-CN"/>
        </w:rPr>
        <w:t>7</w:t>
      </w:r>
      <w:r>
        <w:rPr>
          <w:rFonts w:hint="eastAsia" w:ascii="宋体" w:hAnsi="宋体" w:cs="楷体"/>
          <w:color w:val="auto"/>
          <w:szCs w:val="21"/>
          <w:highlight w:val="none"/>
        </w:rPr>
        <w:t>）其他资料；</w:t>
      </w:r>
    </w:p>
    <w:p w14:paraId="45DE925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供应商在评标过程中作出的符合法律法规和采购文件规定的澄清确认，构成</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的组成部分。</w:t>
      </w:r>
    </w:p>
    <w:p w14:paraId="0F956B3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ascii="宋体" w:hAnsi="宋体" w:cs="楷体"/>
          <w:color w:val="auto"/>
          <w:szCs w:val="21"/>
          <w:highlight w:val="none"/>
        </w:rPr>
        <w:t xml:space="preserve">3.1.2 </w:t>
      </w:r>
      <w:r>
        <w:rPr>
          <w:rFonts w:hint="eastAsia" w:ascii="宋体" w:hAnsi="宋体" w:cs="楷体"/>
          <w:color w:val="auto"/>
          <w:szCs w:val="21"/>
          <w:highlight w:val="none"/>
        </w:rPr>
        <w:t>供应商须知前附表规定不接受联合体投标的，或供应商没有组成联合体的，</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不包括本章第</w:t>
      </w:r>
      <w:r>
        <w:rPr>
          <w:rFonts w:ascii="宋体" w:hAnsi="宋体" w:cs="楷体"/>
          <w:color w:val="auto"/>
          <w:szCs w:val="21"/>
          <w:highlight w:val="none"/>
        </w:rPr>
        <w:t>3.1.1</w:t>
      </w:r>
      <w:r>
        <w:rPr>
          <w:rFonts w:hint="eastAsia" w:ascii="宋体" w:hAnsi="宋体" w:cs="楷体"/>
          <w:color w:val="auto"/>
          <w:szCs w:val="21"/>
          <w:highlight w:val="none"/>
        </w:rPr>
        <w:t>（</w:t>
      </w:r>
      <w:r>
        <w:rPr>
          <w:rFonts w:ascii="宋体" w:hAnsi="宋体" w:cs="楷体"/>
          <w:color w:val="auto"/>
          <w:szCs w:val="21"/>
          <w:highlight w:val="none"/>
        </w:rPr>
        <w:t>3</w:t>
      </w:r>
      <w:r>
        <w:rPr>
          <w:rFonts w:hint="eastAsia" w:ascii="宋体" w:hAnsi="宋体" w:cs="楷体"/>
          <w:color w:val="auto"/>
          <w:szCs w:val="21"/>
          <w:highlight w:val="none"/>
        </w:rPr>
        <w:t>）目所指的联合体协议书。</w:t>
      </w:r>
    </w:p>
    <w:p w14:paraId="0BDA61D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olor w:val="auto"/>
          <w:highlight w:val="none"/>
        </w:rPr>
      </w:pPr>
      <w:r>
        <w:rPr>
          <w:rFonts w:ascii="宋体" w:hAnsi="宋体" w:cs="楷体"/>
          <w:color w:val="auto"/>
          <w:szCs w:val="21"/>
          <w:highlight w:val="none"/>
        </w:rPr>
        <w:t xml:space="preserve">3.1.3 </w:t>
      </w:r>
      <w:r>
        <w:rPr>
          <w:rFonts w:hint="eastAsia" w:ascii="宋体" w:hAnsi="宋体" w:cs="楷体"/>
          <w:color w:val="auto"/>
          <w:szCs w:val="21"/>
          <w:highlight w:val="none"/>
        </w:rPr>
        <w:t>供应商须知前附表未要求提交投标保证金的，</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不包括本章第</w:t>
      </w:r>
      <w:r>
        <w:rPr>
          <w:rFonts w:ascii="宋体" w:hAnsi="宋体" w:cs="楷体"/>
          <w:color w:val="auto"/>
          <w:szCs w:val="21"/>
          <w:highlight w:val="none"/>
        </w:rPr>
        <w:t>3.1.1</w:t>
      </w:r>
      <w:r>
        <w:rPr>
          <w:rFonts w:hint="eastAsia" w:ascii="宋体" w:hAnsi="宋体" w:cs="楷体"/>
          <w:color w:val="auto"/>
          <w:szCs w:val="21"/>
          <w:highlight w:val="none"/>
        </w:rPr>
        <w:t>（</w:t>
      </w:r>
      <w:r>
        <w:rPr>
          <w:rFonts w:ascii="宋体" w:hAnsi="宋体" w:cs="楷体"/>
          <w:color w:val="auto"/>
          <w:szCs w:val="21"/>
          <w:highlight w:val="none"/>
        </w:rPr>
        <w:t>4</w:t>
      </w:r>
      <w:r>
        <w:rPr>
          <w:rFonts w:hint="eastAsia" w:ascii="宋体" w:hAnsi="宋体" w:cs="楷体"/>
          <w:color w:val="auto"/>
          <w:szCs w:val="21"/>
          <w:highlight w:val="none"/>
        </w:rPr>
        <w:t>）目所指的投标保证金。</w:t>
      </w:r>
    </w:p>
    <w:p w14:paraId="29ACAC72">
      <w:pPr>
        <w:pStyle w:val="12"/>
        <w:spacing w:before="156" w:beforeLines="50" w:after="0" w:line="240" w:lineRule="auto"/>
        <w:jc w:val="left"/>
        <w:rPr>
          <w:rFonts w:ascii="宋体" w:hAnsi="宋体" w:cs="楷体"/>
          <w:color w:val="auto"/>
          <w:kern w:val="2"/>
          <w:sz w:val="21"/>
          <w:szCs w:val="24"/>
          <w:highlight w:val="none"/>
        </w:rPr>
      </w:pPr>
      <w:bookmarkStart w:id="164" w:name="_Toc23421"/>
      <w:bookmarkStart w:id="165" w:name="_Toc28179"/>
      <w:bookmarkStart w:id="166" w:name="_Toc24003"/>
      <w:r>
        <w:rPr>
          <w:rFonts w:hint="eastAsia" w:ascii="宋体" w:hAnsi="宋体" w:cs="楷体"/>
          <w:color w:val="auto"/>
          <w:kern w:val="2"/>
          <w:sz w:val="21"/>
          <w:szCs w:val="24"/>
          <w:highlight w:val="none"/>
        </w:rPr>
        <w:t>3.2 投标报价</w:t>
      </w:r>
      <w:bookmarkEnd w:id="161"/>
      <w:bookmarkEnd w:id="162"/>
      <w:bookmarkEnd w:id="163"/>
      <w:bookmarkEnd w:id="164"/>
      <w:bookmarkEnd w:id="165"/>
      <w:bookmarkEnd w:id="166"/>
    </w:p>
    <w:p w14:paraId="7672CB9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楷体"/>
          <w:color w:val="auto"/>
          <w:szCs w:val="21"/>
          <w:highlight w:val="none"/>
          <w:lang w:eastAsia="zh-CN"/>
        </w:rPr>
      </w:pPr>
      <w:r>
        <w:rPr>
          <w:rFonts w:hint="eastAsia" w:ascii="宋体" w:hAnsi="宋体" w:cs="楷体"/>
          <w:color w:val="auto"/>
          <w:szCs w:val="21"/>
          <w:highlight w:val="none"/>
        </w:rPr>
        <w:t>3.2.1 污泥处置数量：平均日产量约65吨，计划年产量约为24000吨；服务期共两年；投标报价包含运输费用，北部污水处理厂至处置地减去30公里（30公里内费用由柏林水务长春高新污水处理有限公司承担）之后的运输费用</w:t>
      </w:r>
      <w:r>
        <w:rPr>
          <w:rFonts w:hint="eastAsia" w:ascii="宋体" w:hAnsi="宋体" w:cs="楷体"/>
          <w:color w:val="auto"/>
          <w:szCs w:val="21"/>
          <w:highlight w:val="none"/>
          <w:lang w:eastAsia="zh-CN"/>
        </w:rPr>
        <w:t>。</w:t>
      </w:r>
    </w:p>
    <w:p w14:paraId="0A9B0C5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供应商根据项目情况，结合市场因素及企业自身情况等，自主报价，以“元/吨”为单位，保留小数点后两位，第三位四舍五入；投标报价不得超过最高投标限价330元/吨，否则将否决其投标。</w:t>
      </w:r>
    </w:p>
    <w:p w14:paraId="2A5228A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3.2.2 采购人设有最高投标限价的，供应商的投标报价不得超过最高投标限价，最高投标限价在供应商须知前附表中载明。</w:t>
      </w:r>
    </w:p>
    <w:p w14:paraId="303996E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3.2.</w:t>
      </w:r>
      <w:r>
        <w:rPr>
          <w:rFonts w:hint="eastAsia" w:ascii="宋体" w:hAnsi="宋体" w:cs="楷体"/>
          <w:color w:val="auto"/>
          <w:szCs w:val="21"/>
          <w:highlight w:val="none"/>
          <w:lang w:val="en-US" w:eastAsia="zh-CN"/>
        </w:rPr>
        <w:t>3</w:t>
      </w:r>
      <w:r>
        <w:rPr>
          <w:rFonts w:hint="eastAsia" w:ascii="宋体" w:hAnsi="宋体" w:cs="楷体"/>
          <w:color w:val="auto"/>
          <w:szCs w:val="21"/>
          <w:highlight w:val="none"/>
        </w:rPr>
        <w:t xml:space="preserve"> 投标报价的其他要求见供应商须知前附表。</w:t>
      </w:r>
    </w:p>
    <w:p w14:paraId="5473D7E6">
      <w:pPr>
        <w:pStyle w:val="12"/>
        <w:spacing w:before="156" w:beforeLines="50" w:after="0" w:line="240" w:lineRule="auto"/>
        <w:jc w:val="left"/>
        <w:rPr>
          <w:rFonts w:ascii="宋体" w:hAnsi="宋体" w:cs="楷体"/>
          <w:color w:val="auto"/>
          <w:kern w:val="2"/>
          <w:sz w:val="21"/>
          <w:szCs w:val="24"/>
          <w:highlight w:val="none"/>
        </w:rPr>
      </w:pPr>
      <w:bookmarkStart w:id="167" w:name="_Toc508803992"/>
      <w:bookmarkStart w:id="168" w:name="_Toc18087"/>
      <w:bookmarkStart w:id="169" w:name="_Toc15084"/>
      <w:bookmarkStart w:id="170" w:name="_Toc8083"/>
      <w:bookmarkStart w:id="171" w:name="_Toc7733"/>
      <w:bookmarkStart w:id="172" w:name="_Toc25714"/>
      <w:r>
        <w:rPr>
          <w:rFonts w:hint="eastAsia" w:ascii="宋体" w:hAnsi="宋体" w:cs="楷体"/>
          <w:color w:val="auto"/>
          <w:kern w:val="2"/>
          <w:sz w:val="21"/>
          <w:szCs w:val="24"/>
          <w:highlight w:val="none"/>
        </w:rPr>
        <w:t>3.3 投标有效期</w:t>
      </w:r>
      <w:bookmarkEnd w:id="167"/>
      <w:bookmarkEnd w:id="168"/>
      <w:bookmarkEnd w:id="169"/>
      <w:bookmarkEnd w:id="170"/>
      <w:bookmarkEnd w:id="171"/>
      <w:bookmarkEnd w:id="172"/>
    </w:p>
    <w:p w14:paraId="56461A0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3.3.1 除供应商须知前附表另有规定外，投标有效期为90天。</w:t>
      </w:r>
    </w:p>
    <w:p w14:paraId="1FA0AD4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3.3.2 在投标有效期内，供应商撤销</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的，应承担采购文件和法律规定的责任。</w:t>
      </w:r>
    </w:p>
    <w:p w14:paraId="66261A4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3.3.3 出现特殊情况需要延长投标有效期的，采购人以书面形式通知所有供应商延长投标有效期。供应商应予以书面答复，同意延长的，应相应延长其投标保证金的有效期，但不得要求或被允许修改其</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；供应商拒绝延长的，其投标失效，但供应商有权收回其投标保证金及以现金或者支票形式递交的投标保证金的银行同期存款利息。</w:t>
      </w:r>
    </w:p>
    <w:p w14:paraId="4D11DF46">
      <w:pPr>
        <w:pStyle w:val="12"/>
        <w:spacing w:before="156" w:beforeLines="50" w:after="0" w:line="240" w:lineRule="auto"/>
        <w:jc w:val="left"/>
        <w:rPr>
          <w:rFonts w:ascii="宋体" w:hAnsi="宋体" w:cs="楷体"/>
          <w:color w:val="auto"/>
          <w:kern w:val="2"/>
          <w:sz w:val="21"/>
          <w:szCs w:val="24"/>
          <w:highlight w:val="none"/>
        </w:rPr>
      </w:pPr>
      <w:bookmarkStart w:id="173" w:name="_Toc2046"/>
      <w:bookmarkStart w:id="174" w:name="_Toc21552"/>
      <w:bookmarkStart w:id="175" w:name="_Toc13571"/>
      <w:bookmarkStart w:id="176" w:name="_Toc499"/>
      <w:bookmarkStart w:id="177" w:name="_Toc21729"/>
      <w:bookmarkStart w:id="178" w:name="_Toc508803993"/>
      <w:r>
        <w:rPr>
          <w:rFonts w:hint="eastAsia" w:ascii="宋体" w:hAnsi="宋体" w:cs="楷体"/>
          <w:color w:val="auto"/>
          <w:kern w:val="2"/>
          <w:sz w:val="21"/>
          <w:szCs w:val="24"/>
          <w:highlight w:val="none"/>
        </w:rPr>
        <w:t>3.4 投标保证金</w:t>
      </w:r>
      <w:bookmarkEnd w:id="173"/>
      <w:bookmarkEnd w:id="174"/>
      <w:bookmarkEnd w:id="175"/>
      <w:bookmarkEnd w:id="176"/>
      <w:bookmarkEnd w:id="177"/>
      <w:bookmarkEnd w:id="178"/>
    </w:p>
    <w:p w14:paraId="41978C3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3.4.1 供应商在递交</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的同时，应按供应商须知前附表规定的金额、形式和第六章“</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格式”规定的投标保证金格式递交投标保证金，并作为其</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的组成部分。境内供应商以现金或者支票形式提交的投标保证金，应当从其基本账户转出并在</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中附上基本账户开户证明。联合体投标的，其投标保证金可以由牵头人递交，并应符合供应商须知前附表的规定。</w:t>
      </w:r>
    </w:p>
    <w:p w14:paraId="04AB62E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3.4.2 供应商不按本章第3.4.1项要求提交投标保证金的，评标委员会将否决其投标。</w:t>
      </w:r>
    </w:p>
    <w:p w14:paraId="794C5A7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3.4.3 采购人或者采购代理机构应当自中标通知书发出之日起5个工作日内退还未中标人的投标保证金，自采购合同签订之日起5个工作日内退还中标人的投标保证金或者转为中标人的履约保证金。</w:t>
      </w:r>
    </w:p>
    <w:p w14:paraId="4F153A8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3.4.4 有下列情形之一的，投标保证金将不予退还：</w:t>
      </w:r>
    </w:p>
    <w:p w14:paraId="523F6EC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（1）供应商在投标有效期内撤销</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w:t>
      </w:r>
    </w:p>
    <w:p w14:paraId="2359F1D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（2）中标人在收到中标通知书后，无正当理由不与采购人订立合同，在签订合同时向采购人提出附加条件，或者不按照采购文件要求提交履约保证金；</w:t>
      </w:r>
    </w:p>
    <w:p w14:paraId="356553B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cs="楷体"/>
          <w:b/>
          <w:bCs/>
          <w:color w:val="auto"/>
          <w:szCs w:val="21"/>
          <w:highlight w:val="none"/>
          <w:lang w:val="zh-CN"/>
        </w:rPr>
      </w:pPr>
      <w:r>
        <w:rPr>
          <w:rFonts w:hint="eastAsia" w:ascii="宋体" w:hAnsi="宋体" w:cs="楷体"/>
          <w:color w:val="auto"/>
          <w:szCs w:val="21"/>
          <w:highlight w:val="none"/>
        </w:rPr>
        <w:t>（3）发生供应商须知前附表规定的其他可以不予退还投标保证金的情形。</w:t>
      </w:r>
    </w:p>
    <w:p w14:paraId="45618821">
      <w:pPr>
        <w:rPr>
          <w:rFonts w:hint="eastAsia" w:ascii="宋体" w:hAnsi="宋体" w:cs="楷体"/>
          <w:b/>
          <w:color w:val="auto"/>
          <w:highlight w:val="none"/>
        </w:rPr>
      </w:pPr>
      <w:bookmarkStart w:id="179" w:name="_Toc259131308"/>
      <w:bookmarkStart w:id="180" w:name="_Toc279848095"/>
      <w:bookmarkStart w:id="181" w:name="_Toc259125199"/>
      <w:r>
        <w:rPr>
          <w:rFonts w:hint="eastAsia" w:ascii="宋体" w:hAnsi="宋体" w:cs="楷体"/>
          <w:b/>
          <w:color w:val="auto"/>
          <w:highlight w:val="none"/>
        </w:rPr>
        <w:t>3.5 资格审查资料</w:t>
      </w:r>
      <w:bookmarkEnd w:id="179"/>
      <w:bookmarkEnd w:id="180"/>
      <w:bookmarkEnd w:id="181"/>
    </w:p>
    <w:p w14:paraId="05DB0A1F">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除供应商须知前附表另有规定外，供应商应按下列规定提供资格审查资料，以证明其满足本章第1.4款规定的资质、财务、业绩、信誉等要求。</w:t>
      </w:r>
    </w:p>
    <w:p w14:paraId="4F015A5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zh-CN"/>
        </w:rPr>
      </w:pPr>
      <w:r>
        <w:rPr>
          <w:rFonts w:hint="eastAsia" w:ascii="宋体" w:hAnsi="宋体" w:cs="楷体"/>
          <w:color w:val="auto"/>
          <w:szCs w:val="21"/>
          <w:highlight w:val="none"/>
        </w:rPr>
        <w:t>3.5.1 “供应商基本情况表”应附供应商</w:t>
      </w:r>
      <w:r>
        <w:rPr>
          <w:rFonts w:hint="eastAsia" w:ascii="宋体" w:hAnsi="宋体" w:cs="楷体"/>
          <w:color w:val="auto"/>
          <w:szCs w:val="21"/>
          <w:highlight w:val="none"/>
          <w:lang w:val="en-US" w:eastAsia="zh-CN"/>
        </w:rPr>
        <w:t>营业执照、资质证书</w:t>
      </w:r>
      <w:r>
        <w:rPr>
          <w:rFonts w:hint="eastAsia" w:ascii="宋体" w:hAnsi="宋体" w:cs="楷体"/>
          <w:color w:val="auto"/>
          <w:szCs w:val="21"/>
          <w:highlight w:val="none"/>
        </w:rPr>
        <w:t>等</w:t>
      </w:r>
      <w:r>
        <w:rPr>
          <w:rFonts w:hint="eastAsia" w:ascii="宋体" w:hAnsi="宋体" w:cs="楷体"/>
          <w:color w:val="auto"/>
          <w:szCs w:val="21"/>
          <w:highlight w:val="none"/>
          <w:lang w:val="en-US" w:eastAsia="zh-CN"/>
        </w:rPr>
        <w:t>相关</w:t>
      </w:r>
      <w:r>
        <w:rPr>
          <w:rFonts w:hint="eastAsia" w:ascii="宋体" w:hAnsi="宋体" w:cs="楷体"/>
          <w:color w:val="auto"/>
          <w:szCs w:val="21"/>
          <w:highlight w:val="none"/>
        </w:rPr>
        <w:t>材料的复印件</w:t>
      </w:r>
      <w:r>
        <w:rPr>
          <w:rFonts w:hint="eastAsia" w:ascii="宋体" w:hAnsi="宋体" w:cs="楷体"/>
          <w:color w:val="auto"/>
          <w:szCs w:val="21"/>
          <w:highlight w:val="none"/>
          <w:lang w:val="en-US" w:eastAsia="zh-CN"/>
        </w:rPr>
        <w:t>并加盖公章</w:t>
      </w:r>
      <w:r>
        <w:rPr>
          <w:rFonts w:hint="eastAsia" w:ascii="宋体" w:hAnsi="宋体" w:cs="楷体"/>
          <w:color w:val="auto"/>
          <w:szCs w:val="21"/>
          <w:highlight w:val="none"/>
        </w:rPr>
        <w:t>。</w:t>
      </w:r>
    </w:p>
    <w:p w14:paraId="736F103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bCs/>
          <w:color w:val="auto"/>
          <w:szCs w:val="21"/>
          <w:highlight w:val="none"/>
          <w:lang w:val="en-US" w:eastAsia="zh-CN"/>
        </w:rPr>
      </w:pPr>
      <w:r>
        <w:rPr>
          <w:rFonts w:hint="eastAsia" w:ascii="宋体" w:hAnsi="宋体" w:cs="楷体"/>
          <w:bCs/>
          <w:color w:val="auto"/>
          <w:szCs w:val="21"/>
          <w:highlight w:val="none"/>
          <w:lang w:val="zh-CN"/>
        </w:rPr>
        <w:t>3.5.2</w:t>
      </w:r>
      <w:r>
        <w:rPr>
          <w:rFonts w:hint="eastAsia" w:ascii="宋体" w:hAnsi="宋体" w:cs="楷体"/>
          <w:bCs/>
          <w:color w:val="auto"/>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采购</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p>
    <w:p w14:paraId="21CFE5BD">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cs="楷体"/>
          <w:color w:val="auto"/>
          <w:highlight w:val="none"/>
        </w:rPr>
      </w:pPr>
      <w:r>
        <w:rPr>
          <w:rFonts w:hint="eastAsia" w:ascii="宋体" w:hAnsi="宋体" w:cs="楷体"/>
          <w:color w:val="auto"/>
          <w:highlight w:val="none"/>
        </w:rPr>
        <w:t>3.5.4 “正在服务和新承接的项目情况表”应附</w:t>
      </w:r>
      <w:r>
        <w:rPr>
          <w:rFonts w:hint="eastAsia" w:ascii="宋体" w:hAnsi="宋体" w:cs="楷体"/>
          <w:color w:val="auto"/>
          <w:highlight w:val="none"/>
          <w:lang w:val="en-US" w:eastAsia="zh-CN"/>
        </w:rPr>
        <w:t>中标</w:t>
      </w:r>
      <w:r>
        <w:rPr>
          <w:rFonts w:hint="eastAsia" w:ascii="宋体" w:hAnsi="宋体" w:cs="楷体"/>
          <w:color w:val="auto"/>
          <w:highlight w:val="none"/>
        </w:rPr>
        <w:t>通知书或合同协议书复印件。每张表格只填写一个项目，并标明序号。</w:t>
      </w:r>
    </w:p>
    <w:p w14:paraId="2B73BC34">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cs="楷体"/>
          <w:color w:val="auto"/>
          <w:highlight w:val="none"/>
        </w:rPr>
      </w:pPr>
      <w:r>
        <w:rPr>
          <w:rFonts w:hint="eastAsia" w:ascii="宋体" w:hAnsi="宋体" w:cs="楷体"/>
          <w:color w:val="auto"/>
          <w:highlight w:val="none"/>
        </w:rPr>
        <w:t>3.5.5 “近年发生的诉讼及仲裁情况”应说明供应商败诉的</w:t>
      </w:r>
      <w:r>
        <w:rPr>
          <w:rFonts w:hint="eastAsia" w:ascii="宋体" w:hAnsi="宋体" w:cs="楷体"/>
          <w:color w:val="auto"/>
          <w:highlight w:val="none"/>
          <w:lang w:val="en-US" w:eastAsia="zh-CN"/>
        </w:rPr>
        <w:t>关于</w:t>
      </w:r>
      <w:r>
        <w:rPr>
          <w:rFonts w:hint="eastAsia" w:ascii="宋体" w:hAnsi="宋体" w:cs="楷体"/>
          <w:color w:val="auto"/>
          <w:highlight w:val="none"/>
        </w:rPr>
        <w:t>服务合同的相关情况，并附法院或仲裁机构作出的判决、裁决等有关法律文书复印件，具体年份要求见供应商须知前附表。</w:t>
      </w:r>
    </w:p>
    <w:p w14:paraId="52A9BF6A">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宋体" w:hAnsi="宋体" w:cs="楷体"/>
          <w:color w:val="auto"/>
          <w:highlight w:val="none"/>
        </w:rPr>
      </w:pPr>
      <w:r>
        <w:rPr>
          <w:rFonts w:hint="eastAsia" w:ascii="宋体" w:hAnsi="宋体" w:cs="楷体"/>
          <w:color w:val="auto"/>
          <w:highlight w:val="none"/>
        </w:rPr>
        <w:t>3.5.6 供应商须知前附表规定接受联合体投标的，本章第3.5.1 项至第3.5.5 项规定的表格和资料应包括联合体各方相关情况。</w:t>
      </w:r>
    </w:p>
    <w:p w14:paraId="78C20E69">
      <w:pPr>
        <w:rPr>
          <w:rFonts w:hint="eastAsia" w:ascii="宋体" w:hAnsi="宋体" w:cs="楷体"/>
          <w:b/>
          <w:color w:val="auto"/>
          <w:highlight w:val="none"/>
        </w:rPr>
      </w:pPr>
      <w:bookmarkStart w:id="182" w:name="_Toc222987492"/>
      <w:bookmarkStart w:id="183" w:name="_Toc223580603"/>
      <w:bookmarkStart w:id="184" w:name="_Toc223063734"/>
      <w:bookmarkStart w:id="185" w:name="_Toc222906004"/>
      <w:bookmarkStart w:id="186" w:name="_Toc201719087"/>
      <w:bookmarkStart w:id="187" w:name="_Toc222987645"/>
      <w:bookmarkStart w:id="188" w:name="_Toc279848096"/>
      <w:bookmarkStart w:id="189" w:name="_Toc259131309"/>
      <w:bookmarkStart w:id="190" w:name="_Toc228014272"/>
      <w:bookmarkStart w:id="191" w:name="_Toc223161286"/>
      <w:bookmarkStart w:id="192" w:name="_Toc223345320"/>
      <w:bookmarkStart w:id="193" w:name="_Toc223068459"/>
      <w:bookmarkStart w:id="194" w:name="_Toc223256362"/>
      <w:bookmarkStart w:id="195" w:name="_Toc259125200"/>
      <w:bookmarkStart w:id="196" w:name="_Toc222900723"/>
      <w:bookmarkStart w:id="197" w:name="_Toc222907600"/>
      <w:r>
        <w:rPr>
          <w:rFonts w:hint="eastAsia" w:ascii="宋体" w:hAnsi="宋体" w:cs="楷体"/>
          <w:b/>
          <w:color w:val="auto"/>
          <w:highlight w:val="none"/>
        </w:rPr>
        <w:t>3.6 备选投标方案</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F7797BB">
      <w:pPr>
        <w:keepNext w:val="0"/>
        <w:keepLines w:val="0"/>
        <w:pageBreakBefore w:val="0"/>
        <w:widowControl w:val="0"/>
        <w:kinsoku/>
        <w:wordWrap/>
        <w:overflowPunct/>
        <w:topLinePunct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3.6.1 除供应商须知前附表规定允许外，供应商不得递交备选投标方案，否则其投标将被否决。</w:t>
      </w:r>
    </w:p>
    <w:p w14:paraId="1992C9D5">
      <w:pPr>
        <w:keepNext w:val="0"/>
        <w:keepLines w:val="0"/>
        <w:pageBreakBefore w:val="0"/>
        <w:widowControl w:val="0"/>
        <w:kinsoku/>
        <w:wordWrap/>
        <w:overflowPunct/>
        <w:topLinePunct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3.6.2 允许供应商递交备选投标方案的，只有</w:t>
      </w:r>
      <w:r>
        <w:rPr>
          <w:rFonts w:hint="eastAsia" w:ascii="宋体" w:hAnsi="宋体" w:cs="楷体"/>
          <w:color w:val="auto"/>
          <w:szCs w:val="21"/>
          <w:highlight w:val="none"/>
          <w:lang w:val="en-US" w:eastAsia="zh-CN"/>
        </w:rPr>
        <w:t>成交商</w:t>
      </w:r>
      <w:r>
        <w:rPr>
          <w:rFonts w:hint="eastAsia" w:ascii="宋体" w:hAnsi="宋体" w:cs="楷体"/>
          <w:color w:val="auto"/>
          <w:szCs w:val="21"/>
          <w:highlight w:val="none"/>
        </w:rPr>
        <w:t>所递交的备选投标方案方可予以考虑。评标委员会认为</w:t>
      </w:r>
      <w:r>
        <w:rPr>
          <w:rFonts w:hint="eastAsia" w:ascii="宋体" w:hAnsi="宋体" w:cs="楷体"/>
          <w:color w:val="auto"/>
          <w:szCs w:val="21"/>
          <w:highlight w:val="none"/>
          <w:lang w:val="en-US" w:eastAsia="zh-CN"/>
        </w:rPr>
        <w:t>成交商</w:t>
      </w:r>
      <w:r>
        <w:rPr>
          <w:rFonts w:hint="eastAsia" w:ascii="宋体" w:hAnsi="宋体" w:cs="楷体"/>
          <w:color w:val="auto"/>
          <w:szCs w:val="21"/>
          <w:highlight w:val="none"/>
        </w:rPr>
        <w:t>的备选投标方案优于其按照采购文件要求编制的投标方案的，采购人可以接受该备选投标方案。</w:t>
      </w:r>
    </w:p>
    <w:p w14:paraId="26F2884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jc w:val="left"/>
        <w:textAlignment w:val="auto"/>
        <w:rPr>
          <w:rFonts w:hint="eastAsia" w:ascii="宋体" w:hAnsi="宋体" w:cs="楷体"/>
          <w:bCs/>
          <w:color w:val="auto"/>
          <w:szCs w:val="21"/>
          <w:highlight w:val="none"/>
          <w:lang w:val="zh-CN"/>
        </w:rPr>
      </w:pPr>
      <w:r>
        <w:rPr>
          <w:rFonts w:hint="eastAsia" w:ascii="宋体" w:hAnsi="宋体" w:cs="楷体"/>
          <w:color w:val="auto"/>
          <w:szCs w:val="21"/>
          <w:highlight w:val="none"/>
        </w:rPr>
        <w:t>3.6.3 供应商提供两个或两个以上投标报价，或者在</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中提供一个报价，但同时提供两个或两个以上供货方案的，视为提供备选方案。</w:t>
      </w:r>
    </w:p>
    <w:p w14:paraId="379CED73">
      <w:pPr>
        <w:rPr>
          <w:rFonts w:hint="eastAsia" w:ascii="宋体" w:hAnsi="宋体" w:cs="楷体"/>
          <w:b/>
          <w:color w:val="auto"/>
          <w:highlight w:val="none"/>
        </w:rPr>
      </w:pPr>
      <w:bookmarkStart w:id="198" w:name="_Toc228014273"/>
      <w:bookmarkStart w:id="199" w:name="_Toc201719088"/>
      <w:bookmarkStart w:id="200" w:name="_Toc222987493"/>
      <w:bookmarkStart w:id="201" w:name="_Toc259131310"/>
      <w:bookmarkStart w:id="202" w:name="_Toc279848097"/>
      <w:bookmarkStart w:id="203" w:name="_Toc222987646"/>
      <w:bookmarkStart w:id="204" w:name="_Toc222900724"/>
      <w:bookmarkStart w:id="205" w:name="_Toc222906005"/>
      <w:bookmarkStart w:id="206" w:name="_Toc223161287"/>
      <w:bookmarkStart w:id="207" w:name="_Toc259125201"/>
      <w:bookmarkStart w:id="208" w:name="_Toc223345321"/>
      <w:bookmarkStart w:id="209" w:name="_Toc222907601"/>
      <w:bookmarkStart w:id="210" w:name="_Toc223068460"/>
      <w:bookmarkStart w:id="211" w:name="_Toc223580604"/>
      <w:bookmarkStart w:id="212" w:name="_Toc223256363"/>
      <w:bookmarkStart w:id="213" w:name="_Toc223063735"/>
      <w:r>
        <w:rPr>
          <w:rFonts w:hint="eastAsia" w:ascii="宋体" w:hAnsi="宋体" w:cs="楷体"/>
          <w:b/>
          <w:color w:val="auto"/>
          <w:highlight w:val="none"/>
        </w:rPr>
        <w:t xml:space="preserve">3.7 </w:t>
      </w:r>
      <w:r>
        <w:rPr>
          <w:rFonts w:hint="eastAsia" w:ascii="宋体" w:hAnsi="宋体" w:cs="楷体"/>
          <w:b/>
          <w:color w:val="auto"/>
          <w:highlight w:val="none"/>
          <w:lang w:eastAsia="zh-CN"/>
        </w:rPr>
        <w:t>响应文件</w:t>
      </w:r>
      <w:r>
        <w:rPr>
          <w:rFonts w:hint="eastAsia" w:ascii="宋体" w:hAnsi="宋体" w:cs="楷体"/>
          <w:b/>
          <w:color w:val="auto"/>
          <w:highlight w:val="none"/>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B66A32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 xml:space="preserve">3.7.1 </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应按第六章“</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格式”进行编写，如有必要，可以增加附页，作为</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的组成部分。</w:t>
      </w:r>
    </w:p>
    <w:p w14:paraId="397C0E0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 xml:space="preserve">3.7.2 </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应当对采购文件有关</w:t>
      </w:r>
      <w:r>
        <w:rPr>
          <w:rFonts w:hint="eastAsia" w:ascii="宋体" w:hAnsi="宋体" w:cs="RLDHRH+å®ä½"/>
          <w:color w:val="auto"/>
          <w:szCs w:val="21"/>
          <w:highlight w:val="none"/>
          <w:lang w:val="en-US" w:eastAsia="zh-CN"/>
        </w:rPr>
        <w:t>合同履约期限</w:t>
      </w:r>
      <w:r>
        <w:rPr>
          <w:rFonts w:hint="eastAsia" w:ascii="宋体" w:hAnsi="宋体" w:cs="楷体"/>
          <w:color w:val="auto"/>
          <w:szCs w:val="21"/>
          <w:highlight w:val="none"/>
        </w:rPr>
        <w:t>、投标有效期、采购人需求、</w:t>
      </w:r>
      <w:r>
        <w:rPr>
          <w:rFonts w:hint="eastAsia" w:ascii="宋体" w:hAnsi="宋体" w:cs="楷体"/>
          <w:color w:val="auto"/>
          <w:szCs w:val="21"/>
          <w:highlight w:val="none"/>
          <w:lang w:val="en-US" w:eastAsia="zh-CN"/>
        </w:rPr>
        <w:t>质量及验收标准</w:t>
      </w:r>
      <w:r>
        <w:rPr>
          <w:rFonts w:hint="eastAsia" w:ascii="宋体" w:hAnsi="宋体" w:cs="楷体"/>
          <w:color w:val="auto"/>
          <w:szCs w:val="21"/>
          <w:highlight w:val="none"/>
        </w:rPr>
        <w:t>等实质性内容作出响应。</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在满足采购文件实质性要求的基础上，可以提出比采购文件要求更有利于采购人的承诺。</w:t>
      </w:r>
    </w:p>
    <w:p w14:paraId="0971EFC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3.7.3</w:t>
      </w:r>
      <w:r>
        <w:rPr>
          <w:rFonts w:hint="eastAsia" w:ascii="宋体" w:hAnsi="宋体" w:eastAsia="宋体" w:cs="宋体"/>
          <w:highlight w:val="none"/>
        </w:rPr>
        <w:t>（A）</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应用不褪色的材料书写或打印，投标函及对</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第六章“</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格式”的要求。</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应尽量避免涂改、行间插字或删除。如果出现上述情况，改动之处应由供应商的法定代表人（单位负责人）或其授权的代理人签字或盖单位章。</w:t>
      </w:r>
    </w:p>
    <w:p w14:paraId="7D1FA86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3.7.3</w:t>
      </w:r>
      <w:r>
        <w:rPr>
          <w:rFonts w:hint="eastAsia" w:ascii="宋体" w:hAnsi="宋体" w:eastAsia="宋体" w:cs="宋体"/>
          <w:highlight w:val="none"/>
        </w:rPr>
        <w:t>（</w:t>
      </w:r>
      <w:r>
        <w:rPr>
          <w:rFonts w:hint="eastAsia" w:ascii="宋体" w:hAnsi="宋体" w:eastAsia="宋体" w:cs="宋体"/>
          <w:highlight w:val="none"/>
          <w:lang w:val="en-US" w:eastAsia="zh-CN"/>
        </w:rPr>
        <w:t>B</w:t>
      </w:r>
      <w:r>
        <w:rPr>
          <w:rFonts w:hint="eastAsia" w:ascii="宋体" w:hAnsi="宋体" w:eastAsia="宋体" w:cs="宋体"/>
          <w:highlight w:val="none"/>
        </w:rPr>
        <w:t>）</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全部采用电子文档，除</w:t>
      </w:r>
      <w:r>
        <w:rPr>
          <w:rFonts w:hint="eastAsia" w:ascii="宋体" w:hAnsi="宋体" w:cs="宋体"/>
          <w:bCs/>
          <w:sz w:val="21"/>
          <w:szCs w:val="21"/>
          <w:highlight w:val="none"/>
          <w:lang w:val="en-US" w:eastAsia="zh-CN"/>
        </w:rPr>
        <w:t>供应商</w:t>
      </w:r>
      <w:r>
        <w:rPr>
          <w:rFonts w:hint="eastAsia" w:ascii="宋体" w:hAnsi="宋体" w:eastAsia="宋体" w:cs="宋体"/>
          <w:highlight w:val="none"/>
          <w:lang w:val="en-US" w:eastAsia="zh-CN"/>
        </w:rPr>
        <w:t>须知前附表另有规定外，</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所附证书证件扫描件</w:t>
      </w:r>
      <w:r>
        <w:rPr>
          <w:rFonts w:hint="eastAsia" w:ascii="宋体" w:hAnsi="宋体" w:cs="宋体"/>
          <w:highlight w:val="none"/>
          <w:lang w:val="en-US" w:eastAsia="zh-CN"/>
        </w:rPr>
        <w:t>需清晰可辨</w:t>
      </w:r>
      <w:r>
        <w:rPr>
          <w:rFonts w:hint="eastAsia" w:ascii="宋体" w:hAnsi="宋体" w:eastAsia="宋体" w:cs="宋体"/>
          <w:highlight w:val="none"/>
          <w:lang w:val="en-US" w:eastAsia="zh-CN"/>
        </w:rPr>
        <w:t>，并采用单位和个人数字证书，按采购文件要求在相应位置加盖电子印章。签字或盖章的具体要求见</w:t>
      </w:r>
      <w:r>
        <w:rPr>
          <w:rFonts w:hint="eastAsia" w:ascii="宋体" w:hAnsi="宋体" w:cs="楷体"/>
          <w:color w:val="auto"/>
          <w:szCs w:val="21"/>
          <w:highlight w:val="none"/>
        </w:rPr>
        <w:t>供应商</w:t>
      </w:r>
      <w:r>
        <w:rPr>
          <w:rFonts w:hint="eastAsia" w:ascii="宋体" w:hAnsi="宋体" w:eastAsia="宋体" w:cs="宋体"/>
          <w:highlight w:val="none"/>
          <w:lang w:val="en-US" w:eastAsia="zh-CN"/>
        </w:rPr>
        <w:t>须知前附表</w:t>
      </w:r>
      <w:r>
        <w:rPr>
          <w:rFonts w:hint="eastAsia" w:ascii="宋体" w:hAnsi="宋体" w:cs="楷体"/>
          <w:color w:val="auto"/>
          <w:szCs w:val="21"/>
          <w:highlight w:val="none"/>
        </w:rPr>
        <w:t>。</w:t>
      </w:r>
    </w:p>
    <w:p w14:paraId="27EF9352">
      <w:pPr>
        <w:pStyle w:val="16"/>
        <w:rPr>
          <w:rFonts w:hint="eastAsia" w:ascii="宋体" w:hAnsi="宋体" w:cs="楷体"/>
          <w:color w:val="auto"/>
          <w:sz w:val="28"/>
          <w:highlight w:val="none"/>
          <w:lang w:val="zh-CN"/>
        </w:rPr>
      </w:pPr>
      <w:bookmarkStart w:id="214" w:name="_Toc14403"/>
      <w:bookmarkStart w:id="215" w:name="_Toc20107"/>
      <w:bookmarkStart w:id="216" w:name="_Toc24822"/>
      <w:bookmarkStart w:id="217" w:name="_Toc23781"/>
      <w:bookmarkStart w:id="218" w:name="_Toc980"/>
      <w:bookmarkStart w:id="219" w:name="_Toc471822566"/>
      <w:bookmarkStart w:id="220" w:name="_Toc471822509"/>
      <w:bookmarkStart w:id="221" w:name="_Toc223580609"/>
      <w:bookmarkStart w:id="222" w:name="_Toc406417358"/>
      <w:bookmarkStart w:id="223" w:name="_Toc201719093"/>
      <w:r>
        <w:rPr>
          <w:rFonts w:hint="eastAsia" w:ascii="宋体" w:hAnsi="宋体" w:cs="楷体"/>
          <w:color w:val="auto"/>
          <w:sz w:val="28"/>
          <w:highlight w:val="none"/>
          <w:lang w:val="zh-CN"/>
        </w:rPr>
        <w:t>4.投标</w:t>
      </w:r>
      <w:bookmarkEnd w:id="214"/>
      <w:bookmarkEnd w:id="215"/>
      <w:bookmarkEnd w:id="216"/>
      <w:bookmarkEnd w:id="217"/>
      <w:bookmarkEnd w:id="218"/>
    </w:p>
    <w:p w14:paraId="41715B8C">
      <w:pPr>
        <w:pStyle w:val="12"/>
        <w:spacing w:before="156" w:beforeLines="50" w:after="0" w:line="240" w:lineRule="auto"/>
        <w:jc w:val="left"/>
        <w:rPr>
          <w:rFonts w:ascii="宋体" w:hAnsi="宋体" w:cs="楷体"/>
          <w:color w:val="auto"/>
          <w:kern w:val="2"/>
          <w:sz w:val="21"/>
          <w:szCs w:val="21"/>
          <w:highlight w:val="none"/>
        </w:rPr>
      </w:pPr>
      <w:bookmarkStart w:id="224" w:name="_Toc27509"/>
      <w:bookmarkStart w:id="225" w:name="_Toc14237"/>
      <w:bookmarkStart w:id="226" w:name="_Toc26864"/>
      <w:bookmarkStart w:id="227" w:name="_Toc508803998"/>
      <w:bookmarkStart w:id="228" w:name="_Toc29985"/>
      <w:bookmarkStart w:id="229" w:name="_Toc5231"/>
      <w:bookmarkStart w:id="230" w:name="_Toc10382"/>
      <w:bookmarkStart w:id="231" w:name="_Toc2635"/>
      <w:r>
        <w:rPr>
          <w:rFonts w:hint="eastAsia" w:ascii="宋体" w:hAnsi="宋体" w:cs="楷体"/>
          <w:color w:val="auto"/>
          <w:kern w:val="2"/>
          <w:sz w:val="21"/>
          <w:szCs w:val="21"/>
          <w:highlight w:val="none"/>
        </w:rPr>
        <w:t xml:space="preserve">4.1 </w:t>
      </w:r>
      <w:r>
        <w:rPr>
          <w:rFonts w:hint="eastAsia" w:ascii="宋体" w:hAnsi="宋体" w:cs="楷体"/>
          <w:color w:val="auto"/>
          <w:kern w:val="2"/>
          <w:sz w:val="21"/>
          <w:szCs w:val="21"/>
          <w:highlight w:val="none"/>
          <w:lang w:eastAsia="zh-CN"/>
        </w:rPr>
        <w:t>响应文件</w:t>
      </w:r>
      <w:r>
        <w:rPr>
          <w:rFonts w:hint="eastAsia" w:ascii="宋体" w:hAnsi="宋体" w:cs="楷体"/>
          <w:color w:val="auto"/>
          <w:kern w:val="2"/>
          <w:sz w:val="21"/>
          <w:szCs w:val="21"/>
          <w:highlight w:val="none"/>
        </w:rPr>
        <w:t>的密封和标记</w:t>
      </w:r>
      <w:bookmarkEnd w:id="224"/>
      <w:bookmarkEnd w:id="225"/>
      <w:bookmarkEnd w:id="226"/>
      <w:bookmarkEnd w:id="227"/>
      <w:bookmarkEnd w:id="228"/>
      <w:bookmarkEnd w:id="229"/>
    </w:p>
    <w:p w14:paraId="1AA9253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4.1.1 供应商</w:t>
      </w:r>
      <w:r>
        <w:rPr>
          <w:rFonts w:hint="eastAsia" w:ascii="宋体" w:hAnsi="宋体" w:eastAsia="宋体" w:cs="宋体"/>
          <w:highlight w:val="none"/>
        </w:rPr>
        <w:t>应当按照</w:t>
      </w:r>
      <w:r>
        <w:rPr>
          <w:rFonts w:hint="eastAsia" w:ascii="宋体" w:hAnsi="宋体" w:eastAsia="宋体" w:cs="宋体"/>
          <w:highlight w:val="none"/>
          <w:lang w:val="en-US" w:eastAsia="zh-CN"/>
        </w:rPr>
        <w:t>采购</w:t>
      </w:r>
      <w:r>
        <w:rPr>
          <w:rFonts w:hint="eastAsia" w:ascii="宋体" w:hAnsi="宋体" w:eastAsia="宋体" w:cs="宋体"/>
          <w:highlight w:val="none"/>
        </w:rPr>
        <w:t>文件和电子招标投标交易平台的要求加密</w:t>
      </w:r>
      <w:r>
        <w:rPr>
          <w:rFonts w:hint="eastAsia" w:ascii="宋体" w:hAnsi="宋体" w:cs="宋体"/>
          <w:highlight w:val="none"/>
          <w:lang w:eastAsia="zh-CN"/>
        </w:rPr>
        <w:t>响应文件</w:t>
      </w:r>
      <w:r>
        <w:rPr>
          <w:rFonts w:hint="eastAsia" w:ascii="宋体" w:hAnsi="宋体" w:eastAsia="宋体" w:cs="宋体"/>
          <w:highlight w:val="none"/>
        </w:rPr>
        <w:t>，具体要求见</w:t>
      </w:r>
      <w:r>
        <w:rPr>
          <w:rFonts w:hint="eastAsia" w:ascii="宋体" w:hAnsi="宋体" w:cs="楷体"/>
          <w:color w:val="auto"/>
          <w:szCs w:val="21"/>
          <w:highlight w:val="none"/>
        </w:rPr>
        <w:t>供应商</w:t>
      </w:r>
      <w:r>
        <w:rPr>
          <w:rFonts w:hint="eastAsia" w:ascii="宋体" w:hAnsi="宋体" w:eastAsia="宋体" w:cs="宋体"/>
          <w:highlight w:val="none"/>
        </w:rPr>
        <w:t>须知前附表</w:t>
      </w:r>
      <w:r>
        <w:rPr>
          <w:rFonts w:hint="eastAsia" w:ascii="宋体" w:hAnsi="宋体" w:cs="楷体"/>
          <w:color w:val="auto"/>
          <w:szCs w:val="21"/>
          <w:highlight w:val="none"/>
        </w:rPr>
        <w:t>。</w:t>
      </w:r>
    </w:p>
    <w:p w14:paraId="7E16B2E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4.1.2 未按本章第4.1.1项要求</w:t>
      </w:r>
      <w:r>
        <w:rPr>
          <w:rFonts w:hint="eastAsia" w:ascii="宋体" w:hAnsi="宋体" w:cs="楷体"/>
          <w:color w:val="auto"/>
          <w:szCs w:val="21"/>
          <w:highlight w:val="none"/>
          <w:lang w:val="en-US" w:eastAsia="zh-CN"/>
        </w:rPr>
        <w:t>加密并上传至“政采云”平台</w:t>
      </w:r>
      <w:r>
        <w:rPr>
          <w:rFonts w:hint="eastAsia" w:ascii="宋体" w:hAnsi="宋体" w:cs="楷体"/>
          <w:color w:val="auto"/>
          <w:szCs w:val="21"/>
          <w:highlight w:val="none"/>
        </w:rPr>
        <w:t>的</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，采购人将予以拒收。</w:t>
      </w:r>
    </w:p>
    <w:p w14:paraId="62FB68FE">
      <w:pPr>
        <w:pStyle w:val="12"/>
        <w:spacing w:before="156" w:beforeLines="50" w:after="0" w:line="240" w:lineRule="auto"/>
        <w:jc w:val="left"/>
        <w:rPr>
          <w:rFonts w:ascii="宋体" w:hAnsi="宋体" w:cs="楷体"/>
          <w:color w:val="auto"/>
          <w:kern w:val="2"/>
          <w:sz w:val="21"/>
          <w:szCs w:val="21"/>
          <w:highlight w:val="none"/>
        </w:rPr>
      </w:pPr>
      <w:bookmarkStart w:id="232" w:name="_Toc2300"/>
      <w:bookmarkStart w:id="233" w:name="_Toc508803999"/>
      <w:bookmarkStart w:id="234" w:name="_Toc20951"/>
      <w:bookmarkStart w:id="235" w:name="_Toc6858"/>
      <w:bookmarkStart w:id="236" w:name="_Toc5805"/>
      <w:bookmarkStart w:id="237" w:name="_Toc31250"/>
      <w:r>
        <w:rPr>
          <w:rFonts w:hint="eastAsia" w:ascii="宋体" w:hAnsi="宋体" w:cs="楷体"/>
          <w:color w:val="auto"/>
          <w:kern w:val="2"/>
          <w:sz w:val="21"/>
          <w:szCs w:val="21"/>
          <w:highlight w:val="none"/>
        </w:rPr>
        <w:t xml:space="preserve">4.2 </w:t>
      </w:r>
      <w:r>
        <w:rPr>
          <w:rFonts w:hint="eastAsia" w:ascii="宋体" w:hAnsi="宋体" w:cs="楷体"/>
          <w:color w:val="auto"/>
          <w:kern w:val="2"/>
          <w:sz w:val="21"/>
          <w:szCs w:val="21"/>
          <w:highlight w:val="none"/>
          <w:lang w:eastAsia="zh-CN"/>
        </w:rPr>
        <w:t>响应文件</w:t>
      </w:r>
      <w:r>
        <w:rPr>
          <w:rFonts w:hint="eastAsia" w:ascii="宋体" w:hAnsi="宋体" w:cs="楷体"/>
          <w:color w:val="auto"/>
          <w:kern w:val="2"/>
          <w:sz w:val="21"/>
          <w:szCs w:val="21"/>
          <w:highlight w:val="none"/>
        </w:rPr>
        <w:t>的递交</w:t>
      </w:r>
      <w:bookmarkEnd w:id="232"/>
      <w:bookmarkEnd w:id="233"/>
      <w:bookmarkEnd w:id="234"/>
      <w:bookmarkEnd w:id="235"/>
      <w:bookmarkEnd w:id="236"/>
      <w:bookmarkEnd w:id="237"/>
    </w:p>
    <w:p w14:paraId="2F53D78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4.2.1 供应商应在供应商须知前附表规定的投标截止时间前递交</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w:t>
      </w:r>
    </w:p>
    <w:p w14:paraId="13B34CF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4.2.2 供应商</w:t>
      </w:r>
      <w:r>
        <w:rPr>
          <w:rFonts w:hint="eastAsia" w:ascii="宋体" w:hAnsi="宋体" w:eastAsia="宋体" w:cs="宋体"/>
          <w:highlight w:val="none"/>
        </w:rPr>
        <w:t>通过下载</w:t>
      </w:r>
      <w:r>
        <w:rPr>
          <w:rFonts w:hint="eastAsia" w:ascii="宋体" w:hAnsi="宋体" w:eastAsia="宋体" w:cs="宋体"/>
          <w:highlight w:val="none"/>
          <w:lang w:val="en-US" w:eastAsia="zh-CN"/>
        </w:rPr>
        <w:t>采购</w:t>
      </w:r>
      <w:r>
        <w:rPr>
          <w:rFonts w:hint="eastAsia" w:ascii="宋体" w:hAnsi="宋体" w:eastAsia="宋体" w:cs="宋体"/>
          <w:highlight w:val="none"/>
        </w:rPr>
        <w:t>文件的电子招标投标交易平台递交电子</w:t>
      </w:r>
      <w:r>
        <w:rPr>
          <w:rFonts w:hint="eastAsia" w:ascii="宋体" w:hAnsi="宋体" w:cs="宋体"/>
          <w:highlight w:val="none"/>
          <w:lang w:eastAsia="zh-CN"/>
        </w:rPr>
        <w:t>响应文件</w:t>
      </w:r>
      <w:r>
        <w:rPr>
          <w:rFonts w:hint="eastAsia" w:ascii="宋体" w:hAnsi="宋体" w:cs="楷体"/>
          <w:color w:val="auto"/>
          <w:szCs w:val="21"/>
          <w:highlight w:val="none"/>
        </w:rPr>
        <w:t>。</w:t>
      </w:r>
    </w:p>
    <w:p w14:paraId="768F352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4.2.3 除供应商须知前附表另有规定外，供应商所递交的</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不予退还。</w:t>
      </w:r>
    </w:p>
    <w:p w14:paraId="53F9D7A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4.2.4 供应商</w:t>
      </w:r>
      <w:r>
        <w:rPr>
          <w:rFonts w:hint="eastAsia" w:ascii="宋体" w:hAnsi="宋体" w:eastAsia="宋体" w:cs="宋体"/>
          <w:highlight w:val="none"/>
        </w:rPr>
        <w:t>完成电子</w:t>
      </w:r>
      <w:r>
        <w:rPr>
          <w:rFonts w:hint="eastAsia" w:ascii="宋体" w:hAnsi="宋体" w:cs="宋体"/>
          <w:highlight w:val="none"/>
          <w:lang w:eastAsia="zh-CN"/>
        </w:rPr>
        <w:t>响应文件</w:t>
      </w:r>
      <w:r>
        <w:rPr>
          <w:rFonts w:hint="eastAsia" w:ascii="宋体" w:hAnsi="宋体" w:eastAsia="宋体" w:cs="宋体"/>
          <w:highlight w:val="none"/>
        </w:rPr>
        <w:t>上传后，电子招标投标交易平台即时向</w:t>
      </w:r>
      <w:r>
        <w:rPr>
          <w:rFonts w:hint="eastAsia" w:ascii="宋体" w:hAnsi="宋体" w:cs="楷体"/>
          <w:color w:val="auto"/>
          <w:szCs w:val="21"/>
          <w:highlight w:val="none"/>
        </w:rPr>
        <w:t>供应商</w:t>
      </w:r>
      <w:r>
        <w:rPr>
          <w:rFonts w:hint="eastAsia" w:ascii="宋体" w:hAnsi="宋体" w:eastAsia="宋体" w:cs="宋体"/>
          <w:highlight w:val="none"/>
        </w:rPr>
        <w:t>发出递交回执通知。递交时间以递交回执通知载明的传输完成时间为准</w:t>
      </w:r>
      <w:r>
        <w:rPr>
          <w:rFonts w:hint="eastAsia" w:ascii="宋体" w:hAnsi="宋体" w:cs="楷体"/>
          <w:color w:val="auto"/>
          <w:szCs w:val="21"/>
          <w:highlight w:val="none"/>
        </w:rPr>
        <w:t>。</w:t>
      </w:r>
    </w:p>
    <w:p w14:paraId="7DD8D42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 xml:space="preserve">4.2.5 </w:t>
      </w:r>
      <w:r>
        <w:rPr>
          <w:rFonts w:hint="eastAsia" w:ascii="宋体" w:hAnsi="宋体" w:eastAsia="宋体" w:cs="宋体"/>
          <w:highlight w:val="none"/>
        </w:rPr>
        <w:t>逾期送达的</w:t>
      </w:r>
      <w:r>
        <w:rPr>
          <w:rFonts w:hint="eastAsia" w:ascii="宋体" w:hAnsi="宋体" w:cs="宋体"/>
          <w:highlight w:val="none"/>
          <w:lang w:eastAsia="zh-CN"/>
        </w:rPr>
        <w:t>响应文件</w:t>
      </w:r>
      <w:r>
        <w:rPr>
          <w:rFonts w:hint="eastAsia" w:ascii="宋体" w:hAnsi="宋体" w:eastAsia="宋体" w:cs="宋体"/>
          <w:highlight w:val="none"/>
        </w:rPr>
        <w:t>，电子招标投标交易平台将予以拒收</w:t>
      </w:r>
      <w:r>
        <w:rPr>
          <w:rFonts w:hint="eastAsia" w:ascii="宋体" w:hAnsi="宋体" w:cs="楷体"/>
          <w:color w:val="auto"/>
          <w:szCs w:val="21"/>
          <w:highlight w:val="none"/>
        </w:rPr>
        <w:t>。</w:t>
      </w:r>
    </w:p>
    <w:p w14:paraId="3C9FF719">
      <w:pPr>
        <w:pStyle w:val="12"/>
        <w:spacing w:before="156" w:beforeLines="50" w:after="0" w:line="240" w:lineRule="auto"/>
        <w:jc w:val="left"/>
        <w:rPr>
          <w:rFonts w:ascii="宋体" w:hAnsi="宋体" w:cs="楷体"/>
          <w:color w:val="auto"/>
          <w:kern w:val="2"/>
          <w:sz w:val="21"/>
          <w:szCs w:val="21"/>
          <w:highlight w:val="none"/>
        </w:rPr>
      </w:pPr>
      <w:bookmarkStart w:id="238" w:name="page28"/>
      <w:bookmarkEnd w:id="238"/>
      <w:bookmarkStart w:id="239" w:name="_Toc8040"/>
      <w:bookmarkStart w:id="240" w:name="_Toc24459"/>
      <w:bookmarkStart w:id="241" w:name="_Toc508804000"/>
      <w:bookmarkStart w:id="242" w:name="_Toc5016"/>
      <w:bookmarkStart w:id="243" w:name="_Toc19839"/>
      <w:bookmarkStart w:id="244" w:name="_Toc27094"/>
      <w:r>
        <w:rPr>
          <w:rFonts w:hint="eastAsia" w:ascii="宋体" w:hAnsi="宋体" w:cs="楷体"/>
          <w:color w:val="auto"/>
          <w:kern w:val="2"/>
          <w:sz w:val="21"/>
          <w:szCs w:val="21"/>
          <w:highlight w:val="none"/>
        </w:rPr>
        <w:t xml:space="preserve">4.3 </w:t>
      </w:r>
      <w:r>
        <w:rPr>
          <w:rFonts w:hint="eastAsia" w:ascii="宋体" w:hAnsi="宋体" w:cs="楷体"/>
          <w:color w:val="auto"/>
          <w:kern w:val="2"/>
          <w:sz w:val="21"/>
          <w:szCs w:val="21"/>
          <w:highlight w:val="none"/>
          <w:lang w:eastAsia="zh-CN"/>
        </w:rPr>
        <w:t>响应文件</w:t>
      </w:r>
      <w:r>
        <w:rPr>
          <w:rFonts w:hint="eastAsia" w:ascii="宋体" w:hAnsi="宋体" w:cs="楷体"/>
          <w:color w:val="auto"/>
          <w:kern w:val="2"/>
          <w:sz w:val="21"/>
          <w:szCs w:val="21"/>
          <w:highlight w:val="none"/>
        </w:rPr>
        <w:t>的修改与撤回</w:t>
      </w:r>
      <w:bookmarkEnd w:id="239"/>
      <w:bookmarkEnd w:id="240"/>
      <w:bookmarkEnd w:id="241"/>
      <w:bookmarkEnd w:id="242"/>
      <w:bookmarkEnd w:id="243"/>
      <w:bookmarkEnd w:id="244"/>
    </w:p>
    <w:p w14:paraId="792D141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4.3.1 在本章第2.2.2项规定的投标截止时间前，供应商可以修改或撤回已递交的投标文件，但应以书面形式通知采购人。</w:t>
      </w:r>
    </w:p>
    <w:p w14:paraId="34183D0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4.3.2 供应商修改或撤回已递交投标文件的书面通知应按照本章第3.7.3项的要求签字或盖章。采购人收到书面通知后，向供应商出具签收凭证。</w:t>
      </w:r>
    </w:p>
    <w:p w14:paraId="64371E0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4.3.3 修改的内容为投标文件的组成部分。修改的投标文件应按照本章第3条、第4条规定进行编制、密封、标记和递交，并标明“修改”字样。</w:t>
      </w:r>
    </w:p>
    <w:p w14:paraId="7E66C7B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4.3.4 供应商对投标文件的澄清不得改变投标价格及实质性内容。</w:t>
      </w:r>
    </w:p>
    <w:p w14:paraId="28893A8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4.3.5 评标委员会不接受供应商主动提出的澄清、说明或补正。</w:t>
      </w:r>
    </w:p>
    <w:p w14:paraId="013036A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4.3.6 对于开标和评审过程中供应商出现的同类问题表述不一致或者有明显文字和计算错误的内容,应按下列原则认定：</w:t>
      </w:r>
    </w:p>
    <w:p w14:paraId="5194E3B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（1）投标文件中开标一览表内容与投标文件中相应内容不一致的，以开标一览表为准；</w:t>
      </w:r>
    </w:p>
    <w:p w14:paraId="254A96A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（2）大写金额和小写金额不一致的，以大写金额为准；</w:t>
      </w:r>
    </w:p>
    <w:p w14:paraId="77E0D5B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（3）单价金额小数点或者百分比有明显错位的，以开标一览表的总价为准，并修改单价；</w:t>
      </w:r>
    </w:p>
    <w:p w14:paraId="09D9561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（4）总价金额与按单价汇总金额不一致的，以单价金额计算结果为准。</w:t>
      </w:r>
    </w:p>
    <w:p w14:paraId="6913CF5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rPr>
        <w:t>注：同时出现两种以上不一致的，按照前款规定的顺序修正。修正后的报价按照《政府采购货物和服务招标投标管理办法》第五十一条第二款的规定经供应商确认后产生约束力，供应商不确认的，其投标无效。</w:t>
      </w:r>
    </w:p>
    <w:p w14:paraId="6BBE8C3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4.3.7 供应商拒不按评标委员会要求澄清、说明、补正的或者投标报价有算术错误,供应商不接受修正价格的,其投标将被否决,按无效投标处理。</w:t>
      </w:r>
    </w:p>
    <w:p w14:paraId="24A15BAF">
      <w:pPr>
        <w:pStyle w:val="16"/>
        <w:rPr>
          <w:rFonts w:hint="eastAsia" w:ascii="宋体" w:hAnsi="宋体" w:cs="楷体"/>
          <w:color w:val="auto"/>
          <w:sz w:val="28"/>
          <w:highlight w:val="none"/>
          <w:lang w:val="zh-CN"/>
        </w:rPr>
      </w:pPr>
      <w:bookmarkStart w:id="245" w:name="_Toc18713"/>
      <w:bookmarkStart w:id="246" w:name="_Toc26858"/>
      <w:bookmarkStart w:id="247" w:name="_Toc19257"/>
      <w:r>
        <w:rPr>
          <w:rFonts w:hint="eastAsia" w:ascii="宋体" w:hAnsi="宋体" w:cs="楷体"/>
          <w:color w:val="auto"/>
          <w:sz w:val="28"/>
          <w:highlight w:val="none"/>
          <w:lang w:val="zh-CN"/>
        </w:rPr>
        <w:t>5.开标</w:t>
      </w:r>
      <w:bookmarkEnd w:id="219"/>
      <w:bookmarkEnd w:id="220"/>
      <w:bookmarkEnd w:id="221"/>
      <w:bookmarkEnd w:id="222"/>
      <w:bookmarkEnd w:id="223"/>
      <w:bookmarkEnd w:id="230"/>
      <w:bookmarkEnd w:id="231"/>
      <w:bookmarkEnd w:id="245"/>
      <w:bookmarkEnd w:id="246"/>
      <w:bookmarkEnd w:id="247"/>
    </w:p>
    <w:p w14:paraId="0E60343F">
      <w:pPr>
        <w:pStyle w:val="12"/>
        <w:spacing w:before="156" w:beforeLines="50" w:after="0" w:line="240" w:lineRule="auto"/>
        <w:jc w:val="left"/>
        <w:rPr>
          <w:rFonts w:ascii="宋体" w:hAnsi="宋体" w:cs="楷体"/>
          <w:color w:val="auto"/>
          <w:kern w:val="2"/>
          <w:sz w:val="21"/>
          <w:szCs w:val="21"/>
          <w:highlight w:val="none"/>
        </w:rPr>
      </w:pPr>
      <w:bookmarkStart w:id="248" w:name="_Toc29299"/>
      <w:bookmarkStart w:id="249" w:name="_Toc3070"/>
      <w:bookmarkStart w:id="250" w:name="_Toc6029"/>
      <w:bookmarkStart w:id="251" w:name="_Toc223068467"/>
      <w:bookmarkStart w:id="252" w:name="_Toc222900731"/>
      <w:bookmarkStart w:id="253" w:name="_Toc222987500"/>
      <w:bookmarkStart w:id="254" w:name="_Toc223063742"/>
      <w:bookmarkStart w:id="255" w:name="_Toc222906012"/>
      <w:bookmarkStart w:id="256" w:name="_Toc222987653"/>
      <w:bookmarkStart w:id="257" w:name="_Toc228014280"/>
      <w:bookmarkStart w:id="258" w:name="_Toc223345328"/>
      <w:bookmarkStart w:id="259" w:name="_Toc259125208"/>
      <w:bookmarkStart w:id="260" w:name="_Toc279848104"/>
      <w:bookmarkStart w:id="261" w:name="_Toc223580611"/>
      <w:bookmarkStart w:id="262" w:name="_Toc223256370"/>
      <w:bookmarkStart w:id="263" w:name="_Toc259131317"/>
      <w:bookmarkStart w:id="264" w:name="_Toc223161294"/>
      <w:bookmarkStart w:id="265" w:name="_Toc222907608"/>
      <w:bookmarkStart w:id="266" w:name="_Toc201719095"/>
      <w:r>
        <w:rPr>
          <w:rFonts w:hint="eastAsia" w:ascii="宋体" w:hAnsi="宋体" w:cs="楷体"/>
          <w:color w:val="auto"/>
          <w:kern w:val="2"/>
          <w:sz w:val="21"/>
          <w:szCs w:val="21"/>
          <w:highlight w:val="none"/>
        </w:rPr>
        <w:t>5.1 开标时间和地点</w:t>
      </w:r>
      <w:bookmarkEnd w:id="248"/>
      <w:bookmarkEnd w:id="249"/>
      <w:bookmarkEnd w:id="250"/>
    </w:p>
    <w:p w14:paraId="049B879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采购人在本章第4.2.1项规定的投标截止时间（开标时间）和供应商须知前附表规定的地点公开开标，并邀请所有供应商的法定代表人（单位负责人）或其委托代理人准时参加。</w:t>
      </w:r>
    </w:p>
    <w:p w14:paraId="44DF39A0">
      <w:pPr>
        <w:rPr>
          <w:rFonts w:hint="eastAsia" w:ascii="宋体" w:hAnsi="宋体" w:cs="楷体"/>
          <w:b/>
          <w:color w:val="auto"/>
          <w:highlight w:val="none"/>
        </w:rPr>
      </w:pPr>
      <w:r>
        <w:rPr>
          <w:rFonts w:hint="eastAsia" w:ascii="宋体" w:hAnsi="宋体" w:cs="楷体"/>
          <w:b/>
          <w:color w:val="auto"/>
          <w:highlight w:val="none"/>
        </w:rPr>
        <w:t>5.2 开标程序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8727BD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bookmarkStart w:id="267" w:name="_Toc471822510"/>
      <w:bookmarkStart w:id="268" w:name="_Toc406417359"/>
      <w:bookmarkStart w:id="269" w:name="_Toc12605"/>
      <w:bookmarkStart w:id="270" w:name="_Toc16988"/>
      <w:bookmarkStart w:id="271" w:name="_Toc223580612"/>
      <w:bookmarkStart w:id="272" w:name="_Toc471822567"/>
      <w:bookmarkStart w:id="273" w:name="_Toc201719096"/>
      <w:r>
        <w:rPr>
          <w:rFonts w:hint="eastAsia" w:ascii="宋体" w:hAnsi="宋体" w:cs="楷体"/>
          <w:color w:val="auto"/>
          <w:szCs w:val="21"/>
          <w:highlight w:val="none"/>
        </w:rPr>
        <w:t>主持人按下列程序进行开标：</w:t>
      </w:r>
    </w:p>
    <w:p w14:paraId="2E880D7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（1）宣布开标纪律；</w:t>
      </w:r>
    </w:p>
    <w:p w14:paraId="66254EC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（2）公布在投标截止时间前递交</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的供应商名称；</w:t>
      </w:r>
    </w:p>
    <w:p w14:paraId="7850584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（3）宣布开标人、唱标人、记录人、</w:t>
      </w:r>
      <w:r>
        <w:rPr>
          <w:rFonts w:hint="eastAsia" w:ascii="宋体" w:hAnsi="宋体" w:eastAsia="宋体" w:cs="宋体"/>
          <w:sz w:val="21"/>
          <w:szCs w:val="21"/>
          <w:highlight w:val="none"/>
        </w:rPr>
        <w:t>监督</w:t>
      </w:r>
      <w:r>
        <w:rPr>
          <w:rFonts w:hint="eastAsia" w:ascii="宋体" w:hAnsi="宋体" w:cs="楷体"/>
          <w:color w:val="auto"/>
          <w:szCs w:val="21"/>
          <w:highlight w:val="none"/>
        </w:rPr>
        <w:t>人等有关人员姓名；</w:t>
      </w:r>
    </w:p>
    <w:p w14:paraId="11F5F40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bookmarkStart w:id="274" w:name="page29"/>
      <w:bookmarkEnd w:id="274"/>
      <w:r>
        <w:rPr>
          <w:rFonts w:hint="eastAsia" w:ascii="宋体" w:hAnsi="宋体" w:cs="楷体"/>
          <w:color w:val="auto"/>
          <w:szCs w:val="21"/>
          <w:highlight w:val="none"/>
        </w:rPr>
        <w:t>（4）</w:t>
      </w:r>
      <w:r>
        <w:rPr>
          <w:rFonts w:hint="eastAsia" w:ascii="宋体" w:hAnsi="宋体" w:cs="宋体"/>
          <w:bCs/>
          <w:spacing w:val="11"/>
          <w:highlight w:val="none"/>
          <w:lang w:val="en-US" w:eastAsia="zh-CN"/>
        </w:rPr>
        <w:t>供应商</w:t>
      </w:r>
      <w:r>
        <w:rPr>
          <w:rFonts w:hint="eastAsia" w:ascii="宋体" w:hAnsi="宋体" w:cs="宋体"/>
          <w:bCs/>
          <w:spacing w:val="11"/>
          <w:highlight w:val="none"/>
        </w:rPr>
        <w:t>通过电子招标投标交易平台对已递交的电子</w:t>
      </w:r>
      <w:r>
        <w:rPr>
          <w:rFonts w:hint="eastAsia" w:ascii="宋体" w:hAnsi="宋体" w:cs="宋体"/>
          <w:bCs/>
          <w:spacing w:val="11"/>
          <w:highlight w:val="none"/>
          <w:lang w:eastAsia="zh-CN"/>
        </w:rPr>
        <w:t>响应文件</w:t>
      </w:r>
      <w:r>
        <w:rPr>
          <w:rFonts w:hint="eastAsia" w:ascii="宋体" w:hAnsi="宋体" w:cs="宋体"/>
          <w:bCs/>
          <w:spacing w:val="11"/>
          <w:highlight w:val="none"/>
        </w:rPr>
        <w:t>进行解密，公布招标项目名称、</w:t>
      </w:r>
      <w:r>
        <w:rPr>
          <w:rFonts w:hint="eastAsia" w:ascii="宋体" w:hAnsi="宋体" w:cs="宋体"/>
          <w:bCs/>
          <w:sz w:val="21"/>
          <w:szCs w:val="21"/>
          <w:highlight w:val="none"/>
          <w:lang w:val="en-US" w:eastAsia="zh-CN"/>
        </w:rPr>
        <w:t>供应商</w:t>
      </w:r>
      <w:r>
        <w:rPr>
          <w:rFonts w:hint="eastAsia" w:ascii="宋体" w:hAnsi="宋体" w:cs="宋体"/>
          <w:bCs/>
          <w:spacing w:val="11"/>
          <w:highlight w:val="none"/>
        </w:rPr>
        <w:t>名称、投标报价、</w:t>
      </w:r>
      <w:r>
        <w:rPr>
          <w:rFonts w:hint="eastAsia" w:ascii="宋体" w:hAnsi="宋体" w:eastAsia="宋体" w:cs="宋体"/>
          <w:bCs/>
          <w:spacing w:val="11"/>
          <w:highlight w:val="none"/>
          <w:lang w:val="en-US" w:eastAsia="zh-CN"/>
        </w:rPr>
        <w:t>合同履行期限</w:t>
      </w:r>
      <w:r>
        <w:rPr>
          <w:rFonts w:hint="eastAsia" w:ascii="宋体" w:hAnsi="宋体" w:cs="宋体"/>
          <w:bCs/>
          <w:spacing w:val="11"/>
          <w:highlight w:val="none"/>
        </w:rPr>
        <w:t>及其他内容，并记录在案</w:t>
      </w:r>
      <w:r>
        <w:rPr>
          <w:rFonts w:hint="eastAsia" w:ascii="宋体" w:hAnsi="宋体" w:cs="楷体"/>
          <w:color w:val="auto"/>
          <w:szCs w:val="21"/>
          <w:highlight w:val="none"/>
        </w:rPr>
        <w:t>；</w:t>
      </w:r>
    </w:p>
    <w:p w14:paraId="0918507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（5）宣布评审办法及</w:t>
      </w:r>
      <w:r>
        <w:rPr>
          <w:rFonts w:hint="eastAsia" w:ascii="宋体" w:hAnsi="宋体" w:cs="楷体"/>
          <w:color w:val="auto"/>
          <w:szCs w:val="21"/>
          <w:highlight w:val="none"/>
          <w:lang w:val="en-US" w:eastAsia="zh-CN"/>
        </w:rPr>
        <w:t>评审</w:t>
      </w:r>
      <w:r>
        <w:rPr>
          <w:rFonts w:hint="eastAsia" w:ascii="宋体" w:hAnsi="宋体" w:cs="楷体"/>
          <w:color w:val="auto"/>
          <w:szCs w:val="21"/>
          <w:highlight w:val="none"/>
        </w:rPr>
        <w:t>工作时间安排；</w:t>
      </w:r>
    </w:p>
    <w:p w14:paraId="5C04066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cs="楷体"/>
          <w:color w:val="auto"/>
          <w:kern w:val="0"/>
          <w:szCs w:val="21"/>
          <w:highlight w:val="none"/>
        </w:rPr>
      </w:pPr>
      <w:r>
        <w:rPr>
          <w:rFonts w:hint="eastAsia" w:ascii="宋体" w:hAnsi="宋体" w:cs="楷体"/>
          <w:color w:val="auto"/>
          <w:szCs w:val="21"/>
          <w:highlight w:val="none"/>
        </w:rPr>
        <w:t>（6）开标结束。</w:t>
      </w:r>
    </w:p>
    <w:p w14:paraId="500AF4B2">
      <w:pPr>
        <w:rPr>
          <w:rFonts w:hint="eastAsia" w:ascii="宋体" w:hAnsi="宋体"/>
          <w:color w:val="auto"/>
          <w:highlight w:val="none"/>
        </w:rPr>
      </w:pPr>
      <w:r>
        <w:rPr>
          <w:rFonts w:hint="eastAsia" w:ascii="宋体" w:hAnsi="宋体" w:cs="楷体"/>
          <w:b/>
          <w:color w:val="auto"/>
          <w:highlight w:val="none"/>
        </w:rPr>
        <w:t>5.3 开标异议</w:t>
      </w:r>
    </w:p>
    <w:p w14:paraId="701E258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olor w:val="auto"/>
          <w:highlight w:val="none"/>
        </w:rPr>
      </w:pPr>
      <w:r>
        <w:rPr>
          <w:rFonts w:hint="eastAsia" w:ascii="宋体" w:hAnsi="宋体"/>
          <w:color w:val="auto"/>
          <w:highlight w:val="none"/>
        </w:rPr>
        <w:t>供应商对开标有质疑的，应当在开标现场提出，</w:t>
      </w:r>
      <w:r>
        <w:rPr>
          <w:rFonts w:hint="eastAsia" w:ascii="宋体" w:hAnsi="宋体" w:cs="楷体"/>
          <w:color w:val="auto"/>
          <w:szCs w:val="21"/>
          <w:highlight w:val="none"/>
        </w:rPr>
        <w:t>采购</w:t>
      </w:r>
      <w:r>
        <w:rPr>
          <w:rFonts w:hint="eastAsia" w:ascii="宋体" w:hAnsi="宋体"/>
          <w:color w:val="auto"/>
          <w:highlight w:val="none"/>
        </w:rPr>
        <w:t>人当场作出答复，并制作记录。</w:t>
      </w:r>
    </w:p>
    <w:p w14:paraId="19E6E64A">
      <w:pPr>
        <w:pStyle w:val="16"/>
        <w:rPr>
          <w:rFonts w:hint="eastAsia" w:ascii="宋体" w:hAnsi="宋体" w:cs="楷体"/>
          <w:color w:val="auto"/>
          <w:sz w:val="28"/>
          <w:highlight w:val="none"/>
          <w:lang w:val="zh-CN"/>
        </w:rPr>
      </w:pPr>
      <w:bookmarkStart w:id="275" w:name="_Toc13092"/>
      <w:bookmarkStart w:id="276" w:name="_Toc16011"/>
      <w:bookmarkStart w:id="277" w:name="_Toc14256"/>
      <w:r>
        <w:rPr>
          <w:rFonts w:hint="eastAsia" w:ascii="宋体" w:hAnsi="宋体" w:cs="楷体"/>
          <w:color w:val="auto"/>
          <w:sz w:val="28"/>
          <w:highlight w:val="none"/>
          <w:lang w:val="zh-CN"/>
        </w:rPr>
        <w:t>6.评标</w:t>
      </w:r>
      <w:bookmarkEnd w:id="267"/>
      <w:bookmarkEnd w:id="268"/>
      <w:bookmarkEnd w:id="269"/>
      <w:bookmarkEnd w:id="270"/>
      <w:bookmarkEnd w:id="271"/>
      <w:bookmarkEnd w:id="272"/>
      <w:bookmarkEnd w:id="273"/>
      <w:bookmarkEnd w:id="275"/>
      <w:bookmarkEnd w:id="276"/>
      <w:bookmarkEnd w:id="277"/>
    </w:p>
    <w:p w14:paraId="48F40B74">
      <w:pPr>
        <w:rPr>
          <w:rFonts w:hint="eastAsia" w:ascii="宋体" w:hAnsi="宋体" w:cs="楷体"/>
          <w:b/>
          <w:color w:val="auto"/>
          <w:highlight w:val="none"/>
        </w:rPr>
      </w:pPr>
      <w:bookmarkStart w:id="278" w:name="_Toc223580616"/>
      <w:bookmarkStart w:id="279" w:name="_Toc201719100"/>
      <w:r>
        <w:rPr>
          <w:rFonts w:hint="eastAsia" w:ascii="宋体" w:hAnsi="宋体" w:cs="楷体"/>
          <w:b/>
          <w:color w:val="auto"/>
          <w:highlight w:val="none"/>
        </w:rPr>
        <w:t>6.1 评标委员会</w:t>
      </w:r>
    </w:p>
    <w:p w14:paraId="3E31885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6.1.1 评标由采购人依法组建的评标委员会负责。</w:t>
      </w:r>
      <w:r>
        <w:rPr>
          <w:rFonts w:hint="eastAsia" w:ascii="宋体" w:hAnsi="宋体" w:cs="楷体"/>
          <w:color w:val="auto"/>
          <w:szCs w:val="21"/>
          <w:highlight w:val="none"/>
        </w:rPr>
        <w:t>评标委员会由</w:t>
      </w:r>
      <w:r>
        <w:rPr>
          <w:rFonts w:hint="eastAsia" w:ascii="宋体" w:hAnsi="宋体"/>
          <w:szCs w:val="21"/>
          <w:highlight w:val="none"/>
          <w:lang w:val="en-US" w:eastAsia="zh-CN"/>
        </w:rPr>
        <w:t>社会</w:t>
      </w:r>
      <w:r>
        <w:rPr>
          <w:rFonts w:hint="eastAsia" w:ascii="宋体" w:hAnsi="宋体"/>
          <w:szCs w:val="21"/>
          <w:highlight w:val="none"/>
        </w:rPr>
        <w:t>专家</w:t>
      </w:r>
      <w:r>
        <w:rPr>
          <w:rFonts w:hint="eastAsia" w:ascii="宋体" w:hAnsi="宋体"/>
          <w:szCs w:val="21"/>
          <w:highlight w:val="none"/>
          <w:lang w:val="en-US" w:eastAsia="zh-CN"/>
        </w:rPr>
        <w:t>7人</w:t>
      </w:r>
      <w:r>
        <w:rPr>
          <w:rFonts w:hint="eastAsia" w:ascii="宋体" w:hAnsi="宋体" w:cs="楷体"/>
          <w:color w:val="auto"/>
          <w:szCs w:val="21"/>
          <w:highlight w:val="none"/>
        </w:rPr>
        <w:t>组成</w:t>
      </w:r>
      <w:r>
        <w:rPr>
          <w:rFonts w:hint="eastAsia" w:ascii="宋体" w:hAnsi="宋体" w:cs="楷体"/>
          <w:color w:val="auto"/>
          <w:szCs w:val="21"/>
          <w:highlight w:val="none"/>
        </w:rPr>
        <w:t>。评标委员会成员人数以及技术、经济等方面专家的确定方式见供应商须知前附表。</w:t>
      </w:r>
    </w:p>
    <w:p w14:paraId="7E33DAB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6.1.2 评标委员会成员有下列情形之一的，应当回避：</w:t>
      </w:r>
    </w:p>
    <w:p w14:paraId="4736FC7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（1）供应商或供应商主要负责人的近亲属；</w:t>
      </w:r>
    </w:p>
    <w:p w14:paraId="3F26F38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（2）项目主管部门或者行政监督部门的人员；</w:t>
      </w:r>
    </w:p>
    <w:p w14:paraId="2DC803C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（3）与供应商有经济利益关系，可能影响对投标公正评审的；</w:t>
      </w:r>
    </w:p>
    <w:p w14:paraId="25413FC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（4）曾因在招标、评标以及其他与招标投标有关活动中从事违法行为而受过行政处罚或刑事处罚的；</w:t>
      </w:r>
    </w:p>
    <w:p w14:paraId="27670A6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（5）与供应商有其他利害关系。</w:t>
      </w:r>
    </w:p>
    <w:p w14:paraId="09DD066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color w:val="auto"/>
          <w:kern w:val="0"/>
          <w:szCs w:val="21"/>
          <w:highlight w:val="none"/>
        </w:rPr>
      </w:pPr>
      <w:r>
        <w:rPr>
          <w:rFonts w:hint="eastAsia" w:ascii="宋体" w:hAnsi="宋体" w:cs="楷体"/>
          <w:color w:val="auto"/>
          <w:szCs w:val="21"/>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4A5C7B37">
      <w:pPr>
        <w:rPr>
          <w:rFonts w:hint="eastAsia" w:ascii="宋体" w:hAnsi="宋体" w:cs="楷体"/>
          <w:b/>
          <w:color w:val="auto"/>
          <w:highlight w:val="none"/>
        </w:rPr>
      </w:pPr>
      <w:r>
        <w:rPr>
          <w:rFonts w:hint="eastAsia" w:ascii="宋体" w:hAnsi="宋体" w:cs="楷体"/>
          <w:b/>
          <w:color w:val="auto"/>
          <w:highlight w:val="none"/>
        </w:rPr>
        <w:t>6.2 评标原则</w:t>
      </w:r>
    </w:p>
    <w:p w14:paraId="47A7C2C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color w:val="auto"/>
          <w:kern w:val="0"/>
          <w:szCs w:val="21"/>
          <w:highlight w:val="none"/>
        </w:rPr>
      </w:pPr>
      <w:r>
        <w:rPr>
          <w:rFonts w:hint="eastAsia" w:ascii="宋体" w:hAnsi="宋体" w:cs="楷体"/>
          <w:color w:val="auto"/>
          <w:kern w:val="0"/>
          <w:szCs w:val="21"/>
          <w:highlight w:val="none"/>
        </w:rPr>
        <w:t>评标活动遵循公平、公正、科学择优的原则。</w:t>
      </w:r>
    </w:p>
    <w:p w14:paraId="51D70D6D">
      <w:pPr>
        <w:rPr>
          <w:rFonts w:hint="eastAsia" w:ascii="宋体" w:hAnsi="宋体" w:cs="楷体"/>
          <w:b/>
          <w:color w:val="auto"/>
          <w:highlight w:val="none"/>
        </w:rPr>
      </w:pPr>
      <w:r>
        <w:rPr>
          <w:rFonts w:hint="eastAsia" w:ascii="宋体" w:hAnsi="宋体" w:cs="楷体"/>
          <w:b/>
          <w:color w:val="auto"/>
          <w:highlight w:val="none"/>
        </w:rPr>
        <w:t>6.3 评标</w:t>
      </w:r>
    </w:p>
    <w:p w14:paraId="5EB3A319">
      <w:pPr>
        <w:keepNext w:val="0"/>
        <w:keepLines w:val="0"/>
        <w:pageBreakBefore w:val="0"/>
        <w:widowControl w:val="0"/>
        <w:kinsoku/>
        <w:wordWrap/>
        <w:overflowPunct/>
        <w:topLinePunct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6.3.1 评标委员会按照第三章“评标办法”规定的方法、评审因素、标准和程序对</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进行评审。第三章“评标办法”没有规定的方法、评审因素和标准，不作为评标依据。</w:t>
      </w:r>
    </w:p>
    <w:p w14:paraId="39004AD3">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楷体"/>
          <w:color w:val="auto"/>
          <w:kern w:val="0"/>
          <w:szCs w:val="21"/>
          <w:highlight w:val="none"/>
        </w:rPr>
      </w:pPr>
      <w:r>
        <w:rPr>
          <w:rFonts w:hint="eastAsia" w:ascii="宋体" w:hAnsi="宋体" w:cs="楷体"/>
          <w:color w:val="auto"/>
          <w:szCs w:val="21"/>
          <w:highlight w:val="none"/>
        </w:rPr>
        <w:t>6.3.2 评标完成后，评标委员会应当向采购人提交书面评标报告和</w:t>
      </w:r>
      <w:r>
        <w:rPr>
          <w:rFonts w:hint="eastAsia" w:ascii="宋体" w:hAnsi="宋体" w:cs="楷体"/>
          <w:color w:val="auto"/>
          <w:szCs w:val="21"/>
          <w:highlight w:val="none"/>
          <w:lang w:val="en-US" w:eastAsia="zh-CN"/>
        </w:rPr>
        <w:t>成交商名单</w:t>
      </w:r>
      <w:r>
        <w:rPr>
          <w:rFonts w:hint="eastAsia" w:ascii="宋体" w:hAnsi="宋体" w:cs="楷体"/>
          <w:color w:val="auto"/>
          <w:szCs w:val="21"/>
          <w:highlight w:val="none"/>
        </w:rPr>
        <w:t>。</w:t>
      </w:r>
    </w:p>
    <w:p w14:paraId="61A0BDD1">
      <w:pPr>
        <w:pStyle w:val="16"/>
        <w:rPr>
          <w:rFonts w:hint="eastAsia" w:ascii="宋体" w:hAnsi="宋体" w:cs="楷体"/>
          <w:color w:val="auto"/>
          <w:sz w:val="28"/>
          <w:highlight w:val="none"/>
          <w:lang w:val="zh-CN"/>
        </w:rPr>
      </w:pPr>
      <w:bookmarkStart w:id="280" w:name="_Toc15878"/>
      <w:bookmarkStart w:id="281" w:name="_Toc10359"/>
      <w:bookmarkStart w:id="282" w:name="_Toc471822511"/>
      <w:bookmarkStart w:id="283" w:name="_Toc471822568"/>
      <w:bookmarkStart w:id="284" w:name="_Toc20638"/>
      <w:bookmarkStart w:id="285" w:name="_Toc406417360"/>
      <w:bookmarkStart w:id="286" w:name="_Toc15945"/>
      <w:bookmarkStart w:id="287" w:name="_Toc26164"/>
      <w:r>
        <w:rPr>
          <w:rFonts w:hint="eastAsia" w:ascii="宋体" w:hAnsi="宋体" w:cs="楷体"/>
          <w:color w:val="auto"/>
          <w:sz w:val="28"/>
          <w:highlight w:val="none"/>
          <w:lang w:val="zh-CN"/>
        </w:rPr>
        <w:t>7.合同授予</w:t>
      </w:r>
      <w:bookmarkEnd w:id="278"/>
      <w:bookmarkEnd w:id="279"/>
      <w:bookmarkEnd w:id="280"/>
      <w:bookmarkEnd w:id="281"/>
      <w:bookmarkEnd w:id="282"/>
      <w:bookmarkEnd w:id="283"/>
      <w:bookmarkEnd w:id="284"/>
      <w:bookmarkEnd w:id="285"/>
      <w:bookmarkEnd w:id="286"/>
      <w:bookmarkEnd w:id="287"/>
    </w:p>
    <w:p w14:paraId="4B6C8211">
      <w:pPr>
        <w:pStyle w:val="12"/>
        <w:spacing w:before="156" w:beforeLines="50" w:after="0" w:line="240" w:lineRule="auto"/>
        <w:jc w:val="left"/>
        <w:rPr>
          <w:rFonts w:hint="eastAsia" w:ascii="宋体" w:hAnsi="宋体" w:cs="楷体"/>
          <w:color w:val="auto"/>
          <w:kern w:val="2"/>
          <w:sz w:val="21"/>
          <w:szCs w:val="21"/>
          <w:highlight w:val="none"/>
        </w:rPr>
      </w:pPr>
      <w:bookmarkStart w:id="288" w:name="_Toc21096"/>
      <w:bookmarkStart w:id="289" w:name="_Toc14157"/>
      <w:bookmarkStart w:id="290" w:name="_Toc6501"/>
      <w:bookmarkStart w:id="291" w:name="_Toc4065"/>
      <w:bookmarkStart w:id="292" w:name="_Toc26112"/>
      <w:bookmarkStart w:id="293" w:name="_Toc508804010"/>
      <w:bookmarkStart w:id="294" w:name="_Toc201719105"/>
      <w:bookmarkStart w:id="295" w:name="_Toc471822512"/>
      <w:bookmarkStart w:id="296" w:name="_Toc29048"/>
      <w:bookmarkStart w:id="297" w:name="_Toc223580621"/>
      <w:bookmarkStart w:id="298" w:name="_Toc1814"/>
      <w:bookmarkStart w:id="299" w:name="_Toc406417361"/>
      <w:bookmarkStart w:id="300" w:name="_Toc471822569"/>
      <w:r>
        <w:rPr>
          <w:rFonts w:hint="eastAsia" w:ascii="宋体" w:hAnsi="宋体" w:cs="楷体"/>
          <w:color w:val="auto"/>
          <w:kern w:val="2"/>
          <w:sz w:val="21"/>
          <w:szCs w:val="21"/>
          <w:highlight w:val="none"/>
        </w:rPr>
        <w:t>7.1 中标</w:t>
      </w:r>
      <w:bookmarkEnd w:id="288"/>
      <w:bookmarkEnd w:id="289"/>
      <w:bookmarkEnd w:id="290"/>
      <w:bookmarkEnd w:id="291"/>
      <w:bookmarkEnd w:id="292"/>
      <w:bookmarkEnd w:id="293"/>
      <w:r>
        <w:rPr>
          <w:rFonts w:hint="eastAsia" w:ascii="宋体" w:hAnsi="宋体" w:cs="楷体"/>
          <w:color w:val="auto"/>
          <w:kern w:val="2"/>
          <w:sz w:val="21"/>
          <w:szCs w:val="21"/>
          <w:highlight w:val="none"/>
        </w:rPr>
        <w:t>结果公告</w:t>
      </w:r>
    </w:p>
    <w:p w14:paraId="548D59FB">
      <w:pPr>
        <w:keepNext w:val="0"/>
        <w:keepLines w:val="0"/>
        <w:pageBreakBefore w:val="0"/>
        <w:widowControl w:val="0"/>
        <w:kinsoku/>
        <w:wordWrap/>
        <w:overflowPunct/>
        <w:topLinePunct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olor w:val="auto"/>
          <w:highlight w:val="none"/>
        </w:rPr>
        <w:t>采购人在供应商须知前附表规定的媒介公告中标结果。</w:t>
      </w:r>
    </w:p>
    <w:p w14:paraId="0C76A39C">
      <w:pPr>
        <w:pStyle w:val="12"/>
        <w:spacing w:before="156" w:beforeLines="50" w:after="0" w:line="240" w:lineRule="auto"/>
        <w:jc w:val="left"/>
        <w:rPr>
          <w:rFonts w:hint="eastAsia" w:ascii="宋体" w:hAnsi="宋体" w:cs="楷体"/>
          <w:color w:val="auto"/>
          <w:kern w:val="2"/>
          <w:sz w:val="21"/>
          <w:szCs w:val="21"/>
          <w:highlight w:val="none"/>
        </w:rPr>
      </w:pPr>
      <w:bookmarkStart w:id="301" w:name="_Toc30453"/>
      <w:bookmarkStart w:id="302" w:name="_Toc13665"/>
      <w:bookmarkStart w:id="303" w:name="_Toc4776"/>
      <w:bookmarkStart w:id="304" w:name="_Toc508804011"/>
      <w:bookmarkStart w:id="305" w:name="_Toc6233"/>
      <w:bookmarkStart w:id="306" w:name="_Toc3962"/>
      <w:r>
        <w:rPr>
          <w:rFonts w:hint="eastAsia" w:ascii="宋体" w:hAnsi="宋体" w:cs="楷体"/>
          <w:color w:val="auto"/>
          <w:kern w:val="2"/>
          <w:sz w:val="21"/>
          <w:szCs w:val="21"/>
          <w:highlight w:val="none"/>
        </w:rPr>
        <w:t>7.2 评标结果</w:t>
      </w:r>
      <w:bookmarkEnd w:id="301"/>
      <w:bookmarkEnd w:id="302"/>
      <w:bookmarkEnd w:id="303"/>
      <w:bookmarkEnd w:id="304"/>
      <w:r>
        <w:rPr>
          <w:rFonts w:hint="eastAsia" w:ascii="宋体" w:hAnsi="宋体" w:cs="楷体"/>
          <w:color w:val="auto"/>
          <w:kern w:val="2"/>
          <w:sz w:val="21"/>
          <w:szCs w:val="21"/>
          <w:highlight w:val="none"/>
        </w:rPr>
        <w:t>质疑</w:t>
      </w:r>
      <w:bookmarkEnd w:id="305"/>
      <w:bookmarkEnd w:id="306"/>
    </w:p>
    <w:p w14:paraId="4FEA747C">
      <w:pPr>
        <w:keepNext w:val="0"/>
        <w:keepLines w:val="0"/>
        <w:pageBreakBefore w:val="0"/>
        <w:widowControl w:val="0"/>
        <w:kinsoku/>
        <w:wordWrap/>
        <w:overflowPunct/>
        <w:topLinePunct w:val="0"/>
        <w:bidi w:val="0"/>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lang w:val="zh-CN"/>
        </w:rPr>
        <w:t>供应商对中标结果提出</w:t>
      </w:r>
      <w:r>
        <w:rPr>
          <w:rFonts w:hint="eastAsia" w:ascii="宋体" w:hAnsi="宋体" w:cs="楷体"/>
          <w:color w:val="auto"/>
          <w:szCs w:val="21"/>
          <w:highlight w:val="none"/>
        </w:rPr>
        <w:t>质疑</w:t>
      </w:r>
      <w:r>
        <w:rPr>
          <w:rFonts w:hint="eastAsia" w:ascii="宋体" w:hAnsi="宋体" w:cs="楷体"/>
          <w:color w:val="auto"/>
          <w:szCs w:val="21"/>
          <w:highlight w:val="none"/>
          <w:lang w:val="zh-CN"/>
        </w:rPr>
        <w:t>的，应当在公示期间内</w:t>
      </w:r>
      <w:r>
        <w:rPr>
          <w:rFonts w:hint="eastAsia" w:ascii="宋体" w:hAnsi="宋体" w:cs="楷体"/>
          <w:color w:val="auto"/>
          <w:szCs w:val="21"/>
          <w:highlight w:val="none"/>
        </w:rPr>
        <w:t>工作时间，</w:t>
      </w:r>
      <w:r>
        <w:rPr>
          <w:rFonts w:hint="eastAsia" w:ascii="宋体" w:hAnsi="宋体" w:cs="楷体"/>
          <w:color w:val="auto"/>
          <w:szCs w:val="21"/>
          <w:highlight w:val="none"/>
          <w:lang w:val="zh-CN"/>
        </w:rPr>
        <w:t>将</w:t>
      </w:r>
      <w:r>
        <w:rPr>
          <w:rFonts w:hint="eastAsia" w:ascii="宋体" w:hAnsi="宋体" w:cs="楷体"/>
          <w:color w:val="auto"/>
          <w:szCs w:val="21"/>
          <w:highlight w:val="none"/>
        </w:rPr>
        <w:t>质疑</w:t>
      </w:r>
      <w:r>
        <w:rPr>
          <w:rFonts w:hint="eastAsia" w:ascii="宋体" w:hAnsi="宋体" w:cs="楷体"/>
          <w:color w:val="auto"/>
          <w:szCs w:val="21"/>
          <w:highlight w:val="none"/>
          <w:lang w:val="zh-CN"/>
        </w:rPr>
        <w:t>事项一次性向</w:t>
      </w:r>
      <w:r>
        <w:rPr>
          <w:rFonts w:hint="eastAsia" w:ascii="宋体" w:hAnsi="宋体" w:cs="楷体"/>
          <w:color w:val="auto"/>
          <w:szCs w:val="21"/>
          <w:highlight w:val="none"/>
        </w:rPr>
        <w:t>采购</w:t>
      </w:r>
      <w:r>
        <w:rPr>
          <w:rFonts w:hint="eastAsia" w:ascii="宋体" w:hAnsi="宋体" w:cs="楷体"/>
          <w:color w:val="auto"/>
          <w:szCs w:val="21"/>
          <w:highlight w:val="none"/>
          <w:lang w:val="zh-CN"/>
        </w:rPr>
        <w:t>人（</w:t>
      </w:r>
      <w:r>
        <w:rPr>
          <w:rFonts w:hint="eastAsia" w:ascii="宋体" w:hAnsi="宋体" w:cs="楷体"/>
          <w:color w:val="auto"/>
          <w:szCs w:val="21"/>
          <w:highlight w:val="none"/>
        </w:rPr>
        <w:t>采购</w:t>
      </w:r>
      <w:r>
        <w:rPr>
          <w:rFonts w:hint="eastAsia" w:ascii="宋体" w:hAnsi="宋体" w:cs="楷体"/>
          <w:color w:val="auto"/>
          <w:szCs w:val="21"/>
          <w:highlight w:val="none"/>
          <w:lang w:val="zh-CN"/>
        </w:rPr>
        <w:t>代理公司）提出。</w:t>
      </w:r>
      <w:r>
        <w:rPr>
          <w:rFonts w:hint="eastAsia" w:ascii="宋体" w:hAnsi="宋体" w:cs="楷体"/>
          <w:color w:val="auto"/>
          <w:szCs w:val="21"/>
          <w:highlight w:val="none"/>
        </w:rPr>
        <w:t>质疑</w:t>
      </w:r>
      <w:r>
        <w:rPr>
          <w:rFonts w:hint="eastAsia" w:ascii="宋体" w:hAnsi="宋体" w:cs="楷体"/>
          <w:color w:val="auto"/>
          <w:szCs w:val="21"/>
          <w:highlight w:val="none"/>
          <w:lang w:val="zh-CN"/>
        </w:rPr>
        <w:t>书须提供纸质</w:t>
      </w:r>
      <w:r>
        <w:rPr>
          <w:rFonts w:hint="eastAsia" w:ascii="宋体" w:hAnsi="宋体" w:cs="楷体"/>
          <w:color w:val="auto"/>
          <w:szCs w:val="21"/>
          <w:highlight w:val="none"/>
          <w:lang w:val="en-US" w:eastAsia="zh-CN"/>
        </w:rPr>
        <w:t>版</w:t>
      </w:r>
      <w:r>
        <w:rPr>
          <w:rFonts w:hint="eastAsia" w:ascii="宋体" w:hAnsi="宋体" w:cs="楷体"/>
          <w:color w:val="auto"/>
          <w:szCs w:val="21"/>
          <w:highlight w:val="none"/>
          <w:lang w:val="zh-CN"/>
        </w:rPr>
        <w:t>，并应当经法定代表人或委托代理人签字并加盖公章</w:t>
      </w:r>
      <w:r>
        <w:rPr>
          <w:rFonts w:hint="eastAsia" w:ascii="宋体" w:hAnsi="宋体" w:cs="楷体"/>
          <w:color w:val="auto"/>
          <w:szCs w:val="21"/>
          <w:highlight w:val="none"/>
        </w:rPr>
        <w:t>。</w:t>
      </w:r>
    </w:p>
    <w:p w14:paraId="09D67995">
      <w:pPr>
        <w:pStyle w:val="12"/>
        <w:spacing w:before="156" w:beforeLines="50" w:after="0" w:line="240" w:lineRule="auto"/>
        <w:jc w:val="left"/>
        <w:rPr>
          <w:rFonts w:hint="eastAsia" w:ascii="宋体" w:hAnsi="宋体" w:cs="楷体"/>
          <w:color w:val="auto"/>
          <w:kern w:val="2"/>
          <w:sz w:val="21"/>
          <w:szCs w:val="21"/>
          <w:highlight w:val="none"/>
        </w:rPr>
      </w:pPr>
      <w:bookmarkStart w:id="307" w:name="_Toc29940"/>
      <w:bookmarkStart w:id="308" w:name="_Toc30667"/>
      <w:bookmarkStart w:id="309" w:name="_Toc6390"/>
      <w:bookmarkStart w:id="310" w:name="_Toc22627"/>
      <w:bookmarkStart w:id="311" w:name="_Toc29759"/>
      <w:bookmarkStart w:id="312" w:name="_Toc508804012"/>
      <w:r>
        <w:rPr>
          <w:rFonts w:hint="eastAsia" w:ascii="宋体" w:hAnsi="宋体" w:cs="楷体"/>
          <w:color w:val="auto"/>
          <w:kern w:val="2"/>
          <w:sz w:val="21"/>
          <w:szCs w:val="21"/>
          <w:highlight w:val="none"/>
        </w:rPr>
        <w:t xml:space="preserve">7.3 </w:t>
      </w:r>
      <w:r>
        <w:rPr>
          <w:rFonts w:hint="eastAsia" w:ascii="宋体" w:hAnsi="宋体" w:cs="楷体"/>
          <w:color w:val="auto"/>
          <w:kern w:val="2"/>
          <w:sz w:val="21"/>
          <w:szCs w:val="21"/>
          <w:highlight w:val="none"/>
          <w:lang w:val="en-US" w:eastAsia="zh-CN"/>
        </w:rPr>
        <w:t>成交商</w:t>
      </w:r>
      <w:r>
        <w:rPr>
          <w:rFonts w:hint="eastAsia" w:ascii="宋体" w:hAnsi="宋体" w:cs="楷体"/>
          <w:color w:val="auto"/>
          <w:kern w:val="2"/>
          <w:sz w:val="21"/>
          <w:szCs w:val="21"/>
          <w:highlight w:val="none"/>
        </w:rPr>
        <w:t>履约能力审查</w:t>
      </w:r>
      <w:bookmarkEnd w:id="307"/>
      <w:bookmarkEnd w:id="308"/>
      <w:bookmarkEnd w:id="309"/>
      <w:bookmarkEnd w:id="310"/>
      <w:bookmarkEnd w:id="311"/>
      <w:bookmarkEnd w:id="312"/>
      <w:r>
        <w:rPr>
          <w:rFonts w:hint="eastAsia" w:ascii="宋体" w:hAnsi="宋体" w:cs="楷体"/>
          <w:color w:val="auto"/>
          <w:kern w:val="2"/>
          <w:sz w:val="21"/>
          <w:szCs w:val="21"/>
          <w:highlight w:val="none"/>
        </w:rPr>
        <w:t>（本项目不适用）</w:t>
      </w:r>
    </w:p>
    <w:p w14:paraId="7F9702E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的经营、财务状况发生较大变化或存在违法行为，采购人认为可能影响其履约能力的，将在发出</w:t>
      </w:r>
      <w:r>
        <w:rPr>
          <w:rFonts w:hint="eastAsia" w:ascii="宋体" w:hAnsi="宋体" w:cs="楷体"/>
          <w:color w:val="auto"/>
          <w:szCs w:val="21"/>
          <w:highlight w:val="none"/>
          <w:lang w:val="en-US" w:eastAsia="zh-CN"/>
        </w:rPr>
        <w:t>成交</w:t>
      </w:r>
      <w:r>
        <w:rPr>
          <w:rFonts w:hint="eastAsia" w:ascii="宋体" w:hAnsi="宋体" w:cs="楷体"/>
          <w:color w:val="auto"/>
          <w:szCs w:val="21"/>
          <w:highlight w:val="none"/>
        </w:rPr>
        <w:t>通知书前提请原评标委员会按照采购文件规定的标准和方法进行审查确认。</w:t>
      </w:r>
    </w:p>
    <w:p w14:paraId="5489D4EB">
      <w:pPr>
        <w:pStyle w:val="12"/>
        <w:spacing w:before="156" w:beforeLines="50" w:after="0" w:line="240" w:lineRule="auto"/>
        <w:jc w:val="left"/>
        <w:rPr>
          <w:rFonts w:ascii="宋体" w:hAnsi="宋体" w:cs="楷体"/>
          <w:color w:val="auto"/>
          <w:kern w:val="2"/>
          <w:sz w:val="21"/>
          <w:szCs w:val="21"/>
          <w:highlight w:val="none"/>
        </w:rPr>
      </w:pPr>
      <w:bookmarkStart w:id="313" w:name="_Toc15309"/>
      <w:bookmarkStart w:id="314" w:name="_Toc1700"/>
      <w:bookmarkStart w:id="315" w:name="_Toc508804013"/>
      <w:bookmarkStart w:id="316" w:name="_Toc30714"/>
      <w:bookmarkStart w:id="317" w:name="_Toc14795"/>
      <w:bookmarkStart w:id="318" w:name="_Toc27554"/>
      <w:r>
        <w:rPr>
          <w:rFonts w:hint="eastAsia" w:ascii="宋体" w:hAnsi="宋体" w:cs="楷体"/>
          <w:color w:val="auto"/>
          <w:kern w:val="2"/>
          <w:sz w:val="21"/>
          <w:szCs w:val="21"/>
          <w:highlight w:val="none"/>
        </w:rPr>
        <w:t>7.4 定标</w:t>
      </w:r>
      <w:bookmarkEnd w:id="313"/>
      <w:bookmarkEnd w:id="314"/>
      <w:bookmarkEnd w:id="315"/>
      <w:bookmarkEnd w:id="316"/>
      <w:bookmarkEnd w:id="317"/>
      <w:bookmarkEnd w:id="318"/>
    </w:p>
    <w:p w14:paraId="3927E15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按照供应商须知前附表的规定，采购人或采购人授权的评标委员会依法确定</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w:t>
      </w:r>
    </w:p>
    <w:p w14:paraId="67E0765A">
      <w:pPr>
        <w:pStyle w:val="12"/>
        <w:spacing w:before="156" w:beforeLines="50" w:after="0" w:line="240" w:lineRule="auto"/>
        <w:jc w:val="left"/>
        <w:rPr>
          <w:rFonts w:ascii="宋体" w:hAnsi="宋体" w:cs="楷体"/>
          <w:color w:val="auto"/>
          <w:kern w:val="2"/>
          <w:sz w:val="21"/>
          <w:szCs w:val="21"/>
          <w:highlight w:val="none"/>
        </w:rPr>
      </w:pPr>
      <w:bookmarkStart w:id="319" w:name="_Toc31277"/>
      <w:bookmarkStart w:id="320" w:name="_Toc27250"/>
      <w:bookmarkStart w:id="321" w:name="_Toc508804014"/>
      <w:bookmarkStart w:id="322" w:name="_Toc30524"/>
      <w:bookmarkStart w:id="323" w:name="_Toc25395"/>
      <w:bookmarkStart w:id="324" w:name="_Toc23171"/>
      <w:r>
        <w:rPr>
          <w:rFonts w:hint="eastAsia" w:ascii="宋体" w:hAnsi="宋体" w:cs="楷体"/>
          <w:color w:val="auto"/>
          <w:kern w:val="2"/>
          <w:sz w:val="21"/>
          <w:szCs w:val="21"/>
          <w:highlight w:val="none"/>
        </w:rPr>
        <w:t>7.5 中标通知</w:t>
      </w:r>
      <w:bookmarkEnd w:id="319"/>
      <w:bookmarkEnd w:id="320"/>
      <w:bookmarkEnd w:id="321"/>
      <w:bookmarkEnd w:id="322"/>
      <w:bookmarkEnd w:id="323"/>
      <w:bookmarkEnd w:id="324"/>
    </w:p>
    <w:p w14:paraId="2E1394A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在本章第3.3款规定的投标有效期内，采购人以书面形式向</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发出</w:t>
      </w:r>
      <w:r>
        <w:rPr>
          <w:rFonts w:hint="eastAsia" w:ascii="宋体" w:hAnsi="宋体" w:cs="楷体"/>
          <w:color w:val="auto"/>
          <w:szCs w:val="21"/>
          <w:highlight w:val="none"/>
          <w:lang w:val="en-US" w:eastAsia="zh-CN"/>
        </w:rPr>
        <w:t>成交</w:t>
      </w:r>
      <w:r>
        <w:rPr>
          <w:rFonts w:hint="eastAsia" w:ascii="宋体" w:hAnsi="宋体" w:cs="楷体"/>
          <w:color w:val="auto"/>
          <w:szCs w:val="21"/>
          <w:highlight w:val="none"/>
        </w:rPr>
        <w:t>通知书，同时将中标结果通知未中标的供应商。</w:t>
      </w:r>
    </w:p>
    <w:p w14:paraId="3A99120D">
      <w:pPr>
        <w:pStyle w:val="12"/>
        <w:spacing w:before="156" w:beforeLines="50" w:after="0" w:line="240" w:lineRule="auto"/>
        <w:jc w:val="left"/>
        <w:rPr>
          <w:rFonts w:ascii="宋体" w:hAnsi="宋体" w:cs="楷体"/>
          <w:color w:val="auto"/>
          <w:kern w:val="2"/>
          <w:sz w:val="21"/>
          <w:szCs w:val="21"/>
          <w:highlight w:val="none"/>
        </w:rPr>
      </w:pPr>
      <w:bookmarkStart w:id="325" w:name="_Toc17382"/>
      <w:bookmarkStart w:id="326" w:name="_Toc31976"/>
      <w:bookmarkStart w:id="327" w:name="_Toc8416"/>
      <w:bookmarkStart w:id="328" w:name="_Toc508804015"/>
      <w:bookmarkStart w:id="329" w:name="_Toc8187"/>
      <w:bookmarkStart w:id="330" w:name="_Toc3262"/>
      <w:r>
        <w:rPr>
          <w:rFonts w:hint="eastAsia" w:ascii="宋体" w:hAnsi="宋体" w:cs="楷体"/>
          <w:color w:val="auto"/>
          <w:kern w:val="2"/>
          <w:sz w:val="21"/>
          <w:szCs w:val="21"/>
          <w:highlight w:val="none"/>
        </w:rPr>
        <w:t>7.6 履约保证金</w:t>
      </w:r>
      <w:bookmarkEnd w:id="325"/>
      <w:bookmarkEnd w:id="326"/>
      <w:bookmarkEnd w:id="327"/>
      <w:bookmarkEnd w:id="328"/>
      <w:bookmarkEnd w:id="329"/>
      <w:bookmarkEnd w:id="330"/>
    </w:p>
    <w:p w14:paraId="50EFF56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7.6.1 在签订合同前，</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应按供应商须知前附表规定的形式、金额和采购文件第四章“合</w:t>
      </w:r>
      <w:bookmarkStart w:id="331" w:name="page31"/>
      <w:bookmarkEnd w:id="331"/>
      <w:r>
        <w:rPr>
          <w:rFonts w:hint="eastAsia" w:ascii="宋体" w:hAnsi="宋体" w:cs="楷体"/>
          <w:color w:val="auto"/>
          <w:szCs w:val="21"/>
          <w:highlight w:val="none"/>
        </w:rPr>
        <w:t>同条款及格式”规定的或者事先经过采购人书面认可的履约保证金格式向采购人提交履约保证金。除供应商须知前附表另有规定外，履约保证金为中标金额的10%。联合体中标的，其履约保证金以联合体各方或者联合体中牵头人的名义提交。</w:t>
      </w:r>
    </w:p>
    <w:p w14:paraId="0431A04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 xml:space="preserve">7.6.2 </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不能按本章第7.6.1项要求提交履约保证金的，视为放弃中标，其投标保证金不予退还，给采购人造成的损失超过投标保证金数额的，</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还应当对超过部分予以赔偿。</w:t>
      </w:r>
    </w:p>
    <w:p w14:paraId="6AB05558">
      <w:pPr>
        <w:pStyle w:val="12"/>
        <w:spacing w:before="156" w:beforeLines="50" w:after="0" w:line="240" w:lineRule="auto"/>
        <w:jc w:val="left"/>
        <w:rPr>
          <w:rFonts w:ascii="宋体" w:hAnsi="宋体" w:cs="楷体"/>
          <w:color w:val="auto"/>
          <w:kern w:val="2"/>
          <w:sz w:val="21"/>
          <w:szCs w:val="21"/>
          <w:highlight w:val="none"/>
        </w:rPr>
      </w:pPr>
      <w:bookmarkStart w:id="332" w:name="_Toc7682"/>
      <w:bookmarkStart w:id="333" w:name="_Toc8982"/>
      <w:bookmarkStart w:id="334" w:name="_Toc508804016"/>
      <w:bookmarkStart w:id="335" w:name="_Toc31377"/>
      <w:bookmarkStart w:id="336" w:name="_Toc29776"/>
      <w:bookmarkStart w:id="337" w:name="_Toc32729"/>
      <w:r>
        <w:rPr>
          <w:rFonts w:hint="eastAsia" w:ascii="宋体" w:hAnsi="宋体" w:cs="楷体"/>
          <w:color w:val="auto"/>
          <w:kern w:val="2"/>
          <w:sz w:val="21"/>
          <w:szCs w:val="21"/>
          <w:highlight w:val="none"/>
        </w:rPr>
        <w:t>7.7 签订合同</w:t>
      </w:r>
      <w:bookmarkEnd w:id="332"/>
      <w:bookmarkEnd w:id="333"/>
      <w:bookmarkEnd w:id="334"/>
      <w:bookmarkEnd w:id="335"/>
      <w:bookmarkEnd w:id="336"/>
      <w:bookmarkEnd w:id="337"/>
    </w:p>
    <w:p w14:paraId="55988E7A">
      <w:pPr>
        <w:keepNext w:val="0"/>
        <w:keepLines w:val="0"/>
        <w:pageBreakBefore w:val="0"/>
        <w:widowControl w:val="0"/>
        <w:kinsoku/>
        <w:wordWrap/>
        <w:overflowPunct/>
        <w:topLinePunct w:val="0"/>
        <w:bidi w:val="0"/>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7.7.1 采购人和</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应当在中标通知书发出之日起30日内，根据采购文件和</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的</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订立书面合同。</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无正当理由拒签合同，在签订合同时向采购人提出附加条件，或者不按照采购文件要求提交履约保证金的，采购人有权取消其中标资格，其投标保证金不予退还；给采购人造成的损失超过投标保证金数额的，</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还应当对超过部分予以赔偿。</w:t>
      </w:r>
    </w:p>
    <w:p w14:paraId="450E51DB">
      <w:pPr>
        <w:keepNext w:val="0"/>
        <w:keepLines w:val="0"/>
        <w:pageBreakBefore w:val="0"/>
        <w:widowControl w:val="0"/>
        <w:kinsoku/>
        <w:wordWrap/>
        <w:overflowPunct/>
        <w:topLinePunct w:val="0"/>
        <w:bidi w:val="0"/>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7.7.2 发出中标通知书后，采购人无正当理由拒签合同，或者在签订合同时向</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提出附加条件的，采购人向</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退还投标保证金；给</w:t>
      </w:r>
      <w:r>
        <w:rPr>
          <w:rFonts w:hint="eastAsia" w:ascii="宋体" w:hAnsi="宋体" w:cs="楷体"/>
          <w:color w:val="auto"/>
          <w:kern w:val="2"/>
          <w:sz w:val="21"/>
          <w:szCs w:val="21"/>
          <w:highlight w:val="none"/>
          <w:lang w:val="en-US" w:eastAsia="zh-CN"/>
        </w:rPr>
        <w:t>成交商</w:t>
      </w:r>
      <w:r>
        <w:rPr>
          <w:rFonts w:hint="eastAsia" w:ascii="宋体" w:hAnsi="宋体" w:cs="楷体"/>
          <w:color w:val="auto"/>
          <w:szCs w:val="21"/>
          <w:highlight w:val="none"/>
        </w:rPr>
        <w:t>造成损失的，还应当赔偿损失。</w:t>
      </w:r>
    </w:p>
    <w:p w14:paraId="45E5EB9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楷体"/>
          <w:color w:val="auto"/>
          <w:kern w:val="0"/>
          <w:szCs w:val="21"/>
          <w:highlight w:val="none"/>
        </w:rPr>
      </w:pPr>
      <w:r>
        <w:rPr>
          <w:rFonts w:hint="eastAsia" w:ascii="宋体" w:hAnsi="宋体" w:cs="楷体"/>
          <w:color w:val="auto"/>
          <w:szCs w:val="21"/>
          <w:highlight w:val="none"/>
        </w:rPr>
        <w:t>7.7.3 联合体中标的，联合体各方应当共同与采购人签订合同，就中标项目向采购人承担连带责任。</w:t>
      </w:r>
      <w:bookmarkEnd w:id="294"/>
      <w:bookmarkEnd w:id="295"/>
      <w:bookmarkEnd w:id="296"/>
      <w:bookmarkEnd w:id="297"/>
      <w:bookmarkEnd w:id="298"/>
      <w:bookmarkEnd w:id="299"/>
      <w:bookmarkEnd w:id="300"/>
      <w:bookmarkStart w:id="338" w:name="_Toc223580622"/>
      <w:bookmarkStart w:id="339" w:name="_Toc201719108"/>
    </w:p>
    <w:p w14:paraId="0470B588">
      <w:pPr>
        <w:pStyle w:val="16"/>
        <w:rPr>
          <w:rFonts w:hint="eastAsia" w:ascii="宋体" w:hAnsi="宋体" w:cs="楷体"/>
          <w:color w:val="auto"/>
          <w:sz w:val="28"/>
          <w:highlight w:val="none"/>
        </w:rPr>
      </w:pPr>
      <w:bookmarkStart w:id="340" w:name="_Toc29676"/>
      <w:bookmarkStart w:id="341" w:name="_Toc471822570"/>
      <w:bookmarkStart w:id="342" w:name="_Toc7868"/>
      <w:bookmarkStart w:id="343" w:name="_Toc29975"/>
      <w:bookmarkStart w:id="344" w:name="_Toc28043"/>
      <w:bookmarkStart w:id="345" w:name="_Toc406417362"/>
      <w:bookmarkStart w:id="346" w:name="_Toc13532"/>
      <w:bookmarkStart w:id="347" w:name="_Toc471822513"/>
      <w:r>
        <w:rPr>
          <w:rFonts w:hint="eastAsia" w:ascii="宋体" w:hAnsi="宋体" w:cs="楷体"/>
          <w:color w:val="auto"/>
          <w:sz w:val="28"/>
          <w:highlight w:val="none"/>
        </w:rPr>
        <w:t>8.重新招标</w:t>
      </w:r>
    </w:p>
    <w:p w14:paraId="274DDA98">
      <w:pPr>
        <w:pStyle w:val="16"/>
        <w:ind w:left="0" w:lef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有下列情形之一的，采购人将重新招标：</w:t>
      </w:r>
    </w:p>
    <w:p w14:paraId="558C37B6">
      <w:pPr>
        <w:pStyle w:val="16"/>
        <w:ind w:left="0" w:leftChars="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(1)投标截止时间止，供应商少于3个的；</w:t>
      </w:r>
    </w:p>
    <w:p w14:paraId="641176E1">
      <w:pPr>
        <w:pStyle w:val="16"/>
        <w:ind w:left="0" w:leftChars="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(2)经评标委员会评审后进入到详细评审的有效供应商少于3个的；</w:t>
      </w:r>
    </w:p>
    <w:p w14:paraId="44EDD3BE">
      <w:pPr>
        <w:pStyle w:val="16"/>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(3)经评标委员会评审后否决所有投标的。</w:t>
      </w:r>
    </w:p>
    <w:p w14:paraId="7311C4AE">
      <w:pPr>
        <w:pStyle w:val="16"/>
        <w:rPr>
          <w:rFonts w:hint="eastAsia" w:ascii="宋体" w:hAnsi="宋体" w:cs="楷体"/>
          <w:color w:val="auto"/>
          <w:sz w:val="28"/>
          <w:highlight w:val="none"/>
          <w:lang w:val="zh-CN"/>
        </w:rPr>
      </w:pPr>
      <w:r>
        <w:rPr>
          <w:rFonts w:hint="eastAsia" w:ascii="宋体" w:hAnsi="宋体" w:cs="楷体"/>
          <w:color w:val="auto"/>
          <w:sz w:val="28"/>
          <w:highlight w:val="none"/>
          <w:lang w:val="en-US" w:eastAsia="zh-CN"/>
        </w:rPr>
        <w:t>9</w:t>
      </w:r>
      <w:r>
        <w:rPr>
          <w:rFonts w:hint="eastAsia" w:ascii="宋体" w:hAnsi="宋体" w:cs="楷体"/>
          <w:color w:val="auto"/>
          <w:sz w:val="28"/>
          <w:highlight w:val="none"/>
          <w:lang w:val="zh-CN"/>
        </w:rPr>
        <w:t>.纪律和监督</w:t>
      </w:r>
      <w:bookmarkEnd w:id="338"/>
      <w:bookmarkEnd w:id="339"/>
      <w:bookmarkEnd w:id="340"/>
      <w:bookmarkEnd w:id="341"/>
      <w:bookmarkEnd w:id="342"/>
      <w:bookmarkEnd w:id="343"/>
      <w:bookmarkEnd w:id="344"/>
      <w:bookmarkEnd w:id="345"/>
      <w:bookmarkEnd w:id="346"/>
      <w:bookmarkEnd w:id="347"/>
    </w:p>
    <w:p w14:paraId="45578BEA">
      <w:pPr>
        <w:pStyle w:val="12"/>
        <w:spacing w:before="156" w:beforeLines="50" w:after="0" w:line="240" w:lineRule="auto"/>
        <w:jc w:val="left"/>
        <w:rPr>
          <w:rFonts w:ascii="宋体" w:hAnsi="宋体" w:cs="楷体"/>
          <w:color w:val="auto"/>
          <w:kern w:val="2"/>
          <w:sz w:val="21"/>
          <w:szCs w:val="21"/>
          <w:highlight w:val="none"/>
        </w:rPr>
      </w:pPr>
      <w:bookmarkStart w:id="348" w:name="_Toc15481"/>
      <w:bookmarkStart w:id="349" w:name="_Toc28310"/>
      <w:bookmarkStart w:id="350" w:name="_Toc19567"/>
      <w:bookmarkStart w:id="351" w:name="_Toc12149"/>
      <w:bookmarkStart w:id="352" w:name="_Toc24113"/>
      <w:bookmarkStart w:id="353" w:name="_Toc508804018"/>
      <w:r>
        <w:rPr>
          <w:rFonts w:hint="eastAsia" w:ascii="宋体" w:hAnsi="宋体" w:cs="楷体"/>
          <w:color w:val="auto"/>
          <w:kern w:val="2"/>
          <w:sz w:val="21"/>
          <w:szCs w:val="21"/>
          <w:highlight w:val="none"/>
          <w:lang w:val="en-US" w:eastAsia="zh-CN"/>
        </w:rPr>
        <w:t>9</w:t>
      </w:r>
      <w:r>
        <w:rPr>
          <w:rFonts w:hint="eastAsia" w:ascii="宋体" w:hAnsi="宋体" w:cs="楷体"/>
          <w:color w:val="auto"/>
          <w:kern w:val="2"/>
          <w:sz w:val="21"/>
          <w:szCs w:val="21"/>
          <w:highlight w:val="none"/>
        </w:rPr>
        <w:t>.1 对采购人的纪律要求</w:t>
      </w:r>
      <w:bookmarkEnd w:id="348"/>
      <w:bookmarkEnd w:id="349"/>
      <w:bookmarkEnd w:id="350"/>
      <w:bookmarkEnd w:id="351"/>
      <w:bookmarkEnd w:id="352"/>
      <w:bookmarkEnd w:id="353"/>
    </w:p>
    <w:p w14:paraId="5CFF89E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采购人不得泄露招标投标活动中应当保密的情况和资料，不得与供应商串通损害国家利益、社会公共利益或者他人合法权益。</w:t>
      </w:r>
    </w:p>
    <w:p w14:paraId="08050376">
      <w:pPr>
        <w:pStyle w:val="12"/>
        <w:spacing w:before="156" w:beforeLines="50" w:after="0" w:line="240" w:lineRule="auto"/>
        <w:jc w:val="left"/>
        <w:rPr>
          <w:rFonts w:ascii="宋体" w:hAnsi="宋体" w:cs="楷体"/>
          <w:color w:val="auto"/>
          <w:kern w:val="2"/>
          <w:sz w:val="21"/>
          <w:szCs w:val="21"/>
          <w:highlight w:val="none"/>
        </w:rPr>
      </w:pPr>
      <w:bookmarkStart w:id="354" w:name="_Toc6287"/>
      <w:bookmarkStart w:id="355" w:name="_Toc24295"/>
      <w:bookmarkStart w:id="356" w:name="_Toc508804019"/>
      <w:bookmarkStart w:id="357" w:name="_Toc30199"/>
      <w:bookmarkStart w:id="358" w:name="_Toc11515"/>
      <w:bookmarkStart w:id="359" w:name="_Toc12397"/>
      <w:r>
        <w:rPr>
          <w:rFonts w:hint="eastAsia" w:ascii="宋体" w:hAnsi="宋体" w:cs="楷体"/>
          <w:color w:val="auto"/>
          <w:kern w:val="2"/>
          <w:sz w:val="21"/>
          <w:szCs w:val="21"/>
          <w:highlight w:val="none"/>
          <w:lang w:val="en-US" w:eastAsia="zh-CN"/>
        </w:rPr>
        <w:t>9</w:t>
      </w:r>
      <w:r>
        <w:rPr>
          <w:rFonts w:hint="eastAsia" w:ascii="宋体" w:hAnsi="宋体" w:cs="楷体"/>
          <w:color w:val="auto"/>
          <w:kern w:val="2"/>
          <w:sz w:val="21"/>
          <w:szCs w:val="21"/>
          <w:highlight w:val="none"/>
        </w:rPr>
        <w:t>.2 对供应商的纪律要求</w:t>
      </w:r>
      <w:bookmarkEnd w:id="354"/>
      <w:bookmarkEnd w:id="355"/>
      <w:bookmarkEnd w:id="356"/>
      <w:bookmarkEnd w:id="357"/>
      <w:bookmarkEnd w:id="358"/>
      <w:bookmarkEnd w:id="359"/>
    </w:p>
    <w:p w14:paraId="502C5A9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3EA213AF">
      <w:pPr>
        <w:pStyle w:val="12"/>
        <w:spacing w:before="156" w:beforeLines="50" w:after="0" w:line="240" w:lineRule="auto"/>
        <w:jc w:val="left"/>
        <w:rPr>
          <w:rFonts w:ascii="宋体" w:hAnsi="宋体" w:cs="楷体"/>
          <w:color w:val="auto"/>
          <w:kern w:val="2"/>
          <w:sz w:val="21"/>
          <w:szCs w:val="21"/>
          <w:highlight w:val="none"/>
        </w:rPr>
      </w:pPr>
      <w:bookmarkStart w:id="360" w:name="_Toc27643"/>
      <w:bookmarkStart w:id="361" w:name="_Toc23798"/>
      <w:bookmarkStart w:id="362" w:name="_Toc30089"/>
      <w:bookmarkStart w:id="363" w:name="_Toc4254"/>
      <w:bookmarkStart w:id="364" w:name="_Toc24621"/>
      <w:bookmarkStart w:id="365" w:name="_Toc508804020"/>
      <w:r>
        <w:rPr>
          <w:rFonts w:hint="eastAsia" w:ascii="宋体" w:hAnsi="宋体" w:cs="楷体"/>
          <w:color w:val="auto"/>
          <w:kern w:val="2"/>
          <w:sz w:val="21"/>
          <w:szCs w:val="21"/>
          <w:highlight w:val="none"/>
          <w:lang w:val="en-US" w:eastAsia="zh-CN"/>
        </w:rPr>
        <w:t>9</w:t>
      </w:r>
      <w:r>
        <w:rPr>
          <w:rFonts w:hint="eastAsia" w:ascii="宋体" w:hAnsi="宋体" w:cs="楷体"/>
          <w:color w:val="auto"/>
          <w:kern w:val="2"/>
          <w:sz w:val="21"/>
          <w:szCs w:val="21"/>
          <w:highlight w:val="none"/>
        </w:rPr>
        <w:t>.3 对评标委员会成员的纪律要求</w:t>
      </w:r>
      <w:bookmarkEnd w:id="360"/>
      <w:bookmarkEnd w:id="361"/>
      <w:bookmarkEnd w:id="362"/>
      <w:bookmarkEnd w:id="363"/>
      <w:bookmarkEnd w:id="364"/>
      <w:bookmarkEnd w:id="365"/>
    </w:p>
    <w:p w14:paraId="06F5D3E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评标委员会成员不得收受他人的财物或者其他好处，不得向他人透露对</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的评审和比较、中标</w:t>
      </w:r>
      <w:r>
        <w:rPr>
          <w:rFonts w:hint="eastAsia" w:ascii="宋体" w:hAnsi="宋体" w:cs="楷体"/>
          <w:color w:val="auto"/>
          <w:szCs w:val="21"/>
          <w:highlight w:val="none"/>
          <w:lang w:val="en-US" w:eastAsia="zh-CN"/>
        </w:rPr>
        <w:t>结果</w:t>
      </w:r>
      <w:r>
        <w:rPr>
          <w:rFonts w:hint="eastAsia" w:ascii="宋体" w:hAnsi="宋体" w:cs="楷体"/>
          <w:color w:val="auto"/>
          <w:szCs w:val="21"/>
          <w:highlight w:val="none"/>
        </w:rPr>
        <w:t>情况以及评标有关的其他情况。在评标活动中，评标委员会成员应当客观、公正地履行职责，遵守职业道德，不得擅离职守，影响评标程序正常进行，不得使用第</w:t>
      </w:r>
      <w:bookmarkStart w:id="366" w:name="page32"/>
      <w:bookmarkEnd w:id="366"/>
      <w:r>
        <w:rPr>
          <w:rFonts w:hint="eastAsia" w:ascii="宋体" w:hAnsi="宋体" w:cs="楷体"/>
          <w:color w:val="auto"/>
          <w:szCs w:val="21"/>
          <w:highlight w:val="none"/>
        </w:rPr>
        <w:t>三章“评标办法”没有规定的评审因素和标准进行评标。</w:t>
      </w:r>
    </w:p>
    <w:p w14:paraId="1DA5A93D">
      <w:pPr>
        <w:pStyle w:val="12"/>
        <w:spacing w:before="156" w:beforeLines="50" w:after="0" w:line="240" w:lineRule="auto"/>
        <w:jc w:val="left"/>
        <w:rPr>
          <w:rFonts w:ascii="宋体" w:hAnsi="宋体" w:cs="楷体"/>
          <w:color w:val="auto"/>
          <w:kern w:val="2"/>
          <w:sz w:val="21"/>
          <w:szCs w:val="21"/>
          <w:highlight w:val="none"/>
        </w:rPr>
      </w:pPr>
      <w:bookmarkStart w:id="367" w:name="_Toc8529"/>
      <w:bookmarkStart w:id="368" w:name="_Toc11470"/>
      <w:bookmarkStart w:id="369" w:name="_Toc24072"/>
      <w:bookmarkStart w:id="370" w:name="_Toc13293"/>
      <w:bookmarkStart w:id="371" w:name="_Toc508804021"/>
      <w:bookmarkStart w:id="372" w:name="_Toc1738"/>
      <w:r>
        <w:rPr>
          <w:rFonts w:hint="eastAsia" w:ascii="宋体" w:hAnsi="宋体" w:cs="楷体"/>
          <w:color w:val="auto"/>
          <w:kern w:val="2"/>
          <w:sz w:val="21"/>
          <w:szCs w:val="21"/>
          <w:highlight w:val="none"/>
          <w:lang w:val="en-US" w:eastAsia="zh-CN"/>
        </w:rPr>
        <w:t>9</w:t>
      </w:r>
      <w:r>
        <w:rPr>
          <w:rFonts w:hint="eastAsia" w:ascii="宋体" w:hAnsi="宋体" w:cs="楷体"/>
          <w:color w:val="auto"/>
          <w:kern w:val="2"/>
          <w:sz w:val="21"/>
          <w:szCs w:val="21"/>
          <w:highlight w:val="none"/>
        </w:rPr>
        <w:t>.4 对与评标活动有关的工作人员的纪律要求</w:t>
      </w:r>
      <w:bookmarkEnd w:id="367"/>
      <w:bookmarkEnd w:id="368"/>
      <w:bookmarkEnd w:id="369"/>
      <w:bookmarkEnd w:id="370"/>
      <w:bookmarkEnd w:id="371"/>
      <w:bookmarkEnd w:id="372"/>
    </w:p>
    <w:p w14:paraId="45531F7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rPr>
        <w:t>与评标活动有关的工作人员不得收受他人的财物或者其他好处，不得向他人透露对采购文件的评审和比较、中标</w:t>
      </w:r>
      <w:r>
        <w:rPr>
          <w:rFonts w:hint="eastAsia" w:ascii="宋体" w:hAnsi="宋体" w:cs="楷体"/>
          <w:color w:val="auto"/>
          <w:szCs w:val="21"/>
          <w:highlight w:val="none"/>
          <w:lang w:val="en-US" w:eastAsia="zh-CN"/>
        </w:rPr>
        <w:t>结果</w:t>
      </w:r>
      <w:r>
        <w:rPr>
          <w:rFonts w:hint="eastAsia" w:ascii="宋体" w:hAnsi="宋体" w:cs="楷体"/>
          <w:color w:val="auto"/>
          <w:szCs w:val="21"/>
          <w:highlight w:val="none"/>
        </w:rPr>
        <w:t>情况以及评标有关的其他情况。在评标活动中，与评标活动有关的工作人员不得擅离职守，影响评标程序正常进行。</w:t>
      </w:r>
    </w:p>
    <w:p w14:paraId="20A7B1E3">
      <w:pPr>
        <w:pStyle w:val="12"/>
        <w:spacing w:before="156" w:beforeLines="50" w:after="0" w:line="240" w:lineRule="auto"/>
        <w:jc w:val="left"/>
        <w:rPr>
          <w:rFonts w:ascii="宋体" w:hAnsi="宋体" w:cs="楷体"/>
          <w:color w:val="auto"/>
          <w:kern w:val="2"/>
          <w:sz w:val="21"/>
          <w:szCs w:val="21"/>
          <w:highlight w:val="none"/>
        </w:rPr>
      </w:pPr>
      <w:bookmarkStart w:id="373" w:name="_Toc10828"/>
      <w:bookmarkStart w:id="374" w:name="_Toc12559"/>
      <w:bookmarkStart w:id="375" w:name="_Toc30407"/>
      <w:bookmarkStart w:id="376" w:name="_Toc21154"/>
      <w:bookmarkStart w:id="377" w:name="_Toc7240"/>
      <w:bookmarkStart w:id="378" w:name="_Toc508804022"/>
      <w:r>
        <w:rPr>
          <w:rFonts w:hint="eastAsia" w:ascii="宋体" w:hAnsi="宋体" w:cs="楷体"/>
          <w:color w:val="auto"/>
          <w:kern w:val="2"/>
          <w:sz w:val="21"/>
          <w:szCs w:val="21"/>
          <w:highlight w:val="none"/>
          <w:lang w:val="en-US" w:eastAsia="zh-CN"/>
        </w:rPr>
        <w:t>9</w:t>
      </w:r>
      <w:r>
        <w:rPr>
          <w:rFonts w:hint="eastAsia" w:ascii="宋体" w:hAnsi="宋体" w:cs="楷体"/>
          <w:color w:val="auto"/>
          <w:kern w:val="2"/>
          <w:sz w:val="21"/>
          <w:szCs w:val="21"/>
          <w:highlight w:val="none"/>
        </w:rPr>
        <w:t>.5 投诉</w:t>
      </w:r>
      <w:bookmarkEnd w:id="373"/>
      <w:bookmarkEnd w:id="374"/>
      <w:bookmarkEnd w:id="375"/>
      <w:bookmarkEnd w:id="376"/>
      <w:bookmarkEnd w:id="377"/>
      <w:bookmarkEnd w:id="378"/>
    </w:p>
    <w:p w14:paraId="77D1F2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楷体"/>
          <w:color w:val="auto"/>
          <w:szCs w:val="21"/>
          <w:highlight w:val="none"/>
        </w:rPr>
      </w:pPr>
      <w:r>
        <w:rPr>
          <w:rFonts w:hint="eastAsia" w:ascii="宋体" w:hAnsi="宋体" w:cs="宋体"/>
          <w:bCs/>
          <w:sz w:val="21"/>
          <w:szCs w:val="21"/>
          <w:highlight w:val="none"/>
          <w:lang w:val="en-US" w:eastAsia="zh-CN"/>
        </w:rPr>
        <w:t>供应商</w:t>
      </w:r>
      <w:r>
        <w:rPr>
          <w:rFonts w:hint="eastAsia" w:ascii="宋体" w:hAnsi="宋体" w:cs="楷体"/>
          <w:color w:val="auto"/>
          <w:szCs w:val="21"/>
          <w:highlight w:val="none"/>
        </w:rPr>
        <w:t>和其他利害关系人认为本次采购活动违反法律、法规和规章规定的，有权向有关行政监督部门投诉。</w:t>
      </w:r>
    </w:p>
    <w:p w14:paraId="17EB05BF">
      <w:pPr>
        <w:pStyle w:val="16"/>
        <w:rPr>
          <w:rFonts w:hint="eastAsia" w:ascii="宋体" w:hAnsi="宋体" w:cs="楷体"/>
          <w:color w:val="auto"/>
          <w:sz w:val="28"/>
          <w:highlight w:val="none"/>
        </w:rPr>
      </w:pPr>
      <w:bookmarkStart w:id="379" w:name="_Toc28862"/>
      <w:bookmarkStart w:id="380" w:name="_Toc471822514"/>
      <w:bookmarkStart w:id="381" w:name="_Toc20307"/>
      <w:bookmarkStart w:id="382" w:name="_Toc9618"/>
      <w:bookmarkStart w:id="383" w:name="_Toc1423"/>
      <w:bookmarkStart w:id="384" w:name="_Toc406417363"/>
      <w:bookmarkStart w:id="385" w:name="_Toc471822571"/>
      <w:bookmarkStart w:id="386" w:name="_Toc201719114"/>
      <w:bookmarkStart w:id="387" w:name="_Toc10473"/>
      <w:bookmarkStart w:id="388" w:name="_Toc223580628"/>
      <w:r>
        <w:rPr>
          <w:rFonts w:hint="eastAsia" w:ascii="宋体" w:hAnsi="宋体" w:cs="楷体"/>
          <w:color w:val="auto"/>
          <w:sz w:val="28"/>
          <w:szCs w:val="28"/>
          <w:highlight w:val="none"/>
          <w:lang w:val="zh-CN"/>
        </w:rPr>
        <w:t>1</w:t>
      </w:r>
      <w:r>
        <w:rPr>
          <w:rFonts w:hint="eastAsia" w:ascii="宋体" w:hAnsi="宋体" w:cs="楷体"/>
          <w:color w:val="auto"/>
          <w:sz w:val="28"/>
          <w:highlight w:val="none"/>
        </w:rPr>
        <w:t>0.需要补充的其他内容</w:t>
      </w:r>
      <w:bookmarkEnd w:id="379"/>
      <w:bookmarkEnd w:id="380"/>
      <w:bookmarkEnd w:id="381"/>
      <w:bookmarkEnd w:id="382"/>
      <w:bookmarkEnd w:id="383"/>
      <w:bookmarkEnd w:id="384"/>
      <w:bookmarkEnd w:id="385"/>
      <w:bookmarkEnd w:id="386"/>
      <w:bookmarkEnd w:id="387"/>
      <w:bookmarkEnd w:id="388"/>
    </w:p>
    <w:p w14:paraId="78AB105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r>
        <w:rPr>
          <w:rFonts w:hint="eastAsia" w:ascii="宋体" w:hAnsi="宋体" w:cs="楷体"/>
          <w:color w:val="auto"/>
          <w:szCs w:val="21"/>
          <w:highlight w:val="none"/>
          <w:lang w:val="zh-CN"/>
        </w:rPr>
        <w:t>需要补充的其他内容：见供应商须知前附表。</w:t>
      </w:r>
    </w:p>
    <w:p w14:paraId="57F99F0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p>
    <w:p w14:paraId="20BF52E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p>
    <w:p w14:paraId="273A824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p>
    <w:p w14:paraId="68E457B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p>
    <w:p w14:paraId="76A816E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楷体"/>
          <w:color w:val="auto"/>
          <w:szCs w:val="21"/>
          <w:highlight w:val="none"/>
          <w:lang w:val="zh-CN"/>
        </w:rPr>
      </w:pPr>
    </w:p>
    <w:p w14:paraId="1CA38F7B">
      <w:pPr>
        <w:pStyle w:val="2"/>
        <w:numPr>
          <w:ilvl w:val="0"/>
          <w:numId w:val="0"/>
        </w:numPr>
        <w:spacing w:line="360" w:lineRule="auto"/>
        <w:jc w:val="center"/>
        <w:rPr>
          <w:rFonts w:ascii="宋体" w:hAnsi="宋体"/>
          <w:color w:val="auto"/>
          <w:kern w:val="0"/>
          <w:sz w:val="32"/>
          <w:szCs w:val="32"/>
          <w:highlight w:val="none"/>
        </w:rPr>
      </w:pPr>
      <w:bookmarkStart w:id="389" w:name="_Toc24755"/>
      <w:r>
        <w:rPr>
          <w:rFonts w:hint="eastAsia" w:ascii="宋体" w:hAnsi="宋体"/>
          <w:color w:val="auto"/>
          <w:sz w:val="32"/>
          <w:szCs w:val="32"/>
          <w:highlight w:val="none"/>
          <w:lang w:val="en-US" w:eastAsia="zh-CN"/>
        </w:rPr>
        <w:t xml:space="preserve">第三章 </w:t>
      </w:r>
      <w:r>
        <w:rPr>
          <w:rFonts w:hint="eastAsia" w:ascii="宋体" w:hAnsi="宋体"/>
          <w:color w:val="auto"/>
          <w:sz w:val="32"/>
          <w:szCs w:val="32"/>
          <w:highlight w:val="none"/>
        </w:rPr>
        <w:t>评标办法</w:t>
      </w:r>
      <w:bookmarkEnd w:id="389"/>
    </w:p>
    <w:p w14:paraId="4AC72331">
      <w:pPr>
        <w:jc w:val="center"/>
        <w:rPr>
          <w:rFonts w:hint="eastAsia" w:ascii="宋体" w:hAnsi="宋体"/>
          <w:b/>
          <w:color w:val="auto"/>
          <w:sz w:val="24"/>
          <w:szCs w:val="16"/>
          <w:highlight w:val="none"/>
        </w:rPr>
      </w:pPr>
      <w:r>
        <w:rPr>
          <w:rFonts w:hint="eastAsia" w:ascii="宋体" w:hAnsi="宋体"/>
          <w:b/>
          <w:color w:val="auto"/>
          <w:sz w:val="24"/>
          <w:szCs w:val="16"/>
          <w:highlight w:val="none"/>
        </w:rPr>
        <w:t>评标办法前附表</w:t>
      </w:r>
    </w:p>
    <w:p w14:paraId="63ED593C">
      <w:pPr>
        <w:jc w:val="both"/>
        <w:rPr>
          <w:rFonts w:hint="eastAsia" w:ascii="宋体" w:hAnsi="宋体" w:eastAsia="宋体" w:cs="宋体"/>
          <w:color w:val="auto"/>
          <w:sz w:val="21"/>
          <w:szCs w:val="21"/>
          <w:highlight w:val="none"/>
          <w:lang w:eastAsia="zh-CN"/>
        </w:rPr>
      </w:pPr>
      <w:bookmarkStart w:id="390" w:name="_Toc478222605"/>
      <w:r>
        <w:rPr>
          <w:rFonts w:hint="eastAsia" w:ascii="宋体" w:hAnsi="宋体" w:eastAsia="宋体" w:cs="宋体"/>
          <w:b/>
          <w:bCs/>
          <w:sz w:val="21"/>
          <w:szCs w:val="21"/>
          <w:highlight w:val="none"/>
          <w:lang w:val="zh-CN"/>
        </w:rPr>
        <w:t>2.1</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zh-CN"/>
        </w:rPr>
        <w:t>初步评审标准</w:t>
      </w:r>
      <w:bookmarkEnd w:id="390"/>
    </w:p>
    <w:tbl>
      <w:tblPr>
        <w:tblStyle w:val="18"/>
        <w:tblW w:w="104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815"/>
        <w:gridCol w:w="6608"/>
      </w:tblGrid>
      <w:tr w14:paraId="20EF8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blHeader/>
          <w:jc w:val="center"/>
        </w:trPr>
        <w:tc>
          <w:tcPr>
            <w:tcW w:w="1986" w:type="dxa"/>
            <w:gridSpan w:val="2"/>
            <w:tcBorders>
              <w:top w:val="single" w:color="auto" w:sz="4" w:space="0"/>
              <w:bottom w:val="single" w:color="auto" w:sz="4" w:space="0"/>
              <w:right w:val="single" w:color="auto" w:sz="4" w:space="0"/>
            </w:tcBorders>
            <w:noWrap/>
            <w:vAlign w:val="center"/>
          </w:tcPr>
          <w:p w14:paraId="1602F4B6">
            <w:pPr>
              <w:keepNext w:val="0"/>
              <w:keepLines w:val="0"/>
              <w:pageBreakBefore w:val="0"/>
              <w:widowControl w:val="0"/>
              <w:kinsoku/>
              <w:wordWrap/>
              <w:overflowPunct/>
              <w:topLinePunct w:val="0"/>
              <w:bidi w:val="0"/>
              <w:snapToGrid w:val="0"/>
              <w:spacing w:line="288" w:lineRule="auto"/>
              <w:jc w:val="center"/>
              <w:textAlignment w:val="auto"/>
              <w:rPr>
                <w:rFonts w:ascii="宋体" w:hAnsi="宋体"/>
                <w:b/>
                <w:color w:val="auto"/>
                <w:szCs w:val="21"/>
                <w:highlight w:val="none"/>
              </w:rPr>
            </w:pPr>
            <w:r>
              <w:rPr>
                <w:rFonts w:ascii="宋体" w:hAnsi="宋体"/>
                <w:b/>
                <w:color w:val="auto"/>
                <w:szCs w:val="21"/>
                <w:highlight w:val="none"/>
              </w:rPr>
              <w:t>条款号</w:t>
            </w:r>
          </w:p>
        </w:tc>
        <w:tc>
          <w:tcPr>
            <w:tcW w:w="1815" w:type="dxa"/>
            <w:tcBorders>
              <w:top w:val="single" w:color="auto" w:sz="4" w:space="0"/>
              <w:left w:val="single" w:color="auto" w:sz="4" w:space="0"/>
              <w:bottom w:val="single" w:color="auto" w:sz="4" w:space="0"/>
              <w:right w:val="single" w:color="auto" w:sz="4" w:space="0"/>
            </w:tcBorders>
            <w:noWrap/>
            <w:vAlign w:val="center"/>
          </w:tcPr>
          <w:p w14:paraId="4C6D874C">
            <w:pPr>
              <w:keepNext w:val="0"/>
              <w:keepLines w:val="0"/>
              <w:pageBreakBefore w:val="0"/>
              <w:widowControl w:val="0"/>
              <w:kinsoku/>
              <w:wordWrap/>
              <w:overflowPunct/>
              <w:topLinePunct w:val="0"/>
              <w:bidi w:val="0"/>
              <w:snapToGrid w:val="0"/>
              <w:spacing w:line="288" w:lineRule="auto"/>
              <w:jc w:val="center"/>
              <w:textAlignment w:val="auto"/>
              <w:rPr>
                <w:rFonts w:ascii="宋体" w:hAnsi="宋体"/>
                <w:b/>
                <w:color w:val="auto"/>
                <w:szCs w:val="21"/>
                <w:highlight w:val="none"/>
              </w:rPr>
            </w:pPr>
            <w:r>
              <w:rPr>
                <w:rFonts w:ascii="宋体" w:hAnsi="宋体"/>
                <w:b/>
                <w:color w:val="auto"/>
                <w:szCs w:val="21"/>
                <w:highlight w:val="none"/>
              </w:rPr>
              <w:t>评审因素</w:t>
            </w:r>
          </w:p>
        </w:tc>
        <w:tc>
          <w:tcPr>
            <w:tcW w:w="6608" w:type="dxa"/>
            <w:tcBorders>
              <w:top w:val="single" w:color="auto" w:sz="4" w:space="0"/>
              <w:left w:val="single" w:color="auto" w:sz="4" w:space="0"/>
              <w:bottom w:val="single" w:color="auto" w:sz="4" w:space="0"/>
              <w:right w:val="single" w:color="auto" w:sz="4" w:space="0"/>
            </w:tcBorders>
            <w:noWrap/>
            <w:vAlign w:val="center"/>
          </w:tcPr>
          <w:p w14:paraId="3C698FD5">
            <w:pPr>
              <w:keepNext w:val="0"/>
              <w:keepLines w:val="0"/>
              <w:pageBreakBefore w:val="0"/>
              <w:widowControl w:val="0"/>
              <w:kinsoku/>
              <w:wordWrap/>
              <w:overflowPunct/>
              <w:topLinePunct w:val="0"/>
              <w:bidi w:val="0"/>
              <w:snapToGrid w:val="0"/>
              <w:spacing w:line="288" w:lineRule="auto"/>
              <w:jc w:val="center"/>
              <w:textAlignment w:val="auto"/>
              <w:rPr>
                <w:rFonts w:ascii="宋体" w:hAnsi="宋体"/>
                <w:b/>
                <w:color w:val="auto"/>
                <w:szCs w:val="21"/>
                <w:highlight w:val="none"/>
              </w:rPr>
            </w:pPr>
            <w:r>
              <w:rPr>
                <w:rFonts w:ascii="宋体" w:hAnsi="宋体"/>
                <w:b/>
                <w:color w:val="auto"/>
                <w:szCs w:val="21"/>
                <w:highlight w:val="none"/>
              </w:rPr>
              <w:t>评审标准</w:t>
            </w:r>
          </w:p>
        </w:tc>
      </w:tr>
      <w:tr w14:paraId="7A3FF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039F27E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2.1.1</w:t>
            </w:r>
          </w:p>
        </w:tc>
        <w:tc>
          <w:tcPr>
            <w:tcW w:w="1200" w:type="dxa"/>
            <w:vMerge w:val="restart"/>
            <w:tcBorders>
              <w:top w:val="single" w:color="auto" w:sz="4" w:space="0"/>
              <w:bottom w:val="single" w:color="auto" w:sz="4" w:space="0"/>
              <w:right w:val="single" w:color="auto" w:sz="4" w:space="0"/>
            </w:tcBorders>
            <w:noWrap/>
            <w:vAlign w:val="center"/>
          </w:tcPr>
          <w:p w14:paraId="047B957A">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形式评审标准</w:t>
            </w:r>
          </w:p>
        </w:tc>
        <w:tc>
          <w:tcPr>
            <w:tcW w:w="1815" w:type="dxa"/>
            <w:tcBorders>
              <w:top w:val="single" w:color="auto" w:sz="4" w:space="0"/>
              <w:left w:val="single" w:color="auto" w:sz="4" w:space="0"/>
              <w:bottom w:val="single" w:color="auto" w:sz="4" w:space="0"/>
              <w:right w:val="single" w:color="auto" w:sz="4" w:space="0"/>
            </w:tcBorders>
            <w:noWrap/>
            <w:vAlign w:val="center"/>
          </w:tcPr>
          <w:p w14:paraId="519D2FA4">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楷体"/>
                <w:color w:val="auto"/>
                <w:szCs w:val="21"/>
                <w:highlight w:val="none"/>
              </w:rPr>
              <w:t>供应商名称</w:t>
            </w:r>
          </w:p>
        </w:tc>
        <w:tc>
          <w:tcPr>
            <w:tcW w:w="6608" w:type="dxa"/>
            <w:tcBorders>
              <w:top w:val="single" w:color="auto" w:sz="4" w:space="0"/>
              <w:left w:val="single" w:color="auto" w:sz="4" w:space="0"/>
              <w:bottom w:val="single" w:color="auto" w:sz="4" w:space="0"/>
              <w:right w:val="single" w:color="auto" w:sz="4" w:space="0"/>
            </w:tcBorders>
            <w:noWrap/>
            <w:vAlign w:val="center"/>
          </w:tcPr>
          <w:p w14:paraId="32FDA109">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与营业执照</w:t>
            </w:r>
            <w:r>
              <w:rPr>
                <w:rFonts w:hint="eastAsia" w:ascii="宋体" w:hAnsi="宋体" w:cs="楷体"/>
                <w:color w:val="auto"/>
                <w:szCs w:val="21"/>
                <w:highlight w:val="none"/>
                <w:lang w:eastAsia="zh-CN"/>
              </w:rPr>
              <w:t>、</w:t>
            </w:r>
            <w:r>
              <w:rPr>
                <w:rFonts w:hint="eastAsia" w:ascii="宋体" w:hAnsi="宋体" w:cs="楷体"/>
                <w:color w:val="auto"/>
                <w:szCs w:val="21"/>
                <w:highlight w:val="none"/>
                <w:lang w:val="en-US" w:eastAsia="zh-CN"/>
              </w:rPr>
              <w:t>资质证书等</w:t>
            </w:r>
            <w:r>
              <w:rPr>
                <w:rFonts w:hint="eastAsia" w:ascii="宋体" w:hAnsi="宋体" w:cs="楷体"/>
                <w:color w:val="auto"/>
                <w:szCs w:val="21"/>
                <w:highlight w:val="none"/>
              </w:rPr>
              <w:t>一致。</w:t>
            </w:r>
            <w:r>
              <w:rPr>
                <w:rFonts w:hint="eastAsia" w:ascii="宋体" w:hAnsi="宋体" w:eastAsia="宋体" w:cs="宋体"/>
                <w:highlight w:val="none"/>
              </w:rPr>
              <w:t>如果企业证件名称有不一致之处，须提供主管部门开具的有效的企业名称变更证明材料。</w:t>
            </w:r>
          </w:p>
        </w:tc>
      </w:tr>
      <w:tr w14:paraId="09F27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blHeader/>
          <w:jc w:val="center"/>
        </w:trPr>
        <w:tc>
          <w:tcPr>
            <w:tcW w:w="786" w:type="dxa"/>
            <w:vMerge w:val="continue"/>
            <w:tcBorders>
              <w:top w:val="nil"/>
              <w:bottom w:val="single" w:color="auto" w:sz="4" w:space="0"/>
              <w:right w:val="single" w:color="auto" w:sz="4" w:space="0"/>
            </w:tcBorders>
            <w:noWrap/>
            <w:vAlign w:val="center"/>
          </w:tcPr>
          <w:p w14:paraId="4C4B48AF">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42F4E0D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743EFE1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楷体"/>
                <w:color w:val="auto"/>
                <w:szCs w:val="21"/>
                <w:highlight w:val="none"/>
              </w:rPr>
              <w:t>投标函签字盖章</w:t>
            </w:r>
          </w:p>
        </w:tc>
        <w:tc>
          <w:tcPr>
            <w:tcW w:w="6608" w:type="dxa"/>
            <w:tcBorders>
              <w:top w:val="single" w:color="auto" w:sz="4" w:space="0"/>
              <w:left w:val="single" w:color="auto" w:sz="4" w:space="0"/>
              <w:bottom w:val="single" w:color="auto" w:sz="4" w:space="0"/>
              <w:right w:val="single" w:color="auto" w:sz="4" w:space="0"/>
            </w:tcBorders>
            <w:noWrap/>
            <w:vAlign w:val="center"/>
          </w:tcPr>
          <w:p w14:paraId="63268DA2">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bCs/>
                <w:color w:val="auto"/>
                <w:szCs w:val="21"/>
                <w:highlight w:val="none"/>
                <w:lang w:val="zh-CN"/>
              </w:rPr>
              <w:t>有法定代表人或其委托代理人签字</w:t>
            </w:r>
            <w:r>
              <w:rPr>
                <w:rFonts w:hint="eastAsia" w:ascii="宋体" w:hAnsi="宋体" w:cs="楷体"/>
                <w:bCs/>
                <w:color w:val="auto"/>
                <w:szCs w:val="21"/>
                <w:highlight w:val="none"/>
                <w:lang w:val="en-US" w:eastAsia="zh-CN"/>
              </w:rPr>
              <w:t>或盖章</w:t>
            </w:r>
            <w:r>
              <w:rPr>
                <w:rFonts w:hint="eastAsia" w:ascii="宋体" w:hAnsi="宋体" w:cs="楷体"/>
                <w:bCs/>
                <w:color w:val="auto"/>
                <w:szCs w:val="21"/>
                <w:highlight w:val="none"/>
                <w:lang w:val="zh-CN"/>
              </w:rPr>
              <w:t>并加盖单位</w:t>
            </w:r>
            <w:r>
              <w:rPr>
                <w:rFonts w:hint="eastAsia" w:ascii="宋体" w:hAnsi="宋体" w:cs="楷体"/>
                <w:color w:val="auto"/>
                <w:szCs w:val="21"/>
                <w:highlight w:val="none"/>
              </w:rPr>
              <w:t>公</w:t>
            </w:r>
            <w:r>
              <w:rPr>
                <w:rFonts w:hint="eastAsia" w:ascii="宋体" w:hAnsi="宋体" w:cs="楷体"/>
                <w:bCs/>
                <w:color w:val="auto"/>
                <w:szCs w:val="21"/>
                <w:highlight w:val="none"/>
                <w:lang w:val="zh-CN"/>
              </w:rPr>
              <w:t>章。</w:t>
            </w:r>
          </w:p>
        </w:tc>
      </w:tr>
      <w:tr w14:paraId="4793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blHeader/>
          <w:jc w:val="center"/>
        </w:trPr>
        <w:tc>
          <w:tcPr>
            <w:tcW w:w="786" w:type="dxa"/>
            <w:vMerge w:val="continue"/>
            <w:tcBorders>
              <w:top w:val="nil"/>
              <w:bottom w:val="single" w:color="auto" w:sz="4" w:space="0"/>
              <w:right w:val="single" w:color="auto" w:sz="4" w:space="0"/>
            </w:tcBorders>
            <w:noWrap/>
            <w:vAlign w:val="center"/>
          </w:tcPr>
          <w:p w14:paraId="784BA9B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5B62B903">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30B9AA0B">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格式</w:t>
            </w:r>
          </w:p>
        </w:tc>
        <w:tc>
          <w:tcPr>
            <w:tcW w:w="6608" w:type="dxa"/>
            <w:tcBorders>
              <w:top w:val="single" w:color="auto" w:sz="4" w:space="0"/>
              <w:left w:val="single" w:color="auto" w:sz="4" w:space="0"/>
              <w:bottom w:val="single" w:color="auto" w:sz="4" w:space="0"/>
              <w:right w:val="single" w:color="auto" w:sz="4" w:space="0"/>
            </w:tcBorders>
            <w:noWrap/>
            <w:vAlign w:val="center"/>
          </w:tcPr>
          <w:p w14:paraId="22706E2C">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符合第六章“</w:t>
            </w:r>
            <w:r>
              <w:rPr>
                <w:rFonts w:hint="eastAsia" w:ascii="宋体" w:hAnsi="宋体" w:cs="楷体"/>
                <w:color w:val="auto"/>
                <w:szCs w:val="21"/>
                <w:highlight w:val="none"/>
                <w:lang w:eastAsia="zh-CN"/>
              </w:rPr>
              <w:t>响应文件</w:t>
            </w:r>
            <w:r>
              <w:rPr>
                <w:rFonts w:hint="eastAsia" w:ascii="宋体" w:hAnsi="宋体" w:cs="楷体"/>
                <w:color w:val="auto"/>
                <w:szCs w:val="21"/>
                <w:highlight w:val="none"/>
              </w:rPr>
              <w:t>格式”的要求。</w:t>
            </w:r>
          </w:p>
        </w:tc>
      </w:tr>
      <w:tr w14:paraId="59F89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blHeader/>
          <w:jc w:val="center"/>
        </w:trPr>
        <w:tc>
          <w:tcPr>
            <w:tcW w:w="786" w:type="dxa"/>
            <w:vMerge w:val="continue"/>
            <w:tcBorders>
              <w:top w:val="nil"/>
              <w:bottom w:val="single" w:color="auto" w:sz="4" w:space="0"/>
              <w:right w:val="single" w:color="auto" w:sz="4" w:space="0"/>
            </w:tcBorders>
            <w:noWrap/>
            <w:vAlign w:val="center"/>
          </w:tcPr>
          <w:p w14:paraId="6F44C76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7814209A">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6744697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报价唯一</w:t>
            </w:r>
          </w:p>
        </w:tc>
        <w:tc>
          <w:tcPr>
            <w:tcW w:w="6608" w:type="dxa"/>
            <w:tcBorders>
              <w:top w:val="single" w:color="auto" w:sz="4" w:space="0"/>
              <w:left w:val="single" w:color="auto" w:sz="4" w:space="0"/>
              <w:bottom w:val="single" w:color="auto" w:sz="4" w:space="0"/>
              <w:right w:val="single" w:color="auto" w:sz="4" w:space="0"/>
            </w:tcBorders>
            <w:noWrap/>
            <w:vAlign w:val="center"/>
          </w:tcPr>
          <w:p w14:paraId="11E07B85">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default" w:ascii="宋体" w:hAnsi="宋体" w:eastAsia="宋体"/>
                <w:color w:val="auto"/>
                <w:szCs w:val="21"/>
                <w:highlight w:val="none"/>
                <w:lang w:val="en-US" w:eastAsia="zh-CN"/>
              </w:rPr>
            </w:pPr>
            <w:r>
              <w:rPr>
                <w:rFonts w:hint="eastAsia" w:ascii="宋体" w:hAnsi="宋体" w:cs="楷体"/>
                <w:bCs/>
                <w:color w:val="auto"/>
                <w:szCs w:val="21"/>
                <w:highlight w:val="none"/>
                <w:lang w:val="zh-CN"/>
              </w:rPr>
              <w:t>只能有一个有效报价。</w:t>
            </w:r>
          </w:p>
        </w:tc>
      </w:tr>
      <w:tr w14:paraId="17D48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blHeader/>
          <w:jc w:val="center"/>
        </w:trPr>
        <w:tc>
          <w:tcPr>
            <w:tcW w:w="786" w:type="dxa"/>
            <w:vMerge w:val="restart"/>
            <w:tcBorders>
              <w:top w:val="single" w:color="auto" w:sz="4" w:space="0"/>
              <w:right w:val="single" w:color="auto" w:sz="4" w:space="0"/>
            </w:tcBorders>
            <w:noWrap/>
            <w:vAlign w:val="center"/>
          </w:tcPr>
          <w:p w14:paraId="4E892269">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2.1.2</w:t>
            </w:r>
          </w:p>
        </w:tc>
        <w:tc>
          <w:tcPr>
            <w:tcW w:w="1200" w:type="dxa"/>
            <w:vMerge w:val="restart"/>
            <w:tcBorders>
              <w:top w:val="single" w:color="auto" w:sz="4" w:space="0"/>
              <w:right w:val="single" w:color="auto" w:sz="4" w:space="0"/>
            </w:tcBorders>
            <w:noWrap/>
            <w:vAlign w:val="center"/>
          </w:tcPr>
          <w:p w14:paraId="1CCC817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资格评审标准</w:t>
            </w:r>
          </w:p>
        </w:tc>
        <w:tc>
          <w:tcPr>
            <w:tcW w:w="1815" w:type="dxa"/>
            <w:tcBorders>
              <w:top w:val="single" w:color="auto" w:sz="4" w:space="0"/>
              <w:left w:val="single" w:color="auto" w:sz="4" w:space="0"/>
              <w:bottom w:val="single" w:color="auto" w:sz="4" w:space="0"/>
              <w:right w:val="single" w:color="auto" w:sz="4" w:space="0"/>
            </w:tcBorders>
            <w:noWrap/>
            <w:vAlign w:val="center"/>
          </w:tcPr>
          <w:p w14:paraId="758E39F0">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楷体"/>
                <w:color w:val="auto"/>
                <w:szCs w:val="21"/>
                <w:highlight w:val="none"/>
              </w:rPr>
              <w:t>营业执照</w:t>
            </w:r>
          </w:p>
        </w:tc>
        <w:tc>
          <w:tcPr>
            <w:tcW w:w="6608" w:type="dxa"/>
            <w:tcBorders>
              <w:top w:val="single" w:color="auto" w:sz="4" w:space="0"/>
              <w:left w:val="single" w:color="auto" w:sz="4" w:space="0"/>
              <w:bottom w:val="single" w:color="auto" w:sz="4" w:space="0"/>
              <w:right w:val="single" w:color="auto" w:sz="4" w:space="0"/>
            </w:tcBorders>
            <w:noWrap/>
            <w:vAlign w:val="center"/>
          </w:tcPr>
          <w:p w14:paraId="0F90CB3E">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具备有效的营业执照，</w:t>
            </w:r>
            <w:r>
              <w:rPr>
                <w:rFonts w:hint="eastAsia" w:ascii="宋体" w:hAnsi="宋体" w:cs="楷体"/>
                <w:b w:val="0"/>
                <w:bCs w:val="0"/>
                <w:color w:val="auto"/>
                <w:szCs w:val="21"/>
                <w:highlight w:val="none"/>
                <w:lang w:eastAsia="zh-CN"/>
              </w:rPr>
              <w:t>响应文件</w:t>
            </w:r>
            <w:r>
              <w:rPr>
                <w:rFonts w:hint="eastAsia" w:ascii="宋体" w:hAnsi="宋体" w:cs="楷体"/>
                <w:b w:val="0"/>
                <w:bCs w:val="0"/>
                <w:color w:val="auto"/>
                <w:szCs w:val="21"/>
                <w:highlight w:val="none"/>
              </w:rPr>
              <w:t>内附复印件并加盖公章。</w:t>
            </w:r>
          </w:p>
        </w:tc>
      </w:tr>
      <w:tr w14:paraId="76409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blHeader/>
          <w:jc w:val="center"/>
        </w:trPr>
        <w:tc>
          <w:tcPr>
            <w:tcW w:w="786" w:type="dxa"/>
            <w:vMerge w:val="continue"/>
            <w:tcBorders>
              <w:right w:val="single" w:color="auto" w:sz="4" w:space="0"/>
            </w:tcBorders>
            <w:noWrap/>
            <w:vAlign w:val="center"/>
          </w:tcPr>
          <w:p w14:paraId="73125D06">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61B68F5F">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E006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楷体"/>
                <w:bCs/>
                <w:color w:val="auto"/>
                <w:szCs w:val="21"/>
                <w:highlight w:val="none"/>
                <w:lang w:val="en-US" w:eastAsia="zh-CN"/>
              </w:rPr>
              <w:t>联合体协议书</w:t>
            </w:r>
          </w:p>
        </w:tc>
        <w:tc>
          <w:tcPr>
            <w:tcW w:w="6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67EEB">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本项目接受联合体投标；如为联合体投标，联合体各方应签订联合体协议，明确牵头人及各自分工，联合体各方不得再以自己名义单独参与或参加其他联合体在本项目中的投标，联合体各方共同与采购人签订合同。</w:t>
            </w:r>
            <w:r>
              <w:rPr>
                <w:rFonts w:hint="eastAsia" w:ascii="宋体" w:hAnsi="宋体"/>
                <w:color w:val="auto"/>
                <w:szCs w:val="21"/>
                <w:highlight w:val="none"/>
                <w:lang w:val="en-US" w:eastAsia="zh-CN"/>
              </w:rPr>
              <w:t>响应文件中附联合体协议书</w:t>
            </w:r>
            <w:r>
              <w:rPr>
                <w:rFonts w:hint="eastAsia" w:ascii="宋体" w:hAnsi="宋体" w:eastAsia="宋体" w:cs="宋体"/>
                <w:bCs/>
                <w:highlight w:val="none"/>
                <w:lang w:val="en-US" w:eastAsia="zh-CN"/>
              </w:rPr>
              <w:t>并由各方法定代表人盖章并加盖单位公章。</w:t>
            </w:r>
          </w:p>
        </w:tc>
      </w:tr>
      <w:tr w14:paraId="25C89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blHeader/>
          <w:jc w:val="center"/>
        </w:trPr>
        <w:tc>
          <w:tcPr>
            <w:tcW w:w="786" w:type="dxa"/>
            <w:vMerge w:val="continue"/>
            <w:tcBorders>
              <w:right w:val="single" w:color="auto" w:sz="4" w:space="0"/>
            </w:tcBorders>
            <w:noWrap/>
            <w:vAlign w:val="center"/>
          </w:tcPr>
          <w:p w14:paraId="2BBF03A5">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37CCA6E6">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0744B9EA">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楷体"/>
                <w:color w:val="auto"/>
                <w:szCs w:val="21"/>
                <w:highlight w:val="none"/>
                <w:lang w:val="en-US" w:eastAsia="zh-CN"/>
              </w:rPr>
            </w:pPr>
            <w:r>
              <w:rPr>
                <w:rFonts w:hint="eastAsia" w:ascii="宋体" w:hAnsi="宋体" w:cs="楷体"/>
                <w:color w:val="auto"/>
                <w:szCs w:val="21"/>
                <w:highlight w:val="none"/>
                <w:lang w:val="en-US" w:eastAsia="zh-CN"/>
              </w:rPr>
              <w:t>资质证书</w:t>
            </w:r>
          </w:p>
        </w:tc>
        <w:tc>
          <w:tcPr>
            <w:tcW w:w="6608" w:type="dxa"/>
            <w:tcBorders>
              <w:top w:val="single" w:color="auto" w:sz="4" w:space="0"/>
              <w:left w:val="single" w:color="auto" w:sz="4" w:space="0"/>
              <w:bottom w:val="single" w:color="auto" w:sz="4" w:space="0"/>
              <w:right w:val="single" w:color="auto" w:sz="4" w:space="0"/>
            </w:tcBorders>
            <w:noWrap/>
            <w:vAlign w:val="center"/>
          </w:tcPr>
          <w:p w14:paraId="2F28CF09">
            <w:pPr>
              <w:keepNext w:val="0"/>
              <w:keepLines w:val="0"/>
              <w:pageBreakBefore w:val="0"/>
              <w:widowControl w:val="0"/>
              <w:kinsoku/>
              <w:wordWrap/>
              <w:overflowPunct/>
              <w:topLinePunct w:val="0"/>
              <w:bidi w:val="0"/>
              <w:snapToGrid w:val="0"/>
              <w:spacing w:line="288" w:lineRule="auto"/>
              <w:textAlignment w:val="auto"/>
              <w:rPr>
                <w:rFonts w:hint="default" w:ascii="宋体" w:hAnsi="宋体" w:cs="楷体"/>
                <w:color w:val="auto"/>
                <w:szCs w:val="21"/>
                <w:highlight w:val="none"/>
                <w:lang w:val="en-US"/>
              </w:rPr>
            </w:pPr>
            <w:r>
              <w:rPr>
                <w:rFonts w:hint="eastAsia" w:ascii="宋体" w:hAnsi="宋体" w:eastAsia="宋体" w:cs="宋体"/>
                <w:bCs/>
                <w:sz w:val="21"/>
                <w:szCs w:val="21"/>
                <w:highlight w:val="none"/>
                <w:lang w:val="en-US" w:eastAsia="zh-CN"/>
              </w:rPr>
              <w:t>供应商</w:t>
            </w:r>
            <w:r>
              <w:rPr>
                <w:rFonts w:hint="eastAsia" w:ascii="宋体" w:hAnsi="宋体" w:cs="宋体"/>
                <w:bCs/>
                <w:sz w:val="21"/>
                <w:szCs w:val="21"/>
                <w:highlight w:val="none"/>
                <w:lang w:eastAsia="zh-CN"/>
              </w:rPr>
              <w:t>须具有中华人民共和国道路运输经营许可证</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响应文件内附复印件并加盖公章。</w:t>
            </w:r>
          </w:p>
        </w:tc>
      </w:tr>
      <w:tr w14:paraId="6F4B4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tblHeader/>
          <w:jc w:val="center"/>
        </w:trPr>
        <w:tc>
          <w:tcPr>
            <w:tcW w:w="786" w:type="dxa"/>
            <w:vMerge w:val="continue"/>
            <w:tcBorders>
              <w:right w:val="single" w:color="auto" w:sz="4" w:space="0"/>
            </w:tcBorders>
            <w:noWrap/>
            <w:vAlign w:val="center"/>
          </w:tcPr>
          <w:p w14:paraId="59DAB99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6FB0D136">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18DEACFE">
            <w:pPr>
              <w:keepNext w:val="0"/>
              <w:keepLines w:val="0"/>
              <w:pageBreakBefore w:val="0"/>
              <w:widowControl w:val="0"/>
              <w:kinsoku/>
              <w:wordWrap/>
              <w:overflowPunct/>
              <w:topLinePunct w:val="0"/>
              <w:bidi w:val="0"/>
              <w:snapToGrid w:val="0"/>
              <w:spacing w:line="288" w:lineRule="auto"/>
              <w:jc w:val="center"/>
              <w:textAlignment w:val="auto"/>
              <w:rPr>
                <w:rFonts w:hint="default" w:ascii="宋体" w:hAnsi="宋体" w:cs="楷体"/>
                <w:color w:val="auto"/>
                <w:szCs w:val="21"/>
                <w:highlight w:val="none"/>
                <w:lang w:val="en-US" w:eastAsia="zh-CN"/>
              </w:rPr>
            </w:pPr>
            <w:r>
              <w:rPr>
                <w:rFonts w:hint="default" w:ascii="宋体" w:hAnsi="宋体" w:cs="楷体"/>
                <w:color w:val="auto"/>
                <w:szCs w:val="21"/>
                <w:highlight w:val="none"/>
                <w:lang w:val="en-US" w:eastAsia="zh-CN"/>
              </w:rPr>
              <w:t>生产污泥综合处理能力</w:t>
            </w:r>
          </w:p>
        </w:tc>
        <w:tc>
          <w:tcPr>
            <w:tcW w:w="6608" w:type="dxa"/>
            <w:tcBorders>
              <w:top w:val="single" w:color="auto" w:sz="4" w:space="0"/>
              <w:left w:val="single" w:color="auto" w:sz="4" w:space="0"/>
              <w:bottom w:val="single" w:color="auto" w:sz="4" w:space="0"/>
              <w:right w:val="single" w:color="auto" w:sz="4" w:space="0"/>
            </w:tcBorders>
            <w:noWrap/>
            <w:vAlign w:val="center"/>
          </w:tcPr>
          <w:p w14:paraId="51353D2E">
            <w:pPr>
              <w:keepNext w:val="0"/>
              <w:keepLines w:val="0"/>
              <w:pageBreakBefore w:val="0"/>
              <w:widowControl w:val="0"/>
              <w:kinsoku/>
              <w:wordWrap/>
              <w:overflowPunct/>
              <w:topLinePunct w:val="0"/>
              <w:bidi w:val="0"/>
              <w:snapToGrid w:val="0"/>
              <w:spacing w:line="288" w:lineRule="auto"/>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必须具备满足处理10万吨/日规模污水处理厂（即北部污水处理厂）日常生产污泥综合处理能力，以及具备因自身停产、减产等因素处理能力不足时应急处置北部污水处理厂日常产生污泥的能力和措施。具备污泥综合处置能力（包含转运及最终处置）以及对应本项目所必需的设施、设备和专业技术能力（提供相关业绩证明资料）</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响应文件内附相关业绩证明材料复印件并加盖公章。</w:t>
            </w:r>
          </w:p>
        </w:tc>
      </w:tr>
      <w:tr w14:paraId="6CF32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blHeader/>
          <w:jc w:val="center"/>
        </w:trPr>
        <w:tc>
          <w:tcPr>
            <w:tcW w:w="786" w:type="dxa"/>
            <w:vMerge w:val="continue"/>
            <w:tcBorders>
              <w:right w:val="single" w:color="auto" w:sz="4" w:space="0"/>
            </w:tcBorders>
            <w:noWrap/>
            <w:vAlign w:val="center"/>
          </w:tcPr>
          <w:p w14:paraId="4DFAE353">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5322E73D">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530FBB59">
            <w:pPr>
              <w:keepNext w:val="0"/>
              <w:keepLines w:val="0"/>
              <w:pageBreakBefore w:val="0"/>
              <w:widowControl w:val="0"/>
              <w:kinsoku/>
              <w:wordWrap/>
              <w:overflowPunct/>
              <w:topLinePunct w:val="0"/>
              <w:bidi w:val="0"/>
              <w:snapToGrid w:val="0"/>
              <w:spacing w:line="288" w:lineRule="auto"/>
              <w:jc w:val="center"/>
              <w:textAlignment w:val="auto"/>
              <w:rPr>
                <w:rFonts w:hint="default" w:ascii="宋体" w:hAnsi="宋体" w:cs="楷体"/>
                <w:color w:val="auto"/>
                <w:szCs w:val="21"/>
                <w:highlight w:val="none"/>
                <w:lang w:val="en-US" w:eastAsia="zh-CN"/>
              </w:rPr>
            </w:pPr>
            <w:r>
              <w:rPr>
                <w:rFonts w:hint="eastAsia" w:ascii="宋体" w:hAnsi="宋体" w:eastAsia="宋体" w:cs="宋体"/>
                <w:bCs/>
                <w:sz w:val="21"/>
                <w:szCs w:val="21"/>
                <w:highlight w:val="none"/>
                <w:lang w:val="en-US" w:eastAsia="zh-CN"/>
              </w:rPr>
              <w:t>污泥处置地点</w:t>
            </w:r>
          </w:p>
        </w:tc>
        <w:tc>
          <w:tcPr>
            <w:tcW w:w="6608" w:type="dxa"/>
            <w:tcBorders>
              <w:top w:val="single" w:color="auto" w:sz="4" w:space="0"/>
              <w:left w:val="single" w:color="auto" w:sz="4" w:space="0"/>
              <w:bottom w:val="single" w:color="auto" w:sz="4" w:space="0"/>
              <w:right w:val="single" w:color="auto" w:sz="4" w:space="0"/>
            </w:tcBorders>
            <w:noWrap/>
            <w:vAlign w:val="center"/>
          </w:tcPr>
          <w:p w14:paraId="4458636C">
            <w:pPr>
              <w:keepNext w:val="0"/>
              <w:keepLines w:val="0"/>
              <w:pageBreakBefore w:val="0"/>
              <w:widowControl w:val="0"/>
              <w:kinsoku/>
              <w:wordWrap/>
              <w:overflowPunct/>
              <w:topLinePunct w:val="0"/>
              <w:bidi w:val="0"/>
              <w:snapToGrid w:val="0"/>
              <w:spacing w:line="288" w:lineRule="auto"/>
              <w:textAlignment w:val="auto"/>
              <w:rPr>
                <w:rFonts w:hint="default" w:ascii="宋体" w:hAnsi="宋体" w:eastAsia="宋体" w:cs="宋体"/>
                <w:kern w:val="0"/>
                <w:sz w:val="21"/>
                <w:szCs w:val="21"/>
                <w:highlight w:val="none"/>
                <w:lang w:val="en-US" w:eastAsia="zh-CN"/>
              </w:rPr>
            </w:pPr>
            <w:r>
              <w:rPr>
                <w:rFonts w:hint="eastAsia" w:ascii="宋体" w:hAnsi="宋体" w:cs="宋体"/>
                <w:bCs/>
                <w:sz w:val="21"/>
                <w:szCs w:val="21"/>
                <w:highlight w:val="none"/>
                <w:lang w:val="en-US" w:eastAsia="zh-CN"/>
              </w:rPr>
              <w:t>供应商必须</w:t>
            </w:r>
            <w:r>
              <w:rPr>
                <w:rFonts w:hint="eastAsia" w:ascii="宋体" w:hAnsi="宋体" w:eastAsia="宋体" w:cs="宋体"/>
                <w:bCs/>
                <w:sz w:val="21"/>
                <w:szCs w:val="21"/>
                <w:highlight w:val="none"/>
                <w:lang w:val="en-US" w:eastAsia="zh-CN"/>
              </w:rPr>
              <w:t>具备污泥处置地点，</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en-US" w:eastAsia="zh-CN"/>
              </w:rPr>
              <w:t>文件中须提供污泥处置地点的证明文件，证明文件须包含允许该处置点接收污水处理厂污泥处置的环评批复和环保验收批复</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响应文件内附证明文件复印件</w:t>
            </w:r>
            <w:r>
              <w:rPr>
                <w:rFonts w:hint="eastAsia" w:ascii="宋体" w:hAnsi="宋体" w:eastAsia="宋体" w:cs="宋体"/>
                <w:kern w:val="0"/>
                <w:sz w:val="21"/>
                <w:szCs w:val="21"/>
                <w:highlight w:val="none"/>
                <w:lang w:val="en-US" w:eastAsia="zh-CN"/>
              </w:rPr>
              <w:t>并加盖公章。</w:t>
            </w:r>
          </w:p>
        </w:tc>
      </w:tr>
      <w:tr w14:paraId="46D6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blHeader/>
          <w:jc w:val="center"/>
        </w:trPr>
        <w:tc>
          <w:tcPr>
            <w:tcW w:w="786" w:type="dxa"/>
            <w:vMerge w:val="continue"/>
            <w:tcBorders>
              <w:right w:val="single" w:color="auto" w:sz="4" w:space="0"/>
            </w:tcBorders>
            <w:noWrap/>
            <w:vAlign w:val="center"/>
          </w:tcPr>
          <w:p w14:paraId="317E1955">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50A06041">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0BBCE284">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资格条件承诺函</w:t>
            </w:r>
          </w:p>
        </w:tc>
        <w:tc>
          <w:tcPr>
            <w:tcW w:w="6608" w:type="dxa"/>
            <w:tcBorders>
              <w:top w:val="single" w:color="auto" w:sz="4" w:space="0"/>
              <w:left w:val="single" w:color="auto" w:sz="4" w:space="0"/>
              <w:bottom w:val="single" w:color="auto" w:sz="4" w:space="0"/>
              <w:right w:val="single" w:color="auto" w:sz="4" w:space="0"/>
            </w:tcBorders>
            <w:noWrap/>
            <w:vAlign w:val="center"/>
          </w:tcPr>
          <w:p w14:paraId="1FB1B6B1">
            <w:pPr>
              <w:keepNext w:val="0"/>
              <w:keepLines w:val="0"/>
              <w:pageBreakBefore w:val="0"/>
              <w:widowControl w:val="0"/>
              <w:kinsoku/>
              <w:wordWrap/>
              <w:overflowPunct/>
              <w:topLinePunct w:val="0"/>
              <w:bidi w:val="0"/>
              <w:snapToGrid w:val="0"/>
              <w:spacing w:line="288" w:lineRule="auto"/>
              <w:textAlignment w:val="auto"/>
              <w:rPr>
                <w:rFonts w:hint="eastAsia" w:ascii="宋体" w:hAnsi="宋体" w:cs="宋体"/>
                <w:bCs/>
                <w:sz w:val="21"/>
                <w:szCs w:val="21"/>
                <w:highlight w:val="none"/>
                <w:lang w:val="en-US" w:eastAsia="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p>
        </w:tc>
      </w:tr>
      <w:tr w14:paraId="50E4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blHeader/>
          <w:jc w:val="center"/>
        </w:trPr>
        <w:tc>
          <w:tcPr>
            <w:tcW w:w="786" w:type="dxa"/>
            <w:vMerge w:val="continue"/>
            <w:tcBorders>
              <w:right w:val="single" w:color="auto" w:sz="4" w:space="0"/>
            </w:tcBorders>
            <w:noWrap/>
            <w:vAlign w:val="center"/>
          </w:tcPr>
          <w:p w14:paraId="51357AB1">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7818027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66C8FFB0">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cs="宋体"/>
                <w:b w:val="0"/>
                <w:bCs/>
                <w:i w:val="0"/>
                <w:caps w:val="0"/>
                <w:spacing w:val="0"/>
                <w:w w:val="100"/>
                <w:sz w:val="21"/>
                <w:szCs w:val="21"/>
                <w:highlight w:val="none"/>
                <w:lang w:val="en-US" w:eastAsia="zh-CN"/>
              </w:rPr>
            </w:pPr>
            <w:r>
              <w:rPr>
                <w:rFonts w:hint="eastAsia" w:ascii="宋体" w:hAnsi="宋体" w:cs="楷体"/>
                <w:color w:val="auto"/>
                <w:szCs w:val="21"/>
                <w:highlight w:val="none"/>
              </w:rPr>
              <w:t>信誉要求</w:t>
            </w:r>
          </w:p>
        </w:tc>
        <w:tc>
          <w:tcPr>
            <w:tcW w:w="6608" w:type="dxa"/>
            <w:tcBorders>
              <w:top w:val="single" w:color="auto" w:sz="4" w:space="0"/>
              <w:left w:val="single" w:color="auto" w:sz="4" w:space="0"/>
              <w:bottom w:val="single" w:color="auto" w:sz="4" w:space="0"/>
              <w:right w:val="single" w:color="auto" w:sz="4" w:space="0"/>
            </w:tcBorders>
            <w:noWrap/>
            <w:vAlign w:val="center"/>
          </w:tcPr>
          <w:p w14:paraId="0FB5B757">
            <w:pPr>
              <w:keepNext w:val="0"/>
              <w:keepLines w:val="0"/>
              <w:pageBreakBefore w:val="0"/>
              <w:widowControl w:val="0"/>
              <w:kinsoku/>
              <w:wordWrap/>
              <w:overflowPunct/>
              <w:topLinePunct w:val="0"/>
              <w:bidi w:val="0"/>
              <w:snapToGrid w:val="0"/>
              <w:spacing w:line="288" w:lineRule="auto"/>
              <w:textAlignment w:val="auto"/>
              <w:rPr>
                <w:rFonts w:hint="eastAsia" w:ascii="宋体" w:hAnsi="宋体" w:cs="宋体"/>
                <w:b w:val="0"/>
                <w:bCs/>
                <w:color w:val="000000"/>
                <w:sz w:val="21"/>
                <w:szCs w:val="21"/>
                <w:highlight w:val="none"/>
                <w:lang w:val="zh-CN"/>
              </w:rPr>
            </w:pPr>
            <w:r>
              <w:rPr>
                <w:rFonts w:hint="eastAsia" w:ascii="宋体" w:hAnsi="宋体" w:eastAsia="宋体" w:cs="宋体"/>
                <w:bCs/>
                <w:sz w:val="21"/>
                <w:szCs w:val="21"/>
                <w:highlight w:val="none"/>
                <w:lang w:val="en-US" w:eastAsia="zh-CN"/>
              </w:rPr>
              <w:t>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w:t>
            </w:r>
            <w:r>
              <w:rPr>
                <w:rFonts w:hint="eastAsia" w:ascii="宋体" w:hAnsi="宋体" w:cs="宋体"/>
                <w:bCs/>
                <w:sz w:val="21"/>
                <w:szCs w:val="21"/>
                <w:highlight w:val="none"/>
                <w:lang w:val="en-US" w:eastAsia="zh-CN"/>
              </w:rPr>
              <w:t>2022年1月1日起至今</w:t>
            </w:r>
            <w:r>
              <w:rPr>
                <w:rFonts w:hint="eastAsia" w:ascii="宋体" w:hAnsi="宋体" w:eastAsia="宋体" w:cs="宋体"/>
                <w:bCs/>
                <w:sz w:val="21"/>
                <w:szCs w:val="21"/>
                <w:highlight w:val="none"/>
                <w:lang w:val="en-US" w:eastAsia="zh-CN"/>
              </w:rPr>
              <w:t>）内</w:t>
            </w:r>
            <w:r>
              <w:rPr>
                <w:rFonts w:hint="eastAsia" w:ascii="宋体" w:hAnsi="宋体" w:cs="宋体"/>
                <w:bCs/>
                <w:sz w:val="21"/>
                <w:szCs w:val="21"/>
                <w:highlight w:val="none"/>
                <w:lang w:val="en-US" w:eastAsia="zh-CN"/>
              </w:rPr>
              <w:t>供应商及</w:t>
            </w:r>
            <w:r>
              <w:rPr>
                <w:rFonts w:hint="eastAsia" w:ascii="宋体" w:hAnsi="宋体" w:eastAsia="宋体" w:cs="宋体"/>
                <w:bCs/>
                <w:sz w:val="21"/>
                <w:szCs w:val="21"/>
                <w:highlight w:val="none"/>
                <w:lang w:val="en-US" w:eastAsia="zh-CN"/>
              </w:rPr>
              <w:t>其法定代表人未在“中国裁判文书网”(wenshu.court.gov.cn)上有行贿犯罪行为。</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p>
        </w:tc>
      </w:tr>
      <w:tr w14:paraId="565A3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blHeader/>
          <w:jc w:val="center"/>
        </w:trPr>
        <w:tc>
          <w:tcPr>
            <w:tcW w:w="786" w:type="dxa"/>
            <w:vMerge w:val="continue"/>
            <w:tcBorders>
              <w:right w:val="single" w:color="auto" w:sz="4" w:space="0"/>
            </w:tcBorders>
            <w:noWrap/>
            <w:vAlign w:val="center"/>
          </w:tcPr>
          <w:p w14:paraId="7636067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49445D1C">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020C01D8">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cs="楷体"/>
                <w:color w:val="auto"/>
                <w:szCs w:val="21"/>
                <w:highlight w:val="none"/>
              </w:rPr>
            </w:pPr>
            <w:r>
              <w:rPr>
                <w:rFonts w:hint="eastAsia" w:ascii="宋体" w:hAnsi="宋体" w:eastAsia="宋体" w:cs="宋体"/>
                <w:sz w:val="21"/>
                <w:szCs w:val="21"/>
                <w:highlight w:val="none"/>
                <w:lang w:val="en-US" w:eastAsia="zh-CN"/>
              </w:rPr>
              <w:t>中小企业声明函</w:t>
            </w:r>
          </w:p>
        </w:tc>
        <w:tc>
          <w:tcPr>
            <w:tcW w:w="6608" w:type="dxa"/>
            <w:tcBorders>
              <w:top w:val="single" w:color="auto" w:sz="4" w:space="0"/>
              <w:left w:val="single" w:color="auto" w:sz="4" w:space="0"/>
              <w:bottom w:val="single" w:color="auto" w:sz="4" w:space="0"/>
              <w:right w:val="single" w:color="auto" w:sz="4" w:space="0"/>
            </w:tcBorders>
            <w:noWrap/>
            <w:vAlign w:val="center"/>
          </w:tcPr>
          <w:p w14:paraId="7A0B9DF8">
            <w:pPr>
              <w:keepNext w:val="0"/>
              <w:keepLines w:val="0"/>
              <w:pageBreakBefore w:val="0"/>
              <w:widowControl w:val="0"/>
              <w:kinsoku/>
              <w:wordWrap/>
              <w:overflowPunct/>
              <w:topLinePunct w:val="0"/>
              <w:bidi w:val="0"/>
              <w:snapToGrid w:val="0"/>
              <w:spacing w:line="288"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本项目专门面向中小企业采购</w:t>
            </w:r>
            <w:r>
              <w:rPr>
                <w:rFonts w:hint="eastAsia" w:hAnsi="宋体" w:cs="宋体"/>
                <w:sz w:val="21"/>
                <w:szCs w:val="21"/>
                <w:highlight w:val="none"/>
                <w:lang w:eastAsia="zh-CN"/>
              </w:rPr>
              <w:t>；</w:t>
            </w:r>
            <w:r>
              <w:rPr>
                <w:rFonts w:hint="eastAsia" w:ascii="宋体" w:hAnsi="宋体" w:eastAsia="宋体" w:cs="宋体"/>
                <w:sz w:val="21"/>
                <w:szCs w:val="21"/>
                <w:highlight w:val="none"/>
              </w:rPr>
              <w:t>响应文件</w:t>
            </w:r>
            <w:r>
              <w:rPr>
                <w:rFonts w:hint="eastAsia" w:hAnsi="宋体" w:cs="宋体"/>
                <w:sz w:val="21"/>
                <w:szCs w:val="21"/>
                <w:highlight w:val="none"/>
                <w:lang w:val="en-US" w:eastAsia="zh-CN"/>
              </w:rPr>
              <w:t>内</w:t>
            </w:r>
            <w:r>
              <w:rPr>
                <w:rFonts w:hint="eastAsia" w:ascii="宋体" w:hAnsi="宋体" w:eastAsia="宋体" w:cs="宋体"/>
                <w:sz w:val="21"/>
                <w:szCs w:val="21"/>
                <w:highlight w:val="none"/>
              </w:rPr>
              <w:t>附</w:t>
            </w:r>
            <w:r>
              <w:rPr>
                <w:rFonts w:hint="eastAsia" w:ascii="宋体" w:hAnsi="宋体" w:eastAsia="宋体" w:cs="宋体"/>
                <w:sz w:val="21"/>
                <w:szCs w:val="21"/>
                <w:highlight w:val="none"/>
                <w:lang w:val="en-US" w:eastAsia="zh-CN"/>
              </w:rPr>
              <w:t>中小企业声明函并</w:t>
            </w:r>
            <w:r>
              <w:rPr>
                <w:rFonts w:hint="eastAsia" w:ascii="宋体" w:hAnsi="宋体" w:eastAsia="宋体" w:cs="宋体"/>
                <w:sz w:val="21"/>
                <w:szCs w:val="21"/>
                <w:highlight w:val="none"/>
              </w:rPr>
              <w:t>加盖公章</w:t>
            </w:r>
            <w:r>
              <w:rPr>
                <w:rFonts w:hint="eastAsia" w:hAnsi="宋体" w:cs="宋体"/>
                <w:sz w:val="21"/>
                <w:szCs w:val="21"/>
                <w:highlight w:val="none"/>
                <w:lang w:eastAsia="zh-CN"/>
              </w:rPr>
              <w:t>。</w:t>
            </w:r>
          </w:p>
        </w:tc>
      </w:tr>
      <w:tr w14:paraId="316CA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blHeader/>
          <w:jc w:val="center"/>
        </w:trPr>
        <w:tc>
          <w:tcPr>
            <w:tcW w:w="786" w:type="dxa"/>
            <w:vMerge w:val="continue"/>
            <w:tcBorders>
              <w:right w:val="single" w:color="auto" w:sz="4" w:space="0"/>
            </w:tcBorders>
            <w:noWrap/>
            <w:vAlign w:val="center"/>
          </w:tcPr>
          <w:p w14:paraId="14FF69F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right w:val="single" w:color="auto" w:sz="4" w:space="0"/>
            </w:tcBorders>
            <w:noWrap/>
            <w:vAlign w:val="center"/>
          </w:tcPr>
          <w:p w14:paraId="32D5F55A">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6E8C418F">
            <w:pPr>
              <w:spacing w:line="240" w:lineRule="auto"/>
              <w:jc w:val="center"/>
              <w:rPr>
                <w:rFonts w:hint="default" w:ascii="宋体" w:hAnsi="Times New Roman" w:eastAsia="宋体" w:cs="宋体"/>
                <w:color w:val="auto"/>
                <w:kern w:val="2"/>
                <w:sz w:val="21"/>
                <w:highlight w:val="none"/>
                <w:lang w:val="en-US" w:eastAsia="zh-CN" w:bidi="ar-SA"/>
              </w:rPr>
            </w:pPr>
            <w:r>
              <w:rPr>
                <w:rFonts w:hint="eastAsia" w:ascii="宋体" w:cs="宋体"/>
                <w:color w:val="auto"/>
                <w:highlight w:val="none"/>
                <w:lang w:val="en-US" w:eastAsia="zh-CN" w:bidi="ar-SA"/>
              </w:rPr>
              <w:t>其他要求</w:t>
            </w:r>
          </w:p>
        </w:tc>
        <w:tc>
          <w:tcPr>
            <w:tcW w:w="6608" w:type="dxa"/>
            <w:tcBorders>
              <w:top w:val="single" w:color="auto" w:sz="4" w:space="0"/>
              <w:left w:val="single" w:color="auto" w:sz="4" w:space="0"/>
              <w:bottom w:val="single" w:color="auto" w:sz="4" w:space="0"/>
              <w:right w:val="single" w:color="auto" w:sz="4" w:space="0"/>
            </w:tcBorders>
            <w:noWrap/>
            <w:vAlign w:val="center"/>
          </w:tcPr>
          <w:p w14:paraId="54024EE8">
            <w:pPr>
              <w:keepNext w:val="0"/>
              <w:keepLines w:val="0"/>
              <w:pageBreakBefore w:val="0"/>
              <w:widowControl w:val="0"/>
              <w:numPr>
                <w:ilvl w:val="0"/>
                <w:numId w:val="4"/>
              </w:numPr>
              <w:kinsoku/>
              <w:wordWrap/>
              <w:overflowPunct/>
              <w:topLinePunct w:val="0"/>
              <w:bidi w:val="0"/>
              <w:snapToGrid w:val="0"/>
              <w:spacing w:line="288"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p>
          <w:p w14:paraId="219E6FF9">
            <w:pPr>
              <w:keepNext w:val="0"/>
              <w:keepLines w:val="0"/>
              <w:pageBreakBefore w:val="0"/>
              <w:widowControl w:val="0"/>
              <w:numPr>
                <w:ilvl w:val="0"/>
                <w:numId w:val="0"/>
              </w:numPr>
              <w:kinsoku/>
              <w:wordWrap/>
              <w:overflowPunct/>
              <w:topLinePunct w:val="0"/>
              <w:bidi w:val="0"/>
              <w:snapToGrid w:val="0"/>
              <w:spacing w:line="288"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2、供应商不存在采购文件第二章“供应商须知”第1.4.3项规定内容。</w:t>
            </w:r>
          </w:p>
          <w:p w14:paraId="51B7F482">
            <w:pPr>
              <w:keepNext w:val="0"/>
              <w:keepLines w:val="0"/>
              <w:pageBreakBefore w:val="0"/>
              <w:widowControl w:val="0"/>
              <w:kinsoku/>
              <w:wordWrap/>
              <w:overflowPunct/>
              <w:topLinePunct w:val="0"/>
              <w:bidi w:val="0"/>
              <w:snapToGrid w:val="0"/>
              <w:spacing w:line="288"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响应文件内附承诺书并加盖公章。</w:t>
            </w:r>
          </w:p>
        </w:tc>
      </w:tr>
      <w:tr w14:paraId="1CB24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2ECC806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2.1.3</w:t>
            </w:r>
          </w:p>
        </w:tc>
        <w:tc>
          <w:tcPr>
            <w:tcW w:w="1200" w:type="dxa"/>
            <w:vMerge w:val="restart"/>
            <w:tcBorders>
              <w:top w:val="single" w:color="auto" w:sz="4" w:space="0"/>
              <w:bottom w:val="single" w:color="auto" w:sz="4" w:space="0"/>
              <w:right w:val="single" w:color="auto" w:sz="4" w:space="0"/>
            </w:tcBorders>
            <w:noWrap/>
            <w:vAlign w:val="center"/>
          </w:tcPr>
          <w:p w14:paraId="7F546773">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响应性</w:t>
            </w:r>
          </w:p>
          <w:p w14:paraId="5A1C0FE1">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评审</w:t>
            </w:r>
          </w:p>
          <w:p w14:paraId="25E1F190">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标准</w:t>
            </w:r>
          </w:p>
        </w:tc>
        <w:tc>
          <w:tcPr>
            <w:tcW w:w="1815" w:type="dxa"/>
            <w:tcBorders>
              <w:top w:val="single" w:color="auto" w:sz="4" w:space="0"/>
              <w:left w:val="single" w:color="auto" w:sz="4" w:space="0"/>
              <w:bottom w:val="single" w:color="auto" w:sz="4" w:space="0"/>
              <w:right w:val="single" w:color="auto" w:sz="4" w:space="0"/>
            </w:tcBorders>
            <w:noWrap/>
            <w:vAlign w:val="center"/>
          </w:tcPr>
          <w:p w14:paraId="0B213079">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olor w:val="auto"/>
                <w:szCs w:val="21"/>
                <w:highlight w:val="none"/>
              </w:rPr>
              <w:t>投标报价</w:t>
            </w:r>
          </w:p>
        </w:tc>
        <w:tc>
          <w:tcPr>
            <w:tcW w:w="6608" w:type="dxa"/>
            <w:tcBorders>
              <w:top w:val="single" w:color="auto" w:sz="4" w:space="0"/>
              <w:left w:val="single" w:color="auto" w:sz="4" w:space="0"/>
              <w:bottom w:val="single" w:color="auto" w:sz="4" w:space="0"/>
              <w:right w:val="single" w:color="auto" w:sz="4" w:space="0"/>
            </w:tcBorders>
            <w:noWrap/>
            <w:vAlign w:val="center"/>
          </w:tcPr>
          <w:p w14:paraId="3E788EB2">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符合第二章“供应商须知”规定。</w:t>
            </w:r>
          </w:p>
        </w:tc>
      </w:tr>
      <w:tr w14:paraId="06B7F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5FD86CB8">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3923A91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4C16786C">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ascii="宋体" w:hAnsi="宋体"/>
                <w:color w:val="auto"/>
                <w:szCs w:val="21"/>
                <w:highlight w:val="none"/>
              </w:rPr>
              <w:t>投标内容</w:t>
            </w:r>
          </w:p>
        </w:tc>
        <w:tc>
          <w:tcPr>
            <w:tcW w:w="6608" w:type="dxa"/>
            <w:tcBorders>
              <w:top w:val="single" w:color="auto" w:sz="4" w:space="0"/>
              <w:left w:val="single" w:color="auto" w:sz="4" w:space="0"/>
              <w:bottom w:val="single" w:color="auto" w:sz="4" w:space="0"/>
              <w:right w:val="single" w:color="auto" w:sz="4" w:space="0"/>
            </w:tcBorders>
            <w:noWrap/>
            <w:vAlign w:val="center"/>
          </w:tcPr>
          <w:p w14:paraId="6845DB90">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符合第二章“供应商须知”规定。</w:t>
            </w:r>
          </w:p>
        </w:tc>
      </w:tr>
      <w:tr w14:paraId="1FE85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0ECC8DDB">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7F9DA5D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46B500BD">
            <w:pPr>
              <w:keepNext w:val="0"/>
              <w:keepLines w:val="0"/>
              <w:pageBreakBefore w:val="0"/>
              <w:widowControl w:val="0"/>
              <w:kinsoku/>
              <w:wordWrap/>
              <w:overflowPunct/>
              <w:topLinePunct w:val="0"/>
              <w:bidi w:val="0"/>
              <w:snapToGrid w:val="0"/>
              <w:spacing w:line="288" w:lineRule="auto"/>
              <w:jc w:val="center"/>
              <w:textAlignment w:val="auto"/>
              <w:rPr>
                <w:rFonts w:hint="default" w:ascii="宋体" w:hAnsi="宋体" w:eastAsia="宋体"/>
                <w:color w:val="auto"/>
                <w:szCs w:val="21"/>
                <w:highlight w:val="none"/>
                <w:lang w:val="en-US" w:eastAsia="zh-CN"/>
              </w:rPr>
            </w:pPr>
            <w:r>
              <w:rPr>
                <w:rFonts w:hint="eastAsia" w:ascii="宋体" w:hAnsi="宋体" w:cs="楷体"/>
                <w:color w:val="auto"/>
                <w:szCs w:val="21"/>
                <w:highlight w:val="none"/>
                <w:lang w:val="en-US" w:eastAsia="zh-CN"/>
              </w:rPr>
              <w:t>合同履行期限</w:t>
            </w:r>
          </w:p>
        </w:tc>
        <w:tc>
          <w:tcPr>
            <w:tcW w:w="6608" w:type="dxa"/>
            <w:tcBorders>
              <w:top w:val="single" w:color="auto" w:sz="4" w:space="0"/>
              <w:left w:val="single" w:color="auto" w:sz="4" w:space="0"/>
              <w:bottom w:val="single" w:color="auto" w:sz="4" w:space="0"/>
              <w:right w:val="single" w:color="auto" w:sz="4" w:space="0"/>
            </w:tcBorders>
            <w:noWrap/>
            <w:vAlign w:val="center"/>
          </w:tcPr>
          <w:p w14:paraId="2436D362">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符合第二章“供应商须知”规定。</w:t>
            </w:r>
          </w:p>
        </w:tc>
      </w:tr>
      <w:tr w14:paraId="6D98B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197D8EE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66D90AD7">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101418DD">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NumberOnly"/>
                <w:color w:val="auto"/>
                <w:kern w:val="0"/>
                <w:szCs w:val="21"/>
                <w:highlight w:val="none"/>
              </w:rPr>
              <w:t>项目地点</w:t>
            </w:r>
          </w:p>
        </w:tc>
        <w:tc>
          <w:tcPr>
            <w:tcW w:w="6608" w:type="dxa"/>
            <w:tcBorders>
              <w:top w:val="single" w:color="auto" w:sz="4" w:space="0"/>
              <w:left w:val="single" w:color="auto" w:sz="4" w:space="0"/>
              <w:bottom w:val="single" w:color="auto" w:sz="4" w:space="0"/>
              <w:right w:val="single" w:color="auto" w:sz="4" w:space="0"/>
            </w:tcBorders>
            <w:noWrap/>
            <w:vAlign w:val="center"/>
          </w:tcPr>
          <w:p w14:paraId="292BCBB8">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符合第二章“供应商须知”规定。</w:t>
            </w:r>
          </w:p>
        </w:tc>
      </w:tr>
      <w:tr w14:paraId="5E3A8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45045B4C">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42C384A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511A0FB9">
            <w:pPr>
              <w:keepNext w:val="0"/>
              <w:keepLines w:val="0"/>
              <w:pageBreakBefore w:val="0"/>
              <w:widowControl w:val="0"/>
              <w:kinsoku/>
              <w:wordWrap/>
              <w:overflowPunct/>
              <w:topLinePunct w:val="0"/>
              <w:bidi w:val="0"/>
              <w:snapToGrid w:val="0"/>
              <w:spacing w:line="288" w:lineRule="auto"/>
              <w:jc w:val="center"/>
              <w:textAlignment w:val="auto"/>
              <w:rPr>
                <w:rFonts w:hint="default" w:ascii="宋体" w:hAnsi="宋体" w:eastAsia="宋体" w:cs="NumberOnly"/>
                <w:color w:val="auto"/>
                <w:kern w:val="0"/>
                <w:szCs w:val="21"/>
                <w:highlight w:val="none"/>
                <w:lang w:val="en-US" w:eastAsia="zh-CN"/>
              </w:rPr>
            </w:pPr>
            <w:r>
              <w:rPr>
                <w:rFonts w:hint="eastAsia" w:ascii="宋体" w:hAnsi="宋体" w:cs="宋体"/>
                <w:sz w:val="21"/>
                <w:szCs w:val="21"/>
                <w:highlight w:val="none"/>
                <w:lang w:val="en-US" w:eastAsia="zh-CN"/>
              </w:rPr>
              <w:t>质量及验收</w:t>
            </w:r>
            <w:r>
              <w:rPr>
                <w:rFonts w:hint="eastAsia" w:ascii="宋体" w:hAnsi="宋体" w:eastAsia="宋体" w:cs="宋体"/>
                <w:sz w:val="21"/>
                <w:szCs w:val="21"/>
                <w:highlight w:val="none"/>
                <w:lang w:val="en-US" w:eastAsia="zh-CN"/>
              </w:rPr>
              <w:t>标准</w:t>
            </w:r>
          </w:p>
        </w:tc>
        <w:tc>
          <w:tcPr>
            <w:tcW w:w="6608" w:type="dxa"/>
            <w:tcBorders>
              <w:top w:val="single" w:color="auto" w:sz="4" w:space="0"/>
              <w:left w:val="single" w:color="auto" w:sz="4" w:space="0"/>
              <w:bottom w:val="single" w:color="auto" w:sz="4" w:space="0"/>
              <w:right w:val="single" w:color="auto" w:sz="4" w:space="0"/>
            </w:tcBorders>
            <w:noWrap/>
            <w:vAlign w:val="center"/>
          </w:tcPr>
          <w:p w14:paraId="4112BDBE">
            <w:pPr>
              <w:keepNext w:val="0"/>
              <w:keepLines w:val="0"/>
              <w:pageBreakBefore w:val="0"/>
              <w:widowControl w:val="0"/>
              <w:kinsoku/>
              <w:wordWrap/>
              <w:overflowPunct/>
              <w:topLinePunct w:val="0"/>
              <w:bidi w:val="0"/>
              <w:snapToGrid w:val="0"/>
              <w:spacing w:line="288" w:lineRule="auto"/>
              <w:textAlignment w:val="auto"/>
              <w:rPr>
                <w:rFonts w:hint="eastAsia" w:ascii="宋体" w:hAnsi="宋体" w:cs="楷体"/>
                <w:color w:val="auto"/>
                <w:szCs w:val="21"/>
                <w:highlight w:val="none"/>
              </w:rPr>
            </w:pPr>
            <w:r>
              <w:rPr>
                <w:rFonts w:hint="eastAsia" w:ascii="宋体" w:hAnsi="宋体" w:cs="楷体"/>
                <w:color w:val="auto"/>
                <w:szCs w:val="21"/>
                <w:highlight w:val="none"/>
              </w:rPr>
              <w:t>符合第二章“供应商须知”规定。</w:t>
            </w:r>
          </w:p>
        </w:tc>
      </w:tr>
      <w:tr w14:paraId="6EC5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743A67A1">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4BABC6A5">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66ED58E4">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cs="楷体"/>
                <w:color w:val="auto"/>
                <w:szCs w:val="21"/>
                <w:highlight w:val="none"/>
              </w:rPr>
            </w:pPr>
            <w:r>
              <w:rPr>
                <w:rFonts w:hint="eastAsia" w:ascii="宋体" w:hAnsi="宋体"/>
                <w:color w:val="auto"/>
                <w:szCs w:val="21"/>
                <w:highlight w:val="none"/>
              </w:rPr>
              <w:t>投标有效期</w:t>
            </w:r>
          </w:p>
        </w:tc>
        <w:tc>
          <w:tcPr>
            <w:tcW w:w="6608" w:type="dxa"/>
            <w:tcBorders>
              <w:top w:val="single" w:color="auto" w:sz="4" w:space="0"/>
              <w:left w:val="single" w:color="auto" w:sz="4" w:space="0"/>
              <w:bottom w:val="single" w:color="auto" w:sz="4" w:space="0"/>
              <w:right w:val="single" w:color="auto" w:sz="4" w:space="0"/>
            </w:tcBorders>
            <w:noWrap/>
            <w:vAlign w:val="center"/>
          </w:tcPr>
          <w:p w14:paraId="72FE7F4B">
            <w:pPr>
              <w:keepNext w:val="0"/>
              <w:keepLines w:val="0"/>
              <w:pageBreakBefore w:val="0"/>
              <w:widowControl w:val="0"/>
              <w:kinsoku/>
              <w:wordWrap/>
              <w:overflowPunct/>
              <w:topLinePunct w:val="0"/>
              <w:bidi w:val="0"/>
              <w:snapToGrid w:val="0"/>
              <w:spacing w:line="288" w:lineRule="auto"/>
              <w:textAlignment w:val="auto"/>
              <w:rPr>
                <w:rFonts w:hint="eastAsia" w:ascii="宋体" w:hAnsi="宋体" w:cs="楷体"/>
                <w:color w:val="auto"/>
                <w:szCs w:val="21"/>
                <w:highlight w:val="none"/>
              </w:rPr>
            </w:pPr>
            <w:r>
              <w:rPr>
                <w:rFonts w:hint="eastAsia" w:ascii="宋体" w:hAnsi="宋体" w:cs="楷体"/>
                <w:color w:val="auto"/>
                <w:szCs w:val="21"/>
                <w:highlight w:val="none"/>
              </w:rPr>
              <w:t>符合第二章“供应商须知”规定。</w:t>
            </w:r>
          </w:p>
        </w:tc>
      </w:tr>
      <w:tr w14:paraId="14388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75F5FC8B">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60E8355E">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5B03652E">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cs="楷体"/>
                <w:color w:val="auto"/>
                <w:szCs w:val="21"/>
                <w:highlight w:val="none"/>
              </w:rPr>
            </w:pPr>
            <w:r>
              <w:rPr>
                <w:rFonts w:hint="eastAsia" w:ascii="宋体" w:hAnsi="宋体" w:cs="NumberOnly"/>
                <w:color w:val="auto"/>
                <w:kern w:val="0"/>
                <w:szCs w:val="21"/>
                <w:highlight w:val="none"/>
              </w:rPr>
              <w:t>权利义务</w:t>
            </w:r>
          </w:p>
        </w:tc>
        <w:tc>
          <w:tcPr>
            <w:tcW w:w="6608" w:type="dxa"/>
            <w:tcBorders>
              <w:top w:val="single" w:color="auto" w:sz="4" w:space="0"/>
              <w:left w:val="single" w:color="auto" w:sz="4" w:space="0"/>
              <w:bottom w:val="single" w:color="auto" w:sz="4" w:space="0"/>
              <w:right w:val="single" w:color="auto" w:sz="4" w:space="0"/>
            </w:tcBorders>
            <w:noWrap/>
            <w:vAlign w:val="center"/>
          </w:tcPr>
          <w:p w14:paraId="0B617C21">
            <w:pPr>
              <w:keepNext w:val="0"/>
              <w:keepLines w:val="0"/>
              <w:pageBreakBefore w:val="0"/>
              <w:widowControl w:val="0"/>
              <w:kinsoku/>
              <w:wordWrap/>
              <w:overflowPunct/>
              <w:topLinePunct w:val="0"/>
              <w:bidi w:val="0"/>
              <w:snapToGrid w:val="0"/>
              <w:spacing w:line="288" w:lineRule="auto"/>
              <w:textAlignment w:val="auto"/>
              <w:rPr>
                <w:rFonts w:hint="eastAsia" w:ascii="宋体" w:hAnsi="宋体" w:eastAsia="宋体" w:cs="楷体"/>
                <w:color w:val="auto"/>
                <w:szCs w:val="21"/>
                <w:highlight w:val="none"/>
                <w:lang w:eastAsia="zh-CN"/>
              </w:rPr>
            </w:pPr>
            <w:r>
              <w:rPr>
                <w:rFonts w:hint="eastAsia" w:ascii="宋体" w:hAnsi="宋体" w:cs="NumberOnly"/>
                <w:color w:val="auto"/>
                <w:kern w:val="0"/>
                <w:szCs w:val="21"/>
                <w:highlight w:val="none"/>
              </w:rPr>
              <w:t>符合第二章</w:t>
            </w:r>
            <w:r>
              <w:rPr>
                <w:rFonts w:ascii="宋体" w:hAnsi="宋体" w:cs="NumberOnly"/>
                <w:color w:val="auto"/>
                <w:kern w:val="0"/>
                <w:szCs w:val="21"/>
                <w:highlight w:val="none"/>
              </w:rPr>
              <w:t>“</w:t>
            </w:r>
            <w:r>
              <w:rPr>
                <w:rFonts w:hint="eastAsia" w:ascii="宋体" w:hAnsi="宋体" w:cs="NumberOnly"/>
                <w:color w:val="auto"/>
                <w:kern w:val="0"/>
                <w:szCs w:val="21"/>
                <w:highlight w:val="none"/>
              </w:rPr>
              <w:t>供应商须知</w:t>
            </w:r>
            <w:r>
              <w:rPr>
                <w:rFonts w:ascii="宋体" w:hAnsi="宋体" w:cs="NumberOnly"/>
                <w:color w:val="auto"/>
                <w:kern w:val="0"/>
                <w:szCs w:val="21"/>
                <w:highlight w:val="none"/>
              </w:rPr>
              <w:t>”</w:t>
            </w:r>
            <w:r>
              <w:rPr>
                <w:rFonts w:hint="eastAsia" w:ascii="宋体" w:hAnsi="宋体" w:cs="NumberOnly"/>
                <w:color w:val="auto"/>
                <w:kern w:val="0"/>
                <w:szCs w:val="21"/>
                <w:highlight w:val="none"/>
              </w:rPr>
              <w:t>规定和第四章“合同条款及格式”中的实质性要求和条件</w:t>
            </w:r>
            <w:r>
              <w:rPr>
                <w:rFonts w:hint="eastAsia" w:ascii="宋体" w:hAnsi="宋体" w:cs="NumberOnly"/>
                <w:color w:val="auto"/>
                <w:kern w:val="0"/>
                <w:szCs w:val="21"/>
                <w:highlight w:val="none"/>
                <w:lang w:eastAsia="zh-CN"/>
              </w:rPr>
              <w:t>。</w:t>
            </w:r>
          </w:p>
        </w:tc>
      </w:tr>
      <w:tr w14:paraId="196EF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71CFBD55">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70870A49">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7F002182">
            <w:pPr>
              <w:keepNext w:val="0"/>
              <w:keepLines w:val="0"/>
              <w:pageBreakBefore w:val="0"/>
              <w:widowControl w:val="0"/>
              <w:kinsoku/>
              <w:wordWrap/>
              <w:overflowPunct/>
              <w:topLinePunct w:val="0"/>
              <w:bidi w:val="0"/>
              <w:snapToGrid w:val="0"/>
              <w:spacing w:line="288" w:lineRule="auto"/>
              <w:jc w:val="center"/>
              <w:textAlignment w:val="auto"/>
              <w:rPr>
                <w:rFonts w:ascii="宋体" w:hAnsi="宋体"/>
                <w:color w:val="auto"/>
                <w:szCs w:val="21"/>
                <w:highlight w:val="none"/>
              </w:rPr>
            </w:pPr>
            <w:r>
              <w:rPr>
                <w:rFonts w:hint="eastAsia" w:ascii="宋体" w:hAnsi="宋体" w:cs="楷体"/>
                <w:color w:val="auto"/>
                <w:szCs w:val="21"/>
                <w:highlight w:val="none"/>
              </w:rPr>
              <w:t>其他要求</w:t>
            </w:r>
          </w:p>
        </w:tc>
        <w:tc>
          <w:tcPr>
            <w:tcW w:w="6608" w:type="dxa"/>
            <w:tcBorders>
              <w:top w:val="single" w:color="auto" w:sz="4" w:space="0"/>
              <w:left w:val="single" w:color="auto" w:sz="4" w:space="0"/>
              <w:bottom w:val="single" w:color="auto" w:sz="4" w:space="0"/>
              <w:right w:val="single" w:color="auto" w:sz="4" w:space="0"/>
            </w:tcBorders>
            <w:noWrap/>
            <w:vAlign w:val="center"/>
          </w:tcPr>
          <w:p w14:paraId="7D48EE31">
            <w:pPr>
              <w:keepNext w:val="0"/>
              <w:keepLines w:val="0"/>
              <w:pageBreakBefore w:val="0"/>
              <w:widowControl w:val="0"/>
              <w:kinsoku/>
              <w:wordWrap/>
              <w:overflowPunct/>
              <w:topLinePunct w:val="0"/>
              <w:bidi w:val="0"/>
              <w:snapToGrid w:val="0"/>
              <w:spacing w:line="288" w:lineRule="auto"/>
              <w:textAlignment w:val="auto"/>
              <w:rPr>
                <w:rFonts w:ascii="宋体" w:hAnsi="宋体"/>
                <w:color w:val="auto"/>
                <w:szCs w:val="21"/>
                <w:highlight w:val="none"/>
              </w:rPr>
            </w:pPr>
            <w:r>
              <w:rPr>
                <w:rFonts w:hint="eastAsia" w:ascii="宋体" w:hAnsi="宋体" w:cs="楷体"/>
                <w:color w:val="auto"/>
                <w:szCs w:val="21"/>
                <w:highlight w:val="none"/>
              </w:rPr>
              <w:t>满足相关法律法规及采购文件的其他实质性要求。</w:t>
            </w:r>
          </w:p>
        </w:tc>
      </w:tr>
    </w:tbl>
    <w:p w14:paraId="2A6C7854">
      <w:pPr>
        <w:spacing w:line="360" w:lineRule="auto"/>
        <w:rPr>
          <w:rFonts w:ascii="宋体" w:hAnsi="宋体" w:cs="楷体"/>
          <w:b/>
          <w:bCs/>
          <w:color w:val="auto"/>
          <w:szCs w:val="21"/>
          <w:highlight w:val="none"/>
          <w:lang w:val="zh-CN"/>
        </w:rPr>
      </w:pPr>
      <w:r>
        <w:rPr>
          <w:rFonts w:hint="eastAsia" w:ascii="宋体" w:hAnsi="宋体" w:cs="楷体"/>
          <w:b/>
          <w:bCs/>
          <w:color w:val="auto"/>
          <w:szCs w:val="21"/>
          <w:highlight w:val="none"/>
          <w:lang w:val="zh-CN"/>
        </w:rPr>
        <w:t>注：1、上述表中要求提供的证书和相关证明文件等证件的复印件</w:t>
      </w:r>
      <w:r>
        <w:rPr>
          <w:rFonts w:hint="eastAsia" w:ascii="宋体" w:hAnsi="宋体" w:cs="楷体"/>
          <w:b/>
          <w:bCs/>
          <w:color w:val="auto"/>
          <w:szCs w:val="21"/>
          <w:highlight w:val="none"/>
          <w:lang w:val="en-US" w:eastAsia="zh-CN"/>
        </w:rPr>
        <w:t>加盖公章附</w:t>
      </w:r>
      <w:r>
        <w:rPr>
          <w:rFonts w:hint="eastAsia" w:ascii="宋体" w:hAnsi="宋体" w:cs="楷体"/>
          <w:b/>
          <w:bCs/>
          <w:color w:val="auto"/>
          <w:szCs w:val="21"/>
          <w:highlight w:val="none"/>
          <w:lang w:val="zh-CN"/>
        </w:rPr>
        <w:t>在响应文件中。</w:t>
      </w:r>
    </w:p>
    <w:p w14:paraId="581DF438">
      <w:pPr>
        <w:spacing w:line="360" w:lineRule="auto"/>
        <w:ind w:firstLine="422" w:firstLineChars="200"/>
        <w:rPr>
          <w:rFonts w:ascii="宋体" w:hAnsi="宋体" w:cs="楷体"/>
          <w:b/>
          <w:bCs/>
          <w:color w:val="auto"/>
          <w:szCs w:val="21"/>
          <w:highlight w:val="none"/>
          <w:lang w:val="zh-CN"/>
        </w:rPr>
      </w:pPr>
      <w:r>
        <w:rPr>
          <w:rFonts w:hint="eastAsia" w:ascii="宋体" w:hAnsi="宋体" w:cs="楷体"/>
          <w:b/>
          <w:bCs/>
          <w:color w:val="auto"/>
          <w:szCs w:val="21"/>
          <w:highlight w:val="none"/>
          <w:lang w:val="zh-CN"/>
        </w:rPr>
        <w:t>2、上述内容中如某一证件正在年检或换证，需年检或换证部门出具有效证明方可确认。</w:t>
      </w:r>
    </w:p>
    <w:p w14:paraId="629BAB48">
      <w:pPr>
        <w:pStyle w:val="13"/>
        <w:tabs>
          <w:tab w:val="left" w:pos="1365"/>
        </w:tabs>
        <w:adjustRightInd w:val="0"/>
        <w:snapToGrid w:val="0"/>
        <w:spacing w:line="400" w:lineRule="exact"/>
        <w:ind w:left="422"/>
        <w:rPr>
          <w:rFonts w:hint="eastAsia" w:ascii="宋体" w:hAnsi="宋体" w:cs="楷体"/>
          <w:b/>
          <w:bCs/>
          <w:color w:val="auto"/>
          <w:sz w:val="21"/>
          <w:szCs w:val="21"/>
          <w:highlight w:val="none"/>
          <w:lang w:val="zh-CN"/>
        </w:rPr>
      </w:pPr>
      <w:r>
        <w:rPr>
          <w:rFonts w:hint="eastAsia" w:ascii="宋体" w:hAnsi="宋体" w:cs="楷体"/>
          <w:b/>
          <w:bCs/>
          <w:color w:val="auto"/>
          <w:sz w:val="21"/>
          <w:szCs w:val="21"/>
          <w:highlight w:val="none"/>
          <w:lang w:val="en-US" w:eastAsia="zh-CN"/>
        </w:rPr>
        <w:t>3</w:t>
      </w:r>
      <w:r>
        <w:rPr>
          <w:rFonts w:hint="eastAsia" w:ascii="宋体" w:hAnsi="宋体" w:cs="楷体"/>
          <w:b/>
          <w:bCs/>
          <w:color w:val="auto"/>
          <w:sz w:val="21"/>
          <w:szCs w:val="21"/>
          <w:highlight w:val="none"/>
          <w:lang w:val="zh-CN"/>
        </w:rPr>
        <w:t>、上述要求供应商有一项不合格的，视为未通过初步评审，将不再进入后续评标。</w:t>
      </w:r>
    </w:p>
    <w:p w14:paraId="5C166FED">
      <w:pPr>
        <w:pStyle w:val="13"/>
        <w:tabs>
          <w:tab w:val="left" w:pos="1365"/>
        </w:tabs>
        <w:adjustRightInd w:val="0"/>
        <w:snapToGrid w:val="0"/>
        <w:spacing w:line="400" w:lineRule="exact"/>
        <w:ind w:left="422"/>
        <w:rPr>
          <w:rFonts w:hint="eastAsia" w:ascii="宋体" w:hAnsi="宋体" w:eastAsia="宋体" w:cs="宋体"/>
          <w:b/>
          <w:bCs/>
          <w:sz w:val="21"/>
          <w:szCs w:val="21"/>
          <w:highlight w:val="none"/>
          <w:lang w:val="zh-CN"/>
        </w:rPr>
      </w:pPr>
    </w:p>
    <w:p w14:paraId="74B8BFF9">
      <w:pPr>
        <w:jc w:val="both"/>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2.</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 xml:space="preserve"> 分值构成及评分标准</w:t>
      </w:r>
    </w:p>
    <w:tbl>
      <w:tblPr>
        <w:tblStyle w:val="27"/>
        <w:tblpPr w:leftFromText="180" w:rightFromText="180" w:vertAnchor="text" w:tblpXSpec="center" w:tblpY="1"/>
        <w:tblOverlap w:val="never"/>
        <w:tblW w:w="9906"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1316"/>
        <w:gridCol w:w="1708"/>
        <w:gridCol w:w="5969"/>
      </w:tblGrid>
      <w:tr w14:paraId="6815D08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229" w:type="dxa"/>
            <w:gridSpan w:val="2"/>
            <w:tcBorders>
              <w:tl2br w:val="nil"/>
              <w:tr2bl w:val="nil"/>
            </w:tcBorders>
          </w:tcPr>
          <w:p w14:paraId="05C468EE">
            <w:pPr>
              <w:keepNext/>
              <w:keepLines/>
              <w:pageBreakBefore w:val="0"/>
              <w:widowControl w:val="0"/>
              <w:kinsoku/>
              <w:wordWrap w:val="0"/>
              <w:overflowPunct/>
              <w:topLinePunct/>
              <w:autoSpaceDE/>
              <w:autoSpaceDN/>
              <w:bidi w:val="0"/>
              <w:adjustRightInd/>
              <w:snapToGrid/>
              <w:spacing w:line="380" w:lineRule="exact"/>
              <w:ind w:firstLine="585"/>
              <w:textAlignment w:val="auto"/>
              <w:rPr>
                <w:rFonts w:ascii="宋体" w:hAnsi="宋体" w:eastAsia="宋体" w:cs="宋体"/>
                <w:highlight w:val="none"/>
              </w:rPr>
            </w:pPr>
            <w:r>
              <w:rPr>
                <w:rFonts w:ascii="宋体" w:hAnsi="宋体" w:eastAsia="宋体" w:cs="宋体"/>
                <w:highlight w:val="none"/>
              </w:rPr>
              <w:t>条款号</w:t>
            </w:r>
          </w:p>
        </w:tc>
        <w:tc>
          <w:tcPr>
            <w:tcW w:w="1708" w:type="dxa"/>
            <w:tcBorders>
              <w:tl2br w:val="nil"/>
              <w:tr2bl w:val="nil"/>
            </w:tcBorders>
          </w:tcPr>
          <w:p w14:paraId="662654BB">
            <w:pPr>
              <w:keepNext/>
              <w:keepLines/>
              <w:pageBreakBefore w:val="0"/>
              <w:widowControl w:val="0"/>
              <w:kinsoku/>
              <w:wordWrap w:val="0"/>
              <w:overflowPunct/>
              <w:topLinePunct/>
              <w:autoSpaceDE/>
              <w:autoSpaceDN/>
              <w:bidi w:val="0"/>
              <w:adjustRightInd/>
              <w:snapToGrid/>
              <w:spacing w:line="380" w:lineRule="exact"/>
              <w:jc w:val="center"/>
              <w:textAlignment w:val="auto"/>
              <w:rPr>
                <w:rFonts w:ascii="宋体" w:hAnsi="宋体" w:eastAsia="宋体" w:cs="宋体"/>
                <w:highlight w:val="none"/>
              </w:rPr>
            </w:pPr>
            <w:r>
              <w:rPr>
                <w:rFonts w:ascii="宋体" w:hAnsi="宋体" w:eastAsia="宋体" w:cs="宋体"/>
                <w:highlight w:val="none"/>
              </w:rPr>
              <w:t>条款内容</w:t>
            </w:r>
          </w:p>
        </w:tc>
        <w:tc>
          <w:tcPr>
            <w:tcW w:w="5969" w:type="dxa"/>
            <w:tcBorders>
              <w:tl2br w:val="nil"/>
              <w:tr2bl w:val="nil"/>
            </w:tcBorders>
          </w:tcPr>
          <w:p w14:paraId="4F9ECEBF">
            <w:pPr>
              <w:keepNext/>
              <w:keepLines/>
              <w:pageBreakBefore w:val="0"/>
              <w:widowControl w:val="0"/>
              <w:kinsoku/>
              <w:wordWrap w:val="0"/>
              <w:overflowPunct/>
              <w:topLinePunct/>
              <w:autoSpaceDE/>
              <w:autoSpaceDN/>
              <w:bidi w:val="0"/>
              <w:adjustRightInd/>
              <w:snapToGrid/>
              <w:spacing w:line="380" w:lineRule="exact"/>
              <w:ind w:firstLine="2567"/>
              <w:textAlignment w:val="auto"/>
              <w:rPr>
                <w:rFonts w:ascii="宋体" w:hAnsi="宋体" w:eastAsia="宋体" w:cs="宋体"/>
                <w:highlight w:val="none"/>
              </w:rPr>
            </w:pPr>
            <w:r>
              <w:rPr>
                <w:rFonts w:ascii="宋体" w:hAnsi="宋体" w:eastAsia="宋体" w:cs="宋体"/>
                <w:highlight w:val="none"/>
              </w:rPr>
              <w:t>编列内容</w:t>
            </w:r>
          </w:p>
        </w:tc>
      </w:tr>
      <w:tr w14:paraId="29595FB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2229" w:type="dxa"/>
            <w:gridSpan w:val="2"/>
            <w:tcBorders>
              <w:tl2br w:val="nil"/>
              <w:tr2bl w:val="nil"/>
            </w:tcBorders>
            <w:vAlign w:val="center"/>
          </w:tcPr>
          <w:p w14:paraId="675E3E31">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2.2.1</w:t>
            </w:r>
          </w:p>
        </w:tc>
        <w:tc>
          <w:tcPr>
            <w:tcW w:w="1708" w:type="dxa"/>
            <w:tcBorders>
              <w:tl2br w:val="nil"/>
              <w:tr2bl w:val="nil"/>
            </w:tcBorders>
            <w:vAlign w:val="center"/>
          </w:tcPr>
          <w:p w14:paraId="77DDC8B2">
            <w:pPr>
              <w:keepNext/>
              <w:keepLines/>
              <w:pageBreakBefore w:val="0"/>
              <w:widowControl w:val="0"/>
              <w:kinsoku/>
              <w:wordWrap w:val="0"/>
              <w:overflowPunct/>
              <w:topLinePunct/>
              <w:autoSpaceDE/>
              <w:autoSpaceDN/>
              <w:bidi w:val="0"/>
              <w:adjustRightInd/>
              <w:snapToGrid/>
              <w:spacing w:line="380" w:lineRule="exact"/>
              <w:ind w:right="105" w:rightChars="50"/>
              <w:jc w:val="center"/>
              <w:textAlignment w:val="auto"/>
              <w:rPr>
                <w:rFonts w:ascii="宋体" w:hAnsi="宋体" w:eastAsia="宋体" w:cs="宋体"/>
                <w:highlight w:val="none"/>
              </w:rPr>
            </w:pPr>
            <w:r>
              <w:rPr>
                <w:rFonts w:ascii="宋体" w:hAnsi="宋体" w:eastAsia="宋体" w:cs="宋体"/>
                <w:highlight w:val="none"/>
              </w:rPr>
              <w:t>分值构成</w:t>
            </w:r>
          </w:p>
          <w:p w14:paraId="799DE4EB">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（总分100分）</w:t>
            </w:r>
          </w:p>
        </w:tc>
        <w:tc>
          <w:tcPr>
            <w:tcW w:w="5969" w:type="dxa"/>
            <w:tcBorders>
              <w:tl2br w:val="nil"/>
              <w:tr2bl w:val="nil"/>
            </w:tcBorders>
            <w:vAlign w:val="center"/>
          </w:tcPr>
          <w:p w14:paraId="0CAA7A99">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both"/>
              <w:textAlignment w:val="auto"/>
              <w:rPr>
                <w:rFonts w:hint="default" w:ascii="宋体" w:hAnsi="宋体" w:cs="宋体"/>
                <w:highlight w:val="none"/>
                <w:lang w:val="en-US" w:eastAsia="zh-CN"/>
              </w:rPr>
            </w:pPr>
            <w:r>
              <w:rPr>
                <w:rFonts w:hint="eastAsia" w:ascii="宋体" w:hAnsi="宋体" w:cs="宋体"/>
                <w:highlight w:val="none"/>
                <w:lang w:val="en-US" w:eastAsia="zh-CN"/>
              </w:rPr>
              <w:t>投标报价：15分</w:t>
            </w:r>
          </w:p>
          <w:p w14:paraId="20583876">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both"/>
              <w:textAlignment w:val="auto"/>
              <w:rPr>
                <w:rFonts w:ascii="宋体" w:hAnsi="宋体" w:eastAsia="宋体" w:cs="宋体"/>
                <w:highlight w:val="none"/>
              </w:rPr>
            </w:pPr>
            <w:r>
              <w:rPr>
                <w:rFonts w:hint="eastAsia" w:ascii="宋体" w:hAnsi="宋体" w:cs="宋体"/>
                <w:highlight w:val="none"/>
                <w:lang w:val="en-US" w:eastAsia="zh-CN"/>
              </w:rPr>
              <w:t>服务方案</w:t>
            </w:r>
            <w:r>
              <w:rPr>
                <w:rFonts w:hint="eastAsia" w:ascii="宋体" w:hAnsi="宋体" w:eastAsia="宋体" w:cs="宋体"/>
                <w:highlight w:val="none"/>
              </w:rPr>
              <w:t>：</w:t>
            </w:r>
            <w:r>
              <w:rPr>
                <w:rFonts w:hint="eastAsia" w:ascii="宋体" w:hAnsi="宋体" w:cs="宋体"/>
                <w:highlight w:val="none"/>
                <w:lang w:val="en-US" w:eastAsia="zh-CN"/>
              </w:rPr>
              <w:t>60</w:t>
            </w:r>
            <w:r>
              <w:rPr>
                <w:rFonts w:hint="eastAsia" w:ascii="宋体" w:hAnsi="宋体" w:eastAsia="宋体" w:cs="宋体"/>
                <w:highlight w:val="none"/>
              </w:rPr>
              <w:t>分</w:t>
            </w:r>
          </w:p>
          <w:p w14:paraId="338FD9EA">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both"/>
              <w:textAlignment w:val="auto"/>
              <w:rPr>
                <w:rFonts w:ascii="宋体" w:hAnsi="宋体" w:eastAsia="宋体" w:cs="宋体"/>
                <w:highlight w:val="none"/>
              </w:rPr>
            </w:pPr>
            <w:r>
              <w:rPr>
                <w:rFonts w:hint="eastAsia" w:ascii="宋体" w:hAnsi="宋体" w:eastAsia="宋体" w:cs="宋体"/>
                <w:highlight w:val="none"/>
              </w:rPr>
              <w:t>其他因素：</w:t>
            </w:r>
            <w:r>
              <w:rPr>
                <w:rFonts w:hint="eastAsia" w:ascii="宋体" w:hAnsi="宋体" w:cs="宋体"/>
                <w:highlight w:val="none"/>
                <w:lang w:val="en-US" w:eastAsia="zh-CN"/>
              </w:rPr>
              <w:t>25</w:t>
            </w:r>
            <w:r>
              <w:rPr>
                <w:rFonts w:hint="eastAsia" w:ascii="宋体" w:hAnsi="宋体" w:eastAsia="宋体" w:cs="宋体"/>
                <w:highlight w:val="none"/>
              </w:rPr>
              <w:t>分</w:t>
            </w:r>
          </w:p>
        </w:tc>
      </w:tr>
      <w:tr w14:paraId="47EB8E0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29" w:type="dxa"/>
            <w:gridSpan w:val="2"/>
            <w:tcBorders>
              <w:tl2br w:val="nil"/>
              <w:tr2bl w:val="nil"/>
            </w:tcBorders>
            <w:vAlign w:val="center"/>
          </w:tcPr>
          <w:p w14:paraId="1BEB1383">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条款号</w:t>
            </w:r>
          </w:p>
        </w:tc>
        <w:tc>
          <w:tcPr>
            <w:tcW w:w="1708" w:type="dxa"/>
            <w:tcBorders>
              <w:tl2br w:val="nil"/>
              <w:tr2bl w:val="nil"/>
            </w:tcBorders>
            <w:vAlign w:val="center"/>
          </w:tcPr>
          <w:p w14:paraId="693266F3">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评分因素</w:t>
            </w:r>
          </w:p>
        </w:tc>
        <w:tc>
          <w:tcPr>
            <w:tcW w:w="5969" w:type="dxa"/>
            <w:tcBorders>
              <w:tl2br w:val="nil"/>
              <w:tr2bl w:val="nil"/>
            </w:tcBorders>
            <w:vAlign w:val="center"/>
          </w:tcPr>
          <w:p w14:paraId="4A144547">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评分标准</w:t>
            </w:r>
          </w:p>
        </w:tc>
      </w:tr>
      <w:tr w14:paraId="72BC0DE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13" w:type="dxa"/>
            <w:tcBorders>
              <w:tl2br w:val="nil"/>
              <w:tr2bl w:val="nil"/>
            </w:tcBorders>
            <w:vAlign w:val="center"/>
          </w:tcPr>
          <w:p w14:paraId="50667EBD">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2.2.2（1）</w:t>
            </w:r>
          </w:p>
        </w:tc>
        <w:tc>
          <w:tcPr>
            <w:tcW w:w="1316" w:type="dxa"/>
            <w:tcBorders>
              <w:tl2br w:val="nil"/>
              <w:tr2bl w:val="nil"/>
            </w:tcBorders>
            <w:vAlign w:val="center"/>
          </w:tcPr>
          <w:p w14:paraId="6D185968">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cs="宋体"/>
                <w:highlight w:val="none"/>
                <w:lang w:val="en-US" w:eastAsia="zh-CN"/>
              </w:rPr>
            </w:pPr>
            <w:r>
              <w:rPr>
                <w:rFonts w:hint="eastAsia" w:ascii="宋体" w:hAnsi="宋体" w:cs="宋体"/>
                <w:highlight w:val="none"/>
                <w:lang w:val="en-US" w:eastAsia="zh-CN"/>
              </w:rPr>
              <w:t>投标报价</w:t>
            </w:r>
          </w:p>
          <w:p w14:paraId="41D9B866">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cs="宋体"/>
                <w:highlight w:val="none"/>
                <w:lang w:val="en-US" w:eastAsia="zh-CN"/>
              </w:rPr>
            </w:pPr>
            <w:r>
              <w:rPr>
                <w:rFonts w:hint="eastAsia" w:ascii="宋体" w:hAnsi="宋体" w:cs="宋体"/>
                <w:highlight w:val="none"/>
                <w:lang w:val="en-US" w:eastAsia="zh-CN"/>
              </w:rPr>
              <w:t>评分标准</w:t>
            </w:r>
          </w:p>
          <w:p w14:paraId="1361568B">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（15分）</w:t>
            </w:r>
          </w:p>
        </w:tc>
        <w:tc>
          <w:tcPr>
            <w:tcW w:w="1708" w:type="dxa"/>
            <w:tcBorders>
              <w:tl2br w:val="nil"/>
              <w:tr2bl w:val="nil"/>
            </w:tcBorders>
            <w:vAlign w:val="center"/>
          </w:tcPr>
          <w:p w14:paraId="14C7BD78">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cs="宋体"/>
                <w:highlight w:val="none"/>
                <w:lang w:val="en-US" w:eastAsia="zh-CN"/>
              </w:rPr>
            </w:pPr>
            <w:r>
              <w:rPr>
                <w:rFonts w:hint="eastAsia" w:ascii="宋体" w:hAnsi="宋体" w:cs="宋体"/>
                <w:highlight w:val="none"/>
                <w:lang w:val="en-US" w:eastAsia="zh-CN"/>
              </w:rPr>
              <w:t>投标报价</w:t>
            </w:r>
          </w:p>
          <w:p w14:paraId="2517B7F2">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（15分）</w:t>
            </w:r>
          </w:p>
        </w:tc>
        <w:tc>
          <w:tcPr>
            <w:tcW w:w="5969" w:type="dxa"/>
            <w:tcBorders>
              <w:tl2br w:val="nil"/>
              <w:tr2bl w:val="nil"/>
            </w:tcBorders>
            <w:vAlign w:val="center"/>
          </w:tcPr>
          <w:p w14:paraId="0EFA8F0B">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left"/>
              <w:textAlignment w:val="auto"/>
              <w:rPr>
                <w:rFonts w:hint="eastAsia" w:ascii="宋体" w:hAnsi="宋体"/>
                <w:color w:val="auto"/>
                <w:szCs w:val="21"/>
                <w:highlight w:val="none"/>
              </w:rPr>
            </w:pPr>
            <w:r>
              <w:rPr>
                <w:rFonts w:ascii="宋体" w:hAnsi="宋体"/>
                <w:color w:val="000000"/>
                <w:szCs w:val="21"/>
                <w:highlight w:val="none"/>
              </w:rPr>
              <w:t>评标基准价计算</w:t>
            </w:r>
            <w:r>
              <w:rPr>
                <w:rFonts w:hint="eastAsia" w:ascii="宋体" w:hAnsi="宋体"/>
                <w:color w:val="000000"/>
                <w:szCs w:val="21"/>
                <w:highlight w:val="none"/>
              </w:rPr>
              <w:t>方法</w:t>
            </w:r>
            <w:r>
              <w:rPr>
                <w:rFonts w:hint="eastAsia" w:ascii="宋体" w:hAnsi="宋体"/>
                <w:color w:val="000000"/>
                <w:szCs w:val="21"/>
                <w:highlight w:val="none"/>
                <w:lang w:eastAsia="zh-CN"/>
              </w:rPr>
              <w:t>：</w:t>
            </w:r>
            <w:r>
              <w:rPr>
                <w:rFonts w:hint="eastAsia" w:ascii="宋体" w:hAnsi="宋体"/>
                <w:color w:val="auto"/>
                <w:szCs w:val="21"/>
                <w:highlight w:val="none"/>
              </w:rPr>
              <w:t>取通过初步评审合格的有效投标报价最低价为评标基准价。</w:t>
            </w:r>
          </w:p>
          <w:p w14:paraId="6A8F0E71">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left"/>
              <w:textAlignment w:val="auto"/>
              <w:rPr>
                <w:rFonts w:hint="eastAsia" w:ascii="宋体" w:hAnsi="宋体" w:eastAsia="宋体" w:cs="宋体"/>
                <w:highlight w:val="none"/>
                <w:lang w:eastAsia="zh-CN"/>
              </w:rPr>
            </w:pPr>
            <w:r>
              <w:rPr>
                <w:rFonts w:hint="eastAsia" w:ascii="宋体" w:hAnsi="宋体" w:eastAsia="宋体" w:cs="宋体"/>
                <w:color w:val="000000"/>
                <w:highlight w:val="none"/>
              </w:rPr>
              <w:t>投标报价得分=（评标基准价/投标报价）*</w:t>
            </w:r>
            <w:r>
              <w:rPr>
                <w:rFonts w:hint="eastAsia" w:ascii="宋体" w:hAnsi="宋体" w:cs="宋体"/>
                <w:color w:val="000000"/>
                <w:highlight w:val="none"/>
                <w:lang w:val="en-US" w:eastAsia="zh-CN"/>
              </w:rPr>
              <w:t>15%</w:t>
            </w:r>
            <w:r>
              <w:rPr>
                <w:rFonts w:hint="eastAsia" w:ascii="宋体" w:hAnsi="宋体" w:eastAsia="宋体" w:cs="宋体"/>
                <w:color w:val="000000"/>
                <w:highlight w:val="none"/>
              </w:rPr>
              <w:t>*100</w:t>
            </w:r>
          </w:p>
        </w:tc>
      </w:tr>
      <w:tr w14:paraId="497B4EC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913" w:type="dxa"/>
            <w:vMerge w:val="restart"/>
            <w:tcBorders>
              <w:tl2br w:val="nil"/>
              <w:tr2bl w:val="nil"/>
            </w:tcBorders>
            <w:vAlign w:val="center"/>
          </w:tcPr>
          <w:p w14:paraId="6D8BAE0F">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eastAsia="宋体" w:cs="宋体"/>
                <w:highlight w:val="none"/>
                <w:lang w:eastAsia="zh-CN"/>
              </w:rPr>
            </w:pPr>
            <w:r>
              <w:rPr>
                <w:rFonts w:ascii="宋体" w:hAnsi="宋体" w:eastAsia="宋体" w:cs="宋体"/>
                <w:highlight w:val="none"/>
              </w:rPr>
              <w:t>2.2.</w:t>
            </w:r>
            <w:r>
              <w:rPr>
                <w:rFonts w:hint="eastAsia" w:ascii="宋体" w:hAnsi="宋体" w:cs="宋体"/>
                <w:highlight w:val="none"/>
                <w:lang w:val="en-US" w:eastAsia="zh-CN"/>
              </w:rPr>
              <w:t>2</w:t>
            </w:r>
          </w:p>
          <w:p w14:paraId="3F1ED3E4">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w:t>
            </w:r>
            <w:r>
              <w:rPr>
                <w:rFonts w:hint="eastAsia" w:ascii="宋体" w:hAnsi="宋体" w:cs="宋体"/>
                <w:highlight w:val="none"/>
                <w:lang w:val="en-US" w:eastAsia="zh-CN"/>
              </w:rPr>
              <w:t>2</w:t>
            </w:r>
            <w:r>
              <w:rPr>
                <w:rFonts w:ascii="宋体" w:hAnsi="宋体" w:eastAsia="宋体" w:cs="宋体"/>
                <w:highlight w:val="none"/>
              </w:rPr>
              <w:t>）</w:t>
            </w:r>
          </w:p>
        </w:tc>
        <w:tc>
          <w:tcPr>
            <w:tcW w:w="1316" w:type="dxa"/>
            <w:vMerge w:val="restart"/>
            <w:tcBorders>
              <w:tl2br w:val="nil"/>
              <w:tr2bl w:val="nil"/>
            </w:tcBorders>
            <w:vAlign w:val="center"/>
          </w:tcPr>
          <w:p w14:paraId="3D4B5F4C">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cs="宋体"/>
                <w:highlight w:val="none"/>
                <w:lang w:val="en-US" w:eastAsia="zh-CN"/>
              </w:rPr>
            </w:pPr>
            <w:r>
              <w:rPr>
                <w:rFonts w:hint="eastAsia" w:ascii="宋体" w:hAnsi="宋体" w:cs="宋体"/>
                <w:highlight w:val="none"/>
                <w:lang w:val="en-US" w:eastAsia="zh-CN"/>
              </w:rPr>
              <w:t>服务方案</w:t>
            </w:r>
          </w:p>
          <w:p w14:paraId="2F1F0C73">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评分标准</w:t>
            </w:r>
          </w:p>
          <w:p w14:paraId="41C59F6C">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w:t>
            </w:r>
            <w:r>
              <w:rPr>
                <w:rFonts w:hint="eastAsia" w:ascii="宋体" w:hAnsi="宋体" w:cs="宋体"/>
                <w:highlight w:val="none"/>
                <w:lang w:val="en-US" w:eastAsia="zh-CN"/>
              </w:rPr>
              <w:t>60</w:t>
            </w:r>
            <w:r>
              <w:rPr>
                <w:rFonts w:ascii="宋体" w:hAnsi="宋体" w:eastAsia="宋体" w:cs="宋体"/>
                <w:highlight w:val="none"/>
              </w:rPr>
              <w:t>分）</w:t>
            </w:r>
          </w:p>
        </w:tc>
        <w:tc>
          <w:tcPr>
            <w:tcW w:w="1708" w:type="dxa"/>
            <w:tcBorders>
              <w:tl2br w:val="nil"/>
              <w:tr2bl w:val="nil"/>
            </w:tcBorders>
            <w:vAlign w:val="center"/>
          </w:tcPr>
          <w:p w14:paraId="5EE6DC65">
            <w:pPr>
              <w:pageBreakBefore w:val="0"/>
              <w:widowControl w:val="0"/>
              <w:kinsoku/>
              <w:overflowPunct/>
              <w:autoSpaceDE/>
              <w:autoSpaceDN/>
              <w:bidi w:val="0"/>
              <w:adjustRightInd/>
              <w:snapToGrid/>
              <w:spacing w:line="380" w:lineRule="exact"/>
              <w:jc w:val="center"/>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污泥处理工艺</w:t>
            </w:r>
          </w:p>
          <w:p w14:paraId="62E8D1EE">
            <w:pPr>
              <w:pageBreakBefore w:val="0"/>
              <w:widowControl w:val="0"/>
              <w:kinsoku/>
              <w:overflowPunct/>
              <w:autoSpaceDE/>
              <w:autoSpaceDN/>
              <w:bidi w:val="0"/>
              <w:adjustRightInd/>
              <w:snapToGrid/>
              <w:spacing w:line="380" w:lineRule="exact"/>
              <w:jc w:val="center"/>
              <w:textAlignment w:val="auto"/>
              <w:rPr>
                <w:rFonts w:ascii="宋体" w:hAnsi="宋体" w:eastAsia="宋体" w:cs="宋体"/>
                <w:kern w:val="2"/>
                <w:sz w:val="21"/>
                <w:highlight w:val="none"/>
                <w:lang w:val="en-US" w:eastAsia="zh-CN" w:bidi="ar-SA"/>
              </w:rPr>
            </w:pPr>
            <w:r>
              <w:rPr>
                <w:rFonts w:hint="eastAsia" w:ascii="宋体" w:hAnsi="宋体" w:cs="宋体"/>
                <w:color w:val="auto"/>
                <w:highlight w:val="none"/>
              </w:rPr>
              <w:t>（</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5969" w:type="dxa"/>
            <w:tcBorders>
              <w:tl2br w:val="nil"/>
              <w:tr2bl w:val="nil"/>
            </w:tcBorders>
            <w:vAlign w:val="center"/>
          </w:tcPr>
          <w:p w14:paraId="082FE9A4">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针对</w:t>
            </w:r>
            <w:r>
              <w:rPr>
                <w:rFonts w:hint="eastAsia" w:ascii="宋体" w:hAnsi="宋体" w:cs="宋体"/>
                <w:b w:val="0"/>
                <w:bCs/>
                <w:sz w:val="21"/>
                <w:szCs w:val="21"/>
                <w:highlight w:val="none"/>
                <w:lang w:val="en-US" w:eastAsia="zh-CN"/>
              </w:rPr>
              <w:t>污泥处理工艺</w:t>
            </w:r>
            <w:r>
              <w:rPr>
                <w:rFonts w:hint="eastAsia" w:ascii="宋体" w:hAnsi="宋体" w:cs="宋体"/>
                <w:color w:val="auto"/>
                <w:highlight w:val="none"/>
              </w:rPr>
              <w:t>进行比较</w:t>
            </w:r>
            <w:r>
              <w:rPr>
                <w:rFonts w:hint="eastAsia" w:ascii="宋体" w:hAnsi="宋体" w:cs="宋体"/>
                <w:color w:val="auto"/>
                <w:highlight w:val="none"/>
                <w:lang w:eastAsia="zh-CN"/>
              </w:rPr>
              <w:t>：</w:t>
            </w:r>
          </w:p>
          <w:p w14:paraId="6E7292C8">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15</w:t>
            </w:r>
            <w:r>
              <w:rPr>
                <w:rFonts w:hint="eastAsia" w:ascii="宋体" w:hAnsi="宋体" w:cs="宋体"/>
                <w:color w:val="auto"/>
                <w:highlight w:val="none"/>
              </w:rPr>
              <w:t>分</w:t>
            </w:r>
            <w:r>
              <w:rPr>
                <w:rFonts w:hint="eastAsia" w:ascii="宋体" w:hAnsi="宋体" w:cs="宋体"/>
                <w:color w:val="auto"/>
                <w:highlight w:val="none"/>
                <w:lang w:eastAsia="zh-CN"/>
              </w:rPr>
              <w:t>；</w:t>
            </w:r>
          </w:p>
          <w:p w14:paraId="7831293D">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比较详细、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10</w:t>
            </w:r>
            <w:r>
              <w:rPr>
                <w:rFonts w:hint="eastAsia" w:ascii="宋体" w:hAnsi="宋体" w:cs="宋体"/>
                <w:color w:val="auto"/>
                <w:highlight w:val="none"/>
              </w:rPr>
              <w:t>分</w:t>
            </w:r>
            <w:r>
              <w:rPr>
                <w:rFonts w:hint="eastAsia" w:ascii="宋体" w:hAnsi="宋体" w:cs="宋体"/>
                <w:color w:val="auto"/>
                <w:highlight w:val="none"/>
                <w:lang w:eastAsia="zh-CN"/>
              </w:rPr>
              <w:t>；</w:t>
            </w:r>
          </w:p>
          <w:p w14:paraId="3F99000B">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基本详细、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eastAsia="zh-CN"/>
              </w:rPr>
              <w:t>；</w:t>
            </w:r>
          </w:p>
          <w:p w14:paraId="6B9402DF">
            <w:pPr>
              <w:pageBreakBefore w:val="0"/>
              <w:widowControl w:val="0"/>
              <w:kinsoku/>
              <w:overflowPunct/>
              <w:autoSpaceDE/>
              <w:autoSpaceDN/>
              <w:bidi w:val="0"/>
              <w:adjustRightInd/>
              <w:snapToGrid/>
              <w:spacing w:line="380" w:lineRule="exact"/>
              <w:ind w:left="105" w:leftChars="50" w:right="105" w:rightChars="50"/>
              <w:jc w:val="both"/>
              <w:textAlignment w:val="auto"/>
              <w:rPr>
                <w:rFonts w:ascii="宋体" w:hAnsi="宋体" w:eastAsia="宋体" w:cs="宋体"/>
                <w:kern w:val="2"/>
                <w:sz w:val="21"/>
                <w:highlight w:val="none"/>
                <w:lang w:val="en-US" w:eastAsia="zh-CN" w:bidi="ar-SA"/>
              </w:rPr>
            </w:pPr>
            <w:r>
              <w:rPr>
                <w:rFonts w:hint="eastAsia" w:ascii="宋体" w:hAnsi="宋体" w:eastAsia="宋体" w:cs="宋体"/>
                <w:color w:val="auto"/>
                <w:highlight w:val="none"/>
              </w:rPr>
              <w:t>内容</w:t>
            </w:r>
            <w:r>
              <w:rPr>
                <w:rFonts w:hint="eastAsia" w:ascii="宋体" w:hAnsi="宋体" w:cs="宋体"/>
                <w:color w:val="auto"/>
                <w:highlight w:val="none"/>
                <w:lang w:val="en-US" w:eastAsia="zh-CN"/>
              </w:rPr>
              <w:t>不详细、不</w:t>
            </w:r>
            <w:r>
              <w:rPr>
                <w:rFonts w:hint="eastAsia" w:ascii="宋体" w:hAnsi="宋体" w:cs="宋体"/>
                <w:color w:val="auto"/>
                <w:highlight w:val="none"/>
              </w:rPr>
              <w:t>完整、</w:t>
            </w:r>
            <w:r>
              <w:rPr>
                <w:rFonts w:hint="eastAsia" w:ascii="宋体" w:hAnsi="宋体" w:cs="宋体"/>
                <w:color w:val="auto"/>
                <w:highlight w:val="none"/>
                <w:lang w:val="en-US" w:eastAsia="zh-CN"/>
              </w:rPr>
              <w:t>不</w:t>
            </w:r>
            <w:r>
              <w:rPr>
                <w:rFonts w:hint="eastAsia" w:ascii="宋体" w:hAnsi="宋体" w:cs="宋体"/>
                <w:color w:val="auto"/>
                <w:highlight w:val="none"/>
              </w:rPr>
              <w:t>合理、</w:t>
            </w:r>
            <w:r>
              <w:rPr>
                <w:rFonts w:hint="eastAsia" w:ascii="宋体" w:hAnsi="宋体" w:cs="宋体"/>
                <w:color w:val="auto"/>
                <w:highlight w:val="none"/>
                <w:lang w:val="en-US" w:eastAsia="zh-CN"/>
              </w:rPr>
              <w:t>不高效、不</w:t>
            </w:r>
            <w:r>
              <w:rPr>
                <w:rFonts w:hint="eastAsia" w:ascii="宋体" w:hAnsi="宋体" w:cs="宋体"/>
                <w:color w:val="auto"/>
                <w:highlight w:val="none"/>
              </w:rPr>
              <w:t>可行</w:t>
            </w:r>
            <w:r>
              <w:rPr>
                <w:rFonts w:hint="eastAsia" w:ascii="宋体" w:hAnsi="宋体" w:eastAsia="宋体" w:cs="宋体"/>
                <w:color w:val="auto"/>
                <w:highlight w:val="none"/>
              </w:rPr>
              <w:t>或没有不得分。</w:t>
            </w:r>
          </w:p>
        </w:tc>
      </w:tr>
      <w:tr w14:paraId="2A8F8F8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13" w:type="dxa"/>
            <w:vMerge w:val="continue"/>
            <w:tcBorders>
              <w:tl2br w:val="nil"/>
              <w:tr2bl w:val="nil"/>
            </w:tcBorders>
            <w:vAlign w:val="center"/>
          </w:tcPr>
          <w:p w14:paraId="55F8D33D">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195D141E">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47A996DA">
            <w:pPr>
              <w:pageBreakBefore w:val="0"/>
              <w:widowControl w:val="0"/>
              <w:kinsoku/>
              <w:overflowPunct/>
              <w:autoSpaceDE/>
              <w:autoSpaceDN/>
              <w:bidi w:val="0"/>
              <w:adjustRightInd/>
              <w:snapToGrid/>
              <w:spacing w:line="380" w:lineRule="exact"/>
              <w:jc w:val="center"/>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污泥处置方式</w:t>
            </w:r>
          </w:p>
          <w:p w14:paraId="0D0609C6">
            <w:pPr>
              <w:pageBreakBefore w:val="0"/>
              <w:widowControl w:val="0"/>
              <w:kinsoku/>
              <w:overflowPunct/>
              <w:autoSpaceDE/>
              <w:autoSpaceDN/>
              <w:bidi w:val="0"/>
              <w:adjustRightInd/>
              <w:snapToGrid/>
              <w:spacing w:line="380" w:lineRule="exact"/>
              <w:jc w:val="center"/>
              <w:textAlignment w:val="auto"/>
              <w:rPr>
                <w:rFonts w:ascii="宋体" w:hAnsi="宋体" w:eastAsia="宋体" w:cs="宋体"/>
                <w:kern w:val="2"/>
                <w:sz w:val="21"/>
                <w:highlight w:val="none"/>
                <w:lang w:val="en-US" w:eastAsia="zh-CN" w:bidi="ar-SA"/>
              </w:rPr>
            </w:pPr>
            <w:r>
              <w:rPr>
                <w:rFonts w:hint="eastAsia" w:ascii="宋体" w:hAnsi="宋体" w:cs="宋体"/>
                <w:bCs/>
                <w:color w:val="auto"/>
                <w:kern w:val="2"/>
                <w:highlight w:val="none"/>
                <w:lang w:val="zh-CN"/>
              </w:rPr>
              <w:t>（</w:t>
            </w:r>
            <w:r>
              <w:rPr>
                <w:rFonts w:hint="eastAsia" w:ascii="宋体" w:hAnsi="宋体" w:cs="宋体"/>
                <w:color w:val="auto"/>
                <w:highlight w:val="none"/>
                <w:lang w:val="en-US" w:eastAsia="zh-CN"/>
              </w:rPr>
              <w:t>15</w:t>
            </w:r>
            <w:r>
              <w:rPr>
                <w:rFonts w:hint="eastAsia" w:ascii="宋体" w:hAnsi="宋体" w:cs="宋体"/>
                <w:bCs/>
                <w:color w:val="auto"/>
                <w:kern w:val="2"/>
                <w:highlight w:val="none"/>
                <w:lang w:val="zh-CN"/>
              </w:rPr>
              <w:t>分）</w:t>
            </w:r>
          </w:p>
        </w:tc>
        <w:tc>
          <w:tcPr>
            <w:tcW w:w="5969" w:type="dxa"/>
            <w:tcBorders>
              <w:tl2br w:val="nil"/>
              <w:tr2bl w:val="nil"/>
            </w:tcBorders>
            <w:vAlign w:val="center"/>
          </w:tcPr>
          <w:p w14:paraId="08E036ED">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en-US" w:eastAsia="zh-CN"/>
              </w:rPr>
              <w:t>针对</w:t>
            </w:r>
            <w:r>
              <w:rPr>
                <w:rFonts w:hint="eastAsia" w:ascii="宋体" w:hAnsi="宋体" w:cs="宋体"/>
                <w:b w:val="0"/>
                <w:bCs/>
                <w:sz w:val="21"/>
                <w:szCs w:val="21"/>
                <w:highlight w:val="none"/>
                <w:lang w:val="en-US" w:eastAsia="zh-CN"/>
              </w:rPr>
              <w:t>污泥处置方式</w:t>
            </w:r>
            <w:r>
              <w:rPr>
                <w:rFonts w:hint="eastAsia" w:ascii="宋体" w:hAnsi="宋体" w:cs="宋体"/>
                <w:bCs/>
                <w:color w:val="auto"/>
                <w:kern w:val="2"/>
                <w:highlight w:val="none"/>
                <w:lang w:val="zh-CN"/>
              </w:rPr>
              <w:t>进行比较：</w:t>
            </w:r>
          </w:p>
          <w:p w14:paraId="238E9072">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15</w:t>
            </w:r>
            <w:r>
              <w:rPr>
                <w:rFonts w:hint="eastAsia" w:ascii="宋体" w:hAnsi="宋体" w:cs="宋体"/>
                <w:color w:val="auto"/>
                <w:highlight w:val="none"/>
              </w:rPr>
              <w:t>分</w:t>
            </w:r>
            <w:r>
              <w:rPr>
                <w:rFonts w:hint="eastAsia" w:ascii="宋体" w:hAnsi="宋体" w:cs="宋体"/>
                <w:color w:val="auto"/>
                <w:highlight w:val="none"/>
                <w:lang w:eastAsia="zh-CN"/>
              </w:rPr>
              <w:t>；</w:t>
            </w:r>
          </w:p>
          <w:p w14:paraId="6DC4759F">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比较详细、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10</w:t>
            </w:r>
            <w:r>
              <w:rPr>
                <w:rFonts w:hint="eastAsia" w:ascii="宋体" w:hAnsi="宋体" w:cs="宋体"/>
                <w:color w:val="auto"/>
                <w:highlight w:val="none"/>
              </w:rPr>
              <w:t>分</w:t>
            </w:r>
            <w:r>
              <w:rPr>
                <w:rFonts w:hint="eastAsia" w:ascii="宋体" w:hAnsi="宋体" w:cs="宋体"/>
                <w:color w:val="auto"/>
                <w:highlight w:val="none"/>
                <w:lang w:eastAsia="zh-CN"/>
              </w:rPr>
              <w:t>；</w:t>
            </w:r>
          </w:p>
          <w:p w14:paraId="306CC633">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基本详细、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eastAsia="zh-CN"/>
              </w:rPr>
              <w:t>；</w:t>
            </w:r>
          </w:p>
          <w:p w14:paraId="452323AC">
            <w:pPr>
              <w:pageBreakBefore w:val="0"/>
              <w:widowControl w:val="0"/>
              <w:kinsoku/>
              <w:overflowPunct/>
              <w:autoSpaceDE/>
              <w:autoSpaceDN/>
              <w:bidi w:val="0"/>
              <w:adjustRightInd/>
              <w:snapToGrid/>
              <w:spacing w:line="380" w:lineRule="exact"/>
              <w:ind w:left="105" w:leftChars="50" w:right="105" w:rightChars="50"/>
              <w:jc w:val="both"/>
              <w:textAlignment w:val="auto"/>
              <w:rPr>
                <w:rFonts w:ascii="宋体" w:hAnsi="宋体" w:eastAsia="宋体" w:cs="宋体"/>
                <w:kern w:val="2"/>
                <w:sz w:val="21"/>
                <w:highlight w:val="none"/>
                <w:lang w:val="en-US" w:eastAsia="zh-CN" w:bidi="ar-SA"/>
              </w:rPr>
            </w:pPr>
            <w:r>
              <w:rPr>
                <w:rFonts w:hint="eastAsia" w:ascii="宋体" w:hAnsi="宋体" w:eastAsia="宋体" w:cs="宋体"/>
                <w:color w:val="auto"/>
                <w:highlight w:val="none"/>
              </w:rPr>
              <w:t>内容</w:t>
            </w:r>
            <w:r>
              <w:rPr>
                <w:rFonts w:hint="eastAsia" w:ascii="宋体" w:hAnsi="宋体" w:cs="宋体"/>
                <w:color w:val="auto"/>
                <w:highlight w:val="none"/>
                <w:lang w:val="en-US" w:eastAsia="zh-CN"/>
              </w:rPr>
              <w:t>不详细、不</w:t>
            </w:r>
            <w:r>
              <w:rPr>
                <w:rFonts w:hint="eastAsia" w:ascii="宋体" w:hAnsi="宋体" w:cs="宋体"/>
                <w:color w:val="auto"/>
                <w:highlight w:val="none"/>
              </w:rPr>
              <w:t>完整、</w:t>
            </w:r>
            <w:r>
              <w:rPr>
                <w:rFonts w:hint="eastAsia" w:ascii="宋体" w:hAnsi="宋体" w:cs="宋体"/>
                <w:color w:val="auto"/>
                <w:highlight w:val="none"/>
                <w:lang w:val="en-US" w:eastAsia="zh-CN"/>
              </w:rPr>
              <w:t>不</w:t>
            </w:r>
            <w:r>
              <w:rPr>
                <w:rFonts w:hint="eastAsia" w:ascii="宋体" w:hAnsi="宋体" w:cs="宋体"/>
                <w:color w:val="auto"/>
                <w:highlight w:val="none"/>
              </w:rPr>
              <w:t>合理、</w:t>
            </w:r>
            <w:r>
              <w:rPr>
                <w:rFonts w:hint="eastAsia" w:ascii="宋体" w:hAnsi="宋体" w:cs="宋体"/>
                <w:color w:val="auto"/>
                <w:highlight w:val="none"/>
                <w:lang w:val="en-US" w:eastAsia="zh-CN"/>
              </w:rPr>
              <w:t>不高效、不</w:t>
            </w:r>
            <w:r>
              <w:rPr>
                <w:rFonts w:hint="eastAsia" w:ascii="宋体" w:hAnsi="宋体" w:cs="宋体"/>
                <w:color w:val="auto"/>
                <w:highlight w:val="none"/>
              </w:rPr>
              <w:t>可行</w:t>
            </w:r>
            <w:r>
              <w:rPr>
                <w:rFonts w:hint="eastAsia" w:ascii="宋体" w:hAnsi="宋体" w:eastAsia="宋体" w:cs="宋体"/>
                <w:color w:val="auto"/>
                <w:highlight w:val="none"/>
              </w:rPr>
              <w:t>或没有不得分。</w:t>
            </w:r>
          </w:p>
        </w:tc>
      </w:tr>
      <w:tr w14:paraId="1F11384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13" w:type="dxa"/>
            <w:vMerge w:val="continue"/>
            <w:tcBorders>
              <w:tl2br w:val="nil"/>
              <w:tr2bl w:val="nil"/>
            </w:tcBorders>
            <w:vAlign w:val="center"/>
          </w:tcPr>
          <w:p w14:paraId="5B466113">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2DBEB7F5">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18E0F992">
            <w:pPr>
              <w:pageBreakBefore w:val="0"/>
              <w:widowControl w:val="0"/>
              <w:kinsoku/>
              <w:overflowPunct/>
              <w:autoSpaceDE/>
              <w:autoSpaceDN/>
              <w:bidi w:val="0"/>
              <w:adjustRightInd/>
              <w:snapToGrid/>
              <w:spacing w:line="380" w:lineRule="exact"/>
              <w:jc w:val="center"/>
              <w:textAlignment w:val="auto"/>
              <w:rPr>
                <w:rFonts w:hint="eastAsia" w:ascii="宋体" w:hAnsi="宋体" w:cs="宋体"/>
                <w:bCs/>
                <w:color w:val="auto"/>
                <w:kern w:val="2"/>
                <w:highlight w:val="none"/>
                <w:lang w:val="zh-CN"/>
              </w:rPr>
            </w:pPr>
            <w:r>
              <w:rPr>
                <w:rFonts w:hint="eastAsia" w:ascii="宋体" w:hAnsi="宋体" w:cs="宋体"/>
                <w:b w:val="0"/>
                <w:bCs/>
                <w:sz w:val="21"/>
                <w:szCs w:val="21"/>
                <w:highlight w:val="none"/>
                <w:lang w:val="zh-CN"/>
              </w:rPr>
              <w:t>质量</w:t>
            </w:r>
            <w:r>
              <w:rPr>
                <w:rFonts w:hint="eastAsia" w:ascii="宋体" w:hAnsi="宋体" w:cs="宋体"/>
                <w:b w:val="0"/>
                <w:bCs/>
                <w:sz w:val="21"/>
                <w:szCs w:val="21"/>
                <w:highlight w:val="none"/>
                <w:lang w:val="en-US" w:eastAsia="zh-CN"/>
              </w:rPr>
              <w:t>管理体系与保证措施</w:t>
            </w:r>
            <w:r>
              <w:rPr>
                <w:rFonts w:hint="eastAsia" w:ascii="宋体" w:hAnsi="宋体" w:cs="宋体"/>
                <w:bCs/>
                <w:color w:val="auto"/>
                <w:kern w:val="2"/>
                <w:highlight w:val="none"/>
              </w:rPr>
              <w:t>（</w:t>
            </w:r>
            <w:r>
              <w:rPr>
                <w:rFonts w:hint="eastAsia" w:ascii="宋体" w:hAnsi="宋体" w:cs="宋体"/>
                <w:bCs/>
                <w:color w:val="auto"/>
                <w:kern w:val="2"/>
                <w:highlight w:val="none"/>
                <w:lang w:val="en-US" w:eastAsia="zh-CN"/>
              </w:rPr>
              <w:t>6</w:t>
            </w:r>
            <w:r>
              <w:rPr>
                <w:rFonts w:hint="eastAsia" w:ascii="宋体" w:hAnsi="宋体" w:cs="宋体"/>
                <w:bCs/>
                <w:color w:val="auto"/>
                <w:kern w:val="2"/>
                <w:highlight w:val="none"/>
                <w:lang w:val="zh-CN"/>
              </w:rPr>
              <w:t>分</w:t>
            </w:r>
            <w:r>
              <w:rPr>
                <w:rFonts w:hint="eastAsia" w:ascii="宋体" w:hAnsi="宋体" w:cs="宋体"/>
                <w:bCs/>
                <w:color w:val="auto"/>
                <w:kern w:val="2"/>
                <w:highlight w:val="none"/>
              </w:rPr>
              <w:t>）</w:t>
            </w:r>
          </w:p>
        </w:tc>
        <w:tc>
          <w:tcPr>
            <w:tcW w:w="5969" w:type="dxa"/>
            <w:tcBorders>
              <w:tl2br w:val="nil"/>
              <w:tr2bl w:val="nil"/>
            </w:tcBorders>
            <w:vAlign w:val="center"/>
          </w:tcPr>
          <w:p w14:paraId="6CA733F9">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en-US" w:eastAsia="zh-CN"/>
              </w:rPr>
              <w:t>针对</w:t>
            </w:r>
            <w:r>
              <w:rPr>
                <w:rFonts w:hint="eastAsia" w:ascii="宋体" w:hAnsi="宋体" w:cs="宋体"/>
                <w:b w:val="0"/>
                <w:bCs/>
                <w:sz w:val="21"/>
                <w:szCs w:val="21"/>
                <w:highlight w:val="none"/>
                <w:lang w:val="zh-CN"/>
              </w:rPr>
              <w:t>质量</w:t>
            </w:r>
            <w:r>
              <w:rPr>
                <w:rFonts w:hint="eastAsia" w:ascii="宋体" w:hAnsi="宋体" w:cs="宋体"/>
                <w:b w:val="0"/>
                <w:bCs/>
                <w:sz w:val="21"/>
                <w:szCs w:val="21"/>
                <w:highlight w:val="none"/>
                <w:lang w:val="en-US" w:eastAsia="zh-CN"/>
              </w:rPr>
              <w:t>管理体系与保证措施</w:t>
            </w:r>
            <w:r>
              <w:rPr>
                <w:rFonts w:hint="eastAsia" w:ascii="宋体" w:hAnsi="宋体" w:cs="宋体"/>
                <w:bCs/>
                <w:color w:val="auto"/>
                <w:kern w:val="2"/>
                <w:highlight w:val="none"/>
                <w:lang w:val="zh-CN"/>
              </w:rPr>
              <w:t>进行比较：</w:t>
            </w:r>
          </w:p>
          <w:p w14:paraId="257E206C">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eastAsia="zh-CN"/>
              </w:rPr>
              <w:t>；</w:t>
            </w:r>
          </w:p>
          <w:p w14:paraId="227D87C9">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比较详细、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15E7745C">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color w:val="auto"/>
                <w:highlight w:val="none"/>
              </w:rPr>
              <w:t>内容</w:t>
            </w:r>
            <w:r>
              <w:rPr>
                <w:rFonts w:hint="eastAsia" w:ascii="宋体" w:hAnsi="宋体" w:cs="宋体"/>
                <w:color w:val="auto"/>
                <w:highlight w:val="none"/>
                <w:lang w:val="en-US" w:eastAsia="zh-CN"/>
              </w:rPr>
              <w:t>基本详细、</w:t>
            </w:r>
            <w:r>
              <w:rPr>
                <w:rFonts w:hint="eastAsia" w:ascii="宋体" w:hAnsi="宋体" w:cs="宋体"/>
                <w:color w:val="auto"/>
                <w:highlight w:val="none"/>
              </w:rPr>
              <w:t>完整、合理、</w:t>
            </w:r>
            <w:r>
              <w:rPr>
                <w:rFonts w:hint="eastAsia" w:ascii="宋体" w:hAnsi="宋体" w:cs="宋体"/>
                <w:color w:val="auto"/>
                <w:highlight w:val="none"/>
                <w:lang w:val="en-US" w:eastAsia="zh-CN"/>
              </w:rPr>
              <w:t>高效、</w:t>
            </w:r>
            <w:r>
              <w:rPr>
                <w:rFonts w:hint="eastAsia" w:ascii="宋体" w:hAnsi="宋体" w:cs="宋体"/>
                <w:color w:val="auto"/>
                <w:highlight w:val="none"/>
              </w:rPr>
              <w:t>可行</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14:paraId="3EE7245E">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内容</w:t>
            </w:r>
            <w:r>
              <w:rPr>
                <w:rFonts w:hint="eastAsia" w:ascii="宋体" w:hAnsi="宋体" w:cs="宋体"/>
                <w:color w:val="auto"/>
                <w:highlight w:val="none"/>
                <w:lang w:val="en-US" w:eastAsia="zh-CN"/>
              </w:rPr>
              <w:t>不详细、不</w:t>
            </w:r>
            <w:r>
              <w:rPr>
                <w:rFonts w:hint="eastAsia" w:ascii="宋体" w:hAnsi="宋体" w:cs="宋体"/>
                <w:color w:val="auto"/>
                <w:highlight w:val="none"/>
              </w:rPr>
              <w:t>完整、</w:t>
            </w:r>
            <w:r>
              <w:rPr>
                <w:rFonts w:hint="eastAsia" w:ascii="宋体" w:hAnsi="宋体" w:cs="宋体"/>
                <w:color w:val="auto"/>
                <w:highlight w:val="none"/>
                <w:lang w:val="en-US" w:eastAsia="zh-CN"/>
              </w:rPr>
              <w:t>不</w:t>
            </w:r>
            <w:r>
              <w:rPr>
                <w:rFonts w:hint="eastAsia" w:ascii="宋体" w:hAnsi="宋体" w:cs="宋体"/>
                <w:color w:val="auto"/>
                <w:highlight w:val="none"/>
              </w:rPr>
              <w:t>合理、</w:t>
            </w:r>
            <w:r>
              <w:rPr>
                <w:rFonts w:hint="eastAsia" w:ascii="宋体" w:hAnsi="宋体" w:cs="宋体"/>
                <w:color w:val="auto"/>
                <w:highlight w:val="none"/>
                <w:lang w:val="en-US" w:eastAsia="zh-CN"/>
              </w:rPr>
              <w:t>不高效、不</w:t>
            </w:r>
            <w:r>
              <w:rPr>
                <w:rFonts w:hint="eastAsia" w:ascii="宋体" w:hAnsi="宋体" w:cs="宋体"/>
                <w:color w:val="auto"/>
                <w:highlight w:val="none"/>
              </w:rPr>
              <w:t>可行</w:t>
            </w:r>
            <w:r>
              <w:rPr>
                <w:rFonts w:hint="eastAsia" w:ascii="宋体" w:hAnsi="宋体" w:eastAsia="宋体" w:cs="宋体"/>
                <w:color w:val="auto"/>
                <w:highlight w:val="none"/>
              </w:rPr>
              <w:t>或没有不得分。</w:t>
            </w:r>
          </w:p>
        </w:tc>
      </w:tr>
      <w:tr w14:paraId="772AB0A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13" w:type="dxa"/>
            <w:vMerge w:val="continue"/>
            <w:tcBorders>
              <w:tl2br w:val="nil"/>
              <w:tr2bl w:val="nil"/>
            </w:tcBorders>
            <w:vAlign w:val="center"/>
          </w:tcPr>
          <w:p w14:paraId="42C0DB90">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1ABBF8ED">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7078AFBF">
            <w:pPr>
              <w:pageBreakBefore w:val="0"/>
              <w:widowControl w:val="0"/>
              <w:kinsoku/>
              <w:overflowPunct/>
              <w:autoSpaceDE/>
              <w:autoSpaceDN/>
              <w:bidi w:val="0"/>
              <w:adjustRightInd/>
              <w:snapToGrid/>
              <w:spacing w:line="380" w:lineRule="exact"/>
              <w:jc w:val="center"/>
              <w:textAlignment w:val="auto"/>
              <w:rPr>
                <w:rFonts w:ascii="宋体" w:hAnsi="宋体" w:eastAsia="宋体" w:cs="宋体"/>
                <w:kern w:val="2"/>
                <w:sz w:val="21"/>
                <w:highlight w:val="none"/>
                <w:lang w:val="en-US" w:eastAsia="zh-CN" w:bidi="ar-SA"/>
              </w:rPr>
            </w:pPr>
            <w:r>
              <w:rPr>
                <w:rFonts w:hint="eastAsia" w:ascii="宋体" w:hAnsi="宋体" w:cs="宋体"/>
                <w:bCs/>
                <w:color w:val="auto"/>
                <w:kern w:val="2"/>
                <w:highlight w:val="none"/>
                <w:lang w:val="zh-CN"/>
              </w:rPr>
              <w:t>安全管理体系与措施</w:t>
            </w:r>
            <w:r>
              <w:rPr>
                <w:rFonts w:hint="eastAsia" w:ascii="宋体" w:hAnsi="宋体" w:cs="宋体"/>
                <w:bCs/>
                <w:color w:val="auto"/>
                <w:kern w:val="2"/>
                <w:highlight w:val="none"/>
              </w:rPr>
              <w:t>（</w:t>
            </w:r>
            <w:r>
              <w:rPr>
                <w:rFonts w:hint="eastAsia" w:ascii="宋体" w:hAnsi="宋体" w:cs="宋体"/>
                <w:bCs/>
                <w:color w:val="auto"/>
                <w:kern w:val="2"/>
                <w:highlight w:val="none"/>
                <w:lang w:val="en-US" w:eastAsia="zh-CN"/>
              </w:rPr>
              <w:t>6</w:t>
            </w:r>
            <w:r>
              <w:rPr>
                <w:rFonts w:hint="eastAsia" w:ascii="宋体" w:hAnsi="宋体" w:cs="宋体"/>
                <w:bCs/>
                <w:color w:val="auto"/>
                <w:kern w:val="2"/>
                <w:highlight w:val="none"/>
                <w:lang w:val="zh-CN"/>
              </w:rPr>
              <w:t>分</w:t>
            </w:r>
            <w:r>
              <w:rPr>
                <w:rFonts w:hint="eastAsia" w:ascii="宋体" w:hAnsi="宋体" w:cs="宋体"/>
                <w:bCs/>
                <w:color w:val="auto"/>
                <w:kern w:val="2"/>
                <w:highlight w:val="none"/>
              </w:rPr>
              <w:t>）</w:t>
            </w:r>
          </w:p>
        </w:tc>
        <w:tc>
          <w:tcPr>
            <w:tcW w:w="5969" w:type="dxa"/>
            <w:tcBorders>
              <w:tl2br w:val="nil"/>
              <w:tr2bl w:val="nil"/>
            </w:tcBorders>
            <w:vAlign w:val="center"/>
          </w:tcPr>
          <w:p w14:paraId="35A489E0">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en-US" w:eastAsia="zh-CN"/>
              </w:rPr>
              <w:t>针对</w:t>
            </w:r>
            <w:r>
              <w:rPr>
                <w:rFonts w:hint="eastAsia" w:ascii="宋体" w:hAnsi="宋体" w:cs="宋体"/>
                <w:bCs/>
                <w:color w:val="auto"/>
                <w:kern w:val="2"/>
                <w:highlight w:val="none"/>
                <w:lang w:val="zh-CN"/>
              </w:rPr>
              <w:t>安全管理体系与措施进行比较：</w:t>
            </w:r>
          </w:p>
          <w:p w14:paraId="08AF9941">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内容完整、合理、可行，现场的安全部署情况、安全意识宣传的措施</w:t>
            </w:r>
            <w:r>
              <w:rPr>
                <w:rFonts w:hint="eastAsia" w:ascii="宋体" w:hAnsi="宋体" w:cs="宋体"/>
                <w:bCs/>
                <w:color w:val="auto"/>
                <w:kern w:val="2"/>
                <w:highlight w:val="none"/>
                <w:lang w:val="en-US" w:eastAsia="zh-CN"/>
              </w:rPr>
              <w:t>科学合理，</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eastAsia="zh-CN"/>
              </w:rPr>
              <w:t>；</w:t>
            </w:r>
          </w:p>
          <w:p w14:paraId="6D38C021">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内容</w:t>
            </w:r>
            <w:r>
              <w:rPr>
                <w:rFonts w:hint="eastAsia" w:ascii="宋体" w:hAnsi="宋体" w:cs="宋体"/>
                <w:bCs/>
                <w:color w:val="auto"/>
                <w:kern w:val="2"/>
                <w:highlight w:val="none"/>
                <w:lang w:val="en-US" w:eastAsia="zh-CN"/>
              </w:rPr>
              <w:t>比较</w:t>
            </w:r>
            <w:r>
              <w:rPr>
                <w:rFonts w:hint="eastAsia" w:ascii="宋体" w:hAnsi="宋体" w:cs="宋体"/>
                <w:bCs/>
                <w:color w:val="auto"/>
                <w:kern w:val="2"/>
                <w:highlight w:val="none"/>
                <w:lang w:val="zh-CN"/>
              </w:rPr>
              <w:t>完整、合理、可行，现场的安全部署情况、安全意识宣传的措施</w:t>
            </w:r>
            <w:r>
              <w:rPr>
                <w:rFonts w:hint="eastAsia" w:ascii="宋体" w:hAnsi="宋体" w:cs="宋体"/>
                <w:bCs/>
                <w:color w:val="auto"/>
                <w:kern w:val="2"/>
                <w:highlight w:val="none"/>
                <w:lang w:val="en-US" w:eastAsia="zh-CN"/>
              </w:rPr>
              <w:t>比较科学合理，</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54DF6FA9">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内容</w:t>
            </w:r>
            <w:r>
              <w:rPr>
                <w:rFonts w:hint="eastAsia" w:ascii="宋体" w:hAnsi="宋体" w:cs="宋体"/>
                <w:bCs/>
                <w:color w:val="auto"/>
                <w:kern w:val="2"/>
                <w:highlight w:val="none"/>
                <w:lang w:val="en-US" w:eastAsia="zh-CN"/>
              </w:rPr>
              <w:t>基本</w:t>
            </w:r>
            <w:r>
              <w:rPr>
                <w:rFonts w:hint="eastAsia" w:ascii="宋体" w:hAnsi="宋体" w:cs="宋体"/>
                <w:bCs/>
                <w:color w:val="auto"/>
                <w:kern w:val="2"/>
                <w:highlight w:val="none"/>
                <w:lang w:val="zh-CN"/>
              </w:rPr>
              <w:t>完整、合理、可行，现场的安全部署情况、安全意识宣传的措施</w:t>
            </w:r>
            <w:r>
              <w:rPr>
                <w:rFonts w:hint="eastAsia" w:ascii="宋体" w:hAnsi="宋体" w:cs="宋体"/>
                <w:bCs/>
                <w:color w:val="auto"/>
                <w:kern w:val="2"/>
                <w:highlight w:val="none"/>
                <w:lang w:val="en-US" w:eastAsia="zh-CN"/>
              </w:rPr>
              <w:t>基本科学合理，</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14:paraId="09478457">
            <w:pPr>
              <w:pageBreakBefore w:val="0"/>
              <w:widowControl w:val="0"/>
              <w:kinsoku/>
              <w:overflowPunct/>
              <w:autoSpaceDE/>
              <w:autoSpaceDN/>
              <w:bidi w:val="0"/>
              <w:adjustRightInd/>
              <w:snapToGrid/>
              <w:spacing w:line="380" w:lineRule="exact"/>
              <w:ind w:left="105" w:leftChars="50" w:right="105" w:rightChars="50"/>
              <w:jc w:val="both"/>
              <w:textAlignment w:val="auto"/>
              <w:rPr>
                <w:rFonts w:ascii="宋体" w:hAnsi="宋体" w:eastAsia="宋体" w:cs="宋体"/>
                <w:kern w:val="2"/>
                <w:sz w:val="21"/>
                <w:highlight w:val="none"/>
                <w:lang w:val="en-US" w:eastAsia="zh-CN" w:bidi="ar-SA"/>
              </w:rPr>
            </w:pPr>
            <w:r>
              <w:rPr>
                <w:rFonts w:hint="eastAsia" w:ascii="宋体" w:hAnsi="宋体" w:cs="宋体"/>
                <w:bCs/>
                <w:color w:val="auto"/>
                <w:kern w:val="2"/>
                <w:highlight w:val="none"/>
                <w:lang w:val="zh-CN"/>
              </w:rPr>
              <w:t>内容</w:t>
            </w:r>
            <w:r>
              <w:rPr>
                <w:rFonts w:hint="eastAsia" w:ascii="宋体" w:hAnsi="宋体" w:cs="宋体"/>
                <w:bCs/>
                <w:color w:val="auto"/>
                <w:kern w:val="2"/>
                <w:highlight w:val="none"/>
                <w:lang w:val="en-US" w:eastAsia="zh-CN"/>
              </w:rPr>
              <w:t>不完整</w:t>
            </w:r>
            <w:r>
              <w:rPr>
                <w:rFonts w:hint="eastAsia" w:ascii="宋体" w:hAnsi="宋体" w:cs="宋体"/>
                <w:bCs/>
                <w:color w:val="auto"/>
                <w:kern w:val="2"/>
                <w:highlight w:val="none"/>
                <w:lang w:val="zh-CN"/>
              </w:rPr>
              <w:t>、</w:t>
            </w:r>
            <w:r>
              <w:rPr>
                <w:rFonts w:hint="eastAsia" w:ascii="宋体" w:hAnsi="宋体" w:cs="宋体"/>
                <w:color w:val="auto"/>
                <w:highlight w:val="none"/>
                <w:lang w:val="en-US" w:eastAsia="zh-CN"/>
              </w:rPr>
              <w:t>不</w:t>
            </w:r>
            <w:r>
              <w:rPr>
                <w:rFonts w:hint="eastAsia" w:ascii="宋体" w:hAnsi="宋体" w:cs="宋体"/>
                <w:bCs/>
                <w:color w:val="auto"/>
                <w:kern w:val="2"/>
                <w:highlight w:val="none"/>
                <w:lang w:val="zh-CN"/>
              </w:rPr>
              <w:t>合理、</w:t>
            </w:r>
            <w:r>
              <w:rPr>
                <w:rFonts w:hint="eastAsia" w:ascii="宋体" w:hAnsi="宋体" w:cs="宋体"/>
                <w:color w:val="auto"/>
                <w:highlight w:val="none"/>
                <w:lang w:val="en-US" w:eastAsia="zh-CN"/>
              </w:rPr>
              <w:t>不</w:t>
            </w:r>
            <w:r>
              <w:rPr>
                <w:rFonts w:hint="eastAsia" w:ascii="宋体" w:hAnsi="宋体" w:cs="宋体"/>
                <w:bCs/>
                <w:color w:val="auto"/>
                <w:kern w:val="2"/>
                <w:highlight w:val="none"/>
                <w:lang w:val="zh-CN"/>
              </w:rPr>
              <w:t>可行、措施</w:t>
            </w:r>
            <w:r>
              <w:rPr>
                <w:rFonts w:hint="eastAsia" w:ascii="宋体" w:hAnsi="宋体" w:cs="宋体"/>
                <w:bCs/>
                <w:color w:val="auto"/>
                <w:kern w:val="2"/>
                <w:highlight w:val="none"/>
                <w:lang w:val="en-US" w:eastAsia="zh-CN"/>
              </w:rPr>
              <w:t>不合理或</w:t>
            </w:r>
            <w:r>
              <w:rPr>
                <w:rFonts w:hint="eastAsia" w:ascii="宋体" w:hAnsi="宋体" w:cs="宋体"/>
                <w:color w:val="auto"/>
                <w:highlight w:val="none"/>
                <w:lang w:val="en-US" w:eastAsia="zh-CN"/>
              </w:rPr>
              <w:t>没有</w:t>
            </w:r>
            <w:r>
              <w:rPr>
                <w:rFonts w:hint="eastAsia" w:ascii="宋体" w:hAnsi="宋体" w:cs="宋体"/>
                <w:color w:val="auto"/>
                <w:highlight w:val="none"/>
              </w:rPr>
              <w:t>不得分</w:t>
            </w:r>
            <w:r>
              <w:rPr>
                <w:rFonts w:hint="eastAsia" w:ascii="宋体" w:hAnsi="宋体" w:eastAsia="宋体" w:cs="宋体"/>
                <w:color w:val="auto"/>
                <w:highlight w:val="none"/>
              </w:rPr>
              <w:t>。</w:t>
            </w:r>
          </w:p>
        </w:tc>
      </w:tr>
      <w:tr w14:paraId="270F35A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3" w:type="dxa"/>
            <w:vMerge w:val="continue"/>
            <w:tcBorders>
              <w:tl2br w:val="nil"/>
              <w:tr2bl w:val="nil"/>
            </w:tcBorders>
            <w:vAlign w:val="center"/>
          </w:tcPr>
          <w:p w14:paraId="5A83CDBA">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246D272B">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5FB37AD1">
            <w:pPr>
              <w:pageBreakBefore w:val="0"/>
              <w:widowControl w:val="0"/>
              <w:kinsoku/>
              <w:overflowPunct/>
              <w:autoSpaceDE/>
              <w:autoSpaceDN/>
              <w:bidi w:val="0"/>
              <w:adjustRightInd/>
              <w:snapToGrid/>
              <w:spacing w:line="380" w:lineRule="exact"/>
              <w:jc w:val="center"/>
              <w:textAlignment w:val="auto"/>
              <w:rPr>
                <w:rFonts w:ascii="宋体" w:hAnsi="宋体" w:eastAsia="宋体" w:cs="宋体"/>
                <w:kern w:val="2"/>
                <w:sz w:val="21"/>
                <w:highlight w:val="none"/>
                <w:lang w:val="en-US" w:eastAsia="zh-CN" w:bidi="ar-SA"/>
              </w:rPr>
            </w:pPr>
            <w:r>
              <w:rPr>
                <w:rFonts w:hint="eastAsia" w:ascii="宋体" w:hAnsi="宋体" w:cs="宋体"/>
                <w:bCs/>
                <w:color w:val="auto"/>
                <w:kern w:val="2"/>
                <w:highlight w:val="none"/>
                <w:lang w:val="zh-CN"/>
              </w:rPr>
              <w:t>环境保护管理体系与措施（</w:t>
            </w:r>
            <w:r>
              <w:rPr>
                <w:rFonts w:hint="eastAsia" w:ascii="宋体" w:hAnsi="宋体" w:cs="宋体"/>
                <w:bCs/>
                <w:color w:val="auto"/>
                <w:kern w:val="2"/>
                <w:highlight w:val="none"/>
                <w:lang w:val="en-US" w:eastAsia="zh-CN"/>
              </w:rPr>
              <w:t>6</w:t>
            </w:r>
            <w:r>
              <w:rPr>
                <w:rFonts w:hint="eastAsia" w:ascii="宋体" w:hAnsi="宋体" w:cs="宋体"/>
                <w:bCs/>
                <w:color w:val="auto"/>
                <w:kern w:val="2"/>
                <w:highlight w:val="none"/>
                <w:lang w:val="zh-CN"/>
              </w:rPr>
              <w:t>分）</w:t>
            </w:r>
          </w:p>
        </w:tc>
        <w:tc>
          <w:tcPr>
            <w:tcW w:w="5969" w:type="dxa"/>
            <w:tcBorders>
              <w:tl2br w:val="nil"/>
              <w:tr2bl w:val="nil"/>
            </w:tcBorders>
            <w:vAlign w:val="center"/>
          </w:tcPr>
          <w:p w14:paraId="21AF8A96">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en-US" w:eastAsia="zh-CN"/>
              </w:rPr>
              <w:t>针对</w:t>
            </w:r>
            <w:r>
              <w:rPr>
                <w:rFonts w:hint="eastAsia" w:ascii="宋体" w:hAnsi="宋体" w:cs="宋体"/>
                <w:bCs/>
                <w:color w:val="auto"/>
                <w:kern w:val="2"/>
                <w:highlight w:val="none"/>
                <w:lang w:val="zh-CN"/>
              </w:rPr>
              <w:t>环境保护管理体系与措施进行比较：</w:t>
            </w:r>
          </w:p>
          <w:p w14:paraId="108A27C5">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全面、有效，明确环境指标和目标，</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eastAsia="zh-CN"/>
              </w:rPr>
              <w:t>；</w:t>
            </w:r>
          </w:p>
          <w:p w14:paraId="4432342B">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en-US" w:eastAsia="zh-CN"/>
              </w:rPr>
              <w:t>比较</w:t>
            </w:r>
            <w:r>
              <w:rPr>
                <w:rFonts w:hint="eastAsia" w:ascii="宋体" w:hAnsi="宋体" w:cs="宋体"/>
                <w:bCs/>
                <w:color w:val="auto"/>
                <w:kern w:val="2"/>
                <w:highlight w:val="none"/>
                <w:lang w:val="zh-CN"/>
              </w:rPr>
              <w:t>全面、有效，</w:t>
            </w:r>
            <w:r>
              <w:rPr>
                <w:rFonts w:hint="eastAsia" w:ascii="宋体" w:hAnsi="宋体" w:cs="宋体"/>
                <w:bCs/>
                <w:color w:val="auto"/>
                <w:kern w:val="2"/>
                <w:highlight w:val="none"/>
                <w:lang w:val="en-US" w:eastAsia="zh-CN"/>
              </w:rPr>
              <w:t>比较</w:t>
            </w:r>
            <w:r>
              <w:rPr>
                <w:rFonts w:hint="eastAsia" w:ascii="宋体" w:hAnsi="宋体" w:cs="宋体"/>
                <w:bCs/>
                <w:color w:val="auto"/>
                <w:kern w:val="2"/>
                <w:highlight w:val="none"/>
                <w:lang w:val="zh-CN"/>
              </w:rPr>
              <w:t>明确环境指标和目标</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1E22D9AF">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en-US" w:eastAsia="zh-CN"/>
              </w:rPr>
              <w:t>基本</w:t>
            </w:r>
            <w:r>
              <w:rPr>
                <w:rFonts w:hint="eastAsia" w:ascii="宋体" w:hAnsi="宋体" w:cs="宋体"/>
                <w:bCs/>
                <w:color w:val="auto"/>
                <w:kern w:val="2"/>
                <w:highlight w:val="none"/>
                <w:lang w:val="zh-CN"/>
              </w:rPr>
              <w:t>全面、有效，</w:t>
            </w:r>
            <w:r>
              <w:rPr>
                <w:rFonts w:hint="eastAsia" w:ascii="宋体" w:hAnsi="宋体" w:cs="宋体"/>
                <w:bCs/>
                <w:color w:val="auto"/>
                <w:kern w:val="2"/>
                <w:highlight w:val="none"/>
                <w:lang w:val="en-US" w:eastAsia="zh-CN"/>
              </w:rPr>
              <w:t>基本</w:t>
            </w:r>
            <w:r>
              <w:rPr>
                <w:rFonts w:hint="eastAsia" w:ascii="宋体" w:hAnsi="宋体" w:cs="宋体"/>
                <w:bCs/>
                <w:color w:val="auto"/>
                <w:kern w:val="2"/>
                <w:highlight w:val="none"/>
                <w:lang w:val="zh-CN"/>
              </w:rPr>
              <w:t>明确环境指标和目标</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14:paraId="51C0422D">
            <w:pPr>
              <w:pageBreakBefore w:val="0"/>
              <w:widowControl w:val="0"/>
              <w:kinsoku/>
              <w:overflowPunct/>
              <w:autoSpaceDE/>
              <w:autoSpaceDN/>
              <w:bidi w:val="0"/>
              <w:adjustRightInd/>
              <w:snapToGrid/>
              <w:spacing w:line="380" w:lineRule="exact"/>
              <w:ind w:left="105" w:leftChars="50" w:right="105" w:rightChars="50"/>
              <w:jc w:val="both"/>
              <w:textAlignment w:val="auto"/>
              <w:rPr>
                <w:rFonts w:ascii="宋体" w:hAnsi="宋体" w:eastAsia="宋体" w:cs="宋体"/>
                <w:kern w:val="2"/>
                <w:sz w:val="21"/>
                <w:highlight w:val="none"/>
                <w:lang w:val="en-US" w:eastAsia="zh-CN" w:bidi="ar-SA"/>
              </w:rPr>
            </w:pPr>
            <w:r>
              <w:rPr>
                <w:rFonts w:hint="eastAsia" w:ascii="宋体" w:hAnsi="宋体" w:cs="宋体"/>
                <w:color w:val="auto"/>
                <w:highlight w:val="none"/>
                <w:lang w:val="en-US" w:eastAsia="zh-CN"/>
              </w:rPr>
              <w:t>不全面、无效、未明确</w:t>
            </w:r>
            <w:r>
              <w:rPr>
                <w:rFonts w:hint="eastAsia" w:ascii="宋体" w:hAnsi="宋体" w:cs="宋体"/>
                <w:bCs/>
                <w:color w:val="auto"/>
                <w:kern w:val="2"/>
                <w:highlight w:val="none"/>
                <w:lang w:val="zh-CN"/>
              </w:rPr>
              <w:t>环境指标和目标</w:t>
            </w:r>
            <w:r>
              <w:rPr>
                <w:rFonts w:hint="eastAsia" w:ascii="宋体" w:hAnsi="宋体" w:cs="宋体"/>
                <w:bCs/>
                <w:color w:val="auto"/>
                <w:kern w:val="2"/>
                <w:highlight w:val="none"/>
                <w:lang w:val="en-US" w:eastAsia="zh-CN"/>
              </w:rPr>
              <w:t>或没有</w:t>
            </w:r>
            <w:r>
              <w:rPr>
                <w:rFonts w:hint="eastAsia" w:ascii="宋体" w:hAnsi="宋体" w:cs="宋体"/>
                <w:color w:val="auto"/>
                <w:highlight w:val="none"/>
              </w:rPr>
              <w:t>不得分</w:t>
            </w:r>
            <w:r>
              <w:rPr>
                <w:rFonts w:hint="eastAsia" w:ascii="宋体" w:hAnsi="宋体" w:eastAsia="宋体" w:cs="宋体"/>
                <w:color w:val="auto"/>
                <w:highlight w:val="none"/>
              </w:rPr>
              <w:t>。</w:t>
            </w:r>
          </w:p>
        </w:tc>
      </w:tr>
      <w:tr w14:paraId="479D13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13" w:type="dxa"/>
            <w:vMerge w:val="continue"/>
            <w:tcBorders>
              <w:tl2br w:val="nil"/>
              <w:tr2bl w:val="nil"/>
            </w:tcBorders>
            <w:vAlign w:val="center"/>
          </w:tcPr>
          <w:p w14:paraId="606A7745">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130C037D">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451D8919">
            <w:pPr>
              <w:pageBreakBefore w:val="0"/>
              <w:widowControl w:val="0"/>
              <w:kinsoku/>
              <w:overflowPunct/>
              <w:autoSpaceDE/>
              <w:autoSpaceDN/>
              <w:bidi w:val="0"/>
              <w:adjustRightInd/>
              <w:snapToGrid/>
              <w:spacing w:line="380" w:lineRule="exact"/>
              <w:jc w:val="center"/>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zh-CN"/>
              </w:rPr>
              <w:t>紧急情况的处理措施、预案以及抵抗风险的措施</w:t>
            </w:r>
          </w:p>
          <w:p w14:paraId="18EEDB12">
            <w:pPr>
              <w:pageBreakBefore w:val="0"/>
              <w:widowControl w:val="0"/>
              <w:kinsoku/>
              <w:overflowPunct/>
              <w:autoSpaceDE/>
              <w:autoSpaceDN/>
              <w:bidi w:val="0"/>
              <w:adjustRightInd/>
              <w:snapToGrid/>
              <w:spacing w:line="380" w:lineRule="exact"/>
              <w:jc w:val="center"/>
              <w:textAlignment w:val="auto"/>
              <w:rPr>
                <w:rFonts w:ascii="宋体" w:hAnsi="宋体" w:eastAsia="宋体" w:cs="宋体"/>
                <w:highlight w:val="none"/>
                <w:lang w:val="zh-CN"/>
              </w:rPr>
            </w:pPr>
            <w:r>
              <w:rPr>
                <w:rFonts w:hint="eastAsia" w:ascii="宋体" w:hAnsi="宋体" w:cs="宋体"/>
                <w:bCs/>
                <w:color w:val="auto"/>
                <w:kern w:val="2"/>
                <w:highlight w:val="none"/>
                <w:lang w:val="zh-CN"/>
              </w:rPr>
              <w:t>（</w:t>
            </w:r>
            <w:r>
              <w:rPr>
                <w:rFonts w:hint="eastAsia" w:ascii="宋体" w:hAnsi="宋体" w:cs="宋体"/>
                <w:bCs/>
                <w:color w:val="auto"/>
                <w:kern w:val="2"/>
                <w:highlight w:val="none"/>
                <w:lang w:val="en-US" w:eastAsia="zh-CN"/>
              </w:rPr>
              <w:t>6</w:t>
            </w:r>
            <w:r>
              <w:rPr>
                <w:rFonts w:hint="eastAsia" w:ascii="宋体" w:hAnsi="宋体" w:cs="宋体"/>
                <w:bCs/>
                <w:color w:val="auto"/>
                <w:kern w:val="2"/>
                <w:highlight w:val="none"/>
                <w:lang w:val="zh-CN"/>
              </w:rPr>
              <w:t>分）</w:t>
            </w:r>
          </w:p>
        </w:tc>
        <w:tc>
          <w:tcPr>
            <w:tcW w:w="5969" w:type="dxa"/>
            <w:tcBorders>
              <w:tl2br w:val="nil"/>
              <w:tr2bl w:val="nil"/>
            </w:tcBorders>
            <w:vAlign w:val="center"/>
          </w:tcPr>
          <w:p w14:paraId="390C5D88">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bCs/>
                <w:color w:val="auto"/>
                <w:kern w:val="2"/>
                <w:highlight w:val="none"/>
                <w:lang w:val="zh-CN"/>
              </w:rPr>
            </w:pPr>
            <w:r>
              <w:rPr>
                <w:rFonts w:hint="eastAsia" w:ascii="宋体" w:hAnsi="宋体" w:cs="宋体"/>
                <w:bCs/>
                <w:color w:val="auto"/>
                <w:kern w:val="2"/>
                <w:highlight w:val="none"/>
                <w:lang w:val="en-US" w:eastAsia="zh-CN"/>
              </w:rPr>
              <w:t>针对</w:t>
            </w:r>
            <w:r>
              <w:rPr>
                <w:rFonts w:hint="eastAsia" w:ascii="宋体" w:hAnsi="宋体" w:cs="宋体"/>
                <w:bCs/>
                <w:color w:val="auto"/>
                <w:kern w:val="2"/>
                <w:highlight w:val="none"/>
                <w:lang w:val="zh-CN"/>
              </w:rPr>
              <w:t>紧急情况的处理措施、预案以及抵抗风险的措施进行比较：</w:t>
            </w:r>
          </w:p>
          <w:p w14:paraId="60B8AD39">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方案全面、有效，内容完整、合理、可行，</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eastAsia="zh-CN"/>
              </w:rPr>
              <w:t>；</w:t>
            </w:r>
          </w:p>
          <w:p w14:paraId="665347EC">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方案</w:t>
            </w:r>
            <w:r>
              <w:rPr>
                <w:rFonts w:hint="eastAsia" w:ascii="宋体" w:hAnsi="宋体" w:cs="宋体"/>
                <w:bCs/>
                <w:color w:val="auto"/>
                <w:kern w:val="2"/>
                <w:highlight w:val="none"/>
                <w:lang w:val="en-US" w:eastAsia="zh-CN"/>
              </w:rPr>
              <w:t>比较</w:t>
            </w:r>
            <w:r>
              <w:rPr>
                <w:rFonts w:hint="eastAsia" w:ascii="宋体" w:hAnsi="宋体" w:cs="宋体"/>
                <w:bCs/>
                <w:color w:val="auto"/>
                <w:kern w:val="2"/>
                <w:highlight w:val="none"/>
                <w:lang w:val="zh-CN"/>
              </w:rPr>
              <w:t>全面、有效，内容</w:t>
            </w:r>
            <w:r>
              <w:rPr>
                <w:rFonts w:hint="eastAsia" w:ascii="宋体" w:hAnsi="宋体" w:cs="宋体"/>
                <w:bCs/>
                <w:color w:val="auto"/>
                <w:kern w:val="2"/>
                <w:highlight w:val="none"/>
                <w:lang w:val="en-US" w:eastAsia="zh-CN"/>
              </w:rPr>
              <w:t>比较</w:t>
            </w:r>
            <w:r>
              <w:rPr>
                <w:rFonts w:hint="eastAsia" w:ascii="宋体" w:hAnsi="宋体" w:cs="宋体"/>
                <w:bCs/>
                <w:color w:val="auto"/>
                <w:kern w:val="2"/>
                <w:highlight w:val="none"/>
                <w:lang w:val="zh-CN"/>
              </w:rPr>
              <w:t>完整、合理、可行，</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2054DAC6">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Cs/>
                <w:color w:val="auto"/>
                <w:kern w:val="2"/>
                <w:highlight w:val="none"/>
                <w:lang w:val="zh-CN"/>
              </w:rPr>
              <w:t>方案</w:t>
            </w:r>
            <w:r>
              <w:rPr>
                <w:rFonts w:hint="eastAsia" w:ascii="宋体" w:hAnsi="宋体" w:cs="宋体"/>
                <w:bCs/>
                <w:color w:val="auto"/>
                <w:kern w:val="2"/>
                <w:highlight w:val="none"/>
                <w:lang w:val="en-US" w:eastAsia="zh-CN"/>
              </w:rPr>
              <w:t>基本</w:t>
            </w:r>
            <w:r>
              <w:rPr>
                <w:rFonts w:hint="eastAsia" w:ascii="宋体" w:hAnsi="宋体" w:cs="宋体"/>
                <w:bCs/>
                <w:color w:val="auto"/>
                <w:kern w:val="2"/>
                <w:highlight w:val="none"/>
                <w:lang w:val="zh-CN"/>
              </w:rPr>
              <w:t>全面、有效，内容</w:t>
            </w:r>
            <w:r>
              <w:rPr>
                <w:rFonts w:hint="eastAsia" w:ascii="宋体" w:hAnsi="宋体" w:cs="宋体"/>
                <w:bCs/>
                <w:color w:val="auto"/>
                <w:kern w:val="2"/>
                <w:highlight w:val="none"/>
                <w:lang w:val="en-US" w:eastAsia="zh-CN"/>
              </w:rPr>
              <w:t>基本</w:t>
            </w:r>
            <w:r>
              <w:rPr>
                <w:rFonts w:hint="eastAsia" w:ascii="宋体" w:hAnsi="宋体" w:cs="宋体"/>
                <w:bCs/>
                <w:color w:val="auto"/>
                <w:kern w:val="2"/>
                <w:highlight w:val="none"/>
                <w:lang w:val="zh-CN"/>
              </w:rPr>
              <w:t>完整、合理、可行，</w:t>
            </w:r>
            <w:r>
              <w:rPr>
                <w:rFonts w:hint="eastAsia" w:ascii="宋体" w:hAnsi="宋体" w:cs="宋体"/>
                <w:color w:val="auto"/>
                <w:highlight w:val="none"/>
              </w:rPr>
              <w:t>得1分</w:t>
            </w:r>
            <w:r>
              <w:rPr>
                <w:rFonts w:hint="eastAsia" w:ascii="宋体" w:hAnsi="宋体" w:cs="宋体"/>
                <w:color w:val="auto"/>
                <w:highlight w:val="none"/>
                <w:lang w:eastAsia="zh-CN"/>
              </w:rPr>
              <w:t>；</w:t>
            </w:r>
          </w:p>
          <w:p w14:paraId="4BEC81EF">
            <w:pPr>
              <w:pageBreakBefore w:val="0"/>
              <w:widowControl w:val="0"/>
              <w:kinsoku/>
              <w:overflowPunct/>
              <w:autoSpaceDE/>
              <w:autoSpaceDN/>
              <w:bidi w:val="0"/>
              <w:adjustRightInd/>
              <w:snapToGrid/>
              <w:spacing w:line="380" w:lineRule="exact"/>
              <w:ind w:left="105" w:leftChars="50" w:right="105" w:rightChars="50"/>
              <w:jc w:val="both"/>
              <w:textAlignment w:val="auto"/>
              <w:rPr>
                <w:rFonts w:ascii="宋体" w:hAnsi="宋体" w:eastAsia="宋体" w:cs="宋体"/>
                <w:highlight w:val="none"/>
                <w:lang w:val="zh-CN"/>
              </w:rPr>
            </w:pPr>
            <w:r>
              <w:rPr>
                <w:rFonts w:hint="eastAsia" w:ascii="宋体" w:hAnsi="宋体" w:cs="宋体"/>
                <w:color w:val="auto"/>
                <w:highlight w:val="none"/>
                <w:lang w:val="en-US" w:eastAsia="zh-CN"/>
              </w:rPr>
              <w:t>不完整、不</w:t>
            </w:r>
            <w:r>
              <w:rPr>
                <w:rFonts w:hint="eastAsia" w:ascii="宋体" w:hAnsi="宋体" w:cs="宋体"/>
                <w:bCs/>
                <w:color w:val="auto"/>
                <w:kern w:val="2"/>
                <w:highlight w:val="none"/>
                <w:lang w:val="zh-CN"/>
              </w:rPr>
              <w:t>合理、</w:t>
            </w:r>
            <w:r>
              <w:rPr>
                <w:rFonts w:hint="eastAsia" w:ascii="宋体" w:hAnsi="宋体" w:cs="宋体"/>
                <w:color w:val="auto"/>
                <w:highlight w:val="none"/>
                <w:lang w:val="en-US" w:eastAsia="zh-CN"/>
              </w:rPr>
              <w:t>不</w:t>
            </w:r>
            <w:r>
              <w:rPr>
                <w:rFonts w:hint="eastAsia" w:ascii="宋体" w:hAnsi="宋体" w:cs="宋体"/>
                <w:bCs/>
                <w:color w:val="auto"/>
                <w:kern w:val="2"/>
                <w:highlight w:val="none"/>
                <w:lang w:val="zh-CN"/>
              </w:rPr>
              <w:t>可行</w:t>
            </w:r>
            <w:r>
              <w:rPr>
                <w:rFonts w:hint="eastAsia" w:ascii="宋体" w:hAnsi="宋体" w:cs="宋体"/>
                <w:color w:val="auto"/>
                <w:highlight w:val="none"/>
                <w:lang w:val="en-US" w:eastAsia="zh-CN"/>
              </w:rPr>
              <w:t>或没有</w:t>
            </w:r>
            <w:r>
              <w:rPr>
                <w:rFonts w:hint="eastAsia" w:ascii="宋体" w:hAnsi="宋体" w:cs="宋体"/>
                <w:color w:val="auto"/>
                <w:highlight w:val="none"/>
              </w:rPr>
              <w:t>不得分</w:t>
            </w:r>
            <w:r>
              <w:rPr>
                <w:rFonts w:hint="eastAsia" w:ascii="宋体" w:hAnsi="宋体" w:eastAsia="宋体" w:cs="宋体"/>
                <w:color w:val="auto"/>
                <w:highlight w:val="none"/>
              </w:rPr>
              <w:t>。</w:t>
            </w:r>
          </w:p>
        </w:tc>
      </w:tr>
      <w:tr w14:paraId="5DFDBE7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913" w:type="dxa"/>
            <w:vMerge w:val="continue"/>
            <w:tcBorders>
              <w:tl2br w:val="nil"/>
              <w:tr2bl w:val="nil"/>
            </w:tcBorders>
            <w:vAlign w:val="center"/>
          </w:tcPr>
          <w:p w14:paraId="349D8DD1">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316" w:type="dxa"/>
            <w:vMerge w:val="continue"/>
            <w:tcBorders>
              <w:tl2br w:val="nil"/>
              <w:tr2bl w:val="nil"/>
            </w:tcBorders>
            <w:vAlign w:val="center"/>
          </w:tcPr>
          <w:p w14:paraId="6A1B7D71">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p>
        </w:tc>
        <w:tc>
          <w:tcPr>
            <w:tcW w:w="1708" w:type="dxa"/>
            <w:tcBorders>
              <w:tl2br w:val="nil"/>
              <w:tr2bl w:val="nil"/>
            </w:tcBorders>
            <w:vAlign w:val="center"/>
          </w:tcPr>
          <w:p w14:paraId="634BE01D">
            <w:pPr>
              <w:pageBreakBefore w:val="0"/>
              <w:widowControl w:val="0"/>
              <w:kinsoku/>
              <w:overflowPunct/>
              <w:autoSpaceDE/>
              <w:autoSpaceDN/>
              <w:bidi w:val="0"/>
              <w:adjustRightInd/>
              <w:snapToGrid/>
              <w:spacing w:line="380" w:lineRule="exact"/>
              <w:jc w:val="center"/>
              <w:textAlignment w:val="auto"/>
              <w:rPr>
                <w:rFonts w:hint="default" w:ascii="宋体" w:hAnsi="宋体" w:eastAsia="宋体" w:cs="宋体"/>
                <w:bCs/>
                <w:color w:val="auto"/>
                <w:kern w:val="2"/>
                <w:highlight w:val="none"/>
                <w:lang w:val="en-US" w:eastAsia="zh-CN"/>
              </w:rPr>
            </w:pPr>
            <w:r>
              <w:rPr>
                <w:rFonts w:hint="eastAsia" w:ascii="宋体" w:hAnsi="宋体" w:cs="宋体"/>
                <w:bCs/>
                <w:color w:val="auto"/>
                <w:kern w:val="2"/>
                <w:highlight w:val="none"/>
                <w:lang w:val="en-US" w:eastAsia="zh-CN"/>
              </w:rPr>
              <w:t>拟投入的设备</w:t>
            </w:r>
          </w:p>
          <w:p w14:paraId="69D9344F">
            <w:pPr>
              <w:pageBreakBefore w:val="0"/>
              <w:widowControl w:val="0"/>
              <w:kinsoku/>
              <w:overflowPunct/>
              <w:autoSpaceDE/>
              <w:autoSpaceDN/>
              <w:bidi w:val="0"/>
              <w:adjustRightInd/>
              <w:snapToGrid/>
              <w:spacing w:line="380" w:lineRule="exact"/>
              <w:jc w:val="center"/>
              <w:textAlignment w:val="auto"/>
              <w:rPr>
                <w:rFonts w:hint="eastAsia" w:ascii="宋体" w:hAnsi="宋体" w:eastAsia="宋体" w:cs="Times New Roman"/>
                <w:b w:val="0"/>
                <w:bCs w:val="0"/>
                <w:color w:val="auto"/>
                <w:spacing w:val="-6"/>
                <w:kern w:val="2"/>
                <w:sz w:val="21"/>
                <w:szCs w:val="21"/>
                <w:highlight w:val="none"/>
                <w:lang w:val="zh-CN" w:eastAsia="zh-CN" w:bidi="ar-SA"/>
              </w:rPr>
            </w:pPr>
            <w:r>
              <w:rPr>
                <w:rFonts w:hint="eastAsia" w:ascii="宋体" w:hAnsi="宋体" w:cs="宋体"/>
                <w:bCs/>
                <w:color w:val="auto"/>
                <w:kern w:val="2"/>
                <w:highlight w:val="none"/>
                <w:lang w:val="zh-CN"/>
              </w:rPr>
              <w:t>（</w:t>
            </w:r>
            <w:r>
              <w:rPr>
                <w:rFonts w:hint="eastAsia" w:ascii="宋体" w:hAnsi="宋体" w:cs="宋体"/>
                <w:bCs/>
                <w:color w:val="auto"/>
                <w:kern w:val="2"/>
                <w:highlight w:val="none"/>
                <w:lang w:val="en-US" w:eastAsia="zh-CN"/>
              </w:rPr>
              <w:t>6</w:t>
            </w:r>
            <w:r>
              <w:rPr>
                <w:rFonts w:hint="eastAsia" w:ascii="宋体" w:hAnsi="宋体" w:cs="宋体"/>
                <w:bCs/>
                <w:color w:val="auto"/>
                <w:kern w:val="2"/>
                <w:highlight w:val="none"/>
                <w:lang w:val="zh-CN"/>
              </w:rPr>
              <w:t>分）</w:t>
            </w:r>
          </w:p>
        </w:tc>
        <w:tc>
          <w:tcPr>
            <w:tcW w:w="5969" w:type="dxa"/>
            <w:tcBorders>
              <w:tl2br w:val="nil"/>
              <w:tr2bl w:val="nil"/>
            </w:tcBorders>
            <w:vAlign w:val="center"/>
          </w:tcPr>
          <w:p w14:paraId="3B6E18AF">
            <w:pPr>
              <w:pageBreakBefore w:val="0"/>
              <w:widowControl w:val="0"/>
              <w:kinsoku/>
              <w:overflowPunct/>
              <w:autoSpaceDE/>
              <w:autoSpaceDN/>
              <w:bidi w:val="0"/>
              <w:adjustRightInd/>
              <w:snapToGrid/>
              <w:spacing w:line="380" w:lineRule="exact"/>
              <w:ind w:left="105" w:leftChars="50" w:right="105" w:rightChars="50"/>
              <w:jc w:val="both"/>
              <w:textAlignment w:val="auto"/>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针对拟投入的</w:t>
            </w:r>
            <w:r>
              <w:rPr>
                <w:rFonts w:hint="eastAsia" w:ascii="宋体" w:hAnsi="宋体" w:cs="宋体"/>
                <w:b w:val="0"/>
                <w:bCs/>
                <w:sz w:val="21"/>
                <w:szCs w:val="21"/>
                <w:highlight w:val="none"/>
                <w:lang w:val="en-US" w:eastAsia="zh-CN"/>
              </w:rPr>
              <w:t>设备数量、现状、来源、优势等情况</w:t>
            </w:r>
            <w:r>
              <w:rPr>
                <w:rFonts w:hint="eastAsia" w:ascii="宋体" w:hAnsi="宋体" w:cs="宋体"/>
                <w:bCs/>
                <w:color w:val="auto"/>
                <w:kern w:val="2"/>
                <w:highlight w:val="none"/>
                <w:lang w:val="zh-CN"/>
              </w:rPr>
              <w:t>进行比较：</w:t>
            </w:r>
          </w:p>
          <w:p w14:paraId="136E7BCC">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val="en-US" w:eastAsia="zh-CN"/>
              </w:rPr>
            </w:pPr>
            <w:r>
              <w:rPr>
                <w:rFonts w:hint="eastAsia" w:ascii="宋体" w:hAnsi="宋体" w:cs="宋体"/>
                <w:b w:val="0"/>
                <w:bCs/>
                <w:sz w:val="21"/>
                <w:szCs w:val="21"/>
                <w:highlight w:val="none"/>
                <w:lang w:val="en-US" w:eastAsia="zh-CN"/>
              </w:rPr>
              <w:t>设备数量满足</w:t>
            </w:r>
            <w:r>
              <w:rPr>
                <w:rFonts w:hint="eastAsia" w:ascii="宋体" w:hAnsi="宋体" w:cs="宋体"/>
                <w:bCs/>
                <w:color w:val="auto"/>
                <w:kern w:val="2"/>
                <w:highlight w:val="none"/>
                <w:lang w:val="en-US" w:eastAsia="zh-CN"/>
              </w:rPr>
              <w:t>项目需求，对设备的自身使用情况及设备的来源、</w:t>
            </w:r>
            <w:r>
              <w:rPr>
                <w:rFonts w:hint="eastAsia" w:ascii="宋体" w:hAnsi="宋体" w:cs="宋体"/>
                <w:b w:val="0"/>
                <w:bCs/>
                <w:sz w:val="21"/>
                <w:szCs w:val="21"/>
                <w:highlight w:val="none"/>
                <w:lang w:val="en-US" w:eastAsia="zh-CN"/>
              </w:rPr>
              <w:t>优势</w:t>
            </w:r>
            <w:r>
              <w:rPr>
                <w:rFonts w:hint="eastAsia" w:ascii="宋体" w:hAnsi="宋体" w:cs="宋体"/>
                <w:bCs/>
                <w:color w:val="auto"/>
                <w:kern w:val="2"/>
                <w:highlight w:val="none"/>
                <w:lang w:val="en-US" w:eastAsia="zh-CN"/>
              </w:rPr>
              <w:t>等表述清晰</w:t>
            </w:r>
            <w:r>
              <w:rPr>
                <w:rFonts w:hint="eastAsia" w:ascii="宋体" w:hAnsi="宋体" w:cs="宋体"/>
                <w:bCs/>
                <w:color w:val="auto"/>
                <w:kern w:val="2"/>
                <w:highlight w:val="none"/>
                <w:lang w:val="zh-CN"/>
              </w:rPr>
              <w:t>，</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val="en-US" w:eastAsia="zh-CN"/>
              </w:rPr>
              <w:t>；</w:t>
            </w:r>
          </w:p>
          <w:p w14:paraId="519D0EDF">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 w:val="0"/>
                <w:bCs/>
                <w:sz w:val="21"/>
                <w:szCs w:val="21"/>
                <w:highlight w:val="none"/>
                <w:lang w:val="en-US" w:eastAsia="zh-CN"/>
              </w:rPr>
              <w:t>设备数量比较满足</w:t>
            </w:r>
            <w:r>
              <w:rPr>
                <w:rFonts w:hint="eastAsia" w:ascii="宋体" w:hAnsi="宋体" w:cs="宋体"/>
                <w:bCs/>
                <w:color w:val="auto"/>
                <w:kern w:val="2"/>
                <w:highlight w:val="none"/>
                <w:lang w:val="en-US" w:eastAsia="zh-CN"/>
              </w:rPr>
              <w:t>项目需求，对设备的自身使用情况及设备的来源、筹集情况等表述比较清晰</w:t>
            </w:r>
            <w:r>
              <w:rPr>
                <w:rFonts w:hint="eastAsia" w:ascii="宋体" w:hAnsi="宋体" w:cs="宋体"/>
                <w:bCs/>
                <w:color w:val="auto"/>
                <w:kern w:val="2"/>
                <w:highlight w:val="none"/>
                <w:lang w:val="zh-CN"/>
              </w:rPr>
              <w:t>，</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52D8D41F">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cs="宋体"/>
                <w:color w:val="auto"/>
                <w:highlight w:val="none"/>
                <w:lang w:eastAsia="zh-CN"/>
              </w:rPr>
            </w:pPr>
            <w:r>
              <w:rPr>
                <w:rFonts w:hint="eastAsia" w:ascii="宋体" w:hAnsi="宋体" w:cs="宋体"/>
                <w:b w:val="0"/>
                <w:bCs/>
                <w:sz w:val="21"/>
                <w:szCs w:val="21"/>
                <w:highlight w:val="none"/>
                <w:lang w:val="en-US" w:eastAsia="zh-CN"/>
              </w:rPr>
              <w:t>设备数量基本满足</w:t>
            </w:r>
            <w:r>
              <w:rPr>
                <w:rFonts w:hint="eastAsia" w:ascii="宋体" w:hAnsi="宋体" w:cs="宋体"/>
                <w:bCs/>
                <w:color w:val="auto"/>
                <w:kern w:val="2"/>
                <w:highlight w:val="none"/>
                <w:lang w:val="en-US" w:eastAsia="zh-CN"/>
              </w:rPr>
              <w:t>项目需求，对设备的自身使用情况及设备的来源、筹集情况等表述基本清晰</w:t>
            </w:r>
            <w:r>
              <w:rPr>
                <w:rFonts w:hint="eastAsia" w:ascii="宋体" w:hAnsi="宋体" w:cs="宋体"/>
                <w:bCs/>
                <w:color w:val="auto"/>
                <w:kern w:val="2"/>
                <w:highlight w:val="none"/>
                <w:lang w:val="zh-CN"/>
              </w:rPr>
              <w:t>，</w:t>
            </w:r>
            <w:r>
              <w:rPr>
                <w:rFonts w:hint="eastAsia" w:ascii="宋体" w:hAnsi="宋体" w:cs="宋体"/>
                <w:color w:val="auto"/>
                <w:highlight w:val="none"/>
              </w:rPr>
              <w:t>得1分</w:t>
            </w:r>
            <w:r>
              <w:rPr>
                <w:rFonts w:hint="eastAsia" w:ascii="宋体" w:hAnsi="宋体" w:cs="宋体"/>
                <w:color w:val="auto"/>
                <w:highlight w:val="none"/>
                <w:lang w:eastAsia="zh-CN"/>
              </w:rPr>
              <w:t>；</w:t>
            </w:r>
          </w:p>
          <w:p w14:paraId="7374D695">
            <w:pPr>
              <w:pageBreakBefore w:val="0"/>
              <w:widowControl w:val="0"/>
              <w:kinsoku/>
              <w:overflowPunct/>
              <w:autoSpaceDE/>
              <w:autoSpaceDN/>
              <w:bidi w:val="0"/>
              <w:adjustRightInd/>
              <w:snapToGrid/>
              <w:spacing w:line="380" w:lineRule="exact"/>
              <w:ind w:left="105" w:leftChars="50" w:right="105" w:rightChars="50"/>
              <w:jc w:val="both"/>
              <w:textAlignment w:val="auto"/>
              <w:rPr>
                <w:rFonts w:hint="eastAsia" w:ascii="宋体" w:hAnsi="宋体" w:eastAsia="宋体" w:cs="宋体"/>
                <w:color w:val="auto"/>
                <w:highlight w:val="none"/>
              </w:rPr>
            </w:pPr>
            <w:r>
              <w:rPr>
                <w:rFonts w:hint="eastAsia" w:ascii="宋体" w:hAnsi="宋体" w:cs="宋体"/>
                <w:bCs/>
                <w:color w:val="auto"/>
                <w:kern w:val="2"/>
                <w:highlight w:val="none"/>
                <w:lang w:val="en-US" w:eastAsia="zh-CN"/>
              </w:rPr>
              <w:t>不清晰或没有</w:t>
            </w:r>
            <w:r>
              <w:rPr>
                <w:rFonts w:hint="eastAsia" w:ascii="宋体" w:hAnsi="宋体" w:cs="宋体"/>
                <w:color w:val="auto"/>
                <w:highlight w:val="none"/>
              </w:rPr>
              <w:t>不得分</w:t>
            </w:r>
            <w:r>
              <w:rPr>
                <w:rFonts w:hint="eastAsia" w:ascii="宋体" w:hAnsi="宋体" w:eastAsia="宋体" w:cs="宋体"/>
                <w:color w:val="auto"/>
                <w:highlight w:val="none"/>
              </w:rPr>
              <w:t>。</w:t>
            </w:r>
          </w:p>
          <w:p w14:paraId="1D8A303B">
            <w:pPr>
              <w:pageBreakBefore w:val="0"/>
              <w:widowControl w:val="0"/>
              <w:kinsoku/>
              <w:overflowPunct/>
              <w:autoSpaceDE/>
              <w:autoSpaceDN/>
              <w:bidi w:val="0"/>
              <w:adjustRightInd/>
              <w:snapToGrid/>
              <w:spacing w:line="380" w:lineRule="exact"/>
              <w:ind w:left="105" w:leftChars="50" w:right="105" w:rightChars="50"/>
              <w:jc w:val="both"/>
              <w:textAlignment w:val="auto"/>
              <w:rPr>
                <w:rFonts w:hint="default" w:ascii="宋体" w:hAnsi="宋体" w:eastAsia="宋体" w:cs="Times New Roman"/>
                <w:b w:val="0"/>
                <w:bCs w:val="0"/>
                <w:color w:val="auto"/>
                <w:spacing w:val="-6"/>
                <w:kern w:val="2"/>
                <w:sz w:val="21"/>
                <w:szCs w:val="21"/>
                <w:highlight w:val="none"/>
                <w:lang w:val="en-US" w:eastAsia="zh-CN" w:bidi="ar-SA"/>
              </w:rPr>
            </w:pPr>
            <w:r>
              <w:rPr>
                <w:rFonts w:hint="eastAsia" w:ascii="宋体" w:hAnsi="宋体" w:cs="宋体"/>
                <w:color w:val="auto"/>
                <w:highlight w:val="none"/>
                <w:lang w:val="en-US" w:eastAsia="zh-CN"/>
              </w:rPr>
              <w:t>注：响应文件内附设备图片等相关证明材料复印件并加盖公章，否则不计分。</w:t>
            </w:r>
          </w:p>
        </w:tc>
      </w:tr>
      <w:tr w14:paraId="77DF9C5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13" w:type="dxa"/>
            <w:vMerge w:val="restart"/>
            <w:tcBorders>
              <w:tl2br w:val="nil"/>
              <w:tr2bl w:val="nil"/>
            </w:tcBorders>
            <w:vAlign w:val="center"/>
          </w:tcPr>
          <w:p w14:paraId="585B0C28">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eastAsia="宋体" w:cs="宋体"/>
                <w:highlight w:val="none"/>
                <w:lang w:eastAsia="zh-CN"/>
              </w:rPr>
            </w:pPr>
            <w:r>
              <w:rPr>
                <w:rFonts w:ascii="宋体" w:hAnsi="宋体" w:eastAsia="宋体" w:cs="宋体"/>
                <w:highlight w:val="none"/>
              </w:rPr>
              <w:t>2.2.</w:t>
            </w:r>
            <w:r>
              <w:rPr>
                <w:rFonts w:hint="eastAsia" w:ascii="宋体" w:hAnsi="宋体" w:cs="宋体"/>
                <w:highlight w:val="none"/>
                <w:lang w:val="en-US" w:eastAsia="zh-CN"/>
              </w:rPr>
              <w:t>2</w:t>
            </w:r>
          </w:p>
          <w:p w14:paraId="6CBECEBB">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w:t>
            </w:r>
            <w:r>
              <w:rPr>
                <w:rFonts w:hint="eastAsia" w:ascii="宋体" w:hAnsi="宋体" w:cs="宋体"/>
                <w:highlight w:val="none"/>
                <w:lang w:val="en-US" w:eastAsia="zh-CN"/>
              </w:rPr>
              <w:t>3</w:t>
            </w:r>
            <w:r>
              <w:rPr>
                <w:rFonts w:ascii="宋体" w:hAnsi="宋体" w:eastAsia="宋体" w:cs="宋体"/>
                <w:highlight w:val="none"/>
              </w:rPr>
              <w:t>）</w:t>
            </w:r>
          </w:p>
        </w:tc>
        <w:tc>
          <w:tcPr>
            <w:tcW w:w="1316" w:type="dxa"/>
            <w:vMerge w:val="restart"/>
            <w:tcBorders>
              <w:tl2br w:val="nil"/>
              <w:tr2bl w:val="nil"/>
            </w:tcBorders>
            <w:vAlign w:val="center"/>
          </w:tcPr>
          <w:p w14:paraId="0BB90721">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其他因素</w:t>
            </w:r>
          </w:p>
          <w:p w14:paraId="43CBE94C">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评分标准</w:t>
            </w:r>
          </w:p>
          <w:p w14:paraId="5BF57C93">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ascii="宋体" w:hAnsi="宋体" w:eastAsia="宋体" w:cs="宋体"/>
                <w:highlight w:val="none"/>
              </w:rPr>
              <w:t>（</w:t>
            </w:r>
            <w:r>
              <w:rPr>
                <w:rFonts w:hint="eastAsia" w:ascii="宋体" w:hAnsi="宋体" w:cs="宋体"/>
                <w:highlight w:val="none"/>
                <w:lang w:val="en-US" w:eastAsia="zh-CN"/>
              </w:rPr>
              <w:t>25</w:t>
            </w:r>
            <w:r>
              <w:rPr>
                <w:rFonts w:ascii="宋体" w:hAnsi="宋体" w:eastAsia="宋体" w:cs="宋体"/>
                <w:highlight w:val="none"/>
              </w:rPr>
              <w:t>分）</w:t>
            </w:r>
          </w:p>
        </w:tc>
        <w:tc>
          <w:tcPr>
            <w:tcW w:w="1708" w:type="dxa"/>
            <w:tcBorders>
              <w:tl2br w:val="nil"/>
              <w:tr2bl w:val="nil"/>
            </w:tcBorders>
            <w:vAlign w:val="center"/>
          </w:tcPr>
          <w:p w14:paraId="71B3EC1F">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hint="eastAsia" w:ascii="宋体" w:hAnsi="宋体" w:eastAsia="宋体" w:cs="宋体"/>
                <w:highlight w:val="none"/>
              </w:rPr>
            </w:pPr>
            <w:r>
              <w:rPr>
                <w:rFonts w:hint="eastAsia" w:ascii="宋体" w:hAnsi="宋体" w:eastAsia="宋体" w:cs="宋体"/>
                <w:highlight w:val="none"/>
              </w:rPr>
              <w:t>企业业绩</w:t>
            </w:r>
          </w:p>
          <w:p w14:paraId="195C0159">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20</w:t>
            </w:r>
            <w:r>
              <w:rPr>
                <w:rFonts w:hint="eastAsia" w:ascii="宋体" w:hAnsi="宋体" w:eastAsia="宋体" w:cs="宋体"/>
                <w:highlight w:val="none"/>
              </w:rPr>
              <w:t>分）</w:t>
            </w:r>
          </w:p>
        </w:tc>
        <w:tc>
          <w:tcPr>
            <w:tcW w:w="5969" w:type="dxa"/>
            <w:tcBorders>
              <w:tl2br w:val="nil"/>
              <w:tr2bl w:val="nil"/>
            </w:tcBorders>
            <w:vAlign w:val="center"/>
          </w:tcPr>
          <w:p w14:paraId="2FE0EF2A">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both"/>
              <w:textAlignment w:val="auto"/>
              <w:rPr>
                <w:rFonts w:ascii="宋体" w:hAnsi="宋体" w:eastAsia="宋体" w:cs="宋体"/>
                <w:highlight w:val="none"/>
              </w:rPr>
            </w:pPr>
            <w:r>
              <w:rPr>
                <w:rFonts w:hint="eastAsia" w:ascii="宋体" w:hAnsi="宋体" w:cs="宋体"/>
                <w:bCs/>
                <w:sz w:val="21"/>
                <w:szCs w:val="21"/>
                <w:highlight w:val="none"/>
                <w:lang w:val="en-US" w:eastAsia="zh-CN"/>
              </w:rPr>
              <w:t>供应商</w:t>
            </w:r>
            <w:r>
              <w:rPr>
                <w:rFonts w:hint="eastAsia" w:ascii="宋体" w:hAnsi="宋体" w:eastAsia="宋体" w:cs="宋体"/>
                <w:highlight w:val="none"/>
              </w:rPr>
              <w:t>近年（</w:t>
            </w:r>
            <w:r>
              <w:rPr>
                <w:rFonts w:hint="eastAsia" w:ascii="宋体" w:hAnsi="宋体" w:cs="宋体"/>
                <w:highlight w:val="none"/>
                <w:lang w:eastAsia="zh-CN"/>
              </w:rPr>
              <w:t>2022年1月1日起至今</w:t>
            </w:r>
            <w:r>
              <w:rPr>
                <w:rFonts w:hint="eastAsia" w:ascii="宋体" w:hAnsi="宋体" w:eastAsia="宋体" w:cs="宋体"/>
                <w:highlight w:val="none"/>
              </w:rPr>
              <w:t>）</w:t>
            </w:r>
            <w:r>
              <w:rPr>
                <w:rFonts w:hint="eastAsia" w:ascii="宋体" w:hAnsi="宋体" w:cs="宋体"/>
                <w:b w:val="0"/>
                <w:bCs/>
                <w:sz w:val="21"/>
                <w:szCs w:val="21"/>
                <w:highlight w:val="none"/>
                <w:lang w:val="zh-CN"/>
              </w:rPr>
              <w:t>完成过</w:t>
            </w:r>
            <w:r>
              <w:rPr>
                <w:rFonts w:hint="eastAsia" w:ascii="宋体" w:hAnsi="宋体" w:cs="宋体"/>
                <w:b w:val="0"/>
                <w:bCs/>
                <w:sz w:val="21"/>
                <w:szCs w:val="21"/>
                <w:highlight w:val="none"/>
                <w:lang w:val="en-US" w:eastAsia="zh-CN"/>
              </w:rPr>
              <w:t>污泥处置项目</w:t>
            </w:r>
            <w:r>
              <w:rPr>
                <w:rFonts w:hint="eastAsia" w:ascii="宋体" w:hAnsi="宋体" w:cs="宋体"/>
                <w:b w:val="0"/>
                <w:bCs/>
                <w:sz w:val="21"/>
                <w:szCs w:val="21"/>
                <w:highlight w:val="none"/>
                <w:lang w:val="zh-CN"/>
              </w:rPr>
              <w:t>，每有一项得</w:t>
            </w:r>
            <w:r>
              <w:rPr>
                <w:rFonts w:hint="eastAsia" w:ascii="宋体" w:hAnsi="宋体" w:cs="宋体"/>
                <w:b w:val="0"/>
                <w:bCs/>
                <w:sz w:val="21"/>
                <w:szCs w:val="21"/>
                <w:highlight w:val="none"/>
                <w:lang w:val="en-US" w:eastAsia="zh-CN"/>
              </w:rPr>
              <w:t>4</w:t>
            </w:r>
            <w:r>
              <w:rPr>
                <w:rFonts w:hint="eastAsia" w:ascii="宋体" w:hAnsi="宋体" w:cs="宋体"/>
                <w:b w:val="0"/>
                <w:bCs/>
                <w:sz w:val="21"/>
                <w:szCs w:val="21"/>
                <w:highlight w:val="none"/>
                <w:lang w:val="zh-CN"/>
              </w:rPr>
              <w:t>分，</w:t>
            </w:r>
            <w:r>
              <w:rPr>
                <w:rFonts w:hint="eastAsia" w:ascii="宋体" w:hAnsi="宋体"/>
                <w:szCs w:val="21"/>
                <w:highlight w:val="none"/>
                <w:lang w:val="en-US" w:eastAsia="zh-CN"/>
              </w:rPr>
              <w:t>满分</w:t>
            </w:r>
            <w:r>
              <w:rPr>
                <w:rFonts w:hint="eastAsia" w:ascii="宋体" w:hAnsi="宋体" w:cs="宋体"/>
                <w:b w:val="0"/>
                <w:bCs/>
                <w:sz w:val="21"/>
                <w:szCs w:val="21"/>
                <w:highlight w:val="none"/>
                <w:lang w:val="en-US" w:eastAsia="zh-CN"/>
              </w:rPr>
              <w:t>20</w:t>
            </w:r>
            <w:r>
              <w:rPr>
                <w:rFonts w:hint="eastAsia" w:ascii="宋体" w:hAnsi="宋体" w:cs="宋体"/>
                <w:b w:val="0"/>
                <w:bCs/>
                <w:sz w:val="21"/>
                <w:szCs w:val="21"/>
                <w:highlight w:val="none"/>
                <w:lang w:val="zh-CN"/>
              </w:rPr>
              <w:t>分</w:t>
            </w:r>
            <w:r>
              <w:rPr>
                <w:rFonts w:hint="eastAsia" w:ascii="宋体" w:hAnsi="宋体" w:eastAsia="宋体" w:cs="宋体"/>
                <w:highlight w:val="none"/>
              </w:rPr>
              <w:t>。</w:t>
            </w:r>
            <w:r>
              <w:rPr>
                <w:rFonts w:hint="eastAsia" w:ascii="宋体" w:hAnsi="宋体" w:cs="宋体"/>
                <w:bCs/>
                <w:highlight w:val="none"/>
                <w:lang w:eastAsia="zh-CN"/>
              </w:rPr>
              <w:t>响应文件</w:t>
            </w:r>
            <w:r>
              <w:rPr>
                <w:rFonts w:hint="eastAsia" w:ascii="宋体" w:hAnsi="宋体" w:eastAsia="宋体" w:cs="宋体"/>
                <w:bCs/>
                <w:highlight w:val="none"/>
              </w:rPr>
              <w:t>内附中标通知书或合同协议书复印件并加盖公章</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否则不得分</w:t>
            </w:r>
            <w:r>
              <w:rPr>
                <w:rFonts w:hint="eastAsia" w:ascii="宋体" w:hAnsi="宋体" w:cs="宋体"/>
                <w:bCs/>
                <w:highlight w:val="none"/>
                <w:lang w:val="en-US" w:eastAsia="zh-CN"/>
              </w:rPr>
              <w:t>。</w:t>
            </w:r>
          </w:p>
        </w:tc>
      </w:tr>
      <w:tr w14:paraId="50E0384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3" w:type="dxa"/>
            <w:vMerge w:val="continue"/>
            <w:tcBorders>
              <w:tl2br w:val="nil"/>
              <w:tr2bl w:val="nil"/>
            </w:tcBorders>
          </w:tcPr>
          <w:p w14:paraId="6A4D470D">
            <w:pPr>
              <w:keepNext/>
              <w:keepLines/>
              <w:pageBreakBefore w:val="0"/>
              <w:widowControl w:val="0"/>
              <w:kinsoku/>
              <w:wordWrap w:val="0"/>
              <w:overflowPunct/>
              <w:topLinePunct/>
              <w:autoSpaceDE/>
              <w:autoSpaceDN/>
              <w:bidi w:val="0"/>
              <w:adjustRightInd/>
              <w:snapToGrid/>
              <w:spacing w:line="380" w:lineRule="exact"/>
              <w:ind w:left="105" w:leftChars="50" w:right="105" w:rightChars="50"/>
              <w:textAlignment w:val="auto"/>
              <w:rPr>
                <w:rFonts w:ascii="宋体"/>
                <w:highlight w:val="none"/>
              </w:rPr>
            </w:pPr>
          </w:p>
        </w:tc>
        <w:tc>
          <w:tcPr>
            <w:tcW w:w="1316" w:type="dxa"/>
            <w:vMerge w:val="continue"/>
            <w:tcBorders>
              <w:tl2br w:val="nil"/>
              <w:tr2bl w:val="nil"/>
            </w:tcBorders>
          </w:tcPr>
          <w:p w14:paraId="260D9583">
            <w:pPr>
              <w:keepNext/>
              <w:keepLines/>
              <w:pageBreakBefore w:val="0"/>
              <w:widowControl w:val="0"/>
              <w:kinsoku/>
              <w:wordWrap w:val="0"/>
              <w:overflowPunct/>
              <w:topLinePunct/>
              <w:autoSpaceDE/>
              <w:autoSpaceDN/>
              <w:bidi w:val="0"/>
              <w:adjustRightInd/>
              <w:snapToGrid/>
              <w:spacing w:line="380" w:lineRule="exact"/>
              <w:ind w:left="105" w:leftChars="50" w:right="105" w:rightChars="50"/>
              <w:textAlignment w:val="auto"/>
              <w:rPr>
                <w:rFonts w:ascii="宋体"/>
                <w:highlight w:val="none"/>
              </w:rPr>
            </w:pPr>
          </w:p>
        </w:tc>
        <w:tc>
          <w:tcPr>
            <w:tcW w:w="1708" w:type="dxa"/>
            <w:tcBorders>
              <w:tl2br w:val="nil"/>
              <w:tr2bl w:val="nil"/>
            </w:tcBorders>
            <w:vAlign w:val="center"/>
          </w:tcPr>
          <w:p w14:paraId="2BCABA25">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hint="eastAsia" w:ascii="宋体" w:hAnsi="宋体" w:eastAsia="宋体" w:cs="宋体"/>
                <w:highlight w:val="none"/>
              </w:rPr>
              <w:t>服务承诺</w:t>
            </w:r>
          </w:p>
          <w:p w14:paraId="4490BDF6">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center"/>
              <w:textAlignment w:val="auto"/>
              <w:rPr>
                <w:rFonts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分）</w:t>
            </w:r>
          </w:p>
        </w:tc>
        <w:tc>
          <w:tcPr>
            <w:tcW w:w="5969" w:type="dxa"/>
            <w:tcBorders>
              <w:tl2br w:val="nil"/>
              <w:tr2bl w:val="nil"/>
            </w:tcBorders>
            <w:vAlign w:val="center"/>
          </w:tcPr>
          <w:p w14:paraId="2E8FDC96">
            <w:pPr>
              <w:keepNext/>
              <w:keepLines/>
              <w:pageBreakBefore w:val="0"/>
              <w:widowControl w:val="0"/>
              <w:kinsoku/>
              <w:wordWrap w:val="0"/>
              <w:overflowPunct/>
              <w:topLinePunct/>
              <w:autoSpaceDE/>
              <w:autoSpaceDN/>
              <w:bidi w:val="0"/>
              <w:adjustRightInd/>
              <w:snapToGrid/>
              <w:spacing w:line="380" w:lineRule="exact"/>
              <w:ind w:left="105" w:leftChars="50" w:right="105" w:rightChars="50"/>
              <w:jc w:val="both"/>
              <w:textAlignment w:val="auto"/>
              <w:rPr>
                <w:rFonts w:ascii="宋体" w:hAnsi="宋体" w:eastAsia="宋体" w:cs="宋体"/>
                <w:highlight w:val="none"/>
              </w:rPr>
            </w:pPr>
            <w:r>
              <w:rPr>
                <w:rFonts w:hint="eastAsia" w:ascii="宋体" w:hAnsi="宋体"/>
                <w:szCs w:val="21"/>
                <w:highlight w:val="none"/>
              </w:rPr>
              <w:t>针对</w:t>
            </w:r>
            <w:r>
              <w:rPr>
                <w:rFonts w:hint="eastAsia" w:ascii="宋体" w:hAnsi="宋体"/>
                <w:szCs w:val="21"/>
                <w:highlight w:val="none"/>
                <w:lang w:val="en-US" w:eastAsia="zh-CN"/>
              </w:rPr>
              <w:t>供应商</w:t>
            </w:r>
            <w:r>
              <w:rPr>
                <w:rFonts w:hint="eastAsia" w:ascii="宋体" w:hAnsi="宋体"/>
                <w:szCs w:val="21"/>
                <w:highlight w:val="none"/>
              </w:rPr>
              <w:t>提报的合理服务承诺进行综合评价，优</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5</w:t>
            </w:r>
            <w:r>
              <w:rPr>
                <w:rFonts w:hint="eastAsia" w:ascii="宋体" w:hAnsi="宋体"/>
                <w:szCs w:val="21"/>
                <w:highlight w:val="none"/>
              </w:rPr>
              <w:t>分，良</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3</w:t>
            </w:r>
            <w:r>
              <w:rPr>
                <w:rFonts w:hint="eastAsia" w:ascii="宋体" w:hAnsi="宋体"/>
                <w:szCs w:val="21"/>
                <w:highlight w:val="none"/>
              </w:rPr>
              <w:t>分，一般</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1</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没有不得分</w:t>
            </w:r>
            <w:r>
              <w:rPr>
                <w:rFonts w:hint="eastAsia" w:ascii="宋体" w:hAnsi="宋体"/>
                <w:szCs w:val="21"/>
                <w:highlight w:val="none"/>
              </w:rPr>
              <w:t>。</w:t>
            </w:r>
          </w:p>
        </w:tc>
      </w:tr>
    </w:tbl>
    <w:p w14:paraId="4DA70A14">
      <w:pPr>
        <w:pStyle w:val="17"/>
        <w:rPr>
          <w:rFonts w:hint="eastAsia" w:ascii="宋体" w:hAnsi="宋体" w:eastAsia="宋体" w:cs="宋体"/>
          <w:b/>
          <w:bCs/>
          <w:sz w:val="21"/>
          <w:szCs w:val="21"/>
          <w:highlight w:val="none"/>
          <w:lang w:val="zh-CN"/>
        </w:rPr>
      </w:pPr>
    </w:p>
    <w:p w14:paraId="52D910AF">
      <w:pPr>
        <w:spacing w:line="400" w:lineRule="exact"/>
        <w:jc w:val="both"/>
        <w:rPr>
          <w:rFonts w:hint="eastAsia" w:ascii="黑体" w:hAnsi="宋体" w:eastAsia="黑体" w:cs="宋体"/>
          <w:b/>
          <w:bCs/>
          <w:sz w:val="21"/>
          <w:szCs w:val="21"/>
          <w:highlight w:val="none"/>
          <w:lang w:val="zh-CN"/>
        </w:rPr>
      </w:pPr>
      <w:r>
        <w:rPr>
          <w:rFonts w:hint="eastAsia" w:ascii="宋体" w:hAnsi="宋体" w:eastAsia="宋体" w:cs="宋体"/>
          <w:b/>
          <w:bCs/>
          <w:sz w:val="21"/>
          <w:szCs w:val="21"/>
          <w:highlight w:val="none"/>
          <w:lang w:val="zh-CN"/>
        </w:rPr>
        <w:t>3.评标程序</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000"/>
        <w:gridCol w:w="6194"/>
      </w:tblGrid>
      <w:tr w14:paraId="79CA2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640" w:type="dxa"/>
            <w:gridSpan w:val="2"/>
            <w:noWrap w:val="0"/>
            <w:vAlign w:val="center"/>
          </w:tcPr>
          <w:p w14:paraId="638D7DC8">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条款号</w:t>
            </w:r>
          </w:p>
        </w:tc>
        <w:tc>
          <w:tcPr>
            <w:tcW w:w="6194" w:type="dxa"/>
            <w:noWrap w:val="0"/>
            <w:vAlign w:val="center"/>
          </w:tcPr>
          <w:p w14:paraId="498AB2D3">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编列内容</w:t>
            </w:r>
          </w:p>
        </w:tc>
      </w:tr>
      <w:tr w14:paraId="22510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40" w:type="dxa"/>
            <w:noWrap w:val="0"/>
            <w:vAlign w:val="center"/>
          </w:tcPr>
          <w:p w14:paraId="69A8BBFF">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3</w:t>
            </w:r>
          </w:p>
        </w:tc>
        <w:tc>
          <w:tcPr>
            <w:tcW w:w="2000" w:type="dxa"/>
            <w:noWrap w:val="0"/>
            <w:vAlign w:val="center"/>
          </w:tcPr>
          <w:p w14:paraId="4A8007AA">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评标程序</w:t>
            </w:r>
          </w:p>
        </w:tc>
        <w:tc>
          <w:tcPr>
            <w:tcW w:w="6194" w:type="dxa"/>
            <w:noWrap w:val="0"/>
            <w:vAlign w:val="center"/>
          </w:tcPr>
          <w:p w14:paraId="1CE9E5DE">
            <w:pPr>
              <w:autoSpaceDE w:val="0"/>
              <w:autoSpaceDN w:val="0"/>
              <w:adjustRightInd w:val="0"/>
              <w:spacing w:line="400" w:lineRule="exact"/>
              <w:rPr>
                <w:rFonts w:hint="eastAsia" w:ascii="宋体" w:hAnsi="宋体" w:cs="宋体"/>
                <w:sz w:val="21"/>
                <w:szCs w:val="21"/>
                <w:highlight w:val="none"/>
                <w:lang w:val="zh-CN"/>
              </w:rPr>
            </w:pPr>
            <w:r>
              <w:rPr>
                <w:rFonts w:hint="eastAsia" w:ascii="宋体" w:hAnsi="宋体" w:cs="宋体"/>
                <w:sz w:val="21"/>
                <w:szCs w:val="21"/>
                <w:highlight w:val="none"/>
                <w:lang w:val="zh-CN"/>
              </w:rPr>
              <w:t>详见本章附件A:评标详细程序</w:t>
            </w:r>
          </w:p>
        </w:tc>
      </w:tr>
      <w:tr w14:paraId="18618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40" w:type="dxa"/>
            <w:noWrap w:val="0"/>
            <w:vAlign w:val="center"/>
          </w:tcPr>
          <w:p w14:paraId="3FACCD02">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3.1.2</w:t>
            </w:r>
          </w:p>
        </w:tc>
        <w:tc>
          <w:tcPr>
            <w:tcW w:w="2000" w:type="dxa"/>
            <w:noWrap w:val="0"/>
            <w:vAlign w:val="center"/>
          </w:tcPr>
          <w:p w14:paraId="211EF6AD">
            <w:pPr>
              <w:autoSpaceDE w:val="0"/>
              <w:autoSpaceDN w:val="0"/>
              <w:adjustRightInd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否决投标条件</w:t>
            </w:r>
          </w:p>
        </w:tc>
        <w:tc>
          <w:tcPr>
            <w:tcW w:w="6194" w:type="dxa"/>
            <w:noWrap w:val="0"/>
            <w:vAlign w:val="center"/>
          </w:tcPr>
          <w:p w14:paraId="0777860F">
            <w:pPr>
              <w:autoSpaceDE w:val="0"/>
              <w:autoSpaceDN w:val="0"/>
              <w:adjustRightInd w:val="0"/>
              <w:spacing w:line="400" w:lineRule="exact"/>
              <w:rPr>
                <w:rFonts w:hint="eastAsia" w:ascii="宋体" w:hAnsi="宋体" w:cs="宋体"/>
                <w:sz w:val="21"/>
                <w:szCs w:val="21"/>
                <w:highlight w:val="none"/>
                <w:lang w:val="zh-CN"/>
              </w:rPr>
            </w:pPr>
            <w:r>
              <w:rPr>
                <w:rFonts w:hint="eastAsia" w:ascii="宋体" w:hAnsi="宋体" w:cs="宋体"/>
                <w:sz w:val="21"/>
                <w:szCs w:val="21"/>
                <w:highlight w:val="none"/>
                <w:lang w:val="zh-CN"/>
              </w:rPr>
              <w:t>详见本章附件B:否决投标条件</w:t>
            </w:r>
          </w:p>
        </w:tc>
      </w:tr>
    </w:tbl>
    <w:p w14:paraId="07D9B918">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66F3BB8">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67964130">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3AD1D98A">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395C9D7">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1D1707F1">
      <w:pPr>
        <w:keepNext/>
        <w:keepLines/>
        <w:widowControl w:val="0"/>
        <w:spacing w:line="360" w:lineRule="exact"/>
        <w:jc w:val="both"/>
        <w:outlineLvl w:val="1"/>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1. 评标方法</w:t>
      </w:r>
    </w:p>
    <w:p w14:paraId="7068ED6B">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本次评标采用综合评估法。评标委员会对满足</w:t>
      </w:r>
      <w:r>
        <w:rPr>
          <w:rFonts w:hint="eastAsia" w:ascii="宋体" w:hAnsi="宋体" w:eastAsia="宋体" w:cs="宋体"/>
          <w:snapToGrid/>
          <w:sz w:val="21"/>
          <w:szCs w:val="21"/>
          <w:highlight w:val="none"/>
          <w:lang w:val="en-US" w:eastAsia="zh-CN"/>
        </w:rPr>
        <w:t>采购</w:t>
      </w:r>
      <w:r>
        <w:rPr>
          <w:rFonts w:hint="eastAsia" w:ascii="宋体" w:hAnsi="宋体" w:eastAsia="宋体" w:cs="宋体"/>
          <w:snapToGrid/>
          <w:sz w:val="21"/>
          <w:szCs w:val="21"/>
          <w:highlight w:val="none"/>
          <w:lang w:val="zh-CN"/>
        </w:rPr>
        <w:t>文件实质性要求的</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，按照本章第2.2款规定的评分标准进行打分，并按得分由高到低顺序</w:t>
      </w:r>
      <w:r>
        <w:rPr>
          <w:rFonts w:hint="eastAsia" w:ascii="宋体" w:hAnsi="宋体" w:eastAsia="宋体" w:cs="宋体"/>
          <w:snapToGrid/>
          <w:sz w:val="21"/>
          <w:szCs w:val="21"/>
          <w:highlight w:val="none"/>
          <w:lang w:val="en-US" w:eastAsia="zh-CN"/>
        </w:rPr>
        <w:t>排序</w:t>
      </w:r>
      <w:r>
        <w:rPr>
          <w:rFonts w:hint="eastAsia" w:ascii="宋体" w:hAnsi="宋体" w:eastAsia="宋体" w:cs="宋体"/>
          <w:snapToGrid/>
          <w:sz w:val="21"/>
          <w:szCs w:val="21"/>
          <w:highlight w:val="none"/>
          <w:lang w:val="zh-CN"/>
        </w:rPr>
        <w:t>，直接确定</w:t>
      </w:r>
      <w:r>
        <w:rPr>
          <w:rFonts w:hint="eastAsia" w:ascii="宋体" w:hAnsi="宋体" w:eastAsia="宋体" w:cs="宋体"/>
          <w:snapToGrid/>
          <w:sz w:val="21"/>
          <w:szCs w:val="21"/>
          <w:highlight w:val="none"/>
          <w:lang w:val="en-US" w:eastAsia="zh-CN"/>
        </w:rPr>
        <w:t>综合得分最高的供应商为成交商</w:t>
      </w:r>
      <w:r>
        <w:rPr>
          <w:rFonts w:hint="eastAsia" w:ascii="宋体" w:hAnsi="宋体" w:eastAsia="宋体" w:cs="宋体"/>
          <w:snapToGrid/>
          <w:sz w:val="21"/>
          <w:szCs w:val="21"/>
          <w:highlight w:val="none"/>
          <w:lang w:val="zh-CN"/>
        </w:rPr>
        <w:t>。综合评分相等时，以</w:t>
      </w:r>
      <w:r>
        <w:rPr>
          <w:rFonts w:hint="eastAsia" w:ascii="宋体" w:hAnsi="宋体" w:cs="宋体"/>
          <w:snapToGrid/>
          <w:sz w:val="21"/>
          <w:szCs w:val="21"/>
          <w:highlight w:val="none"/>
          <w:lang w:val="en-US" w:eastAsia="zh-CN"/>
        </w:rPr>
        <w:t>技术方案</w:t>
      </w:r>
      <w:r>
        <w:rPr>
          <w:rFonts w:hint="eastAsia" w:ascii="宋体" w:hAnsi="宋体" w:eastAsia="宋体" w:cs="宋体"/>
          <w:snapToGrid/>
          <w:sz w:val="21"/>
          <w:szCs w:val="21"/>
          <w:highlight w:val="none"/>
          <w:lang w:val="zh-CN"/>
        </w:rPr>
        <w:t>得分高的优先；如果</w:t>
      </w:r>
      <w:r>
        <w:rPr>
          <w:rFonts w:hint="eastAsia" w:ascii="宋体" w:hAnsi="宋体" w:cs="宋体"/>
          <w:snapToGrid/>
          <w:sz w:val="21"/>
          <w:szCs w:val="21"/>
          <w:highlight w:val="none"/>
          <w:lang w:val="en-US" w:eastAsia="zh-CN"/>
        </w:rPr>
        <w:t>技术方案</w:t>
      </w:r>
      <w:r>
        <w:rPr>
          <w:rFonts w:hint="eastAsia" w:ascii="宋体" w:hAnsi="宋体" w:eastAsia="宋体" w:cs="宋体"/>
          <w:snapToGrid/>
          <w:sz w:val="21"/>
          <w:szCs w:val="21"/>
          <w:highlight w:val="none"/>
          <w:lang w:val="zh-CN"/>
        </w:rPr>
        <w:t>得分也相等，以其他因素得分高的优先；如果其他因素得分也相等，以项目管理机构得分高的优先；如果项目管理机构得分也相等，将由</w:t>
      </w:r>
      <w:r>
        <w:rPr>
          <w:rFonts w:hint="eastAsia" w:ascii="宋体" w:hAnsi="宋体" w:eastAsia="宋体" w:cs="宋体"/>
          <w:snapToGrid/>
          <w:sz w:val="21"/>
          <w:szCs w:val="21"/>
          <w:highlight w:val="none"/>
          <w:lang w:val="en-US" w:eastAsia="zh-CN"/>
        </w:rPr>
        <w:t>采购</w:t>
      </w:r>
      <w:r>
        <w:rPr>
          <w:rFonts w:hint="eastAsia" w:ascii="宋体" w:hAnsi="宋体" w:eastAsia="宋体" w:cs="宋体"/>
          <w:snapToGrid/>
          <w:sz w:val="21"/>
          <w:szCs w:val="21"/>
          <w:highlight w:val="none"/>
          <w:lang w:val="zh-CN"/>
        </w:rPr>
        <w:t>人随机抽取确定</w:t>
      </w:r>
      <w:r>
        <w:rPr>
          <w:rFonts w:hint="eastAsia" w:ascii="宋体" w:hAnsi="宋体" w:eastAsia="宋体" w:cs="宋体"/>
          <w:snapToGrid/>
          <w:sz w:val="21"/>
          <w:szCs w:val="21"/>
          <w:highlight w:val="none"/>
          <w:lang w:val="en-US" w:eastAsia="zh-CN"/>
        </w:rPr>
        <w:t>成交商</w:t>
      </w:r>
      <w:r>
        <w:rPr>
          <w:rFonts w:hint="eastAsia" w:ascii="宋体" w:hAnsi="宋体" w:eastAsia="宋体" w:cs="宋体"/>
          <w:snapToGrid/>
          <w:sz w:val="21"/>
          <w:szCs w:val="21"/>
          <w:highlight w:val="none"/>
          <w:lang w:val="zh-CN"/>
        </w:rPr>
        <w:t>。</w:t>
      </w:r>
    </w:p>
    <w:p w14:paraId="0AEA2F41">
      <w:pPr>
        <w:keepNext/>
        <w:keepLines/>
        <w:widowControl w:val="0"/>
        <w:spacing w:line="360" w:lineRule="exact"/>
        <w:jc w:val="both"/>
        <w:outlineLvl w:val="1"/>
        <w:rPr>
          <w:rFonts w:hint="eastAsia" w:ascii="宋体" w:hAnsi="宋体" w:eastAsia="宋体" w:cs="宋体"/>
          <w:b/>
          <w:bCs/>
          <w:kern w:val="2"/>
          <w:sz w:val="21"/>
          <w:szCs w:val="21"/>
          <w:highlight w:val="none"/>
        </w:rPr>
      </w:pPr>
      <w:bookmarkStart w:id="391" w:name="_Toc425529346"/>
      <w:bookmarkStart w:id="392" w:name="_Toc478222607"/>
      <w:r>
        <w:rPr>
          <w:rFonts w:hint="eastAsia" w:ascii="宋体" w:hAnsi="宋体" w:eastAsia="宋体" w:cs="宋体"/>
          <w:b/>
          <w:bCs/>
          <w:kern w:val="2"/>
          <w:sz w:val="21"/>
          <w:szCs w:val="21"/>
          <w:highlight w:val="none"/>
        </w:rPr>
        <w:t>2. 评审标准</w:t>
      </w:r>
      <w:bookmarkEnd w:id="391"/>
      <w:bookmarkEnd w:id="392"/>
    </w:p>
    <w:p w14:paraId="4A40797B">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393" w:name="_Toc425529347"/>
      <w:bookmarkStart w:id="394" w:name="_Toc478222608"/>
      <w:r>
        <w:rPr>
          <w:rFonts w:hint="eastAsia" w:ascii="宋体" w:hAnsi="宋体" w:eastAsia="宋体" w:cs="宋体"/>
          <w:b/>
          <w:bCs/>
          <w:kern w:val="2"/>
          <w:sz w:val="21"/>
          <w:szCs w:val="21"/>
          <w:highlight w:val="none"/>
        </w:rPr>
        <w:t>2.1 初步评审标准</w:t>
      </w:r>
      <w:bookmarkEnd w:id="393"/>
      <w:bookmarkEnd w:id="394"/>
    </w:p>
    <w:p w14:paraId="5F749E15">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2.1.1 形式评审标准：见评标办法前附表。</w:t>
      </w:r>
    </w:p>
    <w:p w14:paraId="7842C48C">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2.1.2 资格评审标准：见评标办法前附表。</w:t>
      </w:r>
    </w:p>
    <w:p w14:paraId="32BD5C9C">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2.1.3 响应性评审标准：见评标办法前附表。</w:t>
      </w:r>
    </w:p>
    <w:p w14:paraId="6C3749F4">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395" w:name="_Toc425529348"/>
      <w:bookmarkStart w:id="396" w:name="_Toc478222609"/>
      <w:r>
        <w:rPr>
          <w:rFonts w:hint="eastAsia" w:ascii="宋体" w:hAnsi="宋体" w:eastAsia="宋体" w:cs="宋体"/>
          <w:b/>
          <w:bCs/>
          <w:kern w:val="2"/>
          <w:sz w:val="21"/>
          <w:szCs w:val="21"/>
          <w:highlight w:val="none"/>
        </w:rPr>
        <w:t>2.2 分值构成与评分标准</w:t>
      </w:r>
      <w:bookmarkEnd w:id="395"/>
      <w:bookmarkEnd w:id="396"/>
    </w:p>
    <w:p w14:paraId="255F379C">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2.2.1 分值构成</w:t>
      </w:r>
    </w:p>
    <w:p w14:paraId="22F86A68">
      <w:pPr>
        <w:kinsoku/>
        <w:autoSpaceDE/>
        <w:autoSpaceDN/>
        <w:adjustRightInd/>
        <w:snapToGrid/>
        <w:spacing w:line="360" w:lineRule="exact"/>
        <w:ind w:firstLine="420" w:firstLineChars="200"/>
        <w:textAlignment w:val="auto"/>
        <w:rPr>
          <w:rFonts w:hint="default" w:ascii="宋体" w:hAnsi="宋体" w:eastAsia="宋体" w:cs="宋体"/>
          <w:snapToGrid/>
          <w:sz w:val="21"/>
          <w:szCs w:val="21"/>
          <w:highlight w:val="none"/>
          <w:lang w:val="en-US" w:eastAsia="zh-CN"/>
        </w:rPr>
      </w:pPr>
      <w:r>
        <w:rPr>
          <w:rFonts w:hint="eastAsia" w:ascii="宋体" w:hAnsi="宋体" w:eastAsia="宋体" w:cs="宋体"/>
          <w:snapToGrid/>
          <w:sz w:val="21"/>
          <w:szCs w:val="21"/>
          <w:highlight w:val="none"/>
          <w:lang w:val="zh-CN"/>
        </w:rPr>
        <w:t>（1）</w:t>
      </w:r>
      <w:r>
        <w:rPr>
          <w:rFonts w:hint="eastAsia" w:ascii="宋体" w:hAnsi="宋体" w:cs="宋体"/>
          <w:snapToGrid/>
          <w:sz w:val="21"/>
          <w:szCs w:val="21"/>
          <w:highlight w:val="none"/>
          <w:lang w:val="en-US" w:eastAsia="zh-CN"/>
        </w:rPr>
        <w:t>投标报价：</w:t>
      </w:r>
      <w:r>
        <w:rPr>
          <w:rFonts w:hint="eastAsia" w:ascii="宋体" w:hAnsi="宋体" w:eastAsia="宋体" w:cs="宋体"/>
          <w:snapToGrid/>
          <w:sz w:val="21"/>
          <w:szCs w:val="21"/>
          <w:highlight w:val="none"/>
          <w:lang w:val="zh-CN"/>
        </w:rPr>
        <w:t>见评标办法前附表；</w:t>
      </w:r>
    </w:p>
    <w:p w14:paraId="47097F73">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w:t>
      </w:r>
      <w:r>
        <w:rPr>
          <w:rFonts w:hint="eastAsia" w:ascii="宋体" w:hAnsi="宋体" w:eastAsia="宋体" w:cs="宋体"/>
          <w:snapToGrid/>
          <w:sz w:val="21"/>
          <w:szCs w:val="21"/>
          <w:highlight w:val="none"/>
          <w:lang w:val="en-US" w:eastAsia="zh-CN"/>
        </w:rPr>
        <w:t>2</w:t>
      </w:r>
      <w:r>
        <w:rPr>
          <w:rFonts w:hint="eastAsia" w:ascii="宋体" w:hAnsi="宋体" w:eastAsia="宋体" w:cs="宋体"/>
          <w:snapToGrid/>
          <w:sz w:val="21"/>
          <w:szCs w:val="21"/>
          <w:highlight w:val="none"/>
          <w:lang w:val="zh-CN"/>
        </w:rPr>
        <w:t>）服务</w:t>
      </w:r>
      <w:r>
        <w:rPr>
          <w:rFonts w:hint="eastAsia" w:ascii="宋体" w:hAnsi="宋体" w:cs="宋体"/>
          <w:snapToGrid/>
          <w:sz w:val="21"/>
          <w:szCs w:val="21"/>
          <w:highlight w:val="none"/>
          <w:lang w:val="en-US" w:eastAsia="zh-CN"/>
        </w:rPr>
        <w:t>方案</w:t>
      </w:r>
      <w:r>
        <w:rPr>
          <w:rFonts w:hint="eastAsia" w:ascii="宋体" w:hAnsi="宋体" w:eastAsia="宋体" w:cs="宋体"/>
          <w:snapToGrid/>
          <w:sz w:val="21"/>
          <w:szCs w:val="21"/>
          <w:highlight w:val="none"/>
          <w:lang w:val="zh-CN"/>
        </w:rPr>
        <w:t>：见评标办法前附表；</w:t>
      </w:r>
    </w:p>
    <w:p w14:paraId="425EF608">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w:t>
      </w:r>
      <w:r>
        <w:rPr>
          <w:rFonts w:hint="eastAsia" w:ascii="宋体" w:hAnsi="宋体" w:cs="宋体"/>
          <w:snapToGrid/>
          <w:sz w:val="21"/>
          <w:szCs w:val="21"/>
          <w:highlight w:val="none"/>
          <w:lang w:val="en-US" w:eastAsia="zh-CN"/>
        </w:rPr>
        <w:t>3</w:t>
      </w:r>
      <w:r>
        <w:rPr>
          <w:rFonts w:hint="eastAsia" w:ascii="宋体" w:hAnsi="宋体" w:eastAsia="宋体" w:cs="宋体"/>
          <w:snapToGrid/>
          <w:sz w:val="21"/>
          <w:szCs w:val="21"/>
          <w:highlight w:val="none"/>
          <w:lang w:val="zh-CN"/>
        </w:rPr>
        <w:t>）其他评审因素：见评标办法前附表。</w:t>
      </w:r>
    </w:p>
    <w:p w14:paraId="2D4AE782">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2.2.2 评分标准</w:t>
      </w:r>
    </w:p>
    <w:p w14:paraId="535C4247">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（1）</w:t>
      </w:r>
      <w:r>
        <w:rPr>
          <w:rFonts w:hint="eastAsia" w:ascii="宋体" w:hAnsi="宋体" w:cs="宋体"/>
          <w:snapToGrid/>
          <w:sz w:val="21"/>
          <w:szCs w:val="21"/>
          <w:highlight w:val="none"/>
          <w:lang w:val="en-US" w:eastAsia="zh-CN"/>
        </w:rPr>
        <w:t>投标报价</w:t>
      </w:r>
      <w:r>
        <w:rPr>
          <w:rFonts w:hint="eastAsia" w:ascii="宋体" w:hAnsi="宋体" w:eastAsia="宋体" w:cs="宋体"/>
          <w:snapToGrid/>
          <w:sz w:val="21"/>
          <w:szCs w:val="21"/>
          <w:highlight w:val="none"/>
          <w:lang w:val="zh-CN"/>
        </w:rPr>
        <w:t>评分标准</w:t>
      </w:r>
      <w:r>
        <w:rPr>
          <w:rFonts w:hint="eastAsia" w:ascii="宋体" w:hAnsi="宋体" w:cs="宋体"/>
          <w:snapToGrid/>
          <w:sz w:val="21"/>
          <w:szCs w:val="21"/>
          <w:highlight w:val="none"/>
          <w:lang w:val="en-US" w:eastAsia="zh-CN"/>
        </w:rPr>
        <w:t>：</w:t>
      </w:r>
      <w:r>
        <w:rPr>
          <w:rFonts w:hint="eastAsia" w:ascii="宋体" w:hAnsi="宋体" w:eastAsia="宋体" w:cs="宋体"/>
          <w:snapToGrid/>
          <w:sz w:val="21"/>
          <w:szCs w:val="21"/>
          <w:highlight w:val="none"/>
          <w:lang w:val="zh-CN"/>
        </w:rPr>
        <w:t>见评标办法前附表；</w:t>
      </w:r>
    </w:p>
    <w:p w14:paraId="5769A44C">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cs="宋体"/>
          <w:snapToGrid/>
          <w:sz w:val="21"/>
          <w:szCs w:val="21"/>
          <w:highlight w:val="none"/>
          <w:lang w:val="en-US" w:eastAsia="zh-CN"/>
        </w:rPr>
        <w:t>（2）</w:t>
      </w:r>
      <w:r>
        <w:rPr>
          <w:rFonts w:hint="eastAsia" w:ascii="宋体" w:hAnsi="宋体" w:eastAsia="宋体" w:cs="宋体"/>
          <w:snapToGrid/>
          <w:sz w:val="21"/>
          <w:szCs w:val="21"/>
          <w:highlight w:val="none"/>
          <w:lang w:val="zh-CN"/>
        </w:rPr>
        <w:t>服务</w:t>
      </w:r>
      <w:r>
        <w:rPr>
          <w:rFonts w:hint="eastAsia" w:ascii="宋体" w:hAnsi="宋体" w:cs="宋体"/>
          <w:snapToGrid/>
          <w:sz w:val="21"/>
          <w:szCs w:val="21"/>
          <w:highlight w:val="none"/>
          <w:lang w:val="en-US" w:eastAsia="zh-CN"/>
        </w:rPr>
        <w:t>方案</w:t>
      </w:r>
      <w:r>
        <w:rPr>
          <w:rFonts w:hint="eastAsia" w:ascii="宋体" w:hAnsi="宋体" w:eastAsia="宋体" w:cs="宋体"/>
          <w:snapToGrid/>
          <w:sz w:val="21"/>
          <w:szCs w:val="21"/>
          <w:highlight w:val="none"/>
          <w:lang w:val="zh-CN"/>
        </w:rPr>
        <w:t>评分标准：见评标办法前附表；</w:t>
      </w:r>
    </w:p>
    <w:p w14:paraId="1A88F8C8">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w:t>
      </w:r>
      <w:r>
        <w:rPr>
          <w:rFonts w:hint="eastAsia" w:ascii="宋体" w:hAnsi="宋体" w:cs="宋体"/>
          <w:snapToGrid/>
          <w:sz w:val="21"/>
          <w:szCs w:val="21"/>
          <w:highlight w:val="none"/>
          <w:lang w:val="en-US" w:eastAsia="zh-CN"/>
        </w:rPr>
        <w:t>3</w:t>
      </w:r>
      <w:r>
        <w:rPr>
          <w:rFonts w:hint="eastAsia" w:ascii="宋体" w:hAnsi="宋体" w:eastAsia="宋体" w:cs="宋体"/>
          <w:snapToGrid/>
          <w:sz w:val="21"/>
          <w:szCs w:val="21"/>
          <w:highlight w:val="none"/>
          <w:lang w:val="zh-CN"/>
        </w:rPr>
        <w:t>）其他因素评分标准：见评标办法前附表。</w:t>
      </w:r>
    </w:p>
    <w:p w14:paraId="5A1E76FD">
      <w:pPr>
        <w:keepNext/>
        <w:keepLines/>
        <w:widowControl w:val="0"/>
        <w:spacing w:line="360" w:lineRule="exact"/>
        <w:jc w:val="both"/>
        <w:outlineLvl w:val="1"/>
        <w:rPr>
          <w:rFonts w:hint="eastAsia" w:ascii="宋体" w:hAnsi="宋体" w:eastAsia="宋体" w:cs="宋体"/>
          <w:b/>
          <w:bCs/>
          <w:kern w:val="2"/>
          <w:sz w:val="21"/>
          <w:szCs w:val="21"/>
          <w:highlight w:val="none"/>
        </w:rPr>
      </w:pPr>
      <w:bookmarkStart w:id="397" w:name="_Toc478222610"/>
      <w:bookmarkStart w:id="398" w:name="_Toc425529349"/>
      <w:r>
        <w:rPr>
          <w:rFonts w:hint="eastAsia" w:ascii="宋体" w:hAnsi="宋体" w:eastAsia="宋体" w:cs="宋体"/>
          <w:b/>
          <w:bCs/>
          <w:kern w:val="2"/>
          <w:sz w:val="21"/>
          <w:szCs w:val="21"/>
          <w:highlight w:val="none"/>
        </w:rPr>
        <w:t>3. 评标程序</w:t>
      </w:r>
      <w:bookmarkEnd w:id="397"/>
      <w:bookmarkEnd w:id="398"/>
    </w:p>
    <w:p w14:paraId="71E21BDE">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399" w:name="_Toc425529350"/>
      <w:bookmarkStart w:id="400" w:name="_Toc478222611"/>
      <w:r>
        <w:rPr>
          <w:rFonts w:hint="eastAsia" w:ascii="宋体" w:hAnsi="宋体" w:eastAsia="宋体" w:cs="宋体"/>
          <w:b/>
          <w:bCs/>
          <w:kern w:val="2"/>
          <w:sz w:val="21"/>
          <w:szCs w:val="21"/>
          <w:highlight w:val="none"/>
        </w:rPr>
        <w:t>3.1 初步评审</w:t>
      </w:r>
      <w:bookmarkEnd w:id="399"/>
      <w:bookmarkEnd w:id="400"/>
    </w:p>
    <w:p w14:paraId="658DC13C">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3.1.1 评标委员会可以要求</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提交第二章“</w:t>
      </w:r>
      <w:r>
        <w:rPr>
          <w:rFonts w:hint="eastAsia" w:ascii="宋体" w:hAnsi="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须知”第3.5.1项至第3.5.</w:t>
      </w:r>
      <w:r>
        <w:rPr>
          <w:rFonts w:hint="eastAsia" w:ascii="宋体" w:hAnsi="宋体" w:cs="宋体"/>
          <w:snapToGrid/>
          <w:sz w:val="21"/>
          <w:szCs w:val="21"/>
          <w:highlight w:val="none"/>
          <w:lang w:val="en-US" w:eastAsia="zh-CN"/>
        </w:rPr>
        <w:t>3</w:t>
      </w:r>
      <w:r>
        <w:rPr>
          <w:rFonts w:hint="eastAsia" w:ascii="宋体" w:hAnsi="宋体" w:eastAsia="宋体" w:cs="宋体"/>
          <w:snapToGrid/>
          <w:sz w:val="21"/>
          <w:szCs w:val="21"/>
          <w:highlight w:val="none"/>
          <w:lang w:val="zh-CN"/>
        </w:rPr>
        <w:t>项规定的有关证明和证件的</w:t>
      </w:r>
      <w:r>
        <w:rPr>
          <w:rFonts w:hint="eastAsia" w:ascii="宋体" w:hAnsi="宋体" w:eastAsia="宋体" w:cs="宋体"/>
          <w:snapToGrid/>
          <w:sz w:val="21"/>
          <w:szCs w:val="21"/>
          <w:highlight w:val="none"/>
          <w:lang w:val="en-US" w:eastAsia="zh-CN"/>
        </w:rPr>
        <w:t>原件</w:t>
      </w:r>
      <w:r>
        <w:rPr>
          <w:rFonts w:hint="eastAsia" w:ascii="宋体" w:hAnsi="宋体" w:eastAsia="宋体" w:cs="宋体"/>
          <w:snapToGrid/>
          <w:sz w:val="21"/>
          <w:szCs w:val="21"/>
          <w:highlight w:val="none"/>
          <w:lang w:val="zh-CN"/>
        </w:rPr>
        <w:t>，以便核验。评标委员会依据本章第2.1款规定的标准对</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进行初步评审。有一项不符合评审标准的，评标委员会应当否决其投标。</w:t>
      </w:r>
    </w:p>
    <w:p w14:paraId="44C4C0E0">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 xml:space="preserve">3.1.2 </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有以下情形之一的，评标委员会应当否决其投标：</w:t>
      </w:r>
    </w:p>
    <w:p w14:paraId="3F0CFC46">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（1）第二章“</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须知”第1.4.3项规定的任何一种情形的；</w:t>
      </w:r>
    </w:p>
    <w:p w14:paraId="3EA2C4E9">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（2）串通投标或弄虚作假或有其他违法行为的；</w:t>
      </w:r>
    </w:p>
    <w:p w14:paraId="6EED7570">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（3）不按评标委员会要求澄清、说明或补正的。</w:t>
      </w:r>
    </w:p>
    <w:p w14:paraId="27F6600B">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3.1.3 投标报价有算术错误的，评标委员会按以下原则对投标报价进行修正，修正的价格经</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书面确认后具有约束力。</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不接受修正价格的，评标委员会应当否决其投标。</w:t>
      </w:r>
    </w:p>
    <w:p w14:paraId="699AA635">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（1）</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中的大写金额与小写金额不一致的，以大写金额为准；</w:t>
      </w:r>
    </w:p>
    <w:p w14:paraId="4234DFB9">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（2）总价金额与依据单价计算出的结果不一致的，以单价金额为准修正总价，但单价金额小数点有明显错误的除外。</w:t>
      </w:r>
    </w:p>
    <w:p w14:paraId="77921AB7">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401" w:name="_Toc425529351"/>
      <w:bookmarkStart w:id="402" w:name="_Toc478222612"/>
      <w:r>
        <w:rPr>
          <w:rFonts w:hint="eastAsia" w:ascii="宋体" w:hAnsi="宋体" w:eastAsia="宋体" w:cs="宋体"/>
          <w:b/>
          <w:bCs/>
          <w:kern w:val="2"/>
          <w:sz w:val="21"/>
          <w:szCs w:val="21"/>
          <w:highlight w:val="none"/>
        </w:rPr>
        <w:t>3.2 详细评审</w:t>
      </w:r>
      <w:bookmarkEnd w:id="401"/>
      <w:bookmarkEnd w:id="402"/>
    </w:p>
    <w:p w14:paraId="7D569C7E">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3.2.1 评标委员会按本章第2.2款规定的量化因素和分值进行打分，并计算出综合评估得分。</w:t>
      </w:r>
    </w:p>
    <w:p w14:paraId="4CDA4D2F">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（1）按本章第2.</w:t>
      </w:r>
      <w:r>
        <w:rPr>
          <w:rFonts w:hint="eastAsia" w:ascii="宋体" w:hAnsi="宋体" w:eastAsia="宋体" w:cs="宋体"/>
          <w:snapToGrid/>
          <w:sz w:val="21"/>
          <w:szCs w:val="21"/>
          <w:highlight w:val="none"/>
          <w:lang w:val="en-US" w:eastAsia="zh-CN"/>
        </w:rPr>
        <w:t>2.</w:t>
      </w:r>
      <w:r>
        <w:rPr>
          <w:rFonts w:hint="eastAsia" w:ascii="宋体" w:hAnsi="宋体" w:cs="宋体"/>
          <w:snapToGrid/>
          <w:sz w:val="21"/>
          <w:szCs w:val="21"/>
          <w:highlight w:val="none"/>
          <w:lang w:val="en-US" w:eastAsia="zh-CN"/>
        </w:rPr>
        <w:t>2</w:t>
      </w:r>
      <w:r>
        <w:rPr>
          <w:rFonts w:hint="eastAsia" w:ascii="宋体" w:hAnsi="宋体" w:eastAsia="宋体" w:cs="宋体"/>
          <w:snapToGrid/>
          <w:sz w:val="21"/>
          <w:szCs w:val="21"/>
          <w:highlight w:val="none"/>
          <w:lang w:val="zh-CN"/>
        </w:rPr>
        <w:t>（1）目规定的评审因素和分值对</w:t>
      </w:r>
      <w:r>
        <w:rPr>
          <w:rFonts w:hint="eastAsia" w:ascii="宋体" w:hAnsi="宋体" w:cs="宋体"/>
          <w:snapToGrid/>
          <w:sz w:val="21"/>
          <w:szCs w:val="21"/>
          <w:highlight w:val="none"/>
          <w:lang w:val="en-US" w:eastAsia="zh-CN"/>
        </w:rPr>
        <w:t>投标报价</w:t>
      </w:r>
      <w:r>
        <w:rPr>
          <w:rFonts w:hint="eastAsia" w:ascii="宋体" w:hAnsi="宋体" w:eastAsia="宋体" w:cs="宋体"/>
          <w:snapToGrid/>
          <w:sz w:val="21"/>
          <w:szCs w:val="21"/>
          <w:highlight w:val="none"/>
          <w:lang w:val="zh-CN"/>
        </w:rPr>
        <w:t>计算出得分A</w:t>
      </w:r>
    </w:p>
    <w:p w14:paraId="2FBAFEDB">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cs="宋体"/>
          <w:snapToGrid/>
          <w:sz w:val="21"/>
          <w:szCs w:val="21"/>
          <w:highlight w:val="none"/>
          <w:lang w:val="zh-CN"/>
        </w:rPr>
        <w:t>（</w:t>
      </w:r>
      <w:r>
        <w:rPr>
          <w:rFonts w:hint="eastAsia" w:ascii="宋体" w:hAnsi="宋体" w:cs="宋体"/>
          <w:snapToGrid/>
          <w:sz w:val="21"/>
          <w:szCs w:val="21"/>
          <w:highlight w:val="none"/>
          <w:lang w:val="en-US" w:eastAsia="zh-CN"/>
        </w:rPr>
        <w:t>2</w:t>
      </w:r>
      <w:r>
        <w:rPr>
          <w:rFonts w:hint="eastAsia" w:ascii="宋体" w:hAnsi="宋体" w:cs="宋体"/>
          <w:snapToGrid/>
          <w:sz w:val="21"/>
          <w:szCs w:val="21"/>
          <w:highlight w:val="none"/>
          <w:lang w:val="zh-CN"/>
        </w:rPr>
        <w:t>）</w:t>
      </w:r>
      <w:r>
        <w:rPr>
          <w:rFonts w:hint="eastAsia" w:ascii="宋体" w:hAnsi="宋体" w:eastAsia="宋体" w:cs="宋体"/>
          <w:snapToGrid/>
          <w:sz w:val="21"/>
          <w:szCs w:val="21"/>
          <w:highlight w:val="none"/>
          <w:lang w:val="zh-CN"/>
        </w:rPr>
        <w:t>按本章第2.</w:t>
      </w:r>
      <w:r>
        <w:rPr>
          <w:rFonts w:hint="eastAsia" w:ascii="宋体" w:hAnsi="宋体" w:eastAsia="宋体" w:cs="宋体"/>
          <w:snapToGrid/>
          <w:sz w:val="21"/>
          <w:szCs w:val="21"/>
          <w:highlight w:val="none"/>
          <w:lang w:val="en-US" w:eastAsia="zh-CN"/>
        </w:rPr>
        <w:t>2.</w:t>
      </w:r>
      <w:r>
        <w:rPr>
          <w:rFonts w:hint="eastAsia" w:ascii="宋体" w:hAnsi="宋体" w:cs="宋体"/>
          <w:snapToGrid/>
          <w:sz w:val="21"/>
          <w:szCs w:val="21"/>
          <w:highlight w:val="none"/>
          <w:lang w:val="en-US" w:eastAsia="zh-CN"/>
        </w:rPr>
        <w:t>2</w:t>
      </w:r>
      <w:r>
        <w:rPr>
          <w:rFonts w:hint="eastAsia" w:ascii="宋体" w:hAnsi="宋体" w:eastAsia="宋体" w:cs="宋体"/>
          <w:snapToGrid/>
          <w:sz w:val="21"/>
          <w:szCs w:val="21"/>
          <w:highlight w:val="none"/>
          <w:lang w:val="zh-CN"/>
        </w:rPr>
        <w:t>（</w:t>
      </w:r>
      <w:r>
        <w:rPr>
          <w:rFonts w:hint="eastAsia" w:ascii="宋体" w:hAnsi="宋体" w:cs="宋体"/>
          <w:snapToGrid/>
          <w:sz w:val="21"/>
          <w:szCs w:val="21"/>
          <w:highlight w:val="none"/>
          <w:lang w:val="en-US" w:eastAsia="zh-CN"/>
        </w:rPr>
        <w:t>2</w:t>
      </w:r>
      <w:r>
        <w:rPr>
          <w:rFonts w:hint="eastAsia" w:ascii="宋体" w:hAnsi="宋体" w:eastAsia="宋体" w:cs="宋体"/>
          <w:snapToGrid/>
          <w:sz w:val="21"/>
          <w:szCs w:val="21"/>
          <w:highlight w:val="none"/>
          <w:lang w:val="zh-CN"/>
        </w:rPr>
        <w:t>）目规定的评审因素和分值对服务</w:t>
      </w:r>
      <w:r>
        <w:rPr>
          <w:rFonts w:hint="eastAsia" w:ascii="宋体" w:hAnsi="宋体" w:cs="宋体"/>
          <w:snapToGrid/>
          <w:sz w:val="21"/>
          <w:szCs w:val="21"/>
          <w:highlight w:val="none"/>
          <w:lang w:val="en-US" w:eastAsia="zh-CN"/>
        </w:rPr>
        <w:t>方案</w:t>
      </w:r>
      <w:r>
        <w:rPr>
          <w:rFonts w:hint="eastAsia" w:ascii="宋体" w:hAnsi="宋体" w:eastAsia="宋体" w:cs="宋体"/>
          <w:snapToGrid/>
          <w:sz w:val="21"/>
          <w:szCs w:val="21"/>
          <w:highlight w:val="none"/>
          <w:lang w:val="zh-CN"/>
        </w:rPr>
        <w:t>计算出得分B；</w:t>
      </w:r>
    </w:p>
    <w:p w14:paraId="71C1FF5E">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w:t>
      </w:r>
      <w:r>
        <w:rPr>
          <w:rFonts w:hint="eastAsia" w:ascii="宋体" w:hAnsi="宋体" w:cs="宋体"/>
          <w:snapToGrid/>
          <w:sz w:val="21"/>
          <w:szCs w:val="21"/>
          <w:highlight w:val="none"/>
          <w:lang w:val="en-US" w:eastAsia="zh-CN"/>
        </w:rPr>
        <w:t>3</w:t>
      </w:r>
      <w:r>
        <w:rPr>
          <w:rFonts w:hint="eastAsia" w:ascii="宋体" w:hAnsi="宋体" w:eastAsia="宋体" w:cs="宋体"/>
          <w:snapToGrid/>
          <w:sz w:val="21"/>
          <w:szCs w:val="21"/>
          <w:highlight w:val="none"/>
          <w:lang w:val="zh-CN"/>
        </w:rPr>
        <w:t>）按本章第2.</w:t>
      </w:r>
      <w:r>
        <w:rPr>
          <w:rFonts w:hint="eastAsia" w:ascii="宋体" w:hAnsi="宋体" w:eastAsia="宋体" w:cs="宋体"/>
          <w:snapToGrid/>
          <w:sz w:val="21"/>
          <w:szCs w:val="21"/>
          <w:highlight w:val="none"/>
          <w:lang w:val="en-US" w:eastAsia="zh-CN"/>
        </w:rPr>
        <w:t>2.</w:t>
      </w:r>
      <w:r>
        <w:rPr>
          <w:rFonts w:hint="eastAsia" w:ascii="宋体" w:hAnsi="宋体" w:cs="宋体"/>
          <w:snapToGrid/>
          <w:sz w:val="21"/>
          <w:szCs w:val="21"/>
          <w:highlight w:val="none"/>
          <w:lang w:val="en-US" w:eastAsia="zh-CN"/>
        </w:rPr>
        <w:t>2</w:t>
      </w:r>
      <w:r>
        <w:rPr>
          <w:rFonts w:hint="eastAsia" w:ascii="宋体" w:hAnsi="宋体" w:eastAsia="宋体" w:cs="宋体"/>
          <w:snapToGrid/>
          <w:sz w:val="21"/>
          <w:szCs w:val="21"/>
          <w:highlight w:val="none"/>
          <w:lang w:val="zh-CN"/>
        </w:rPr>
        <w:t>（</w:t>
      </w:r>
      <w:r>
        <w:rPr>
          <w:rFonts w:hint="eastAsia" w:ascii="宋体" w:hAnsi="宋体" w:cs="宋体"/>
          <w:snapToGrid/>
          <w:sz w:val="21"/>
          <w:szCs w:val="21"/>
          <w:highlight w:val="none"/>
          <w:lang w:val="en-US" w:eastAsia="zh-CN"/>
        </w:rPr>
        <w:t>3</w:t>
      </w:r>
      <w:r>
        <w:rPr>
          <w:rFonts w:hint="eastAsia" w:ascii="宋体" w:hAnsi="宋体" w:eastAsia="宋体" w:cs="宋体"/>
          <w:snapToGrid/>
          <w:sz w:val="21"/>
          <w:szCs w:val="21"/>
          <w:highlight w:val="none"/>
          <w:lang w:val="zh-CN"/>
        </w:rPr>
        <w:t>）目规定的评审因素和分值对其他评审因素</w:t>
      </w:r>
      <w:r>
        <w:rPr>
          <w:rFonts w:hint="eastAsia" w:ascii="宋体" w:hAnsi="宋体" w:eastAsia="宋体" w:cs="宋体"/>
          <w:bCs/>
          <w:snapToGrid/>
          <w:sz w:val="21"/>
          <w:szCs w:val="21"/>
          <w:highlight w:val="none"/>
          <w:lang w:val="zh-CN"/>
        </w:rPr>
        <w:t>计算出得分</w:t>
      </w:r>
      <w:r>
        <w:rPr>
          <w:rFonts w:hint="eastAsia" w:ascii="宋体" w:hAnsi="宋体" w:cs="宋体"/>
          <w:bCs/>
          <w:snapToGrid/>
          <w:sz w:val="21"/>
          <w:szCs w:val="21"/>
          <w:highlight w:val="none"/>
          <w:lang w:val="en-US" w:eastAsia="zh-CN"/>
        </w:rPr>
        <w:t>C</w:t>
      </w:r>
      <w:r>
        <w:rPr>
          <w:rFonts w:hint="eastAsia" w:ascii="宋体" w:hAnsi="宋体" w:eastAsia="宋体" w:cs="宋体"/>
          <w:snapToGrid/>
          <w:sz w:val="21"/>
          <w:szCs w:val="21"/>
          <w:highlight w:val="none"/>
          <w:lang w:val="zh-CN"/>
        </w:rPr>
        <w:t>。</w:t>
      </w:r>
    </w:p>
    <w:p w14:paraId="23464B48">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3.2.2 评分分值计算保留小数点后两位，小数点后第三位“四舍五入”。</w:t>
      </w:r>
    </w:p>
    <w:p w14:paraId="125D4B8F">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 xml:space="preserve">3.2.3 </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得分=A+B+C。</w:t>
      </w:r>
    </w:p>
    <w:p w14:paraId="4CD255EA">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3.2.4 评标委员会发现</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的报价明显低于其他投标报价，或者在设有标底时明显低于标底，使得其投标报价可能低于其个别成本的，应当要求该</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作出书面说明并提供相应的证明材料。</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不能合理说明或者不能提供相应证明材料的，评标委员会应当认定该</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以低于成本报价竞标，否决其投标。</w:t>
      </w:r>
    </w:p>
    <w:p w14:paraId="2E12C024">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403" w:name="_Toc478222613"/>
      <w:bookmarkStart w:id="404" w:name="_Toc425529352"/>
      <w:r>
        <w:rPr>
          <w:rFonts w:hint="eastAsia" w:ascii="宋体" w:hAnsi="宋体" w:eastAsia="宋体" w:cs="宋体"/>
          <w:b/>
          <w:bCs/>
          <w:kern w:val="2"/>
          <w:sz w:val="21"/>
          <w:szCs w:val="21"/>
          <w:highlight w:val="none"/>
        </w:rPr>
        <w:t xml:space="preserve">3.3 </w:t>
      </w:r>
      <w:r>
        <w:rPr>
          <w:rFonts w:hint="eastAsia" w:ascii="宋体" w:hAnsi="宋体" w:cs="宋体"/>
          <w:b/>
          <w:bCs/>
          <w:kern w:val="2"/>
          <w:sz w:val="21"/>
          <w:szCs w:val="21"/>
          <w:highlight w:val="none"/>
          <w:lang w:eastAsia="zh-CN"/>
        </w:rPr>
        <w:t>响应文件</w:t>
      </w:r>
      <w:r>
        <w:rPr>
          <w:rFonts w:hint="eastAsia" w:ascii="宋体" w:hAnsi="宋体" w:eastAsia="宋体" w:cs="宋体"/>
          <w:b/>
          <w:bCs/>
          <w:kern w:val="2"/>
          <w:sz w:val="21"/>
          <w:szCs w:val="21"/>
          <w:highlight w:val="none"/>
        </w:rPr>
        <w:t>的澄清和补正</w:t>
      </w:r>
      <w:bookmarkEnd w:id="403"/>
      <w:bookmarkEnd w:id="404"/>
    </w:p>
    <w:p w14:paraId="23878AB9">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3.3.1 在评标过程中，评标委员会可以书面形式要求</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对所提交</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中不明确的内容进行书面澄清或说明，或者对细微偏差进行补正。评标委员会不接受</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主动提出的澄清、说明或补正。</w:t>
      </w:r>
    </w:p>
    <w:p w14:paraId="11134A7D">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3.3.2 澄清、说明和补正不得改变</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的实质性内容。</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的书面澄清、说明和补正属于</w:t>
      </w:r>
      <w:r>
        <w:rPr>
          <w:rFonts w:hint="eastAsia" w:ascii="宋体" w:hAnsi="宋体" w:cs="宋体"/>
          <w:snapToGrid/>
          <w:sz w:val="21"/>
          <w:szCs w:val="21"/>
          <w:highlight w:val="none"/>
          <w:lang w:val="zh-CN"/>
        </w:rPr>
        <w:t>响应文件</w:t>
      </w:r>
      <w:r>
        <w:rPr>
          <w:rFonts w:hint="eastAsia" w:ascii="宋体" w:hAnsi="宋体" w:eastAsia="宋体" w:cs="宋体"/>
          <w:snapToGrid/>
          <w:sz w:val="21"/>
          <w:szCs w:val="21"/>
          <w:highlight w:val="none"/>
          <w:lang w:val="zh-CN"/>
        </w:rPr>
        <w:t>的组成部分。</w:t>
      </w:r>
    </w:p>
    <w:p w14:paraId="48C47609">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3.3.3 评标委员会对</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提交的澄清、说明或补正有疑问的，可以要求</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进一步澄清、说明或补正，直至满足评标委员会的要求。</w:t>
      </w:r>
    </w:p>
    <w:p w14:paraId="4432A6DE">
      <w:pPr>
        <w:keepNext/>
        <w:keepLines/>
        <w:widowControl w:val="0"/>
        <w:spacing w:line="360" w:lineRule="exact"/>
        <w:jc w:val="both"/>
        <w:outlineLvl w:val="2"/>
        <w:rPr>
          <w:rFonts w:hint="eastAsia" w:ascii="宋体" w:hAnsi="宋体" w:eastAsia="宋体" w:cs="宋体"/>
          <w:b/>
          <w:bCs/>
          <w:kern w:val="2"/>
          <w:sz w:val="21"/>
          <w:szCs w:val="21"/>
          <w:highlight w:val="none"/>
        </w:rPr>
      </w:pPr>
      <w:bookmarkStart w:id="405" w:name="_Toc478222614"/>
      <w:bookmarkStart w:id="406" w:name="_Toc425529353"/>
      <w:r>
        <w:rPr>
          <w:rFonts w:hint="eastAsia" w:ascii="宋体" w:hAnsi="宋体" w:eastAsia="宋体" w:cs="宋体"/>
          <w:b/>
          <w:bCs/>
          <w:kern w:val="2"/>
          <w:sz w:val="21"/>
          <w:szCs w:val="21"/>
          <w:highlight w:val="none"/>
        </w:rPr>
        <w:t>3.4 评标结果</w:t>
      </w:r>
      <w:bookmarkEnd w:id="405"/>
      <w:bookmarkEnd w:id="406"/>
    </w:p>
    <w:p w14:paraId="1B764DFE">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3.4.1 除第二章“</w:t>
      </w:r>
      <w:r>
        <w:rPr>
          <w:rFonts w:hint="eastAsia" w:ascii="宋体" w:hAnsi="宋体" w:eastAsia="宋体" w:cs="宋体"/>
          <w:snapToGrid/>
          <w:sz w:val="21"/>
          <w:szCs w:val="21"/>
          <w:highlight w:val="none"/>
          <w:lang w:val="en-US" w:eastAsia="zh-CN"/>
        </w:rPr>
        <w:t>供应商</w:t>
      </w:r>
      <w:r>
        <w:rPr>
          <w:rFonts w:hint="eastAsia" w:ascii="宋体" w:hAnsi="宋体" w:eastAsia="宋体" w:cs="宋体"/>
          <w:snapToGrid/>
          <w:sz w:val="21"/>
          <w:szCs w:val="21"/>
          <w:highlight w:val="none"/>
          <w:lang w:val="zh-CN"/>
        </w:rPr>
        <w:t>须知”前附表授权直接确定</w:t>
      </w:r>
      <w:r>
        <w:rPr>
          <w:rFonts w:hint="eastAsia" w:ascii="宋体" w:hAnsi="宋体" w:eastAsia="宋体" w:cs="宋体"/>
          <w:snapToGrid/>
          <w:sz w:val="21"/>
          <w:szCs w:val="21"/>
          <w:highlight w:val="none"/>
          <w:lang w:val="en-US" w:eastAsia="zh-CN"/>
        </w:rPr>
        <w:t>成交商</w:t>
      </w:r>
      <w:r>
        <w:rPr>
          <w:rFonts w:hint="eastAsia" w:ascii="宋体" w:hAnsi="宋体" w:eastAsia="宋体" w:cs="宋体"/>
          <w:snapToGrid/>
          <w:sz w:val="21"/>
          <w:szCs w:val="21"/>
          <w:highlight w:val="none"/>
          <w:lang w:val="zh-CN"/>
        </w:rPr>
        <w:t>外，评标委员会按照得分由高到低的顺序推荐中标候选人。</w:t>
      </w:r>
    </w:p>
    <w:p w14:paraId="2CE590FD">
      <w:pPr>
        <w:kinsoku/>
        <w:autoSpaceDE/>
        <w:autoSpaceDN/>
        <w:adjustRightInd/>
        <w:snapToGrid/>
        <w:spacing w:line="360" w:lineRule="exact"/>
        <w:ind w:firstLine="420" w:firstLineChars="200"/>
        <w:textAlignment w:val="auto"/>
        <w:rPr>
          <w:rFonts w:hint="eastAsia" w:ascii="宋体" w:hAnsi="宋体" w:eastAsia="宋体" w:cs="宋体"/>
          <w:snapToGrid/>
          <w:sz w:val="21"/>
          <w:szCs w:val="21"/>
          <w:highlight w:val="none"/>
          <w:lang w:val="zh-CN"/>
        </w:rPr>
      </w:pPr>
      <w:r>
        <w:rPr>
          <w:rFonts w:hint="eastAsia" w:ascii="宋体" w:hAnsi="宋体" w:eastAsia="宋体" w:cs="宋体"/>
          <w:snapToGrid/>
          <w:sz w:val="21"/>
          <w:szCs w:val="21"/>
          <w:highlight w:val="none"/>
          <w:lang w:val="zh-CN"/>
        </w:rPr>
        <w:t>3.4.2 评标委员会完成评标后，应当向</w:t>
      </w:r>
      <w:r>
        <w:rPr>
          <w:rFonts w:hint="eastAsia" w:ascii="宋体" w:hAnsi="宋体" w:eastAsia="宋体" w:cs="宋体"/>
          <w:snapToGrid/>
          <w:sz w:val="21"/>
          <w:szCs w:val="21"/>
          <w:highlight w:val="none"/>
          <w:lang w:val="en-US" w:eastAsia="zh-CN"/>
        </w:rPr>
        <w:t>采购</w:t>
      </w:r>
      <w:r>
        <w:rPr>
          <w:rFonts w:hint="eastAsia" w:ascii="宋体" w:hAnsi="宋体" w:eastAsia="宋体" w:cs="宋体"/>
          <w:snapToGrid/>
          <w:sz w:val="21"/>
          <w:szCs w:val="21"/>
          <w:highlight w:val="none"/>
          <w:lang w:val="zh-CN"/>
        </w:rPr>
        <w:t>人提交书面评标报告。</w:t>
      </w:r>
    </w:p>
    <w:p w14:paraId="4E7F5226">
      <w:pPr>
        <w:kinsoku/>
        <w:autoSpaceDE/>
        <w:autoSpaceDN/>
        <w:adjustRightInd/>
        <w:snapToGrid/>
        <w:spacing w:line="360" w:lineRule="exact"/>
        <w:textAlignment w:val="auto"/>
        <w:rPr>
          <w:rFonts w:hint="eastAsia" w:ascii="宋体" w:hAnsi="宋体" w:eastAsia="宋体" w:cs="宋体"/>
          <w:b/>
          <w:snapToGrid/>
          <w:sz w:val="21"/>
          <w:szCs w:val="21"/>
          <w:highlight w:val="none"/>
          <w:lang w:val="zh-CN"/>
        </w:rPr>
      </w:pPr>
      <w:r>
        <w:rPr>
          <w:rFonts w:hint="eastAsia" w:ascii="宋体" w:hAnsi="宋体" w:eastAsia="宋体" w:cs="宋体"/>
          <w:b/>
          <w:snapToGrid/>
          <w:sz w:val="21"/>
          <w:szCs w:val="21"/>
          <w:highlight w:val="none"/>
          <w:lang w:val="zh-CN"/>
        </w:rPr>
        <w:t>附件A：评标详细程序</w:t>
      </w:r>
    </w:p>
    <w:p w14:paraId="1AD630C8">
      <w:pPr>
        <w:kinsoku/>
        <w:autoSpaceDE/>
        <w:autoSpaceDN/>
        <w:adjustRightInd/>
        <w:snapToGrid/>
        <w:spacing w:line="360" w:lineRule="exact"/>
        <w:textAlignment w:val="auto"/>
        <w:rPr>
          <w:rFonts w:hint="eastAsia" w:ascii="宋体" w:hAnsi="宋体" w:eastAsia="宋体" w:cs="宋体"/>
          <w:b/>
          <w:snapToGrid/>
          <w:sz w:val="21"/>
          <w:szCs w:val="21"/>
          <w:highlight w:val="none"/>
          <w:lang w:val="zh-CN"/>
        </w:rPr>
      </w:pPr>
      <w:r>
        <w:rPr>
          <w:rFonts w:hint="eastAsia" w:ascii="宋体" w:hAnsi="宋体" w:eastAsia="宋体" w:cs="宋体"/>
          <w:b/>
          <w:snapToGrid/>
          <w:sz w:val="21"/>
          <w:szCs w:val="21"/>
          <w:highlight w:val="none"/>
          <w:lang w:val="zh-CN"/>
        </w:rPr>
        <w:t>附件B：否决投标条件</w:t>
      </w:r>
    </w:p>
    <w:p w14:paraId="2315BC07">
      <w:pPr>
        <w:keepNext/>
        <w:keepLines/>
        <w:spacing w:line="360" w:lineRule="exact"/>
        <w:outlineLvl w:val="2"/>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zh-CN"/>
        </w:rPr>
        <w:br w:type="page"/>
      </w:r>
      <w:bookmarkStart w:id="407" w:name="_Toc478222615"/>
      <w:bookmarkStart w:id="408" w:name="_Toc425529354"/>
      <w:r>
        <w:rPr>
          <w:rFonts w:hint="eastAsia" w:ascii="宋体" w:hAnsi="宋体" w:eastAsia="宋体" w:cs="宋体"/>
          <w:b/>
          <w:sz w:val="21"/>
          <w:szCs w:val="21"/>
          <w:highlight w:val="none"/>
          <w:lang w:val="zh-CN"/>
        </w:rPr>
        <w:t>附件A：评标详细程序</w:t>
      </w:r>
      <w:bookmarkEnd w:id="407"/>
      <w:bookmarkEnd w:id="408"/>
    </w:p>
    <w:p w14:paraId="1BF4F480">
      <w:pPr>
        <w:kinsoku/>
        <w:snapToGrid/>
        <w:spacing w:line="360" w:lineRule="exact"/>
        <w:jc w:val="center"/>
        <w:textAlignment w:val="auto"/>
        <w:rPr>
          <w:rFonts w:hint="eastAsia" w:ascii="宋体" w:hAnsi="宋体" w:eastAsia="宋体" w:cs="宋体"/>
          <w:snapToGrid/>
          <w:sz w:val="21"/>
          <w:szCs w:val="21"/>
          <w:highlight w:val="none"/>
          <w:lang w:val="zh-CN"/>
        </w:rPr>
      </w:pPr>
      <w:r>
        <w:rPr>
          <w:rFonts w:hint="eastAsia" w:ascii="宋体" w:hAnsi="宋体" w:eastAsia="宋体" w:cs="宋体"/>
          <w:b/>
          <w:bCs/>
          <w:snapToGrid/>
          <w:sz w:val="21"/>
          <w:szCs w:val="21"/>
          <w:highlight w:val="none"/>
          <w:lang w:val="zh-CN"/>
        </w:rPr>
        <w:t>评标详细程序</w:t>
      </w:r>
    </w:p>
    <w:p w14:paraId="3588D12D">
      <w:pPr>
        <w:kinsoku/>
        <w:snapToGrid/>
        <w:spacing w:line="360" w:lineRule="exact"/>
        <w:ind w:firstLine="422" w:firstLineChars="200"/>
        <w:textAlignment w:val="auto"/>
        <w:rPr>
          <w:rFonts w:hint="eastAsia" w:ascii="宋体" w:hAnsi="宋体" w:eastAsia="宋体" w:cs="宋体"/>
          <w:b/>
          <w:bCs/>
          <w:snapToGrid/>
          <w:sz w:val="21"/>
          <w:szCs w:val="21"/>
          <w:highlight w:val="none"/>
          <w:lang w:val="zh-CN"/>
        </w:rPr>
      </w:pPr>
      <w:r>
        <w:rPr>
          <w:rFonts w:hint="eastAsia" w:ascii="宋体" w:hAnsi="宋体" w:eastAsia="宋体" w:cs="宋体"/>
          <w:b/>
          <w:bCs/>
          <w:snapToGrid/>
          <w:sz w:val="21"/>
          <w:szCs w:val="21"/>
          <w:highlight w:val="none"/>
          <w:lang w:val="zh-CN"/>
        </w:rPr>
        <w:t>A0.总  则</w:t>
      </w:r>
    </w:p>
    <w:p w14:paraId="53F88781">
      <w:pPr>
        <w:kinsoku/>
        <w:snapToGrid/>
        <w:spacing w:line="360" w:lineRule="exact"/>
        <w:ind w:firstLine="420" w:firstLineChars="200"/>
        <w:textAlignment w:val="auto"/>
        <w:rPr>
          <w:rFonts w:hint="eastAsia" w:ascii="宋体" w:hAnsi="宋体" w:eastAsia="宋体" w:cs="宋体"/>
          <w:bCs/>
          <w:snapToGrid/>
          <w:sz w:val="21"/>
          <w:szCs w:val="21"/>
          <w:highlight w:val="none"/>
          <w:lang w:val="zh-CN"/>
        </w:rPr>
      </w:pPr>
      <w:r>
        <w:rPr>
          <w:rFonts w:hint="eastAsia" w:ascii="宋体" w:hAnsi="宋体" w:eastAsia="宋体" w:cs="宋体"/>
          <w:bCs/>
          <w:snapToGrid/>
          <w:sz w:val="21"/>
          <w:szCs w:val="21"/>
          <w:highlight w:val="none"/>
          <w:lang w:val="zh-CN"/>
        </w:rPr>
        <w:t>本附件是本章“评标办法”的组成部分，是对本章第3条所规定的评标程序的进一些细化，评标委员会应当按照本附件所规定的详细程序开展并完成评标工作。</w:t>
      </w:r>
    </w:p>
    <w:p w14:paraId="7AD3E036">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A1.基本程序</w:t>
      </w:r>
    </w:p>
    <w:p w14:paraId="7B100EB0">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评标活动将按以下五个步骤进行：</w:t>
      </w:r>
    </w:p>
    <w:p w14:paraId="546D8B98">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（1）评标准备；</w:t>
      </w:r>
    </w:p>
    <w:p w14:paraId="48B2014F">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（2）初步评审；</w:t>
      </w:r>
    </w:p>
    <w:p w14:paraId="13F17C75">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（3）详细评审；</w:t>
      </w:r>
    </w:p>
    <w:p w14:paraId="4421DC67">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（4）澄清、说明或补正；</w:t>
      </w:r>
    </w:p>
    <w:p w14:paraId="18104911">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（5）推荐中标候选人及提交评标报告。</w:t>
      </w:r>
    </w:p>
    <w:p w14:paraId="192BDE49">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A2.评标准备</w:t>
      </w:r>
    </w:p>
    <w:p w14:paraId="3C707DB8">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A2.1评标委员会成员签到</w:t>
      </w:r>
    </w:p>
    <w:p w14:paraId="22B48BAB">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评标委员会成员到达评标现场时应在签到表上签到以证明其出席。</w:t>
      </w:r>
    </w:p>
    <w:p w14:paraId="508E0DC2">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A2.2评标委员会的分工</w:t>
      </w:r>
    </w:p>
    <w:p w14:paraId="32B9CC08">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评标委员会首先推选一名评标委员会主任。</w:t>
      </w:r>
      <w:r>
        <w:rPr>
          <w:rFonts w:hint="eastAsia" w:ascii="宋体" w:hAnsi="宋体" w:cs="宋体"/>
          <w:highlight w:val="none"/>
          <w:lang w:val="en-US" w:eastAsia="zh-CN"/>
        </w:rPr>
        <w:t>采购人</w:t>
      </w:r>
      <w:r>
        <w:rPr>
          <w:rFonts w:hint="eastAsia" w:ascii="宋体" w:hAnsi="宋体" w:eastAsia="宋体" w:cs="宋体"/>
          <w:bCs/>
          <w:snapToGrid/>
          <w:sz w:val="21"/>
          <w:szCs w:val="21"/>
          <w:highlight w:val="none"/>
        </w:rPr>
        <w:t>也可以直接指定评标委员会主任。评标委员会主任负责评标活动的组织领导工作。评标委员会主任在与其他评标委员会成员商议的基础上可以将评标委员会划分为技术组和商务组。</w:t>
      </w:r>
    </w:p>
    <w:p w14:paraId="42576B97">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A2.3熟悉文件资料</w:t>
      </w:r>
    </w:p>
    <w:p w14:paraId="00B0C2E6">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A2.3.1 评标委员会主任应组织评标委员会成员认真研究</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文件，了解和熟悉招标目的、</w:t>
      </w:r>
      <w:r>
        <w:rPr>
          <w:rFonts w:hint="eastAsia" w:ascii="宋体" w:hAnsi="宋体" w:eastAsia="宋体" w:cs="宋体"/>
          <w:bCs/>
          <w:snapToGrid/>
          <w:sz w:val="21"/>
          <w:szCs w:val="21"/>
          <w:highlight w:val="none"/>
          <w:lang w:val="en-US" w:eastAsia="zh-CN"/>
        </w:rPr>
        <w:t>采购需求</w:t>
      </w:r>
      <w:r>
        <w:rPr>
          <w:rFonts w:hint="eastAsia" w:ascii="宋体" w:hAnsi="宋体" w:eastAsia="宋体" w:cs="宋体"/>
          <w:bCs/>
          <w:snapToGrid/>
          <w:sz w:val="21"/>
          <w:szCs w:val="21"/>
          <w:highlight w:val="none"/>
        </w:rPr>
        <w:t>、主要合同条件、技术标准和要求、</w:t>
      </w:r>
      <w:r>
        <w:rPr>
          <w:rFonts w:hint="eastAsia" w:ascii="宋体" w:hAnsi="宋体" w:eastAsia="宋体" w:cs="宋体"/>
          <w:bCs/>
          <w:snapToGrid/>
          <w:sz w:val="21"/>
          <w:szCs w:val="21"/>
          <w:highlight w:val="none"/>
          <w:lang w:val="en-US" w:eastAsia="zh-CN"/>
        </w:rPr>
        <w:t>验收</w:t>
      </w:r>
      <w:r>
        <w:rPr>
          <w:rFonts w:hint="eastAsia" w:ascii="宋体" w:hAnsi="宋体" w:eastAsia="宋体" w:cs="宋体"/>
          <w:bCs/>
          <w:snapToGrid/>
          <w:sz w:val="21"/>
          <w:szCs w:val="21"/>
          <w:highlight w:val="none"/>
        </w:rPr>
        <w:t>标准和</w:t>
      </w:r>
      <w:r>
        <w:rPr>
          <w:rFonts w:hint="eastAsia" w:ascii="宋体" w:hAnsi="宋体" w:eastAsia="宋体" w:cs="宋体"/>
          <w:bCs/>
          <w:snapToGrid/>
          <w:sz w:val="21"/>
          <w:szCs w:val="21"/>
          <w:highlight w:val="none"/>
          <w:lang w:val="en-US" w:eastAsia="zh-CN"/>
        </w:rPr>
        <w:t>合同履行期限</w:t>
      </w:r>
      <w:r>
        <w:rPr>
          <w:rFonts w:hint="eastAsia" w:ascii="宋体" w:hAnsi="宋体" w:eastAsia="宋体" w:cs="宋体"/>
          <w:bCs/>
          <w:snapToGrid/>
          <w:sz w:val="21"/>
          <w:szCs w:val="21"/>
          <w:highlight w:val="none"/>
        </w:rPr>
        <w:t>要求，掌握评标标准和方法，熟悉本章及评标表格的使用，如果本章及评标的表格不能满足评标所需时，评标委员会应补充编制评标所需的表格，尤其是用于详细分析计算的表格。未在</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文件中规定的标准和方法不得作为评标的依据。</w:t>
      </w:r>
    </w:p>
    <w:p w14:paraId="7D9F6364">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 xml:space="preserve">A2.3.2 </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人或</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代理机构应向评标委员会提供评标所需的信息和数据，包括</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文件、未在开标会上当场拒绝的各</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、开标会记录、工程所在地工程造价管理部门颁布的工程造价信息、定额(如作为计价依据时)、有关的法律、法规、规章、国家标准以及</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人或评标委员会认为必要的其他信息和数据。</w:t>
      </w:r>
    </w:p>
    <w:p w14:paraId="27DFDECC">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A2.4暗标编号（本项目不采取暗标评审方式）</w:t>
      </w:r>
    </w:p>
    <w:p w14:paraId="50334BAC">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A2.5对</w:t>
      </w:r>
      <w:r>
        <w:rPr>
          <w:rFonts w:hint="eastAsia" w:ascii="宋体" w:hAnsi="宋体" w:cs="宋体"/>
          <w:b/>
          <w:bCs/>
          <w:snapToGrid/>
          <w:sz w:val="21"/>
          <w:szCs w:val="21"/>
          <w:highlight w:val="none"/>
          <w:lang w:eastAsia="zh-CN"/>
        </w:rPr>
        <w:t>响应文件</w:t>
      </w:r>
      <w:r>
        <w:rPr>
          <w:rFonts w:hint="eastAsia" w:ascii="宋体" w:hAnsi="宋体" w:eastAsia="宋体" w:cs="宋体"/>
          <w:b/>
          <w:bCs/>
          <w:snapToGrid/>
          <w:sz w:val="21"/>
          <w:szCs w:val="21"/>
          <w:highlight w:val="none"/>
        </w:rPr>
        <w:t>进行基础性数据分析和整理工作(清标)</w:t>
      </w:r>
    </w:p>
    <w:p w14:paraId="5425375B">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A2.5.1 在不改变</w:t>
      </w:r>
      <w:r>
        <w:rPr>
          <w:rFonts w:hint="eastAsia" w:ascii="宋体" w:hAnsi="宋体" w:eastAsia="宋体" w:cs="宋体"/>
          <w:bCs/>
          <w:snapToGrid/>
          <w:sz w:val="21"/>
          <w:szCs w:val="21"/>
          <w:highlight w:val="none"/>
          <w:lang w:val="en-US" w:eastAsia="zh-CN"/>
        </w:rPr>
        <w:t>供应商</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实质性内容的前提下，评标委员会应当对</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进行基础性数据分析和整理(本章中简称为“清标”)，从而发现并提取其中可能存在的对</w:t>
      </w:r>
      <w:r>
        <w:rPr>
          <w:rFonts w:hint="eastAsia" w:ascii="宋体" w:hAnsi="宋体" w:eastAsia="宋体" w:cs="宋体"/>
          <w:bCs/>
          <w:snapToGrid/>
          <w:sz w:val="21"/>
          <w:szCs w:val="21"/>
          <w:highlight w:val="none"/>
          <w:lang w:val="en-US" w:eastAsia="zh-CN"/>
        </w:rPr>
        <w:t>采购需求</w:t>
      </w:r>
      <w:r>
        <w:rPr>
          <w:rFonts w:hint="eastAsia" w:ascii="宋体" w:hAnsi="宋体" w:eastAsia="宋体" w:cs="宋体"/>
          <w:bCs/>
          <w:snapToGrid/>
          <w:sz w:val="21"/>
          <w:szCs w:val="21"/>
          <w:highlight w:val="none"/>
        </w:rPr>
        <w:t>理解的偏差、投标报价的算术性错误、错漏项、投标报价构成不合理、不平衡报价等存在明显异常的问题，并就这些问题整理形成清标成果。评标委员会对清标成果审议后，决定需要</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进行书面澄清、说明或补正的问题，形成质疑问卷，向</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发出问题澄清通知(包括质疑问卷)。</w:t>
      </w:r>
    </w:p>
    <w:p w14:paraId="688C7944">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A2.5.2 在不影响评标委员会成员的法定权利的前提下，评标委员会可委托由</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18BB7C4A">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 xml:space="preserve">A2.5.3 </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接到评标委员会发出的问题澄清通知后，应按评标委员会的要求提供书面澄清资料并按要求进行密封，在规定的时间递交到指定地点。</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递交的书面澄清资料由评标委员会开启。</w:t>
      </w:r>
    </w:p>
    <w:p w14:paraId="470C01F5">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A3.初步评审</w:t>
      </w:r>
    </w:p>
    <w:p w14:paraId="74E0EB67">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A3.1形式评审</w:t>
      </w:r>
    </w:p>
    <w:p w14:paraId="165997FF">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评标委员会根据评标办法前附表中规定的评审因素和评审标准，对</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进行形式评审。</w:t>
      </w:r>
    </w:p>
    <w:p w14:paraId="6C381D42">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A3.2资格评审</w:t>
      </w:r>
    </w:p>
    <w:p w14:paraId="0A02D9A5">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A3.2.1 评标委员会根据评标办法前附表中规定的评审因素和评审标准，对</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进行资格评审。</w:t>
      </w:r>
    </w:p>
    <w:p w14:paraId="16677332">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A3.3 响应性评审</w:t>
      </w:r>
    </w:p>
    <w:p w14:paraId="04F2AE3B">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A3.3.1 评标委员会根据评标办法前附表中规定的评审因素和评审标准，对</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进行响应性评审。</w:t>
      </w:r>
    </w:p>
    <w:p w14:paraId="1E74E07F">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 xml:space="preserve">A3.3.2 </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投标价格不得超出(不含等于)按照第二章“</w:t>
      </w:r>
      <w:r>
        <w:rPr>
          <w:rFonts w:hint="eastAsia" w:ascii="宋体" w:hAnsi="宋体" w:cs="宋体"/>
          <w:bCs/>
          <w:sz w:val="21"/>
          <w:szCs w:val="21"/>
          <w:highlight w:val="none"/>
          <w:lang w:val="en-US" w:eastAsia="zh-CN"/>
        </w:rPr>
        <w:t>供应商</w:t>
      </w:r>
      <w:r>
        <w:rPr>
          <w:rFonts w:hint="eastAsia" w:ascii="宋体" w:hAnsi="宋体" w:eastAsia="宋体" w:cs="宋体"/>
          <w:bCs/>
          <w:snapToGrid/>
          <w:sz w:val="21"/>
          <w:szCs w:val="21"/>
          <w:highlight w:val="none"/>
        </w:rPr>
        <w:t>须知”前附表第</w:t>
      </w:r>
      <w:r>
        <w:rPr>
          <w:rFonts w:hint="eastAsia" w:ascii="宋体" w:hAnsi="宋体" w:cs="宋体"/>
          <w:bCs/>
          <w:snapToGrid/>
          <w:sz w:val="21"/>
          <w:szCs w:val="21"/>
          <w:highlight w:val="none"/>
          <w:lang w:val="en-US" w:eastAsia="zh-CN"/>
        </w:rPr>
        <w:t>13</w:t>
      </w:r>
      <w:r>
        <w:rPr>
          <w:rFonts w:hint="eastAsia" w:ascii="宋体" w:hAnsi="宋体" w:eastAsia="宋体" w:cs="宋体"/>
          <w:bCs/>
          <w:snapToGrid/>
          <w:sz w:val="21"/>
          <w:szCs w:val="21"/>
          <w:highlight w:val="none"/>
        </w:rPr>
        <w:t>款载明的</w:t>
      </w:r>
      <w:r>
        <w:rPr>
          <w:rFonts w:hint="eastAsia" w:ascii="宋体" w:hAnsi="宋体" w:eastAsia="宋体" w:cs="宋体"/>
          <w:bCs/>
          <w:snapToGrid/>
          <w:sz w:val="21"/>
          <w:szCs w:val="21"/>
          <w:highlight w:val="none"/>
          <w:lang w:val="en-US" w:eastAsia="zh-CN"/>
        </w:rPr>
        <w:t>最高投标限价</w:t>
      </w:r>
      <w:r>
        <w:rPr>
          <w:rFonts w:hint="eastAsia" w:ascii="宋体" w:hAnsi="宋体" w:eastAsia="宋体" w:cs="宋体"/>
          <w:bCs/>
          <w:snapToGrid/>
          <w:sz w:val="21"/>
          <w:szCs w:val="21"/>
          <w:highlight w:val="none"/>
        </w:rPr>
        <w:t>，凡</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的投标价格超出</w:t>
      </w:r>
      <w:r>
        <w:rPr>
          <w:rFonts w:hint="eastAsia" w:ascii="宋体" w:hAnsi="宋体" w:eastAsia="宋体" w:cs="宋体"/>
          <w:bCs/>
          <w:snapToGrid/>
          <w:sz w:val="21"/>
          <w:szCs w:val="21"/>
          <w:highlight w:val="none"/>
          <w:lang w:val="en-US" w:eastAsia="zh-CN"/>
        </w:rPr>
        <w:t>最高投标限价</w:t>
      </w:r>
      <w:r>
        <w:rPr>
          <w:rFonts w:hint="eastAsia" w:ascii="宋体" w:hAnsi="宋体" w:eastAsia="宋体" w:cs="宋体"/>
          <w:bCs/>
          <w:snapToGrid/>
          <w:sz w:val="21"/>
          <w:szCs w:val="21"/>
          <w:highlight w:val="none"/>
        </w:rPr>
        <w:t>的，该</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不能通过响应性评审。</w:t>
      </w:r>
    </w:p>
    <w:p w14:paraId="17D5F194">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A3.4  判断投标是否被否决</w:t>
      </w:r>
    </w:p>
    <w:p w14:paraId="6BDA9800">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A3.4.1 判断</w:t>
      </w:r>
      <w:r>
        <w:rPr>
          <w:rFonts w:hint="eastAsia" w:ascii="宋体" w:hAnsi="宋体" w:cs="宋体"/>
          <w:bCs/>
          <w:sz w:val="21"/>
          <w:szCs w:val="21"/>
          <w:highlight w:val="none"/>
          <w:lang w:val="en-US" w:eastAsia="zh-CN"/>
        </w:rPr>
        <w:t>供应商</w:t>
      </w:r>
      <w:r>
        <w:rPr>
          <w:rFonts w:hint="eastAsia" w:ascii="宋体" w:hAnsi="宋体" w:eastAsia="宋体" w:cs="宋体"/>
          <w:bCs/>
          <w:snapToGrid/>
          <w:sz w:val="21"/>
          <w:szCs w:val="21"/>
          <w:highlight w:val="none"/>
        </w:rPr>
        <w:t>的投标是否被否决的全部条件(包括本章第3．1．2项中规定的条件)，在本章附件B中集中列示。</w:t>
      </w:r>
    </w:p>
    <w:p w14:paraId="7295F77D">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A3.4.2 本章附件B集中列示的否决投标条件不应与第二章“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须知”和本章正文部分包括的否决投标条件抵触，如果出现相互矛盾的情况，以第二章“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须知”和本章正文部分的规定为准。</w:t>
      </w:r>
    </w:p>
    <w:p w14:paraId="25F2BCFB">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A3.4.3 评标委员会在评标(包括初步评审和详细评审)过程中，依据本章附件B中规定的否决投标条件判断</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的投标是否被否决。</w:t>
      </w:r>
    </w:p>
    <w:p w14:paraId="692A4A10">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A3.5 算术错误修正</w:t>
      </w:r>
    </w:p>
    <w:p w14:paraId="6BA32311">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评标委员会依据本章中规定的相关原则对投标报价中存在的算术错误进行修正，并根据算术错误修正结果计算评标价。</w:t>
      </w:r>
    </w:p>
    <w:p w14:paraId="15A87E9B">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A3.6 澄清、说明或补正</w:t>
      </w:r>
    </w:p>
    <w:p w14:paraId="6A806D74">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在初步评审过程中，评标委员会应当就</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中不明确的内容要求</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进行澄清、说明或者补正。</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对此以书面形式予以澄清、说明或者补正。澄清、说明或补正根据本章第3.3款的规定执行。</w:t>
      </w:r>
    </w:p>
    <w:p w14:paraId="7B69076B">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A4.详细评审</w:t>
      </w:r>
    </w:p>
    <w:p w14:paraId="17D83668">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只有通过了初步评审、被判定为合格的</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可进入详细评审。</w:t>
      </w:r>
    </w:p>
    <w:p w14:paraId="06A9FF32">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A4.1 详细评审的程序</w:t>
      </w:r>
    </w:p>
    <w:p w14:paraId="74AD3DED">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A4.1.1 评标委员会按照本章第3</w:t>
      </w:r>
      <w:r>
        <w:rPr>
          <w:rFonts w:hint="eastAsia" w:ascii="宋体" w:hAnsi="宋体" w:cs="宋体"/>
          <w:bCs/>
          <w:snapToGrid/>
          <w:sz w:val="21"/>
          <w:szCs w:val="21"/>
          <w:highlight w:val="none"/>
          <w:lang w:val="en-US" w:eastAsia="zh-CN"/>
        </w:rPr>
        <w:t>.</w:t>
      </w:r>
      <w:r>
        <w:rPr>
          <w:rFonts w:hint="eastAsia" w:ascii="宋体" w:hAnsi="宋体" w:eastAsia="宋体" w:cs="宋体"/>
          <w:bCs/>
          <w:snapToGrid/>
          <w:sz w:val="21"/>
          <w:szCs w:val="21"/>
          <w:highlight w:val="none"/>
        </w:rPr>
        <w:t>2款中规定的程序进行详细评审：</w:t>
      </w:r>
    </w:p>
    <w:p w14:paraId="0E45532E">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(1)</w:t>
      </w:r>
      <w:r>
        <w:rPr>
          <w:rFonts w:hint="eastAsia" w:ascii="宋体" w:hAnsi="宋体" w:cs="宋体"/>
          <w:bCs/>
          <w:snapToGrid/>
          <w:sz w:val="21"/>
          <w:szCs w:val="21"/>
          <w:highlight w:val="none"/>
          <w:lang w:val="en-US" w:eastAsia="zh-CN"/>
        </w:rPr>
        <w:t>投标报价</w:t>
      </w:r>
      <w:r>
        <w:rPr>
          <w:rFonts w:hint="eastAsia" w:ascii="宋体" w:hAnsi="宋体" w:eastAsia="宋体" w:cs="宋体"/>
          <w:bCs/>
          <w:snapToGrid/>
          <w:sz w:val="21"/>
          <w:szCs w:val="21"/>
          <w:highlight w:val="none"/>
        </w:rPr>
        <w:t>评审和评分；</w:t>
      </w:r>
    </w:p>
    <w:p w14:paraId="511F2876">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(2)</w:t>
      </w:r>
      <w:r>
        <w:rPr>
          <w:rFonts w:hint="eastAsia" w:ascii="宋体" w:hAnsi="宋体" w:cs="宋体"/>
          <w:bCs/>
          <w:snapToGrid/>
          <w:sz w:val="21"/>
          <w:szCs w:val="21"/>
          <w:highlight w:val="none"/>
          <w:lang w:val="en-US" w:eastAsia="zh-CN"/>
        </w:rPr>
        <w:t>服务方案</w:t>
      </w:r>
      <w:r>
        <w:rPr>
          <w:rFonts w:hint="eastAsia" w:ascii="宋体" w:hAnsi="宋体" w:eastAsia="宋体" w:cs="宋体"/>
          <w:bCs/>
          <w:snapToGrid/>
          <w:sz w:val="21"/>
          <w:szCs w:val="21"/>
          <w:highlight w:val="none"/>
        </w:rPr>
        <w:t>评审和评分；</w:t>
      </w:r>
    </w:p>
    <w:p w14:paraId="1CC43519">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(3)其他因素评审和评分；</w:t>
      </w:r>
    </w:p>
    <w:p w14:paraId="1E0D6149">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w:t>
      </w:r>
      <w:r>
        <w:rPr>
          <w:rFonts w:hint="eastAsia" w:ascii="宋体" w:hAnsi="宋体" w:cs="宋体"/>
          <w:bCs/>
          <w:snapToGrid/>
          <w:sz w:val="21"/>
          <w:szCs w:val="21"/>
          <w:highlight w:val="none"/>
          <w:lang w:val="en-US" w:eastAsia="zh-CN"/>
        </w:rPr>
        <w:t>4</w:t>
      </w:r>
      <w:r>
        <w:rPr>
          <w:rFonts w:hint="eastAsia" w:ascii="宋体" w:hAnsi="宋体" w:eastAsia="宋体" w:cs="宋体"/>
          <w:bCs/>
          <w:snapToGrid/>
          <w:sz w:val="21"/>
          <w:szCs w:val="21"/>
          <w:highlight w:val="none"/>
        </w:rPr>
        <w:t>)汇总评分结果。</w:t>
      </w:r>
    </w:p>
    <w:p w14:paraId="4B1EB0FE">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 xml:space="preserve">A4.2 </w:t>
      </w:r>
      <w:r>
        <w:rPr>
          <w:rFonts w:hint="eastAsia" w:ascii="宋体" w:hAnsi="宋体" w:cs="宋体"/>
          <w:b/>
          <w:bCs/>
          <w:snapToGrid/>
          <w:sz w:val="21"/>
          <w:szCs w:val="21"/>
          <w:highlight w:val="none"/>
          <w:lang w:val="en-US" w:eastAsia="zh-CN"/>
        </w:rPr>
        <w:t>技术方案</w:t>
      </w:r>
      <w:r>
        <w:rPr>
          <w:rFonts w:hint="eastAsia" w:ascii="宋体" w:hAnsi="宋体" w:eastAsia="宋体" w:cs="宋体"/>
          <w:b/>
          <w:bCs/>
          <w:snapToGrid/>
          <w:sz w:val="21"/>
          <w:szCs w:val="21"/>
          <w:highlight w:val="none"/>
        </w:rPr>
        <w:t>评审和评分</w:t>
      </w:r>
    </w:p>
    <w:p w14:paraId="6CC0825E">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A4.2.1 按照评标办法前附表中规定的分值设定、各项评分因素、评分标准，对</w:t>
      </w:r>
      <w:r>
        <w:rPr>
          <w:rFonts w:hint="eastAsia" w:ascii="宋体" w:hAnsi="宋体" w:cs="宋体"/>
          <w:bCs/>
          <w:snapToGrid/>
          <w:sz w:val="21"/>
          <w:szCs w:val="21"/>
          <w:highlight w:val="none"/>
          <w:lang w:val="en-US" w:eastAsia="zh-CN"/>
        </w:rPr>
        <w:t>技术方案</w:t>
      </w:r>
      <w:r>
        <w:rPr>
          <w:rFonts w:hint="eastAsia" w:ascii="宋体" w:hAnsi="宋体" w:eastAsia="宋体" w:cs="宋体"/>
          <w:bCs/>
          <w:snapToGrid/>
          <w:sz w:val="21"/>
          <w:szCs w:val="21"/>
          <w:highlight w:val="none"/>
        </w:rPr>
        <w:t>进行评审和评分。</w:t>
      </w:r>
    </w:p>
    <w:p w14:paraId="26995F05">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A4.3 项目管理机构评审和评分</w:t>
      </w:r>
    </w:p>
    <w:p w14:paraId="690866AD">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A4.3.1 按照评标办法前附表中规定的分值设定、各项评分因素、评分标准，对项目管理机构进行评审和评分。</w:t>
      </w:r>
    </w:p>
    <w:p w14:paraId="6B520A7B">
      <w:pPr>
        <w:kinsoku/>
        <w:snapToGrid/>
        <w:spacing w:line="36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w:t>
      </w:r>
      <w:r>
        <w:rPr>
          <w:rFonts w:hint="eastAsia" w:ascii="宋体" w:hAnsi="宋体" w:cs="宋体"/>
          <w:b/>
          <w:bCs/>
          <w:snapToGrid/>
          <w:sz w:val="21"/>
          <w:szCs w:val="21"/>
          <w:highlight w:val="none"/>
          <w:lang w:val="en-US" w:eastAsia="zh-CN"/>
        </w:rPr>
        <w:t>4</w:t>
      </w:r>
      <w:r>
        <w:rPr>
          <w:rFonts w:hint="eastAsia" w:ascii="宋体" w:hAnsi="宋体" w:eastAsia="宋体" w:cs="宋体"/>
          <w:b/>
          <w:bCs/>
          <w:snapToGrid/>
          <w:sz w:val="21"/>
          <w:szCs w:val="21"/>
          <w:highlight w:val="none"/>
        </w:rPr>
        <w:t xml:space="preserve"> 其他因素（包括企业业绩）的评审和评分</w:t>
      </w:r>
    </w:p>
    <w:p w14:paraId="1EBD4BE7">
      <w:pPr>
        <w:kinsoku/>
        <w:snapToGrid/>
        <w:spacing w:line="36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根据评标办法前附表中规定的分值设定、各项评分因素和相应的评分标准，对其他因素(如果有)进行评审和评分。</w:t>
      </w:r>
    </w:p>
    <w:p w14:paraId="70FE3919">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w:t>
      </w:r>
      <w:r>
        <w:rPr>
          <w:rFonts w:hint="eastAsia" w:ascii="宋体" w:hAnsi="宋体" w:cs="宋体"/>
          <w:b/>
          <w:bCs/>
          <w:snapToGrid/>
          <w:sz w:val="21"/>
          <w:szCs w:val="21"/>
          <w:highlight w:val="none"/>
          <w:lang w:val="en-US" w:eastAsia="zh-CN"/>
        </w:rPr>
        <w:t>5</w:t>
      </w:r>
      <w:r>
        <w:rPr>
          <w:rFonts w:hint="eastAsia" w:ascii="宋体" w:hAnsi="宋体" w:eastAsia="宋体" w:cs="宋体"/>
          <w:b/>
          <w:bCs/>
          <w:snapToGrid/>
          <w:sz w:val="21"/>
          <w:szCs w:val="21"/>
          <w:highlight w:val="none"/>
        </w:rPr>
        <w:t xml:space="preserve"> 判断投标报价是否低于成本</w:t>
      </w:r>
    </w:p>
    <w:p w14:paraId="5307C910">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根据本章第3.2.4项的规定，评标委员会判断投标报价是否低于其成本。由评标委员会认定</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以低于成本竞标的，其投标将被否决。</w:t>
      </w:r>
    </w:p>
    <w:p w14:paraId="52D77436">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w:t>
      </w:r>
      <w:r>
        <w:rPr>
          <w:rFonts w:hint="eastAsia" w:ascii="宋体" w:hAnsi="宋体" w:cs="宋体"/>
          <w:b/>
          <w:bCs/>
          <w:snapToGrid/>
          <w:sz w:val="21"/>
          <w:szCs w:val="21"/>
          <w:highlight w:val="none"/>
          <w:lang w:val="en-US" w:eastAsia="zh-CN"/>
        </w:rPr>
        <w:t>6</w:t>
      </w:r>
      <w:r>
        <w:rPr>
          <w:rFonts w:hint="eastAsia" w:ascii="宋体" w:hAnsi="宋体" w:eastAsia="宋体" w:cs="宋体"/>
          <w:b/>
          <w:bCs/>
          <w:snapToGrid/>
          <w:sz w:val="21"/>
          <w:szCs w:val="21"/>
          <w:highlight w:val="none"/>
        </w:rPr>
        <w:t xml:space="preserve"> 澄清、说明或补正</w:t>
      </w:r>
    </w:p>
    <w:p w14:paraId="442FCD35">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在详细评审过程中，评标委员会应当就</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中不明确的内容要求</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进行澄清、说明或者补正。</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对此以书面形式予以澄清、说明或者补正。澄清、说明或补正根据本章第3.3款的规定执行。</w:t>
      </w:r>
    </w:p>
    <w:p w14:paraId="0320F173">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A4.</w:t>
      </w:r>
      <w:r>
        <w:rPr>
          <w:rFonts w:hint="eastAsia" w:ascii="宋体" w:hAnsi="宋体" w:cs="宋体"/>
          <w:b/>
          <w:bCs/>
          <w:snapToGrid/>
          <w:sz w:val="21"/>
          <w:szCs w:val="21"/>
          <w:highlight w:val="none"/>
          <w:lang w:val="en-US" w:eastAsia="zh-CN"/>
        </w:rPr>
        <w:t>7</w:t>
      </w:r>
      <w:r>
        <w:rPr>
          <w:rFonts w:hint="eastAsia" w:ascii="宋体" w:hAnsi="宋体" w:eastAsia="宋体" w:cs="宋体"/>
          <w:b/>
          <w:bCs/>
          <w:snapToGrid/>
          <w:sz w:val="21"/>
          <w:szCs w:val="21"/>
          <w:highlight w:val="none"/>
        </w:rPr>
        <w:t xml:space="preserve"> 汇总评分结果</w:t>
      </w:r>
    </w:p>
    <w:p w14:paraId="12A9B076">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A4.</w:t>
      </w:r>
      <w:r>
        <w:rPr>
          <w:rFonts w:hint="eastAsia" w:ascii="宋体" w:hAnsi="宋体" w:cs="宋体"/>
          <w:bCs/>
          <w:snapToGrid/>
          <w:sz w:val="21"/>
          <w:szCs w:val="21"/>
          <w:highlight w:val="none"/>
          <w:lang w:val="en-US" w:eastAsia="zh-CN"/>
        </w:rPr>
        <w:t>7</w:t>
      </w:r>
      <w:r>
        <w:rPr>
          <w:rFonts w:hint="eastAsia" w:ascii="宋体" w:hAnsi="宋体" w:eastAsia="宋体" w:cs="宋体"/>
          <w:bCs/>
          <w:snapToGrid/>
          <w:sz w:val="21"/>
          <w:szCs w:val="21"/>
          <w:highlight w:val="none"/>
        </w:rPr>
        <w:t>.1 评标委员会成员应填写详细评审评分汇总表。</w:t>
      </w:r>
    </w:p>
    <w:p w14:paraId="166A0D98">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A4.</w:t>
      </w:r>
      <w:r>
        <w:rPr>
          <w:rFonts w:hint="eastAsia" w:ascii="宋体" w:hAnsi="宋体" w:cs="宋体"/>
          <w:bCs/>
          <w:snapToGrid/>
          <w:sz w:val="21"/>
          <w:szCs w:val="21"/>
          <w:highlight w:val="none"/>
          <w:lang w:val="en-US" w:eastAsia="zh-CN"/>
        </w:rPr>
        <w:t>7</w:t>
      </w:r>
      <w:r>
        <w:rPr>
          <w:rFonts w:hint="eastAsia" w:ascii="宋体" w:hAnsi="宋体" w:eastAsia="宋体" w:cs="宋体"/>
          <w:bCs/>
          <w:snapToGrid/>
          <w:sz w:val="21"/>
          <w:szCs w:val="21"/>
          <w:highlight w:val="none"/>
        </w:rPr>
        <w:t>.2 详细评审工作全部结束后，汇总各个评标委员会成员的详细评审评分结果，并按照详细评审最终得分由高至低的次序对</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进行排序。</w:t>
      </w:r>
    </w:p>
    <w:p w14:paraId="61C6418A">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w:t>
      </w:r>
      <w:r>
        <w:rPr>
          <w:rFonts w:hint="eastAsia" w:ascii="宋体" w:hAnsi="宋体" w:cs="宋体"/>
          <w:b/>
          <w:bCs/>
          <w:snapToGrid/>
          <w:sz w:val="21"/>
          <w:szCs w:val="21"/>
          <w:highlight w:val="none"/>
          <w:lang w:val="en-US" w:eastAsia="zh-CN"/>
        </w:rPr>
        <w:t>5</w:t>
      </w:r>
      <w:r>
        <w:rPr>
          <w:rFonts w:hint="eastAsia" w:ascii="宋体" w:hAnsi="宋体" w:eastAsia="宋体" w:cs="宋体"/>
          <w:b/>
          <w:bCs/>
          <w:snapToGrid/>
          <w:sz w:val="21"/>
          <w:szCs w:val="21"/>
          <w:highlight w:val="none"/>
        </w:rPr>
        <w:t>. 推荐中标候选人</w:t>
      </w:r>
    </w:p>
    <w:p w14:paraId="37C6238C">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w:t>
      </w:r>
      <w:r>
        <w:rPr>
          <w:rFonts w:hint="eastAsia" w:ascii="宋体" w:hAnsi="宋体" w:cs="宋体"/>
          <w:bCs/>
          <w:snapToGrid/>
          <w:sz w:val="21"/>
          <w:szCs w:val="21"/>
          <w:highlight w:val="none"/>
          <w:lang w:val="en-US" w:eastAsia="zh-CN"/>
        </w:rPr>
        <w:t>5</w:t>
      </w:r>
      <w:r>
        <w:rPr>
          <w:rFonts w:hint="eastAsia" w:ascii="宋体" w:hAnsi="宋体" w:eastAsia="宋体" w:cs="宋体"/>
          <w:bCs/>
          <w:snapToGrid/>
          <w:sz w:val="21"/>
          <w:szCs w:val="21"/>
          <w:highlight w:val="none"/>
        </w:rPr>
        <w:t>.1 推荐中标候选人</w:t>
      </w:r>
    </w:p>
    <w:p w14:paraId="004B2271">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w:t>
      </w:r>
      <w:r>
        <w:rPr>
          <w:rFonts w:hint="eastAsia" w:ascii="宋体" w:hAnsi="宋体" w:cs="宋体"/>
          <w:bCs/>
          <w:snapToGrid/>
          <w:sz w:val="21"/>
          <w:szCs w:val="21"/>
          <w:highlight w:val="none"/>
          <w:lang w:val="en-US" w:eastAsia="zh-CN"/>
        </w:rPr>
        <w:t>5</w:t>
      </w:r>
      <w:r>
        <w:rPr>
          <w:rFonts w:hint="eastAsia" w:ascii="宋体" w:hAnsi="宋体" w:eastAsia="宋体" w:cs="宋体"/>
          <w:bCs/>
          <w:snapToGrid/>
          <w:sz w:val="21"/>
          <w:szCs w:val="21"/>
          <w:highlight w:val="none"/>
        </w:rPr>
        <w:t>.1.1 除第二章“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须知”前附表第</w:t>
      </w:r>
      <w:r>
        <w:rPr>
          <w:rFonts w:hint="eastAsia" w:ascii="宋体" w:hAnsi="宋体" w:cs="宋体"/>
          <w:bCs/>
          <w:snapToGrid/>
          <w:sz w:val="21"/>
          <w:szCs w:val="21"/>
          <w:highlight w:val="none"/>
          <w:lang w:val="en-US" w:eastAsia="zh-CN"/>
        </w:rPr>
        <w:t>29</w:t>
      </w:r>
      <w:r>
        <w:rPr>
          <w:rFonts w:hint="eastAsia" w:ascii="宋体" w:hAnsi="宋体" w:eastAsia="宋体" w:cs="宋体"/>
          <w:bCs/>
          <w:snapToGrid/>
          <w:sz w:val="21"/>
          <w:szCs w:val="21"/>
          <w:highlight w:val="none"/>
        </w:rPr>
        <w:t>款授权直接确定</w:t>
      </w:r>
      <w:r>
        <w:rPr>
          <w:rFonts w:hint="eastAsia" w:ascii="宋体" w:hAnsi="宋体" w:eastAsia="宋体" w:cs="宋体"/>
          <w:bCs/>
          <w:snapToGrid/>
          <w:sz w:val="21"/>
          <w:szCs w:val="21"/>
          <w:highlight w:val="none"/>
          <w:lang w:val="en-US" w:eastAsia="zh-CN"/>
        </w:rPr>
        <w:t>成交商</w:t>
      </w:r>
      <w:r>
        <w:rPr>
          <w:rFonts w:hint="eastAsia" w:ascii="宋体" w:hAnsi="宋体" w:eastAsia="宋体" w:cs="宋体"/>
          <w:bCs/>
          <w:snapToGrid/>
          <w:sz w:val="21"/>
          <w:szCs w:val="21"/>
          <w:highlight w:val="none"/>
        </w:rPr>
        <w:t>外，评标委员会在推荐中标候选人时，应遵照以下原则:</w:t>
      </w:r>
    </w:p>
    <w:p w14:paraId="3C5A65E3">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评标委员会按照最终得分由高至低的次序排列，并根据第二章“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须知”前附表第</w:t>
      </w:r>
      <w:r>
        <w:rPr>
          <w:rFonts w:hint="eastAsia" w:ascii="宋体" w:hAnsi="宋体" w:cs="宋体"/>
          <w:bCs/>
          <w:snapToGrid/>
          <w:sz w:val="21"/>
          <w:szCs w:val="21"/>
          <w:highlight w:val="none"/>
          <w:lang w:val="en-US" w:eastAsia="zh-CN"/>
        </w:rPr>
        <w:t>29</w:t>
      </w:r>
      <w:r>
        <w:rPr>
          <w:rFonts w:hint="eastAsia" w:ascii="宋体" w:hAnsi="宋体" w:eastAsia="宋体" w:cs="宋体"/>
          <w:bCs/>
          <w:snapToGrid/>
          <w:sz w:val="21"/>
          <w:szCs w:val="21"/>
          <w:highlight w:val="none"/>
        </w:rPr>
        <w:t>款规定的中标候选人数量，将排序在前的</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推荐为中标候选人。</w:t>
      </w:r>
    </w:p>
    <w:p w14:paraId="2A33BFAD">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(2) 如果评标委员会根据本章的规定被否决投标后，有效投标不足三个，且少于第二章“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须知”前附表规定的中标候选人数量的，则评标委员会可以将所有有效投标按最终得分由高至低的次序作为中标候选人向</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人推荐。如果因有效投标不足三个使得投标明显缺乏竞争的，评标委员会可以建议</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人重新招标。</w:t>
      </w:r>
    </w:p>
    <w:p w14:paraId="59493CD7">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w:t>
      </w:r>
      <w:r>
        <w:rPr>
          <w:rFonts w:hint="eastAsia" w:ascii="宋体" w:hAnsi="宋体" w:cs="宋体"/>
          <w:bCs/>
          <w:snapToGrid/>
          <w:sz w:val="21"/>
          <w:szCs w:val="21"/>
          <w:highlight w:val="none"/>
          <w:lang w:val="en-US" w:eastAsia="zh-CN"/>
        </w:rPr>
        <w:t>5</w:t>
      </w:r>
      <w:r>
        <w:rPr>
          <w:rFonts w:hint="eastAsia" w:ascii="宋体" w:hAnsi="宋体" w:eastAsia="宋体" w:cs="宋体"/>
          <w:bCs/>
          <w:snapToGrid/>
          <w:sz w:val="21"/>
          <w:szCs w:val="21"/>
          <w:highlight w:val="none"/>
        </w:rPr>
        <w:t xml:space="preserve">.2.1 </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数量少于三个或者所有投标被否决的，</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人应当依法重新招标。</w:t>
      </w:r>
    </w:p>
    <w:p w14:paraId="60068F72">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lang w:eastAsia="zh-CN"/>
        </w:rPr>
      </w:pPr>
      <w:r>
        <w:rPr>
          <w:rFonts w:hint="eastAsia" w:ascii="宋体" w:hAnsi="宋体" w:eastAsia="宋体" w:cs="宋体"/>
          <w:bCs/>
          <w:snapToGrid/>
          <w:sz w:val="21"/>
          <w:szCs w:val="21"/>
          <w:highlight w:val="none"/>
        </w:rPr>
        <w:t>A</w:t>
      </w:r>
      <w:r>
        <w:rPr>
          <w:rFonts w:hint="eastAsia" w:ascii="宋体" w:hAnsi="宋体" w:cs="宋体"/>
          <w:bCs/>
          <w:snapToGrid/>
          <w:sz w:val="21"/>
          <w:szCs w:val="21"/>
          <w:highlight w:val="none"/>
          <w:lang w:val="en-US" w:eastAsia="zh-CN"/>
        </w:rPr>
        <w:t>5</w:t>
      </w:r>
      <w:r>
        <w:rPr>
          <w:rFonts w:hint="eastAsia" w:ascii="宋体" w:hAnsi="宋体" w:eastAsia="宋体" w:cs="宋体"/>
          <w:bCs/>
          <w:snapToGrid/>
          <w:sz w:val="21"/>
          <w:szCs w:val="21"/>
          <w:highlight w:val="none"/>
        </w:rPr>
        <w:t>.2.2 直接确定</w:t>
      </w:r>
      <w:r>
        <w:rPr>
          <w:rFonts w:hint="eastAsia" w:ascii="宋体" w:hAnsi="宋体" w:eastAsia="宋体" w:cs="宋体"/>
          <w:bCs/>
          <w:snapToGrid/>
          <w:sz w:val="21"/>
          <w:szCs w:val="21"/>
          <w:highlight w:val="none"/>
          <w:lang w:val="en-US" w:eastAsia="zh-CN"/>
        </w:rPr>
        <w:t>成交商</w:t>
      </w:r>
    </w:p>
    <w:p w14:paraId="1344B8F6">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第二章“</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须知”前附表授权评标委员会直接确定</w:t>
      </w:r>
      <w:r>
        <w:rPr>
          <w:rFonts w:hint="eastAsia" w:ascii="宋体" w:hAnsi="宋体" w:eastAsia="宋体" w:cs="宋体"/>
          <w:bCs/>
          <w:snapToGrid/>
          <w:sz w:val="21"/>
          <w:szCs w:val="21"/>
          <w:highlight w:val="none"/>
          <w:lang w:val="en-US" w:eastAsia="zh-CN"/>
        </w:rPr>
        <w:t>成交商</w:t>
      </w:r>
      <w:r>
        <w:rPr>
          <w:rFonts w:hint="eastAsia" w:ascii="宋体" w:hAnsi="宋体" w:eastAsia="宋体" w:cs="宋体"/>
          <w:bCs/>
          <w:snapToGrid/>
          <w:sz w:val="21"/>
          <w:szCs w:val="21"/>
          <w:highlight w:val="none"/>
        </w:rPr>
        <w:t>的，评标委员会按照最终得分由高至低的次序排列，并确定排名第一的</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为</w:t>
      </w:r>
      <w:r>
        <w:rPr>
          <w:rFonts w:hint="eastAsia" w:ascii="宋体" w:hAnsi="宋体" w:eastAsia="宋体" w:cs="宋体"/>
          <w:bCs/>
          <w:snapToGrid/>
          <w:sz w:val="21"/>
          <w:szCs w:val="21"/>
          <w:highlight w:val="none"/>
          <w:lang w:val="en-US" w:eastAsia="zh-CN"/>
        </w:rPr>
        <w:t>成交商</w:t>
      </w:r>
      <w:r>
        <w:rPr>
          <w:rFonts w:hint="eastAsia" w:ascii="宋体" w:hAnsi="宋体" w:eastAsia="宋体" w:cs="宋体"/>
          <w:bCs/>
          <w:snapToGrid/>
          <w:sz w:val="21"/>
          <w:szCs w:val="21"/>
          <w:highlight w:val="none"/>
        </w:rPr>
        <w:t>。</w:t>
      </w:r>
    </w:p>
    <w:p w14:paraId="609A40FF">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w:t>
      </w:r>
      <w:r>
        <w:rPr>
          <w:rFonts w:hint="eastAsia" w:ascii="宋体" w:hAnsi="宋体" w:cs="宋体"/>
          <w:bCs/>
          <w:snapToGrid/>
          <w:sz w:val="21"/>
          <w:szCs w:val="21"/>
          <w:highlight w:val="none"/>
          <w:lang w:val="en-US" w:eastAsia="zh-CN"/>
        </w:rPr>
        <w:t>5</w:t>
      </w:r>
      <w:r>
        <w:rPr>
          <w:rFonts w:hint="eastAsia" w:ascii="宋体" w:hAnsi="宋体" w:eastAsia="宋体" w:cs="宋体"/>
          <w:bCs/>
          <w:snapToGrid/>
          <w:sz w:val="21"/>
          <w:szCs w:val="21"/>
          <w:highlight w:val="none"/>
        </w:rPr>
        <w:t>.3 编制评标报告</w:t>
      </w:r>
    </w:p>
    <w:p w14:paraId="74FF54CF">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评标委员会根据本章第3.4.2项的规定向</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人提交评标报告。评标报告应当由全体评标委员会成员签字，并于评标结束时抄送有关行政监督部门。评标报告应当包括以下内容：</w:t>
      </w:r>
    </w:p>
    <w:p w14:paraId="5D077BAA">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（1）基本情况和数据表；</w:t>
      </w:r>
    </w:p>
    <w:p w14:paraId="532F38A9">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（2）评标委员会成员名单；</w:t>
      </w:r>
    </w:p>
    <w:p w14:paraId="6AA710EF">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（3）开标记录；</w:t>
      </w:r>
    </w:p>
    <w:p w14:paraId="67DCAC2C">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（4）符合要求的投标一览表；</w:t>
      </w:r>
    </w:p>
    <w:p w14:paraId="527AFBD0">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（5）否决投标情况说明；</w:t>
      </w:r>
    </w:p>
    <w:p w14:paraId="1A33F758">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（6）评标标准、评标方法或者评标因素一览表；</w:t>
      </w:r>
    </w:p>
    <w:p w14:paraId="20F497C5">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（7）经评审的价格一览表(包括评标委员会在评标过程中所形成的所有记载评标结果、结论的表格、说明、记录等文件)；</w:t>
      </w:r>
    </w:p>
    <w:p w14:paraId="1B422B52">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（8）经评审的</w:t>
      </w:r>
      <w:r>
        <w:rPr>
          <w:rFonts w:hint="eastAsia" w:ascii="宋体" w:hAnsi="宋体" w:eastAsia="宋体" w:cs="宋体"/>
          <w:bCs/>
          <w:snapToGrid/>
          <w:sz w:val="21"/>
          <w:szCs w:val="21"/>
          <w:highlight w:val="none"/>
          <w:lang w:val="en-US" w:eastAsia="zh-CN"/>
        </w:rPr>
        <w:t>供应商</w:t>
      </w:r>
      <w:r>
        <w:rPr>
          <w:rFonts w:hint="eastAsia" w:ascii="宋体" w:hAnsi="宋体" w:eastAsia="宋体" w:cs="宋体"/>
          <w:bCs/>
          <w:snapToGrid/>
          <w:sz w:val="21"/>
          <w:szCs w:val="21"/>
          <w:highlight w:val="none"/>
        </w:rPr>
        <w:t>排序；</w:t>
      </w:r>
    </w:p>
    <w:p w14:paraId="6C66DF97">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（9）推荐的中标候选人名单与签订合同前要处理的事宜；</w:t>
      </w:r>
    </w:p>
    <w:p w14:paraId="3BA6D57E">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（10）澄清、说明、补正事项纪要。</w:t>
      </w:r>
    </w:p>
    <w:p w14:paraId="219053FA">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A6.特殊情况的处置程序</w:t>
      </w:r>
    </w:p>
    <w:p w14:paraId="26BED5A1">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A6.1 暗标评审的评审程序规定(本项目不采取暗标评审方式)</w:t>
      </w:r>
    </w:p>
    <w:p w14:paraId="0D908A82">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A6.2 关于评标活动暂停</w:t>
      </w:r>
    </w:p>
    <w:p w14:paraId="34AB9875">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A6.2.1 评标委员会应当执行连续评标的原则，按评标办法中规定的程序、内容、方法、标准完成全部评标工作。只有发生不可抗力导致评标工作无法继续时，评标活动方可暂停。</w:t>
      </w:r>
    </w:p>
    <w:p w14:paraId="6F9E6882">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A6.2.2发生评标暂停情况时，评标委员会应当封存全部</w:t>
      </w:r>
      <w:r>
        <w:rPr>
          <w:rFonts w:hint="eastAsia" w:ascii="宋体" w:hAnsi="宋体" w:cs="宋体"/>
          <w:bCs/>
          <w:snapToGrid/>
          <w:sz w:val="21"/>
          <w:szCs w:val="21"/>
          <w:highlight w:val="none"/>
          <w:lang w:eastAsia="zh-CN"/>
        </w:rPr>
        <w:t>响应文件</w:t>
      </w:r>
      <w:r>
        <w:rPr>
          <w:rFonts w:hint="eastAsia" w:ascii="宋体" w:hAnsi="宋体" w:eastAsia="宋体" w:cs="宋体"/>
          <w:bCs/>
          <w:snapToGrid/>
          <w:sz w:val="21"/>
          <w:szCs w:val="21"/>
          <w:highlight w:val="none"/>
        </w:rPr>
        <w:t>和评标记录，待不可抗力的影响结束且具备继续评标的条件时，由原评标委员会继续评标。</w:t>
      </w:r>
    </w:p>
    <w:p w14:paraId="087C8ECB">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A6.3 关于评标中途更换评委</w:t>
      </w:r>
    </w:p>
    <w:p w14:paraId="5CB5B676">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A6.3.1 除非发生下列情况之一，评标委员会成员不得在评标中途更换：</w:t>
      </w:r>
    </w:p>
    <w:p w14:paraId="434B5153">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(1) 因不可抗拒的客观原因，不能到场或需在评标中途退出评标活动。</w:t>
      </w:r>
    </w:p>
    <w:p w14:paraId="521AF818">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(2) 根据法律法规规定，某个或某几个评标委员会成员需要回避。</w:t>
      </w:r>
    </w:p>
    <w:p w14:paraId="72B94075">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A6.3.2 退出评标的评标委员会成员，其已完成的评标行为无效。由</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人根据本</w:t>
      </w:r>
      <w:r>
        <w:rPr>
          <w:rFonts w:hint="eastAsia" w:ascii="宋体" w:hAnsi="宋体" w:eastAsia="宋体" w:cs="宋体"/>
          <w:bCs/>
          <w:snapToGrid/>
          <w:sz w:val="21"/>
          <w:szCs w:val="21"/>
          <w:highlight w:val="none"/>
          <w:lang w:val="en-US" w:eastAsia="zh-CN"/>
        </w:rPr>
        <w:t>采购</w:t>
      </w:r>
      <w:r>
        <w:rPr>
          <w:rFonts w:hint="eastAsia" w:ascii="宋体" w:hAnsi="宋体" w:eastAsia="宋体" w:cs="宋体"/>
          <w:bCs/>
          <w:snapToGrid/>
          <w:sz w:val="21"/>
          <w:szCs w:val="21"/>
          <w:highlight w:val="none"/>
        </w:rPr>
        <w:t>文件规定的评标委员会成员产生方式另行确定替代者进行评标。</w:t>
      </w:r>
    </w:p>
    <w:p w14:paraId="0088B4C2">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A6.4 记名投票</w:t>
      </w:r>
    </w:p>
    <w:p w14:paraId="3845D18C">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在任何评标环节中，需评标委员会就某项定性的评审结论做出表决的，由评标委员会全体成员按照少数服从多数的原则，以记名投票方式表决。</w:t>
      </w:r>
    </w:p>
    <w:p w14:paraId="3B49AB41">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hint="eastAsia" w:ascii="宋体" w:hAnsi="宋体" w:eastAsia="宋体" w:cs="宋体"/>
          <w:b/>
          <w:bCs/>
          <w:snapToGrid/>
          <w:sz w:val="21"/>
          <w:szCs w:val="21"/>
          <w:highlight w:val="none"/>
        </w:rPr>
      </w:pPr>
      <w:r>
        <w:rPr>
          <w:rFonts w:hint="eastAsia" w:ascii="宋体" w:hAnsi="宋体" w:eastAsia="宋体" w:cs="宋体"/>
          <w:b/>
          <w:bCs/>
          <w:snapToGrid/>
          <w:sz w:val="21"/>
          <w:szCs w:val="21"/>
          <w:highlight w:val="none"/>
        </w:rPr>
        <w:t>A7.补充条款</w:t>
      </w:r>
    </w:p>
    <w:p w14:paraId="6EF35087">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bCs/>
          <w:snapToGrid/>
          <w:sz w:val="21"/>
          <w:szCs w:val="21"/>
          <w:highlight w:val="none"/>
        </w:rPr>
      </w:pPr>
      <w:r>
        <w:rPr>
          <w:rFonts w:hint="eastAsia" w:ascii="宋体" w:hAnsi="宋体" w:eastAsia="宋体" w:cs="宋体"/>
          <w:bCs/>
          <w:snapToGrid/>
          <w:sz w:val="21"/>
          <w:szCs w:val="21"/>
          <w:highlight w:val="none"/>
        </w:rPr>
        <w:t>无</w:t>
      </w:r>
    </w:p>
    <w:p w14:paraId="4C316DFC">
      <w:pPr>
        <w:keepNext/>
        <w:keepLines/>
        <w:spacing w:line="400" w:lineRule="exact"/>
        <w:outlineLvl w:val="2"/>
        <w:rPr>
          <w:rFonts w:hint="eastAsia" w:ascii="宋体" w:hAnsi="宋体" w:eastAsia="宋体" w:cs="宋体"/>
          <w:b/>
          <w:highlight w:val="none"/>
          <w:lang w:val="zh-CN"/>
        </w:rPr>
      </w:pPr>
      <w:bookmarkStart w:id="409" w:name="_Toc425529355"/>
      <w:bookmarkStart w:id="410" w:name="_Toc478222616"/>
    </w:p>
    <w:p w14:paraId="5A4E8A20">
      <w:pPr>
        <w:keepNext/>
        <w:keepLines/>
        <w:spacing w:line="240" w:lineRule="auto"/>
        <w:outlineLvl w:val="2"/>
        <w:rPr>
          <w:rFonts w:hint="eastAsia" w:ascii="宋体" w:hAnsi="宋体" w:eastAsia="宋体" w:cs="宋体"/>
          <w:b/>
          <w:highlight w:val="none"/>
          <w:lang w:val="zh-CN"/>
        </w:rPr>
      </w:pPr>
    </w:p>
    <w:p w14:paraId="79ED455D">
      <w:pPr>
        <w:keepNext/>
        <w:keepLines/>
        <w:spacing w:line="240" w:lineRule="auto"/>
        <w:outlineLvl w:val="2"/>
        <w:rPr>
          <w:rFonts w:hint="eastAsia" w:ascii="宋体" w:hAnsi="宋体" w:eastAsia="宋体" w:cs="宋体"/>
          <w:b/>
          <w:highlight w:val="none"/>
          <w:lang w:val="zh-CN"/>
        </w:rPr>
      </w:pPr>
    </w:p>
    <w:p w14:paraId="621F79EF">
      <w:pPr>
        <w:pStyle w:val="23"/>
        <w:numPr>
          <w:ilvl w:val="0"/>
          <w:numId w:val="0"/>
        </w:numPr>
        <w:rPr>
          <w:rFonts w:hint="eastAsia"/>
          <w:highlight w:val="none"/>
          <w:lang w:val="zh-CN"/>
        </w:rPr>
      </w:pPr>
    </w:p>
    <w:p w14:paraId="7B9E6308">
      <w:pPr>
        <w:keepNext/>
        <w:keepLines/>
        <w:spacing w:line="240" w:lineRule="auto"/>
        <w:outlineLvl w:val="2"/>
        <w:rPr>
          <w:rFonts w:hint="eastAsia" w:ascii="宋体" w:hAnsi="宋体" w:eastAsia="宋体" w:cs="宋体"/>
          <w:b/>
          <w:highlight w:val="none"/>
          <w:lang w:val="zh-CN"/>
        </w:rPr>
      </w:pPr>
    </w:p>
    <w:p w14:paraId="7C025211">
      <w:pPr>
        <w:keepNext/>
        <w:keepLines/>
        <w:spacing w:line="240" w:lineRule="auto"/>
        <w:outlineLvl w:val="2"/>
        <w:rPr>
          <w:rFonts w:ascii="黑体" w:hAnsi="宋体" w:eastAsia="黑体" w:cs="宋体"/>
          <w:b/>
          <w:highlight w:val="none"/>
          <w:lang w:val="zh-CN"/>
        </w:rPr>
      </w:pPr>
      <w:r>
        <w:rPr>
          <w:rFonts w:hint="eastAsia" w:ascii="宋体" w:hAnsi="宋体" w:eastAsia="宋体" w:cs="宋体"/>
          <w:b/>
          <w:highlight w:val="none"/>
          <w:lang w:val="zh-CN"/>
        </w:rPr>
        <w:t>附件B：否决投标条件</w:t>
      </w:r>
      <w:bookmarkEnd w:id="409"/>
      <w:bookmarkEnd w:id="410"/>
    </w:p>
    <w:p w14:paraId="42AFDCAC">
      <w:pPr>
        <w:kinsoku/>
        <w:snapToGrid/>
        <w:spacing w:beforeLines="50" w:afterLines="50" w:line="400" w:lineRule="exact"/>
        <w:jc w:val="center"/>
        <w:textAlignment w:val="auto"/>
        <w:rPr>
          <w:rFonts w:hint="eastAsia" w:ascii="宋体" w:hAnsi="宋体" w:eastAsia="宋体" w:cs="宋体"/>
          <w:b/>
          <w:bCs/>
          <w:snapToGrid/>
          <w:sz w:val="21"/>
          <w:szCs w:val="21"/>
          <w:highlight w:val="none"/>
          <w:lang w:val="zh-CN"/>
        </w:rPr>
      </w:pPr>
      <w:r>
        <w:rPr>
          <w:rFonts w:hint="eastAsia" w:ascii="宋体" w:hAnsi="宋体" w:eastAsia="宋体" w:cs="宋体"/>
          <w:b/>
          <w:bCs/>
          <w:snapToGrid/>
          <w:sz w:val="21"/>
          <w:szCs w:val="21"/>
          <w:highlight w:val="none"/>
          <w:lang w:val="zh-CN"/>
        </w:rPr>
        <w:t>否决投标条件</w:t>
      </w:r>
    </w:p>
    <w:p w14:paraId="6F57915C">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B0.总  则</w:t>
      </w:r>
    </w:p>
    <w:p w14:paraId="7D39892F">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本附件所集中列示的否决投标条件，是本章“评标办法”的组成部分，是对第二章“</w:t>
      </w: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须知”和本章正文部分所规定的否决投标条件的总结和补充，如果出现相互矛盾的情况，以第二章“</w:t>
      </w: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须知”和本章正文部分的规定为准。</w:t>
      </w:r>
    </w:p>
    <w:p w14:paraId="205E0BD6">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B1.否决投标条件</w:t>
      </w:r>
    </w:p>
    <w:p w14:paraId="2DA367E3">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或其</w:t>
      </w:r>
      <w:r>
        <w:rPr>
          <w:rFonts w:hint="eastAsia" w:ascii="宋体" w:hAnsi="宋体" w:cs="宋体"/>
          <w:bCs/>
          <w:snapToGrid/>
          <w:highlight w:val="none"/>
          <w:lang w:eastAsia="zh-CN"/>
        </w:rPr>
        <w:t>响应文件</w:t>
      </w:r>
      <w:r>
        <w:rPr>
          <w:rFonts w:hint="eastAsia" w:ascii="宋体" w:hAnsi="宋体" w:eastAsia="宋体" w:cs="宋体"/>
          <w:bCs/>
          <w:snapToGrid/>
          <w:highlight w:val="none"/>
        </w:rPr>
        <w:t>有下列情形之一的，其</w:t>
      </w:r>
      <w:r>
        <w:rPr>
          <w:rFonts w:hint="eastAsia" w:ascii="宋体" w:hAnsi="宋体" w:cs="宋体"/>
          <w:bCs/>
          <w:snapToGrid/>
          <w:highlight w:val="none"/>
          <w:lang w:eastAsia="zh-CN"/>
        </w:rPr>
        <w:t>响应文件</w:t>
      </w:r>
      <w:r>
        <w:rPr>
          <w:rFonts w:hint="eastAsia" w:ascii="宋体" w:hAnsi="宋体" w:eastAsia="宋体" w:cs="宋体"/>
          <w:bCs/>
          <w:snapToGrid/>
          <w:highlight w:val="none"/>
        </w:rPr>
        <w:t>将被否决：</w:t>
      </w:r>
    </w:p>
    <w:p w14:paraId="7FF8DF15">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B1.1 有第二章“</w:t>
      </w:r>
      <w:r>
        <w:rPr>
          <w:rFonts w:hint="eastAsia" w:ascii="宋体" w:hAnsi="宋体" w:cs="宋体"/>
          <w:bCs/>
          <w:sz w:val="21"/>
          <w:szCs w:val="21"/>
          <w:highlight w:val="none"/>
          <w:lang w:val="en-US" w:eastAsia="zh-CN"/>
        </w:rPr>
        <w:t>供应商</w:t>
      </w:r>
      <w:r>
        <w:rPr>
          <w:rFonts w:hint="eastAsia" w:ascii="宋体" w:hAnsi="宋体" w:eastAsia="宋体" w:cs="宋体"/>
          <w:bCs/>
          <w:snapToGrid/>
          <w:highlight w:val="none"/>
        </w:rPr>
        <w:t>须知”第1.4.3项规定的任何一种情形的。</w:t>
      </w:r>
    </w:p>
    <w:p w14:paraId="2FDB2028">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B1.2 有串通投标或弄虚作假或有其他违法行为的。</w:t>
      </w:r>
    </w:p>
    <w:p w14:paraId="3A07BAE7">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B1.3 不按评标委员会要求澄清、说明或补正的。</w:t>
      </w:r>
    </w:p>
    <w:p w14:paraId="73C1EE57">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B1.4 在形式评审、资格评审、响应性评审中，评标委员会认定</w:t>
      </w: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的投标不符合评标办法前附表中规定的任何一项评审标准的。</w:t>
      </w:r>
    </w:p>
    <w:p w14:paraId="52D255C4">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B1.5 投标报价文件未经有资格的工程造价专业人员签字并加盖执业专用章的；</w:t>
      </w:r>
    </w:p>
    <w:p w14:paraId="45839EDE">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 xml:space="preserve">B1.6 </w:t>
      </w:r>
      <w:r>
        <w:rPr>
          <w:rFonts w:hint="eastAsia" w:ascii="宋体" w:hAnsi="宋体" w:cs="宋体"/>
          <w:bCs/>
          <w:snapToGrid/>
          <w:highlight w:val="none"/>
          <w:lang w:eastAsia="zh-CN"/>
        </w:rPr>
        <w:t>响应文件</w:t>
      </w:r>
      <w:r>
        <w:rPr>
          <w:rFonts w:hint="eastAsia" w:ascii="宋体" w:hAnsi="宋体" w:eastAsia="宋体" w:cs="宋体"/>
          <w:bCs/>
          <w:snapToGrid/>
          <w:highlight w:val="none"/>
        </w:rPr>
        <w:t>未经</w:t>
      </w:r>
      <w:r>
        <w:rPr>
          <w:rFonts w:hint="eastAsia" w:ascii="宋体" w:hAnsi="宋体" w:cs="宋体"/>
          <w:bCs/>
          <w:snapToGrid/>
          <w:highlight w:val="none"/>
          <w:lang w:val="en-US" w:eastAsia="zh-CN"/>
        </w:rPr>
        <w:t>供应商</w:t>
      </w:r>
      <w:r>
        <w:rPr>
          <w:rFonts w:hint="eastAsia" w:ascii="宋体" w:hAnsi="宋体" w:eastAsia="宋体" w:cs="宋体"/>
          <w:bCs/>
          <w:snapToGrid/>
          <w:highlight w:val="none"/>
        </w:rPr>
        <w:t>盖章和单位负责人签字；</w:t>
      </w:r>
    </w:p>
    <w:p w14:paraId="7CE23168">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 xml:space="preserve">B1.7 </w:t>
      </w: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不符合国家或者</w:t>
      </w:r>
      <w:r>
        <w:rPr>
          <w:rFonts w:hint="eastAsia" w:ascii="宋体" w:cs="宋体"/>
          <w:bCs/>
          <w:color w:val="auto"/>
          <w:szCs w:val="22"/>
          <w:highlight w:val="none"/>
          <w:lang w:val="en-US" w:eastAsia="zh-CN" w:bidi="ar-SA"/>
        </w:rPr>
        <w:t>采购</w:t>
      </w:r>
      <w:r>
        <w:rPr>
          <w:rFonts w:hint="eastAsia" w:ascii="宋体" w:eastAsia="宋体" w:cs="宋体"/>
          <w:bCs/>
          <w:color w:val="auto"/>
          <w:szCs w:val="22"/>
          <w:highlight w:val="none"/>
          <w:lang w:val="zh-CN" w:eastAsia="zh-CN" w:bidi="ar-SA"/>
        </w:rPr>
        <w:t>文件</w:t>
      </w:r>
      <w:r>
        <w:rPr>
          <w:rFonts w:hint="eastAsia" w:ascii="宋体" w:hAnsi="宋体" w:eastAsia="宋体" w:cs="宋体"/>
          <w:bCs/>
          <w:snapToGrid/>
          <w:highlight w:val="none"/>
        </w:rPr>
        <w:t>规定的资格条件；</w:t>
      </w:r>
    </w:p>
    <w:p w14:paraId="5F2CBEAE">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B1.8 同一</w:t>
      </w:r>
      <w:r>
        <w:rPr>
          <w:rFonts w:hint="eastAsia" w:ascii="宋体" w:hAnsi="宋体" w:eastAsia="宋体" w:cs="宋体"/>
          <w:bCs/>
          <w:snapToGrid/>
          <w:highlight w:val="none"/>
          <w:lang w:val="en-US" w:eastAsia="zh-CN"/>
        </w:rPr>
        <w:t>供应商</w:t>
      </w:r>
      <w:r>
        <w:rPr>
          <w:rFonts w:hint="eastAsia" w:ascii="宋体" w:hAnsi="宋体" w:eastAsia="宋体" w:cs="宋体"/>
          <w:bCs/>
          <w:snapToGrid/>
          <w:highlight w:val="none"/>
        </w:rPr>
        <w:t>提交两个以上不同的</w:t>
      </w:r>
      <w:r>
        <w:rPr>
          <w:rFonts w:hint="eastAsia" w:ascii="宋体" w:hAnsi="宋体" w:cs="宋体"/>
          <w:bCs/>
          <w:snapToGrid/>
          <w:highlight w:val="none"/>
          <w:lang w:eastAsia="zh-CN"/>
        </w:rPr>
        <w:t>响应文件</w:t>
      </w:r>
      <w:r>
        <w:rPr>
          <w:rFonts w:hint="eastAsia" w:ascii="宋体" w:hAnsi="宋体" w:eastAsia="宋体" w:cs="宋体"/>
          <w:bCs/>
          <w:snapToGrid/>
          <w:highlight w:val="none"/>
        </w:rPr>
        <w:t>或者投标报价，但</w:t>
      </w:r>
      <w:r>
        <w:rPr>
          <w:rFonts w:hint="eastAsia" w:ascii="宋体" w:hAnsi="宋体" w:eastAsia="宋体" w:cs="宋体"/>
          <w:bCs/>
          <w:snapToGrid/>
          <w:highlight w:val="none"/>
          <w:lang w:val="en-US" w:eastAsia="zh-CN"/>
        </w:rPr>
        <w:t>采购</w:t>
      </w:r>
      <w:r>
        <w:rPr>
          <w:rFonts w:hint="eastAsia" w:ascii="宋体" w:hAnsi="宋体" w:eastAsia="宋体" w:cs="宋体"/>
          <w:bCs/>
          <w:snapToGrid/>
          <w:highlight w:val="none"/>
        </w:rPr>
        <w:t>文件要求提交备选投标的除外；</w:t>
      </w:r>
    </w:p>
    <w:p w14:paraId="0E00C313">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B1.9 投标报价低于成本或者高于</w:t>
      </w:r>
      <w:r>
        <w:rPr>
          <w:rFonts w:hint="eastAsia" w:ascii="宋体" w:hAnsi="宋体" w:eastAsia="宋体" w:cs="宋体"/>
          <w:bCs/>
          <w:snapToGrid/>
          <w:highlight w:val="none"/>
          <w:lang w:val="en-US" w:eastAsia="zh-CN"/>
        </w:rPr>
        <w:t>采购</w:t>
      </w:r>
      <w:r>
        <w:rPr>
          <w:rFonts w:hint="eastAsia" w:ascii="宋体" w:hAnsi="宋体" w:eastAsia="宋体" w:cs="宋体"/>
          <w:bCs/>
          <w:snapToGrid/>
          <w:highlight w:val="none"/>
        </w:rPr>
        <w:t>文件设定的最高投标限价；</w:t>
      </w:r>
    </w:p>
    <w:p w14:paraId="1EC0F51D">
      <w:pPr>
        <w:kinsoku/>
        <w:snapToGrid/>
        <w:spacing w:line="400" w:lineRule="exact"/>
        <w:ind w:firstLine="420" w:firstLineChars="200"/>
        <w:textAlignment w:val="auto"/>
        <w:rPr>
          <w:rFonts w:ascii="宋体" w:hAnsi="宋体" w:eastAsia="宋体" w:cs="宋体"/>
          <w:bCs/>
          <w:snapToGrid/>
          <w:highlight w:val="none"/>
        </w:rPr>
      </w:pPr>
      <w:r>
        <w:rPr>
          <w:rFonts w:hint="eastAsia" w:ascii="宋体" w:hAnsi="宋体" w:eastAsia="宋体" w:cs="宋体"/>
          <w:bCs/>
          <w:snapToGrid/>
          <w:highlight w:val="none"/>
        </w:rPr>
        <w:t xml:space="preserve">B1.10 </w:t>
      </w:r>
      <w:r>
        <w:rPr>
          <w:rFonts w:hint="eastAsia" w:ascii="宋体" w:hAnsi="宋体" w:cs="宋体"/>
          <w:bCs/>
          <w:snapToGrid/>
          <w:highlight w:val="none"/>
          <w:lang w:eastAsia="zh-CN"/>
        </w:rPr>
        <w:t>响应文件</w:t>
      </w:r>
      <w:r>
        <w:rPr>
          <w:rFonts w:hint="eastAsia" w:ascii="宋体" w:hAnsi="宋体" w:eastAsia="宋体" w:cs="宋体"/>
          <w:bCs/>
          <w:snapToGrid/>
          <w:highlight w:val="none"/>
        </w:rPr>
        <w:t>没有对</w:t>
      </w:r>
      <w:r>
        <w:rPr>
          <w:rFonts w:hint="eastAsia" w:ascii="宋体" w:hAnsi="宋体" w:eastAsia="宋体" w:cs="宋体"/>
          <w:bCs/>
          <w:snapToGrid/>
          <w:highlight w:val="none"/>
          <w:lang w:val="en-US" w:eastAsia="zh-CN"/>
        </w:rPr>
        <w:t>采购</w:t>
      </w:r>
      <w:r>
        <w:rPr>
          <w:rFonts w:hint="eastAsia" w:ascii="宋体" w:hAnsi="宋体" w:eastAsia="宋体" w:cs="宋体"/>
          <w:bCs/>
          <w:snapToGrid/>
          <w:highlight w:val="none"/>
        </w:rPr>
        <w:t>文件的实质性要求和条件作出响应；</w:t>
      </w:r>
    </w:p>
    <w:p w14:paraId="0100D673">
      <w:pPr>
        <w:kinsoku/>
        <w:snapToGrid/>
        <w:spacing w:line="400" w:lineRule="exact"/>
        <w:ind w:firstLine="420" w:firstLineChars="200"/>
        <w:textAlignment w:val="auto"/>
        <w:rPr>
          <w:rFonts w:hint="eastAsia" w:ascii="宋体" w:hAnsi="宋体" w:eastAsia="宋体" w:cs="宋体"/>
          <w:bCs/>
          <w:snapToGrid/>
          <w:highlight w:val="none"/>
          <w:lang w:val="zh-CN"/>
        </w:rPr>
      </w:pPr>
      <w:r>
        <w:rPr>
          <w:rFonts w:hint="eastAsia" w:ascii="宋体" w:hAnsi="宋体" w:eastAsia="宋体" w:cs="宋体"/>
          <w:bCs/>
          <w:snapToGrid/>
          <w:highlight w:val="none"/>
        </w:rPr>
        <w:t xml:space="preserve">B1.11 </w:t>
      </w:r>
      <w:r>
        <w:rPr>
          <w:rFonts w:hint="eastAsia" w:ascii="宋体" w:hAnsi="宋体" w:eastAsia="宋体" w:cs="宋体"/>
          <w:bCs/>
          <w:snapToGrid/>
          <w:highlight w:val="none"/>
          <w:lang w:val="zh-CN"/>
        </w:rPr>
        <w:t>评标委员会认定不符合国家、省市相关法律、法规及文件的规定。</w:t>
      </w:r>
    </w:p>
    <w:p w14:paraId="25B5AC47">
      <w:pPr>
        <w:kinsoku/>
        <w:snapToGrid/>
        <w:spacing w:line="400" w:lineRule="exact"/>
        <w:ind w:firstLine="420" w:firstLineChars="200"/>
        <w:textAlignment w:val="auto"/>
        <w:rPr>
          <w:rFonts w:hint="eastAsia" w:ascii="宋体" w:hAnsi="宋体" w:eastAsia="宋体" w:cs="宋体"/>
          <w:bCs/>
          <w:snapToGrid/>
          <w:highlight w:val="none"/>
          <w:lang w:val="zh-CN"/>
        </w:rPr>
      </w:pPr>
    </w:p>
    <w:p w14:paraId="40F880F6">
      <w:pPr>
        <w:kinsoku/>
        <w:snapToGrid/>
        <w:spacing w:line="400" w:lineRule="exact"/>
        <w:ind w:firstLine="420" w:firstLineChars="200"/>
        <w:textAlignment w:val="auto"/>
        <w:rPr>
          <w:rFonts w:hint="eastAsia" w:ascii="宋体" w:hAnsi="宋体" w:eastAsia="宋体" w:cs="宋体"/>
          <w:bCs/>
          <w:snapToGrid/>
          <w:highlight w:val="none"/>
          <w:lang w:val="zh-CN"/>
        </w:rPr>
      </w:pPr>
    </w:p>
    <w:p w14:paraId="43CDD402">
      <w:pPr>
        <w:kinsoku/>
        <w:snapToGrid/>
        <w:spacing w:line="400" w:lineRule="exact"/>
        <w:ind w:firstLine="420" w:firstLineChars="200"/>
        <w:textAlignment w:val="auto"/>
        <w:rPr>
          <w:rFonts w:hint="eastAsia" w:ascii="宋体" w:hAnsi="宋体" w:eastAsia="宋体" w:cs="宋体"/>
          <w:bCs/>
          <w:snapToGrid/>
          <w:highlight w:val="none"/>
          <w:lang w:val="zh-CN"/>
        </w:rPr>
      </w:pPr>
    </w:p>
    <w:p w14:paraId="51C43BD8">
      <w:pPr>
        <w:kinsoku/>
        <w:snapToGrid/>
        <w:spacing w:line="400" w:lineRule="exact"/>
        <w:ind w:firstLine="420" w:firstLineChars="200"/>
        <w:textAlignment w:val="auto"/>
        <w:rPr>
          <w:rFonts w:hint="eastAsia" w:ascii="宋体" w:hAnsi="宋体" w:eastAsia="宋体" w:cs="宋体"/>
          <w:bCs/>
          <w:snapToGrid/>
          <w:highlight w:val="none"/>
          <w:lang w:val="zh-CN"/>
        </w:rPr>
      </w:pPr>
    </w:p>
    <w:p w14:paraId="0C7780A5">
      <w:pPr>
        <w:kinsoku/>
        <w:snapToGrid/>
        <w:spacing w:line="400" w:lineRule="exact"/>
        <w:ind w:firstLine="420" w:firstLineChars="200"/>
        <w:textAlignment w:val="auto"/>
        <w:rPr>
          <w:rFonts w:hint="eastAsia" w:ascii="宋体" w:hAnsi="宋体" w:eastAsia="宋体" w:cs="宋体"/>
          <w:bCs/>
          <w:snapToGrid/>
          <w:highlight w:val="none"/>
          <w:lang w:val="zh-CN"/>
        </w:rPr>
      </w:pPr>
    </w:p>
    <w:p w14:paraId="7871A807">
      <w:pPr>
        <w:kinsoku/>
        <w:snapToGrid/>
        <w:spacing w:line="400" w:lineRule="exact"/>
        <w:ind w:firstLine="420" w:firstLineChars="200"/>
        <w:textAlignment w:val="auto"/>
        <w:rPr>
          <w:rFonts w:hint="eastAsia" w:ascii="宋体" w:hAnsi="宋体" w:eastAsia="宋体" w:cs="宋体"/>
          <w:bCs/>
          <w:snapToGrid/>
          <w:highlight w:val="none"/>
          <w:lang w:val="zh-CN"/>
        </w:rPr>
      </w:pPr>
    </w:p>
    <w:p w14:paraId="1B957289">
      <w:pPr>
        <w:kinsoku/>
        <w:snapToGrid/>
        <w:spacing w:line="400" w:lineRule="exact"/>
        <w:ind w:firstLine="420" w:firstLineChars="200"/>
        <w:textAlignment w:val="auto"/>
        <w:rPr>
          <w:rFonts w:hint="eastAsia" w:ascii="宋体" w:hAnsi="宋体" w:eastAsia="宋体" w:cs="宋体"/>
          <w:bCs/>
          <w:snapToGrid/>
          <w:highlight w:val="none"/>
          <w:lang w:val="zh-CN"/>
        </w:rPr>
      </w:pPr>
    </w:p>
    <w:p w14:paraId="20E5B60E">
      <w:pPr>
        <w:kinsoku/>
        <w:snapToGrid/>
        <w:spacing w:line="400" w:lineRule="exact"/>
        <w:ind w:firstLine="420" w:firstLineChars="200"/>
        <w:textAlignment w:val="auto"/>
        <w:rPr>
          <w:rFonts w:hint="eastAsia" w:ascii="宋体" w:hAnsi="宋体" w:eastAsia="宋体" w:cs="宋体"/>
          <w:bCs/>
          <w:snapToGrid/>
          <w:highlight w:val="none"/>
          <w:lang w:val="zh-CN"/>
        </w:rPr>
      </w:pPr>
    </w:p>
    <w:p w14:paraId="1319F204">
      <w:pPr>
        <w:kinsoku/>
        <w:snapToGrid/>
        <w:spacing w:line="400" w:lineRule="exact"/>
        <w:ind w:firstLine="420" w:firstLineChars="200"/>
        <w:textAlignment w:val="auto"/>
        <w:rPr>
          <w:rFonts w:hint="eastAsia" w:ascii="宋体" w:hAnsi="宋体" w:eastAsia="宋体" w:cs="宋体"/>
          <w:bCs/>
          <w:snapToGrid/>
          <w:highlight w:val="none"/>
          <w:lang w:val="zh-CN"/>
        </w:rPr>
      </w:pPr>
    </w:p>
    <w:p w14:paraId="1E0BFCF4">
      <w:pPr>
        <w:kinsoku/>
        <w:snapToGrid/>
        <w:spacing w:line="400" w:lineRule="exact"/>
        <w:ind w:firstLine="420" w:firstLineChars="200"/>
        <w:textAlignment w:val="auto"/>
        <w:rPr>
          <w:rFonts w:hint="eastAsia" w:ascii="宋体" w:hAnsi="宋体" w:eastAsia="宋体" w:cs="宋体"/>
          <w:bCs/>
          <w:snapToGrid/>
          <w:highlight w:val="none"/>
          <w:lang w:val="zh-CN"/>
        </w:rPr>
      </w:pPr>
    </w:p>
    <w:p w14:paraId="302AC6FE">
      <w:pPr>
        <w:kinsoku/>
        <w:snapToGrid/>
        <w:spacing w:line="400" w:lineRule="exact"/>
        <w:ind w:firstLine="420" w:firstLineChars="200"/>
        <w:textAlignment w:val="auto"/>
        <w:rPr>
          <w:rFonts w:hint="eastAsia" w:ascii="宋体" w:hAnsi="宋体" w:eastAsia="宋体" w:cs="宋体"/>
          <w:bCs/>
          <w:snapToGrid/>
          <w:highlight w:val="none"/>
          <w:lang w:val="zh-CN"/>
        </w:rPr>
      </w:pPr>
    </w:p>
    <w:p w14:paraId="4B2CD56A">
      <w:pPr>
        <w:kinsoku/>
        <w:snapToGrid/>
        <w:spacing w:line="400" w:lineRule="exact"/>
        <w:ind w:firstLine="420" w:firstLineChars="200"/>
        <w:textAlignment w:val="auto"/>
        <w:rPr>
          <w:rFonts w:hint="eastAsia" w:ascii="宋体" w:hAnsi="宋体" w:eastAsia="宋体" w:cs="宋体"/>
          <w:bCs/>
          <w:snapToGrid/>
          <w:highlight w:val="none"/>
          <w:lang w:val="zh-CN"/>
        </w:rPr>
      </w:pPr>
    </w:p>
    <w:p w14:paraId="0FA17F27">
      <w:pPr>
        <w:kinsoku/>
        <w:snapToGrid/>
        <w:spacing w:line="400" w:lineRule="exact"/>
        <w:ind w:firstLine="420" w:firstLineChars="200"/>
        <w:textAlignment w:val="auto"/>
        <w:rPr>
          <w:rFonts w:hint="eastAsia" w:ascii="宋体" w:hAnsi="宋体" w:eastAsia="宋体" w:cs="宋体"/>
          <w:bCs/>
          <w:snapToGrid/>
          <w:highlight w:val="none"/>
          <w:lang w:val="zh-CN"/>
        </w:rPr>
      </w:pPr>
    </w:p>
    <w:p w14:paraId="6E4965A5">
      <w:pPr>
        <w:adjustRightInd/>
        <w:snapToGrid/>
        <w:spacing w:line="360" w:lineRule="auto"/>
        <w:contextualSpacing/>
        <w:jc w:val="center"/>
        <w:outlineLvl w:val="0"/>
        <w:rPr>
          <w:rFonts w:ascii="宋体" w:hAnsi="宋体" w:eastAsia="宋体" w:cs="宋体"/>
          <w:b/>
          <w:kern w:val="2"/>
          <w:sz w:val="30"/>
          <w:szCs w:val="30"/>
          <w:highlight w:val="none"/>
        </w:rPr>
      </w:pPr>
      <w:r>
        <w:rPr>
          <w:rFonts w:hint="eastAsia" w:ascii="宋体" w:hAnsi="宋体" w:eastAsia="宋体" w:cs="宋体"/>
          <w:b/>
          <w:kern w:val="2"/>
          <w:sz w:val="32"/>
          <w:szCs w:val="32"/>
          <w:highlight w:val="none"/>
        </w:rPr>
        <w:t>第四章  合同条款及格式</w:t>
      </w:r>
    </w:p>
    <w:p w14:paraId="002F3C40">
      <w:pPr>
        <w:spacing w:line="400" w:lineRule="exact"/>
        <w:ind w:firstLine="360" w:firstLineChars="200"/>
        <w:jc w:val="left"/>
        <w:rPr>
          <w:rFonts w:hint="eastAsia" w:ascii="宋体" w:hAnsi="宋体"/>
          <w:b w:val="0"/>
          <w:sz w:val="18"/>
          <w:szCs w:val="18"/>
          <w:highlight w:val="none"/>
        </w:rPr>
      </w:pPr>
    </w:p>
    <w:p w14:paraId="227A671D">
      <w:pPr>
        <w:jc w:val="left"/>
        <w:rPr>
          <w:rFonts w:hint="eastAsia" w:ascii="宋体" w:hAnsi="宋体"/>
          <w:b w:val="0"/>
          <w:sz w:val="21"/>
          <w:szCs w:val="21"/>
          <w:highlight w:val="none"/>
          <w:lang w:val="en-US" w:eastAsia="zh-CN"/>
        </w:rPr>
      </w:pPr>
    </w:p>
    <w:p w14:paraId="46E9147F">
      <w:pPr>
        <w:jc w:val="left"/>
        <w:rPr>
          <w:rFonts w:hint="eastAsia" w:ascii="宋体" w:hAnsi="宋体"/>
          <w:b w:val="0"/>
          <w:sz w:val="21"/>
          <w:szCs w:val="21"/>
          <w:highlight w:val="none"/>
          <w:lang w:val="en-US" w:eastAsia="zh-CN"/>
        </w:rPr>
      </w:pPr>
    </w:p>
    <w:p w14:paraId="1509A592">
      <w:pPr>
        <w:ind w:firstLine="420" w:firstLineChars="200"/>
        <w:jc w:val="left"/>
        <w:rPr>
          <w:rFonts w:hint="eastAsia" w:ascii="宋体" w:hAnsi="宋体"/>
          <w:b w:val="0"/>
          <w:sz w:val="21"/>
          <w:szCs w:val="21"/>
          <w:highlight w:val="none"/>
          <w:lang w:val="en-US" w:eastAsia="zh-CN"/>
        </w:rPr>
      </w:pPr>
      <w:r>
        <w:rPr>
          <w:rFonts w:hint="eastAsia" w:ascii="宋体" w:hAnsi="宋体"/>
          <w:b w:val="0"/>
          <w:sz w:val="21"/>
          <w:szCs w:val="21"/>
          <w:highlight w:val="none"/>
          <w:lang w:val="en-US" w:eastAsia="zh-CN"/>
        </w:rPr>
        <w:t>注：合同文本仅供参考；最终以甲、乙双方实际签订内容为准。</w:t>
      </w:r>
    </w:p>
    <w:p w14:paraId="4F0903DA">
      <w:pPr>
        <w:ind w:firstLine="420" w:firstLineChars="200"/>
        <w:jc w:val="left"/>
        <w:rPr>
          <w:rFonts w:hint="eastAsia" w:ascii="宋体" w:hAnsi="宋体"/>
          <w:b w:val="0"/>
          <w:sz w:val="21"/>
          <w:szCs w:val="21"/>
          <w:highlight w:val="none"/>
          <w:lang w:val="en-US" w:eastAsia="zh-CN"/>
        </w:rPr>
      </w:pPr>
    </w:p>
    <w:p w14:paraId="371D6F1C">
      <w:pPr>
        <w:ind w:firstLine="420" w:firstLineChars="200"/>
        <w:jc w:val="left"/>
        <w:rPr>
          <w:rFonts w:hint="eastAsia" w:ascii="宋体" w:hAnsi="宋体"/>
          <w:b w:val="0"/>
          <w:sz w:val="21"/>
          <w:szCs w:val="21"/>
          <w:highlight w:val="none"/>
          <w:lang w:val="en-US" w:eastAsia="zh-CN"/>
        </w:rPr>
      </w:pPr>
    </w:p>
    <w:p w14:paraId="7502B726">
      <w:pPr>
        <w:ind w:firstLine="420" w:firstLineChars="200"/>
        <w:jc w:val="left"/>
        <w:rPr>
          <w:rFonts w:hint="eastAsia" w:ascii="宋体" w:hAnsi="宋体"/>
          <w:b w:val="0"/>
          <w:sz w:val="21"/>
          <w:szCs w:val="21"/>
          <w:highlight w:val="none"/>
          <w:lang w:val="en-US" w:eastAsia="zh-CN"/>
        </w:rPr>
      </w:pPr>
    </w:p>
    <w:p w14:paraId="3E4A4119">
      <w:pPr>
        <w:ind w:firstLine="420" w:firstLineChars="200"/>
        <w:jc w:val="left"/>
        <w:rPr>
          <w:rFonts w:hint="eastAsia" w:ascii="宋体" w:hAnsi="宋体"/>
          <w:b w:val="0"/>
          <w:sz w:val="21"/>
          <w:szCs w:val="21"/>
          <w:highlight w:val="none"/>
          <w:lang w:val="en-US" w:eastAsia="zh-CN"/>
        </w:rPr>
      </w:pPr>
    </w:p>
    <w:p w14:paraId="0D9FC516">
      <w:pPr>
        <w:ind w:firstLine="420" w:firstLineChars="200"/>
        <w:jc w:val="left"/>
        <w:rPr>
          <w:rFonts w:hint="eastAsia" w:ascii="宋体" w:hAnsi="宋体"/>
          <w:b w:val="0"/>
          <w:sz w:val="21"/>
          <w:szCs w:val="21"/>
          <w:highlight w:val="none"/>
          <w:lang w:val="en-US" w:eastAsia="zh-CN"/>
        </w:rPr>
      </w:pPr>
    </w:p>
    <w:p w14:paraId="482BCFE4">
      <w:pPr>
        <w:ind w:firstLine="420" w:firstLineChars="200"/>
        <w:jc w:val="left"/>
        <w:rPr>
          <w:rFonts w:hint="eastAsia" w:ascii="宋体" w:hAnsi="宋体"/>
          <w:b w:val="0"/>
          <w:sz w:val="21"/>
          <w:szCs w:val="21"/>
          <w:highlight w:val="none"/>
          <w:lang w:val="en-US" w:eastAsia="zh-CN"/>
        </w:rPr>
      </w:pPr>
    </w:p>
    <w:p w14:paraId="0A4DE27D">
      <w:pPr>
        <w:ind w:firstLine="420" w:firstLineChars="200"/>
        <w:jc w:val="left"/>
        <w:rPr>
          <w:rFonts w:hint="eastAsia" w:ascii="宋体" w:hAnsi="宋体"/>
          <w:b w:val="0"/>
          <w:sz w:val="21"/>
          <w:szCs w:val="21"/>
          <w:highlight w:val="none"/>
          <w:lang w:val="en-US" w:eastAsia="zh-CN"/>
        </w:rPr>
      </w:pPr>
    </w:p>
    <w:p w14:paraId="2F811BC9">
      <w:pPr>
        <w:ind w:firstLine="420" w:firstLineChars="200"/>
        <w:jc w:val="left"/>
        <w:rPr>
          <w:rFonts w:hint="eastAsia" w:ascii="宋体" w:hAnsi="宋体"/>
          <w:b w:val="0"/>
          <w:sz w:val="21"/>
          <w:szCs w:val="21"/>
          <w:highlight w:val="none"/>
          <w:lang w:val="en-US" w:eastAsia="zh-CN"/>
        </w:rPr>
      </w:pPr>
    </w:p>
    <w:p w14:paraId="61C3EDF2">
      <w:pPr>
        <w:ind w:firstLine="420" w:firstLineChars="200"/>
        <w:jc w:val="left"/>
        <w:rPr>
          <w:rFonts w:hint="eastAsia" w:ascii="宋体" w:hAnsi="宋体"/>
          <w:b w:val="0"/>
          <w:sz w:val="21"/>
          <w:szCs w:val="21"/>
          <w:highlight w:val="none"/>
          <w:lang w:val="en-US" w:eastAsia="zh-CN"/>
        </w:rPr>
      </w:pPr>
    </w:p>
    <w:p w14:paraId="1B4FC791">
      <w:pPr>
        <w:ind w:firstLine="420" w:firstLineChars="200"/>
        <w:jc w:val="left"/>
        <w:rPr>
          <w:rFonts w:hint="eastAsia" w:ascii="宋体" w:hAnsi="宋体"/>
          <w:b w:val="0"/>
          <w:sz w:val="21"/>
          <w:szCs w:val="21"/>
          <w:highlight w:val="none"/>
          <w:lang w:val="en-US" w:eastAsia="zh-CN"/>
        </w:rPr>
      </w:pPr>
    </w:p>
    <w:p w14:paraId="4C7787BD">
      <w:pPr>
        <w:ind w:firstLine="420" w:firstLineChars="200"/>
        <w:jc w:val="left"/>
        <w:rPr>
          <w:rFonts w:hint="eastAsia" w:ascii="宋体" w:hAnsi="宋体"/>
          <w:b w:val="0"/>
          <w:sz w:val="21"/>
          <w:szCs w:val="21"/>
          <w:highlight w:val="none"/>
          <w:lang w:val="en-US" w:eastAsia="zh-CN"/>
        </w:rPr>
      </w:pPr>
    </w:p>
    <w:p w14:paraId="3F7A1D91">
      <w:pPr>
        <w:ind w:firstLine="420" w:firstLineChars="200"/>
        <w:jc w:val="left"/>
        <w:rPr>
          <w:rFonts w:hint="eastAsia" w:ascii="宋体" w:hAnsi="宋体"/>
          <w:b w:val="0"/>
          <w:sz w:val="21"/>
          <w:szCs w:val="21"/>
          <w:highlight w:val="none"/>
          <w:lang w:val="en-US" w:eastAsia="zh-CN"/>
        </w:rPr>
      </w:pPr>
    </w:p>
    <w:p w14:paraId="192DB144">
      <w:pPr>
        <w:ind w:firstLine="420" w:firstLineChars="200"/>
        <w:jc w:val="left"/>
        <w:rPr>
          <w:rFonts w:hint="eastAsia" w:ascii="宋体" w:hAnsi="宋体"/>
          <w:b w:val="0"/>
          <w:sz w:val="21"/>
          <w:szCs w:val="21"/>
          <w:highlight w:val="none"/>
          <w:lang w:val="en-US" w:eastAsia="zh-CN"/>
        </w:rPr>
      </w:pPr>
    </w:p>
    <w:p w14:paraId="153DD6E3">
      <w:pPr>
        <w:ind w:firstLine="420" w:firstLineChars="200"/>
        <w:jc w:val="left"/>
        <w:rPr>
          <w:rFonts w:hint="eastAsia" w:ascii="宋体" w:hAnsi="宋体"/>
          <w:b w:val="0"/>
          <w:sz w:val="21"/>
          <w:szCs w:val="21"/>
          <w:highlight w:val="none"/>
          <w:lang w:val="en-US" w:eastAsia="zh-CN"/>
        </w:rPr>
      </w:pPr>
    </w:p>
    <w:p w14:paraId="36F92260">
      <w:pPr>
        <w:ind w:firstLine="420" w:firstLineChars="200"/>
        <w:jc w:val="left"/>
        <w:rPr>
          <w:rFonts w:hint="eastAsia" w:ascii="宋体" w:hAnsi="宋体"/>
          <w:b w:val="0"/>
          <w:sz w:val="21"/>
          <w:szCs w:val="21"/>
          <w:highlight w:val="none"/>
          <w:lang w:val="en-US" w:eastAsia="zh-CN"/>
        </w:rPr>
      </w:pPr>
    </w:p>
    <w:p w14:paraId="73068F19">
      <w:pPr>
        <w:ind w:firstLine="420" w:firstLineChars="200"/>
        <w:jc w:val="left"/>
        <w:rPr>
          <w:rFonts w:hint="eastAsia" w:ascii="宋体" w:hAnsi="宋体"/>
          <w:b w:val="0"/>
          <w:sz w:val="21"/>
          <w:szCs w:val="21"/>
          <w:highlight w:val="none"/>
          <w:lang w:val="en-US" w:eastAsia="zh-CN"/>
        </w:rPr>
      </w:pPr>
    </w:p>
    <w:p w14:paraId="2C263CC1">
      <w:pPr>
        <w:ind w:firstLine="420" w:firstLineChars="200"/>
        <w:jc w:val="left"/>
        <w:rPr>
          <w:rFonts w:hint="eastAsia" w:ascii="宋体" w:hAnsi="宋体"/>
          <w:b w:val="0"/>
          <w:sz w:val="21"/>
          <w:szCs w:val="21"/>
          <w:highlight w:val="none"/>
          <w:lang w:val="en-US" w:eastAsia="zh-CN"/>
        </w:rPr>
      </w:pPr>
    </w:p>
    <w:p w14:paraId="1DA7F012">
      <w:pPr>
        <w:ind w:firstLine="420" w:firstLineChars="200"/>
        <w:jc w:val="left"/>
        <w:rPr>
          <w:rFonts w:hint="eastAsia" w:ascii="宋体" w:hAnsi="宋体"/>
          <w:b w:val="0"/>
          <w:sz w:val="21"/>
          <w:szCs w:val="21"/>
          <w:highlight w:val="none"/>
          <w:lang w:val="en-US" w:eastAsia="zh-CN"/>
        </w:rPr>
      </w:pPr>
    </w:p>
    <w:p w14:paraId="1E7919C5">
      <w:pPr>
        <w:ind w:firstLine="420" w:firstLineChars="200"/>
        <w:jc w:val="left"/>
        <w:rPr>
          <w:rFonts w:hint="eastAsia" w:ascii="宋体" w:hAnsi="宋体"/>
          <w:b w:val="0"/>
          <w:sz w:val="21"/>
          <w:szCs w:val="21"/>
          <w:highlight w:val="none"/>
          <w:lang w:val="en-US" w:eastAsia="zh-CN"/>
        </w:rPr>
      </w:pPr>
    </w:p>
    <w:p w14:paraId="41E2EFD9">
      <w:pPr>
        <w:ind w:firstLine="420" w:firstLineChars="200"/>
        <w:jc w:val="left"/>
        <w:rPr>
          <w:rFonts w:hint="eastAsia" w:ascii="宋体" w:hAnsi="宋体"/>
          <w:b w:val="0"/>
          <w:sz w:val="21"/>
          <w:szCs w:val="21"/>
          <w:highlight w:val="none"/>
          <w:lang w:val="en-US" w:eastAsia="zh-CN"/>
        </w:rPr>
      </w:pPr>
    </w:p>
    <w:p w14:paraId="1E1C3E3B">
      <w:pPr>
        <w:ind w:firstLine="420" w:firstLineChars="200"/>
        <w:jc w:val="left"/>
        <w:rPr>
          <w:rFonts w:hint="eastAsia" w:ascii="宋体" w:hAnsi="宋体"/>
          <w:b w:val="0"/>
          <w:sz w:val="21"/>
          <w:szCs w:val="21"/>
          <w:highlight w:val="none"/>
          <w:lang w:val="en-US" w:eastAsia="zh-CN"/>
        </w:rPr>
      </w:pPr>
    </w:p>
    <w:p w14:paraId="209268B2">
      <w:pPr>
        <w:ind w:firstLine="420" w:firstLineChars="200"/>
        <w:jc w:val="left"/>
        <w:rPr>
          <w:rFonts w:hint="eastAsia" w:ascii="宋体" w:hAnsi="宋体"/>
          <w:b w:val="0"/>
          <w:sz w:val="21"/>
          <w:szCs w:val="21"/>
          <w:highlight w:val="none"/>
          <w:lang w:val="en-US" w:eastAsia="zh-CN"/>
        </w:rPr>
      </w:pPr>
    </w:p>
    <w:p w14:paraId="31E80F7F">
      <w:pPr>
        <w:ind w:firstLine="420" w:firstLineChars="200"/>
        <w:jc w:val="left"/>
        <w:rPr>
          <w:rFonts w:hint="eastAsia" w:ascii="宋体" w:hAnsi="宋体"/>
          <w:b w:val="0"/>
          <w:sz w:val="21"/>
          <w:szCs w:val="21"/>
          <w:highlight w:val="none"/>
          <w:lang w:val="en-US" w:eastAsia="zh-CN"/>
        </w:rPr>
      </w:pPr>
    </w:p>
    <w:p w14:paraId="23DE888E">
      <w:pPr>
        <w:ind w:firstLine="420" w:firstLineChars="200"/>
        <w:jc w:val="left"/>
        <w:rPr>
          <w:rFonts w:hint="eastAsia" w:ascii="宋体" w:hAnsi="宋体"/>
          <w:b w:val="0"/>
          <w:sz w:val="21"/>
          <w:szCs w:val="21"/>
          <w:highlight w:val="none"/>
          <w:lang w:val="en-US" w:eastAsia="zh-CN"/>
        </w:rPr>
      </w:pPr>
    </w:p>
    <w:p w14:paraId="38FA6EFD">
      <w:pPr>
        <w:ind w:firstLine="420" w:firstLineChars="200"/>
        <w:jc w:val="left"/>
        <w:rPr>
          <w:rFonts w:hint="eastAsia" w:ascii="宋体" w:hAnsi="宋体"/>
          <w:b w:val="0"/>
          <w:sz w:val="21"/>
          <w:szCs w:val="21"/>
          <w:highlight w:val="none"/>
          <w:lang w:val="en-US" w:eastAsia="zh-CN"/>
        </w:rPr>
      </w:pPr>
    </w:p>
    <w:p w14:paraId="0A9C0E27">
      <w:pPr>
        <w:ind w:firstLine="420" w:firstLineChars="200"/>
        <w:jc w:val="left"/>
        <w:rPr>
          <w:rFonts w:hint="eastAsia" w:ascii="宋体" w:hAnsi="宋体"/>
          <w:b w:val="0"/>
          <w:sz w:val="21"/>
          <w:szCs w:val="21"/>
          <w:highlight w:val="none"/>
          <w:lang w:val="en-US" w:eastAsia="zh-CN"/>
        </w:rPr>
      </w:pPr>
    </w:p>
    <w:p w14:paraId="1EE12733">
      <w:pPr>
        <w:ind w:firstLine="420" w:firstLineChars="200"/>
        <w:jc w:val="left"/>
        <w:rPr>
          <w:rFonts w:hint="eastAsia" w:ascii="宋体" w:hAnsi="宋体"/>
          <w:b w:val="0"/>
          <w:sz w:val="21"/>
          <w:szCs w:val="21"/>
          <w:highlight w:val="none"/>
          <w:lang w:val="en-US" w:eastAsia="zh-CN"/>
        </w:rPr>
      </w:pPr>
    </w:p>
    <w:p w14:paraId="3F838E7C">
      <w:pPr>
        <w:ind w:firstLine="420" w:firstLineChars="200"/>
        <w:jc w:val="left"/>
        <w:rPr>
          <w:rFonts w:hint="eastAsia" w:ascii="宋体" w:hAnsi="宋体"/>
          <w:b w:val="0"/>
          <w:sz w:val="21"/>
          <w:szCs w:val="21"/>
          <w:highlight w:val="none"/>
          <w:lang w:val="en-US" w:eastAsia="zh-CN"/>
        </w:rPr>
      </w:pPr>
    </w:p>
    <w:p w14:paraId="0C0E94AB">
      <w:pPr>
        <w:ind w:firstLine="420" w:firstLineChars="200"/>
        <w:jc w:val="left"/>
        <w:rPr>
          <w:rFonts w:hint="eastAsia" w:ascii="宋体" w:hAnsi="宋体"/>
          <w:b w:val="0"/>
          <w:sz w:val="21"/>
          <w:szCs w:val="21"/>
          <w:highlight w:val="none"/>
          <w:lang w:val="en-US" w:eastAsia="zh-CN"/>
        </w:rPr>
      </w:pPr>
    </w:p>
    <w:p w14:paraId="2B624960">
      <w:pPr>
        <w:ind w:firstLine="420" w:firstLineChars="200"/>
        <w:jc w:val="left"/>
        <w:rPr>
          <w:rFonts w:hint="eastAsia" w:ascii="宋体" w:hAnsi="宋体"/>
          <w:b w:val="0"/>
          <w:sz w:val="21"/>
          <w:szCs w:val="21"/>
          <w:highlight w:val="none"/>
          <w:lang w:val="en-US" w:eastAsia="zh-CN"/>
        </w:rPr>
      </w:pPr>
    </w:p>
    <w:p w14:paraId="7C397B9D">
      <w:pPr>
        <w:ind w:firstLine="420" w:firstLineChars="200"/>
        <w:jc w:val="left"/>
        <w:rPr>
          <w:rFonts w:hint="eastAsia" w:ascii="宋体" w:hAnsi="宋体"/>
          <w:b w:val="0"/>
          <w:sz w:val="21"/>
          <w:szCs w:val="21"/>
          <w:highlight w:val="none"/>
          <w:lang w:val="en-US" w:eastAsia="zh-CN"/>
        </w:rPr>
      </w:pPr>
    </w:p>
    <w:p w14:paraId="1E99E78F">
      <w:pPr>
        <w:ind w:firstLine="420" w:firstLineChars="200"/>
        <w:jc w:val="left"/>
        <w:rPr>
          <w:rFonts w:hint="eastAsia" w:ascii="宋体" w:hAnsi="宋体"/>
          <w:b w:val="0"/>
          <w:sz w:val="21"/>
          <w:szCs w:val="21"/>
          <w:highlight w:val="none"/>
          <w:lang w:val="en-US" w:eastAsia="zh-CN"/>
        </w:rPr>
      </w:pPr>
    </w:p>
    <w:p w14:paraId="7172960D">
      <w:pPr>
        <w:ind w:firstLine="420" w:firstLineChars="200"/>
        <w:jc w:val="left"/>
        <w:rPr>
          <w:rFonts w:hint="eastAsia" w:ascii="宋体" w:hAnsi="宋体"/>
          <w:b w:val="0"/>
          <w:sz w:val="21"/>
          <w:szCs w:val="21"/>
          <w:highlight w:val="none"/>
          <w:lang w:val="en-US" w:eastAsia="zh-CN"/>
        </w:rPr>
      </w:pPr>
    </w:p>
    <w:p w14:paraId="1E23EB1E">
      <w:pPr>
        <w:ind w:firstLine="420" w:firstLineChars="200"/>
        <w:jc w:val="left"/>
        <w:rPr>
          <w:rFonts w:hint="eastAsia" w:ascii="宋体" w:hAnsi="宋体"/>
          <w:b w:val="0"/>
          <w:sz w:val="21"/>
          <w:szCs w:val="21"/>
          <w:highlight w:val="none"/>
          <w:lang w:val="en-US" w:eastAsia="zh-CN"/>
        </w:rPr>
      </w:pPr>
    </w:p>
    <w:p w14:paraId="04C68515">
      <w:pPr>
        <w:ind w:firstLine="420" w:firstLineChars="200"/>
        <w:jc w:val="left"/>
        <w:rPr>
          <w:rFonts w:hint="eastAsia" w:ascii="宋体" w:hAnsi="宋体"/>
          <w:b w:val="0"/>
          <w:sz w:val="21"/>
          <w:szCs w:val="21"/>
          <w:highlight w:val="none"/>
          <w:lang w:val="en-US" w:eastAsia="zh-CN"/>
        </w:rPr>
      </w:pPr>
    </w:p>
    <w:p w14:paraId="65ECA374">
      <w:pPr>
        <w:ind w:firstLine="420" w:firstLineChars="200"/>
        <w:jc w:val="left"/>
        <w:rPr>
          <w:rFonts w:hint="eastAsia" w:ascii="宋体" w:hAnsi="宋体"/>
          <w:b w:val="0"/>
          <w:sz w:val="21"/>
          <w:szCs w:val="21"/>
          <w:highlight w:val="none"/>
          <w:lang w:val="en-US" w:eastAsia="zh-CN"/>
        </w:rPr>
      </w:pPr>
    </w:p>
    <w:p w14:paraId="3C28EF18">
      <w:pPr>
        <w:ind w:firstLine="420" w:firstLineChars="200"/>
        <w:jc w:val="left"/>
        <w:rPr>
          <w:rFonts w:hint="eastAsia" w:ascii="宋体" w:hAnsi="宋体"/>
          <w:b w:val="0"/>
          <w:sz w:val="21"/>
          <w:szCs w:val="21"/>
          <w:highlight w:val="none"/>
          <w:lang w:val="en-US" w:eastAsia="zh-CN"/>
        </w:rPr>
      </w:pPr>
    </w:p>
    <w:p w14:paraId="0DB1CF73">
      <w:pPr>
        <w:ind w:firstLine="420" w:firstLineChars="200"/>
        <w:jc w:val="left"/>
        <w:rPr>
          <w:rFonts w:hint="eastAsia" w:ascii="宋体" w:hAnsi="宋体"/>
          <w:b w:val="0"/>
          <w:sz w:val="21"/>
          <w:szCs w:val="21"/>
          <w:highlight w:val="none"/>
          <w:lang w:val="en-US" w:eastAsia="zh-CN"/>
        </w:rPr>
      </w:pPr>
    </w:p>
    <w:p w14:paraId="00153B56">
      <w:pPr>
        <w:ind w:firstLine="5320" w:firstLineChars="1900"/>
        <w:rPr>
          <w:sz w:val="28"/>
          <w:szCs w:val="28"/>
          <w:highlight w:val="none"/>
          <w:u w:val="single"/>
        </w:rPr>
      </w:pPr>
      <w:r>
        <w:rPr>
          <w:rFonts w:hint="eastAsia"/>
          <w:sz w:val="28"/>
          <w:szCs w:val="28"/>
          <w:highlight w:val="none"/>
        </w:rPr>
        <w:t>合同编号：</w:t>
      </w:r>
      <w:r>
        <w:rPr>
          <w:rFonts w:hint="eastAsia"/>
          <w:sz w:val="28"/>
          <w:szCs w:val="28"/>
          <w:highlight w:val="none"/>
          <w:u w:val="single"/>
        </w:rPr>
        <w:t xml:space="preserve">           </w:t>
      </w:r>
    </w:p>
    <w:p w14:paraId="0F94C02E">
      <w:pPr>
        <w:jc w:val="center"/>
        <w:rPr>
          <w:sz w:val="28"/>
          <w:szCs w:val="28"/>
          <w:highlight w:val="none"/>
          <w:u w:val="single"/>
        </w:rPr>
      </w:pPr>
    </w:p>
    <w:p w14:paraId="3599BD38">
      <w:pPr>
        <w:jc w:val="center"/>
        <w:rPr>
          <w:sz w:val="28"/>
          <w:szCs w:val="28"/>
          <w:highlight w:val="none"/>
          <w:u w:val="single"/>
        </w:rPr>
      </w:pPr>
    </w:p>
    <w:p w14:paraId="58B4ECF7">
      <w:pPr>
        <w:jc w:val="center"/>
        <w:rPr>
          <w:sz w:val="28"/>
          <w:szCs w:val="28"/>
          <w:highlight w:val="none"/>
          <w:u w:val="single"/>
        </w:rPr>
      </w:pPr>
    </w:p>
    <w:p w14:paraId="5018EA20">
      <w:pPr>
        <w:jc w:val="center"/>
        <w:rPr>
          <w:sz w:val="28"/>
          <w:szCs w:val="28"/>
          <w:highlight w:val="none"/>
          <w:u w:val="single"/>
        </w:rPr>
      </w:pPr>
    </w:p>
    <w:p w14:paraId="2A7BD78E">
      <w:pPr>
        <w:jc w:val="center"/>
        <w:rPr>
          <w:sz w:val="28"/>
          <w:szCs w:val="28"/>
          <w:highlight w:val="none"/>
          <w:u w:val="single"/>
        </w:rPr>
      </w:pPr>
    </w:p>
    <w:p w14:paraId="57792BA2">
      <w:pPr>
        <w:jc w:val="center"/>
        <w:rPr>
          <w:sz w:val="28"/>
          <w:szCs w:val="28"/>
          <w:highlight w:val="none"/>
          <w:u w:val="single"/>
        </w:rPr>
      </w:pPr>
    </w:p>
    <w:p w14:paraId="4AA99D24">
      <w:pPr>
        <w:pStyle w:val="7"/>
        <w:spacing w:line="261" w:lineRule="auto"/>
        <w:jc w:val="center"/>
        <w:rPr>
          <w:rFonts w:hint="eastAsia" w:ascii="宋体" w:hAnsi="宋体" w:eastAsia="宋体" w:cs="宋体"/>
          <w:b/>
          <w:sz w:val="48"/>
          <w:szCs w:val="48"/>
          <w:highlight w:val="none"/>
          <w:lang w:eastAsia="zh-CN"/>
        </w:rPr>
      </w:pPr>
      <w:r>
        <w:rPr>
          <w:rFonts w:hint="eastAsia" w:ascii="宋体" w:hAnsi="宋体" w:eastAsia="宋体" w:cs="宋体"/>
          <w:b/>
          <w:sz w:val="48"/>
          <w:szCs w:val="48"/>
          <w:highlight w:val="none"/>
          <w:lang w:eastAsia="zh-CN"/>
        </w:rPr>
        <w:t>长春北湖科技开发区北部污水处理厂</w:t>
      </w:r>
    </w:p>
    <w:p w14:paraId="31007F9C">
      <w:pPr>
        <w:pStyle w:val="7"/>
        <w:spacing w:line="261" w:lineRule="auto"/>
        <w:jc w:val="center"/>
        <w:rPr>
          <w:rFonts w:ascii="宋体" w:hAnsi="宋体" w:eastAsia="宋体" w:cs="宋体"/>
          <w:b/>
          <w:sz w:val="48"/>
          <w:szCs w:val="48"/>
          <w:highlight w:val="none"/>
          <w:lang w:eastAsia="zh-CN"/>
        </w:rPr>
      </w:pPr>
      <w:r>
        <w:rPr>
          <w:rFonts w:hint="eastAsia" w:ascii="宋体" w:hAnsi="宋体" w:eastAsia="宋体" w:cs="宋体"/>
          <w:b/>
          <w:sz w:val="48"/>
          <w:szCs w:val="48"/>
          <w:highlight w:val="none"/>
          <w:lang w:eastAsia="zh-CN"/>
        </w:rPr>
        <w:t>污泥处置项目</w:t>
      </w:r>
    </w:p>
    <w:p w14:paraId="6CCF7C25">
      <w:pPr>
        <w:pStyle w:val="7"/>
        <w:spacing w:line="261" w:lineRule="auto"/>
        <w:jc w:val="center"/>
        <w:rPr>
          <w:rFonts w:ascii="宋体" w:hAnsi="宋体" w:eastAsia="宋体" w:cs="宋体"/>
          <w:b/>
          <w:sz w:val="48"/>
          <w:szCs w:val="48"/>
          <w:highlight w:val="none"/>
          <w:lang w:eastAsia="zh-CN"/>
        </w:rPr>
      </w:pPr>
    </w:p>
    <w:p w14:paraId="6F109A7C">
      <w:pPr>
        <w:pStyle w:val="7"/>
        <w:spacing w:line="261" w:lineRule="auto"/>
        <w:jc w:val="center"/>
        <w:rPr>
          <w:rFonts w:ascii="宋体" w:hAnsi="宋体" w:eastAsia="宋体" w:cs="宋体"/>
          <w:b/>
          <w:sz w:val="48"/>
          <w:szCs w:val="48"/>
          <w:highlight w:val="none"/>
          <w:lang w:eastAsia="zh-CN"/>
        </w:rPr>
      </w:pPr>
    </w:p>
    <w:p w14:paraId="3B881C08">
      <w:pPr>
        <w:pStyle w:val="7"/>
        <w:spacing w:line="261" w:lineRule="auto"/>
        <w:jc w:val="center"/>
        <w:rPr>
          <w:rFonts w:ascii="宋体" w:hAnsi="宋体" w:eastAsia="宋体" w:cs="宋体"/>
          <w:b/>
          <w:sz w:val="48"/>
          <w:szCs w:val="48"/>
          <w:highlight w:val="none"/>
          <w:lang w:eastAsia="zh-CN"/>
        </w:rPr>
      </w:pPr>
    </w:p>
    <w:p w14:paraId="79F9008A">
      <w:pPr>
        <w:pStyle w:val="7"/>
        <w:spacing w:line="261" w:lineRule="auto"/>
        <w:jc w:val="center"/>
        <w:rPr>
          <w:rFonts w:ascii="宋体" w:hAnsi="宋体" w:eastAsia="宋体" w:cs="宋体"/>
          <w:b/>
          <w:sz w:val="48"/>
          <w:szCs w:val="48"/>
          <w:highlight w:val="none"/>
          <w:lang w:eastAsia="zh-CN"/>
        </w:rPr>
      </w:pPr>
    </w:p>
    <w:p w14:paraId="66417737">
      <w:pPr>
        <w:pStyle w:val="7"/>
        <w:spacing w:line="261" w:lineRule="auto"/>
        <w:jc w:val="center"/>
        <w:rPr>
          <w:rFonts w:ascii="宋体" w:hAnsi="宋体" w:eastAsia="宋体" w:cs="宋体"/>
          <w:b/>
          <w:sz w:val="48"/>
          <w:szCs w:val="48"/>
          <w:highlight w:val="none"/>
          <w:lang w:eastAsia="zh-CN"/>
        </w:rPr>
      </w:pPr>
    </w:p>
    <w:p w14:paraId="341F8609">
      <w:pPr>
        <w:pStyle w:val="7"/>
        <w:spacing w:line="261" w:lineRule="auto"/>
        <w:jc w:val="center"/>
        <w:rPr>
          <w:rFonts w:ascii="宋体" w:hAnsi="宋体" w:eastAsia="宋体" w:cs="宋体"/>
          <w:b/>
          <w:sz w:val="48"/>
          <w:szCs w:val="48"/>
          <w:highlight w:val="none"/>
          <w:lang w:eastAsia="zh-CN"/>
        </w:rPr>
      </w:pPr>
    </w:p>
    <w:p w14:paraId="3FFA9D16">
      <w:pPr>
        <w:tabs>
          <w:tab w:val="left" w:pos="2221"/>
        </w:tabs>
        <w:spacing w:before="88" w:line="219" w:lineRule="auto"/>
        <w:jc w:val="left"/>
        <w:rPr>
          <w:rFonts w:ascii="宋体" w:hAnsi="宋体" w:eastAsia="宋体" w:cs="宋体"/>
          <w:bCs/>
          <w:spacing w:val="4"/>
          <w:sz w:val="28"/>
          <w:szCs w:val="28"/>
          <w:highlight w:val="none"/>
        </w:rPr>
      </w:pPr>
      <w:r>
        <w:rPr>
          <w:rFonts w:hint="eastAsia" w:ascii="宋体" w:hAnsi="宋体" w:eastAsia="宋体" w:cs="宋体"/>
          <w:bCs/>
          <w:sz w:val="28"/>
          <w:szCs w:val="28"/>
          <w:highlight w:val="none"/>
        </w:rPr>
        <w:t>甲方：</w:t>
      </w:r>
    </w:p>
    <w:p w14:paraId="7A277C17">
      <w:pPr>
        <w:spacing w:before="88" w:line="394" w:lineRule="auto"/>
        <w:jc w:val="left"/>
        <w:rPr>
          <w:rFonts w:ascii="宋体" w:hAnsi="宋体" w:eastAsia="宋体" w:cs="宋体"/>
          <w:kern w:val="0"/>
          <w:sz w:val="28"/>
          <w:szCs w:val="28"/>
          <w:highlight w:val="none"/>
        </w:rPr>
      </w:pPr>
      <w:r>
        <w:rPr>
          <w:rFonts w:hint="eastAsia" w:ascii="宋体" w:hAnsi="宋体" w:eastAsia="宋体" w:cs="宋体"/>
          <w:bCs/>
          <w:spacing w:val="4"/>
          <w:sz w:val="28"/>
          <w:szCs w:val="28"/>
          <w:highlight w:val="none"/>
        </w:rPr>
        <w:t>乙方：</w:t>
      </w:r>
    </w:p>
    <w:p w14:paraId="6983E526">
      <w:pPr>
        <w:spacing w:before="88" w:line="394" w:lineRule="auto"/>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签订日期：</w:t>
      </w:r>
      <w:r>
        <w:rPr>
          <w:rFonts w:hint="eastAsia" w:ascii="宋体" w:hAnsi="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年</w:t>
      </w:r>
      <w:r>
        <w:rPr>
          <w:rFonts w:hint="eastAsia" w:ascii="宋体" w:hAnsi="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月</w:t>
      </w:r>
      <w:r>
        <w:rPr>
          <w:rFonts w:hint="eastAsia" w:ascii="宋体" w:hAnsi="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日</w:t>
      </w:r>
    </w:p>
    <w:p w14:paraId="275638F1">
      <w:pPr>
        <w:spacing w:before="88" w:line="394" w:lineRule="auto"/>
        <w:ind w:firstLine="1960" w:firstLineChars="700"/>
        <w:rPr>
          <w:rFonts w:ascii="宋体" w:hAnsi="宋体" w:eastAsia="宋体" w:cs="宋体"/>
          <w:kern w:val="0"/>
          <w:sz w:val="28"/>
          <w:szCs w:val="28"/>
          <w:highlight w:val="none"/>
        </w:rPr>
      </w:pPr>
    </w:p>
    <w:p w14:paraId="27484FBD">
      <w:pPr>
        <w:spacing w:before="88" w:line="394" w:lineRule="auto"/>
        <w:ind w:firstLine="1960" w:firstLineChars="700"/>
        <w:rPr>
          <w:rFonts w:ascii="宋体" w:hAnsi="宋体" w:eastAsia="宋体" w:cs="宋体"/>
          <w:kern w:val="0"/>
          <w:sz w:val="28"/>
          <w:szCs w:val="28"/>
          <w:highlight w:val="none"/>
        </w:rPr>
      </w:pPr>
    </w:p>
    <w:p w14:paraId="65F1B8F8">
      <w:pPr>
        <w:tabs>
          <w:tab w:val="left" w:pos="2221"/>
        </w:tabs>
        <w:spacing w:before="88" w:line="360" w:lineRule="auto"/>
        <w:ind w:firstLine="420" w:firstLineChars="200"/>
        <w:jc w:val="left"/>
        <w:rPr>
          <w:rFonts w:hint="eastAsia" w:ascii="宋体" w:hAnsi="宋体" w:eastAsia="宋体" w:cs="宋体"/>
          <w:kern w:val="0"/>
          <w:szCs w:val="21"/>
          <w:highlight w:val="none"/>
        </w:rPr>
      </w:pPr>
    </w:p>
    <w:p w14:paraId="29E29459">
      <w:pPr>
        <w:tabs>
          <w:tab w:val="left" w:pos="2221"/>
        </w:tabs>
        <w:spacing w:before="88" w:line="360" w:lineRule="auto"/>
        <w:ind w:firstLine="420" w:firstLineChars="200"/>
        <w:jc w:val="left"/>
        <w:rPr>
          <w:rFonts w:ascii="宋体" w:hAnsi="宋体" w:eastAsia="宋体" w:cs="宋体"/>
          <w:bCs/>
          <w:kern w:val="0"/>
          <w:szCs w:val="21"/>
          <w:highlight w:val="none"/>
        </w:rPr>
      </w:pPr>
      <w:r>
        <w:rPr>
          <w:rFonts w:hint="eastAsia" w:ascii="宋体" w:hAnsi="宋体" w:eastAsia="宋体" w:cs="宋体"/>
          <w:kern w:val="0"/>
          <w:szCs w:val="21"/>
          <w:highlight w:val="none"/>
        </w:rPr>
        <w:t>甲方（发包人）：</w:t>
      </w:r>
    </w:p>
    <w:p w14:paraId="286578AD">
      <w:pPr>
        <w:tabs>
          <w:tab w:val="left" w:pos="2221"/>
        </w:tabs>
        <w:spacing w:before="88" w:line="360" w:lineRule="auto"/>
        <w:ind w:firstLine="420" w:firstLineChars="200"/>
        <w:jc w:val="left"/>
        <w:rPr>
          <w:rFonts w:ascii="宋体" w:hAnsi="宋体" w:eastAsia="宋体" w:cs="宋体"/>
          <w:bCs/>
          <w:kern w:val="0"/>
          <w:szCs w:val="21"/>
          <w:highlight w:val="none"/>
        </w:rPr>
      </w:pPr>
      <w:r>
        <w:rPr>
          <w:rFonts w:hint="eastAsia" w:ascii="宋体" w:hAnsi="宋体" w:eastAsia="宋体" w:cs="宋体"/>
          <w:bCs/>
          <w:kern w:val="0"/>
          <w:szCs w:val="21"/>
          <w:highlight w:val="none"/>
        </w:rPr>
        <w:t>地址：</w:t>
      </w:r>
    </w:p>
    <w:p w14:paraId="0D4948EE">
      <w:pPr>
        <w:tabs>
          <w:tab w:val="left" w:pos="2221"/>
        </w:tabs>
        <w:spacing w:before="88" w:line="360" w:lineRule="auto"/>
        <w:ind w:firstLine="420" w:firstLineChars="200"/>
        <w:jc w:val="left"/>
        <w:rPr>
          <w:rFonts w:ascii="宋体" w:hAnsi="宋体" w:eastAsia="宋体" w:cs="宋体"/>
          <w:bCs/>
          <w:kern w:val="0"/>
          <w:szCs w:val="21"/>
          <w:highlight w:val="none"/>
        </w:rPr>
      </w:pPr>
      <w:r>
        <w:rPr>
          <w:rFonts w:hint="eastAsia" w:ascii="宋体" w:hAnsi="宋体" w:eastAsia="宋体" w:cs="宋体"/>
          <w:bCs/>
          <w:kern w:val="0"/>
          <w:szCs w:val="21"/>
          <w:highlight w:val="none"/>
        </w:rPr>
        <w:t>乙方（承包人）：</w:t>
      </w:r>
    </w:p>
    <w:p w14:paraId="34D92260">
      <w:pPr>
        <w:tabs>
          <w:tab w:val="left" w:pos="2221"/>
        </w:tabs>
        <w:spacing w:before="88" w:line="360" w:lineRule="auto"/>
        <w:ind w:firstLine="436" w:firstLineChars="200"/>
        <w:jc w:val="left"/>
        <w:rPr>
          <w:rFonts w:ascii="宋体" w:hAnsi="宋体" w:eastAsia="宋体" w:cs="宋体"/>
          <w:kern w:val="0"/>
          <w:szCs w:val="21"/>
          <w:highlight w:val="none"/>
        </w:rPr>
      </w:pPr>
      <w:r>
        <w:rPr>
          <w:rFonts w:hint="eastAsia" w:ascii="宋体" w:hAnsi="宋体" w:eastAsia="宋体" w:cs="宋体"/>
          <w:bCs/>
          <w:spacing w:val="4"/>
          <w:szCs w:val="21"/>
          <w:highlight w:val="none"/>
        </w:rPr>
        <w:t>地址：</w:t>
      </w:r>
    </w:p>
    <w:p w14:paraId="1ED44648">
      <w:pPr>
        <w:tabs>
          <w:tab w:val="left" w:pos="2221"/>
        </w:tabs>
        <w:spacing w:before="88" w:line="360" w:lineRule="auto"/>
        <w:ind w:firstLine="424" w:firstLineChars="200"/>
        <w:jc w:val="left"/>
        <w:rPr>
          <w:rFonts w:ascii="宋体" w:hAnsi="宋体" w:eastAsia="宋体" w:cs="宋体"/>
          <w:spacing w:val="-2"/>
          <w:szCs w:val="21"/>
          <w:highlight w:val="none"/>
        </w:rPr>
      </w:pPr>
      <w:r>
        <w:rPr>
          <w:rFonts w:ascii="宋体" w:hAnsi="宋体" w:eastAsia="宋体" w:cs="宋体"/>
          <w:spacing w:val="1"/>
          <w:szCs w:val="21"/>
          <w:highlight w:val="none"/>
        </w:rPr>
        <w:t>为了规范</w:t>
      </w:r>
      <w:r>
        <w:rPr>
          <w:rFonts w:hint="eastAsia" w:ascii="宋体" w:hAnsi="宋体" w:cs="宋体"/>
          <w:b w:val="0"/>
          <w:bCs w:val="0"/>
          <w:caps w:val="0"/>
          <w:color w:val="000000"/>
          <w:kern w:val="0"/>
          <w:sz w:val="21"/>
          <w:szCs w:val="21"/>
          <w:highlight w:val="none"/>
          <w:vertAlign w:val="baseline"/>
          <w:lang w:val="en-US" w:eastAsia="zh-CN" w:bidi="ar"/>
        </w:rPr>
        <w:t>长春北湖科技开发区北部污水处理厂污泥处置项目</w:t>
      </w:r>
      <w:r>
        <w:rPr>
          <w:rFonts w:ascii="宋体" w:hAnsi="宋体" w:eastAsia="宋体" w:cs="宋体"/>
          <w:spacing w:val="1"/>
          <w:szCs w:val="21"/>
          <w:highlight w:val="none"/>
        </w:rPr>
        <w:t>管理工作，</w:t>
      </w:r>
      <w:r>
        <w:rPr>
          <w:rFonts w:hint="eastAsia" w:ascii="宋体" w:hAnsi="宋体" w:eastAsia="宋体" w:cs="宋体"/>
          <w:spacing w:val="1"/>
          <w:szCs w:val="21"/>
          <w:highlight w:val="none"/>
        </w:rPr>
        <w:t>使污泥得到有效处置，同时进一步提高污泥处置水平，保护和改善生态环境，促进经济社会和环境可持续发展，</w:t>
      </w:r>
      <w:r>
        <w:rPr>
          <w:rFonts w:ascii="宋体" w:hAnsi="宋体" w:eastAsia="宋体" w:cs="宋体"/>
          <w:spacing w:val="1"/>
          <w:szCs w:val="21"/>
          <w:highlight w:val="none"/>
        </w:rPr>
        <w:t>根据《中华人民共和国民法典》</w:t>
      </w:r>
      <w:r>
        <w:rPr>
          <w:rFonts w:hint="eastAsia" w:ascii="宋体" w:hAnsi="宋体" w:eastAsia="宋体" w:cs="宋体"/>
          <w:spacing w:val="1"/>
          <w:szCs w:val="21"/>
          <w:highlight w:val="none"/>
        </w:rPr>
        <w:t>、《中华人民共和国环境保护法》、《长春市城镇生活污水处理厂污泥处理处置管理办法》</w:t>
      </w:r>
      <w:r>
        <w:rPr>
          <w:rFonts w:ascii="宋体" w:hAnsi="宋体" w:eastAsia="宋体" w:cs="宋体"/>
          <w:spacing w:val="6"/>
          <w:szCs w:val="21"/>
          <w:highlight w:val="none"/>
        </w:rPr>
        <w:t>及</w:t>
      </w:r>
      <w:r>
        <w:rPr>
          <w:rFonts w:hint="eastAsia" w:ascii="宋体" w:hAnsi="宋体" w:eastAsia="宋体" w:cs="宋体"/>
          <w:spacing w:val="6"/>
          <w:szCs w:val="21"/>
          <w:highlight w:val="none"/>
        </w:rPr>
        <w:t>其他</w:t>
      </w:r>
      <w:r>
        <w:rPr>
          <w:rFonts w:ascii="宋体" w:hAnsi="宋体" w:eastAsia="宋体" w:cs="宋体"/>
          <w:spacing w:val="6"/>
          <w:szCs w:val="21"/>
          <w:highlight w:val="none"/>
        </w:rPr>
        <w:t>相关法律、法规，遵循平等、自愿、公平和诚信的原则，就</w:t>
      </w:r>
      <w:r>
        <w:rPr>
          <w:rFonts w:hint="eastAsia" w:ascii="宋体" w:hAnsi="宋体" w:cs="宋体"/>
          <w:b w:val="0"/>
          <w:bCs w:val="0"/>
          <w:caps w:val="0"/>
          <w:color w:val="000000"/>
          <w:kern w:val="0"/>
          <w:sz w:val="21"/>
          <w:szCs w:val="21"/>
          <w:highlight w:val="none"/>
          <w:vertAlign w:val="baseline"/>
          <w:lang w:val="en-US" w:eastAsia="zh-CN" w:bidi="ar"/>
        </w:rPr>
        <w:t>长春北湖科技开发区北部污水处理厂污泥处置项目</w:t>
      </w:r>
      <w:r>
        <w:rPr>
          <w:rFonts w:ascii="宋体" w:hAnsi="宋体" w:eastAsia="宋体" w:cs="宋体"/>
          <w:spacing w:val="5"/>
          <w:szCs w:val="21"/>
          <w:highlight w:val="none"/>
        </w:rPr>
        <w:t>，经甲乙双方友好协商，达成一致意见，订立本</w:t>
      </w:r>
      <w:r>
        <w:rPr>
          <w:rFonts w:hint="eastAsia" w:ascii="宋体" w:hAnsi="宋体" w:eastAsia="宋体" w:cs="宋体"/>
          <w:spacing w:val="5"/>
          <w:szCs w:val="21"/>
          <w:highlight w:val="none"/>
        </w:rPr>
        <w:t>合同</w:t>
      </w:r>
      <w:r>
        <w:rPr>
          <w:rFonts w:ascii="宋体" w:hAnsi="宋体" w:eastAsia="宋体" w:cs="宋体"/>
          <w:spacing w:val="-2"/>
          <w:szCs w:val="21"/>
          <w:highlight w:val="none"/>
        </w:rPr>
        <w:t>，共同遵守。</w:t>
      </w:r>
    </w:p>
    <w:p w14:paraId="7E2B490C">
      <w:pPr>
        <w:tabs>
          <w:tab w:val="left" w:pos="2221"/>
        </w:tabs>
        <w:spacing w:before="88" w:line="360" w:lineRule="auto"/>
        <w:jc w:val="left"/>
        <w:rPr>
          <w:rFonts w:ascii="宋体" w:hAnsi="宋体" w:eastAsia="宋体" w:cs="宋体"/>
          <w:spacing w:val="-2"/>
          <w:szCs w:val="21"/>
          <w:highlight w:val="none"/>
        </w:rPr>
      </w:pPr>
      <w:r>
        <w:rPr>
          <w:rFonts w:hint="eastAsia" w:ascii="宋体" w:hAnsi="宋体" w:eastAsia="宋体" w:cs="宋体"/>
          <w:spacing w:val="-2"/>
          <w:szCs w:val="21"/>
          <w:highlight w:val="none"/>
        </w:rPr>
        <w:t>一、项目概况</w:t>
      </w:r>
    </w:p>
    <w:p w14:paraId="101C0027">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1.1项目名称：</w:t>
      </w:r>
    </w:p>
    <w:p w14:paraId="39FCC64A">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1.2项目地点：</w:t>
      </w:r>
    </w:p>
    <w:p w14:paraId="617B7845">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1.3项目内容：</w:t>
      </w:r>
    </w:p>
    <w:p w14:paraId="23893AD5">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1.4合同履行期限：</w:t>
      </w:r>
    </w:p>
    <w:p w14:paraId="27CDFED7">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1.5服务标准：</w:t>
      </w:r>
    </w:p>
    <w:p w14:paraId="1B77DE80">
      <w:pPr>
        <w:tabs>
          <w:tab w:val="left" w:pos="2221"/>
        </w:tabs>
        <w:spacing w:before="88" w:line="360" w:lineRule="auto"/>
        <w:jc w:val="left"/>
        <w:rPr>
          <w:rFonts w:ascii="宋体" w:hAnsi="宋体" w:eastAsia="宋体" w:cs="宋体"/>
          <w:spacing w:val="-2"/>
          <w:szCs w:val="21"/>
          <w:highlight w:val="none"/>
        </w:rPr>
      </w:pPr>
      <w:r>
        <w:rPr>
          <w:rFonts w:hint="eastAsia" w:ascii="宋体" w:hAnsi="宋体" w:eastAsia="宋体" w:cs="宋体"/>
          <w:spacing w:val="-2"/>
          <w:szCs w:val="21"/>
          <w:highlight w:val="none"/>
        </w:rPr>
        <w:t>二、双方的权利及义务</w:t>
      </w:r>
    </w:p>
    <w:p w14:paraId="37BBA49C">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2.1甲方及污水处理厂运营方柏林水务长春高新污水处理有限公司（以下简称柏林水务）的权利和义务</w:t>
      </w:r>
    </w:p>
    <w:p w14:paraId="6CB80278">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2.1.1甲方及柏林水务有权要求乙方在对污泥转运及处置的过程中遵守国家的相关法律和法规；</w:t>
      </w:r>
    </w:p>
    <w:p w14:paraId="2240235E">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2.1.2甲方及柏林水务对乙方违反本合同要求的行为，有权提出口头及书面整改要求；</w:t>
      </w:r>
    </w:p>
    <w:p w14:paraId="338CDDCF">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2.1.3甲方及柏林水务有权要求乙方配合，迎接主管部门的检查、调研和业务指导；</w:t>
      </w:r>
    </w:p>
    <w:p w14:paraId="117CA5B2">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2.1.4甲方及柏林水务有权监督污泥转运、处置过程，并对乙方提出整改建议；</w:t>
      </w:r>
    </w:p>
    <w:p w14:paraId="469E6479">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2.1.5甲方及柏林水务有权派人跟踪污泥去向；</w:t>
      </w:r>
    </w:p>
    <w:p w14:paraId="7540BEC2">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2.1.6甲方负责按合同约定结款；</w:t>
      </w:r>
    </w:p>
    <w:p w14:paraId="5ED5D821">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2.1.7甲方及柏林水务必须向乙方阐明污泥脱水间的安全规定和要求；</w:t>
      </w:r>
    </w:p>
    <w:p w14:paraId="3742E042">
      <w:pPr>
        <w:tabs>
          <w:tab w:val="left" w:pos="2221"/>
        </w:tabs>
        <w:spacing w:before="88" w:line="360" w:lineRule="auto"/>
        <w:ind w:firstLine="412" w:firstLineChars="200"/>
        <w:jc w:val="left"/>
        <w:rPr>
          <w:rFonts w:ascii="宋体" w:hAnsi="宋体" w:eastAsia="宋体" w:cs="宋体"/>
          <w:spacing w:val="-2"/>
          <w:szCs w:val="21"/>
          <w:highlight w:val="none"/>
        </w:rPr>
      </w:pPr>
      <w:r>
        <w:rPr>
          <w:rFonts w:hint="eastAsia" w:ascii="宋体" w:hAnsi="宋体" w:eastAsia="宋体" w:cs="宋体"/>
          <w:spacing w:val="-2"/>
          <w:szCs w:val="21"/>
          <w:highlight w:val="none"/>
        </w:rPr>
        <w:t>2.1.8甲方及柏林水务产出的污泥需满足污泥处置的相关国家标准。</w:t>
      </w:r>
    </w:p>
    <w:p w14:paraId="6E7FEF4F">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2.2乙方的权利和义务</w:t>
      </w:r>
    </w:p>
    <w:p w14:paraId="70662778">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2.2.1乙方负责减量化、无害化、资源化转运及处置长春北部污水厂产生的含水率80%及以下的污泥，每天产生量在10-250吨左右（设备检修及故障除外）；</w:t>
      </w:r>
    </w:p>
    <w:p w14:paraId="2D9C4E36">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2.2.2乙方具备满足处理10万吨/日规模北部污水处理厂日常生产污泥综合处理能力，以及具备因自身停产、减产等因素处理能力不足时应急处置北部污水厂日常产生污泥的能力和措施；</w:t>
      </w:r>
    </w:p>
    <w:p w14:paraId="23A71544">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2.2.3乙方具备污泥转运及最终处置以及对应长春北部污水处理厂污泥处置服务所必需的设施、设备和专业技术能力；</w:t>
      </w:r>
    </w:p>
    <w:p w14:paraId="0B37BBA0">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2.2.4乙方不得以处置能力借口拒收北部污水处理厂产生的污泥；</w:t>
      </w:r>
    </w:p>
    <w:p w14:paraId="004B42C2">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2.2.5污泥无害化处置过程和结果满足相关的国家标准；</w:t>
      </w:r>
    </w:p>
    <w:p w14:paraId="4DCBD54D">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2.2.6乙方保证运输车辆证照、保险齐全，保证运行性能良好，定期维修保养，不得超载超限运行；车辆驾驶人员具备相应驾照，乙方需自行为驾驶人购买社会保险、医疗保险、意外伤亡险等各类保险，冬季运输时罐体需采取加热措施，车辆需加装GPS定位装置；</w:t>
      </w:r>
    </w:p>
    <w:p w14:paraId="1E3FC620">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2.2.7乙方每月向甲方</w:t>
      </w:r>
      <w:r>
        <w:rPr>
          <w:rFonts w:hint="eastAsia" w:ascii="宋体" w:hAnsi="宋体" w:eastAsia="宋体" w:cs="宋体"/>
          <w:spacing w:val="-2"/>
          <w:szCs w:val="21"/>
          <w:highlight w:val="none"/>
        </w:rPr>
        <w:t>及柏林水务</w:t>
      </w:r>
      <w:r>
        <w:rPr>
          <w:rFonts w:hint="eastAsia" w:ascii="宋体" w:hAnsi="宋体" w:eastAsia="宋体" w:cs="宋体"/>
          <w:kern w:val="0"/>
          <w:szCs w:val="21"/>
          <w:highlight w:val="none"/>
        </w:rPr>
        <w:t>提供污泥的流向、用途、用量等报告；</w:t>
      </w:r>
    </w:p>
    <w:p w14:paraId="6FB3208B">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2.2.8污泥运输车辆要做好遮挡及密闭措施，防止污泥洒落，如由于污泥洒落，造成的环境污染等，由乙方无条件消除，并承担相应一系列环保责任；</w:t>
      </w:r>
    </w:p>
    <w:p w14:paraId="06C5266D">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2.2.9乙方保证运输过程中不出现环保问题和风险以及安全事故，如果发生由乙方负全部责任；</w:t>
      </w:r>
    </w:p>
    <w:p w14:paraId="5AF53A8E">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2.2.10如乙方在处置污泥过程中，造成环境污染，乙方应当将被污染的环境恢复原状，并承担恢复环境所需的费用。如因此导致任何第三方提出指控或诉讼、信访、投诉的，与甲方无关，乙方应负责交涉、应诉，并承担由此发生的律师费、赔偿费等一切费用。</w:t>
      </w:r>
    </w:p>
    <w:p w14:paraId="13E5EFE5">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2.1.11乙方应按国家有关技术规范、标准、招标文件、响应文件和合同约定的处置方案或者措施进行妥善处置，发生安全、环境污染事故或受到政府监管部门处罚的，由乙方承担全部责任。</w:t>
      </w:r>
    </w:p>
    <w:p w14:paraId="1694B5DB">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2.2.12保证污泥称重计量器具经国家质量监督部门检测合格。如实记录污泥转移量、处理处置量及其去向等情况，并每月向甲方汇报相关情况；接受甲方对项目实施过程中的监督管理；甲方及其上级主管部门有权随时对乙方的处理处置情况检查。</w:t>
      </w:r>
    </w:p>
    <w:p w14:paraId="11FD955F">
      <w:pPr>
        <w:spacing w:before="88" w:line="360" w:lineRule="auto"/>
        <w:rPr>
          <w:rFonts w:ascii="宋体" w:hAnsi="宋体" w:eastAsia="宋体" w:cs="宋体"/>
          <w:kern w:val="0"/>
          <w:szCs w:val="21"/>
          <w:highlight w:val="none"/>
        </w:rPr>
      </w:pPr>
      <w:r>
        <w:rPr>
          <w:rFonts w:hint="eastAsia" w:ascii="宋体" w:hAnsi="宋体" w:eastAsia="宋体" w:cs="宋体"/>
          <w:kern w:val="0"/>
          <w:szCs w:val="21"/>
          <w:highlight w:val="none"/>
        </w:rPr>
        <w:t>三、合同价款及付款方式</w:t>
      </w:r>
    </w:p>
    <w:p w14:paraId="20DD0CAE">
      <w:pPr>
        <w:spacing w:before="88"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3.1合同价款（暂定值）：</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元</w:t>
      </w:r>
      <w:r>
        <w:rPr>
          <w:rFonts w:hint="eastAsia" w:ascii="宋体" w:hAnsi="宋体" w:eastAsia="宋体" w:cs="宋体"/>
          <w:kern w:val="0"/>
          <w:szCs w:val="21"/>
          <w:highlight w:val="none"/>
        </w:rPr>
        <w:t>，大写金额：</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元整</w:t>
      </w:r>
      <w:r>
        <w:rPr>
          <w:rFonts w:hint="eastAsia" w:ascii="宋体" w:hAnsi="宋体" w:eastAsia="宋体" w:cs="宋体"/>
          <w:kern w:val="0"/>
          <w:szCs w:val="21"/>
          <w:highlight w:val="none"/>
        </w:rPr>
        <w:t>；单价：</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元/吨</w:t>
      </w:r>
      <w:r>
        <w:rPr>
          <w:rFonts w:hint="eastAsia" w:ascii="宋体" w:hAnsi="宋体" w:eastAsia="宋体" w:cs="宋体"/>
          <w:kern w:val="0"/>
          <w:szCs w:val="21"/>
          <w:highlight w:val="none"/>
        </w:rPr>
        <w:t>，大写金额：</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元/吨</w:t>
      </w:r>
      <w:r>
        <w:rPr>
          <w:rFonts w:hint="eastAsia" w:ascii="宋体" w:hAnsi="宋体" w:eastAsia="宋体" w:cs="宋体"/>
          <w:kern w:val="0"/>
          <w:szCs w:val="21"/>
          <w:highlight w:val="none"/>
        </w:rPr>
        <w:t>；</w:t>
      </w:r>
    </w:p>
    <w:p w14:paraId="65D6F561">
      <w:pPr>
        <w:spacing w:before="88" w:line="360" w:lineRule="auto"/>
        <w:ind w:firstLine="420" w:firstLineChars="200"/>
        <w:rPr>
          <w:rFonts w:ascii="宋体" w:hAnsi="宋体" w:eastAsia="宋体" w:cs="宋体"/>
          <w:spacing w:val="-2"/>
          <w:szCs w:val="21"/>
          <w:highlight w:val="none"/>
        </w:rPr>
      </w:pPr>
      <w:r>
        <w:rPr>
          <w:rFonts w:hint="eastAsia" w:ascii="宋体" w:hAnsi="宋体" w:eastAsia="宋体" w:cs="宋体"/>
          <w:kern w:val="0"/>
          <w:szCs w:val="21"/>
          <w:highlight w:val="none"/>
        </w:rPr>
        <w:t>3.2：结算方式：以单价*最终实际发生量，以经甲方及柏林水务共同确认的乙方进场污泥称重小票计量合计，每月一结算；</w:t>
      </w:r>
    </w:p>
    <w:p w14:paraId="274EAAF8">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3.3支付方式：</w:t>
      </w:r>
      <w:r>
        <w:rPr>
          <w:rFonts w:hint="eastAsia" w:ascii="宋体" w:hAnsi="宋体" w:eastAsia="宋体" w:cs="宋体"/>
          <w:spacing w:val="-2"/>
          <w:szCs w:val="21"/>
          <w:highlight w:val="none"/>
        </w:rPr>
        <w:t>每月按计量的100%支付，当月的应付价款在下一个月22号前支付给乙方一即牵头人，</w:t>
      </w:r>
      <w:r>
        <w:rPr>
          <w:rFonts w:hint="eastAsia" w:ascii="宋体" w:hAnsi="宋体" w:eastAsia="宋体" w:cs="宋体"/>
          <w:spacing w:val="-2"/>
          <w:szCs w:val="21"/>
          <w:highlight w:val="none"/>
          <w:lang w:val="en-US" w:eastAsia="zh-CN"/>
        </w:rPr>
        <w:t>甲方支付给乙方一即视为已经履行了全部支付义务，乙方一与乙方二之间的费用分配由乙方一与乙方二自行解决，与甲方无关。</w:t>
      </w:r>
      <w:r>
        <w:rPr>
          <w:rFonts w:hint="eastAsia" w:ascii="宋体" w:hAnsi="宋体" w:eastAsia="宋体" w:cs="宋体"/>
          <w:spacing w:val="-2"/>
          <w:szCs w:val="21"/>
          <w:highlight w:val="none"/>
        </w:rPr>
        <w:t>支付前，由乙方一提前3日向甲方出具增值税普通发票，要求发票信息填写完整。</w:t>
      </w:r>
    </w:p>
    <w:p w14:paraId="5B02847C">
      <w:pPr>
        <w:numPr>
          <w:ilvl w:val="0"/>
          <w:numId w:val="6"/>
        </w:numPr>
        <w:spacing w:before="88" w:line="360" w:lineRule="auto"/>
        <w:rPr>
          <w:rFonts w:ascii="宋体" w:hAnsi="宋体" w:eastAsia="宋体" w:cs="宋体"/>
          <w:spacing w:val="-2"/>
          <w:szCs w:val="21"/>
          <w:highlight w:val="none"/>
        </w:rPr>
      </w:pPr>
      <w:r>
        <w:rPr>
          <w:rFonts w:hint="eastAsia" w:ascii="宋体" w:hAnsi="宋体" w:eastAsia="宋体" w:cs="宋体"/>
          <w:spacing w:val="-2"/>
          <w:szCs w:val="21"/>
          <w:highlight w:val="none"/>
        </w:rPr>
        <w:t>违约责任</w:t>
      </w:r>
    </w:p>
    <w:p w14:paraId="7B905851">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4.1合作各方应按合同规定承担合作任务，因不可抗力确属无法承担的，最晚应在事件发生后3日内及时通知对方；</w:t>
      </w:r>
    </w:p>
    <w:p w14:paraId="228D5310">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4.2合作各方由于政策变化或不可抗力的事件无法承担协作任务的，由各方协商解决，由于其他原因不承担合作任务，而给对方造成经济损失的，违约方应承担赔偿责任；</w:t>
      </w:r>
    </w:p>
    <w:p w14:paraId="6DDF73A0">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4.3本合同生效后，合作各方均应全面履行本合同的约定义务，如有一方违反合同的约定，守约方为维护权益而支付的一切费用均由违约方承担；</w:t>
      </w:r>
    </w:p>
    <w:p w14:paraId="5AF730A6">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4.4本合同约定</w:t>
      </w:r>
      <w:r>
        <w:rPr>
          <w:rFonts w:hint="eastAsia" w:ascii="宋体" w:hAnsi="宋体" w:eastAsia="宋体" w:cs="宋体"/>
          <w:spacing w:val="-2"/>
          <w:szCs w:val="21"/>
          <w:highlight w:val="none"/>
          <w:lang w:val="en-US" w:eastAsia="zh-CN"/>
        </w:rPr>
        <w:t>乙方</w:t>
      </w:r>
      <w:r>
        <w:rPr>
          <w:rFonts w:hint="eastAsia" w:ascii="宋体" w:hAnsi="宋体" w:eastAsia="宋体" w:cs="宋体"/>
          <w:spacing w:val="-2"/>
          <w:szCs w:val="21"/>
          <w:highlight w:val="none"/>
        </w:rPr>
        <w:t>应承担的违约金不足以弥补</w:t>
      </w:r>
      <w:r>
        <w:rPr>
          <w:rFonts w:hint="eastAsia" w:ascii="宋体" w:hAnsi="宋体" w:eastAsia="宋体" w:cs="宋体"/>
          <w:spacing w:val="-2"/>
          <w:szCs w:val="21"/>
          <w:highlight w:val="none"/>
          <w:lang w:val="en-US" w:eastAsia="zh-CN"/>
        </w:rPr>
        <w:t>甲方</w:t>
      </w:r>
      <w:r>
        <w:rPr>
          <w:rFonts w:hint="eastAsia" w:ascii="宋体" w:hAnsi="宋体" w:eastAsia="宋体" w:cs="宋体"/>
          <w:spacing w:val="-2"/>
          <w:szCs w:val="21"/>
          <w:highlight w:val="none"/>
        </w:rPr>
        <w:t>损失的，</w:t>
      </w:r>
      <w:r>
        <w:rPr>
          <w:rFonts w:hint="eastAsia" w:ascii="宋体" w:hAnsi="宋体" w:eastAsia="宋体" w:cs="宋体"/>
          <w:spacing w:val="-2"/>
          <w:szCs w:val="21"/>
          <w:highlight w:val="none"/>
          <w:lang w:val="en-US" w:eastAsia="zh-CN"/>
        </w:rPr>
        <w:t>乙方</w:t>
      </w:r>
      <w:r>
        <w:rPr>
          <w:rFonts w:hint="eastAsia" w:ascii="宋体" w:hAnsi="宋体" w:eastAsia="宋体" w:cs="宋体"/>
          <w:spacing w:val="-2"/>
          <w:szCs w:val="21"/>
          <w:highlight w:val="none"/>
        </w:rPr>
        <w:t>还应赔偿</w:t>
      </w:r>
      <w:r>
        <w:rPr>
          <w:rFonts w:hint="eastAsia" w:ascii="宋体" w:hAnsi="宋体" w:eastAsia="宋体" w:cs="宋体"/>
          <w:spacing w:val="-2"/>
          <w:szCs w:val="21"/>
          <w:highlight w:val="none"/>
          <w:lang w:val="en-US" w:eastAsia="zh-CN"/>
        </w:rPr>
        <w:t>甲方</w:t>
      </w:r>
      <w:r>
        <w:rPr>
          <w:rFonts w:hint="eastAsia" w:ascii="宋体" w:hAnsi="宋体" w:eastAsia="宋体" w:cs="宋体"/>
          <w:spacing w:val="-2"/>
          <w:szCs w:val="21"/>
          <w:highlight w:val="none"/>
        </w:rPr>
        <w:t>损失。本合同约定乙方应承担的违约金、赔偿金，甲方均有权从任一笔应付款中予以扣除。</w:t>
      </w:r>
    </w:p>
    <w:p w14:paraId="07C1EBDC">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4.5在合同履行期间内，因乙方原因造成甲方污泥无法出厂处置，甲方为保障安全生产而采取的应急措施而产生的相关费用由乙方承担。</w:t>
      </w:r>
    </w:p>
    <w:p w14:paraId="6D9B2069">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4.6在合同履行期间内，乙方因相关资格、批复被停止、取消及吊销的，所发生的后续费用均由乙方承担。</w:t>
      </w:r>
    </w:p>
    <w:p w14:paraId="0417F3A9">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4.7在协议执行过程中，因乙方对污泥处置不当等对环境造成污染，乙方应当将被污染的环境恢复原状，承担恢复环境所需的费用，并承担相应的环保及法律责任。</w:t>
      </w:r>
    </w:p>
    <w:p w14:paraId="7B089AA2">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4.8乙方在污泥计量称重时，确保污泥计量准确真实，如因计量不准，给甲方造成损失，将由乙方承担真实量和错误量之差。</w:t>
      </w:r>
    </w:p>
    <w:p w14:paraId="1C663324">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4.9乙方应根据本合同的约定</w:t>
      </w:r>
      <w:r>
        <w:rPr>
          <w:rFonts w:hint="eastAsia" w:ascii="宋体" w:hAnsi="宋体" w:eastAsia="宋体" w:cs="宋体"/>
          <w:spacing w:val="-2"/>
          <w:sz w:val="21"/>
          <w:szCs w:val="21"/>
          <w:highlight w:val="none"/>
          <w:lang w:val="en-US" w:eastAsia="zh-CN"/>
        </w:rPr>
        <w:t>以及甲方的要求的期限内</w:t>
      </w:r>
      <w:r>
        <w:rPr>
          <w:rFonts w:hint="eastAsia" w:ascii="宋体" w:hAnsi="宋体" w:eastAsia="宋体" w:cs="宋体"/>
          <w:spacing w:val="-2"/>
          <w:szCs w:val="21"/>
          <w:highlight w:val="none"/>
        </w:rPr>
        <w:t>完成具体的工作内容，若乙方延误工期的，甲方有权拒绝向乙方付款，每逾期一日，应当承担合同总费用0.1%的违约金，逾期超过3日或累计超过5次的，甲方有权解除本合同，不予支付任何费用，乙方应承担合同暂定价款10%的违约金。</w:t>
      </w:r>
    </w:p>
    <w:p w14:paraId="2F065088">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4.10未经甲方书面同意，乙方擅自转委托的，甲方有权解除本合同，不予支付任何费用，乙方应当承担合同暂定价款10%的违约金。</w:t>
      </w:r>
    </w:p>
    <w:p w14:paraId="187BDFD4">
      <w:pPr>
        <w:spacing w:before="88" w:line="360" w:lineRule="auto"/>
        <w:ind w:firstLine="412" w:firstLineChars="200"/>
        <w:rPr>
          <w:rFonts w:ascii="宋体" w:hAnsi="宋体" w:eastAsia="宋体" w:cs="宋体"/>
          <w:spacing w:val="-2"/>
          <w:szCs w:val="21"/>
          <w:highlight w:val="none"/>
        </w:rPr>
      </w:pPr>
    </w:p>
    <w:p w14:paraId="6C828EEE">
      <w:pPr>
        <w:numPr>
          <w:ilvl w:val="0"/>
          <w:numId w:val="6"/>
        </w:numPr>
        <w:spacing w:before="88" w:line="360" w:lineRule="auto"/>
        <w:rPr>
          <w:rFonts w:ascii="宋体" w:hAnsi="宋体" w:eastAsia="宋体" w:cs="宋体"/>
          <w:spacing w:val="-2"/>
          <w:szCs w:val="21"/>
          <w:highlight w:val="none"/>
        </w:rPr>
      </w:pPr>
      <w:r>
        <w:rPr>
          <w:rFonts w:hint="eastAsia" w:ascii="宋体" w:hAnsi="宋体" w:eastAsia="宋体" w:cs="宋体"/>
          <w:spacing w:val="-2"/>
          <w:szCs w:val="21"/>
          <w:highlight w:val="none"/>
        </w:rPr>
        <w:t>合同的变更及终止</w:t>
      </w:r>
    </w:p>
    <w:p w14:paraId="79DA088B">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5.1本合同未尽事宜，各方应本着互惠互利、友好协商的原则另行约定，并以备忘录或附件形式体现，本合同的备忘录或附件与本合同拥有同等的法律效力；</w:t>
      </w:r>
    </w:p>
    <w:p w14:paraId="2A103CAE">
      <w:pPr>
        <w:spacing w:before="88" w:line="360" w:lineRule="auto"/>
        <w:ind w:firstLine="412" w:firstLineChars="200"/>
        <w:rPr>
          <w:rFonts w:ascii="宋体" w:hAnsi="宋体" w:eastAsia="宋体" w:cs="宋体"/>
          <w:spacing w:val="-2"/>
          <w:szCs w:val="21"/>
          <w:highlight w:val="none"/>
        </w:rPr>
      </w:pPr>
      <w:r>
        <w:rPr>
          <w:rFonts w:hint="eastAsia" w:ascii="宋体" w:hAnsi="宋体" w:eastAsia="宋体" w:cs="宋体"/>
          <w:spacing w:val="-2"/>
          <w:szCs w:val="21"/>
          <w:highlight w:val="none"/>
        </w:rPr>
        <w:t>5.2在合同履行期间，乙方必须按照环评批复内的处置方式进行污泥处置，污泥处置严禁分包，如若违反规定，甲方有权立刻解除合同，乙方承担由此造成的损失；</w:t>
      </w:r>
    </w:p>
    <w:p w14:paraId="0CFA9A30">
      <w:pPr>
        <w:numPr>
          <w:ilvl w:val="0"/>
          <w:numId w:val="6"/>
        </w:numPr>
        <w:spacing w:before="88" w:line="360" w:lineRule="auto"/>
        <w:rPr>
          <w:rFonts w:ascii="宋体" w:hAnsi="宋体" w:eastAsia="宋体" w:cs="宋体"/>
          <w:spacing w:val="-2"/>
          <w:szCs w:val="21"/>
          <w:highlight w:val="none"/>
        </w:rPr>
      </w:pPr>
      <w:r>
        <w:rPr>
          <w:rFonts w:hint="eastAsia" w:ascii="宋体" w:hAnsi="宋体" w:eastAsia="宋体" w:cs="宋体"/>
          <w:spacing w:val="-2"/>
          <w:szCs w:val="21"/>
          <w:highlight w:val="none"/>
        </w:rPr>
        <w:t>争议解决</w:t>
      </w:r>
    </w:p>
    <w:p w14:paraId="0B819227">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甲方和乙方在履行合同时发生争议，可以自行和解或要求有关主管部门调解，任何一方不愿和解、调解或和解、调解不成的，双方约定采用下列第2种方式解决争议：</w:t>
      </w:r>
    </w:p>
    <w:p w14:paraId="325BBC37">
      <w:pPr>
        <w:numPr>
          <w:ilvl w:val="0"/>
          <w:numId w:val="7"/>
        </w:num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双方达成仲裁协议，向长春仲裁委员会申请仲裁；</w:t>
      </w:r>
    </w:p>
    <w:p w14:paraId="253D3372">
      <w:pPr>
        <w:numPr>
          <w:ilvl w:val="0"/>
          <w:numId w:val="7"/>
        </w:num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向</w:t>
      </w:r>
      <w:r>
        <w:rPr>
          <w:rFonts w:hint="eastAsia" w:ascii="宋体" w:hAnsi="宋体" w:eastAsia="宋体" w:cs="宋体"/>
          <w:spacing w:val="-2"/>
          <w:szCs w:val="21"/>
          <w:highlight w:val="none"/>
          <w:lang w:val="en-US" w:eastAsia="zh-CN"/>
        </w:rPr>
        <w:t>甲</w:t>
      </w:r>
      <w:r>
        <w:rPr>
          <w:rFonts w:hint="eastAsia" w:ascii="宋体" w:hAnsi="宋体" w:eastAsia="宋体" w:cs="宋体"/>
          <w:spacing w:val="-2"/>
          <w:szCs w:val="21"/>
          <w:highlight w:val="none"/>
        </w:rPr>
        <w:t>方所在地人民法院起诉。</w:t>
      </w:r>
    </w:p>
    <w:p w14:paraId="36D5545F">
      <w:pPr>
        <w:numPr>
          <w:ilvl w:val="0"/>
          <w:numId w:val="6"/>
        </w:numPr>
        <w:spacing w:before="88" w:line="360" w:lineRule="auto"/>
        <w:rPr>
          <w:rFonts w:ascii="宋体" w:hAnsi="宋体" w:eastAsia="宋体" w:cs="宋体"/>
          <w:spacing w:val="-2"/>
          <w:szCs w:val="21"/>
          <w:highlight w:val="none"/>
        </w:rPr>
      </w:pPr>
      <w:r>
        <w:rPr>
          <w:rFonts w:hint="eastAsia" w:ascii="宋体" w:hAnsi="宋体" w:eastAsia="宋体" w:cs="宋体"/>
          <w:spacing w:val="-2"/>
          <w:szCs w:val="21"/>
          <w:highlight w:val="none"/>
        </w:rPr>
        <w:t>其他</w:t>
      </w:r>
    </w:p>
    <w:p w14:paraId="3F52B489">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7.1本合同经各方签字盖章后生效；</w:t>
      </w:r>
    </w:p>
    <w:p w14:paraId="01E0266D">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7.2本合同一式捌份，甲方执陆份，乙方一执壹份，乙方二执壹份具有同等法律效力。</w:t>
      </w:r>
    </w:p>
    <w:p w14:paraId="298F8834">
      <w:pPr>
        <w:spacing w:before="88" w:line="360" w:lineRule="auto"/>
        <w:ind w:firstLine="404"/>
        <w:rPr>
          <w:rFonts w:ascii="宋体" w:hAnsi="宋体" w:eastAsia="宋体" w:cs="宋体"/>
          <w:spacing w:val="-2"/>
          <w:szCs w:val="21"/>
          <w:highlight w:val="none"/>
        </w:rPr>
      </w:pPr>
      <w:r>
        <w:rPr>
          <w:rFonts w:hint="eastAsia" w:ascii="宋体" w:hAnsi="宋体" w:eastAsia="宋体" w:cs="宋体"/>
          <w:spacing w:val="-2"/>
          <w:szCs w:val="21"/>
          <w:highlight w:val="none"/>
        </w:rPr>
        <w:t>（以下无正文）</w:t>
      </w:r>
    </w:p>
    <w:p w14:paraId="529D08FA">
      <w:pPr>
        <w:spacing w:before="88" w:line="360" w:lineRule="auto"/>
        <w:ind w:firstLine="404"/>
        <w:rPr>
          <w:rFonts w:ascii="宋体" w:hAnsi="宋体" w:eastAsia="宋体" w:cs="宋体"/>
          <w:spacing w:val="-2"/>
          <w:szCs w:val="21"/>
          <w:highlight w:val="none"/>
        </w:rPr>
      </w:pPr>
    </w:p>
    <w:p w14:paraId="471C2E0C">
      <w:pPr>
        <w:spacing w:before="88" w:line="360" w:lineRule="auto"/>
        <w:ind w:firstLine="404"/>
        <w:rPr>
          <w:rFonts w:ascii="宋体" w:hAnsi="宋体" w:eastAsia="宋体" w:cs="宋体"/>
          <w:bCs/>
          <w:kern w:val="0"/>
          <w:szCs w:val="21"/>
          <w:highlight w:val="none"/>
        </w:rPr>
      </w:pPr>
      <w:r>
        <w:rPr>
          <w:rFonts w:hint="eastAsia" w:ascii="宋体" w:hAnsi="宋体" w:eastAsia="宋体" w:cs="宋体"/>
          <w:spacing w:val="-2"/>
          <w:szCs w:val="21"/>
          <w:highlight w:val="none"/>
        </w:rPr>
        <w:t>甲方（盖章）：</w:t>
      </w:r>
    </w:p>
    <w:p w14:paraId="1E15E8BB">
      <w:pPr>
        <w:spacing w:before="88" w:line="360" w:lineRule="auto"/>
        <w:ind w:firstLine="404"/>
        <w:rPr>
          <w:rFonts w:ascii="宋体" w:hAnsi="宋体" w:eastAsia="宋体" w:cs="宋体"/>
          <w:bCs/>
          <w:kern w:val="0"/>
          <w:szCs w:val="21"/>
          <w:highlight w:val="none"/>
        </w:rPr>
      </w:pPr>
    </w:p>
    <w:p w14:paraId="35956272">
      <w:pPr>
        <w:spacing w:before="88" w:line="360" w:lineRule="auto"/>
        <w:ind w:firstLine="404"/>
        <w:rPr>
          <w:rFonts w:ascii="宋体" w:hAnsi="宋体" w:eastAsia="宋体" w:cs="宋体"/>
          <w:bCs/>
          <w:kern w:val="0"/>
          <w:szCs w:val="21"/>
          <w:highlight w:val="none"/>
        </w:rPr>
      </w:pPr>
      <w:r>
        <w:rPr>
          <w:rFonts w:hint="eastAsia" w:ascii="宋体" w:hAnsi="宋体" w:eastAsia="宋体" w:cs="宋体"/>
          <w:bCs/>
          <w:kern w:val="0"/>
          <w:szCs w:val="21"/>
          <w:highlight w:val="none"/>
        </w:rPr>
        <w:t>法定代表人（签字或盖章）：</w:t>
      </w:r>
    </w:p>
    <w:p w14:paraId="47971928">
      <w:pPr>
        <w:tabs>
          <w:tab w:val="left" w:pos="2221"/>
        </w:tabs>
        <w:spacing w:before="88" w:line="360" w:lineRule="auto"/>
        <w:ind w:firstLine="420" w:firstLineChars="200"/>
        <w:jc w:val="left"/>
        <w:rPr>
          <w:rFonts w:ascii="宋体" w:hAnsi="宋体" w:eastAsia="宋体" w:cs="宋体"/>
          <w:bCs/>
          <w:kern w:val="0"/>
          <w:szCs w:val="21"/>
          <w:highlight w:val="none"/>
        </w:rPr>
      </w:pPr>
    </w:p>
    <w:p w14:paraId="57A3F164">
      <w:pPr>
        <w:tabs>
          <w:tab w:val="left" w:pos="2221"/>
        </w:tabs>
        <w:spacing w:before="88" w:line="360" w:lineRule="auto"/>
        <w:ind w:firstLine="420" w:firstLineChars="200"/>
        <w:jc w:val="left"/>
        <w:rPr>
          <w:rFonts w:ascii="宋体" w:hAnsi="宋体" w:eastAsia="宋体" w:cs="宋体"/>
          <w:bCs/>
          <w:kern w:val="0"/>
          <w:szCs w:val="21"/>
          <w:highlight w:val="none"/>
        </w:rPr>
      </w:pPr>
    </w:p>
    <w:p w14:paraId="289F2971">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bCs/>
          <w:kern w:val="0"/>
          <w:szCs w:val="21"/>
          <w:highlight w:val="none"/>
        </w:rPr>
        <w:t>乙方（盖章）：</w:t>
      </w:r>
    </w:p>
    <w:p w14:paraId="08181147">
      <w:pPr>
        <w:tabs>
          <w:tab w:val="left" w:pos="2221"/>
        </w:tabs>
        <w:spacing w:before="88" w:line="360" w:lineRule="auto"/>
        <w:jc w:val="left"/>
        <w:rPr>
          <w:rFonts w:ascii="宋体" w:hAnsi="宋体" w:eastAsia="宋体" w:cs="宋体"/>
          <w:kern w:val="0"/>
          <w:szCs w:val="21"/>
          <w:highlight w:val="none"/>
        </w:rPr>
      </w:pPr>
    </w:p>
    <w:p w14:paraId="748AF082">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法定代表人（签字或盖章）：</w:t>
      </w:r>
    </w:p>
    <w:p w14:paraId="0DE343C0">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纳税人识别号：</w:t>
      </w:r>
    </w:p>
    <w:p w14:paraId="31BB13D0">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注册地址：</w:t>
      </w:r>
    </w:p>
    <w:p w14:paraId="2E529744">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电话：</w:t>
      </w:r>
    </w:p>
    <w:p w14:paraId="48216D6D">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开户行：</w:t>
      </w:r>
    </w:p>
    <w:p w14:paraId="40725A61">
      <w:pPr>
        <w:tabs>
          <w:tab w:val="left" w:pos="2221"/>
        </w:tabs>
        <w:spacing w:before="88"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账号：</w:t>
      </w:r>
    </w:p>
    <w:p w14:paraId="7108EED3">
      <w:pPr>
        <w:tabs>
          <w:tab w:val="left" w:pos="2221"/>
        </w:tabs>
        <w:spacing w:before="88" w:line="360" w:lineRule="auto"/>
        <w:ind w:firstLine="420" w:firstLineChars="200"/>
        <w:jc w:val="left"/>
        <w:rPr>
          <w:rFonts w:ascii="宋体" w:hAnsi="宋体" w:eastAsia="宋体" w:cs="宋体"/>
          <w:kern w:val="0"/>
          <w:szCs w:val="21"/>
          <w:highlight w:val="none"/>
        </w:rPr>
      </w:pPr>
    </w:p>
    <w:p w14:paraId="360CB13A">
      <w:pPr>
        <w:tabs>
          <w:tab w:val="left" w:pos="2221"/>
        </w:tabs>
        <w:spacing w:before="88" w:line="360" w:lineRule="auto"/>
        <w:ind w:firstLine="480" w:firstLineChars="200"/>
        <w:jc w:val="left"/>
        <w:rPr>
          <w:rFonts w:ascii="宋体" w:hAnsi="宋体" w:eastAsia="宋体" w:cs="宋体"/>
          <w:kern w:val="0"/>
          <w:sz w:val="24"/>
          <w:highlight w:val="none"/>
        </w:rPr>
      </w:pPr>
    </w:p>
    <w:p w14:paraId="40D27F19">
      <w:pPr>
        <w:tabs>
          <w:tab w:val="left" w:pos="2221"/>
        </w:tabs>
        <w:spacing w:before="88" w:line="360" w:lineRule="auto"/>
        <w:ind w:firstLine="420" w:firstLineChars="200"/>
        <w:jc w:val="right"/>
        <w:rPr>
          <w:highlight w:val="none"/>
          <w:u w:val="single"/>
        </w:rPr>
      </w:pPr>
      <w:r>
        <w:rPr>
          <w:rFonts w:hint="eastAsia" w:ascii="宋体" w:hAnsi="宋体" w:eastAsia="宋体" w:cs="宋体"/>
          <w:kern w:val="0"/>
          <w:szCs w:val="21"/>
          <w:highlight w:val="none"/>
        </w:rPr>
        <w:t>签订日期：</w:t>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年   月    日</w:t>
      </w:r>
    </w:p>
    <w:p w14:paraId="30A595DC">
      <w:pPr>
        <w:ind w:firstLine="420" w:firstLineChars="200"/>
        <w:jc w:val="left"/>
        <w:rPr>
          <w:rFonts w:hint="default" w:ascii="宋体" w:hAnsi="宋体"/>
          <w:b w:val="0"/>
          <w:sz w:val="21"/>
          <w:szCs w:val="21"/>
          <w:highlight w:val="none"/>
          <w:lang w:val="en-US" w:eastAsia="zh-CN"/>
        </w:rPr>
        <w:sectPr>
          <w:footerReference r:id="rId4" w:type="first"/>
          <w:footerReference r:id="rId3" w:type="defaul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08B66C8">
      <w:pPr>
        <w:numPr>
          <w:ilvl w:val="0"/>
          <w:numId w:val="8"/>
        </w:numPr>
        <w:kinsoku/>
        <w:snapToGrid/>
        <w:spacing w:line="400" w:lineRule="exact"/>
        <w:jc w:val="center"/>
        <w:textAlignment w:val="auto"/>
        <w:rPr>
          <w:rFonts w:hint="eastAsia" w:ascii="宋体" w:hAnsi="宋体" w:eastAsia="宋体" w:cs="宋体"/>
          <w:b/>
          <w:kern w:val="2"/>
          <w:sz w:val="32"/>
          <w:szCs w:val="32"/>
          <w:highlight w:val="none"/>
          <w:lang w:val="en-US" w:eastAsia="zh-CN"/>
        </w:rPr>
      </w:pPr>
      <w:r>
        <w:rPr>
          <w:rFonts w:hint="eastAsia" w:ascii="宋体" w:hAnsi="宋体" w:eastAsia="宋体" w:cs="宋体"/>
          <w:b/>
          <w:kern w:val="2"/>
          <w:sz w:val="32"/>
          <w:szCs w:val="32"/>
          <w:highlight w:val="none"/>
        </w:rPr>
        <w:t xml:space="preserve"> </w:t>
      </w:r>
      <w:r>
        <w:rPr>
          <w:rFonts w:hint="eastAsia" w:ascii="宋体" w:hAnsi="宋体" w:eastAsia="宋体" w:cs="宋体"/>
          <w:b/>
          <w:kern w:val="2"/>
          <w:sz w:val="32"/>
          <w:szCs w:val="32"/>
          <w:highlight w:val="none"/>
          <w:lang w:val="en-US" w:eastAsia="zh-CN"/>
        </w:rPr>
        <w:t>采购人需求</w:t>
      </w:r>
    </w:p>
    <w:p w14:paraId="005FC6D3">
      <w:pPr>
        <w:numPr>
          <w:ilvl w:val="0"/>
          <w:numId w:val="0"/>
        </w:numPr>
        <w:kinsoku/>
        <w:snapToGrid/>
        <w:spacing w:line="400" w:lineRule="exact"/>
        <w:jc w:val="both"/>
        <w:textAlignment w:val="auto"/>
        <w:rPr>
          <w:rFonts w:hint="default" w:ascii="宋体" w:hAnsi="宋体" w:eastAsia="宋体" w:cs="宋体"/>
          <w:b/>
          <w:kern w:val="2"/>
          <w:sz w:val="32"/>
          <w:szCs w:val="32"/>
          <w:highlight w:val="none"/>
          <w:lang w:val="en-US" w:eastAsia="zh-CN"/>
        </w:rPr>
      </w:pPr>
    </w:p>
    <w:p w14:paraId="5B891DB4">
      <w:pPr>
        <w:pStyle w:val="23"/>
        <w:numPr>
          <w:ilvl w:val="0"/>
          <w:numId w:val="0"/>
        </w:numPr>
        <w:ind w:left="540" w:leftChars="0"/>
        <w:rPr>
          <w:rFonts w:hint="default"/>
          <w:highlight w:val="none"/>
          <w:lang w:val="en-US" w:eastAsia="zh-CN"/>
        </w:rPr>
      </w:pPr>
    </w:p>
    <w:p w14:paraId="3EAD4DC8">
      <w:pPr>
        <w:numPr>
          <w:ilvl w:val="0"/>
          <w:numId w:val="9"/>
        </w:numPr>
        <w:kinsoku/>
        <w:snapToGrid/>
        <w:spacing w:line="360" w:lineRule="auto"/>
        <w:jc w:val="both"/>
        <w:textAlignment w:val="auto"/>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项目名称：</w:t>
      </w:r>
      <w:r>
        <w:rPr>
          <w:rFonts w:hint="eastAsia" w:ascii="宋体" w:hAnsi="宋体" w:cs="宋体"/>
          <w:b w:val="0"/>
          <w:bCs w:val="0"/>
          <w:caps w:val="0"/>
          <w:color w:val="000000"/>
          <w:kern w:val="0"/>
          <w:sz w:val="21"/>
          <w:szCs w:val="21"/>
          <w:highlight w:val="none"/>
          <w:vertAlign w:val="baseline"/>
          <w:lang w:val="en-US" w:eastAsia="zh-CN" w:bidi="ar"/>
        </w:rPr>
        <w:t>长春北湖科技开发区北部污水处理厂污泥处置项目</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14A9E821">
      <w:pPr>
        <w:numPr>
          <w:ilvl w:val="0"/>
          <w:numId w:val="0"/>
        </w:numPr>
        <w:kinsoku/>
        <w:snapToGrid/>
        <w:spacing w:line="360" w:lineRule="auto"/>
        <w:jc w:val="both"/>
        <w:textAlignment w:val="auto"/>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2、预算金额：</w:t>
      </w:r>
      <w:r>
        <w:rPr>
          <w:rFonts w:hint="eastAsia" w:ascii="宋体" w:hAnsi="宋体" w:cs="宋体"/>
          <w:b w:val="0"/>
          <w:bCs w:val="0"/>
          <w:caps w:val="0"/>
          <w:color w:val="000000"/>
          <w:kern w:val="0"/>
          <w:sz w:val="21"/>
          <w:szCs w:val="21"/>
          <w:highlight w:val="none"/>
          <w:vertAlign w:val="baseline"/>
          <w:lang w:val="en-US" w:eastAsia="zh-CN" w:bidi="ar"/>
        </w:rPr>
        <w:t>1584万元</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6572EB58">
      <w:pPr>
        <w:numPr>
          <w:ilvl w:val="0"/>
          <w:numId w:val="0"/>
        </w:numPr>
        <w:kinsoku/>
        <w:snapToGrid/>
        <w:spacing w:line="360" w:lineRule="auto"/>
        <w:jc w:val="both"/>
        <w:textAlignment w:val="auto"/>
        <w:rPr>
          <w:rFonts w:hint="eastAsia"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w:t>
      </w:r>
      <w:r>
        <w:rPr>
          <w:rFonts w:hint="eastAsia" w:ascii="宋体" w:hAnsi="宋体" w:eastAsia="宋体" w:cs="宋体"/>
          <w:b w:val="0"/>
          <w:bCs w:val="0"/>
          <w:caps w:val="0"/>
          <w:color w:val="000000"/>
          <w:kern w:val="0"/>
          <w:sz w:val="21"/>
          <w:szCs w:val="21"/>
          <w:highlight w:val="none"/>
          <w:vertAlign w:val="baseline"/>
          <w:lang w:val="en-US" w:eastAsia="zh-CN" w:bidi="ar"/>
        </w:rPr>
        <w:t>最高投标限价：</w:t>
      </w:r>
      <w:r>
        <w:rPr>
          <w:rFonts w:hint="eastAsia" w:ascii="宋体" w:hAnsi="宋体" w:cs="宋体"/>
          <w:b w:val="0"/>
          <w:bCs w:val="0"/>
          <w:caps w:val="0"/>
          <w:color w:val="000000"/>
          <w:kern w:val="0"/>
          <w:sz w:val="21"/>
          <w:szCs w:val="21"/>
          <w:highlight w:val="none"/>
          <w:vertAlign w:val="baseline"/>
          <w:lang w:val="en-US" w:eastAsia="zh-CN" w:bidi="ar"/>
        </w:rPr>
        <w:t>330元/吨</w:t>
      </w:r>
    </w:p>
    <w:p w14:paraId="0714BCE5">
      <w:pPr>
        <w:numPr>
          <w:ilvl w:val="0"/>
          <w:numId w:val="0"/>
        </w:numPr>
        <w:kinsoku/>
        <w:snapToGrid/>
        <w:spacing w:line="360" w:lineRule="auto"/>
        <w:jc w:val="both"/>
        <w:textAlignment w:val="auto"/>
        <w:rPr>
          <w:rFonts w:hint="eastAsia"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4、</w:t>
      </w:r>
      <w:r>
        <w:rPr>
          <w:rFonts w:hint="eastAsia" w:ascii="宋体" w:hAnsi="宋体" w:eastAsia="宋体" w:cs="宋体"/>
          <w:b w:val="0"/>
          <w:bCs w:val="0"/>
          <w:caps w:val="0"/>
          <w:color w:val="000000"/>
          <w:kern w:val="0"/>
          <w:sz w:val="21"/>
          <w:szCs w:val="21"/>
          <w:highlight w:val="none"/>
          <w:vertAlign w:val="baseline"/>
          <w:lang w:val="en-US" w:eastAsia="zh-CN" w:bidi="ar"/>
        </w:rPr>
        <w:t>采购需求：</w:t>
      </w:r>
      <w:r>
        <w:rPr>
          <w:rFonts w:hint="eastAsia" w:ascii="宋体" w:hAnsi="宋体" w:eastAsia="宋体" w:cs="宋体"/>
          <w:b w:val="0"/>
          <w:bCs w:val="0"/>
          <w:caps w:val="0"/>
          <w:color w:val="000000"/>
          <w:kern w:val="0"/>
          <w:sz w:val="21"/>
          <w:szCs w:val="21"/>
          <w:highlight w:val="none"/>
          <w:vertAlign w:val="baseline"/>
          <w:lang w:val="en-US" w:eastAsia="zh-CN" w:bidi="ar"/>
        </w:rPr>
        <w:t>减量化、无害化、资源化转运及处理处置长春北部污水处理厂生产含水率80%及以下的污泥，每天产生量在10—250吨左右（设备检修及故障除外）</w:t>
      </w:r>
      <w:r>
        <w:rPr>
          <w:rFonts w:hint="eastAsia" w:ascii="宋体" w:hAnsi="宋体" w:eastAsia="宋体" w:cs="宋体"/>
          <w:color w:val="auto"/>
          <w:sz w:val="21"/>
          <w:szCs w:val="21"/>
          <w:highlight w:val="none"/>
          <w:u w:val="none"/>
          <w:lang w:val="en-US" w:eastAsia="zh-CN"/>
        </w:rPr>
        <w:t>。污泥处置数量：平均日产量约65吨，计划年产量约为24000吨</w:t>
      </w:r>
      <w:r>
        <w:rPr>
          <w:rFonts w:hint="eastAsia" w:ascii="宋体" w:hAnsi="宋体" w:cs="宋体"/>
          <w:b w:val="0"/>
          <w:bCs/>
          <w:kern w:val="2"/>
          <w:sz w:val="21"/>
          <w:szCs w:val="21"/>
          <w:highlight w:val="none"/>
          <w:lang w:val="en-US" w:eastAsia="zh-CN"/>
        </w:rPr>
        <w:t>。</w:t>
      </w:r>
    </w:p>
    <w:p w14:paraId="5260BACB">
      <w:pPr>
        <w:numPr>
          <w:ilvl w:val="0"/>
          <w:numId w:val="0"/>
        </w:numPr>
        <w:kinsoku/>
        <w:snapToGrid/>
        <w:spacing w:line="360" w:lineRule="auto"/>
        <w:jc w:val="both"/>
        <w:textAlignment w:val="auto"/>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cs="宋体"/>
          <w:b w:val="0"/>
          <w:bCs w:val="0"/>
          <w:caps w:val="0"/>
          <w:color w:val="000000"/>
          <w:kern w:val="0"/>
          <w:sz w:val="21"/>
          <w:szCs w:val="21"/>
          <w:highlight w:val="none"/>
          <w:vertAlign w:val="baseline"/>
          <w:lang w:val="en-US" w:eastAsia="zh-CN" w:bidi="ar"/>
        </w:rPr>
        <w:t>5</w:t>
      </w:r>
      <w:r>
        <w:rPr>
          <w:rFonts w:hint="eastAsia" w:ascii="宋体" w:hAnsi="宋体" w:eastAsia="宋体" w:cs="宋体"/>
          <w:b w:val="0"/>
          <w:bCs w:val="0"/>
          <w:caps w:val="0"/>
          <w:color w:val="000000"/>
          <w:kern w:val="0"/>
          <w:sz w:val="21"/>
          <w:szCs w:val="21"/>
          <w:highlight w:val="none"/>
          <w:vertAlign w:val="baseline"/>
          <w:lang w:val="en-US" w:eastAsia="zh-CN" w:bidi="ar"/>
        </w:rPr>
        <w:t>、合同履行期限：自签订合同之日起两年。</w:t>
      </w:r>
    </w:p>
    <w:p w14:paraId="4EEC54A1">
      <w:pPr>
        <w:numPr>
          <w:ilvl w:val="0"/>
          <w:numId w:val="0"/>
        </w:numPr>
        <w:kinsoku/>
        <w:snapToGrid/>
        <w:spacing w:line="360" w:lineRule="auto"/>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6、</w:t>
      </w:r>
      <w:r>
        <w:rPr>
          <w:rFonts w:hint="eastAsia" w:ascii="宋体" w:hAnsi="宋体" w:eastAsia="宋体" w:cs="宋体"/>
          <w:sz w:val="21"/>
          <w:szCs w:val="21"/>
          <w:highlight w:val="none"/>
          <w:lang w:val="en-US" w:eastAsia="zh-CN"/>
        </w:rPr>
        <w:t>质量及验收标准</w:t>
      </w:r>
      <w:r>
        <w:rPr>
          <w:rFonts w:hint="eastAsia" w:ascii="宋体" w:hAnsi="宋体" w:eastAsia="宋体" w:cs="宋体"/>
          <w:sz w:val="21"/>
          <w:szCs w:val="21"/>
          <w:highlight w:val="none"/>
          <w:lang w:val="en-US" w:eastAsia="zh-CN"/>
        </w:rPr>
        <w:t>：</w:t>
      </w:r>
      <w:r>
        <w:rPr>
          <w:rFonts w:hint="eastAsia" w:ascii="宋体" w:hAnsi="宋体" w:eastAsia="宋体" w:cs="宋体"/>
          <w:b w:val="0"/>
          <w:bCs w:val="0"/>
          <w:caps w:val="0"/>
          <w:color w:val="000000"/>
          <w:kern w:val="0"/>
          <w:sz w:val="21"/>
          <w:szCs w:val="21"/>
          <w:highlight w:val="none"/>
          <w:vertAlign w:val="baseline"/>
          <w:lang w:val="en-US" w:eastAsia="zh-CN" w:bidi="ar"/>
        </w:rPr>
        <w:t>符合国家、地方及行业环保要求</w:t>
      </w:r>
      <w:r>
        <w:rPr>
          <w:rFonts w:hint="eastAsia" w:ascii="宋体" w:hAnsi="宋体" w:eastAsia="宋体" w:cs="宋体"/>
          <w:color w:val="auto"/>
          <w:sz w:val="21"/>
          <w:szCs w:val="21"/>
          <w:highlight w:val="none"/>
          <w:u w:val="none"/>
          <w:lang w:val="en-US" w:eastAsia="zh-CN"/>
        </w:rPr>
        <w:t>。</w:t>
      </w:r>
    </w:p>
    <w:p w14:paraId="236B8E3B">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b w:val="0"/>
          <w:bCs/>
          <w:kern w:val="2"/>
          <w:sz w:val="21"/>
          <w:szCs w:val="21"/>
          <w:highlight w:val="none"/>
          <w:lang w:val="en-US" w:eastAsia="zh-CN"/>
        </w:rPr>
        <w:t>7、</w:t>
      </w:r>
      <w:r>
        <w:rPr>
          <w:rFonts w:hint="eastAsia" w:ascii="宋体" w:hAnsi="宋体" w:eastAsia="宋体" w:cs="宋体"/>
          <w:color w:val="000000"/>
          <w:kern w:val="0"/>
          <w:sz w:val="21"/>
          <w:szCs w:val="21"/>
          <w:highlight w:val="none"/>
          <w:lang w:val="en-US" w:eastAsia="zh-CN" w:bidi="ar"/>
        </w:rPr>
        <w:t>污泥无害化处理过程和结果需满足如下标准，但不限于如下标准：</w:t>
      </w:r>
    </w:p>
    <w:p w14:paraId="2651D578">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GB3838地表水环境质量标准 </w:t>
      </w:r>
    </w:p>
    <w:p w14:paraId="5F5FB917">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GB3097海水水质标准 </w:t>
      </w:r>
    </w:p>
    <w:p w14:paraId="0576E7D7">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GB3095环境空气质量标准 </w:t>
      </w:r>
    </w:p>
    <w:p w14:paraId="482982AB">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GB4284农用污泥中污染物控制标准 </w:t>
      </w:r>
    </w:p>
    <w:p w14:paraId="2367F817">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GB8978污水综合排放标准 </w:t>
      </w:r>
    </w:p>
    <w:p w14:paraId="70292438">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GB12348工业企业厂界噪声标准 </w:t>
      </w:r>
    </w:p>
    <w:p w14:paraId="6D2961F9">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GB16297大气污染物综合排放标准 </w:t>
      </w:r>
    </w:p>
    <w:p w14:paraId="6A7D348C">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HJ/T55大气污染物无组织排放监测技术导则 </w:t>
      </w:r>
    </w:p>
    <w:p w14:paraId="0D525B6E">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CJ/T510《城镇污水处理厂污泥处理稳定标准》 </w:t>
      </w:r>
    </w:p>
    <w:p w14:paraId="13A4D7B8">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GB18599《一般工业固体废物贮存和填埋污染控制标准》 </w:t>
      </w:r>
    </w:p>
    <w:p w14:paraId="784252B0">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GB18484《危险废物焚烧污染控制标准》</w:t>
      </w:r>
    </w:p>
    <w:p w14:paraId="21CDC2BD">
      <w:pPr>
        <w:numPr>
          <w:ilvl w:val="0"/>
          <w:numId w:val="0"/>
        </w:numPr>
        <w:kinsoku/>
        <w:snapToGrid/>
        <w:spacing w:line="360" w:lineRule="auto"/>
        <w:ind w:firstLine="420" w:firstLineChars="200"/>
        <w:jc w:val="both"/>
        <w:textAlignment w:val="auto"/>
        <w:rPr>
          <w:rFonts w:hint="default" w:ascii="宋体" w:hAnsi="宋体" w:eastAsia="宋体" w:cs="宋体"/>
          <w:b w:val="0"/>
          <w:bCs/>
          <w:kern w:val="2"/>
          <w:sz w:val="21"/>
          <w:szCs w:val="21"/>
          <w:highlight w:val="none"/>
          <w:lang w:val="en-US" w:eastAsia="zh-CN"/>
        </w:rPr>
      </w:pPr>
      <w:r>
        <w:rPr>
          <w:rFonts w:hint="default" w:ascii="宋体" w:hAnsi="宋体" w:eastAsia="宋体" w:cs="宋体"/>
          <w:b w:val="0"/>
          <w:bCs/>
          <w:kern w:val="2"/>
          <w:sz w:val="21"/>
          <w:szCs w:val="21"/>
          <w:highlight w:val="none"/>
          <w:lang w:val="en-US" w:eastAsia="zh-CN"/>
        </w:rPr>
        <w:t>当上述标准被修订时，应使用最新版本。且污泥处置过程及处置之结果也应符合符合国家、地方及行业生态环保要求。</w:t>
      </w:r>
    </w:p>
    <w:p w14:paraId="5A6C0E37">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272FA7BC">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53753AA4">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5921CAAA">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53534BE9">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638EA770">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682824B4">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6ADB278D">
      <w:pPr>
        <w:numPr>
          <w:ilvl w:val="0"/>
          <w:numId w:val="0"/>
        </w:numPr>
        <w:kinsoku/>
        <w:snapToGrid/>
        <w:spacing w:line="400" w:lineRule="exact"/>
        <w:jc w:val="both"/>
        <w:textAlignment w:val="auto"/>
        <w:rPr>
          <w:rFonts w:hint="default" w:ascii="宋体" w:hAnsi="宋体" w:eastAsia="宋体" w:cs="宋体"/>
          <w:b w:val="0"/>
          <w:bCs/>
          <w:kern w:val="2"/>
          <w:sz w:val="21"/>
          <w:szCs w:val="21"/>
          <w:highlight w:val="none"/>
          <w:lang w:val="en-US" w:eastAsia="zh-CN"/>
        </w:rPr>
      </w:pPr>
    </w:p>
    <w:p w14:paraId="1E794ABF">
      <w:pPr>
        <w:numPr>
          <w:ilvl w:val="0"/>
          <w:numId w:val="8"/>
        </w:numPr>
        <w:kinsoku/>
        <w:snapToGrid/>
        <w:spacing w:line="400" w:lineRule="exact"/>
        <w:ind w:left="0" w:leftChars="0" w:firstLine="0" w:firstLineChars="0"/>
        <w:jc w:val="center"/>
        <w:textAlignment w:val="auto"/>
        <w:rPr>
          <w:rFonts w:hint="eastAsia" w:ascii="宋体" w:hAnsi="宋体" w:eastAsia="宋体" w:cs="宋体"/>
          <w:b/>
          <w:bCs w:val="0"/>
          <w:kern w:val="2"/>
          <w:sz w:val="32"/>
          <w:szCs w:val="32"/>
          <w:highlight w:val="none"/>
          <w:lang w:val="en-US" w:eastAsia="zh-CN"/>
        </w:rPr>
      </w:pPr>
      <w:r>
        <w:rPr>
          <w:rFonts w:hint="eastAsia" w:ascii="宋体" w:hAnsi="宋体" w:cs="宋体"/>
          <w:b/>
          <w:bCs w:val="0"/>
          <w:kern w:val="2"/>
          <w:sz w:val="32"/>
          <w:szCs w:val="32"/>
          <w:highlight w:val="none"/>
          <w:lang w:val="en-US" w:eastAsia="zh-CN"/>
        </w:rPr>
        <w:t>响应文件</w:t>
      </w:r>
      <w:r>
        <w:rPr>
          <w:rFonts w:hint="eastAsia" w:ascii="宋体" w:hAnsi="宋体" w:eastAsia="宋体" w:cs="宋体"/>
          <w:b/>
          <w:bCs w:val="0"/>
          <w:kern w:val="2"/>
          <w:sz w:val="32"/>
          <w:szCs w:val="32"/>
          <w:highlight w:val="none"/>
          <w:lang w:val="en-US" w:eastAsia="zh-CN"/>
        </w:rPr>
        <w:t>格式</w:t>
      </w:r>
    </w:p>
    <w:p w14:paraId="462E0732">
      <w:pPr>
        <w:numPr>
          <w:ilvl w:val="0"/>
          <w:numId w:val="0"/>
        </w:numPr>
        <w:kinsoku/>
        <w:snapToGrid/>
        <w:spacing w:line="400" w:lineRule="exact"/>
        <w:ind w:leftChars="0"/>
        <w:jc w:val="both"/>
        <w:textAlignment w:val="auto"/>
        <w:rPr>
          <w:rFonts w:hint="default" w:ascii="宋体" w:hAnsi="宋体" w:eastAsia="宋体" w:cs="宋体"/>
          <w:b w:val="0"/>
          <w:bCs/>
          <w:kern w:val="2"/>
          <w:sz w:val="21"/>
          <w:szCs w:val="21"/>
          <w:highlight w:val="none"/>
          <w:lang w:val="en-US" w:eastAsia="zh-CN"/>
        </w:rPr>
      </w:pPr>
    </w:p>
    <w:p w14:paraId="5C98637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p>
    <w:p w14:paraId="7FCF6CDE">
      <w:pPr>
        <w:pStyle w:val="14"/>
        <w:spacing w:line="700" w:lineRule="exact"/>
        <w:ind w:firstLine="1251" w:firstLineChars="445"/>
        <w:rPr>
          <w:rFonts w:hint="eastAsia" w:ascii="宋体" w:hAnsi="宋体"/>
          <w:b/>
          <w:color w:val="auto"/>
          <w:sz w:val="28"/>
          <w:szCs w:val="28"/>
          <w:highlight w:val="none"/>
          <w:u w:val="single"/>
        </w:rPr>
      </w:pPr>
    </w:p>
    <w:p w14:paraId="57909C11">
      <w:pPr>
        <w:pStyle w:val="14"/>
        <w:spacing w:line="700" w:lineRule="exact"/>
        <w:ind w:firstLine="1251" w:firstLineChars="445"/>
        <w:rPr>
          <w:rFonts w:hint="eastAsia" w:ascii="宋体" w:hAnsi="宋体"/>
          <w:b/>
          <w:color w:val="auto"/>
          <w:sz w:val="28"/>
          <w:szCs w:val="28"/>
          <w:highlight w:val="none"/>
          <w:u w:val="single"/>
        </w:rPr>
      </w:pPr>
    </w:p>
    <w:p w14:paraId="4AF83966">
      <w:pPr>
        <w:pStyle w:val="14"/>
        <w:spacing w:line="700" w:lineRule="exact"/>
        <w:ind w:firstLine="1251" w:firstLineChars="445"/>
        <w:rPr>
          <w:rFonts w:hint="eastAsia" w:ascii="宋体" w:hAnsi="宋体"/>
          <w:b/>
          <w:color w:val="auto"/>
          <w:sz w:val="28"/>
          <w:szCs w:val="28"/>
          <w:highlight w:val="none"/>
          <w:u w:val="single"/>
        </w:rPr>
      </w:pPr>
    </w:p>
    <w:p w14:paraId="484CAED0">
      <w:pPr>
        <w:pStyle w:val="14"/>
        <w:spacing w:line="700" w:lineRule="exact"/>
        <w:ind w:firstLine="1251" w:firstLineChars="445"/>
        <w:rPr>
          <w:rFonts w:hint="eastAsia" w:ascii="宋体" w:hAnsi="宋体"/>
          <w:b/>
          <w:color w:val="auto"/>
          <w:sz w:val="28"/>
          <w:szCs w:val="28"/>
          <w:highlight w:val="none"/>
          <w:u w:val="single"/>
        </w:rPr>
      </w:pPr>
    </w:p>
    <w:p w14:paraId="2C386C04">
      <w:pPr>
        <w:pStyle w:val="14"/>
        <w:spacing w:line="700" w:lineRule="exact"/>
        <w:ind w:firstLine="1251" w:firstLineChars="445"/>
        <w:rPr>
          <w:rFonts w:hint="eastAsia" w:ascii="宋体" w:hAnsi="宋体"/>
          <w:b/>
          <w:color w:val="auto"/>
          <w:sz w:val="28"/>
          <w:szCs w:val="28"/>
          <w:highlight w:val="none"/>
          <w:u w:val="single"/>
        </w:rPr>
      </w:pPr>
    </w:p>
    <w:p w14:paraId="4E441DE6">
      <w:pPr>
        <w:pStyle w:val="14"/>
        <w:spacing w:line="700" w:lineRule="exact"/>
        <w:ind w:firstLine="1251" w:firstLineChars="445"/>
        <w:rPr>
          <w:rFonts w:hint="eastAsia" w:ascii="宋体" w:hAnsi="宋体"/>
          <w:b/>
          <w:color w:val="auto"/>
          <w:sz w:val="28"/>
          <w:szCs w:val="28"/>
          <w:highlight w:val="none"/>
          <w:u w:val="single"/>
        </w:rPr>
      </w:pPr>
    </w:p>
    <w:p w14:paraId="39A40BDE">
      <w:pPr>
        <w:pStyle w:val="14"/>
        <w:spacing w:line="700" w:lineRule="exact"/>
        <w:ind w:firstLine="1251" w:firstLineChars="445"/>
        <w:rPr>
          <w:rFonts w:hint="eastAsia" w:ascii="宋体" w:hAnsi="宋体"/>
          <w:b/>
          <w:color w:val="auto"/>
          <w:sz w:val="28"/>
          <w:szCs w:val="28"/>
          <w:highlight w:val="none"/>
          <w:u w:val="single"/>
        </w:rPr>
      </w:pPr>
    </w:p>
    <w:p w14:paraId="1B994E69">
      <w:pPr>
        <w:pStyle w:val="14"/>
        <w:spacing w:line="700" w:lineRule="exact"/>
        <w:ind w:firstLine="1251" w:firstLineChars="445"/>
        <w:rPr>
          <w:rFonts w:hint="eastAsia" w:ascii="宋体" w:hAnsi="宋体"/>
          <w:b/>
          <w:color w:val="auto"/>
          <w:sz w:val="28"/>
          <w:szCs w:val="28"/>
          <w:highlight w:val="none"/>
          <w:u w:val="single"/>
        </w:rPr>
      </w:pPr>
    </w:p>
    <w:p w14:paraId="3FBFD529">
      <w:pPr>
        <w:pStyle w:val="14"/>
        <w:spacing w:line="700" w:lineRule="exact"/>
        <w:ind w:firstLine="1251" w:firstLineChars="445"/>
        <w:rPr>
          <w:rFonts w:hint="eastAsia" w:ascii="宋体" w:hAnsi="宋体"/>
          <w:b/>
          <w:color w:val="auto"/>
          <w:sz w:val="28"/>
          <w:szCs w:val="28"/>
          <w:highlight w:val="none"/>
          <w:u w:val="single"/>
        </w:rPr>
      </w:pPr>
    </w:p>
    <w:p w14:paraId="2BF5D364">
      <w:pPr>
        <w:pStyle w:val="14"/>
        <w:spacing w:line="700" w:lineRule="exact"/>
        <w:ind w:firstLine="1251" w:firstLineChars="445"/>
        <w:rPr>
          <w:rFonts w:hint="eastAsia" w:ascii="宋体" w:hAnsi="宋体"/>
          <w:b/>
          <w:color w:val="auto"/>
          <w:sz w:val="28"/>
          <w:szCs w:val="28"/>
          <w:highlight w:val="none"/>
          <w:u w:val="single"/>
        </w:rPr>
      </w:pPr>
    </w:p>
    <w:p w14:paraId="27C26ED1">
      <w:pPr>
        <w:pStyle w:val="14"/>
        <w:spacing w:line="700" w:lineRule="exact"/>
        <w:ind w:firstLine="1251" w:firstLineChars="445"/>
        <w:rPr>
          <w:rFonts w:hint="eastAsia" w:ascii="宋体" w:hAnsi="宋体"/>
          <w:b/>
          <w:color w:val="auto"/>
          <w:sz w:val="28"/>
          <w:szCs w:val="28"/>
          <w:highlight w:val="none"/>
          <w:u w:val="single"/>
        </w:rPr>
      </w:pPr>
    </w:p>
    <w:p w14:paraId="07A1D568">
      <w:pPr>
        <w:pStyle w:val="14"/>
        <w:spacing w:line="700" w:lineRule="exact"/>
        <w:ind w:firstLine="1251" w:firstLineChars="445"/>
        <w:rPr>
          <w:rFonts w:hint="eastAsia" w:ascii="宋体" w:hAnsi="宋体"/>
          <w:b/>
          <w:color w:val="auto"/>
          <w:sz w:val="28"/>
          <w:szCs w:val="28"/>
          <w:highlight w:val="none"/>
          <w:u w:val="single"/>
        </w:rPr>
      </w:pPr>
    </w:p>
    <w:p w14:paraId="5946558E">
      <w:pPr>
        <w:pStyle w:val="14"/>
        <w:spacing w:line="700" w:lineRule="exact"/>
        <w:ind w:firstLine="1251" w:firstLineChars="445"/>
        <w:rPr>
          <w:rFonts w:hint="eastAsia" w:ascii="宋体" w:hAnsi="宋体"/>
          <w:b/>
          <w:color w:val="auto"/>
          <w:sz w:val="28"/>
          <w:szCs w:val="28"/>
          <w:highlight w:val="none"/>
          <w:u w:val="single"/>
        </w:rPr>
      </w:pPr>
    </w:p>
    <w:p w14:paraId="3C0030AF">
      <w:pPr>
        <w:spacing w:line="440" w:lineRule="exact"/>
        <w:jc w:val="right"/>
        <w:rPr>
          <w:rFonts w:hint="eastAsia" w:ascii="宋体" w:hAnsi="宋体"/>
          <w:b/>
          <w:color w:val="auto"/>
          <w:sz w:val="28"/>
          <w:szCs w:val="28"/>
          <w:highlight w:val="none"/>
          <w:u w:val="none"/>
        </w:rPr>
      </w:pPr>
    </w:p>
    <w:p w14:paraId="14E82FA3">
      <w:pPr>
        <w:spacing w:line="440" w:lineRule="exact"/>
        <w:jc w:val="right"/>
        <w:rPr>
          <w:rFonts w:hint="eastAsia" w:ascii="宋体" w:hAnsi="宋体"/>
          <w:b/>
          <w:color w:val="auto"/>
          <w:sz w:val="28"/>
          <w:szCs w:val="28"/>
          <w:highlight w:val="none"/>
          <w:u w:val="single"/>
        </w:rPr>
      </w:pPr>
    </w:p>
    <w:p w14:paraId="46EB0558">
      <w:pPr>
        <w:spacing w:line="440" w:lineRule="exact"/>
        <w:jc w:val="center"/>
        <w:rPr>
          <w:rFonts w:hint="eastAsia" w:ascii="宋体" w:hAnsi="宋体"/>
          <w:b/>
          <w:color w:val="auto"/>
          <w:sz w:val="28"/>
          <w:szCs w:val="28"/>
          <w:highlight w:val="none"/>
          <w:u w:val="single"/>
        </w:rPr>
      </w:pPr>
    </w:p>
    <w:p w14:paraId="303EA947">
      <w:pPr>
        <w:spacing w:line="440" w:lineRule="exact"/>
        <w:jc w:val="center"/>
        <w:rPr>
          <w:rFonts w:hint="eastAsia" w:ascii="宋体" w:hAnsi="宋体"/>
          <w:b/>
          <w:color w:val="auto"/>
          <w:sz w:val="28"/>
          <w:szCs w:val="28"/>
          <w:highlight w:val="none"/>
          <w:u w:val="single"/>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single"/>
        </w:rPr>
        <w:t xml:space="preserve">      （项目名称）</w:t>
      </w:r>
    </w:p>
    <w:p w14:paraId="4138FDB7">
      <w:pPr>
        <w:spacing w:line="440" w:lineRule="exact"/>
        <w:jc w:val="center"/>
        <w:rPr>
          <w:rFonts w:hint="eastAsia" w:ascii="宋体" w:hAnsi="宋体"/>
          <w:b/>
          <w:color w:val="auto"/>
          <w:sz w:val="28"/>
          <w:szCs w:val="28"/>
          <w:highlight w:val="none"/>
          <w:u w:val="single"/>
        </w:rPr>
      </w:pPr>
    </w:p>
    <w:p w14:paraId="280E060D">
      <w:pPr>
        <w:spacing w:line="440" w:lineRule="exact"/>
        <w:jc w:val="center"/>
        <w:rPr>
          <w:rFonts w:hint="eastAsia" w:ascii="宋体" w:hAnsi="宋体"/>
          <w:b/>
          <w:color w:val="auto"/>
          <w:sz w:val="28"/>
          <w:szCs w:val="28"/>
          <w:highlight w:val="none"/>
          <w:u w:val="single"/>
        </w:rPr>
      </w:pPr>
    </w:p>
    <w:p w14:paraId="5E90C21A">
      <w:pPr>
        <w:spacing w:line="440" w:lineRule="exact"/>
        <w:jc w:val="center"/>
        <w:rPr>
          <w:rFonts w:hint="eastAsia" w:ascii="宋体" w:hAnsi="宋体"/>
          <w:b/>
          <w:color w:val="auto"/>
          <w:sz w:val="28"/>
          <w:szCs w:val="28"/>
          <w:highlight w:val="none"/>
          <w:u w:val="single"/>
        </w:rPr>
      </w:pPr>
    </w:p>
    <w:p w14:paraId="02DAA93A">
      <w:pPr>
        <w:spacing w:line="440" w:lineRule="exact"/>
        <w:jc w:val="center"/>
        <w:rPr>
          <w:rFonts w:hint="eastAsia" w:ascii="宋体" w:hAnsi="宋体"/>
          <w:b/>
          <w:color w:val="auto"/>
          <w:sz w:val="28"/>
          <w:szCs w:val="28"/>
          <w:highlight w:val="none"/>
          <w:u w:val="single"/>
        </w:rPr>
      </w:pPr>
    </w:p>
    <w:p w14:paraId="1D1A7641">
      <w:pPr>
        <w:spacing w:line="440" w:lineRule="exact"/>
        <w:jc w:val="center"/>
        <w:rPr>
          <w:rFonts w:hint="eastAsia" w:ascii="宋体" w:hAnsi="宋体"/>
          <w:b/>
          <w:color w:val="auto"/>
          <w:sz w:val="28"/>
          <w:szCs w:val="28"/>
          <w:highlight w:val="none"/>
          <w:u w:val="single"/>
        </w:rPr>
      </w:pPr>
    </w:p>
    <w:p w14:paraId="27C902C6">
      <w:pPr>
        <w:spacing w:line="440" w:lineRule="exact"/>
        <w:jc w:val="center"/>
        <w:rPr>
          <w:rFonts w:hint="eastAsia" w:ascii="宋体" w:hAnsi="宋体"/>
          <w:b/>
          <w:color w:val="auto"/>
          <w:sz w:val="28"/>
          <w:szCs w:val="28"/>
          <w:highlight w:val="none"/>
          <w:u w:val="single"/>
        </w:rPr>
      </w:pPr>
    </w:p>
    <w:p w14:paraId="33D357CF">
      <w:pPr>
        <w:spacing w:line="360" w:lineRule="auto"/>
        <w:jc w:val="center"/>
        <w:rPr>
          <w:rFonts w:hint="eastAsia" w:ascii="宋体" w:hAnsi="宋体"/>
          <w:b/>
          <w:color w:val="auto"/>
          <w:sz w:val="28"/>
          <w:szCs w:val="28"/>
          <w:highlight w:val="none"/>
          <w:u w:val="single"/>
        </w:rPr>
      </w:pPr>
      <w:r>
        <w:rPr>
          <w:rFonts w:hint="eastAsia" w:ascii="宋体" w:hAnsi="宋体"/>
          <w:b/>
          <w:color w:val="auto"/>
          <w:sz w:val="52"/>
          <w:szCs w:val="52"/>
          <w:highlight w:val="none"/>
          <w:u w:val="none"/>
          <w:lang w:val="en-US" w:eastAsia="zh-CN"/>
        </w:rPr>
        <w:t>响</w:t>
      </w:r>
      <w:r>
        <w:rPr>
          <w:rFonts w:hint="eastAsia" w:ascii="宋体" w:hAnsi="宋体"/>
          <w:b/>
          <w:color w:val="auto"/>
          <w:sz w:val="52"/>
          <w:szCs w:val="52"/>
          <w:highlight w:val="none"/>
          <w:u w:val="none"/>
        </w:rPr>
        <w:t xml:space="preserve">  </w:t>
      </w:r>
      <w:r>
        <w:rPr>
          <w:rFonts w:hint="eastAsia" w:ascii="宋体" w:hAnsi="宋体"/>
          <w:b/>
          <w:color w:val="auto"/>
          <w:sz w:val="52"/>
          <w:szCs w:val="52"/>
          <w:highlight w:val="none"/>
          <w:u w:val="none"/>
          <w:lang w:val="en-US" w:eastAsia="zh-CN"/>
        </w:rPr>
        <w:t>应</w:t>
      </w:r>
      <w:r>
        <w:rPr>
          <w:rFonts w:hint="eastAsia" w:ascii="宋体" w:hAnsi="宋体"/>
          <w:b/>
          <w:color w:val="auto"/>
          <w:sz w:val="52"/>
          <w:szCs w:val="52"/>
          <w:highlight w:val="none"/>
          <w:u w:val="none"/>
        </w:rPr>
        <w:t xml:space="preserve">  文  件</w:t>
      </w:r>
    </w:p>
    <w:p w14:paraId="7E756C34">
      <w:pPr>
        <w:spacing w:line="440" w:lineRule="exact"/>
        <w:jc w:val="center"/>
        <w:rPr>
          <w:rFonts w:hint="eastAsia" w:ascii="宋体" w:hAnsi="宋体"/>
          <w:b/>
          <w:color w:val="auto"/>
          <w:sz w:val="28"/>
          <w:szCs w:val="28"/>
          <w:highlight w:val="none"/>
          <w:u w:val="single"/>
        </w:rPr>
      </w:pPr>
    </w:p>
    <w:p w14:paraId="4CC2A2E1">
      <w:pPr>
        <w:spacing w:line="440" w:lineRule="exact"/>
        <w:jc w:val="center"/>
        <w:rPr>
          <w:rFonts w:hint="eastAsia" w:ascii="宋体" w:hAnsi="宋体"/>
          <w:b/>
          <w:color w:val="auto"/>
          <w:sz w:val="28"/>
          <w:szCs w:val="28"/>
          <w:highlight w:val="none"/>
          <w:u w:val="none"/>
        </w:rPr>
      </w:pPr>
      <w:r>
        <w:rPr>
          <w:rFonts w:hint="eastAsia" w:ascii="宋体" w:hAnsi="宋体"/>
          <w:b/>
          <w:color w:val="auto"/>
          <w:sz w:val="28"/>
          <w:szCs w:val="28"/>
          <w:highlight w:val="none"/>
          <w:u w:val="none"/>
          <w:lang w:val="en-US" w:eastAsia="zh-CN"/>
        </w:rPr>
        <w:t>项目</w:t>
      </w:r>
      <w:r>
        <w:rPr>
          <w:rFonts w:hint="eastAsia" w:ascii="宋体" w:hAnsi="宋体"/>
          <w:b/>
          <w:color w:val="auto"/>
          <w:sz w:val="28"/>
          <w:szCs w:val="28"/>
          <w:highlight w:val="none"/>
          <w:u w:val="none"/>
        </w:rPr>
        <w:t>编号：BQZCWT2025-015</w:t>
      </w:r>
    </w:p>
    <w:p w14:paraId="497476E2">
      <w:pPr>
        <w:spacing w:line="440" w:lineRule="exact"/>
        <w:jc w:val="center"/>
        <w:rPr>
          <w:rFonts w:hint="eastAsia" w:ascii="宋体" w:hAnsi="宋体"/>
          <w:b/>
          <w:color w:val="auto"/>
          <w:sz w:val="28"/>
          <w:szCs w:val="28"/>
          <w:highlight w:val="none"/>
          <w:u w:val="single"/>
        </w:rPr>
      </w:pPr>
    </w:p>
    <w:p w14:paraId="7539C8CE">
      <w:pPr>
        <w:spacing w:line="440" w:lineRule="exact"/>
        <w:jc w:val="center"/>
        <w:rPr>
          <w:rFonts w:hint="eastAsia" w:ascii="宋体" w:hAnsi="宋体"/>
          <w:b/>
          <w:color w:val="auto"/>
          <w:sz w:val="28"/>
          <w:szCs w:val="28"/>
          <w:highlight w:val="none"/>
          <w:u w:val="single"/>
        </w:rPr>
      </w:pPr>
    </w:p>
    <w:p w14:paraId="4A8E45A1">
      <w:pPr>
        <w:spacing w:line="440" w:lineRule="exact"/>
        <w:jc w:val="center"/>
        <w:rPr>
          <w:rFonts w:hint="eastAsia" w:ascii="宋体" w:hAnsi="宋体"/>
          <w:b/>
          <w:color w:val="auto"/>
          <w:sz w:val="28"/>
          <w:szCs w:val="28"/>
          <w:highlight w:val="none"/>
          <w:u w:val="single"/>
        </w:rPr>
      </w:pPr>
    </w:p>
    <w:p w14:paraId="0F81ABDD">
      <w:pPr>
        <w:spacing w:line="440" w:lineRule="exact"/>
        <w:jc w:val="center"/>
        <w:rPr>
          <w:rFonts w:hint="eastAsia" w:ascii="宋体" w:hAnsi="宋体"/>
          <w:b/>
          <w:color w:val="auto"/>
          <w:sz w:val="28"/>
          <w:szCs w:val="28"/>
          <w:highlight w:val="none"/>
          <w:u w:val="single"/>
        </w:rPr>
      </w:pPr>
    </w:p>
    <w:p w14:paraId="12418F51">
      <w:pPr>
        <w:spacing w:line="440" w:lineRule="exact"/>
        <w:jc w:val="center"/>
        <w:rPr>
          <w:rFonts w:hint="eastAsia" w:ascii="宋体" w:hAnsi="宋体"/>
          <w:b/>
          <w:color w:val="auto"/>
          <w:sz w:val="28"/>
          <w:szCs w:val="28"/>
          <w:highlight w:val="none"/>
          <w:u w:val="single"/>
        </w:rPr>
      </w:pPr>
    </w:p>
    <w:p w14:paraId="13ABE0DC">
      <w:pPr>
        <w:spacing w:line="440" w:lineRule="exact"/>
        <w:jc w:val="center"/>
        <w:rPr>
          <w:rFonts w:hint="eastAsia" w:ascii="宋体" w:hAnsi="宋体"/>
          <w:b/>
          <w:color w:val="auto"/>
          <w:sz w:val="28"/>
          <w:szCs w:val="28"/>
          <w:highlight w:val="none"/>
          <w:u w:val="single"/>
        </w:rPr>
      </w:pPr>
    </w:p>
    <w:p w14:paraId="287FBEDF">
      <w:pPr>
        <w:spacing w:line="440" w:lineRule="exact"/>
        <w:jc w:val="center"/>
        <w:rPr>
          <w:rFonts w:hint="eastAsia" w:ascii="宋体" w:hAnsi="宋体"/>
          <w:b/>
          <w:color w:val="auto"/>
          <w:sz w:val="28"/>
          <w:szCs w:val="28"/>
          <w:highlight w:val="none"/>
          <w:u w:val="single"/>
        </w:rPr>
      </w:pPr>
    </w:p>
    <w:p w14:paraId="094A9411">
      <w:pPr>
        <w:spacing w:line="360" w:lineRule="auto"/>
        <w:jc w:val="both"/>
        <w:rPr>
          <w:rFonts w:hint="eastAsia" w:ascii="宋体" w:hAnsi="宋体"/>
          <w:b/>
          <w:color w:val="auto"/>
          <w:sz w:val="28"/>
          <w:szCs w:val="28"/>
          <w:highlight w:val="none"/>
          <w:u w:val="single"/>
          <w:lang w:val="en-US" w:eastAsia="zh-CN"/>
        </w:rPr>
      </w:pPr>
    </w:p>
    <w:p w14:paraId="2C7F2B43">
      <w:pPr>
        <w:spacing w:line="360" w:lineRule="auto"/>
        <w:jc w:val="both"/>
        <w:rPr>
          <w:rFonts w:hint="eastAsia" w:ascii="宋体" w:hAnsi="宋体"/>
          <w:b/>
          <w:color w:val="auto"/>
          <w:sz w:val="28"/>
          <w:szCs w:val="28"/>
          <w:highlight w:val="none"/>
          <w:u w:val="single"/>
          <w:lang w:val="en-US" w:eastAsia="zh-CN"/>
        </w:rPr>
      </w:pPr>
    </w:p>
    <w:p w14:paraId="1ED38B6C">
      <w:pPr>
        <w:spacing w:line="360" w:lineRule="auto"/>
        <w:jc w:val="both"/>
        <w:rPr>
          <w:rFonts w:hint="eastAsia" w:ascii="宋体" w:hAnsi="宋体"/>
          <w:b/>
          <w:color w:val="auto"/>
          <w:sz w:val="28"/>
          <w:szCs w:val="28"/>
          <w:highlight w:val="none"/>
          <w:u w:val="single"/>
        </w:rPr>
      </w:pPr>
      <w:r>
        <w:rPr>
          <w:rFonts w:hint="eastAsia" w:ascii="宋体" w:hAnsi="宋体"/>
          <w:b/>
          <w:color w:val="auto"/>
          <w:sz w:val="28"/>
          <w:szCs w:val="28"/>
          <w:highlight w:val="none"/>
          <w:u w:val="none"/>
          <w:lang w:val="en-US" w:eastAsia="zh-CN"/>
        </w:rPr>
        <w:t>供应商</w:t>
      </w:r>
      <w:r>
        <w:rPr>
          <w:rFonts w:hint="eastAsia" w:ascii="宋体" w:hAnsi="宋体"/>
          <w:b/>
          <w:color w:val="auto"/>
          <w:sz w:val="28"/>
          <w:szCs w:val="28"/>
          <w:highlight w:val="none"/>
          <w:u w:val="none"/>
        </w:rPr>
        <w:t>：</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single"/>
        </w:rPr>
        <w:t xml:space="preserve">  （盖单位章）</w:t>
      </w:r>
    </w:p>
    <w:p w14:paraId="1EE8CF42">
      <w:pPr>
        <w:spacing w:line="360" w:lineRule="auto"/>
        <w:jc w:val="both"/>
        <w:rPr>
          <w:rFonts w:hint="eastAsia" w:ascii="宋体" w:hAnsi="宋体"/>
          <w:b/>
          <w:color w:val="auto"/>
          <w:sz w:val="28"/>
          <w:szCs w:val="28"/>
          <w:highlight w:val="none"/>
          <w:u w:val="single"/>
        </w:rPr>
      </w:pPr>
      <w:r>
        <w:rPr>
          <w:rFonts w:hint="eastAsia" w:ascii="宋体" w:hAnsi="宋体"/>
          <w:b/>
          <w:color w:val="auto"/>
          <w:sz w:val="28"/>
          <w:szCs w:val="28"/>
          <w:highlight w:val="none"/>
          <w:u w:val="none"/>
        </w:rPr>
        <w:t>法定代表人或其委托代理人：</w:t>
      </w:r>
      <w:r>
        <w:rPr>
          <w:rFonts w:hint="eastAsia" w:ascii="宋体" w:hAnsi="宋体"/>
          <w:b/>
          <w:color w:val="auto"/>
          <w:sz w:val="28"/>
          <w:szCs w:val="28"/>
          <w:highlight w:val="none"/>
          <w:u w:val="single"/>
        </w:rPr>
        <w:t xml:space="preserve">                （签字</w:t>
      </w:r>
      <w:r>
        <w:rPr>
          <w:rFonts w:hint="eastAsia" w:ascii="宋体" w:hAnsi="宋体"/>
          <w:b/>
          <w:color w:val="auto"/>
          <w:sz w:val="28"/>
          <w:szCs w:val="28"/>
          <w:highlight w:val="none"/>
          <w:u w:val="single"/>
          <w:lang w:val="en-US" w:eastAsia="zh-CN"/>
        </w:rPr>
        <w:t>或盖章</w:t>
      </w:r>
      <w:r>
        <w:rPr>
          <w:rFonts w:hint="eastAsia" w:ascii="宋体" w:hAnsi="宋体"/>
          <w:b/>
          <w:color w:val="auto"/>
          <w:sz w:val="28"/>
          <w:szCs w:val="28"/>
          <w:highlight w:val="none"/>
          <w:u w:val="single"/>
        </w:rPr>
        <w:t>）</w:t>
      </w:r>
    </w:p>
    <w:p w14:paraId="55E575F3">
      <w:pPr>
        <w:spacing w:line="360" w:lineRule="auto"/>
        <w:jc w:val="center"/>
        <w:rPr>
          <w:rFonts w:hint="eastAsia" w:ascii="宋体" w:hAnsi="宋体"/>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none"/>
        </w:rPr>
        <w:t>日</w:t>
      </w:r>
    </w:p>
    <w:p w14:paraId="267D6853">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s="楷体"/>
          <w:color w:val="auto"/>
          <w:szCs w:val="21"/>
          <w:highlight w:val="none"/>
          <w:lang w:val="en-US" w:eastAsia="zh-CN"/>
        </w:rPr>
      </w:pPr>
    </w:p>
    <w:p w14:paraId="0D1DED8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lang w:val="en-US" w:eastAsia="zh-CN"/>
        </w:rPr>
      </w:pPr>
    </w:p>
    <w:p w14:paraId="354DA38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lang w:val="en-US" w:eastAsia="zh-CN"/>
        </w:rPr>
      </w:pPr>
    </w:p>
    <w:p w14:paraId="75542FD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lang w:val="en-US" w:eastAsia="zh-CN"/>
        </w:rPr>
      </w:pPr>
    </w:p>
    <w:p w14:paraId="5EF323E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宋体" w:hAnsi="宋体"/>
          <w:color w:val="auto"/>
          <w:sz w:val="24"/>
          <w:highlight w:val="none"/>
        </w:rPr>
      </w:pPr>
    </w:p>
    <w:p w14:paraId="5A50E8A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宋体" w:hAnsi="宋体" w:cs="楷体"/>
          <w:color w:val="auto"/>
          <w:szCs w:val="21"/>
          <w:highlight w:val="none"/>
          <w:lang w:val="en-US" w:eastAsia="zh-CN"/>
        </w:rPr>
      </w:pPr>
      <w:r>
        <w:rPr>
          <w:rFonts w:hint="eastAsia" w:ascii="宋体" w:hAnsi="宋体"/>
          <w:color w:val="auto"/>
          <w:sz w:val="24"/>
          <w:highlight w:val="none"/>
        </w:rPr>
        <w:t>目   录</w:t>
      </w:r>
    </w:p>
    <w:p w14:paraId="6CE3A697">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s="楷体"/>
          <w:color w:val="auto"/>
          <w:szCs w:val="21"/>
          <w:highlight w:val="none"/>
          <w:lang w:val="en-US" w:eastAsia="zh-CN"/>
        </w:rPr>
      </w:pPr>
    </w:p>
    <w:p w14:paraId="0917F6D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lang w:val="en-US" w:eastAsia="zh-CN"/>
        </w:rPr>
      </w:pPr>
    </w:p>
    <w:p w14:paraId="424CB3C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lang w:val="en-US" w:eastAsia="zh-CN"/>
        </w:rPr>
        <w:t>一、</w:t>
      </w:r>
      <w:r>
        <w:rPr>
          <w:rFonts w:hint="eastAsia" w:ascii="宋体" w:hAnsi="宋体" w:cs="楷体"/>
          <w:color w:val="auto"/>
          <w:szCs w:val="21"/>
          <w:highlight w:val="none"/>
        </w:rPr>
        <w:t>投标函</w:t>
      </w:r>
    </w:p>
    <w:p w14:paraId="31F71FD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lang w:val="en-US" w:eastAsia="zh-CN"/>
        </w:rPr>
        <w:t>二、</w:t>
      </w:r>
      <w:r>
        <w:rPr>
          <w:rFonts w:hint="eastAsia" w:ascii="宋体" w:hAnsi="宋体" w:cs="楷体"/>
          <w:color w:val="auto"/>
          <w:szCs w:val="21"/>
          <w:highlight w:val="none"/>
        </w:rPr>
        <w:t>法定代表人身份证明</w:t>
      </w:r>
    </w:p>
    <w:p w14:paraId="3487A96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lang w:val="en-US" w:eastAsia="zh-CN"/>
        </w:rPr>
        <w:t>三、</w:t>
      </w:r>
      <w:r>
        <w:rPr>
          <w:rFonts w:hint="eastAsia" w:ascii="宋体" w:hAnsi="宋体" w:cs="楷体"/>
          <w:color w:val="auto"/>
          <w:szCs w:val="21"/>
          <w:highlight w:val="none"/>
        </w:rPr>
        <w:t>授权委托书</w:t>
      </w:r>
    </w:p>
    <w:p w14:paraId="5A692D5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lang w:val="en-US" w:eastAsia="zh-CN"/>
        </w:rPr>
        <w:t>四、</w:t>
      </w:r>
      <w:r>
        <w:rPr>
          <w:rFonts w:hint="eastAsia" w:ascii="宋体" w:hAnsi="宋体" w:cs="楷体"/>
          <w:color w:val="auto"/>
          <w:szCs w:val="21"/>
          <w:highlight w:val="none"/>
        </w:rPr>
        <w:t>开标一览表</w:t>
      </w:r>
    </w:p>
    <w:p w14:paraId="0089D77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楷体"/>
          <w:color w:val="auto"/>
          <w:szCs w:val="21"/>
          <w:highlight w:val="none"/>
        </w:rPr>
      </w:pPr>
      <w:r>
        <w:rPr>
          <w:rFonts w:hint="eastAsia" w:ascii="宋体" w:hAnsi="宋体" w:cs="楷体"/>
          <w:color w:val="auto"/>
          <w:szCs w:val="21"/>
          <w:highlight w:val="none"/>
          <w:lang w:val="en-US" w:eastAsia="zh-CN"/>
        </w:rPr>
        <w:t>五、</w:t>
      </w:r>
      <w:r>
        <w:rPr>
          <w:rFonts w:hint="eastAsia" w:ascii="宋体" w:hAnsi="宋体" w:cs="楷体"/>
          <w:color w:val="auto"/>
          <w:szCs w:val="21"/>
          <w:highlight w:val="none"/>
        </w:rPr>
        <w:t>资格审查资料</w:t>
      </w:r>
    </w:p>
    <w:p w14:paraId="6EAA50B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s="楷体"/>
          <w:color w:val="auto"/>
          <w:szCs w:val="21"/>
          <w:highlight w:val="none"/>
          <w:lang w:val="en-US" w:eastAsia="zh-CN"/>
        </w:rPr>
        <w:t>六、服务方案</w:t>
      </w:r>
    </w:p>
    <w:p w14:paraId="433EA38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楷体"/>
          <w:color w:val="auto"/>
          <w:szCs w:val="21"/>
          <w:highlight w:val="none"/>
        </w:rPr>
      </w:pPr>
      <w:r>
        <w:rPr>
          <w:rFonts w:hint="eastAsia" w:ascii="宋体" w:hAnsi="宋体" w:cs="楷体"/>
          <w:color w:val="auto"/>
          <w:szCs w:val="21"/>
          <w:highlight w:val="none"/>
          <w:lang w:val="en-US" w:eastAsia="zh-CN"/>
        </w:rPr>
        <w:t>七、</w:t>
      </w:r>
      <w:r>
        <w:rPr>
          <w:rFonts w:hint="eastAsia" w:ascii="宋体" w:hAnsi="宋体" w:cs="楷体"/>
          <w:color w:val="auto"/>
          <w:szCs w:val="21"/>
          <w:highlight w:val="none"/>
        </w:rPr>
        <w:t>其他资料</w:t>
      </w:r>
    </w:p>
    <w:p w14:paraId="7C61DC94">
      <w:pPr>
        <w:numPr>
          <w:ilvl w:val="0"/>
          <w:numId w:val="0"/>
        </w:numPr>
        <w:kinsoku/>
        <w:snapToGrid/>
        <w:spacing w:line="400" w:lineRule="exact"/>
        <w:ind w:leftChars="0"/>
        <w:jc w:val="both"/>
        <w:textAlignment w:val="auto"/>
        <w:rPr>
          <w:rFonts w:hint="default" w:ascii="宋体" w:hAnsi="宋体" w:eastAsia="宋体" w:cs="宋体"/>
          <w:b w:val="0"/>
          <w:bCs/>
          <w:kern w:val="2"/>
          <w:sz w:val="21"/>
          <w:szCs w:val="21"/>
          <w:highlight w:val="none"/>
          <w:lang w:val="en-US" w:eastAsia="zh-CN"/>
        </w:rPr>
      </w:pPr>
    </w:p>
    <w:p w14:paraId="612CEEFD">
      <w:pPr>
        <w:pStyle w:val="4"/>
        <w:overflowPunct w:val="0"/>
        <w:ind w:firstLine="0"/>
        <w:rPr>
          <w:rFonts w:hint="eastAsia" w:ascii="宋体" w:hAnsi="宋体" w:eastAsia="宋体" w:cs="宋体"/>
          <w:b/>
          <w:szCs w:val="24"/>
          <w:highlight w:val="none"/>
        </w:rPr>
      </w:pPr>
    </w:p>
    <w:p w14:paraId="24485D88">
      <w:pPr>
        <w:pStyle w:val="4"/>
        <w:overflowPunct w:val="0"/>
        <w:ind w:firstLine="0"/>
        <w:rPr>
          <w:rFonts w:hint="eastAsia" w:ascii="宋体" w:hAnsi="宋体" w:eastAsia="宋体" w:cs="宋体"/>
          <w:b/>
          <w:szCs w:val="24"/>
          <w:highlight w:val="none"/>
        </w:rPr>
      </w:pPr>
    </w:p>
    <w:p w14:paraId="5CCE25C5">
      <w:pPr>
        <w:pStyle w:val="4"/>
        <w:overflowPunct w:val="0"/>
        <w:ind w:firstLine="0"/>
        <w:rPr>
          <w:rFonts w:hint="eastAsia" w:ascii="宋体" w:hAnsi="宋体" w:eastAsia="宋体" w:cs="宋体"/>
          <w:b/>
          <w:szCs w:val="24"/>
          <w:highlight w:val="none"/>
        </w:rPr>
      </w:pPr>
      <w:r>
        <w:rPr>
          <w:rFonts w:hint="eastAsia" w:ascii="宋体" w:hAnsi="宋体" w:eastAsia="宋体" w:cs="宋体"/>
          <w:b/>
          <w:szCs w:val="24"/>
          <w:highlight w:val="none"/>
        </w:rPr>
        <w:t>说明：</w:t>
      </w:r>
    </w:p>
    <w:p w14:paraId="6E6A13FB">
      <w:pPr>
        <w:pStyle w:val="23"/>
        <w:keepNext w:val="0"/>
        <w:keepLines w:val="0"/>
        <w:widowControl w:val="0"/>
        <w:numPr>
          <w:ilvl w:val="0"/>
          <w:numId w:val="0"/>
        </w:numPr>
        <w:suppressLineNumbers w:val="0"/>
        <w:spacing w:before="0" w:beforeAutospacing="0" w:after="0" w:afterAutospacing="0" w:line="360" w:lineRule="auto"/>
        <w:ind w:firstLine="422" w:firstLineChars="200"/>
        <w:jc w:val="both"/>
        <w:rPr>
          <w:rFonts w:hint="default"/>
          <w:highlight w:val="none"/>
          <w:lang w:val="en-US" w:eastAsia="zh-CN"/>
        </w:rPr>
      </w:pPr>
      <w:r>
        <w:rPr>
          <w:rFonts w:hint="eastAsia" w:ascii="宋体" w:hAnsi="宋体" w:eastAsia="宋体" w:cs="宋体"/>
          <w:b/>
          <w:szCs w:val="24"/>
          <w:highlight w:val="none"/>
        </w:rPr>
        <w:t>对本章所有的</w:t>
      </w:r>
      <w:r>
        <w:rPr>
          <w:rFonts w:hint="eastAsia" w:ascii="宋体" w:hAnsi="宋体" w:eastAsia="宋体" w:cs="宋体"/>
          <w:b/>
          <w:szCs w:val="24"/>
          <w:highlight w:val="none"/>
          <w:lang w:eastAsia="zh-CN"/>
        </w:rPr>
        <w:t>响应文件</w:t>
      </w:r>
      <w:r>
        <w:rPr>
          <w:rFonts w:hint="eastAsia" w:ascii="宋体" w:hAnsi="宋体" w:eastAsia="宋体" w:cs="宋体"/>
          <w:b/>
          <w:szCs w:val="24"/>
          <w:highlight w:val="none"/>
        </w:rPr>
        <w:t>格式 ，</w:t>
      </w:r>
      <w:r>
        <w:rPr>
          <w:rFonts w:hint="eastAsia" w:ascii="宋体" w:hAnsi="宋体" w:eastAsia="宋体" w:cs="宋体"/>
          <w:b/>
          <w:szCs w:val="24"/>
          <w:highlight w:val="none"/>
          <w:lang w:val="en-US" w:eastAsia="zh-CN"/>
        </w:rPr>
        <w:t>供应商</w:t>
      </w:r>
      <w:r>
        <w:rPr>
          <w:rFonts w:hint="eastAsia" w:ascii="宋体" w:hAnsi="宋体" w:eastAsia="宋体" w:cs="宋体"/>
          <w:b/>
          <w:szCs w:val="24"/>
          <w:highlight w:val="none"/>
        </w:rPr>
        <w:t>可根据自身情况进行补充</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并编制页码</w:t>
      </w:r>
      <w:r>
        <w:rPr>
          <w:rFonts w:hint="eastAsia" w:ascii="宋体" w:hAnsi="宋体" w:eastAsia="宋体" w:cs="宋体"/>
          <w:b/>
          <w:szCs w:val="24"/>
          <w:highlight w:val="none"/>
        </w:rPr>
        <w:t>。</w:t>
      </w:r>
    </w:p>
    <w:p w14:paraId="1591509B">
      <w:pPr>
        <w:kinsoku/>
        <w:snapToGrid/>
        <w:spacing w:line="360" w:lineRule="exact"/>
        <w:ind w:firstLine="420" w:firstLineChars="200"/>
        <w:textAlignment w:val="auto"/>
        <w:rPr>
          <w:rFonts w:hint="eastAsia" w:ascii="宋体" w:hAnsi="宋体" w:eastAsia="宋体" w:cs="宋体"/>
          <w:bCs/>
          <w:snapToGrid/>
          <w:sz w:val="21"/>
          <w:szCs w:val="21"/>
          <w:highlight w:val="none"/>
        </w:rPr>
      </w:pPr>
    </w:p>
    <w:p w14:paraId="7969BCB4">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03B44CB">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F68C7DA">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562BB3B3">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46CC30F">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9DB130C">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059D2908">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5E64831A">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31A83527">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030FA21F">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3E160F0">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0DD555E4">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C84CE94">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4DA1F34">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7CCAFEB2">
      <w:pPr>
        <w:autoSpaceDE w:val="0"/>
        <w:autoSpaceDN w:val="0"/>
        <w:adjustRightInd w:val="0"/>
        <w:spacing w:line="500" w:lineRule="exact"/>
        <w:jc w:val="center"/>
        <w:rPr>
          <w:rFonts w:hint="eastAsia" w:ascii="宋体" w:hAnsi="宋体" w:cs="Arial"/>
          <w:color w:val="auto"/>
          <w:kern w:val="0"/>
          <w:sz w:val="24"/>
          <w:highlight w:val="none"/>
        </w:rPr>
      </w:pPr>
      <w:r>
        <w:rPr>
          <w:rFonts w:hint="eastAsia" w:ascii="宋体" w:hAnsi="宋体" w:cs="Arial"/>
          <w:b/>
          <w:bCs/>
          <w:color w:val="auto"/>
          <w:kern w:val="0"/>
          <w:sz w:val="30"/>
          <w:szCs w:val="30"/>
          <w:highlight w:val="none"/>
        </w:rPr>
        <w:t>一、投标函</w:t>
      </w:r>
    </w:p>
    <w:p w14:paraId="131D9FBB">
      <w:pPr>
        <w:autoSpaceDE w:val="0"/>
        <w:autoSpaceDN w:val="0"/>
        <w:adjustRightInd w:val="0"/>
        <w:spacing w:line="500" w:lineRule="exact"/>
        <w:jc w:val="left"/>
        <w:rPr>
          <w:rFonts w:hint="eastAsia" w:ascii="宋体" w:hAnsi="宋体" w:cs="Arial"/>
          <w:color w:val="auto"/>
          <w:kern w:val="0"/>
          <w:szCs w:val="21"/>
          <w:highlight w:val="none"/>
          <w:u w:val="single"/>
        </w:rPr>
      </w:pPr>
    </w:p>
    <w:p w14:paraId="72AE55A8">
      <w:pPr>
        <w:autoSpaceDE w:val="0"/>
        <w:autoSpaceDN w:val="0"/>
        <w:adjustRightInd w:val="0"/>
        <w:spacing w:line="500" w:lineRule="exact"/>
        <w:jc w:val="left"/>
        <w:rPr>
          <w:rFonts w:hint="eastAsia" w:ascii="宋体" w:hAnsi="宋体" w:cs="Arial"/>
          <w:color w:val="auto"/>
          <w:kern w:val="0"/>
          <w:szCs w:val="21"/>
          <w:highlight w:val="none"/>
        </w:rPr>
      </w:pP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(采购人名称)：</w:t>
      </w:r>
    </w:p>
    <w:p w14:paraId="77079E8B">
      <w:pPr>
        <w:autoSpaceDE w:val="0"/>
        <w:autoSpaceDN w:val="0"/>
        <w:adjustRightInd w:val="0"/>
        <w:spacing w:line="500" w:lineRule="exact"/>
        <w:ind w:firstLine="420" w:firstLineChars="200"/>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.我方已仔细研究了</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u w:val="single"/>
          <w:lang w:val="en-US" w:eastAsia="zh-CN"/>
        </w:rPr>
        <w:t xml:space="preserve">      </w:t>
      </w:r>
      <w:r>
        <w:rPr>
          <w:rFonts w:hint="eastAsia" w:ascii="宋体" w:hAnsi="宋体" w:cs="Arial"/>
          <w:color w:val="auto"/>
          <w:kern w:val="0"/>
          <w:szCs w:val="21"/>
          <w:highlight w:val="none"/>
          <w:u w:val="single"/>
        </w:rPr>
        <w:t xml:space="preserve">  (项目名称)　    　</w:t>
      </w:r>
      <w:r>
        <w:rPr>
          <w:rFonts w:hint="eastAsia" w:ascii="宋体" w:hAnsi="宋体" w:cs="Arial"/>
          <w:color w:val="auto"/>
          <w:kern w:val="0"/>
          <w:szCs w:val="21"/>
          <w:highlight w:val="none"/>
        </w:rPr>
        <w:t>采购文件的全部内容，</w:t>
      </w:r>
      <w:r>
        <w:rPr>
          <w:rFonts w:hint="eastAsia" w:ascii="宋体" w:hAnsi="宋体" w:cs="楷体"/>
          <w:color w:val="auto"/>
          <w:szCs w:val="21"/>
          <w:highlight w:val="none"/>
          <w:lang w:val="en-US" w:eastAsia="zh-CN"/>
        </w:rPr>
        <w:t>合同履行期限</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u w:val="single"/>
          <w:lang w:val="en-US" w:eastAsia="zh-CN"/>
        </w:rPr>
        <w:t xml:space="preserve"> </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r>
        <w:rPr>
          <w:rFonts w:ascii="宋体" w:hAnsi="宋体"/>
          <w:color w:val="auto"/>
          <w:szCs w:val="21"/>
          <w:highlight w:val="none"/>
        </w:rPr>
        <w:t>愿</w:t>
      </w:r>
      <w:r>
        <w:rPr>
          <w:rFonts w:hint="eastAsia" w:ascii="宋体" w:hAnsi="宋体"/>
          <w:color w:val="auto"/>
          <w:szCs w:val="21"/>
          <w:highlight w:val="none"/>
          <w:lang w:val="en-US" w:eastAsia="zh-CN"/>
        </w:rPr>
        <w:t>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元/吨</w:t>
      </w:r>
      <w:r>
        <w:rPr>
          <w:rFonts w:hint="eastAsia" w:ascii="宋体" w:hAnsi="宋体"/>
          <w:color w:val="auto"/>
          <w:spacing w:val="-4"/>
          <w:highlight w:val="none"/>
        </w:rPr>
        <w:t>的投标报价参与本项目</w:t>
      </w:r>
      <w:r>
        <w:rPr>
          <w:rFonts w:hint="eastAsia" w:ascii="宋体" w:hAnsi="宋体" w:cs="Arial"/>
          <w:color w:val="auto"/>
          <w:kern w:val="0"/>
          <w:szCs w:val="21"/>
          <w:highlight w:val="none"/>
        </w:rPr>
        <w:t>，按合同约定实施和完成承包上述采购项目。</w:t>
      </w:r>
    </w:p>
    <w:p w14:paraId="3746FDDB">
      <w:pPr>
        <w:autoSpaceDE w:val="0"/>
        <w:autoSpaceDN w:val="0"/>
        <w:adjustRightInd w:val="0"/>
        <w:spacing w:line="50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.我方承诺在投标有效期</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天内不修改、撤销</w:t>
      </w:r>
      <w:r>
        <w:rPr>
          <w:rFonts w:hint="eastAsia" w:ascii="宋体" w:hAnsi="宋体" w:cs="Arial"/>
          <w:color w:val="auto"/>
          <w:kern w:val="0"/>
          <w:szCs w:val="21"/>
          <w:highlight w:val="none"/>
          <w:lang w:eastAsia="zh-CN"/>
        </w:rPr>
        <w:t>响应文件</w:t>
      </w:r>
      <w:r>
        <w:rPr>
          <w:rFonts w:hint="eastAsia" w:ascii="宋体" w:hAnsi="宋体" w:cs="Arial"/>
          <w:color w:val="auto"/>
          <w:kern w:val="0"/>
          <w:szCs w:val="21"/>
          <w:highlight w:val="none"/>
        </w:rPr>
        <w:t>。</w:t>
      </w:r>
    </w:p>
    <w:p w14:paraId="35054F16">
      <w:pPr>
        <w:autoSpaceDE w:val="0"/>
        <w:autoSpaceDN w:val="0"/>
        <w:adjustRightInd w:val="0"/>
        <w:spacing w:line="50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3.如我方中标：</w:t>
      </w:r>
    </w:p>
    <w:p w14:paraId="1D8DEF02">
      <w:pPr>
        <w:autoSpaceDE w:val="0"/>
        <w:autoSpaceDN w:val="0"/>
        <w:adjustRightInd w:val="0"/>
        <w:spacing w:line="5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ascii="宋体" w:hAnsi="宋体" w:cs="Arial"/>
          <w:color w:val="auto"/>
          <w:kern w:val="0"/>
          <w:szCs w:val="21"/>
          <w:highlight w:val="none"/>
        </w:rPr>
        <w:t>1</w:t>
      </w:r>
      <w:r>
        <w:rPr>
          <w:rFonts w:hint="eastAsia" w:ascii="宋体" w:hAnsi="宋体" w:cs="Arial"/>
          <w:color w:val="auto"/>
          <w:kern w:val="0"/>
          <w:szCs w:val="21"/>
          <w:highlight w:val="none"/>
        </w:rPr>
        <w:t>)我方承诺在收到</w:t>
      </w:r>
      <w:r>
        <w:rPr>
          <w:rFonts w:hint="eastAsia" w:ascii="宋体" w:hAnsi="宋体" w:cs="Arial"/>
          <w:color w:val="auto"/>
          <w:kern w:val="0"/>
          <w:szCs w:val="21"/>
          <w:highlight w:val="none"/>
          <w:lang w:val="en-US" w:eastAsia="zh-CN"/>
        </w:rPr>
        <w:t>成交</w:t>
      </w:r>
      <w:r>
        <w:rPr>
          <w:rFonts w:hint="eastAsia" w:ascii="宋体" w:hAnsi="宋体" w:cs="Arial"/>
          <w:color w:val="auto"/>
          <w:kern w:val="0"/>
          <w:szCs w:val="21"/>
          <w:highlight w:val="none"/>
        </w:rPr>
        <w:t>通知书后，在</w:t>
      </w:r>
      <w:r>
        <w:rPr>
          <w:rFonts w:hint="eastAsia" w:ascii="宋体" w:hAnsi="宋体" w:cs="Arial"/>
          <w:color w:val="auto"/>
          <w:kern w:val="0"/>
          <w:szCs w:val="21"/>
          <w:highlight w:val="none"/>
          <w:lang w:val="en-US" w:eastAsia="zh-CN"/>
        </w:rPr>
        <w:t>成交</w:t>
      </w:r>
      <w:r>
        <w:rPr>
          <w:rFonts w:hint="eastAsia" w:ascii="宋体" w:hAnsi="宋体" w:cs="Arial"/>
          <w:color w:val="auto"/>
          <w:kern w:val="0"/>
          <w:szCs w:val="21"/>
          <w:highlight w:val="none"/>
        </w:rPr>
        <w:t>通知书规定的期限内，</w:t>
      </w:r>
      <w:r>
        <w:rPr>
          <w:rFonts w:hint="eastAsia" w:ascii="宋体" w:hAnsi="宋体" w:cs="Arial"/>
          <w:color w:val="auto"/>
          <w:kern w:val="0"/>
          <w:szCs w:val="21"/>
          <w:highlight w:val="none"/>
          <w:lang w:val="en-US" w:eastAsia="zh-CN"/>
        </w:rPr>
        <w:t>缴纳履约担保金，并</w:t>
      </w:r>
      <w:r>
        <w:rPr>
          <w:rFonts w:hint="eastAsia" w:ascii="宋体" w:hAnsi="宋体" w:cs="Arial"/>
          <w:color w:val="auto"/>
          <w:kern w:val="0"/>
          <w:szCs w:val="21"/>
          <w:highlight w:val="none"/>
        </w:rPr>
        <w:t>与你方签订合同，并遵守合同中关于权利和义务的约定；</w:t>
      </w:r>
    </w:p>
    <w:p w14:paraId="541D5571">
      <w:pPr>
        <w:autoSpaceDE w:val="0"/>
        <w:autoSpaceDN w:val="0"/>
        <w:adjustRightInd w:val="0"/>
        <w:spacing w:line="5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(2)我方承诺按照采购文件中规定的技术条件及要求在合同约定的期限内，完成并移交全部合同内容。</w:t>
      </w:r>
    </w:p>
    <w:p w14:paraId="134CE4F5">
      <w:pPr>
        <w:autoSpaceDE w:val="0"/>
        <w:autoSpaceDN w:val="0"/>
        <w:adjustRightInd w:val="0"/>
        <w:spacing w:line="5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5.我方在此声明，所递交的</w:t>
      </w:r>
      <w:r>
        <w:rPr>
          <w:rFonts w:hint="eastAsia" w:ascii="宋体" w:hAnsi="宋体" w:cs="Arial"/>
          <w:color w:val="auto"/>
          <w:kern w:val="0"/>
          <w:szCs w:val="21"/>
          <w:highlight w:val="none"/>
          <w:lang w:eastAsia="zh-CN"/>
        </w:rPr>
        <w:t>响应文件</w:t>
      </w:r>
      <w:r>
        <w:rPr>
          <w:rFonts w:hint="eastAsia" w:ascii="宋体" w:hAnsi="宋体" w:cs="Arial"/>
          <w:color w:val="auto"/>
          <w:kern w:val="0"/>
          <w:szCs w:val="21"/>
          <w:highlight w:val="none"/>
        </w:rPr>
        <w:t>及有关资料内容完整、真实和准确。</w:t>
      </w:r>
    </w:p>
    <w:p w14:paraId="764CD59F">
      <w:pPr>
        <w:autoSpaceDE w:val="0"/>
        <w:autoSpaceDN w:val="0"/>
        <w:adjustRightInd w:val="0"/>
        <w:spacing w:line="50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6．</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(其他补充说明)。</w:t>
      </w:r>
    </w:p>
    <w:p w14:paraId="66C553A6">
      <w:pPr>
        <w:autoSpaceDE w:val="0"/>
        <w:autoSpaceDN w:val="0"/>
        <w:adjustRightInd w:val="0"/>
        <w:spacing w:line="500" w:lineRule="exact"/>
        <w:ind w:firstLine="420" w:firstLineChars="200"/>
        <w:jc w:val="left"/>
        <w:rPr>
          <w:rFonts w:hint="eastAsia" w:ascii="宋体" w:hAnsi="宋体" w:cs="Arial"/>
          <w:color w:val="auto"/>
          <w:kern w:val="0"/>
          <w:szCs w:val="21"/>
          <w:highlight w:val="none"/>
        </w:rPr>
      </w:pPr>
    </w:p>
    <w:p w14:paraId="00C8215F">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供应商：</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(盖单位章)</w:t>
      </w:r>
    </w:p>
    <w:p w14:paraId="45E3EAB1">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法定代表人或其授权委托代理人：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w:t>
      </w:r>
      <w:r>
        <w:rPr>
          <w:rFonts w:hint="eastAsia" w:ascii="宋体" w:hAnsi="宋体" w:cs="Arial"/>
          <w:color w:val="auto"/>
          <w:kern w:val="0"/>
          <w:szCs w:val="21"/>
          <w:highlight w:val="none"/>
          <w:lang w:val="en-US" w:eastAsia="zh-CN"/>
        </w:rPr>
        <w:t>或盖章</w:t>
      </w:r>
      <w:r>
        <w:rPr>
          <w:rFonts w:hint="eastAsia" w:ascii="宋体" w:hAnsi="宋体" w:cs="Arial"/>
          <w:color w:val="auto"/>
          <w:kern w:val="0"/>
          <w:szCs w:val="21"/>
          <w:highlight w:val="none"/>
        </w:rPr>
        <w:t>)</w:t>
      </w:r>
    </w:p>
    <w:p w14:paraId="38CBC1B0">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地    址：</w:t>
      </w:r>
      <w:r>
        <w:rPr>
          <w:rFonts w:hint="eastAsia" w:ascii="宋体" w:hAnsi="宋体" w:cs="Arial"/>
          <w:color w:val="auto"/>
          <w:kern w:val="0"/>
          <w:szCs w:val="21"/>
          <w:highlight w:val="none"/>
          <w:u w:val="single"/>
        </w:rPr>
        <w:t xml:space="preserve">                                        </w:t>
      </w:r>
    </w:p>
    <w:p w14:paraId="4B2F74F7">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网    址：</w:t>
      </w:r>
      <w:r>
        <w:rPr>
          <w:rFonts w:hint="eastAsia" w:ascii="宋体" w:hAnsi="宋体" w:cs="Arial"/>
          <w:color w:val="auto"/>
          <w:kern w:val="0"/>
          <w:szCs w:val="21"/>
          <w:highlight w:val="none"/>
          <w:u w:val="single"/>
        </w:rPr>
        <w:t xml:space="preserve">                                        </w:t>
      </w:r>
    </w:p>
    <w:p w14:paraId="0D2FF791">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电    话：</w:t>
      </w:r>
      <w:r>
        <w:rPr>
          <w:rFonts w:hint="eastAsia" w:ascii="宋体" w:hAnsi="宋体" w:cs="Arial"/>
          <w:color w:val="auto"/>
          <w:kern w:val="0"/>
          <w:szCs w:val="21"/>
          <w:highlight w:val="none"/>
          <w:u w:val="single"/>
        </w:rPr>
        <w:t xml:space="preserve">                                        </w:t>
      </w:r>
    </w:p>
    <w:p w14:paraId="0E7550DD">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传    真：</w:t>
      </w:r>
      <w:r>
        <w:rPr>
          <w:rFonts w:hint="eastAsia" w:ascii="宋体" w:hAnsi="宋体" w:cs="Arial"/>
          <w:color w:val="auto"/>
          <w:kern w:val="0"/>
          <w:szCs w:val="21"/>
          <w:highlight w:val="none"/>
          <w:u w:val="single"/>
        </w:rPr>
        <w:t xml:space="preserve">                                        </w:t>
      </w:r>
    </w:p>
    <w:p w14:paraId="4985F908">
      <w:pPr>
        <w:autoSpaceDE w:val="0"/>
        <w:autoSpaceDN w:val="0"/>
        <w:adjustRightInd w:val="0"/>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邮政编码：</w:t>
      </w:r>
      <w:r>
        <w:rPr>
          <w:rFonts w:hint="eastAsia" w:ascii="宋体" w:hAnsi="宋体" w:cs="Arial"/>
          <w:color w:val="auto"/>
          <w:kern w:val="0"/>
          <w:szCs w:val="21"/>
          <w:highlight w:val="none"/>
          <w:u w:val="single"/>
        </w:rPr>
        <w:t xml:space="preserve">                                        </w:t>
      </w:r>
    </w:p>
    <w:p w14:paraId="48CEC856">
      <w:pPr>
        <w:spacing w:line="360" w:lineRule="auto"/>
        <w:jc w:val="right"/>
        <w:rPr>
          <w:rFonts w:hint="eastAsia" w:ascii="宋体" w:hAnsi="宋体" w:cs="Arial"/>
          <w:color w:val="auto"/>
          <w:kern w:val="0"/>
          <w:szCs w:val="21"/>
          <w:highlight w:val="none"/>
        </w:rPr>
      </w:pP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704C779A">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355C09A5">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526D8608">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48512C65">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15173604">
      <w:pPr>
        <w:pStyle w:val="24"/>
        <w:widowControl w:val="0"/>
        <w:numPr>
          <w:ilvl w:val="0"/>
          <w:numId w:val="0"/>
        </w:numPr>
        <w:spacing w:line="500" w:lineRule="exact"/>
        <w:jc w:val="both"/>
        <w:rPr>
          <w:rFonts w:hint="default" w:cs="宋体"/>
          <w:b w:val="0"/>
          <w:bCs w:val="0"/>
          <w:caps w:val="0"/>
          <w:color w:val="000000"/>
          <w:kern w:val="0"/>
          <w:sz w:val="21"/>
          <w:szCs w:val="21"/>
          <w:highlight w:val="none"/>
          <w:vertAlign w:val="baseline"/>
          <w:lang w:val="en-US" w:eastAsia="zh-CN" w:bidi="ar"/>
        </w:rPr>
      </w:pPr>
    </w:p>
    <w:p w14:paraId="11128EE9">
      <w:pPr>
        <w:autoSpaceDE w:val="0"/>
        <w:autoSpaceDN w:val="0"/>
        <w:adjustRightInd w:val="0"/>
        <w:spacing w:line="600" w:lineRule="exact"/>
        <w:jc w:val="center"/>
        <w:rPr>
          <w:rFonts w:hint="eastAsia" w:ascii="宋体" w:hAnsi="宋体" w:eastAsia="宋体" w:cs="Arial"/>
          <w:b w:val="0"/>
          <w:bCs w:val="0"/>
          <w:color w:val="auto"/>
          <w:kern w:val="0"/>
          <w:sz w:val="28"/>
          <w:szCs w:val="28"/>
          <w:highlight w:val="none"/>
          <w:lang w:eastAsia="zh-CN"/>
        </w:rPr>
      </w:pPr>
      <w:r>
        <w:rPr>
          <w:rFonts w:hint="eastAsia" w:ascii="宋体" w:hAnsi="宋体" w:cs="Arial"/>
          <w:b/>
          <w:bCs/>
          <w:color w:val="auto"/>
          <w:kern w:val="0"/>
          <w:sz w:val="30"/>
          <w:szCs w:val="30"/>
          <w:highlight w:val="none"/>
          <w:lang w:val="en-US" w:eastAsia="zh-CN"/>
        </w:rPr>
        <w:t>二</w:t>
      </w:r>
      <w:r>
        <w:rPr>
          <w:rFonts w:hint="eastAsia" w:ascii="宋体" w:hAnsi="宋体" w:cs="Arial"/>
          <w:b/>
          <w:bCs/>
          <w:color w:val="auto"/>
          <w:kern w:val="0"/>
          <w:sz w:val="30"/>
          <w:szCs w:val="30"/>
          <w:highlight w:val="none"/>
        </w:rPr>
        <w:t>、法定代表人身份证明</w:t>
      </w:r>
    </w:p>
    <w:p w14:paraId="34A0B37A">
      <w:pPr>
        <w:autoSpaceDE w:val="0"/>
        <w:autoSpaceDN w:val="0"/>
        <w:adjustRightInd w:val="0"/>
        <w:spacing w:line="600" w:lineRule="exact"/>
        <w:ind w:left="718" w:leftChars="342"/>
        <w:jc w:val="left"/>
        <w:rPr>
          <w:rFonts w:hint="eastAsia" w:ascii="宋体" w:hAnsi="宋体" w:cs="Arial"/>
          <w:color w:val="auto"/>
          <w:kern w:val="0"/>
          <w:szCs w:val="21"/>
          <w:highlight w:val="none"/>
        </w:rPr>
      </w:pPr>
    </w:p>
    <w:p w14:paraId="38A8AC80">
      <w:pPr>
        <w:autoSpaceDE w:val="0"/>
        <w:autoSpaceDN w:val="0"/>
        <w:adjustRightInd w:val="0"/>
        <w:spacing w:line="600" w:lineRule="exact"/>
        <w:ind w:left="718" w:leftChars="342"/>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供应商名称：</w:t>
      </w:r>
      <w:r>
        <w:rPr>
          <w:rFonts w:hint="eastAsia" w:ascii="宋体" w:hAnsi="宋体" w:cs="Arial"/>
          <w:color w:val="auto"/>
          <w:kern w:val="0"/>
          <w:szCs w:val="21"/>
          <w:highlight w:val="none"/>
          <w:u w:val="single"/>
        </w:rPr>
        <w:t xml:space="preserve">                                </w:t>
      </w:r>
    </w:p>
    <w:p w14:paraId="0304F1F7">
      <w:pPr>
        <w:autoSpaceDE w:val="0"/>
        <w:autoSpaceDN w:val="0"/>
        <w:adjustRightInd w:val="0"/>
        <w:spacing w:line="600" w:lineRule="exact"/>
        <w:ind w:left="718" w:leftChars="342"/>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单位性质：</w:t>
      </w:r>
      <w:r>
        <w:rPr>
          <w:rFonts w:hint="eastAsia" w:ascii="宋体" w:hAnsi="宋体" w:cs="Arial"/>
          <w:color w:val="auto"/>
          <w:kern w:val="0"/>
          <w:szCs w:val="21"/>
          <w:highlight w:val="none"/>
          <w:u w:val="single"/>
        </w:rPr>
        <w:t xml:space="preserve">                                  </w:t>
      </w:r>
    </w:p>
    <w:p w14:paraId="46015D6E">
      <w:pPr>
        <w:autoSpaceDE w:val="0"/>
        <w:autoSpaceDN w:val="0"/>
        <w:adjustRightInd w:val="0"/>
        <w:spacing w:line="600" w:lineRule="exact"/>
        <w:ind w:left="718" w:leftChars="342"/>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rPr>
        <w:t xml:space="preserve">                                      </w:t>
      </w:r>
    </w:p>
    <w:p w14:paraId="7BF4307D">
      <w:pPr>
        <w:autoSpaceDE w:val="0"/>
        <w:autoSpaceDN w:val="0"/>
        <w:adjustRightInd w:val="0"/>
        <w:spacing w:line="600" w:lineRule="exact"/>
        <w:ind w:left="718" w:leftChars="342"/>
        <w:jc w:val="left"/>
        <w:rPr>
          <w:rFonts w:ascii="宋体" w:hAnsi="宋体" w:cs="Arial"/>
          <w:color w:val="auto"/>
          <w:kern w:val="0"/>
          <w:szCs w:val="21"/>
          <w:highlight w:val="none"/>
        </w:rPr>
      </w:pPr>
      <w:r>
        <w:rPr>
          <w:rFonts w:hint="eastAsia" w:ascii="宋体" w:hAnsi="宋体" w:cs="Arial"/>
          <w:color w:val="auto"/>
          <w:kern w:val="0"/>
          <w:szCs w:val="21"/>
          <w:highlight w:val="none"/>
        </w:rPr>
        <w:t>成立时间：</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6CCE22CC">
      <w:pPr>
        <w:autoSpaceDE w:val="0"/>
        <w:autoSpaceDN w:val="0"/>
        <w:adjustRightInd w:val="0"/>
        <w:spacing w:line="600" w:lineRule="exact"/>
        <w:ind w:left="718" w:leftChars="342"/>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 xml:space="preserve">经营期限： </w:t>
      </w:r>
      <w:r>
        <w:rPr>
          <w:rFonts w:hint="eastAsia" w:ascii="宋体" w:hAnsi="宋体" w:cs="Arial"/>
          <w:color w:val="auto"/>
          <w:kern w:val="0"/>
          <w:szCs w:val="21"/>
          <w:highlight w:val="none"/>
          <w:u w:val="single"/>
        </w:rPr>
        <w:t xml:space="preserve">                                 </w:t>
      </w:r>
    </w:p>
    <w:p w14:paraId="002A8EC4">
      <w:pPr>
        <w:autoSpaceDE w:val="0"/>
        <w:autoSpaceDN w:val="0"/>
        <w:adjustRightInd w:val="0"/>
        <w:spacing w:line="600" w:lineRule="exact"/>
        <w:ind w:left="718" w:leftChars="342"/>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姓名：</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性别：</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年龄：</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职务：</w:t>
      </w:r>
      <w:r>
        <w:rPr>
          <w:rFonts w:hint="eastAsia" w:ascii="宋体" w:hAnsi="宋体" w:cs="Arial"/>
          <w:color w:val="auto"/>
          <w:kern w:val="0"/>
          <w:szCs w:val="21"/>
          <w:highlight w:val="none"/>
          <w:u w:val="single"/>
        </w:rPr>
        <w:t xml:space="preserve">    </w:t>
      </w:r>
    </w:p>
    <w:p w14:paraId="1485C7B1">
      <w:pPr>
        <w:autoSpaceDE w:val="0"/>
        <w:autoSpaceDN w:val="0"/>
        <w:adjustRightInd w:val="0"/>
        <w:spacing w:line="600" w:lineRule="exact"/>
        <w:ind w:left="718" w:leftChars="342"/>
        <w:jc w:val="left"/>
        <w:rPr>
          <w:rFonts w:ascii="宋体" w:hAnsi="宋体" w:cs="Arial"/>
          <w:color w:val="auto"/>
          <w:kern w:val="0"/>
          <w:szCs w:val="21"/>
          <w:highlight w:val="none"/>
        </w:rPr>
      </w:pPr>
      <w:r>
        <w:rPr>
          <w:rFonts w:hint="eastAsia" w:ascii="宋体" w:hAnsi="宋体" w:cs="Arial"/>
          <w:color w:val="auto"/>
          <w:kern w:val="0"/>
          <w:szCs w:val="21"/>
          <w:highlight w:val="none"/>
        </w:rPr>
        <w:t>系</w:t>
      </w:r>
      <w:r>
        <w:rPr>
          <w:rFonts w:hint="eastAsia" w:ascii="宋体" w:hAnsi="宋体" w:cs="Arial"/>
          <w:color w:val="auto"/>
          <w:kern w:val="0"/>
          <w:szCs w:val="21"/>
          <w:highlight w:val="none"/>
          <w:u w:val="single"/>
        </w:rPr>
        <w:t xml:space="preserve">       (供应商名称)       </w:t>
      </w:r>
      <w:r>
        <w:rPr>
          <w:rFonts w:hint="eastAsia" w:ascii="宋体" w:hAnsi="宋体" w:cs="Arial"/>
          <w:color w:val="auto"/>
          <w:kern w:val="0"/>
          <w:szCs w:val="21"/>
          <w:highlight w:val="none"/>
        </w:rPr>
        <w:t>的法定代表人。</w:t>
      </w:r>
    </w:p>
    <w:p w14:paraId="1063DB5C">
      <w:pPr>
        <w:autoSpaceDE w:val="0"/>
        <w:autoSpaceDN w:val="0"/>
        <w:adjustRightInd w:val="0"/>
        <w:spacing w:line="600" w:lineRule="exact"/>
        <w:ind w:left="718" w:leftChars="342"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特此证明。</w:t>
      </w:r>
    </w:p>
    <w:p w14:paraId="238203E9">
      <w:pPr>
        <w:spacing w:line="600" w:lineRule="exact"/>
        <w:ind w:firstLine="735" w:firstLineChars="350"/>
        <w:jc w:val="left"/>
        <w:rPr>
          <w:rFonts w:hint="eastAsia" w:ascii="宋体" w:hAnsi="宋体" w:cs="Arial"/>
          <w:color w:val="auto"/>
          <w:kern w:val="0"/>
          <w:szCs w:val="21"/>
          <w:highlight w:val="none"/>
        </w:rPr>
      </w:pPr>
    </w:p>
    <w:p w14:paraId="6CA7F4B7">
      <w:pPr>
        <w:spacing w:line="600" w:lineRule="exact"/>
        <w:ind w:firstLine="738" w:firstLineChars="350"/>
        <w:jc w:val="left"/>
        <w:rPr>
          <w:rFonts w:hint="eastAsia" w:ascii="宋体" w:hAnsi="宋体" w:cs="Arial"/>
          <w:b/>
          <w:bCs/>
          <w:color w:val="auto"/>
          <w:kern w:val="0"/>
          <w:szCs w:val="21"/>
          <w:highlight w:val="none"/>
        </w:rPr>
      </w:pPr>
      <w:r>
        <w:rPr>
          <w:rFonts w:hint="eastAsia" w:ascii="宋体" w:hAnsi="宋体" w:cs="Arial"/>
          <w:b/>
          <w:bCs/>
          <w:color w:val="auto"/>
          <w:kern w:val="0"/>
          <w:szCs w:val="21"/>
          <w:highlight w:val="none"/>
        </w:rPr>
        <w:t>附：法定代表人身份证</w:t>
      </w:r>
      <w:r>
        <w:rPr>
          <w:rFonts w:hint="eastAsia" w:ascii="宋体" w:hAnsi="宋体" w:cs="Arial"/>
          <w:b/>
          <w:bCs/>
          <w:color w:val="auto"/>
          <w:kern w:val="0"/>
          <w:szCs w:val="21"/>
          <w:highlight w:val="none"/>
          <w:lang w:val="en-US" w:eastAsia="zh-CN"/>
        </w:rPr>
        <w:t>正、反面</w:t>
      </w:r>
      <w:r>
        <w:rPr>
          <w:rFonts w:hint="eastAsia" w:ascii="宋体" w:hAnsi="宋体" w:cs="Arial"/>
          <w:b/>
          <w:bCs/>
          <w:color w:val="auto"/>
          <w:kern w:val="0"/>
          <w:szCs w:val="21"/>
          <w:highlight w:val="none"/>
        </w:rPr>
        <w:t>复印件</w:t>
      </w:r>
    </w:p>
    <w:p w14:paraId="31663150">
      <w:pPr>
        <w:autoSpaceDE w:val="0"/>
        <w:autoSpaceDN w:val="0"/>
        <w:adjustRightInd w:val="0"/>
        <w:spacing w:line="600" w:lineRule="exact"/>
        <w:ind w:left="718" w:leftChars="342"/>
        <w:jc w:val="left"/>
        <w:rPr>
          <w:rFonts w:hint="eastAsia" w:ascii="宋体" w:hAnsi="宋体" w:cs="Arial"/>
          <w:color w:val="auto"/>
          <w:kern w:val="0"/>
          <w:szCs w:val="21"/>
          <w:highlight w:val="none"/>
        </w:rPr>
      </w:pPr>
    </w:p>
    <w:p w14:paraId="61A3F105">
      <w:pPr>
        <w:autoSpaceDE w:val="0"/>
        <w:autoSpaceDN w:val="0"/>
        <w:adjustRightInd w:val="0"/>
        <w:spacing w:line="600" w:lineRule="exact"/>
        <w:ind w:left="718" w:leftChars="342"/>
        <w:jc w:val="right"/>
        <w:rPr>
          <w:rFonts w:hint="eastAsia" w:ascii="宋体" w:hAnsi="宋体" w:cs="Arial"/>
          <w:color w:val="auto"/>
          <w:kern w:val="0"/>
          <w:szCs w:val="21"/>
          <w:highlight w:val="none"/>
        </w:rPr>
      </w:pPr>
    </w:p>
    <w:p w14:paraId="64F71B55">
      <w:pPr>
        <w:autoSpaceDE w:val="0"/>
        <w:autoSpaceDN w:val="0"/>
        <w:adjustRightInd w:val="0"/>
        <w:spacing w:line="600" w:lineRule="exact"/>
        <w:ind w:left="718" w:leftChars="342"/>
        <w:jc w:val="right"/>
        <w:rPr>
          <w:rFonts w:ascii="宋体" w:hAnsi="宋体" w:cs="Arial"/>
          <w:color w:val="auto"/>
          <w:kern w:val="0"/>
          <w:szCs w:val="21"/>
          <w:highlight w:val="none"/>
        </w:rPr>
      </w:pPr>
      <w:r>
        <w:rPr>
          <w:rFonts w:hint="eastAsia" w:ascii="宋体" w:hAnsi="宋体" w:cs="Arial"/>
          <w:color w:val="auto"/>
          <w:kern w:val="0"/>
          <w:szCs w:val="21"/>
          <w:highlight w:val="none"/>
        </w:rPr>
        <w:t>供应商：</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(盖单位章)</w:t>
      </w:r>
    </w:p>
    <w:p w14:paraId="2FC355AA">
      <w:pPr>
        <w:spacing w:line="600" w:lineRule="exact"/>
        <w:ind w:firstLine="2520" w:firstLineChars="1200"/>
        <w:jc w:val="right"/>
        <w:rPr>
          <w:rFonts w:hint="eastAsia" w:ascii="宋体" w:hAnsi="宋体" w:cs="Arial"/>
          <w:color w:val="auto"/>
          <w:kern w:val="0"/>
          <w:szCs w:val="21"/>
          <w:highlight w:val="none"/>
        </w:rPr>
      </w:pP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2F2DD9B8">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30711047">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3887419F">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6CC79E5F">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77437779">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5C2EC5D8">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247EF858">
      <w:pPr>
        <w:pStyle w:val="23"/>
        <w:keepNext w:val="0"/>
        <w:keepLines w:val="0"/>
        <w:widowControl w:val="0"/>
        <w:numPr>
          <w:ilvl w:val="0"/>
          <w:numId w:val="0"/>
        </w:numPr>
        <w:suppressLineNumbers w:val="0"/>
        <w:spacing w:before="0" w:beforeAutospacing="0" w:after="0" w:afterAutospacing="0" w:line="360" w:lineRule="auto"/>
        <w:jc w:val="both"/>
        <w:rPr>
          <w:rFonts w:hint="eastAsia" w:ascii="宋体" w:hAnsi="宋体" w:cs="Arial"/>
          <w:color w:val="auto"/>
          <w:kern w:val="0"/>
          <w:szCs w:val="21"/>
          <w:highlight w:val="none"/>
        </w:rPr>
      </w:pPr>
    </w:p>
    <w:p w14:paraId="4031D54C">
      <w:pPr>
        <w:pStyle w:val="24"/>
        <w:widowControl w:val="0"/>
        <w:numPr>
          <w:ilvl w:val="0"/>
          <w:numId w:val="0"/>
        </w:numPr>
        <w:spacing w:line="500" w:lineRule="exact"/>
        <w:jc w:val="center"/>
        <w:rPr>
          <w:rFonts w:hint="eastAsia" w:ascii="宋体" w:hAnsi="宋体" w:cs="Arial"/>
          <w:b w:val="0"/>
          <w:bCs w:val="0"/>
          <w:color w:val="auto"/>
          <w:kern w:val="0"/>
          <w:sz w:val="28"/>
          <w:szCs w:val="28"/>
          <w:highlight w:val="none"/>
          <w:lang w:val="en-US" w:eastAsia="zh-CN"/>
        </w:rPr>
      </w:pPr>
    </w:p>
    <w:p w14:paraId="7AF84C95">
      <w:pPr>
        <w:pStyle w:val="24"/>
        <w:widowControl w:val="0"/>
        <w:numPr>
          <w:ilvl w:val="0"/>
          <w:numId w:val="0"/>
        </w:numPr>
        <w:spacing w:line="500" w:lineRule="exact"/>
        <w:jc w:val="center"/>
        <w:rPr>
          <w:rFonts w:hint="eastAsia" w:ascii="宋体" w:hAnsi="宋体" w:cs="Arial"/>
          <w:b w:val="0"/>
          <w:bCs w:val="0"/>
          <w:color w:val="auto"/>
          <w:kern w:val="0"/>
          <w:sz w:val="28"/>
          <w:szCs w:val="28"/>
          <w:highlight w:val="none"/>
          <w:lang w:val="en-US" w:eastAsia="zh-CN"/>
        </w:rPr>
      </w:pPr>
    </w:p>
    <w:p w14:paraId="66C85554">
      <w:pPr>
        <w:pStyle w:val="24"/>
        <w:widowControl w:val="0"/>
        <w:numPr>
          <w:ilvl w:val="0"/>
          <w:numId w:val="0"/>
        </w:numPr>
        <w:spacing w:line="500" w:lineRule="exact"/>
        <w:jc w:val="center"/>
        <w:rPr>
          <w:rFonts w:hint="eastAsia" w:ascii="宋体" w:hAnsi="宋体" w:cs="Arial"/>
          <w:b w:val="0"/>
          <w:bCs w:val="0"/>
          <w:color w:val="auto"/>
          <w:kern w:val="0"/>
          <w:sz w:val="28"/>
          <w:szCs w:val="28"/>
          <w:highlight w:val="none"/>
          <w:lang w:val="en-US" w:eastAsia="zh-CN"/>
        </w:rPr>
      </w:pPr>
      <w:r>
        <w:rPr>
          <w:rFonts w:hint="eastAsia" w:ascii="宋体" w:hAnsi="宋体" w:cs="Arial"/>
          <w:b/>
          <w:bCs/>
          <w:color w:val="auto"/>
          <w:kern w:val="0"/>
          <w:sz w:val="30"/>
          <w:szCs w:val="30"/>
          <w:highlight w:val="none"/>
          <w:lang w:val="en-US" w:eastAsia="zh-CN"/>
        </w:rPr>
        <w:t>三</w:t>
      </w:r>
      <w:r>
        <w:rPr>
          <w:rFonts w:hint="eastAsia" w:ascii="宋体" w:hAnsi="宋体" w:cs="Arial"/>
          <w:b/>
          <w:bCs/>
          <w:color w:val="auto"/>
          <w:kern w:val="0"/>
          <w:sz w:val="30"/>
          <w:szCs w:val="30"/>
          <w:highlight w:val="none"/>
        </w:rPr>
        <w:t>、</w:t>
      </w:r>
      <w:r>
        <w:rPr>
          <w:rFonts w:hint="eastAsia" w:ascii="宋体" w:hAnsi="宋体" w:eastAsia="宋体" w:cs="Arial"/>
          <w:b/>
          <w:bCs/>
          <w:color w:val="auto"/>
          <w:kern w:val="0"/>
          <w:sz w:val="30"/>
          <w:szCs w:val="30"/>
          <w:highlight w:val="none"/>
          <w:lang w:val="en-US" w:eastAsia="zh-CN"/>
        </w:rPr>
        <w:t>授权委托书</w:t>
      </w:r>
    </w:p>
    <w:p w14:paraId="135C97E2">
      <w:pPr>
        <w:autoSpaceDE w:val="0"/>
        <w:autoSpaceDN w:val="0"/>
        <w:adjustRightInd w:val="0"/>
        <w:spacing w:line="600" w:lineRule="exact"/>
        <w:ind w:firstLine="420" w:firstLineChars="200"/>
        <w:jc w:val="left"/>
        <w:rPr>
          <w:rFonts w:hint="eastAsia" w:ascii="宋体" w:hAnsi="宋体" w:cs="Arial"/>
          <w:color w:val="auto"/>
          <w:kern w:val="0"/>
          <w:szCs w:val="21"/>
          <w:highlight w:val="none"/>
        </w:rPr>
      </w:pPr>
    </w:p>
    <w:p w14:paraId="6E21D0FB">
      <w:pPr>
        <w:autoSpaceDE w:val="0"/>
        <w:autoSpaceDN w:val="0"/>
        <w:adjustRightInd w:val="0"/>
        <w:spacing w:line="6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本人</w:t>
      </w:r>
      <w:r>
        <w:rPr>
          <w:rFonts w:hint="eastAsia" w:ascii="宋体" w:hAnsi="宋体" w:cs="Arial"/>
          <w:color w:val="auto"/>
          <w:kern w:val="0"/>
          <w:szCs w:val="21"/>
          <w:highlight w:val="none"/>
          <w:u w:val="single"/>
        </w:rPr>
        <w:t xml:space="preserve">  (姓名)   </w:t>
      </w:r>
      <w:r>
        <w:rPr>
          <w:rFonts w:hint="eastAsia" w:ascii="宋体" w:hAnsi="宋体" w:cs="Arial"/>
          <w:color w:val="auto"/>
          <w:kern w:val="0"/>
          <w:szCs w:val="21"/>
          <w:highlight w:val="none"/>
        </w:rPr>
        <w:t>系</w:t>
      </w:r>
      <w:r>
        <w:rPr>
          <w:rFonts w:hint="eastAsia" w:ascii="宋体" w:hAnsi="宋体" w:cs="Arial"/>
          <w:color w:val="auto"/>
          <w:kern w:val="0"/>
          <w:szCs w:val="21"/>
          <w:highlight w:val="none"/>
          <w:u w:val="single"/>
        </w:rPr>
        <w:t xml:space="preserve">    (供应商名称)    </w:t>
      </w:r>
      <w:r>
        <w:rPr>
          <w:rFonts w:hint="eastAsia" w:ascii="宋体" w:hAnsi="宋体" w:cs="Arial"/>
          <w:color w:val="auto"/>
          <w:kern w:val="0"/>
          <w:szCs w:val="21"/>
          <w:highlight w:val="none"/>
        </w:rPr>
        <w:t>的法定代表人，现委托</w:t>
      </w:r>
      <w:r>
        <w:rPr>
          <w:rFonts w:hint="eastAsia" w:ascii="宋体" w:hAnsi="宋体" w:cs="Arial"/>
          <w:color w:val="auto"/>
          <w:kern w:val="0"/>
          <w:szCs w:val="21"/>
          <w:highlight w:val="none"/>
          <w:u w:val="single"/>
        </w:rPr>
        <w:t xml:space="preserve">   (姓名)  </w:t>
      </w:r>
      <w:r>
        <w:rPr>
          <w:rFonts w:hint="eastAsia" w:ascii="宋体" w:hAnsi="宋体" w:cs="Arial"/>
          <w:color w:val="auto"/>
          <w:kern w:val="0"/>
          <w:szCs w:val="21"/>
          <w:highlight w:val="none"/>
        </w:rPr>
        <w:t>为我方代理人。代理人根据授权，以我方名义签署、澄清、说明、补正、递交、撤回、修改</w:t>
      </w:r>
      <w:r>
        <w:rPr>
          <w:rFonts w:hint="eastAsia" w:ascii="宋体" w:hAnsi="宋体" w:cs="Arial"/>
          <w:color w:val="auto"/>
          <w:kern w:val="0"/>
          <w:szCs w:val="21"/>
          <w:highlight w:val="none"/>
          <w:u w:val="single"/>
        </w:rPr>
        <w:t xml:space="preserve">   (项目名称)    </w:t>
      </w:r>
      <w:r>
        <w:rPr>
          <w:rFonts w:hint="eastAsia" w:ascii="宋体" w:hAnsi="宋体" w:cs="Arial"/>
          <w:color w:val="auto"/>
          <w:kern w:val="0"/>
          <w:szCs w:val="21"/>
          <w:highlight w:val="none"/>
          <w:lang w:eastAsia="zh-CN"/>
        </w:rPr>
        <w:t>响应文件</w:t>
      </w:r>
      <w:r>
        <w:rPr>
          <w:rFonts w:hint="eastAsia" w:ascii="宋体" w:hAnsi="宋体" w:cs="Arial"/>
          <w:color w:val="auto"/>
          <w:kern w:val="0"/>
          <w:szCs w:val="21"/>
          <w:highlight w:val="none"/>
        </w:rPr>
        <w:t>、签订合同和处理有关事宜，其法律后果由我方承担。</w:t>
      </w:r>
    </w:p>
    <w:p w14:paraId="02B94283">
      <w:pPr>
        <w:autoSpaceDE w:val="0"/>
        <w:autoSpaceDN w:val="0"/>
        <w:adjustRightInd w:val="0"/>
        <w:spacing w:line="6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委托期限：</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14:paraId="47164BDF">
      <w:pPr>
        <w:autoSpaceDE w:val="0"/>
        <w:autoSpaceDN w:val="0"/>
        <w:adjustRightInd w:val="0"/>
        <w:spacing w:line="60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代理人无转委托权。</w:t>
      </w:r>
    </w:p>
    <w:p w14:paraId="6FD49CB2">
      <w:pPr>
        <w:spacing w:line="600" w:lineRule="exact"/>
        <w:ind w:firstLine="420" w:firstLineChars="200"/>
        <w:jc w:val="left"/>
        <w:rPr>
          <w:rFonts w:hint="eastAsia" w:ascii="宋体" w:hAnsi="宋体" w:cs="Arial"/>
          <w:color w:val="auto"/>
          <w:kern w:val="0"/>
          <w:szCs w:val="21"/>
          <w:highlight w:val="none"/>
        </w:rPr>
      </w:pPr>
    </w:p>
    <w:p w14:paraId="61749632">
      <w:pPr>
        <w:spacing w:line="600" w:lineRule="exact"/>
        <w:ind w:firstLine="422" w:firstLineChars="200"/>
        <w:jc w:val="left"/>
        <w:rPr>
          <w:rFonts w:hint="eastAsia" w:ascii="宋体" w:hAnsi="宋体" w:cs="Arial"/>
          <w:color w:val="auto"/>
          <w:kern w:val="0"/>
          <w:szCs w:val="21"/>
          <w:highlight w:val="none"/>
        </w:rPr>
      </w:pPr>
      <w:r>
        <w:rPr>
          <w:rFonts w:hint="eastAsia" w:ascii="宋体" w:hAnsi="宋体" w:cs="Arial"/>
          <w:b/>
          <w:bCs/>
          <w:color w:val="auto"/>
          <w:kern w:val="0"/>
          <w:szCs w:val="21"/>
          <w:highlight w:val="none"/>
        </w:rPr>
        <w:t>附：被授权人身份证</w:t>
      </w:r>
      <w:r>
        <w:rPr>
          <w:rFonts w:hint="eastAsia" w:ascii="宋体" w:hAnsi="宋体" w:cs="Arial"/>
          <w:b/>
          <w:bCs/>
          <w:color w:val="auto"/>
          <w:kern w:val="0"/>
          <w:szCs w:val="21"/>
          <w:highlight w:val="none"/>
          <w:lang w:val="en-US" w:eastAsia="zh-CN"/>
        </w:rPr>
        <w:t>正、反面</w:t>
      </w:r>
      <w:r>
        <w:rPr>
          <w:rFonts w:hint="eastAsia" w:ascii="宋体" w:hAnsi="宋体" w:cs="Arial"/>
          <w:b/>
          <w:bCs/>
          <w:color w:val="auto"/>
          <w:kern w:val="0"/>
          <w:szCs w:val="21"/>
          <w:highlight w:val="none"/>
        </w:rPr>
        <w:t>复印件</w:t>
      </w:r>
    </w:p>
    <w:p w14:paraId="48288363">
      <w:pPr>
        <w:autoSpaceDE w:val="0"/>
        <w:autoSpaceDN w:val="0"/>
        <w:adjustRightInd w:val="0"/>
        <w:spacing w:line="600" w:lineRule="exact"/>
        <w:ind w:left="540" w:leftChars="257"/>
        <w:jc w:val="left"/>
        <w:rPr>
          <w:rFonts w:hint="eastAsia" w:ascii="宋体" w:hAnsi="宋体" w:cs="Arial"/>
          <w:color w:val="auto"/>
          <w:kern w:val="0"/>
          <w:szCs w:val="21"/>
          <w:highlight w:val="none"/>
        </w:rPr>
      </w:pPr>
    </w:p>
    <w:p w14:paraId="67C2CBFD">
      <w:pPr>
        <w:autoSpaceDE w:val="0"/>
        <w:autoSpaceDN w:val="0"/>
        <w:adjustRightInd w:val="0"/>
        <w:spacing w:line="600" w:lineRule="exact"/>
        <w:ind w:left="540" w:leftChars="257"/>
        <w:jc w:val="left"/>
        <w:rPr>
          <w:rFonts w:hint="eastAsia" w:ascii="宋体" w:hAnsi="宋体" w:cs="Arial"/>
          <w:color w:val="auto"/>
          <w:kern w:val="0"/>
          <w:szCs w:val="21"/>
          <w:highlight w:val="none"/>
        </w:rPr>
      </w:pPr>
    </w:p>
    <w:p w14:paraId="6629046F">
      <w:pPr>
        <w:autoSpaceDE w:val="0"/>
        <w:autoSpaceDN w:val="0"/>
        <w:adjustRightInd w:val="0"/>
        <w:spacing w:line="600" w:lineRule="exact"/>
        <w:ind w:left="540" w:leftChars="257"/>
        <w:jc w:val="left"/>
        <w:rPr>
          <w:rFonts w:ascii="宋体" w:hAnsi="宋体" w:cs="Arial"/>
          <w:color w:val="auto"/>
          <w:kern w:val="0"/>
          <w:szCs w:val="21"/>
          <w:highlight w:val="none"/>
        </w:rPr>
      </w:pPr>
      <w:r>
        <w:rPr>
          <w:rFonts w:hint="eastAsia" w:ascii="宋体" w:hAnsi="宋体" w:cs="Arial"/>
          <w:color w:val="auto"/>
          <w:kern w:val="0"/>
          <w:szCs w:val="21"/>
          <w:highlight w:val="none"/>
        </w:rPr>
        <w:t>供  应  商：</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(盖单位章)</w:t>
      </w:r>
    </w:p>
    <w:p w14:paraId="3368C557">
      <w:pPr>
        <w:autoSpaceDE w:val="0"/>
        <w:autoSpaceDN w:val="0"/>
        <w:adjustRightInd w:val="0"/>
        <w:spacing w:line="600" w:lineRule="exact"/>
        <w:ind w:left="540" w:leftChars="257"/>
        <w:jc w:val="left"/>
        <w:rPr>
          <w:rFonts w:ascii="宋体" w:hAnsi="宋体" w:cs="Arial"/>
          <w:color w:val="auto"/>
          <w:kern w:val="0"/>
          <w:szCs w:val="21"/>
          <w:highlight w:val="none"/>
        </w:rPr>
      </w:pPr>
      <w:r>
        <w:rPr>
          <w:rFonts w:hint="eastAsia" w:ascii="宋体" w:hAnsi="宋体" w:cs="Arial"/>
          <w:color w:val="auto"/>
          <w:kern w:val="0"/>
          <w:szCs w:val="21"/>
          <w:highlight w:val="none"/>
        </w:rPr>
        <w:t>法定代表人：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w:t>
      </w:r>
      <w:r>
        <w:rPr>
          <w:rFonts w:hint="eastAsia" w:ascii="宋体" w:hAnsi="宋体" w:cs="Arial"/>
          <w:color w:val="auto"/>
          <w:kern w:val="0"/>
          <w:szCs w:val="21"/>
          <w:highlight w:val="none"/>
          <w:lang w:val="en-US" w:eastAsia="zh-CN"/>
        </w:rPr>
        <w:t>或盖章</w:t>
      </w:r>
      <w:r>
        <w:rPr>
          <w:rFonts w:hint="eastAsia" w:ascii="宋体" w:hAnsi="宋体" w:cs="Arial"/>
          <w:color w:val="auto"/>
          <w:kern w:val="0"/>
          <w:szCs w:val="21"/>
          <w:highlight w:val="none"/>
        </w:rPr>
        <w:t>)</w:t>
      </w:r>
    </w:p>
    <w:p w14:paraId="3ED953C7">
      <w:pPr>
        <w:autoSpaceDE w:val="0"/>
        <w:autoSpaceDN w:val="0"/>
        <w:adjustRightInd w:val="0"/>
        <w:spacing w:line="600" w:lineRule="exact"/>
        <w:ind w:left="540" w:leftChars="257"/>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身份证号码：</w:t>
      </w:r>
      <w:r>
        <w:rPr>
          <w:rFonts w:hint="eastAsia" w:ascii="宋体" w:hAnsi="宋体" w:cs="Arial"/>
          <w:color w:val="auto"/>
          <w:kern w:val="0"/>
          <w:szCs w:val="21"/>
          <w:highlight w:val="none"/>
          <w:u w:val="single"/>
        </w:rPr>
        <w:t xml:space="preserve">                            </w:t>
      </w:r>
    </w:p>
    <w:p w14:paraId="44E5B54C">
      <w:pPr>
        <w:autoSpaceDE w:val="0"/>
        <w:autoSpaceDN w:val="0"/>
        <w:adjustRightInd w:val="0"/>
        <w:spacing w:line="600" w:lineRule="exact"/>
        <w:ind w:left="540" w:leftChars="257"/>
        <w:jc w:val="left"/>
        <w:rPr>
          <w:rFonts w:ascii="宋体" w:hAnsi="宋体" w:cs="Arial"/>
          <w:color w:val="auto"/>
          <w:kern w:val="0"/>
          <w:szCs w:val="21"/>
          <w:highlight w:val="none"/>
        </w:rPr>
      </w:pPr>
      <w:r>
        <w:rPr>
          <w:rFonts w:hint="eastAsia" w:ascii="宋体" w:hAnsi="宋体" w:cs="Arial"/>
          <w:color w:val="auto"/>
          <w:kern w:val="0"/>
          <w:szCs w:val="21"/>
          <w:highlight w:val="none"/>
        </w:rPr>
        <w:t>委托代理人：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(签字</w:t>
      </w:r>
      <w:r>
        <w:rPr>
          <w:rFonts w:hint="eastAsia" w:ascii="宋体" w:hAnsi="宋体" w:cs="Arial"/>
          <w:color w:val="auto"/>
          <w:kern w:val="0"/>
          <w:szCs w:val="21"/>
          <w:highlight w:val="none"/>
          <w:lang w:val="en-US" w:eastAsia="zh-CN"/>
        </w:rPr>
        <w:t>或盖章</w:t>
      </w:r>
      <w:r>
        <w:rPr>
          <w:rFonts w:hint="eastAsia" w:ascii="宋体" w:hAnsi="宋体" w:cs="Arial"/>
          <w:color w:val="auto"/>
          <w:kern w:val="0"/>
          <w:szCs w:val="21"/>
          <w:highlight w:val="none"/>
        </w:rPr>
        <w:t>)</w:t>
      </w:r>
    </w:p>
    <w:p w14:paraId="2230ABAE">
      <w:pPr>
        <w:autoSpaceDE w:val="0"/>
        <w:autoSpaceDN w:val="0"/>
        <w:adjustRightInd w:val="0"/>
        <w:spacing w:line="600" w:lineRule="exact"/>
        <w:ind w:left="540" w:leftChars="257"/>
        <w:jc w:val="left"/>
        <w:rPr>
          <w:rFonts w:ascii="宋体" w:hAnsi="宋体" w:cs="Arial"/>
          <w:color w:val="auto"/>
          <w:kern w:val="0"/>
          <w:szCs w:val="21"/>
          <w:highlight w:val="none"/>
        </w:rPr>
      </w:pPr>
      <w:r>
        <w:rPr>
          <w:rFonts w:hint="eastAsia" w:ascii="宋体" w:hAnsi="宋体" w:cs="Arial"/>
          <w:color w:val="auto"/>
          <w:kern w:val="0"/>
          <w:szCs w:val="21"/>
          <w:highlight w:val="none"/>
        </w:rPr>
        <w:t>身份证号码：</w:t>
      </w:r>
      <w:r>
        <w:rPr>
          <w:rFonts w:hint="eastAsia" w:ascii="宋体" w:hAnsi="宋体" w:cs="Arial"/>
          <w:color w:val="auto"/>
          <w:kern w:val="0"/>
          <w:szCs w:val="21"/>
          <w:highlight w:val="none"/>
          <w:u w:val="single"/>
        </w:rPr>
        <w:t xml:space="preserve">                             </w:t>
      </w:r>
    </w:p>
    <w:p w14:paraId="67FA6867">
      <w:pPr>
        <w:spacing w:line="600" w:lineRule="exact"/>
        <w:ind w:firstLine="1890" w:firstLineChars="900"/>
        <w:jc w:val="right"/>
        <w:rPr>
          <w:rFonts w:hint="eastAsia" w:ascii="宋体" w:hAnsi="宋体" w:cs="Arial"/>
          <w:color w:val="auto"/>
          <w:kern w:val="0"/>
          <w:szCs w:val="21"/>
          <w:highlight w:val="none"/>
          <w:u w:val="single"/>
        </w:rPr>
      </w:pPr>
    </w:p>
    <w:p w14:paraId="3FD25793">
      <w:pPr>
        <w:spacing w:line="600" w:lineRule="exact"/>
        <w:ind w:firstLine="1890" w:firstLineChars="900"/>
        <w:jc w:val="right"/>
        <w:rPr>
          <w:rFonts w:hint="eastAsia" w:ascii="宋体" w:hAnsi="宋体" w:cs="Arial"/>
          <w:color w:val="auto"/>
          <w:kern w:val="0"/>
          <w:szCs w:val="21"/>
          <w:highlight w:val="none"/>
        </w:rPr>
      </w:pP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月</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日</w:t>
      </w:r>
    </w:p>
    <w:p w14:paraId="63040E30">
      <w:pPr>
        <w:pStyle w:val="23"/>
        <w:numPr>
          <w:ilvl w:val="0"/>
          <w:numId w:val="0"/>
        </w:numPr>
        <w:rPr>
          <w:rFonts w:hint="eastAsia" w:ascii="宋体" w:hAnsi="宋体" w:cs="Arial"/>
          <w:color w:val="auto"/>
          <w:kern w:val="0"/>
          <w:szCs w:val="21"/>
          <w:highlight w:val="none"/>
        </w:rPr>
      </w:pPr>
    </w:p>
    <w:p w14:paraId="66B09161">
      <w:pPr>
        <w:pStyle w:val="23"/>
        <w:numPr>
          <w:ilvl w:val="0"/>
          <w:numId w:val="0"/>
        </w:numPr>
        <w:rPr>
          <w:rFonts w:hint="eastAsia" w:ascii="宋体" w:hAnsi="宋体" w:cs="Arial"/>
          <w:color w:val="auto"/>
          <w:kern w:val="0"/>
          <w:szCs w:val="21"/>
          <w:highlight w:val="none"/>
        </w:rPr>
      </w:pPr>
    </w:p>
    <w:p w14:paraId="1E6FE66B">
      <w:pPr>
        <w:pStyle w:val="23"/>
        <w:numPr>
          <w:ilvl w:val="0"/>
          <w:numId w:val="0"/>
        </w:numPr>
        <w:rPr>
          <w:rFonts w:hint="eastAsia" w:ascii="宋体" w:hAnsi="宋体" w:cs="Arial"/>
          <w:color w:val="auto"/>
          <w:kern w:val="0"/>
          <w:szCs w:val="21"/>
          <w:highlight w:val="none"/>
        </w:rPr>
      </w:pPr>
    </w:p>
    <w:p w14:paraId="62A66EEE">
      <w:pPr>
        <w:pStyle w:val="23"/>
        <w:numPr>
          <w:ilvl w:val="0"/>
          <w:numId w:val="0"/>
        </w:numPr>
        <w:rPr>
          <w:rFonts w:hint="eastAsia" w:ascii="宋体" w:hAnsi="宋体" w:cs="Arial"/>
          <w:color w:val="auto"/>
          <w:kern w:val="0"/>
          <w:szCs w:val="21"/>
          <w:highlight w:val="none"/>
        </w:rPr>
      </w:pPr>
    </w:p>
    <w:p w14:paraId="0BB43280">
      <w:pPr>
        <w:pStyle w:val="23"/>
        <w:numPr>
          <w:ilvl w:val="0"/>
          <w:numId w:val="0"/>
        </w:numPr>
        <w:rPr>
          <w:rFonts w:hint="eastAsia" w:ascii="宋体" w:hAnsi="宋体" w:cs="Arial"/>
          <w:color w:val="auto"/>
          <w:kern w:val="0"/>
          <w:szCs w:val="21"/>
          <w:highlight w:val="none"/>
        </w:rPr>
      </w:pPr>
    </w:p>
    <w:p w14:paraId="5026117B">
      <w:pPr>
        <w:pStyle w:val="23"/>
        <w:numPr>
          <w:ilvl w:val="0"/>
          <w:numId w:val="0"/>
        </w:numPr>
        <w:rPr>
          <w:rFonts w:hint="eastAsia" w:ascii="宋体" w:hAnsi="宋体" w:cs="Arial"/>
          <w:color w:val="auto"/>
          <w:kern w:val="0"/>
          <w:szCs w:val="21"/>
          <w:highlight w:val="none"/>
        </w:rPr>
      </w:pPr>
    </w:p>
    <w:p w14:paraId="019A9526">
      <w:pPr>
        <w:pStyle w:val="23"/>
        <w:numPr>
          <w:ilvl w:val="0"/>
          <w:numId w:val="0"/>
        </w:numPr>
        <w:rPr>
          <w:rFonts w:hint="eastAsia" w:ascii="宋体" w:hAnsi="宋体" w:cs="Arial"/>
          <w:color w:val="auto"/>
          <w:kern w:val="0"/>
          <w:szCs w:val="21"/>
          <w:highlight w:val="none"/>
        </w:rPr>
      </w:pPr>
    </w:p>
    <w:p w14:paraId="4BEB8361">
      <w:pPr>
        <w:pStyle w:val="23"/>
        <w:numPr>
          <w:ilvl w:val="0"/>
          <w:numId w:val="0"/>
        </w:numPr>
        <w:jc w:val="center"/>
        <w:rPr>
          <w:rFonts w:hint="eastAsia" w:ascii="宋体" w:hAnsi="宋体" w:eastAsia="宋体" w:cs="Arial"/>
          <w:b/>
          <w:bCs/>
          <w:color w:val="auto"/>
          <w:kern w:val="0"/>
          <w:sz w:val="30"/>
          <w:szCs w:val="30"/>
          <w:highlight w:val="none"/>
          <w:lang w:val="en-US" w:eastAsia="zh-CN" w:bidi="ar-SA"/>
        </w:rPr>
      </w:pPr>
      <w:r>
        <w:rPr>
          <w:rFonts w:hint="eastAsia" w:ascii="宋体" w:hAnsi="宋体" w:eastAsia="宋体" w:cs="Arial"/>
          <w:b/>
          <w:bCs/>
          <w:color w:val="auto"/>
          <w:kern w:val="0"/>
          <w:sz w:val="30"/>
          <w:szCs w:val="30"/>
          <w:highlight w:val="none"/>
          <w:lang w:val="en-US" w:eastAsia="zh-CN" w:bidi="ar-SA"/>
        </w:rPr>
        <w:t>四、开标一览表</w:t>
      </w:r>
    </w:p>
    <w:p w14:paraId="10656826">
      <w:pPr>
        <w:pStyle w:val="4"/>
        <w:ind w:firstLine="0"/>
        <w:jc w:val="left"/>
        <w:rPr>
          <w:rFonts w:hint="eastAsia" w:ascii="宋体" w:hAnsi="宋体"/>
          <w:sz w:val="21"/>
          <w:szCs w:val="21"/>
          <w:highlight w:val="none"/>
        </w:rPr>
      </w:pPr>
    </w:p>
    <w:p w14:paraId="670817B6">
      <w:pPr>
        <w:pStyle w:val="4"/>
        <w:ind w:firstLine="0"/>
        <w:jc w:val="left"/>
        <w:rPr>
          <w:rFonts w:hint="eastAsia" w:ascii="宋体" w:hAnsi="宋体"/>
          <w:sz w:val="21"/>
          <w:szCs w:val="21"/>
          <w:highlight w:val="none"/>
        </w:rPr>
      </w:pPr>
    </w:p>
    <w:p w14:paraId="55E9CE11">
      <w:pPr>
        <w:pStyle w:val="4"/>
        <w:spacing w:line="360" w:lineRule="auto"/>
        <w:ind w:firstLine="0"/>
        <w:jc w:val="left"/>
        <w:rPr>
          <w:rFonts w:ascii="宋体" w:hAnsi="宋体"/>
          <w:sz w:val="21"/>
          <w:szCs w:val="21"/>
          <w:highlight w:val="none"/>
        </w:rPr>
      </w:pPr>
      <w:r>
        <w:rPr>
          <w:rFonts w:hint="eastAsia" w:ascii="宋体" w:hAnsi="宋体"/>
          <w:sz w:val="21"/>
          <w:szCs w:val="21"/>
          <w:highlight w:val="none"/>
        </w:rPr>
        <w:t>项目名称：</w:t>
      </w:r>
    </w:p>
    <w:p w14:paraId="778FB68E">
      <w:pPr>
        <w:pStyle w:val="4"/>
        <w:spacing w:line="360" w:lineRule="auto"/>
        <w:ind w:firstLine="0"/>
        <w:jc w:val="left"/>
        <w:rPr>
          <w:rFonts w:ascii="宋体" w:hAnsi="宋体"/>
          <w:sz w:val="21"/>
          <w:szCs w:val="21"/>
          <w:highlight w:val="none"/>
        </w:rPr>
      </w:pPr>
      <w:r>
        <w:rPr>
          <w:rFonts w:hint="eastAsia" w:ascii="宋体" w:hAnsi="宋体"/>
          <w:sz w:val="21"/>
          <w:szCs w:val="21"/>
          <w:highlight w:val="none"/>
        </w:rPr>
        <w:t>项目编号：</w:t>
      </w:r>
    </w:p>
    <w:tbl>
      <w:tblPr>
        <w:tblStyle w:val="18"/>
        <w:tblW w:w="8677" w:type="dxa"/>
        <w:jc w:val="center"/>
        <w:tblLayout w:type="fixed"/>
        <w:tblCellMar>
          <w:top w:w="0" w:type="dxa"/>
          <w:left w:w="0" w:type="dxa"/>
          <w:bottom w:w="0" w:type="dxa"/>
          <w:right w:w="0" w:type="dxa"/>
        </w:tblCellMar>
      </w:tblPr>
      <w:tblGrid>
        <w:gridCol w:w="1244"/>
        <w:gridCol w:w="3997"/>
        <w:gridCol w:w="1813"/>
        <w:gridCol w:w="1623"/>
      </w:tblGrid>
      <w:tr w14:paraId="33CA6285">
        <w:tblPrEx>
          <w:tblCellMar>
            <w:top w:w="0" w:type="dxa"/>
            <w:left w:w="0" w:type="dxa"/>
            <w:bottom w:w="0" w:type="dxa"/>
            <w:right w:w="0" w:type="dxa"/>
          </w:tblCellMar>
        </w:tblPrEx>
        <w:trPr>
          <w:trHeight w:val="870" w:hRule="atLeast"/>
          <w:jc w:val="center"/>
        </w:trPr>
        <w:tc>
          <w:tcPr>
            <w:tcW w:w="1244" w:type="dxa"/>
            <w:tcBorders>
              <w:top w:val="single" w:color="auto" w:sz="8" w:space="0"/>
              <w:left w:val="single" w:color="auto" w:sz="8" w:space="0"/>
              <w:bottom w:val="single" w:color="auto" w:sz="8" w:space="0"/>
              <w:right w:val="single" w:color="auto" w:sz="4" w:space="0"/>
            </w:tcBorders>
            <w:vAlign w:val="center"/>
          </w:tcPr>
          <w:p w14:paraId="46F4CF3E">
            <w:pPr>
              <w:tabs>
                <w:tab w:val="left" w:pos="5580"/>
              </w:tabs>
              <w:jc w:val="center"/>
              <w:rPr>
                <w:rFonts w:ascii="宋体" w:hAnsi="宋体"/>
                <w:bCs/>
                <w:sz w:val="21"/>
                <w:szCs w:val="21"/>
                <w:highlight w:val="none"/>
              </w:rPr>
            </w:pPr>
            <w:r>
              <w:rPr>
                <w:rFonts w:hint="eastAsia" w:ascii="宋体" w:hAnsi="宋体"/>
                <w:bCs/>
                <w:sz w:val="21"/>
                <w:szCs w:val="21"/>
                <w:highlight w:val="none"/>
              </w:rPr>
              <w:t>序号</w:t>
            </w:r>
          </w:p>
        </w:tc>
        <w:tc>
          <w:tcPr>
            <w:tcW w:w="3997" w:type="dxa"/>
            <w:tcBorders>
              <w:top w:val="single" w:color="auto" w:sz="4" w:space="0"/>
              <w:left w:val="single" w:color="auto" w:sz="4" w:space="0"/>
              <w:bottom w:val="single" w:color="auto" w:sz="8" w:space="0"/>
              <w:right w:val="single" w:color="auto" w:sz="4" w:space="0"/>
            </w:tcBorders>
            <w:vAlign w:val="center"/>
          </w:tcPr>
          <w:p w14:paraId="2588F381">
            <w:pPr>
              <w:tabs>
                <w:tab w:val="left" w:pos="5580"/>
              </w:tabs>
              <w:jc w:val="center"/>
              <w:rPr>
                <w:rFonts w:ascii="宋体" w:hAnsi="宋体"/>
                <w:bCs/>
                <w:sz w:val="21"/>
                <w:szCs w:val="21"/>
                <w:highlight w:val="none"/>
              </w:rPr>
            </w:pPr>
            <w:r>
              <w:rPr>
                <w:rFonts w:hint="eastAsia" w:ascii="宋体" w:hAnsi="宋体"/>
                <w:bCs/>
                <w:sz w:val="21"/>
                <w:szCs w:val="21"/>
                <w:highlight w:val="none"/>
              </w:rPr>
              <w:t>单位名称</w:t>
            </w:r>
          </w:p>
        </w:tc>
        <w:tc>
          <w:tcPr>
            <w:tcW w:w="1813" w:type="dxa"/>
            <w:tcBorders>
              <w:top w:val="single" w:color="auto" w:sz="8" w:space="0"/>
              <w:left w:val="single" w:color="auto" w:sz="8" w:space="0"/>
              <w:bottom w:val="single" w:color="auto" w:sz="8" w:space="0"/>
              <w:right w:val="single" w:color="auto" w:sz="4" w:space="0"/>
            </w:tcBorders>
            <w:vAlign w:val="center"/>
          </w:tcPr>
          <w:p w14:paraId="47946C28">
            <w:pPr>
              <w:tabs>
                <w:tab w:val="left" w:pos="5580"/>
              </w:tabs>
              <w:ind w:left="163" w:hanging="163"/>
              <w:jc w:val="center"/>
              <w:rPr>
                <w:rFonts w:hint="eastAsia" w:ascii="宋体" w:hAnsi="宋体"/>
                <w:bCs/>
                <w:sz w:val="21"/>
                <w:szCs w:val="21"/>
                <w:highlight w:val="none"/>
                <w:lang w:eastAsia="zh-CN"/>
              </w:rPr>
            </w:pPr>
            <w:r>
              <w:rPr>
                <w:rFonts w:hint="eastAsia" w:ascii="宋体" w:hAnsi="宋体"/>
                <w:bCs/>
                <w:sz w:val="21"/>
                <w:szCs w:val="21"/>
                <w:highlight w:val="none"/>
              </w:rPr>
              <w:t>投标</w:t>
            </w:r>
            <w:r>
              <w:rPr>
                <w:rFonts w:hint="eastAsia" w:ascii="宋体" w:hAnsi="宋体"/>
                <w:bCs/>
                <w:sz w:val="21"/>
                <w:szCs w:val="21"/>
                <w:highlight w:val="none"/>
                <w:lang w:eastAsia="zh-CN"/>
              </w:rPr>
              <w:t>报价</w:t>
            </w:r>
          </w:p>
          <w:p w14:paraId="57154461">
            <w:pPr>
              <w:tabs>
                <w:tab w:val="left" w:pos="5580"/>
              </w:tabs>
              <w:ind w:left="163" w:hanging="163"/>
              <w:jc w:val="center"/>
              <w:rPr>
                <w:rFonts w:hint="eastAsia" w:ascii="宋体" w:hAnsi="宋体" w:eastAsia="宋体"/>
                <w:bCs/>
                <w:sz w:val="21"/>
                <w:szCs w:val="21"/>
                <w:highlight w:val="none"/>
                <w:lang w:eastAsia="zh-CN"/>
              </w:rPr>
            </w:pP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元/吨</w:t>
            </w:r>
            <w:r>
              <w:rPr>
                <w:rFonts w:hint="eastAsia" w:ascii="宋体" w:hAnsi="宋体"/>
                <w:bCs/>
                <w:sz w:val="21"/>
                <w:szCs w:val="21"/>
                <w:highlight w:val="none"/>
                <w:lang w:eastAsia="zh-CN"/>
              </w:rPr>
              <w:t>）</w:t>
            </w:r>
          </w:p>
        </w:tc>
        <w:tc>
          <w:tcPr>
            <w:tcW w:w="1623" w:type="dxa"/>
            <w:tcBorders>
              <w:top w:val="single" w:color="auto" w:sz="8" w:space="0"/>
              <w:left w:val="single" w:color="auto" w:sz="4" w:space="0"/>
              <w:bottom w:val="single" w:color="auto" w:sz="4" w:space="0"/>
              <w:right w:val="single" w:color="auto" w:sz="8" w:space="0"/>
            </w:tcBorders>
            <w:vAlign w:val="center"/>
          </w:tcPr>
          <w:p w14:paraId="2B75A692">
            <w:pPr>
              <w:tabs>
                <w:tab w:val="left" w:pos="5580"/>
              </w:tabs>
              <w:jc w:val="center"/>
              <w:rPr>
                <w:rFonts w:ascii="宋体" w:hAnsi="宋体"/>
                <w:bCs/>
                <w:sz w:val="21"/>
                <w:szCs w:val="21"/>
                <w:highlight w:val="none"/>
              </w:rPr>
            </w:pPr>
            <w:r>
              <w:rPr>
                <w:rFonts w:hint="eastAsia" w:ascii="宋体" w:hAnsi="宋体"/>
                <w:bCs/>
                <w:sz w:val="21"/>
                <w:szCs w:val="21"/>
                <w:highlight w:val="none"/>
              </w:rPr>
              <w:t>备注</w:t>
            </w:r>
          </w:p>
        </w:tc>
      </w:tr>
      <w:tr w14:paraId="3721BE49">
        <w:tblPrEx>
          <w:tblCellMar>
            <w:top w:w="0" w:type="dxa"/>
            <w:left w:w="0" w:type="dxa"/>
            <w:bottom w:w="0" w:type="dxa"/>
            <w:right w:w="0" w:type="dxa"/>
          </w:tblCellMar>
        </w:tblPrEx>
        <w:trPr>
          <w:trHeight w:val="994" w:hRule="atLeast"/>
          <w:jc w:val="center"/>
        </w:trPr>
        <w:tc>
          <w:tcPr>
            <w:tcW w:w="1244" w:type="dxa"/>
            <w:tcBorders>
              <w:top w:val="single" w:color="auto" w:sz="4" w:space="0"/>
              <w:left w:val="single" w:color="auto" w:sz="8" w:space="0"/>
              <w:bottom w:val="single" w:color="auto" w:sz="8" w:space="0"/>
              <w:right w:val="single" w:color="auto" w:sz="4" w:space="0"/>
            </w:tcBorders>
            <w:vAlign w:val="center"/>
          </w:tcPr>
          <w:p w14:paraId="0F2C25BE">
            <w:pPr>
              <w:tabs>
                <w:tab w:val="left" w:pos="5580"/>
              </w:tabs>
              <w:ind w:firstLine="35" w:firstLineChars="17"/>
              <w:rPr>
                <w:rFonts w:ascii="宋体" w:hAnsi="宋体"/>
                <w:sz w:val="21"/>
                <w:szCs w:val="21"/>
                <w:highlight w:val="none"/>
              </w:rPr>
            </w:pPr>
          </w:p>
        </w:tc>
        <w:tc>
          <w:tcPr>
            <w:tcW w:w="3997" w:type="dxa"/>
            <w:tcBorders>
              <w:top w:val="single" w:color="auto" w:sz="4" w:space="0"/>
              <w:left w:val="single" w:color="auto" w:sz="4" w:space="0"/>
              <w:bottom w:val="single" w:color="auto" w:sz="8" w:space="0"/>
              <w:right w:val="single" w:color="auto" w:sz="4" w:space="0"/>
            </w:tcBorders>
            <w:vAlign w:val="center"/>
          </w:tcPr>
          <w:p w14:paraId="60B13B10">
            <w:pPr>
              <w:tabs>
                <w:tab w:val="left" w:pos="5580"/>
              </w:tabs>
              <w:ind w:firstLine="35" w:firstLineChars="17"/>
              <w:rPr>
                <w:rFonts w:ascii="宋体" w:hAnsi="宋体"/>
                <w:sz w:val="21"/>
                <w:szCs w:val="21"/>
                <w:highlight w:val="none"/>
              </w:rPr>
            </w:pPr>
          </w:p>
        </w:tc>
        <w:tc>
          <w:tcPr>
            <w:tcW w:w="1813" w:type="dxa"/>
            <w:tcBorders>
              <w:top w:val="single" w:color="auto" w:sz="8" w:space="0"/>
              <w:left w:val="single" w:color="auto" w:sz="8" w:space="0"/>
              <w:bottom w:val="single" w:color="auto" w:sz="8" w:space="0"/>
              <w:right w:val="single" w:color="auto" w:sz="4" w:space="0"/>
            </w:tcBorders>
            <w:vAlign w:val="center"/>
          </w:tcPr>
          <w:p w14:paraId="2F342303">
            <w:pPr>
              <w:tabs>
                <w:tab w:val="left" w:pos="5580"/>
              </w:tabs>
              <w:jc w:val="center"/>
              <w:rPr>
                <w:rFonts w:hint="default" w:ascii="宋体" w:hAnsi="宋体" w:eastAsia="宋体"/>
                <w:sz w:val="21"/>
                <w:szCs w:val="21"/>
                <w:highlight w:val="none"/>
                <w:lang w:val="en-US" w:eastAsia="zh-CN"/>
              </w:rPr>
            </w:pPr>
          </w:p>
        </w:tc>
        <w:tc>
          <w:tcPr>
            <w:tcW w:w="1623" w:type="dxa"/>
            <w:tcBorders>
              <w:top w:val="single" w:color="auto" w:sz="4" w:space="0"/>
              <w:left w:val="single" w:color="auto" w:sz="4" w:space="0"/>
              <w:bottom w:val="single" w:color="auto" w:sz="8" w:space="0"/>
              <w:right w:val="single" w:color="auto" w:sz="8" w:space="0"/>
            </w:tcBorders>
            <w:vAlign w:val="center"/>
          </w:tcPr>
          <w:p w14:paraId="1F8814EE">
            <w:pPr>
              <w:tabs>
                <w:tab w:val="left" w:pos="5580"/>
              </w:tabs>
              <w:rPr>
                <w:rFonts w:ascii="宋体" w:hAnsi="宋体"/>
                <w:sz w:val="21"/>
                <w:szCs w:val="21"/>
                <w:highlight w:val="none"/>
              </w:rPr>
            </w:pPr>
          </w:p>
        </w:tc>
      </w:tr>
    </w:tbl>
    <w:p w14:paraId="16C5552C">
      <w:pPr>
        <w:pStyle w:val="23"/>
        <w:numPr>
          <w:ilvl w:val="0"/>
          <w:numId w:val="0"/>
        </w:numPr>
        <w:rPr>
          <w:rFonts w:hint="eastAsia" w:ascii="宋体" w:hAnsi="宋体" w:eastAsia="宋体" w:cs="Arial"/>
          <w:b/>
          <w:bCs/>
          <w:color w:val="auto"/>
          <w:kern w:val="0"/>
          <w:sz w:val="30"/>
          <w:szCs w:val="30"/>
          <w:highlight w:val="none"/>
          <w:lang w:val="en-US" w:eastAsia="zh-CN" w:bidi="ar-SA"/>
        </w:rPr>
      </w:pPr>
    </w:p>
    <w:p w14:paraId="4D6ED3AA">
      <w:pPr>
        <w:autoSpaceDE w:val="0"/>
        <w:autoSpaceDN w:val="0"/>
        <w:adjustRightInd w:val="0"/>
        <w:spacing w:line="360" w:lineRule="auto"/>
        <w:ind w:firstLine="482"/>
        <w:rPr>
          <w:rFonts w:hint="eastAsia" w:ascii="宋体" w:hAnsi="宋体" w:cs="宋体"/>
          <w:bCs/>
          <w:sz w:val="21"/>
          <w:szCs w:val="21"/>
          <w:highlight w:val="none"/>
          <w:lang w:val="zh-CN"/>
        </w:rPr>
      </w:pPr>
    </w:p>
    <w:p w14:paraId="4E59A4AD">
      <w:pPr>
        <w:autoSpaceDE w:val="0"/>
        <w:autoSpaceDN w:val="0"/>
        <w:adjustRightInd w:val="0"/>
        <w:spacing w:line="360" w:lineRule="auto"/>
        <w:ind w:firstLine="482"/>
        <w:rPr>
          <w:rFonts w:hint="eastAsia" w:ascii="宋体" w:hAnsi="宋体" w:cs="宋体"/>
          <w:bCs/>
          <w:sz w:val="21"/>
          <w:szCs w:val="21"/>
          <w:highlight w:val="none"/>
          <w:lang w:val="zh-CN"/>
        </w:rPr>
      </w:pPr>
    </w:p>
    <w:p w14:paraId="2B2DA3D9">
      <w:pPr>
        <w:autoSpaceDE w:val="0"/>
        <w:autoSpaceDN w:val="0"/>
        <w:adjustRightInd w:val="0"/>
        <w:spacing w:line="360" w:lineRule="auto"/>
        <w:ind w:firstLine="482"/>
        <w:rPr>
          <w:rFonts w:ascii="宋体" w:hAnsi="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lang w:val="zh-CN"/>
        </w:rPr>
        <w:t>（盖章）</w:t>
      </w:r>
    </w:p>
    <w:p w14:paraId="0350883F">
      <w:pPr>
        <w:autoSpaceDE w:val="0"/>
        <w:autoSpaceDN w:val="0"/>
        <w:adjustRightInd w:val="0"/>
        <w:spacing w:line="360" w:lineRule="auto"/>
        <w:ind w:firstLine="482"/>
        <w:rPr>
          <w:rFonts w:ascii="宋体" w:hAnsi="宋体" w:cs="宋体"/>
          <w:bCs/>
          <w:sz w:val="21"/>
          <w:szCs w:val="21"/>
          <w:highlight w:val="none"/>
          <w:lang w:val="zh-CN"/>
        </w:rPr>
      </w:pPr>
      <w:r>
        <w:rPr>
          <w:rFonts w:hint="eastAsia" w:ascii="宋体" w:hAnsi="宋体" w:cs="宋体"/>
          <w:bCs/>
          <w:sz w:val="21"/>
          <w:szCs w:val="21"/>
          <w:highlight w:val="none"/>
          <w:lang w:val="zh-CN"/>
        </w:rPr>
        <w:t>法定代表人或其委托代理人：</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lang w:val="zh-CN"/>
        </w:rPr>
        <w:t>（签字</w:t>
      </w:r>
      <w:r>
        <w:rPr>
          <w:rFonts w:hint="eastAsia" w:ascii="宋体" w:hAnsi="宋体" w:cs="宋体"/>
          <w:bCs/>
          <w:sz w:val="21"/>
          <w:szCs w:val="21"/>
          <w:highlight w:val="none"/>
          <w:lang w:val="en-US" w:eastAsia="zh-CN"/>
        </w:rPr>
        <w:t>或盖章</w:t>
      </w:r>
      <w:r>
        <w:rPr>
          <w:rFonts w:hint="eastAsia" w:ascii="宋体" w:hAnsi="宋体" w:cs="宋体"/>
          <w:bCs/>
          <w:sz w:val="21"/>
          <w:szCs w:val="21"/>
          <w:highlight w:val="none"/>
          <w:lang w:val="zh-CN"/>
        </w:rPr>
        <w:t>）</w:t>
      </w:r>
    </w:p>
    <w:p w14:paraId="455F9F2A">
      <w:pPr>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日</w:t>
      </w:r>
    </w:p>
    <w:p w14:paraId="14238F6D">
      <w:pPr>
        <w:pStyle w:val="24"/>
        <w:rPr>
          <w:highlight w:val="none"/>
        </w:rPr>
      </w:pPr>
    </w:p>
    <w:p w14:paraId="676AF83A">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640A75BF">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38D0D753">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78A6AD18">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18487116">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34A98241">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5F31F984">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4509D71E">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6865571A">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034055AB">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2524C2E6">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163660E0">
      <w:pPr>
        <w:pStyle w:val="24"/>
        <w:ind w:left="0" w:leftChars="0" w:firstLine="0" w:firstLineChars="0"/>
        <w:rPr>
          <w:rFonts w:hint="eastAsia" w:ascii="宋体" w:hAnsi="宋体" w:eastAsia="宋体" w:cs="Arial"/>
          <w:b/>
          <w:bCs/>
          <w:color w:val="auto"/>
          <w:kern w:val="0"/>
          <w:sz w:val="30"/>
          <w:szCs w:val="30"/>
          <w:highlight w:val="none"/>
          <w:lang w:val="en-US" w:eastAsia="zh-CN" w:bidi="ar-SA"/>
        </w:rPr>
      </w:pPr>
    </w:p>
    <w:p w14:paraId="132E159F">
      <w:pPr>
        <w:pStyle w:val="24"/>
        <w:widowControl w:val="0"/>
        <w:numPr>
          <w:ilvl w:val="0"/>
          <w:numId w:val="0"/>
        </w:numPr>
        <w:spacing w:line="500" w:lineRule="exact"/>
        <w:jc w:val="center"/>
        <w:rPr>
          <w:rFonts w:hint="default" w:ascii="宋体" w:hAnsi="宋体" w:cs="Arial"/>
          <w:b w:val="0"/>
          <w:bCs w:val="0"/>
          <w:color w:val="auto"/>
          <w:kern w:val="0"/>
          <w:sz w:val="28"/>
          <w:szCs w:val="28"/>
          <w:highlight w:val="none"/>
          <w:lang w:val="en-US" w:eastAsia="zh-CN"/>
        </w:rPr>
      </w:pPr>
      <w:r>
        <w:rPr>
          <w:rFonts w:hint="eastAsia" w:ascii="宋体" w:hAnsi="宋体" w:eastAsia="宋体" w:cs="Arial"/>
          <w:b/>
          <w:bCs/>
          <w:color w:val="auto"/>
          <w:kern w:val="0"/>
          <w:sz w:val="30"/>
          <w:szCs w:val="30"/>
          <w:highlight w:val="none"/>
          <w:lang w:val="en-US" w:eastAsia="zh-CN" w:bidi="ar-SA"/>
        </w:rPr>
        <w:t>五、</w:t>
      </w:r>
      <w:r>
        <w:rPr>
          <w:rFonts w:hint="eastAsia" w:ascii="宋体" w:hAnsi="宋体" w:cs="楷体"/>
          <w:color w:val="auto"/>
          <w:sz w:val="30"/>
          <w:szCs w:val="30"/>
          <w:highlight w:val="none"/>
        </w:rPr>
        <w:t>资格审查资料</w:t>
      </w:r>
    </w:p>
    <w:p w14:paraId="700E7729">
      <w:pPr>
        <w:pStyle w:val="5"/>
        <w:spacing w:before="156" w:after="156"/>
        <w:jc w:val="center"/>
        <w:rPr>
          <w:rFonts w:eastAsia="黑体"/>
          <w:sz w:val="23"/>
          <w:szCs w:val="23"/>
          <w:highlight w:val="none"/>
        </w:rPr>
      </w:pPr>
      <w:r>
        <w:rPr>
          <w:rFonts w:hint="eastAsia"/>
          <w:sz w:val="24"/>
          <w:szCs w:val="24"/>
          <w:highlight w:val="none"/>
          <w:lang w:eastAsia="zh-CN"/>
        </w:rPr>
        <w:t>（</w:t>
      </w:r>
      <w:r>
        <w:rPr>
          <w:rFonts w:hint="eastAsia"/>
          <w:sz w:val="24"/>
          <w:szCs w:val="24"/>
          <w:highlight w:val="none"/>
          <w:lang w:val="en-US" w:eastAsia="zh-CN"/>
        </w:rPr>
        <w:t>一</w:t>
      </w:r>
      <w:r>
        <w:rPr>
          <w:rFonts w:hint="eastAsia"/>
          <w:sz w:val="24"/>
          <w:szCs w:val="24"/>
          <w:highlight w:val="none"/>
          <w:lang w:eastAsia="zh-CN"/>
        </w:rPr>
        <w:t>）供应商</w:t>
      </w:r>
      <w:r>
        <w:rPr>
          <w:sz w:val="24"/>
          <w:szCs w:val="24"/>
          <w:highlight w:val="none"/>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440"/>
        <w:gridCol w:w="344"/>
        <w:gridCol w:w="1096"/>
        <w:gridCol w:w="360"/>
        <w:gridCol w:w="1202"/>
        <w:gridCol w:w="886"/>
      </w:tblGrid>
      <w:tr w14:paraId="0660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7FE0B2B6">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投标人名称</w:t>
            </w:r>
          </w:p>
        </w:tc>
        <w:tc>
          <w:tcPr>
            <w:tcW w:w="7128" w:type="dxa"/>
            <w:gridSpan w:val="8"/>
            <w:noWrap w:val="0"/>
            <w:vAlign w:val="center"/>
          </w:tcPr>
          <w:p w14:paraId="4C7953BE">
            <w:pPr>
              <w:autoSpaceDE w:val="0"/>
              <w:autoSpaceDN w:val="0"/>
              <w:adjustRightInd w:val="0"/>
              <w:spacing w:line="300" w:lineRule="auto"/>
              <w:rPr>
                <w:rFonts w:ascii="宋体" w:cs="宋体"/>
                <w:b w:val="0"/>
                <w:bCs/>
                <w:color w:val="auto"/>
                <w:sz w:val="21"/>
                <w:szCs w:val="21"/>
                <w:highlight w:val="none"/>
                <w:lang w:val="zh-CN"/>
              </w:rPr>
            </w:pPr>
          </w:p>
        </w:tc>
      </w:tr>
      <w:tr w14:paraId="7CB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584AFD2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注册地址</w:t>
            </w:r>
          </w:p>
        </w:tc>
        <w:tc>
          <w:tcPr>
            <w:tcW w:w="3584" w:type="dxa"/>
            <w:gridSpan w:val="4"/>
            <w:noWrap w:val="0"/>
            <w:vAlign w:val="center"/>
          </w:tcPr>
          <w:p w14:paraId="05D6D7E7">
            <w:pPr>
              <w:autoSpaceDE w:val="0"/>
              <w:autoSpaceDN w:val="0"/>
              <w:adjustRightInd w:val="0"/>
              <w:spacing w:line="300" w:lineRule="auto"/>
              <w:rPr>
                <w:rFonts w:ascii="宋体" w:cs="宋体"/>
                <w:b w:val="0"/>
                <w:bCs/>
                <w:color w:val="auto"/>
                <w:sz w:val="21"/>
                <w:szCs w:val="21"/>
                <w:highlight w:val="none"/>
                <w:lang w:val="zh-CN"/>
              </w:rPr>
            </w:pPr>
          </w:p>
        </w:tc>
        <w:tc>
          <w:tcPr>
            <w:tcW w:w="1096" w:type="dxa"/>
            <w:noWrap w:val="0"/>
            <w:vAlign w:val="center"/>
          </w:tcPr>
          <w:p w14:paraId="5EC60EE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邮政编码</w:t>
            </w:r>
          </w:p>
        </w:tc>
        <w:tc>
          <w:tcPr>
            <w:tcW w:w="2448" w:type="dxa"/>
            <w:gridSpan w:val="3"/>
            <w:noWrap w:val="0"/>
            <w:vAlign w:val="center"/>
          </w:tcPr>
          <w:p w14:paraId="07BC882C">
            <w:pPr>
              <w:autoSpaceDE w:val="0"/>
              <w:autoSpaceDN w:val="0"/>
              <w:adjustRightInd w:val="0"/>
              <w:spacing w:line="300" w:lineRule="auto"/>
              <w:rPr>
                <w:rFonts w:ascii="宋体" w:cs="宋体"/>
                <w:b w:val="0"/>
                <w:bCs/>
                <w:color w:val="auto"/>
                <w:sz w:val="21"/>
                <w:szCs w:val="21"/>
                <w:highlight w:val="none"/>
                <w:lang w:val="zh-CN"/>
              </w:rPr>
            </w:pPr>
          </w:p>
        </w:tc>
      </w:tr>
      <w:tr w14:paraId="2A28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restart"/>
            <w:noWrap w:val="0"/>
            <w:vAlign w:val="center"/>
          </w:tcPr>
          <w:p w14:paraId="65464C8D">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联系方式</w:t>
            </w:r>
          </w:p>
        </w:tc>
        <w:tc>
          <w:tcPr>
            <w:tcW w:w="900" w:type="dxa"/>
            <w:noWrap w:val="0"/>
            <w:vAlign w:val="center"/>
          </w:tcPr>
          <w:p w14:paraId="77F0B842">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联系人</w:t>
            </w:r>
          </w:p>
        </w:tc>
        <w:tc>
          <w:tcPr>
            <w:tcW w:w="2684" w:type="dxa"/>
            <w:gridSpan w:val="3"/>
            <w:noWrap w:val="0"/>
            <w:vAlign w:val="center"/>
          </w:tcPr>
          <w:p w14:paraId="0FD3B332">
            <w:pPr>
              <w:autoSpaceDE w:val="0"/>
              <w:autoSpaceDN w:val="0"/>
              <w:adjustRightInd w:val="0"/>
              <w:spacing w:line="300" w:lineRule="auto"/>
              <w:rPr>
                <w:rFonts w:ascii="宋体" w:cs="宋体"/>
                <w:b w:val="0"/>
                <w:bCs/>
                <w:color w:val="auto"/>
                <w:sz w:val="21"/>
                <w:szCs w:val="21"/>
                <w:highlight w:val="none"/>
                <w:lang w:val="zh-CN"/>
              </w:rPr>
            </w:pPr>
          </w:p>
        </w:tc>
        <w:tc>
          <w:tcPr>
            <w:tcW w:w="1096" w:type="dxa"/>
            <w:noWrap w:val="0"/>
            <w:vAlign w:val="center"/>
          </w:tcPr>
          <w:p w14:paraId="0BD80ECC">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电话</w:t>
            </w:r>
          </w:p>
        </w:tc>
        <w:tc>
          <w:tcPr>
            <w:tcW w:w="2448" w:type="dxa"/>
            <w:gridSpan w:val="3"/>
            <w:noWrap w:val="0"/>
            <w:vAlign w:val="center"/>
          </w:tcPr>
          <w:p w14:paraId="0F622E9F">
            <w:pPr>
              <w:autoSpaceDE w:val="0"/>
              <w:autoSpaceDN w:val="0"/>
              <w:adjustRightInd w:val="0"/>
              <w:spacing w:line="300" w:lineRule="auto"/>
              <w:rPr>
                <w:rFonts w:ascii="宋体" w:cs="宋体"/>
                <w:b w:val="0"/>
                <w:bCs/>
                <w:color w:val="auto"/>
                <w:sz w:val="21"/>
                <w:szCs w:val="21"/>
                <w:highlight w:val="none"/>
                <w:lang w:val="zh-CN"/>
              </w:rPr>
            </w:pPr>
          </w:p>
        </w:tc>
      </w:tr>
      <w:tr w14:paraId="47B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continue"/>
            <w:noWrap w:val="0"/>
            <w:vAlign w:val="center"/>
          </w:tcPr>
          <w:p w14:paraId="700E1E0F">
            <w:pPr>
              <w:autoSpaceDE w:val="0"/>
              <w:autoSpaceDN w:val="0"/>
              <w:adjustRightInd w:val="0"/>
              <w:spacing w:line="300" w:lineRule="auto"/>
              <w:rPr>
                <w:rFonts w:ascii="宋体" w:cs="宋体"/>
                <w:b w:val="0"/>
                <w:bCs/>
                <w:color w:val="auto"/>
                <w:sz w:val="21"/>
                <w:szCs w:val="21"/>
                <w:highlight w:val="none"/>
                <w:lang w:val="zh-CN"/>
              </w:rPr>
            </w:pPr>
          </w:p>
        </w:tc>
        <w:tc>
          <w:tcPr>
            <w:tcW w:w="900" w:type="dxa"/>
            <w:noWrap w:val="0"/>
            <w:vAlign w:val="center"/>
          </w:tcPr>
          <w:p w14:paraId="15D8F974">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传真</w:t>
            </w:r>
          </w:p>
        </w:tc>
        <w:tc>
          <w:tcPr>
            <w:tcW w:w="2684" w:type="dxa"/>
            <w:gridSpan w:val="3"/>
            <w:noWrap w:val="0"/>
            <w:vAlign w:val="center"/>
          </w:tcPr>
          <w:p w14:paraId="7CEEFDA3">
            <w:pPr>
              <w:autoSpaceDE w:val="0"/>
              <w:autoSpaceDN w:val="0"/>
              <w:adjustRightInd w:val="0"/>
              <w:spacing w:line="300" w:lineRule="auto"/>
              <w:rPr>
                <w:rFonts w:ascii="宋体" w:cs="宋体"/>
                <w:b w:val="0"/>
                <w:bCs/>
                <w:color w:val="auto"/>
                <w:sz w:val="21"/>
                <w:szCs w:val="21"/>
                <w:highlight w:val="none"/>
                <w:lang w:val="zh-CN"/>
              </w:rPr>
            </w:pPr>
          </w:p>
        </w:tc>
        <w:tc>
          <w:tcPr>
            <w:tcW w:w="1096" w:type="dxa"/>
            <w:noWrap w:val="0"/>
            <w:vAlign w:val="center"/>
          </w:tcPr>
          <w:p w14:paraId="668D8F20">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网址</w:t>
            </w:r>
          </w:p>
        </w:tc>
        <w:tc>
          <w:tcPr>
            <w:tcW w:w="2448" w:type="dxa"/>
            <w:gridSpan w:val="3"/>
            <w:noWrap w:val="0"/>
            <w:vAlign w:val="center"/>
          </w:tcPr>
          <w:p w14:paraId="6A24B046">
            <w:pPr>
              <w:autoSpaceDE w:val="0"/>
              <w:autoSpaceDN w:val="0"/>
              <w:adjustRightInd w:val="0"/>
              <w:spacing w:line="300" w:lineRule="auto"/>
              <w:rPr>
                <w:rFonts w:ascii="宋体" w:cs="宋体"/>
                <w:b w:val="0"/>
                <w:bCs/>
                <w:color w:val="auto"/>
                <w:sz w:val="21"/>
                <w:szCs w:val="21"/>
                <w:highlight w:val="none"/>
                <w:lang w:val="zh-CN"/>
              </w:rPr>
            </w:pPr>
          </w:p>
        </w:tc>
      </w:tr>
      <w:tr w14:paraId="41A8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68FF88FC">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组织结构</w:t>
            </w:r>
          </w:p>
        </w:tc>
        <w:tc>
          <w:tcPr>
            <w:tcW w:w="7128" w:type="dxa"/>
            <w:gridSpan w:val="8"/>
            <w:noWrap w:val="0"/>
            <w:vAlign w:val="center"/>
          </w:tcPr>
          <w:p w14:paraId="45F6859E">
            <w:pPr>
              <w:autoSpaceDE w:val="0"/>
              <w:autoSpaceDN w:val="0"/>
              <w:adjustRightInd w:val="0"/>
              <w:spacing w:line="300" w:lineRule="auto"/>
              <w:rPr>
                <w:rFonts w:ascii="宋体" w:cs="宋体"/>
                <w:b w:val="0"/>
                <w:bCs/>
                <w:color w:val="auto"/>
                <w:sz w:val="21"/>
                <w:szCs w:val="21"/>
                <w:highlight w:val="none"/>
                <w:lang w:val="zh-CN"/>
              </w:rPr>
            </w:pPr>
          </w:p>
        </w:tc>
      </w:tr>
      <w:tr w14:paraId="228D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62EBFF7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法定代表人</w:t>
            </w:r>
          </w:p>
        </w:tc>
        <w:tc>
          <w:tcPr>
            <w:tcW w:w="900" w:type="dxa"/>
            <w:noWrap w:val="0"/>
            <w:vAlign w:val="center"/>
          </w:tcPr>
          <w:p w14:paraId="0E1F7254">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姓名</w:t>
            </w:r>
          </w:p>
        </w:tc>
        <w:tc>
          <w:tcPr>
            <w:tcW w:w="900" w:type="dxa"/>
            <w:noWrap w:val="0"/>
            <w:vAlign w:val="center"/>
          </w:tcPr>
          <w:p w14:paraId="7BBEBBEC">
            <w:pPr>
              <w:autoSpaceDE w:val="0"/>
              <w:autoSpaceDN w:val="0"/>
              <w:adjustRightInd w:val="0"/>
              <w:spacing w:line="300" w:lineRule="auto"/>
              <w:rPr>
                <w:rFonts w:ascii="宋体" w:cs="宋体"/>
                <w:b w:val="0"/>
                <w:bCs/>
                <w:color w:val="auto"/>
                <w:sz w:val="21"/>
                <w:szCs w:val="21"/>
                <w:highlight w:val="none"/>
                <w:lang w:val="zh-CN"/>
              </w:rPr>
            </w:pPr>
          </w:p>
        </w:tc>
        <w:tc>
          <w:tcPr>
            <w:tcW w:w="1440" w:type="dxa"/>
            <w:noWrap w:val="0"/>
            <w:vAlign w:val="center"/>
          </w:tcPr>
          <w:p w14:paraId="3354193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技术职称</w:t>
            </w:r>
          </w:p>
        </w:tc>
        <w:tc>
          <w:tcPr>
            <w:tcW w:w="1800" w:type="dxa"/>
            <w:gridSpan w:val="3"/>
            <w:noWrap w:val="0"/>
            <w:vAlign w:val="center"/>
          </w:tcPr>
          <w:p w14:paraId="14901BF5">
            <w:pPr>
              <w:autoSpaceDE w:val="0"/>
              <w:autoSpaceDN w:val="0"/>
              <w:adjustRightInd w:val="0"/>
              <w:spacing w:line="300" w:lineRule="auto"/>
              <w:rPr>
                <w:rFonts w:ascii="宋体" w:cs="宋体"/>
                <w:b w:val="0"/>
                <w:bCs/>
                <w:color w:val="auto"/>
                <w:sz w:val="21"/>
                <w:szCs w:val="21"/>
                <w:highlight w:val="none"/>
                <w:lang w:val="zh-CN"/>
              </w:rPr>
            </w:pPr>
          </w:p>
        </w:tc>
        <w:tc>
          <w:tcPr>
            <w:tcW w:w="1202" w:type="dxa"/>
            <w:noWrap w:val="0"/>
            <w:vAlign w:val="center"/>
          </w:tcPr>
          <w:p w14:paraId="0B823ED0">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电话</w:t>
            </w:r>
          </w:p>
        </w:tc>
        <w:tc>
          <w:tcPr>
            <w:tcW w:w="886" w:type="dxa"/>
            <w:noWrap w:val="0"/>
            <w:vAlign w:val="center"/>
          </w:tcPr>
          <w:p w14:paraId="720845D3">
            <w:pPr>
              <w:autoSpaceDE w:val="0"/>
              <w:autoSpaceDN w:val="0"/>
              <w:adjustRightInd w:val="0"/>
              <w:spacing w:line="300" w:lineRule="auto"/>
              <w:rPr>
                <w:rFonts w:ascii="宋体" w:cs="宋体"/>
                <w:b w:val="0"/>
                <w:bCs/>
                <w:color w:val="auto"/>
                <w:sz w:val="21"/>
                <w:szCs w:val="21"/>
                <w:highlight w:val="none"/>
                <w:lang w:val="zh-CN"/>
              </w:rPr>
            </w:pPr>
          </w:p>
        </w:tc>
      </w:tr>
      <w:tr w14:paraId="31BF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3D6999FF">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技术负责人</w:t>
            </w:r>
          </w:p>
        </w:tc>
        <w:tc>
          <w:tcPr>
            <w:tcW w:w="900" w:type="dxa"/>
            <w:noWrap w:val="0"/>
            <w:vAlign w:val="center"/>
          </w:tcPr>
          <w:p w14:paraId="06A3FD9B">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姓名</w:t>
            </w:r>
          </w:p>
        </w:tc>
        <w:tc>
          <w:tcPr>
            <w:tcW w:w="900" w:type="dxa"/>
            <w:noWrap w:val="0"/>
            <w:vAlign w:val="center"/>
          </w:tcPr>
          <w:p w14:paraId="7F473908">
            <w:pPr>
              <w:autoSpaceDE w:val="0"/>
              <w:autoSpaceDN w:val="0"/>
              <w:adjustRightInd w:val="0"/>
              <w:spacing w:line="300" w:lineRule="auto"/>
              <w:rPr>
                <w:rFonts w:ascii="宋体" w:cs="宋体"/>
                <w:b w:val="0"/>
                <w:bCs/>
                <w:color w:val="auto"/>
                <w:sz w:val="21"/>
                <w:szCs w:val="21"/>
                <w:highlight w:val="none"/>
                <w:lang w:val="zh-CN"/>
              </w:rPr>
            </w:pPr>
          </w:p>
        </w:tc>
        <w:tc>
          <w:tcPr>
            <w:tcW w:w="1440" w:type="dxa"/>
            <w:noWrap w:val="0"/>
            <w:vAlign w:val="center"/>
          </w:tcPr>
          <w:p w14:paraId="2ECE98E1">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技术职称</w:t>
            </w:r>
          </w:p>
        </w:tc>
        <w:tc>
          <w:tcPr>
            <w:tcW w:w="1800" w:type="dxa"/>
            <w:gridSpan w:val="3"/>
            <w:noWrap w:val="0"/>
            <w:vAlign w:val="center"/>
          </w:tcPr>
          <w:p w14:paraId="511EA7D9">
            <w:pPr>
              <w:autoSpaceDE w:val="0"/>
              <w:autoSpaceDN w:val="0"/>
              <w:adjustRightInd w:val="0"/>
              <w:spacing w:line="300" w:lineRule="auto"/>
              <w:rPr>
                <w:rFonts w:ascii="宋体" w:cs="宋体"/>
                <w:b w:val="0"/>
                <w:bCs/>
                <w:color w:val="auto"/>
                <w:sz w:val="21"/>
                <w:szCs w:val="21"/>
                <w:highlight w:val="none"/>
                <w:lang w:val="zh-CN"/>
              </w:rPr>
            </w:pPr>
          </w:p>
        </w:tc>
        <w:tc>
          <w:tcPr>
            <w:tcW w:w="1202" w:type="dxa"/>
            <w:noWrap w:val="0"/>
            <w:vAlign w:val="center"/>
          </w:tcPr>
          <w:p w14:paraId="7B773E03">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电话</w:t>
            </w:r>
          </w:p>
        </w:tc>
        <w:tc>
          <w:tcPr>
            <w:tcW w:w="886" w:type="dxa"/>
            <w:noWrap w:val="0"/>
            <w:vAlign w:val="center"/>
          </w:tcPr>
          <w:p w14:paraId="7461428D">
            <w:pPr>
              <w:autoSpaceDE w:val="0"/>
              <w:autoSpaceDN w:val="0"/>
              <w:adjustRightInd w:val="0"/>
              <w:spacing w:line="300" w:lineRule="auto"/>
              <w:rPr>
                <w:rFonts w:ascii="宋体" w:cs="宋体"/>
                <w:b w:val="0"/>
                <w:bCs/>
                <w:color w:val="auto"/>
                <w:sz w:val="21"/>
                <w:szCs w:val="21"/>
                <w:highlight w:val="none"/>
                <w:lang w:val="zh-CN"/>
              </w:rPr>
            </w:pPr>
          </w:p>
        </w:tc>
      </w:tr>
      <w:tr w14:paraId="2732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0A43EF1A">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成立时间</w:t>
            </w:r>
          </w:p>
        </w:tc>
        <w:tc>
          <w:tcPr>
            <w:tcW w:w="1800" w:type="dxa"/>
            <w:gridSpan w:val="2"/>
            <w:noWrap w:val="0"/>
            <w:vAlign w:val="center"/>
          </w:tcPr>
          <w:p w14:paraId="5019C0AC">
            <w:pPr>
              <w:autoSpaceDE w:val="0"/>
              <w:autoSpaceDN w:val="0"/>
              <w:adjustRightInd w:val="0"/>
              <w:spacing w:line="300" w:lineRule="auto"/>
              <w:rPr>
                <w:rFonts w:ascii="宋体" w:cs="宋体"/>
                <w:b w:val="0"/>
                <w:bCs/>
                <w:color w:val="auto"/>
                <w:sz w:val="21"/>
                <w:szCs w:val="21"/>
                <w:highlight w:val="none"/>
                <w:lang w:val="zh-CN"/>
              </w:rPr>
            </w:pPr>
          </w:p>
        </w:tc>
        <w:tc>
          <w:tcPr>
            <w:tcW w:w="5328" w:type="dxa"/>
            <w:gridSpan w:val="6"/>
            <w:noWrap w:val="0"/>
            <w:vAlign w:val="center"/>
          </w:tcPr>
          <w:p w14:paraId="7088DE39">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员工总人数：</w:t>
            </w:r>
          </w:p>
        </w:tc>
      </w:tr>
      <w:tr w14:paraId="372E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395507A2">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营业执照号</w:t>
            </w:r>
          </w:p>
        </w:tc>
        <w:tc>
          <w:tcPr>
            <w:tcW w:w="7128" w:type="dxa"/>
            <w:gridSpan w:val="8"/>
            <w:noWrap w:val="0"/>
            <w:vAlign w:val="center"/>
          </w:tcPr>
          <w:p w14:paraId="79D9D679">
            <w:pPr>
              <w:autoSpaceDE w:val="0"/>
              <w:autoSpaceDN w:val="0"/>
              <w:adjustRightInd w:val="0"/>
              <w:spacing w:line="300" w:lineRule="auto"/>
              <w:rPr>
                <w:rFonts w:ascii="宋体" w:cs="宋体"/>
                <w:b w:val="0"/>
                <w:bCs/>
                <w:color w:val="auto"/>
                <w:sz w:val="21"/>
                <w:szCs w:val="21"/>
                <w:highlight w:val="none"/>
                <w:lang w:val="zh-CN"/>
              </w:rPr>
            </w:pPr>
          </w:p>
        </w:tc>
      </w:tr>
      <w:tr w14:paraId="67BF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2B87EEB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注册资金</w:t>
            </w:r>
          </w:p>
        </w:tc>
        <w:tc>
          <w:tcPr>
            <w:tcW w:w="7128" w:type="dxa"/>
            <w:gridSpan w:val="8"/>
            <w:noWrap w:val="0"/>
            <w:vAlign w:val="center"/>
          </w:tcPr>
          <w:p w14:paraId="5BA7EE8C">
            <w:pPr>
              <w:autoSpaceDE w:val="0"/>
              <w:autoSpaceDN w:val="0"/>
              <w:adjustRightInd w:val="0"/>
              <w:spacing w:line="300" w:lineRule="auto"/>
              <w:rPr>
                <w:rFonts w:ascii="宋体" w:cs="宋体"/>
                <w:b w:val="0"/>
                <w:bCs/>
                <w:color w:val="auto"/>
                <w:sz w:val="21"/>
                <w:szCs w:val="21"/>
                <w:highlight w:val="none"/>
                <w:lang w:val="zh-CN"/>
              </w:rPr>
            </w:pPr>
          </w:p>
        </w:tc>
      </w:tr>
      <w:tr w14:paraId="7C9F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55E3980C">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开户银行</w:t>
            </w:r>
          </w:p>
        </w:tc>
        <w:tc>
          <w:tcPr>
            <w:tcW w:w="7128" w:type="dxa"/>
            <w:gridSpan w:val="8"/>
            <w:noWrap w:val="0"/>
            <w:vAlign w:val="center"/>
          </w:tcPr>
          <w:p w14:paraId="02E0E294">
            <w:pPr>
              <w:autoSpaceDE w:val="0"/>
              <w:autoSpaceDN w:val="0"/>
              <w:adjustRightInd w:val="0"/>
              <w:spacing w:line="300" w:lineRule="auto"/>
              <w:rPr>
                <w:rFonts w:ascii="宋体" w:cs="宋体"/>
                <w:b w:val="0"/>
                <w:bCs/>
                <w:color w:val="auto"/>
                <w:sz w:val="21"/>
                <w:szCs w:val="21"/>
                <w:highlight w:val="none"/>
                <w:lang w:val="zh-CN"/>
              </w:rPr>
            </w:pPr>
          </w:p>
        </w:tc>
      </w:tr>
      <w:tr w14:paraId="33BC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77FDC591">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账号</w:t>
            </w:r>
          </w:p>
        </w:tc>
        <w:tc>
          <w:tcPr>
            <w:tcW w:w="7128" w:type="dxa"/>
            <w:gridSpan w:val="8"/>
            <w:noWrap w:val="0"/>
            <w:vAlign w:val="center"/>
          </w:tcPr>
          <w:p w14:paraId="66582E5B">
            <w:pPr>
              <w:autoSpaceDE w:val="0"/>
              <w:autoSpaceDN w:val="0"/>
              <w:adjustRightInd w:val="0"/>
              <w:spacing w:line="300" w:lineRule="auto"/>
              <w:rPr>
                <w:rFonts w:ascii="宋体" w:cs="宋体"/>
                <w:b w:val="0"/>
                <w:bCs/>
                <w:color w:val="auto"/>
                <w:sz w:val="21"/>
                <w:szCs w:val="21"/>
                <w:highlight w:val="none"/>
                <w:lang w:val="zh-CN"/>
              </w:rPr>
            </w:pPr>
          </w:p>
        </w:tc>
      </w:tr>
      <w:tr w14:paraId="12B8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7790AD0A">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经营范围</w:t>
            </w:r>
          </w:p>
        </w:tc>
        <w:tc>
          <w:tcPr>
            <w:tcW w:w="7128" w:type="dxa"/>
            <w:gridSpan w:val="8"/>
            <w:noWrap w:val="0"/>
            <w:vAlign w:val="center"/>
          </w:tcPr>
          <w:p w14:paraId="493ECABA">
            <w:pPr>
              <w:autoSpaceDE w:val="0"/>
              <w:autoSpaceDN w:val="0"/>
              <w:adjustRightInd w:val="0"/>
              <w:spacing w:line="300" w:lineRule="auto"/>
              <w:rPr>
                <w:rFonts w:ascii="宋体" w:cs="宋体"/>
                <w:b w:val="0"/>
                <w:bCs/>
                <w:color w:val="auto"/>
                <w:sz w:val="21"/>
                <w:szCs w:val="21"/>
                <w:highlight w:val="none"/>
                <w:lang w:val="zh-CN"/>
              </w:rPr>
            </w:pPr>
          </w:p>
        </w:tc>
      </w:tr>
      <w:tr w14:paraId="54B3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728" w:type="dxa"/>
            <w:noWrap w:val="0"/>
            <w:vAlign w:val="center"/>
          </w:tcPr>
          <w:p w14:paraId="34C9EA27">
            <w:pPr>
              <w:autoSpaceDE w:val="0"/>
              <w:autoSpaceDN w:val="0"/>
              <w:adjustRightInd w:val="0"/>
              <w:spacing w:line="300" w:lineRule="auto"/>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备注</w:t>
            </w:r>
          </w:p>
        </w:tc>
        <w:tc>
          <w:tcPr>
            <w:tcW w:w="7128" w:type="dxa"/>
            <w:gridSpan w:val="8"/>
            <w:noWrap w:val="0"/>
            <w:vAlign w:val="center"/>
          </w:tcPr>
          <w:p w14:paraId="6FEE08E4">
            <w:pPr>
              <w:autoSpaceDE w:val="0"/>
              <w:autoSpaceDN w:val="0"/>
              <w:adjustRightInd w:val="0"/>
              <w:spacing w:line="300" w:lineRule="auto"/>
              <w:rPr>
                <w:rFonts w:ascii="宋体" w:cs="宋体"/>
                <w:b w:val="0"/>
                <w:bCs/>
                <w:color w:val="auto"/>
                <w:sz w:val="21"/>
                <w:szCs w:val="21"/>
                <w:highlight w:val="none"/>
                <w:lang w:val="zh-CN"/>
              </w:rPr>
            </w:pPr>
          </w:p>
        </w:tc>
      </w:tr>
    </w:tbl>
    <w:p w14:paraId="4D781E21">
      <w:pPr>
        <w:pStyle w:val="24"/>
        <w:widowControl w:val="0"/>
        <w:numPr>
          <w:ilvl w:val="0"/>
          <w:numId w:val="0"/>
        </w:numPr>
        <w:spacing w:line="500" w:lineRule="exact"/>
        <w:jc w:val="both"/>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附：营业执照、中华人民共和国道路运输经营许可证等相关证件复印件；所有复印件必须要清晰、字迹清楚并加盖公章，否则评标不予以认定。</w:t>
      </w:r>
    </w:p>
    <w:p w14:paraId="65313710">
      <w:pPr>
        <w:pStyle w:val="24"/>
        <w:widowControl w:val="0"/>
        <w:numPr>
          <w:ilvl w:val="0"/>
          <w:numId w:val="0"/>
        </w:numPr>
        <w:spacing w:line="500" w:lineRule="exact"/>
        <w:jc w:val="both"/>
        <w:rPr>
          <w:rFonts w:hint="eastAsia"/>
          <w:b/>
          <w:bCs w:val="0"/>
          <w:color w:val="auto"/>
          <w:sz w:val="21"/>
          <w:szCs w:val="21"/>
          <w:highlight w:val="none"/>
          <w:lang w:val="en-US" w:eastAsia="zh-CN"/>
        </w:rPr>
      </w:pPr>
    </w:p>
    <w:p w14:paraId="2F9D139E">
      <w:pPr>
        <w:jc w:val="center"/>
        <w:rPr>
          <w:rFonts w:hint="eastAsia" w:ascii="宋体" w:hAnsi="宋体" w:eastAsia="宋体" w:cs="宋体"/>
          <w:b/>
          <w:bCs/>
          <w:kern w:val="2"/>
          <w:sz w:val="28"/>
          <w:szCs w:val="21"/>
          <w:highlight w:val="none"/>
          <w:lang w:val="zh-CN"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kern w:val="2"/>
          <w:sz w:val="24"/>
          <w:szCs w:val="24"/>
          <w:highlight w:val="none"/>
          <w:lang w:val="zh-CN" w:eastAsia="zh-CN" w:bidi="ar-SA"/>
        </w:rPr>
        <w:t>）资格条件承诺函</w:t>
      </w:r>
    </w:p>
    <w:p w14:paraId="03BF5C65">
      <w:pPr>
        <w:rPr>
          <w:rFonts w:hint="eastAsia" w:ascii="宋体" w:hAnsi="宋体" w:eastAsia="宋体" w:cs="宋体"/>
          <w:sz w:val="22"/>
          <w:szCs w:val="28"/>
          <w:highlight w:val="none"/>
        </w:rPr>
      </w:pPr>
    </w:p>
    <w:p w14:paraId="35F921BE">
      <w:pPr>
        <w:spacing w:line="360" w:lineRule="auto"/>
        <w:rPr>
          <w:rFonts w:hint="eastAsia" w:ascii="宋体" w:hAnsi="宋体" w:eastAsia="宋体" w:cs="宋体"/>
          <w:sz w:val="22"/>
          <w:szCs w:val="28"/>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我单位（公司）对上述承诺的真实性负责。如有虚假，将依法承担相应责任。</w:t>
      </w:r>
    </w:p>
    <w:p w14:paraId="52C84294">
      <w:pPr>
        <w:widowControl w:val="0"/>
        <w:numPr>
          <w:ilvl w:val="0"/>
          <w:numId w:val="0"/>
        </w:numPr>
        <w:tabs>
          <w:tab w:val="left" w:pos="432"/>
        </w:tabs>
        <w:spacing w:line="480" w:lineRule="auto"/>
        <w:ind w:firstLine="420" w:firstLineChars="20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4D974B50">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11DBC3F3">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2B4673AC">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6015932B">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65B1F21F">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78F2D75A">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02FA8D5C">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5FD18ECF">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086693E7">
      <w:pPr>
        <w:spacing w:line="360" w:lineRule="auto"/>
        <w:jc w:val="center"/>
        <w:rPr>
          <w:rFonts w:hint="eastAsia" w:ascii="Times New Roman" w:hAnsi="Times New Roman" w:eastAsia="宋体" w:cs="Times New Roman"/>
          <w:b/>
          <w:bCs/>
          <w:kern w:val="2"/>
          <w:sz w:val="24"/>
          <w:szCs w:val="24"/>
          <w:highlight w:val="none"/>
          <w:lang w:val="en-US" w:eastAsia="zh-CN" w:bidi="ar-SA"/>
        </w:rPr>
      </w:pPr>
    </w:p>
    <w:p w14:paraId="7178C658">
      <w:pPr>
        <w:spacing w:line="360" w:lineRule="auto"/>
        <w:jc w:val="center"/>
        <w:rPr>
          <w:rFonts w:eastAsia="黑体"/>
          <w:sz w:val="23"/>
          <w:szCs w:val="23"/>
          <w:highlight w:val="none"/>
        </w:rPr>
      </w:pPr>
      <w:r>
        <w:rPr>
          <w:rFonts w:hint="eastAsia" w:ascii="Times New Roman" w:hAnsi="Times New Roman" w:eastAsia="宋体" w:cs="Times New Roman"/>
          <w:b/>
          <w:bCs/>
          <w:kern w:val="2"/>
          <w:sz w:val="24"/>
          <w:szCs w:val="24"/>
          <w:highlight w:val="none"/>
          <w:lang w:val="en-US" w:eastAsia="zh-CN" w:bidi="ar-SA"/>
        </w:rPr>
        <w:t>（</w:t>
      </w:r>
      <w:r>
        <w:rPr>
          <w:rFonts w:hint="eastAsia" w:cs="Times New Roman"/>
          <w:b/>
          <w:bCs/>
          <w:kern w:val="2"/>
          <w:sz w:val="24"/>
          <w:szCs w:val="24"/>
          <w:highlight w:val="none"/>
          <w:lang w:val="en-US" w:eastAsia="zh-CN" w:bidi="ar-SA"/>
        </w:rPr>
        <w:t>三</w:t>
      </w:r>
      <w:r>
        <w:rPr>
          <w:rFonts w:hint="eastAsia" w:ascii="Times New Roman" w:hAnsi="Times New Roman" w:eastAsia="宋体" w:cs="Times New Roman"/>
          <w:b/>
          <w:bCs/>
          <w:kern w:val="2"/>
          <w:sz w:val="24"/>
          <w:szCs w:val="24"/>
          <w:highlight w:val="none"/>
          <w:lang w:val="en-US" w:eastAsia="zh-CN" w:bidi="ar-SA"/>
        </w:rPr>
        <w:t>）近年完成的类似项目情况表</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BF7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6EDE759B">
            <w:pPr>
              <w:pStyle w:val="11"/>
              <w:pBdr>
                <w:bottom w:val="none" w:color="auto" w:sz="0" w:space="0"/>
              </w:pBdr>
              <w:tabs>
                <w:tab w:val="clear" w:pos="4153"/>
                <w:tab w:val="clear" w:pos="8306"/>
              </w:tabs>
              <w:autoSpaceDE w:val="0"/>
              <w:autoSpaceDN w:val="0"/>
              <w:adjustRightInd w:val="0"/>
              <w:snapToGrid/>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项目名称</w:t>
            </w:r>
          </w:p>
        </w:tc>
        <w:tc>
          <w:tcPr>
            <w:tcW w:w="6228" w:type="dxa"/>
            <w:noWrap w:val="0"/>
            <w:vAlign w:val="top"/>
          </w:tcPr>
          <w:p w14:paraId="66BC045B">
            <w:pPr>
              <w:autoSpaceDE w:val="0"/>
              <w:autoSpaceDN w:val="0"/>
              <w:adjustRightInd w:val="0"/>
              <w:spacing w:line="300" w:lineRule="auto"/>
              <w:jc w:val="left"/>
              <w:rPr>
                <w:rFonts w:ascii="宋体" w:cs="宋体"/>
                <w:color w:val="auto"/>
                <w:sz w:val="21"/>
                <w:szCs w:val="21"/>
                <w:highlight w:val="none"/>
                <w:lang w:val="zh-CN"/>
              </w:rPr>
            </w:pPr>
          </w:p>
        </w:tc>
      </w:tr>
      <w:tr w14:paraId="1ECC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788D3FF2">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项目所在地</w:t>
            </w:r>
          </w:p>
        </w:tc>
        <w:tc>
          <w:tcPr>
            <w:tcW w:w="6228" w:type="dxa"/>
            <w:noWrap w:val="0"/>
            <w:vAlign w:val="top"/>
          </w:tcPr>
          <w:p w14:paraId="29654BAA">
            <w:pPr>
              <w:autoSpaceDE w:val="0"/>
              <w:autoSpaceDN w:val="0"/>
              <w:adjustRightInd w:val="0"/>
              <w:spacing w:line="300" w:lineRule="auto"/>
              <w:jc w:val="left"/>
              <w:rPr>
                <w:rFonts w:ascii="宋体" w:cs="宋体"/>
                <w:color w:val="auto"/>
                <w:sz w:val="21"/>
                <w:szCs w:val="21"/>
                <w:highlight w:val="none"/>
                <w:lang w:val="zh-CN"/>
              </w:rPr>
            </w:pPr>
          </w:p>
        </w:tc>
      </w:tr>
      <w:tr w14:paraId="3CB1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49BE07B3">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发包人名称</w:t>
            </w:r>
          </w:p>
        </w:tc>
        <w:tc>
          <w:tcPr>
            <w:tcW w:w="6228" w:type="dxa"/>
            <w:noWrap w:val="0"/>
            <w:vAlign w:val="top"/>
          </w:tcPr>
          <w:p w14:paraId="685ADB20">
            <w:pPr>
              <w:autoSpaceDE w:val="0"/>
              <w:autoSpaceDN w:val="0"/>
              <w:adjustRightInd w:val="0"/>
              <w:spacing w:line="300" w:lineRule="auto"/>
              <w:jc w:val="left"/>
              <w:rPr>
                <w:rFonts w:ascii="宋体" w:cs="宋体"/>
                <w:color w:val="auto"/>
                <w:sz w:val="21"/>
                <w:szCs w:val="21"/>
                <w:highlight w:val="none"/>
                <w:lang w:val="zh-CN"/>
              </w:rPr>
            </w:pPr>
          </w:p>
        </w:tc>
      </w:tr>
      <w:tr w14:paraId="212E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5CF01F60">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发包人地址</w:t>
            </w:r>
          </w:p>
        </w:tc>
        <w:tc>
          <w:tcPr>
            <w:tcW w:w="6228" w:type="dxa"/>
            <w:noWrap w:val="0"/>
            <w:vAlign w:val="top"/>
          </w:tcPr>
          <w:p w14:paraId="69554567">
            <w:pPr>
              <w:autoSpaceDE w:val="0"/>
              <w:autoSpaceDN w:val="0"/>
              <w:adjustRightInd w:val="0"/>
              <w:spacing w:line="300" w:lineRule="auto"/>
              <w:jc w:val="left"/>
              <w:rPr>
                <w:rFonts w:ascii="宋体" w:cs="宋体"/>
                <w:color w:val="auto"/>
                <w:sz w:val="21"/>
                <w:szCs w:val="21"/>
                <w:highlight w:val="none"/>
                <w:lang w:val="zh-CN"/>
              </w:rPr>
            </w:pPr>
          </w:p>
        </w:tc>
      </w:tr>
      <w:tr w14:paraId="715E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6674C433">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发包人电话</w:t>
            </w:r>
          </w:p>
        </w:tc>
        <w:tc>
          <w:tcPr>
            <w:tcW w:w="6228" w:type="dxa"/>
            <w:noWrap w:val="0"/>
            <w:vAlign w:val="top"/>
          </w:tcPr>
          <w:p w14:paraId="0351B98E">
            <w:pPr>
              <w:autoSpaceDE w:val="0"/>
              <w:autoSpaceDN w:val="0"/>
              <w:adjustRightInd w:val="0"/>
              <w:spacing w:line="300" w:lineRule="auto"/>
              <w:jc w:val="left"/>
              <w:rPr>
                <w:rFonts w:ascii="宋体" w:cs="宋体"/>
                <w:color w:val="auto"/>
                <w:sz w:val="21"/>
                <w:szCs w:val="21"/>
                <w:highlight w:val="none"/>
                <w:lang w:val="zh-CN"/>
              </w:rPr>
            </w:pPr>
          </w:p>
        </w:tc>
      </w:tr>
      <w:tr w14:paraId="69B2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378C8662">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合同价格</w:t>
            </w:r>
          </w:p>
        </w:tc>
        <w:tc>
          <w:tcPr>
            <w:tcW w:w="6228" w:type="dxa"/>
            <w:noWrap w:val="0"/>
            <w:vAlign w:val="top"/>
          </w:tcPr>
          <w:p w14:paraId="493DBE5D">
            <w:pPr>
              <w:autoSpaceDE w:val="0"/>
              <w:autoSpaceDN w:val="0"/>
              <w:adjustRightInd w:val="0"/>
              <w:spacing w:line="300" w:lineRule="auto"/>
              <w:jc w:val="left"/>
              <w:rPr>
                <w:rFonts w:ascii="宋体" w:cs="宋体"/>
                <w:color w:val="auto"/>
                <w:sz w:val="21"/>
                <w:szCs w:val="21"/>
                <w:highlight w:val="none"/>
                <w:lang w:val="zh-CN"/>
              </w:rPr>
            </w:pPr>
          </w:p>
        </w:tc>
      </w:tr>
      <w:tr w14:paraId="7557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8" w:type="dxa"/>
            <w:noWrap w:val="0"/>
            <w:vAlign w:val="center"/>
          </w:tcPr>
          <w:p w14:paraId="59056020">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承担的工作</w:t>
            </w:r>
          </w:p>
        </w:tc>
        <w:tc>
          <w:tcPr>
            <w:tcW w:w="6228" w:type="dxa"/>
            <w:noWrap w:val="0"/>
            <w:vAlign w:val="top"/>
          </w:tcPr>
          <w:p w14:paraId="1AC28CDF">
            <w:pPr>
              <w:autoSpaceDE w:val="0"/>
              <w:autoSpaceDN w:val="0"/>
              <w:adjustRightInd w:val="0"/>
              <w:spacing w:line="300" w:lineRule="auto"/>
              <w:jc w:val="left"/>
              <w:rPr>
                <w:rFonts w:ascii="宋体" w:cs="宋体"/>
                <w:color w:val="auto"/>
                <w:sz w:val="21"/>
                <w:szCs w:val="21"/>
                <w:highlight w:val="none"/>
                <w:lang w:val="zh-CN"/>
              </w:rPr>
            </w:pPr>
          </w:p>
        </w:tc>
      </w:tr>
      <w:tr w14:paraId="1E8E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8" w:type="dxa"/>
            <w:noWrap w:val="0"/>
            <w:vAlign w:val="center"/>
          </w:tcPr>
          <w:p w14:paraId="0577B7E4">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项目描述</w:t>
            </w:r>
          </w:p>
        </w:tc>
        <w:tc>
          <w:tcPr>
            <w:tcW w:w="6228" w:type="dxa"/>
            <w:noWrap w:val="0"/>
            <w:vAlign w:val="top"/>
          </w:tcPr>
          <w:p w14:paraId="57E3D76D">
            <w:pPr>
              <w:autoSpaceDE w:val="0"/>
              <w:autoSpaceDN w:val="0"/>
              <w:adjustRightInd w:val="0"/>
              <w:spacing w:line="300" w:lineRule="auto"/>
              <w:jc w:val="left"/>
              <w:rPr>
                <w:rFonts w:ascii="宋体" w:cs="宋体"/>
                <w:color w:val="auto"/>
                <w:sz w:val="21"/>
                <w:szCs w:val="21"/>
                <w:highlight w:val="none"/>
                <w:lang w:val="zh-CN"/>
              </w:rPr>
            </w:pPr>
          </w:p>
        </w:tc>
      </w:tr>
      <w:tr w14:paraId="669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628" w:type="dxa"/>
            <w:noWrap w:val="0"/>
            <w:vAlign w:val="center"/>
          </w:tcPr>
          <w:p w14:paraId="6FE6FC0B">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备注</w:t>
            </w:r>
          </w:p>
        </w:tc>
        <w:tc>
          <w:tcPr>
            <w:tcW w:w="6228" w:type="dxa"/>
            <w:noWrap w:val="0"/>
            <w:vAlign w:val="center"/>
          </w:tcPr>
          <w:p w14:paraId="28BBEA2B">
            <w:pPr>
              <w:autoSpaceDE w:val="0"/>
              <w:autoSpaceDN w:val="0"/>
              <w:adjustRightInd w:val="0"/>
              <w:spacing w:line="300" w:lineRule="auto"/>
              <w:rPr>
                <w:rFonts w:ascii="宋体" w:cs="宋体"/>
                <w:color w:val="auto"/>
                <w:sz w:val="21"/>
                <w:szCs w:val="21"/>
                <w:highlight w:val="none"/>
                <w:lang w:val="zh-CN"/>
              </w:rPr>
            </w:pPr>
          </w:p>
        </w:tc>
      </w:tr>
    </w:tbl>
    <w:p w14:paraId="446CE0C7">
      <w:pPr>
        <w:pStyle w:val="24"/>
        <w:widowControl w:val="0"/>
        <w:numPr>
          <w:ilvl w:val="0"/>
          <w:numId w:val="0"/>
        </w:numPr>
        <w:spacing w:line="500" w:lineRule="exact"/>
        <w:jc w:val="both"/>
        <w:rPr>
          <w:rFonts w:hint="default"/>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附：中标通知书或合同协议书复印件，</w:t>
      </w:r>
      <w:r>
        <w:rPr>
          <w:rFonts w:hint="eastAsia"/>
          <w:b/>
          <w:bCs w:val="0"/>
          <w:color w:val="auto"/>
          <w:sz w:val="21"/>
          <w:szCs w:val="21"/>
          <w:highlight w:val="none"/>
          <w:lang w:val="en-US" w:eastAsia="zh-CN"/>
        </w:rPr>
        <w:t>所有复印件必须要清晰、字迹清楚并加盖公章，否则评标不予以认定</w:t>
      </w:r>
      <w:r>
        <w:rPr>
          <w:rFonts w:hint="eastAsia" w:ascii="宋体" w:hAnsi="宋体" w:eastAsia="宋体" w:cs="宋体"/>
          <w:b/>
          <w:bCs w:val="0"/>
          <w:color w:val="auto"/>
          <w:sz w:val="21"/>
          <w:szCs w:val="21"/>
          <w:highlight w:val="none"/>
          <w:lang w:val="en-US" w:eastAsia="zh-CN"/>
        </w:rPr>
        <w:t>。具体年份要求见供应商须知前附表。每张表格只填写一个项目，并标明序号。</w:t>
      </w:r>
    </w:p>
    <w:p w14:paraId="45A1CD4F">
      <w:pPr>
        <w:pStyle w:val="24"/>
        <w:widowControl w:val="0"/>
        <w:numPr>
          <w:ilvl w:val="0"/>
          <w:numId w:val="0"/>
        </w:numPr>
        <w:spacing w:line="500" w:lineRule="exact"/>
        <w:jc w:val="both"/>
        <w:rPr>
          <w:rFonts w:hint="eastAsia" w:ascii="宋体" w:hAnsi="宋体" w:eastAsia="宋体" w:cs="Arial"/>
          <w:b/>
          <w:bCs/>
          <w:color w:val="auto"/>
          <w:kern w:val="0"/>
          <w:sz w:val="30"/>
          <w:szCs w:val="30"/>
          <w:highlight w:val="none"/>
          <w:lang w:val="en-US" w:eastAsia="zh-CN" w:bidi="ar-SA"/>
        </w:rPr>
      </w:pPr>
    </w:p>
    <w:p w14:paraId="3E040A30">
      <w:pPr>
        <w:pStyle w:val="24"/>
        <w:widowControl w:val="0"/>
        <w:numPr>
          <w:ilvl w:val="0"/>
          <w:numId w:val="0"/>
        </w:numPr>
        <w:spacing w:line="500" w:lineRule="exact"/>
        <w:jc w:val="both"/>
        <w:rPr>
          <w:rFonts w:hint="eastAsia" w:ascii="宋体" w:hAnsi="宋体" w:eastAsia="宋体" w:cs="Arial"/>
          <w:b/>
          <w:bCs/>
          <w:color w:val="auto"/>
          <w:kern w:val="0"/>
          <w:sz w:val="30"/>
          <w:szCs w:val="30"/>
          <w:highlight w:val="none"/>
          <w:lang w:val="en-US" w:eastAsia="zh-CN" w:bidi="ar-SA"/>
        </w:rPr>
      </w:pPr>
    </w:p>
    <w:p w14:paraId="3518588C">
      <w:pPr>
        <w:pStyle w:val="24"/>
        <w:widowControl w:val="0"/>
        <w:numPr>
          <w:ilvl w:val="0"/>
          <w:numId w:val="0"/>
        </w:numPr>
        <w:spacing w:line="360" w:lineRule="auto"/>
        <w:jc w:val="center"/>
        <w:rPr>
          <w:rFonts w:hint="eastAsia" w:ascii="Times New Roman" w:hAnsi="Times New Roman" w:eastAsia="宋体" w:cs="Times New Roman"/>
          <w:b/>
          <w:bCs/>
          <w:color w:val="auto"/>
          <w:kern w:val="2"/>
          <w:sz w:val="24"/>
          <w:szCs w:val="24"/>
          <w:highlight w:val="none"/>
          <w:lang w:val="en-US" w:eastAsia="zh-CN" w:bidi="ar-SA"/>
        </w:rPr>
      </w:pPr>
    </w:p>
    <w:p w14:paraId="3811AA0A">
      <w:pPr>
        <w:spacing w:line="360" w:lineRule="auto"/>
        <w:jc w:val="center"/>
        <w:rPr>
          <w:rFonts w:hint="eastAsia" w:ascii="宋体" w:hAnsi="宋体" w:eastAsia="宋体"/>
          <w:szCs w:val="24"/>
          <w:highlight w:val="none"/>
        </w:rPr>
      </w:pPr>
      <w:r>
        <w:rPr>
          <w:rFonts w:hint="eastAsia" w:ascii="Times New Roman" w:hAnsi="Times New Roman" w:eastAsia="宋体" w:cs="Times New Roman"/>
          <w:b/>
          <w:bCs/>
          <w:kern w:val="2"/>
          <w:sz w:val="24"/>
          <w:szCs w:val="24"/>
          <w:highlight w:val="none"/>
          <w:lang w:val="en-US" w:eastAsia="zh-CN" w:bidi="ar-SA"/>
        </w:rPr>
        <w:t>（四）正在服务和新承接的项目情况表</w:t>
      </w:r>
    </w:p>
    <w:tbl>
      <w:tblPr>
        <w:tblStyle w:val="18"/>
        <w:tblW w:w="82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310"/>
        <w:gridCol w:w="2400"/>
        <w:gridCol w:w="1530"/>
        <w:gridCol w:w="1395"/>
        <w:gridCol w:w="923"/>
      </w:tblGrid>
      <w:tr w14:paraId="7C67B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313B7388">
            <w:pPr>
              <w:spacing w:line="400" w:lineRule="exact"/>
              <w:ind w:firstLine="105" w:firstLineChars="50"/>
              <w:jc w:val="center"/>
              <w:rPr>
                <w:rFonts w:ascii="宋体" w:hAnsi="宋体"/>
                <w:highlight w:val="none"/>
              </w:rPr>
            </w:pPr>
            <w:r>
              <w:rPr>
                <w:rFonts w:hint="eastAsia" w:ascii="宋体" w:hAnsi="宋体"/>
                <w:highlight w:val="none"/>
              </w:rPr>
              <w:t>年份</w:t>
            </w:r>
          </w:p>
        </w:tc>
        <w:tc>
          <w:tcPr>
            <w:tcW w:w="1310" w:type="dxa"/>
            <w:vAlign w:val="center"/>
          </w:tcPr>
          <w:p w14:paraId="7F801CBB">
            <w:pPr>
              <w:spacing w:line="400" w:lineRule="exact"/>
              <w:jc w:val="center"/>
              <w:rPr>
                <w:rFonts w:ascii="宋体" w:hAnsi="宋体"/>
                <w:highlight w:val="none"/>
              </w:rPr>
            </w:pPr>
            <w:r>
              <w:rPr>
                <w:rFonts w:hint="eastAsia" w:ascii="宋体" w:hAnsi="宋体"/>
                <w:highlight w:val="none"/>
              </w:rPr>
              <w:t>用户名称</w:t>
            </w:r>
          </w:p>
        </w:tc>
        <w:tc>
          <w:tcPr>
            <w:tcW w:w="2400" w:type="dxa"/>
            <w:vAlign w:val="center"/>
          </w:tcPr>
          <w:p w14:paraId="6E8302DC">
            <w:pPr>
              <w:spacing w:line="400" w:lineRule="exact"/>
              <w:jc w:val="center"/>
              <w:rPr>
                <w:rFonts w:ascii="宋体" w:hAnsi="宋体"/>
                <w:highlight w:val="none"/>
              </w:rPr>
            </w:pPr>
            <w:r>
              <w:rPr>
                <w:rFonts w:ascii="宋体" w:hAnsi="宋体"/>
                <w:highlight w:val="none"/>
              </w:rPr>
              <w:t>项目名称</w:t>
            </w:r>
          </w:p>
        </w:tc>
        <w:tc>
          <w:tcPr>
            <w:tcW w:w="1530" w:type="dxa"/>
            <w:vAlign w:val="center"/>
          </w:tcPr>
          <w:p w14:paraId="23EC46B4">
            <w:pPr>
              <w:spacing w:line="400" w:lineRule="exact"/>
              <w:jc w:val="center"/>
              <w:rPr>
                <w:rFonts w:ascii="宋体" w:hAnsi="宋体"/>
                <w:highlight w:val="none"/>
              </w:rPr>
            </w:pPr>
            <w:r>
              <w:rPr>
                <w:rFonts w:hint="eastAsia" w:ascii="宋体" w:hAnsi="宋体"/>
                <w:highlight w:val="none"/>
                <w:lang w:val="en-US" w:eastAsia="zh-CN"/>
              </w:rPr>
              <w:t>签订</w:t>
            </w:r>
            <w:r>
              <w:rPr>
                <w:rFonts w:ascii="宋体" w:hAnsi="宋体"/>
                <w:highlight w:val="none"/>
              </w:rPr>
              <w:t>时间</w:t>
            </w:r>
          </w:p>
        </w:tc>
        <w:tc>
          <w:tcPr>
            <w:tcW w:w="1395" w:type="dxa"/>
            <w:vAlign w:val="center"/>
          </w:tcPr>
          <w:p w14:paraId="0D57CF21">
            <w:pPr>
              <w:spacing w:line="400" w:lineRule="exact"/>
              <w:ind w:firstLine="105" w:firstLineChars="50"/>
              <w:jc w:val="center"/>
              <w:rPr>
                <w:rFonts w:ascii="宋体" w:hAnsi="宋体"/>
                <w:highlight w:val="none"/>
              </w:rPr>
            </w:pPr>
            <w:r>
              <w:rPr>
                <w:rFonts w:ascii="宋体" w:hAnsi="宋体"/>
                <w:highlight w:val="none"/>
              </w:rPr>
              <w:t>合同金额</w:t>
            </w:r>
          </w:p>
        </w:tc>
        <w:tc>
          <w:tcPr>
            <w:tcW w:w="923" w:type="dxa"/>
            <w:tcBorders>
              <w:left w:val="single" w:color="auto" w:sz="4" w:space="0"/>
            </w:tcBorders>
            <w:vAlign w:val="center"/>
          </w:tcPr>
          <w:p w14:paraId="0490EE33">
            <w:pPr>
              <w:spacing w:line="400" w:lineRule="exact"/>
              <w:jc w:val="center"/>
              <w:rPr>
                <w:rFonts w:ascii="宋体" w:hAnsi="宋体"/>
                <w:highlight w:val="none"/>
              </w:rPr>
            </w:pPr>
            <w:r>
              <w:rPr>
                <w:rFonts w:hint="eastAsia" w:ascii="宋体" w:hAnsi="宋体"/>
                <w:highlight w:val="none"/>
              </w:rPr>
              <w:t>备注</w:t>
            </w:r>
          </w:p>
        </w:tc>
      </w:tr>
      <w:tr w14:paraId="1DE4D2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F39F7AB">
            <w:pPr>
              <w:spacing w:line="400" w:lineRule="exact"/>
              <w:jc w:val="center"/>
              <w:rPr>
                <w:rFonts w:ascii="宋体" w:hAnsi="宋体"/>
                <w:highlight w:val="none"/>
              </w:rPr>
            </w:pPr>
          </w:p>
        </w:tc>
        <w:tc>
          <w:tcPr>
            <w:tcW w:w="1310" w:type="dxa"/>
            <w:vAlign w:val="center"/>
          </w:tcPr>
          <w:p w14:paraId="402D5D88">
            <w:pPr>
              <w:spacing w:line="400" w:lineRule="exact"/>
              <w:jc w:val="center"/>
              <w:rPr>
                <w:rFonts w:ascii="宋体" w:hAnsi="宋体"/>
                <w:highlight w:val="none"/>
              </w:rPr>
            </w:pPr>
          </w:p>
        </w:tc>
        <w:tc>
          <w:tcPr>
            <w:tcW w:w="2400" w:type="dxa"/>
            <w:vAlign w:val="center"/>
          </w:tcPr>
          <w:p w14:paraId="748F1291">
            <w:pPr>
              <w:spacing w:line="400" w:lineRule="exact"/>
              <w:jc w:val="center"/>
              <w:rPr>
                <w:rFonts w:ascii="宋体" w:hAnsi="宋体"/>
                <w:highlight w:val="none"/>
              </w:rPr>
            </w:pPr>
          </w:p>
        </w:tc>
        <w:tc>
          <w:tcPr>
            <w:tcW w:w="1530" w:type="dxa"/>
            <w:vAlign w:val="center"/>
          </w:tcPr>
          <w:p w14:paraId="125BE397">
            <w:pPr>
              <w:spacing w:line="400" w:lineRule="exact"/>
              <w:jc w:val="center"/>
              <w:rPr>
                <w:rFonts w:ascii="宋体" w:hAnsi="宋体"/>
                <w:highlight w:val="none"/>
              </w:rPr>
            </w:pPr>
          </w:p>
        </w:tc>
        <w:tc>
          <w:tcPr>
            <w:tcW w:w="1395" w:type="dxa"/>
            <w:vAlign w:val="center"/>
          </w:tcPr>
          <w:p w14:paraId="45EDD902">
            <w:pPr>
              <w:spacing w:line="400" w:lineRule="exact"/>
              <w:jc w:val="center"/>
              <w:rPr>
                <w:rFonts w:ascii="宋体" w:hAnsi="宋体"/>
                <w:highlight w:val="none"/>
              </w:rPr>
            </w:pPr>
          </w:p>
        </w:tc>
        <w:tc>
          <w:tcPr>
            <w:tcW w:w="923" w:type="dxa"/>
            <w:tcBorders>
              <w:left w:val="single" w:color="auto" w:sz="4" w:space="0"/>
            </w:tcBorders>
            <w:vAlign w:val="center"/>
          </w:tcPr>
          <w:p w14:paraId="0BB129B7">
            <w:pPr>
              <w:spacing w:line="400" w:lineRule="exact"/>
              <w:jc w:val="center"/>
              <w:rPr>
                <w:rFonts w:ascii="宋体" w:hAnsi="宋体"/>
                <w:highlight w:val="none"/>
              </w:rPr>
            </w:pPr>
          </w:p>
        </w:tc>
      </w:tr>
      <w:tr w14:paraId="1677E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75E05D8">
            <w:pPr>
              <w:spacing w:line="400" w:lineRule="exact"/>
              <w:jc w:val="center"/>
              <w:rPr>
                <w:rFonts w:ascii="宋体" w:hAnsi="宋体"/>
                <w:highlight w:val="none"/>
              </w:rPr>
            </w:pPr>
          </w:p>
        </w:tc>
        <w:tc>
          <w:tcPr>
            <w:tcW w:w="1310" w:type="dxa"/>
            <w:vAlign w:val="center"/>
          </w:tcPr>
          <w:p w14:paraId="0341433D">
            <w:pPr>
              <w:spacing w:line="400" w:lineRule="exact"/>
              <w:jc w:val="center"/>
              <w:rPr>
                <w:rFonts w:ascii="宋体" w:hAnsi="宋体"/>
                <w:highlight w:val="none"/>
              </w:rPr>
            </w:pPr>
          </w:p>
        </w:tc>
        <w:tc>
          <w:tcPr>
            <w:tcW w:w="2400" w:type="dxa"/>
            <w:vAlign w:val="center"/>
          </w:tcPr>
          <w:p w14:paraId="570E915B">
            <w:pPr>
              <w:spacing w:line="400" w:lineRule="exact"/>
              <w:jc w:val="center"/>
              <w:rPr>
                <w:rFonts w:ascii="宋体" w:hAnsi="宋体"/>
                <w:highlight w:val="none"/>
              </w:rPr>
            </w:pPr>
          </w:p>
        </w:tc>
        <w:tc>
          <w:tcPr>
            <w:tcW w:w="1530" w:type="dxa"/>
            <w:vAlign w:val="center"/>
          </w:tcPr>
          <w:p w14:paraId="24099036">
            <w:pPr>
              <w:spacing w:line="400" w:lineRule="exact"/>
              <w:jc w:val="center"/>
              <w:rPr>
                <w:rFonts w:ascii="宋体" w:hAnsi="宋体"/>
                <w:highlight w:val="none"/>
              </w:rPr>
            </w:pPr>
          </w:p>
        </w:tc>
        <w:tc>
          <w:tcPr>
            <w:tcW w:w="1395" w:type="dxa"/>
            <w:vAlign w:val="center"/>
          </w:tcPr>
          <w:p w14:paraId="34523905">
            <w:pPr>
              <w:spacing w:line="400" w:lineRule="exact"/>
              <w:jc w:val="center"/>
              <w:rPr>
                <w:rFonts w:ascii="宋体" w:hAnsi="宋体"/>
                <w:highlight w:val="none"/>
              </w:rPr>
            </w:pPr>
          </w:p>
        </w:tc>
        <w:tc>
          <w:tcPr>
            <w:tcW w:w="923" w:type="dxa"/>
            <w:tcBorders>
              <w:left w:val="single" w:color="auto" w:sz="4" w:space="0"/>
            </w:tcBorders>
            <w:vAlign w:val="center"/>
          </w:tcPr>
          <w:p w14:paraId="6CA7218A">
            <w:pPr>
              <w:spacing w:line="400" w:lineRule="exact"/>
              <w:jc w:val="center"/>
              <w:rPr>
                <w:rFonts w:ascii="宋体" w:hAnsi="宋体"/>
                <w:highlight w:val="none"/>
              </w:rPr>
            </w:pPr>
          </w:p>
        </w:tc>
      </w:tr>
      <w:tr w14:paraId="41D54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6645E8C">
            <w:pPr>
              <w:spacing w:line="400" w:lineRule="exact"/>
              <w:jc w:val="center"/>
              <w:rPr>
                <w:rFonts w:ascii="宋体" w:hAnsi="宋体"/>
                <w:highlight w:val="none"/>
              </w:rPr>
            </w:pPr>
          </w:p>
        </w:tc>
        <w:tc>
          <w:tcPr>
            <w:tcW w:w="1310" w:type="dxa"/>
            <w:vAlign w:val="center"/>
          </w:tcPr>
          <w:p w14:paraId="31EF8B7A">
            <w:pPr>
              <w:spacing w:line="400" w:lineRule="exact"/>
              <w:jc w:val="center"/>
              <w:rPr>
                <w:rFonts w:ascii="宋体" w:hAnsi="宋体"/>
                <w:highlight w:val="none"/>
              </w:rPr>
            </w:pPr>
          </w:p>
        </w:tc>
        <w:tc>
          <w:tcPr>
            <w:tcW w:w="2400" w:type="dxa"/>
            <w:vAlign w:val="center"/>
          </w:tcPr>
          <w:p w14:paraId="3673C498">
            <w:pPr>
              <w:spacing w:line="400" w:lineRule="exact"/>
              <w:jc w:val="center"/>
              <w:rPr>
                <w:rFonts w:ascii="宋体" w:hAnsi="宋体"/>
                <w:highlight w:val="none"/>
              </w:rPr>
            </w:pPr>
          </w:p>
        </w:tc>
        <w:tc>
          <w:tcPr>
            <w:tcW w:w="1530" w:type="dxa"/>
            <w:vAlign w:val="center"/>
          </w:tcPr>
          <w:p w14:paraId="1C600D81">
            <w:pPr>
              <w:spacing w:line="400" w:lineRule="exact"/>
              <w:jc w:val="center"/>
              <w:rPr>
                <w:rFonts w:ascii="宋体" w:hAnsi="宋体"/>
                <w:highlight w:val="none"/>
              </w:rPr>
            </w:pPr>
          </w:p>
        </w:tc>
        <w:tc>
          <w:tcPr>
            <w:tcW w:w="1395" w:type="dxa"/>
            <w:vAlign w:val="center"/>
          </w:tcPr>
          <w:p w14:paraId="120206E5">
            <w:pPr>
              <w:spacing w:line="400" w:lineRule="exact"/>
              <w:jc w:val="center"/>
              <w:rPr>
                <w:rFonts w:ascii="宋体" w:hAnsi="宋体"/>
                <w:highlight w:val="none"/>
              </w:rPr>
            </w:pPr>
          </w:p>
        </w:tc>
        <w:tc>
          <w:tcPr>
            <w:tcW w:w="923" w:type="dxa"/>
            <w:tcBorders>
              <w:left w:val="single" w:color="auto" w:sz="4" w:space="0"/>
            </w:tcBorders>
            <w:vAlign w:val="center"/>
          </w:tcPr>
          <w:p w14:paraId="2C7A77A5">
            <w:pPr>
              <w:spacing w:line="400" w:lineRule="exact"/>
              <w:jc w:val="center"/>
              <w:rPr>
                <w:rFonts w:ascii="宋体" w:hAnsi="宋体"/>
                <w:highlight w:val="none"/>
              </w:rPr>
            </w:pPr>
          </w:p>
        </w:tc>
      </w:tr>
      <w:tr w14:paraId="13B04C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35D74A3">
            <w:pPr>
              <w:spacing w:line="400" w:lineRule="exact"/>
              <w:jc w:val="center"/>
              <w:rPr>
                <w:rFonts w:ascii="宋体" w:hAnsi="宋体"/>
                <w:highlight w:val="none"/>
              </w:rPr>
            </w:pPr>
          </w:p>
        </w:tc>
        <w:tc>
          <w:tcPr>
            <w:tcW w:w="1310" w:type="dxa"/>
            <w:tcBorders>
              <w:right w:val="single" w:color="auto" w:sz="4" w:space="0"/>
            </w:tcBorders>
            <w:vAlign w:val="center"/>
          </w:tcPr>
          <w:p w14:paraId="674F7513">
            <w:pPr>
              <w:spacing w:line="400" w:lineRule="exact"/>
              <w:jc w:val="center"/>
              <w:rPr>
                <w:rFonts w:ascii="宋体" w:hAnsi="宋体"/>
                <w:highlight w:val="none"/>
              </w:rPr>
            </w:pPr>
          </w:p>
        </w:tc>
        <w:tc>
          <w:tcPr>
            <w:tcW w:w="2400" w:type="dxa"/>
            <w:tcBorders>
              <w:left w:val="single" w:color="auto" w:sz="4" w:space="0"/>
            </w:tcBorders>
            <w:vAlign w:val="center"/>
          </w:tcPr>
          <w:p w14:paraId="24E9DAC1">
            <w:pPr>
              <w:spacing w:line="400" w:lineRule="exact"/>
              <w:jc w:val="center"/>
              <w:rPr>
                <w:rFonts w:ascii="宋体" w:hAnsi="宋体"/>
                <w:highlight w:val="none"/>
              </w:rPr>
            </w:pPr>
          </w:p>
        </w:tc>
        <w:tc>
          <w:tcPr>
            <w:tcW w:w="1530" w:type="dxa"/>
            <w:vAlign w:val="center"/>
          </w:tcPr>
          <w:p w14:paraId="1F5AE366">
            <w:pPr>
              <w:spacing w:line="400" w:lineRule="exact"/>
              <w:jc w:val="center"/>
              <w:rPr>
                <w:rFonts w:ascii="宋体" w:hAnsi="宋体"/>
                <w:highlight w:val="none"/>
              </w:rPr>
            </w:pPr>
          </w:p>
        </w:tc>
        <w:tc>
          <w:tcPr>
            <w:tcW w:w="1395" w:type="dxa"/>
            <w:vAlign w:val="center"/>
          </w:tcPr>
          <w:p w14:paraId="6749734B">
            <w:pPr>
              <w:spacing w:line="400" w:lineRule="exact"/>
              <w:jc w:val="center"/>
              <w:rPr>
                <w:rFonts w:ascii="宋体" w:hAnsi="宋体"/>
                <w:highlight w:val="none"/>
              </w:rPr>
            </w:pPr>
          </w:p>
        </w:tc>
        <w:tc>
          <w:tcPr>
            <w:tcW w:w="923" w:type="dxa"/>
            <w:tcBorders>
              <w:left w:val="single" w:color="auto" w:sz="4" w:space="0"/>
            </w:tcBorders>
            <w:vAlign w:val="center"/>
          </w:tcPr>
          <w:p w14:paraId="35ACCC29">
            <w:pPr>
              <w:spacing w:line="400" w:lineRule="exact"/>
              <w:jc w:val="center"/>
              <w:rPr>
                <w:rFonts w:ascii="宋体" w:hAnsi="宋体"/>
                <w:highlight w:val="none"/>
              </w:rPr>
            </w:pPr>
          </w:p>
        </w:tc>
      </w:tr>
      <w:tr w14:paraId="79B71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7BDFE611">
            <w:pPr>
              <w:spacing w:line="400" w:lineRule="exact"/>
              <w:rPr>
                <w:rFonts w:ascii="宋体" w:hAnsi="宋体"/>
                <w:highlight w:val="none"/>
              </w:rPr>
            </w:pPr>
          </w:p>
        </w:tc>
        <w:tc>
          <w:tcPr>
            <w:tcW w:w="1310" w:type="dxa"/>
            <w:tcBorders>
              <w:left w:val="single" w:color="auto" w:sz="4" w:space="0"/>
              <w:right w:val="single" w:color="auto" w:sz="4" w:space="0"/>
            </w:tcBorders>
            <w:vAlign w:val="center"/>
          </w:tcPr>
          <w:p w14:paraId="5874EA5C">
            <w:pPr>
              <w:spacing w:line="400" w:lineRule="exact"/>
              <w:rPr>
                <w:rFonts w:ascii="宋体" w:hAnsi="宋体"/>
                <w:highlight w:val="none"/>
              </w:rPr>
            </w:pPr>
          </w:p>
        </w:tc>
        <w:tc>
          <w:tcPr>
            <w:tcW w:w="2400" w:type="dxa"/>
            <w:tcBorders>
              <w:left w:val="single" w:color="auto" w:sz="4" w:space="0"/>
              <w:right w:val="single" w:color="auto" w:sz="4" w:space="0"/>
            </w:tcBorders>
            <w:vAlign w:val="center"/>
          </w:tcPr>
          <w:p w14:paraId="60D30847">
            <w:pPr>
              <w:spacing w:line="400" w:lineRule="exact"/>
              <w:rPr>
                <w:rFonts w:ascii="宋体" w:hAnsi="宋体"/>
                <w:highlight w:val="none"/>
              </w:rPr>
            </w:pPr>
          </w:p>
        </w:tc>
        <w:tc>
          <w:tcPr>
            <w:tcW w:w="1530" w:type="dxa"/>
            <w:tcBorders>
              <w:left w:val="single" w:color="auto" w:sz="4" w:space="0"/>
              <w:right w:val="single" w:color="auto" w:sz="4" w:space="0"/>
            </w:tcBorders>
            <w:vAlign w:val="center"/>
          </w:tcPr>
          <w:p w14:paraId="6C43F2D4">
            <w:pPr>
              <w:spacing w:line="400" w:lineRule="exact"/>
              <w:rPr>
                <w:rFonts w:ascii="宋体" w:hAnsi="宋体"/>
                <w:highlight w:val="none"/>
              </w:rPr>
            </w:pPr>
          </w:p>
        </w:tc>
        <w:tc>
          <w:tcPr>
            <w:tcW w:w="1395" w:type="dxa"/>
            <w:tcBorders>
              <w:left w:val="single" w:color="auto" w:sz="4" w:space="0"/>
              <w:right w:val="single" w:color="auto" w:sz="4" w:space="0"/>
            </w:tcBorders>
            <w:vAlign w:val="center"/>
          </w:tcPr>
          <w:p w14:paraId="45B53F29">
            <w:pPr>
              <w:spacing w:line="400" w:lineRule="exact"/>
              <w:rPr>
                <w:rFonts w:ascii="宋体" w:hAnsi="宋体"/>
                <w:highlight w:val="none"/>
              </w:rPr>
            </w:pPr>
          </w:p>
        </w:tc>
        <w:tc>
          <w:tcPr>
            <w:tcW w:w="923" w:type="dxa"/>
            <w:tcBorders>
              <w:left w:val="single" w:color="auto" w:sz="4" w:space="0"/>
            </w:tcBorders>
            <w:vAlign w:val="center"/>
          </w:tcPr>
          <w:p w14:paraId="765BA7E0">
            <w:pPr>
              <w:spacing w:line="400" w:lineRule="exact"/>
              <w:rPr>
                <w:rFonts w:ascii="宋体" w:hAnsi="宋体"/>
                <w:highlight w:val="none"/>
              </w:rPr>
            </w:pPr>
          </w:p>
        </w:tc>
      </w:tr>
      <w:tr w14:paraId="390B8E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E339264">
            <w:pPr>
              <w:spacing w:line="400" w:lineRule="exact"/>
              <w:rPr>
                <w:rFonts w:ascii="宋体" w:hAnsi="宋体"/>
                <w:highlight w:val="none"/>
              </w:rPr>
            </w:pPr>
          </w:p>
        </w:tc>
        <w:tc>
          <w:tcPr>
            <w:tcW w:w="1310" w:type="dxa"/>
            <w:vAlign w:val="center"/>
          </w:tcPr>
          <w:p w14:paraId="716634EF">
            <w:pPr>
              <w:spacing w:line="400" w:lineRule="exact"/>
              <w:rPr>
                <w:rFonts w:ascii="宋体" w:hAnsi="宋体"/>
                <w:highlight w:val="none"/>
              </w:rPr>
            </w:pPr>
          </w:p>
        </w:tc>
        <w:tc>
          <w:tcPr>
            <w:tcW w:w="2400" w:type="dxa"/>
            <w:vAlign w:val="center"/>
          </w:tcPr>
          <w:p w14:paraId="6E536ACA">
            <w:pPr>
              <w:spacing w:line="400" w:lineRule="exact"/>
              <w:rPr>
                <w:rFonts w:ascii="宋体" w:hAnsi="宋体"/>
                <w:highlight w:val="none"/>
              </w:rPr>
            </w:pPr>
          </w:p>
        </w:tc>
        <w:tc>
          <w:tcPr>
            <w:tcW w:w="1530" w:type="dxa"/>
            <w:vAlign w:val="center"/>
          </w:tcPr>
          <w:p w14:paraId="777B51D2">
            <w:pPr>
              <w:spacing w:line="400" w:lineRule="exact"/>
              <w:rPr>
                <w:rFonts w:ascii="宋体" w:hAnsi="宋体"/>
                <w:highlight w:val="none"/>
              </w:rPr>
            </w:pPr>
          </w:p>
        </w:tc>
        <w:tc>
          <w:tcPr>
            <w:tcW w:w="1395" w:type="dxa"/>
            <w:tcBorders>
              <w:right w:val="single" w:color="auto" w:sz="4" w:space="0"/>
            </w:tcBorders>
            <w:vAlign w:val="center"/>
          </w:tcPr>
          <w:p w14:paraId="475B5C57">
            <w:pPr>
              <w:spacing w:line="400" w:lineRule="exact"/>
              <w:rPr>
                <w:rFonts w:ascii="宋体" w:hAnsi="宋体"/>
                <w:highlight w:val="none"/>
              </w:rPr>
            </w:pPr>
          </w:p>
        </w:tc>
        <w:tc>
          <w:tcPr>
            <w:tcW w:w="923" w:type="dxa"/>
            <w:tcBorders>
              <w:left w:val="single" w:color="auto" w:sz="4" w:space="0"/>
            </w:tcBorders>
            <w:vAlign w:val="center"/>
          </w:tcPr>
          <w:p w14:paraId="4906159B">
            <w:pPr>
              <w:spacing w:line="400" w:lineRule="exact"/>
              <w:rPr>
                <w:rFonts w:ascii="宋体" w:hAnsi="宋体"/>
                <w:highlight w:val="none"/>
              </w:rPr>
            </w:pPr>
          </w:p>
        </w:tc>
      </w:tr>
      <w:tr w14:paraId="10C42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BCCDE36">
            <w:pPr>
              <w:spacing w:line="400" w:lineRule="exact"/>
              <w:jc w:val="center"/>
              <w:rPr>
                <w:rFonts w:ascii="宋体" w:hAnsi="宋体"/>
                <w:highlight w:val="none"/>
              </w:rPr>
            </w:pPr>
          </w:p>
        </w:tc>
        <w:tc>
          <w:tcPr>
            <w:tcW w:w="1310" w:type="dxa"/>
            <w:vAlign w:val="center"/>
          </w:tcPr>
          <w:p w14:paraId="6CCA7D4F">
            <w:pPr>
              <w:spacing w:line="400" w:lineRule="exact"/>
              <w:jc w:val="center"/>
              <w:rPr>
                <w:rFonts w:ascii="宋体" w:hAnsi="宋体"/>
                <w:highlight w:val="none"/>
              </w:rPr>
            </w:pPr>
          </w:p>
        </w:tc>
        <w:tc>
          <w:tcPr>
            <w:tcW w:w="2400" w:type="dxa"/>
            <w:vAlign w:val="center"/>
          </w:tcPr>
          <w:p w14:paraId="4C0A8D2A">
            <w:pPr>
              <w:spacing w:line="400" w:lineRule="exact"/>
              <w:jc w:val="center"/>
              <w:rPr>
                <w:rFonts w:ascii="宋体" w:hAnsi="宋体"/>
                <w:highlight w:val="none"/>
              </w:rPr>
            </w:pPr>
          </w:p>
        </w:tc>
        <w:tc>
          <w:tcPr>
            <w:tcW w:w="1530" w:type="dxa"/>
            <w:vAlign w:val="center"/>
          </w:tcPr>
          <w:p w14:paraId="327E9ECB">
            <w:pPr>
              <w:spacing w:line="400" w:lineRule="exact"/>
              <w:jc w:val="center"/>
              <w:rPr>
                <w:rFonts w:ascii="宋体" w:hAnsi="宋体"/>
                <w:highlight w:val="none"/>
              </w:rPr>
            </w:pPr>
          </w:p>
        </w:tc>
        <w:tc>
          <w:tcPr>
            <w:tcW w:w="1395" w:type="dxa"/>
            <w:tcBorders>
              <w:right w:val="single" w:color="auto" w:sz="4" w:space="0"/>
            </w:tcBorders>
            <w:vAlign w:val="center"/>
          </w:tcPr>
          <w:p w14:paraId="3256F7DC">
            <w:pPr>
              <w:spacing w:line="400" w:lineRule="exact"/>
              <w:jc w:val="center"/>
              <w:rPr>
                <w:rFonts w:ascii="宋体" w:hAnsi="宋体"/>
                <w:highlight w:val="none"/>
              </w:rPr>
            </w:pPr>
          </w:p>
        </w:tc>
        <w:tc>
          <w:tcPr>
            <w:tcW w:w="923" w:type="dxa"/>
            <w:tcBorders>
              <w:left w:val="single" w:color="auto" w:sz="4" w:space="0"/>
            </w:tcBorders>
            <w:vAlign w:val="center"/>
          </w:tcPr>
          <w:p w14:paraId="4EEED7F4">
            <w:pPr>
              <w:spacing w:line="400" w:lineRule="exact"/>
              <w:jc w:val="center"/>
              <w:rPr>
                <w:rFonts w:ascii="宋体" w:hAnsi="宋体"/>
                <w:highlight w:val="none"/>
              </w:rPr>
            </w:pPr>
          </w:p>
        </w:tc>
      </w:tr>
      <w:tr w14:paraId="20C18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932A4E">
            <w:pPr>
              <w:spacing w:line="400" w:lineRule="exact"/>
              <w:jc w:val="center"/>
              <w:rPr>
                <w:rFonts w:ascii="宋体" w:hAnsi="宋体"/>
                <w:highlight w:val="none"/>
              </w:rPr>
            </w:pPr>
          </w:p>
        </w:tc>
        <w:tc>
          <w:tcPr>
            <w:tcW w:w="1310" w:type="dxa"/>
            <w:vAlign w:val="center"/>
          </w:tcPr>
          <w:p w14:paraId="017A2BCA">
            <w:pPr>
              <w:spacing w:line="400" w:lineRule="exact"/>
              <w:jc w:val="center"/>
              <w:rPr>
                <w:rFonts w:ascii="宋体" w:hAnsi="宋体"/>
                <w:highlight w:val="none"/>
              </w:rPr>
            </w:pPr>
          </w:p>
        </w:tc>
        <w:tc>
          <w:tcPr>
            <w:tcW w:w="2400" w:type="dxa"/>
            <w:vAlign w:val="center"/>
          </w:tcPr>
          <w:p w14:paraId="23C489FB">
            <w:pPr>
              <w:spacing w:line="400" w:lineRule="exact"/>
              <w:jc w:val="center"/>
              <w:rPr>
                <w:rFonts w:ascii="宋体" w:hAnsi="宋体"/>
                <w:highlight w:val="none"/>
              </w:rPr>
            </w:pPr>
          </w:p>
        </w:tc>
        <w:tc>
          <w:tcPr>
            <w:tcW w:w="1530" w:type="dxa"/>
            <w:vAlign w:val="center"/>
          </w:tcPr>
          <w:p w14:paraId="78E9E1B1">
            <w:pPr>
              <w:spacing w:line="400" w:lineRule="exact"/>
              <w:jc w:val="center"/>
              <w:rPr>
                <w:rFonts w:ascii="宋体" w:hAnsi="宋体"/>
                <w:highlight w:val="none"/>
              </w:rPr>
            </w:pPr>
          </w:p>
        </w:tc>
        <w:tc>
          <w:tcPr>
            <w:tcW w:w="1395" w:type="dxa"/>
            <w:tcBorders>
              <w:right w:val="single" w:color="auto" w:sz="4" w:space="0"/>
            </w:tcBorders>
            <w:vAlign w:val="center"/>
          </w:tcPr>
          <w:p w14:paraId="2D2D55EC">
            <w:pPr>
              <w:spacing w:line="400" w:lineRule="exact"/>
              <w:jc w:val="center"/>
              <w:rPr>
                <w:rFonts w:ascii="宋体" w:hAnsi="宋体"/>
                <w:highlight w:val="none"/>
              </w:rPr>
            </w:pPr>
          </w:p>
        </w:tc>
        <w:tc>
          <w:tcPr>
            <w:tcW w:w="923" w:type="dxa"/>
            <w:tcBorders>
              <w:left w:val="single" w:color="auto" w:sz="4" w:space="0"/>
            </w:tcBorders>
            <w:vAlign w:val="center"/>
          </w:tcPr>
          <w:p w14:paraId="33EB9F6D">
            <w:pPr>
              <w:spacing w:line="400" w:lineRule="exact"/>
              <w:jc w:val="center"/>
              <w:rPr>
                <w:rFonts w:ascii="宋体" w:hAnsi="宋体"/>
                <w:highlight w:val="none"/>
              </w:rPr>
            </w:pPr>
          </w:p>
        </w:tc>
      </w:tr>
      <w:tr w14:paraId="66344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1162C4D7">
            <w:pPr>
              <w:spacing w:line="400" w:lineRule="exact"/>
              <w:jc w:val="center"/>
              <w:rPr>
                <w:rFonts w:ascii="宋体" w:hAnsi="宋体"/>
                <w:highlight w:val="none"/>
              </w:rPr>
            </w:pPr>
          </w:p>
        </w:tc>
        <w:tc>
          <w:tcPr>
            <w:tcW w:w="1310" w:type="dxa"/>
            <w:tcBorders>
              <w:bottom w:val="single" w:color="auto" w:sz="4" w:space="0"/>
            </w:tcBorders>
            <w:vAlign w:val="center"/>
          </w:tcPr>
          <w:p w14:paraId="33C22D8F">
            <w:pPr>
              <w:spacing w:line="400" w:lineRule="exact"/>
              <w:jc w:val="center"/>
              <w:rPr>
                <w:rFonts w:ascii="宋体" w:hAnsi="宋体"/>
                <w:highlight w:val="none"/>
              </w:rPr>
            </w:pPr>
          </w:p>
        </w:tc>
        <w:tc>
          <w:tcPr>
            <w:tcW w:w="2400" w:type="dxa"/>
            <w:tcBorders>
              <w:bottom w:val="single" w:color="auto" w:sz="4" w:space="0"/>
            </w:tcBorders>
            <w:vAlign w:val="center"/>
          </w:tcPr>
          <w:p w14:paraId="0C5F75E6">
            <w:pPr>
              <w:spacing w:line="400" w:lineRule="exact"/>
              <w:jc w:val="center"/>
              <w:rPr>
                <w:rFonts w:ascii="宋体" w:hAnsi="宋体"/>
                <w:highlight w:val="none"/>
              </w:rPr>
            </w:pPr>
          </w:p>
        </w:tc>
        <w:tc>
          <w:tcPr>
            <w:tcW w:w="1530" w:type="dxa"/>
            <w:tcBorders>
              <w:bottom w:val="single" w:color="auto" w:sz="4" w:space="0"/>
            </w:tcBorders>
            <w:vAlign w:val="center"/>
          </w:tcPr>
          <w:p w14:paraId="0BF3FCE5">
            <w:pPr>
              <w:spacing w:line="400" w:lineRule="exact"/>
              <w:jc w:val="center"/>
              <w:rPr>
                <w:rFonts w:ascii="宋体" w:hAnsi="宋体"/>
                <w:highlight w:val="none"/>
              </w:rPr>
            </w:pPr>
          </w:p>
        </w:tc>
        <w:tc>
          <w:tcPr>
            <w:tcW w:w="1395" w:type="dxa"/>
            <w:tcBorders>
              <w:bottom w:val="single" w:color="auto" w:sz="4" w:space="0"/>
              <w:right w:val="single" w:color="auto" w:sz="4" w:space="0"/>
            </w:tcBorders>
            <w:vAlign w:val="center"/>
          </w:tcPr>
          <w:p w14:paraId="5983E9F6">
            <w:pPr>
              <w:spacing w:line="400" w:lineRule="exact"/>
              <w:jc w:val="center"/>
              <w:rPr>
                <w:rFonts w:ascii="宋体" w:hAnsi="宋体"/>
                <w:highlight w:val="none"/>
              </w:rPr>
            </w:pPr>
          </w:p>
        </w:tc>
        <w:tc>
          <w:tcPr>
            <w:tcW w:w="923" w:type="dxa"/>
            <w:tcBorders>
              <w:left w:val="single" w:color="auto" w:sz="4" w:space="0"/>
              <w:bottom w:val="single" w:color="auto" w:sz="4" w:space="0"/>
            </w:tcBorders>
            <w:vAlign w:val="center"/>
          </w:tcPr>
          <w:p w14:paraId="11B3E437">
            <w:pPr>
              <w:spacing w:line="400" w:lineRule="exact"/>
              <w:jc w:val="center"/>
              <w:rPr>
                <w:rFonts w:ascii="宋体" w:hAnsi="宋体"/>
                <w:highlight w:val="none"/>
              </w:rPr>
            </w:pPr>
          </w:p>
        </w:tc>
      </w:tr>
      <w:tr w14:paraId="2F388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4CFBB3A">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4A453762">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245830AC">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67D12551">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0C1EABF6">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046C2100">
            <w:pPr>
              <w:spacing w:line="400" w:lineRule="exact"/>
              <w:jc w:val="center"/>
              <w:rPr>
                <w:rFonts w:ascii="宋体" w:hAnsi="宋体"/>
                <w:highlight w:val="none"/>
              </w:rPr>
            </w:pPr>
          </w:p>
        </w:tc>
      </w:tr>
      <w:tr w14:paraId="09E13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02C6B30E">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37461753">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6E5EC6BA">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37F92D06">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194AC6EF">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2B7A000B">
            <w:pPr>
              <w:spacing w:line="400" w:lineRule="exact"/>
              <w:jc w:val="center"/>
              <w:rPr>
                <w:rFonts w:ascii="宋体" w:hAnsi="宋体"/>
                <w:highlight w:val="none"/>
              </w:rPr>
            </w:pPr>
          </w:p>
        </w:tc>
      </w:tr>
      <w:tr w14:paraId="7B289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4ECC987F">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2F1847E8">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7700FFE5">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52C71163">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64C7F468">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0F10181A">
            <w:pPr>
              <w:spacing w:line="400" w:lineRule="exact"/>
              <w:jc w:val="center"/>
              <w:rPr>
                <w:rFonts w:ascii="宋体" w:hAnsi="宋体"/>
                <w:highlight w:val="none"/>
              </w:rPr>
            </w:pPr>
          </w:p>
        </w:tc>
      </w:tr>
      <w:tr w14:paraId="56F5F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607E351C">
            <w:pPr>
              <w:spacing w:line="400" w:lineRule="exact"/>
              <w:jc w:val="center"/>
              <w:rPr>
                <w:rFonts w:ascii="宋体" w:hAnsi="宋体"/>
                <w:highlight w:val="none"/>
              </w:rPr>
            </w:pPr>
          </w:p>
        </w:tc>
        <w:tc>
          <w:tcPr>
            <w:tcW w:w="1310" w:type="dxa"/>
            <w:tcBorders>
              <w:top w:val="single" w:color="auto" w:sz="4" w:space="0"/>
            </w:tcBorders>
            <w:vAlign w:val="center"/>
          </w:tcPr>
          <w:p w14:paraId="72D8D2D9">
            <w:pPr>
              <w:spacing w:line="400" w:lineRule="exact"/>
              <w:jc w:val="center"/>
              <w:rPr>
                <w:rFonts w:ascii="宋体" w:hAnsi="宋体"/>
                <w:highlight w:val="none"/>
              </w:rPr>
            </w:pPr>
          </w:p>
        </w:tc>
        <w:tc>
          <w:tcPr>
            <w:tcW w:w="2400" w:type="dxa"/>
            <w:tcBorders>
              <w:top w:val="single" w:color="auto" w:sz="4" w:space="0"/>
            </w:tcBorders>
            <w:vAlign w:val="center"/>
          </w:tcPr>
          <w:p w14:paraId="4D55BA20">
            <w:pPr>
              <w:spacing w:line="400" w:lineRule="exact"/>
              <w:jc w:val="center"/>
              <w:rPr>
                <w:rFonts w:ascii="宋体" w:hAnsi="宋体"/>
                <w:highlight w:val="none"/>
              </w:rPr>
            </w:pPr>
          </w:p>
        </w:tc>
        <w:tc>
          <w:tcPr>
            <w:tcW w:w="1530" w:type="dxa"/>
            <w:tcBorders>
              <w:top w:val="single" w:color="auto" w:sz="4" w:space="0"/>
            </w:tcBorders>
            <w:vAlign w:val="center"/>
          </w:tcPr>
          <w:p w14:paraId="15721EF2">
            <w:pPr>
              <w:spacing w:line="400" w:lineRule="exact"/>
              <w:jc w:val="center"/>
              <w:rPr>
                <w:rFonts w:ascii="宋体" w:hAnsi="宋体"/>
                <w:highlight w:val="none"/>
              </w:rPr>
            </w:pPr>
          </w:p>
        </w:tc>
        <w:tc>
          <w:tcPr>
            <w:tcW w:w="1395" w:type="dxa"/>
            <w:tcBorders>
              <w:top w:val="single" w:color="auto" w:sz="4" w:space="0"/>
              <w:right w:val="single" w:color="auto" w:sz="4" w:space="0"/>
            </w:tcBorders>
            <w:vAlign w:val="center"/>
          </w:tcPr>
          <w:p w14:paraId="15DC2E91">
            <w:pPr>
              <w:spacing w:line="400" w:lineRule="exact"/>
              <w:jc w:val="center"/>
              <w:rPr>
                <w:rFonts w:ascii="宋体" w:hAnsi="宋体"/>
                <w:highlight w:val="none"/>
              </w:rPr>
            </w:pPr>
          </w:p>
        </w:tc>
        <w:tc>
          <w:tcPr>
            <w:tcW w:w="923" w:type="dxa"/>
            <w:tcBorders>
              <w:top w:val="single" w:color="auto" w:sz="4" w:space="0"/>
              <w:left w:val="single" w:color="auto" w:sz="4" w:space="0"/>
            </w:tcBorders>
            <w:vAlign w:val="center"/>
          </w:tcPr>
          <w:p w14:paraId="564A92E6">
            <w:pPr>
              <w:spacing w:line="400" w:lineRule="exact"/>
              <w:jc w:val="center"/>
              <w:rPr>
                <w:rFonts w:ascii="宋体" w:hAnsi="宋体"/>
                <w:highlight w:val="none"/>
              </w:rPr>
            </w:pPr>
          </w:p>
        </w:tc>
      </w:tr>
    </w:tbl>
    <w:p w14:paraId="5AA1A909">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r>
        <w:rPr>
          <w:rFonts w:hint="eastAsia" w:ascii="宋体" w:hAnsi="宋体"/>
          <w:b/>
          <w:bCs/>
          <w:szCs w:val="21"/>
          <w:highlight w:val="none"/>
        </w:rPr>
        <w:t>附</w:t>
      </w:r>
      <w:r>
        <w:rPr>
          <w:rFonts w:hint="eastAsia" w:ascii="宋体" w:hAnsi="宋体"/>
          <w:b/>
          <w:bCs/>
          <w:szCs w:val="21"/>
          <w:highlight w:val="none"/>
          <w:lang w:eastAsia="zh-CN"/>
        </w:rPr>
        <w:t>：</w:t>
      </w:r>
      <w:r>
        <w:rPr>
          <w:rFonts w:hint="eastAsia" w:ascii="宋体" w:hAnsi="宋体"/>
          <w:b/>
          <w:bCs/>
          <w:szCs w:val="21"/>
          <w:highlight w:val="none"/>
          <w:lang w:val="en-US" w:eastAsia="zh-CN"/>
        </w:rPr>
        <w:t>中标</w:t>
      </w:r>
      <w:r>
        <w:rPr>
          <w:rFonts w:hint="eastAsia" w:ascii="宋体" w:hAnsi="宋体" w:eastAsia="宋体" w:cs="宋体"/>
          <w:b/>
          <w:bCs/>
          <w:sz w:val="21"/>
          <w:szCs w:val="21"/>
          <w:highlight w:val="none"/>
        </w:rPr>
        <w:t>通知书或合同协议书复印件</w:t>
      </w:r>
      <w:r>
        <w:rPr>
          <w:rFonts w:hint="eastAsia" w:ascii="宋体" w:hAnsi="宋体"/>
          <w:b/>
          <w:bCs/>
          <w:szCs w:val="21"/>
          <w:highlight w:val="none"/>
        </w:rPr>
        <w:t>。所有复印件必须要清晰、字迹清楚。</w:t>
      </w:r>
      <w:r>
        <w:rPr>
          <w:rFonts w:hint="eastAsia" w:ascii="宋体" w:hAnsi="宋体" w:cs="宋体"/>
          <w:b/>
          <w:bCs/>
          <w:sz w:val="21"/>
          <w:szCs w:val="21"/>
          <w:highlight w:val="none"/>
          <w:lang w:val="zh-CN"/>
        </w:rPr>
        <w:t>具体年份要求见供应商须知前附表。每张表格只填写一个项目，并标明序号。</w:t>
      </w:r>
    </w:p>
    <w:p w14:paraId="545D398D">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p>
    <w:p w14:paraId="6AD24F5E">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p>
    <w:p w14:paraId="720ECF10">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p>
    <w:p w14:paraId="3FC9C65B">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p>
    <w:p w14:paraId="07887527">
      <w:pPr>
        <w:tabs>
          <w:tab w:val="left" w:pos="555"/>
          <w:tab w:val="left" w:pos="2214"/>
          <w:tab w:val="left" w:pos="3774"/>
          <w:tab w:val="left" w:pos="4854"/>
          <w:tab w:val="left" w:pos="5934"/>
          <w:tab w:val="left" w:pos="7014"/>
          <w:tab w:val="left" w:pos="8214"/>
          <w:tab w:val="left" w:pos="10134"/>
          <w:tab w:val="left" w:pos="11124"/>
        </w:tabs>
        <w:spacing w:line="400" w:lineRule="exact"/>
        <w:ind w:firstLine="422" w:firstLineChars="200"/>
        <w:rPr>
          <w:rFonts w:hint="eastAsia" w:ascii="宋体" w:hAnsi="宋体" w:cs="宋体"/>
          <w:b/>
          <w:bCs/>
          <w:sz w:val="21"/>
          <w:szCs w:val="21"/>
          <w:highlight w:val="none"/>
          <w:lang w:val="zh-CN"/>
        </w:rPr>
      </w:pPr>
    </w:p>
    <w:p w14:paraId="0CC57BF9">
      <w:pPr>
        <w:pStyle w:val="3"/>
        <w:spacing w:line="400" w:lineRule="exact"/>
        <w:jc w:val="center"/>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（五）近年发生的诉讼及仲裁情况</w:t>
      </w:r>
    </w:p>
    <w:p w14:paraId="7BE4F98D">
      <w:pPr>
        <w:pStyle w:val="3"/>
        <w:spacing w:line="400" w:lineRule="exact"/>
        <w:jc w:val="center"/>
        <w:rPr>
          <w:rFonts w:hint="eastAsia" w:ascii="Times New Roman" w:hAnsi="Times New Roman" w:eastAsia="宋体" w:cs="Times New Roman"/>
          <w:b/>
          <w:bCs/>
          <w:kern w:val="2"/>
          <w:sz w:val="24"/>
          <w:szCs w:val="24"/>
          <w:highlight w:val="none"/>
          <w:lang w:val="en-US" w:eastAsia="zh-CN" w:bidi="ar-SA"/>
        </w:rPr>
      </w:pPr>
    </w:p>
    <w:p w14:paraId="46850661">
      <w:pPr>
        <w:pStyle w:val="3"/>
        <w:spacing w:line="400" w:lineRule="exact"/>
        <w:jc w:val="center"/>
        <w:rPr>
          <w:rFonts w:hint="eastAsia" w:ascii="Times New Roman" w:hAnsi="Times New Roman" w:eastAsia="宋体" w:cs="Times New Roman"/>
          <w:b/>
          <w:bCs/>
          <w:kern w:val="2"/>
          <w:sz w:val="24"/>
          <w:szCs w:val="24"/>
          <w:highlight w:val="none"/>
          <w:lang w:val="en-US" w:eastAsia="zh-CN" w:bidi="ar-SA"/>
        </w:rPr>
      </w:pPr>
    </w:p>
    <w:p w14:paraId="2FBF009B">
      <w:pPr>
        <w:pStyle w:val="3"/>
        <w:spacing w:line="400" w:lineRule="exact"/>
        <w:jc w:val="center"/>
        <w:rPr>
          <w:rFonts w:hint="eastAsia" w:ascii="Times New Roman" w:hAnsi="Times New Roman" w:eastAsia="宋体" w:cs="Times New Roman"/>
          <w:b/>
          <w:bCs/>
          <w:kern w:val="2"/>
          <w:sz w:val="24"/>
          <w:szCs w:val="24"/>
          <w:highlight w:val="none"/>
          <w:lang w:val="en-US" w:eastAsia="zh-CN" w:bidi="ar-SA"/>
        </w:rPr>
      </w:pPr>
    </w:p>
    <w:p w14:paraId="7F1AF030">
      <w:pPr>
        <w:autoSpaceDE w:val="0"/>
        <w:autoSpaceDN w:val="0"/>
        <w:adjustRightInd w:val="0"/>
        <w:spacing w:line="360" w:lineRule="auto"/>
        <w:jc w:val="center"/>
        <w:rPr>
          <w:rFonts w:hint="eastAsia" w:ascii="宋体" w:hAnsi="宋体" w:eastAsia="宋体" w:cs="宋体"/>
          <w:sz w:val="28"/>
          <w:szCs w:val="18"/>
          <w:highlight w:val="none"/>
          <w:lang w:val="en-US" w:eastAsia="zh-CN"/>
        </w:rPr>
      </w:pPr>
      <w:r>
        <w:rPr>
          <w:rFonts w:hint="eastAsia" w:ascii="宋体" w:hAnsi="宋体" w:cs="宋体"/>
          <w:b w:val="0"/>
          <w:bCs/>
          <w:sz w:val="28"/>
          <w:szCs w:val="18"/>
          <w:highlight w:val="none"/>
          <w:lang w:val="en-US" w:eastAsia="zh-CN"/>
        </w:rPr>
        <w:t>格式自拟</w:t>
      </w:r>
    </w:p>
    <w:p w14:paraId="190B73C3">
      <w:pPr>
        <w:autoSpaceDE w:val="0"/>
        <w:autoSpaceDN w:val="0"/>
        <w:adjustRightInd w:val="0"/>
        <w:spacing w:line="360" w:lineRule="auto"/>
        <w:rPr>
          <w:rFonts w:hint="eastAsia" w:ascii="宋体" w:hAnsi="宋体" w:cs="宋体"/>
          <w:sz w:val="28"/>
          <w:szCs w:val="18"/>
          <w:highlight w:val="none"/>
          <w:lang w:val="zh-CN"/>
        </w:rPr>
      </w:pPr>
    </w:p>
    <w:p w14:paraId="6A7DB406">
      <w:pPr>
        <w:autoSpaceDE w:val="0"/>
        <w:autoSpaceDN w:val="0"/>
        <w:adjustRightInd w:val="0"/>
        <w:spacing w:line="360" w:lineRule="auto"/>
        <w:rPr>
          <w:rFonts w:hint="eastAsia" w:ascii="宋体" w:hAnsi="宋体" w:cs="宋体"/>
          <w:sz w:val="28"/>
          <w:szCs w:val="18"/>
          <w:highlight w:val="none"/>
          <w:lang w:val="zh-CN"/>
        </w:rPr>
      </w:pPr>
    </w:p>
    <w:p w14:paraId="120C4F20">
      <w:pPr>
        <w:autoSpaceDE w:val="0"/>
        <w:autoSpaceDN w:val="0"/>
        <w:adjustRightInd w:val="0"/>
        <w:spacing w:line="360" w:lineRule="auto"/>
        <w:rPr>
          <w:rFonts w:hint="eastAsia" w:ascii="宋体" w:hAnsi="宋体" w:cs="宋体"/>
          <w:sz w:val="28"/>
          <w:szCs w:val="18"/>
          <w:highlight w:val="none"/>
          <w:lang w:val="zh-CN"/>
        </w:rPr>
      </w:pPr>
    </w:p>
    <w:p w14:paraId="276FC557">
      <w:pPr>
        <w:autoSpaceDE w:val="0"/>
        <w:autoSpaceDN w:val="0"/>
        <w:adjustRightInd w:val="0"/>
        <w:spacing w:line="360" w:lineRule="auto"/>
        <w:rPr>
          <w:rFonts w:hint="eastAsia" w:ascii="宋体" w:hAnsi="宋体" w:cs="宋体"/>
          <w:sz w:val="28"/>
          <w:szCs w:val="18"/>
          <w:highlight w:val="none"/>
          <w:lang w:val="zh-CN"/>
        </w:rPr>
      </w:pPr>
    </w:p>
    <w:p w14:paraId="44ECD67C">
      <w:pPr>
        <w:autoSpaceDE w:val="0"/>
        <w:autoSpaceDN w:val="0"/>
        <w:adjustRightInd w:val="0"/>
        <w:spacing w:line="360" w:lineRule="auto"/>
        <w:rPr>
          <w:rFonts w:hint="eastAsia" w:ascii="宋体" w:hAnsi="宋体" w:cs="宋体"/>
          <w:sz w:val="28"/>
          <w:szCs w:val="18"/>
          <w:highlight w:val="none"/>
          <w:lang w:val="zh-CN"/>
        </w:rPr>
      </w:pPr>
    </w:p>
    <w:p w14:paraId="2EA7424B">
      <w:pPr>
        <w:autoSpaceDE w:val="0"/>
        <w:autoSpaceDN w:val="0"/>
        <w:adjustRightInd w:val="0"/>
        <w:spacing w:line="360" w:lineRule="auto"/>
        <w:rPr>
          <w:rFonts w:hint="eastAsia" w:ascii="宋体" w:hAnsi="宋体" w:cs="宋体"/>
          <w:b w:val="0"/>
          <w:bCs/>
          <w:sz w:val="28"/>
          <w:szCs w:val="18"/>
          <w:highlight w:val="none"/>
          <w:lang w:val="zh-CN"/>
        </w:rPr>
      </w:pPr>
    </w:p>
    <w:p w14:paraId="218A7CEA">
      <w:pPr>
        <w:autoSpaceDE w:val="0"/>
        <w:autoSpaceDN w:val="0"/>
        <w:adjustRightInd w:val="0"/>
        <w:spacing w:line="360" w:lineRule="auto"/>
        <w:ind w:firstLine="1995" w:firstLineChars="950"/>
        <w:jc w:val="left"/>
        <w:rPr>
          <w:rFonts w:hint="eastAsia" w:ascii="宋体" w:hAnsi="宋体" w:cs="宋体"/>
          <w:b w:val="0"/>
          <w:bCs/>
          <w:sz w:val="21"/>
          <w:szCs w:val="21"/>
          <w:highlight w:val="none"/>
          <w:lang w:val="zh-CN"/>
        </w:rPr>
      </w:pPr>
      <w:r>
        <w:rPr>
          <w:rFonts w:hint="eastAsia" w:ascii="宋体" w:hAnsi="宋体" w:cs="宋体"/>
          <w:b w:val="0"/>
          <w:bCs/>
          <w:sz w:val="21"/>
          <w:szCs w:val="21"/>
          <w:highlight w:val="none"/>
          <w:lang w:val="en-US" w:eastAsia="zh-CN"/>
        </w:rPr>
        <w:t>供应商</w:t>
      </w:r>
      <w:r>
        <w:rPr>
          <w:rFonts w:hint="eastAsia"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hint="eastAsia" w:ascii="宋体" w:hAnsi="宋体" w:cs="宋体"/>
          <w:b w:val="0"/>
          <w:bCs/>
          <w:sz w:val="21"/>
          <w:szCs w:val="21"/>
          <w:highlight w:val="none"/>
          <w:lang w:val="zh-CN"/>
        </w:rPr>
        <w:t>（盖单位章）</w:t>
      </w:r>
    </w:p>
    <w:p w14:paraId="595E42D7">
      <w:pPr>
        <w:autoSpaceDE w:val="0"/>
        <w:autoSpaceDN w:val="0"/>
        <w:adjustRightInd w:val="0"/>
        <w:spacing w:line="360" w:lineRule="auto"/>
        <w:jc w:val="lef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 xml:space="preserve">                   法定代表人</w:t>
      </w:r>
      <w:r>
        <w:rPr>
          <w:rFonts w:hint="eastAsia" w:ascii="宋体" w:hAnsi="宋体" w:cs="宋体"/>
          <w:b w:val="0"/>
          <w:bCs/>
          <w:sz w:val="21"/>
          <w:szCs w:val="21"/>
          <w:highlight w:val="none"/>
          <w:lang w:val="en-US" w:eastAsia="zh-CN"/>
        </w:rPr>
        <w:t>或</w:t>
      </w:r>
      <w:r>
        <w:rPr>
          <w:rFonts w:hint="eastAsia" w:ascii="宋体" w:hAnsi="宋体" w:cs="宋体"/>
          <w:b w:val="0"/>
          <w:bCs/>
          <w:sz w:val="21"/>
          <w:szCs w:val="21"/>
          <w:highlight w:val="none"/>
          <w:lang w:val="zh-CN"/>
        </w:rPr>
        <w:t>委托代理人</w:t>
      </w:r>
      <w:r>
        <w:rPr>
          <w:rFonts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ascii="宋体" w:hAnsi="宋体" w:cs="宋体"/>
          <w:b w:val="0"/>
          <w:bCs/>
          <w:sz w:val="21"/>
          <w:szCs w:val="21"/>
          <w:highlight w:val="none"/>
          <w:lang w:val="zh-CN"/>
        </w:rPr>
        <w:t>(</w:t>
      </w:r>
      <w:r>
        <w:rPr>
          <w:rFonts w:hint="eastAsia" w:ascii="宋体" w:hAnsi="宋体" w:cs="宋体"/>
          <w:b w:val="0"/>
          <w:bCs/>
          <w:sz w:val="21"/>
          <w:szCs w:val="21"/>
          <w:highlight w:val="none"/>
          <w:lang w:val="zh-CN"/>
        </w:rPr>
        <w:t>签字</w:t>
      </w:r>
      <w:r>
        <w:rPr>
          <w:rFonts w:hint="eastAsia" w:ascii="宋体" w:hAnsi="宋体" w:cs="宋体"/>
          <w:b w:val="0"/>
          <w:bCs/>
          <w:sz w:val="21"/>
          <w:szCs w:val="21"/>
          <w:highlight w:val="none"/>
          <w:lang w:val="en-US" w:eastAsia="zh-CN"/>
        </w:rPr>
        <w:t>或盖章</w:t>
      </w:r>
      <w:r>
        <w:rPr>
          <w:rFonts w:ascii="宋体" w:hAnsi="宋体" w:cs="宋体"/>
          <w:b w:val="0"/>
          <w:bCs/>
          <w:sz w:val="21"/>
          <w:szCs w:val="21"/>
          <w:highlight w:val="none"/>
          <w:lang w:val="zh-CN"/>
        </w:rPr>
        <w:t>)</w:t>
      </w:r>
    </w:p>
    <w:p w14:paraId="78409C99">
      <w:pPr>
        <w:autoSpaceDE w:val="0"/>
        <w:autoSpaceDN w:val="0"/>
        <w:adjustRightInd w:val="0"/>
        <w:spacing w:line="360" w:lineRule="auto"/>
        <w:ind w:left="525" w:leftChars="250" w:firstLine="3150" w:firstLineChars="1500"/>
        <w:jc w:val="left"/>
        <w:rPr>
          <w:rFonts w:hint="eastAsia" w:ascii="宋体" w:hAnsi="宋体" w:cs="宋体"/>
          <w:b w:val="0"/>
          <w:bCs/>
          <w:sz w:val="21"/>
          <w:szCs w:val="18"/>
          <w:highlight w:val="none"/>
          <w:lang w:val="zh-CN"/>
        </w:rPr>
      </w:pP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年</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月</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日</w:t>
      </w:r>
    </w:p>
    <w:p w14:paraId="3369BF0B">
      <w:pPr>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br w:type="page"/>
      </w:r>
    </w:p>
    <w:p w14:paraId="3E02F272">
      <w:pPr>
        <w:pStyle w:val="3"/>
        <w:spacing w:line="400" w:lineRule="exact"/>
        <w:jc w:val="center"/>
        <w:rPr>
          <w:rFonts w:hint="default" w:ascii="宋体" w:hAnsi="宋体" w:eastAsia="宋体"/>
          <w:sz w:val="28"/>
          <w:szCs w:val="28"/>
          <w:highlight w:val="none"/>
          <w:lang w:val="en-US" w:eastAsia="zh-CN"/>
        </w:rPr>
      </w:pPr>
      <w:r>
        <w:rPr>
          <w:rFonts w:hint="eastAsia" w:ascii="Times New Roman" w:hAnsi="Times New Roman" w:eastAsia="宋体" w:cs="Times New Roman"/>
          <w:b/>
          <w:bCs/>
          <w:kern w:val="2"/>
          <w:sz w:val="24"/>
          <w:szCs w:val="24"/>
          <w:highlight w:val="none"/>
          <w:lang w:val="en-US" w:eastAsia="zh-CN" w:bidi="ar-SA"/>
        </w:rPr>
        <w:t>（六）联合体协议书（如有）</w:t>
      </w:r>
    </w:p>
    <w:p w14:paraId="592D2737">
      <w:pPr>
        <w:spacing w:line="394" w:lineRule="exact"/>
        <w:rPr>
          <w:rFonts w:ascii="宋体" w:hAnsi="宋体"/>
          <w:szCs w:val="21"/>
          <w:highlight w:val="none"/>
        </w:rPr>
      </w:pPr>
      <w:r>
        <w:rPr>
          <w:rFonts w:hint="eastAsia" w:ascii="宋体" w:hAnsi="宋体"/>
          <w:szCs w:val="21"/>
          <w:highlight w:val="none"/>
        </w:rPr>
        <w:t>牵头人名称：</w:t>
      </w:r>
    </w:p>
    <w:p w14:paraId="0F2AD944">
      <w:pPr>
        <w:spacing w:line="394" w:lineRule="exact"/>
        <w:rPr>
          <w:rFonts w:ascii="宋体" w:hAnsi="宋体"/>
          <w:szCs w:val="21"/>
          <w:highlight w:val="none"/>
        </w:rPr>
      </w:pPr>
      <w:r>
        <w:rPr>
          <w:rFonts w:hint="eastAsia" w:ascii="宋体" w:hAnsi="宋体"/>
          <w:szCs w:val="21"/>
          <w:highlight w:val="none"/>
        </w:rPr>
        <w:t>法定代表人：</w:t>
      </w:r>
    </w:p>
    <w:p w14:paraId="55B0C052">
      <w:pPr>
        <w:spacing w:line="394" w:lineRule="exact"/>
        <w:rPr>
          <w:rFonts w:ascii="宋体" w:hAnsi="宋体"/>
          <w:szCs w:val="21"/>
          <w:highlight w:val="none"/>
        </w:rPr>
      </w:pPr>
      <w:r>
        <w:rPr>
          <w:rFonts w:hint="eastAsia" w:ascii="宋体" w:hAnsi="宋体"/>
          <w:szCs w:val="21"/>
          <w:highlight w:val="none"/>
        </w:rPr>
        <w:t>法定住所：</w:t>
      </w:r>
    </w:p>
    <w:p w14:paraId="6ABBA8E7">
      <w:pPr>
        <w:spacing w:line="394" w:lineRule="exact"/>
        <w:rPr>
          <w:rFonts w:ascii="宋体" w:hAnsi="宋体"/>
          <w:szCs w:val="21"/>
          <w:highlight w:val="none"/>
        </w:rPr>
      </w:pPr>
      <w:r>
        <w:rPr>
          <w:rFonts w:hint="eastAsia" w:ascii="宋体" w:hAnsi="宋体"/>
          <w:szCs w:val="21"/>
          <w:highlight w:val="none"/>
        </w:rPr>
        <w:t>成员二名称：</w:t>
      </w:r>
    </w:p>
    <w:p w14:paraId="14C331D9">
      <w:pPr>
        <w:spacing w:line="394" w:lineRule="exact"/>
        <w:rPr>
          <w:rFonts w:ascii="宋体" w:hAnsi="宋体"/>
          <w:szCs w:val="21"/>
          <w:highlight w:val="none"/>
        </w:rPr>
      </w:pPr>
      <w:r>
        <w:rPr>
          <w:rFonts w:hint="eastAsia" w:ascii="宋体" w:hAnsi="宋体"/>
          <w:szCs w:val="21"/>
          <w:highlight w:val="none"/>
        </w:rPr>
        <w:t>法定代表人：</w:t>
      </w:r>
    </w:p>
    <w:p w14:paraId="1805A209">
      <w:pPr>
        <w:spacing w:line="394" w:lineRule="exact"/>
        <w:rPr>
          <w:rFonts w:ascii="宋体" w:hAnsi="宋体"/>
          <w:szCs w:val="21"/>
          <w:highlight w:val="none"/>
          <w:u w:val="single"/>
        </w:rPr>
      </w:pPr>
      <w:r>
        <w:rPr>
          <w:rFonts w:hint="eastAsia" w:ascii="宋体" w:hAnsi="宋体"/>
          <w:szCs w:val="21"/>
          <w:highlight w:val="none"/>
        </w:rPr>
        <w:t>法定住所：</w:t>
      </w:r>
    </w:p>
    <w:p w14:paraId="231BB866">
      <w:pPr>
        <w:spacing w:line="394" w:lineRule="exact"/>
        <w:ind w:firstLine="525" w:firstLineChars="250"/>
        <w:rPr>
          <w:rFonts w:ascii="宋体" w:hAnsi="宋体"/>
          <w:szCs w:val="21"/>
          <w:highlight w:val="none"/>
        </w:rPr>
      </w:pPr>
      <w:r>
        <w:rPr>
          <w:rFonts w:hint="eastAsia" w:ascii="宋体" w:hAnsi="宋体"/>
          <w:szCs w:val="21"/>
          <w:highlight w:val="none"/>
        </w:rPr>
        <w:t>……</w:t>
      </w:r>
    </w:p>
    <w:p w14:paraId="43252F60">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3155C648">
      <w:pPr>
        <w:spacing w:line="394" w:lineRule="exact"/>
        <w:rPr>
          <w:rFonts w:ascii="宋体" w:hAnsi="宋体"/>
          <w:szCs w:val="21"/>
          <w:highlight w:val="none"/>
        </w:rPr>
      </w:pPr>
      <w:r>
        <w:rPr>
          <w:rFonts w:hint="eastAsia" w:ascii="宋体" w:hAnsi="宋体"/>
          <w:szCs w:val="21"/>
          <w:highlight w:val="none"/>
        </w:rPr>
        <w:t>（采购人名称）（以下简称采购人）（项目名称）（以下简称本</w:t>
      </w:r>
      <w:r>
        <w:rPr>
          <w:rFonts w:hint="eastAsia" w:ascii="宋体" w:hAnsi="宋体"/>
          <w:szCs w:val="21"/>
          <w:highlight w:val="none"/>
          <w:lang w:val="en-US" w:eastAsia="zh-CN"/>
        </w:rPr>
        <w:t>项目</w:t>
      </w:r>
      <w:r>
        <w:rPr>
          <w:rFonts w:hint="eastAsia" w:ascii="宋体" w:hAnsi="宋体"/>
          <w:szCs w:val="21"/>
          <w:highlight w:val="none"/>
        </w:rPr>
        <w:t>）的投标并争取赢得本</w:t>
      </w:r>
      <w:r>
        <w:rPr>
          <w:rFonts w:hint="eastAsia" w:ascii="宋体" w:hAnsi="宋体"/>
          <w:szCs w:val="21"/>
          <w:highlight w:val="none"/>
          <w:lang w:val="en-US" w:eastAsia="zh-CN"/>
        </w:rPr>
        <w:t>项目</w:t>
      </w:r>
      <w:r>
        <w:rPr>
          <w:rFonts w:hint="eastAsia" w:ascii="宋体" w:hAnsi="宋体"/>
          <w:szCs w:val="21"/>
          <w:highlight w:val="none"/>
        </w:rPr>
        <w:t>合同（以下简称合同）。现就联合体投标事宜订立如下协议：</w:t>
      </w:r>
    </w:p>
    <w:p w14:paraId="7F9B729B">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37AFBAEB">
      <w:pPr>
        <w:spacing w:line="394" w:lineRule="exact"/>
        <w:ind w:firstLine="420" w:firstLineChars="200"/>
        <w:rPr>
          <w:rFonts w:ascii="宋体" w:hAnsi="宋体"/>
          <w:szCs w:val="21"/>
          <w:highlight w:val="none"/>
        </w:rPr>
      </w:pPr>
      <w:r>
        <w:rPr>
          <w:rFonts w:hint="eastAsia" w:ascii="宋体" w:hAnsi="宋体"/>
          <w:szCs w:val="21"/>
          <w:highlight w:val="none"/>
        </w:rPr>
        <w:t>2．在本</w:t>
      </w:r>
      <w:r>
        <w:rPr>
          <w:rFonts w:hint="eastAsia" w:ascii="宋体" w:hAnsi="宋体"/>
          <w:szCs w:val="21"/>
          <w:highlight w:val="none"/>
          <w:lang w:val="en-US" w:eastAsia="zh-CN"/>
        </w:rPr>
        <w:t>项目</w:t>
      </w:r>
      <w:r>
        <w:rPr>
          <w:rFonts w:hint="eastAsia" w:ascii="宋体" w:hAnsi="宋体"/>
          <w:szCs w:val="21"/>
          <w:highlight w:val="none"/>
        </w:rPr>
        <w:t>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0BA9099">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2ABEF64F">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w:t>
      </w:r>
      <w:r>
        <w:rPr>
          <w:rFonts w:hint="eastAsia" w:ascii="宋体" w:hAnsi="宋体"/>
          <w:szCs w:val="21"/>
          <w:highlight w:val="none"/>
          <w:u w:val="single"/>
          <w:lang w:val="en-US" w:eastAsia="zh-CN"/>
        </w:rPr>
        <w:t xml:space="preserve">                            </w:t>
      </w:r>
      <w:r>
        <w:rPr>
          <w:rFonts w:hint="eastAsia" w:ascii="宋体" w:hAnsi="宋体"/>
          <w:szCs w:val="21"/>
          <w:highlight w:val="none"/>
        </w:rPr>
        <w:t>。按照本条上述分工，联合体成员单位各自所承担的合同工作量比例如下：。</w:t>
      </w:r>
    </w:p>
    <w:p w14:paraId="4FD20068">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396F5AC6">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ED4B99A">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C1F06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80BF80B">
      <w:pPr>
        <w:spacing w:line="394" w:lineRule="exact"/>
        <w:rPr>
          <w:rFonts w:ascii="宋体" w:hAnsi="宋体"/>
          <w:szCs w:val="21"/>
          <w:highlight w:val="none"/>
        </w:rPr>
      </w:pPr>
    </w:p>
    <w:p w14:paraId="70426E5C">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43E2588C">
      <w:pPr>
        <w:spacing w:line="394" w:lineRule="exact"/>
        <w:ind w:firstLine="1785" w:firstLineChars="85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lang w:val="en-US" w:eastAsia="zh-CN"/>
        </w:rPr>
        <w:t>或盖章</w:t>
      </w:r>
      <w:r>
        <w:rPr>
          <w:rFonts w:hint="eastAsia" w:ascii="宋体" w:hAnsi="宋体"/>
          <w:szCs w:val="21"/>
          <w:highlight w:val="none"/>
        </w:rPr>
        <w:t>）</w:t>
      </w:r>
    </w:p>
    <w:p w14:paraId="0960CA10">
      <w:pPr>
        <w:spacing w:line="394" w:lineRule="exact"/>
        <w:ind w:firstLine="1785" w:firstLineChars="850"/>
        <w:rPr>
          <w:rFonts w:ascii="宋体" w:hAnsi="宋体"/>
          <w:szCs w:val="21"/>
          <w:highlight w:val="none"/>
        </w:rPr>
      </w:pPr>
    </w:p>
    <w:p w14:paraId="748156C7">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5AC00F68">
      <w:pPr>
        <w:spacing w:line="394" w:lineRule="exact"/>
        <w:ind w:firstLine="1785" w:firstLineChars="85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lang w:val="en-US" w:eastAsia="zh-CN"/>
        </w:rPr>
        <w:t>或盖章</w:t>
      </w:r>
      <w:r>
        <w:rPr>
          <w:rFonts w:hint="eastAsia" w:ascii="宋体" w:hAnsi="宋体"/>
          <w:szCs w:val="21"/>
          <w:highlight w:val="none"/>
        </w:rPr>
        <w:t>）</w:t>
      </w:r>
    </w:p>
    <w:p w14:paraId="5BC1E666">
      <w:pPr>
        <w:spacing w:line="394" w:lineRule="exact"/>
        <w:ind w:firstLine="2100" w:firstLineChars="1000"/>
        <w:rPr>
          <w:rFonts w:ascii="宋体" w:hAnsi="宋体"/>
          <w:szCs w:val="21"/>
          <w:highlight w:val="none"/>
        </w:rPr>
      </w:pPr>
      <w:r>
        <w:rPr>
          <w:rFonts w:hint="eastAsia" w:ascii="宋体" w:hAnsi="宋体"/>
          <w:szCs w:val="21"/>
          <w:highlight w:val="none"/>
        </w:rPr>
        <w:t>……</w:t>
      </w:r>
    </w:p>
    <w:p w14:paraId="09C0DAF6">
      <w:pPr>
        <w:pStyle w:val="24"/>
        <w:widowControl w:val="0"/>
        <w:numPr>
          <w:ilvl w:val="0"/>
          <w:numId w:val="0"/>
        </w:numPr>
        <w:spacing w:line="360" w:lineRule="auto"/>
        <w:jc w:val="center"/>
        <w:rPr>
          <w:rFonts w:eastAsia="黑体"/>
          <w:sz w:val="23"/>
          <w:szCs w:val="23"/>
          <w:highlight w:val="none"/>
        </w:rPr>
      </w:pPr>
      <w:r>
        <w:rPr>
          <w:rFonts w:hint="eastAsia" w:ascii="宋体" w:hAnsi="宋体"/>
          <w:b w:val="0"/>
          <w:bCs/>
          <w:color w:val="auto"/>
          <w:sz w:val="21"/>
          <w:szCs w:val="21"/>
          <w:highlight w:val="none"/>
        </w:rPr>
        <w:t>年</w:t>
      </w:r>
      <w:r>
        <w:rPr>
          <w:rFonts w:hint="eastAsia" w:ascii="宋体" w:hAnsi="宋体"/>
          <w:b w:val="0"/>
          <w:bCs/>
          <w:color w:val="auto"/>
          <w:sz w:val="21"/>
          <w:szCs w:val="21"/>
          <w:highlight w:val="none"/>
          <w:lang w:val="en-US" w:eastAsia="zh-CN"/>
        </w:rPr>
        <w:t xml:space="preserve">   </w:t>
      </w:r>
      <w:r>
        <w:rPr>
          <w:rFonts w:hint="eastAsia" w:ascii="宋体" w:hAnsi="宋体"/>
          <w:b w:val="0"/>
          <w:bCs/>
          <w:color w:val="auto"/>
          <w:sz w:val="21"/>
          <w:szCs w:val="21"/>
          <w:highlight w:val="none"/>
        </w:rPr>
        <w:t>月</w:t>
      </w:r>
      <w:r>
        <w:rPr>
          <w:rFonts w:hint="eastAsia" w:ascii="宋体" w:hAnsi="宋体"/>
          <w:b w:val="0"/>
          <w:bCs/>
          <w:color w:val="auto"/>
          <w:sz w:val="21"/>
          <w:szCs w:val="21"/>
          <w:highlight w:val="none"/>
          <w:lang w:val="en-US" w:eastAsia="zh-CN"/>
        </w:rPr>
        <w:t xml:space="preserve">   </w:t>
      </w:r>
      <w:r>
        <w:rPr>
          <w:rFonts w:hint="eastAsia" w:ascii="宋体" w:hAnsi="宋体"/>
          <w:b w:val="0"/>
          <w:bCs/>
          <w:color w:val="auto"/>
          <w:sz w:val="21"/>
          <w:szCs w:val="21"/>
          <w:highlight w:val="none"/>
        </w:rPr>
        <w:t xml:space="preserve">日  </w:t>
      </w:r>
      <w:r>
        <w:rPr>
          <w:rFonts w:hint="eastAsia" w:ascii="宋体" w:hAnsi="宋体"/>
          <w:b w:val="0"/>
          <w:bCs/>
          <w:szCs w:val="21"/>
          <w:highlight w:val="none"/>
        </w:rPr>
        <w:t xml:space="preserve">   </w:t>
      </w:r>
      <w:r>
        <w:rPr>
          <w:rFonts w:hint="eastAsia" w:ascii="宋体" w:hAnsi="宋体"/>
          <w:szCs w:val="21"/>
          <w:highlight w:val="none"/>
        </w:rPr>
        <w:t xml:space="preserve"> </w:t>
      </w:r>
    </w:p>
    <w:p w14:paraId="2EA0E9AB">
      <w:pPr>
        <w:pStyle w:val="24"/>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default" w:ascii="宋体" w:hAnsi="宋体" w:eastAsia="宋体" w:cs="Arial"/>
          <w:b/>
          <w:bCs/>
          <w:color w:val="auto"/>
          <w:kern w:val="0"/>
          <w:sz w:val="21"/>
          <w:szCs w:val="21"/>
          <w:highlight w:val="none"/>
          <w:lang w:val="en-US" w:eastAsia="zh-CN" w:bidi="ar-SA"/>
        </w:rPr>
      </w:pPr>
    </w:p>
    <w:p w14:paraId="0F6F2CCF">
      <w:pPr>
        <w:pStyle w:val="24"/>
        <w:widowControl w:val="0"/>
        <w:numPr>
          <w:ilvl w:val="0"/>
          <w:numId w:val="0"/>
        </w:numPr>
        <w:spacing w:line="500" w:lineRule="exact"/>
        <w:jc w:val="both"/>
        <w:rPr>
          <w:rFonts w:hint="eastAsia" w:ascii="宋体" w:hAnsi="宋体" w:eastAsia="宋体" w:cs="Arial"/>
          <w:b/>
          <w:bCs/>
          <w:color w:val="auto"/>
          <w:kern w:val="0"/>
          <w:sz w:val="30"/>
          <w:szCs w:val="30"/>
          <w:highlight w:val="none"/>
          <w:lang w:val="en-US" w:eastAsia="zh-CN" w:bidi="ar-SA"/>
        </w:rPr>
      </w:pPr>
    </w:p>
    <w:p w14:paraId="6E8A46A1">
      <w:pPr>
        <w:pStyle w:val="30"/>
        <w:numPr>
          <w:ilvl w:val="0"/>
          <w:numId w:val="0"/>
        </w:numPr>
        <w:spacing w:line="360" w:lineRule="auto"/>
        <w:jc w:val="center"/>
        <w:rPr>
          <w:rFonts w:hint="eastAsia"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w:t>
      </w:r>
      <w:r>
        <w:rPr>
          <w:rFonts w:hint="eastAsia" w:cs="Times New Roman"/>
          <w:b/>
          <w:bCs/>
          <w:kern w:val="2"/>
          <w:sz w:val="24"/>
          <w:szCs w:val="24"/>
          <w:highlight w:val="none"/>
          <w:lang w:val="en-US" w:eastAsia="zh-CN" w:bidi="ar-SA"/>
        </w:rPr>
        <w:t>七</w:t>
      </w:r>
      <w:r>
        <w:rPr>
          <w:rFonts w:hint="eastAsia" w:ascii="Times New Roman" w:hAnsi="Times New Roman" w:eastAsia="宋体" w:cs="Times New Roman"/>
          <w:b/>
          <w:bCs/>
          <w:kern w:val="2"/>
          <w:sz w:val="24"/>
          <w:szCs w:val="24"/>
          <w:highlight w:val="none"/>
          <w:lang w:val="en-US" w:eastAsia="zh-CN" w:bidi="ar-SA"/>
        </w:rPr>
        <w:t>）</w:t>
      </w:r>
      <w:r>
        <w:rPr>
          <w:rFonts w:hint="eastAsia" w:cs="Times New Roman"/>
          <w:b/>
          <w:bCs/>
          <w:kern w:val="2"/>
          <w:sz w:val="24"/>
          <w:szCs w:val="24"/>
          <w:highlight w:val="none"/>
          <w:lang w:val="en-US" w:eastAsia="zh-CN" w:bidi="ar-SA"/>
        </w:rPr>
        <w:t>供应商参加政府采购活动前3年内在经营活动中</w:t>
      </w:r>
    </w:p>
    <w:p w14:paraId="294C6B34">
      <w:pPr>
        <w:pStyle w:val="30"/>
        <w:numPr>
          <w:ilvl w:val="0"/>
          <w:numId w:val="0"/>
        </w:numPr>
        <w:spacing w:line="360" w:lineRule="auto"/>
        <w:jc w:val="center"/>
        <w:rPr>
          <w:rFonts w:hint="eastAsia" w:ascii="宋体" w:hAnsi="宋体" w:eastAsia="宋体" w:cs="Arial"/>
          <w:b/>
          <w:bCs/>
          <w:color w:val="auto"/>
          <w:kern w:val="0"/>
          <w:sz w:val="30"/>
          <w:szCs w:val="30"/>
          <w:highlight w:val="none"/>
          <w:lang w:val="en-US" w:eastAsia="zh-CN" w:bidi="ar-SA"/>
        </w:rPr>
      </w:pPr>
      <w:r>
        <w:rPr>
          <w:rFonts w:hint="eastAsia" w:cs="Times New Roman"/>
          <w:b/>
          <w:bCs/>
          <w:kern w:val="2"/>
          <w:sz w:val="24"/>
          <w:szCs w:val="24"/>
          <w:highlight w:val="none"/>
          <w:lang w:val="en-US" w:eastAsia="zh-CN" w:bidi="ar-SA"/>
        </w:rPr>
        <w:t>没有重大违法记录的书面声明</w:t>
      </w:r>
    </w:p>
    <w:p w14:paraId="083FA823">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F1A2E73">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DFDB930">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29641CE">
      <w:pPr>
        <w:autoSpaceDE w:val="0"/>
        <w:autoSpaceDN w:val="0"/>
        <w:adjustRightInd w:val="0"/>
        <w:spacing w:line="360" w:lineRule="auto"/>
        <w:jc w:val="center"/>
        <w:rPr>
          <w:rFonts w:hint="eastAsia" w:ascii="宋体" w:hAnsi="宋体" w:eastAsia="宋体" w:cs="宋体"/>
          <w:sz w:val="28"/>
          <w:szCs w:val="18"/>
          <w:highlight w:val="none"/>
          <w:lang w:val="en-US" w:eastAsia="zh-CN"/>
        </w:rPr>
      </w:pPr>
      <w:r>
        <w:rPr>
          <w:rFonts w:hint="eastAsia" w:ascii="宋体" w:hAnsi="宋体" w:cs="宋体"/>
          <w:b w:val="0"/>
          <w:bCs/>
          <w:sz w:val="28"/>
          <w:szCs w:val="18"/>
          <w:highlight w:val="none"/>
          <w:lang w:val="en-US" w:eastAsia="zh-CN"/>
        </w:rPr>
        <w:t>格式自拟</w:t>
      </w:r>
    </w:p>
    <w:p w14:paraId="17F40A41">
      <w:pPr>
        <w:autoSpaceDE w:val="0"/>
        <w:autoSpaceDN w:val="0"/>
        <w:adjustRightInd w:val="0"/>
        <w:spacing w:line="360" w:lineRule="auto"/>
        <w:rPr>
          <w:rFonts w:hint="eastAsia" w:ascii="宋体" w:hAnsi="宋体" w:cs="宋体"/>
          <w:sz w:val="28"/>
          <w:szCs w:val="18"/>
          <w:highlight w:val="none"/>
          <w:lang w:val="zh-CN"/>
        </w:rPr>
      </w:pPr>
    </w:p>
    <w:p w14:paraId="5E62D62F">
      <w:pPr>
        <w:autoSpaceDE w:val="0"/>
        <w:autoSpaceDN w:val="0"/>
        <w:adjustRightInd w:val="0"/>
        <w:spacing w:line="360" w:lineRule="auto"/>
        <w:rPr>
          <w:rFonts w:hint="eastAsia" w:ascii="宋体" w:hAnsi="宋体" w:cs="宋体"/>
          <w:sz w:val="28"/>
          <w:szCs w:val="18"/>
          <w:highlight w:val="none"/>
          <w:lang w:val="zh-CN"/>
        </w:rPr>
      </w:pPr>
    </w:p>
    <w:p w14:paraId="2208F644">
      <w:pPr>
        <w:autoSpaceDE w:val="0"/>
        <w:autoSpaceDN w:val="0"/>
        <w:adjustRightInd w:val="0"/>
        <w:spacing w:line="360" w:lineRule="auto"/>
        <w:rPr>
          <w:rFonts w:hint="eastAsia" w:ascii="宋体" w:hAnsi="宋体" w:cs="宋体"/>
          <w:sz w:val="28"/>
          <w:szCs w:val="18"/>
          <w:highlight w:val="none"/>
          <w:lang w:val="zh-CN"/>
        </w:rPr>
      </w:pPr>
    </w:p>
    <w:p w14:paraId="63245672">
      <w:pPr>
        <w:autoSpaceDE w:val="0"/>
        <w:autoSpaceDN w:val="0"/>
        <w:adjustRightInd w:val="0"/>
        <w:spacing w:line="360" w:lineRule="auto"/>
        <w:rPr>
          <w:rFonts w:hint="eastAsia" w:ascii="宋体" w:hAnsi="宋体" w:cs="宋体"/>
          <w:sz w:val="28"/>
          <w:szCs w:val="18"/>
          <w:highlight w:val="none"/>
          <w:lang w:val="zh-CN"/>
        </w:rPr>
      </w:pPr>
    </w:p>
    <w:p w14:paraId="08ED8FA9">
      <w:pPr>
        <w:autoSpaceDE w:val="0"/>
        <w:autoSpaceDN w:val="0"/>
        <w:adjustRightInd w:val="0"/>
        <w:spacing w:line="360" w:lineRule="auto"/>
        <w:rPr>
          <w:rFonts w:hint="eastAsia" w:ascii="宋体" w:hAnsi="宋体" w:cs="宋体"/>
          <w:sz w:val="28"/>
          <w:szCs w:val="18"/>
          <w:highlight w:val="none"/>
          <w:lang w:val="zh-CN"/>
        </w:rPr>
      </w:pPr>
    </w:p>
    <w:p w14:paraId="2B9E40B6">
      <w:pPr>
        <w:autoSpaceDE w:val="0"/>
        <w:autoSpaceDN w:val="0"/>
        <w:adjustRightInd w:val="0"/>
        <w:spacing w:line="360" w:lineRule="auto"/>
        <w:rPr>
          <w:rFonts w:hint="eastAsia" w:ascii="宋体" w:hAnsi="宋体" w:cs="宋体"/>
          <w:b w:val="0"/>
          <w:bCs/>
          <w:sz w:val="28"/>
          <w:szCs w:val="18"/>
          <w:highlight w:val="none"/>
          <w:lang w:val="zh-CN"/>
        </w:rPr>
      </w:pPr>
    </w:p>
    <w:p w14:paraId="686323D5">
      <w:pPr>
        <w:autoSpaceDE w:val="0"/>
        <w:autoSpaceDN w:val="0"/>
        <w:adjustRightInd w:val="0"/>
        <w:spacing w:line="360" w:lineRule="auto"/>
        <w:ind w:firstLine="1995" w:firstLineChars="950"/>
        <w:jc w:val="left"/>
        <w:rPr>
          <w:rFonts w:hint="eastAsia" w:ascii="宋体" w:hAnsi="宋体" w:cs="宋体"/>
          <w:b w:val="0"/>
          <w:bCs/>
          <w:sz w:val="21"/>
          <w:szCs w:val="21"/>
          <w:highlight w:val="none"/>
          <w:lang w:val="zh-CN"/>
        </w:rPr>
      </w:pPr>
      <w:r>
        <w:rPr>
          <w:rFonts w:hint="eastAsia" w:ascii="宋体" w:hAnsi="宋体" w:cs="宋体"/>
          <w:b w:val="0"/>
          <w:bCs/>
          <w:sz w:val="21"/>
          <w:szCs w:val="21"/>
          <w:highlight w:val="none"/>
          <w:lang w:val="en-US" w:eastAsia="zh-CN"/>
        </w:rPr>
        <w:t>供应商</w:t>
      </w:r>
      <w:r>
        <w:rPr>
          <w:rFonts w:hint="eastAsia"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hint="eastAsia" w:ascii="宋体" w:hAnsi="宋体" w:cs="宋体"/>
          <w:b w:val="0"/>
          <w:bCs/>
          <w:sz w:val="21"/>
          <w:szCs w:val="21"/>
          <w:highlight w:val="none"/>
          <w:lang w:val="zh-CN"/>
        </w:rPr>
        <w:t>（盖单位章）</w:t>
      </w:r>
    </w:p>
    <w:p w14:paraId="734DB5C5">
      <w:pPr>
        <w:autoSpaceDE w:val="0"/>
        <w:autoSpaceDN w:val="0"/>
        <w:adjustRightInd w:val="0"/>
        <w:spacing w:line="360" w:lineRule="auto"/>
        <w:jc w:val="lef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 xml:space="preserve">                   法定代表人</w:t>
      </w:r>
      <w:r>
        <w:rPr>
          <w:rFonts w:hint="eastAsia" w:ascii="宋体" w:hAnsi="宋体" w:cs="宋体"/>
          <w:b w:val="0"/>
          <w:bCs/>
          <w:sz w:val="21"/>
          <w:szCs w:val="21"/>
          <w:highlight w:val="none"/>
          <w:lang w:val="en-US" w:eastAsia="zh-CN"/>
        </w:rPr>
        <w:t>或</w:t>
      </w:r>
      <w:r>
        <w:rPr>
          <w:rFonts w:hint="eastAsia" w:ascii="宋体" w:hAnsi="宋体" w:cs="宋体"/>
          <w:b w:val="0"/>
          <w:bCs/>
          <w:sz w:val="21"/>
          <w:szCs w:val="21"/>
          <w:highlight w:val="none"/>
          <w:lang w:val="zh-CN"/>
        </w:rPr>
        <w:t>委托代理人</w:t>
      </w:r>
      <w:r>
        <w:rPr>
          <w:rFonts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ascii="宋体" w:hAnsi="宋体" w:cs="宋体"/>
          <w:b w:val="0"/>
          <w:bCs/>
          <w:sz w:val="21"/>
          <w:szCs w:val="21"/>
          <w:highlight w:val="none"/>
          <w:lang w:val="zh-CN"/>
        </w:rPr>
        <w:t>(</w:t>
      </w:r>
      <w:r>
        <w:rPr>
          <w:rFonts w:hint="eastAsia" w:ascii="宋体" w:hAnsi="宋体" w:cs="宋体"/>
          <w:b w:val="0"/>
          <w:bCs/>
          <w:sz w:val="21"/>
          <w:szCs w:val="21"/>
          <w:highlight w:val="none"/>
          <w:lang w:val="zh-CN"/>
        </w:rPr>
        <w:t>签字</w:t>
      </w:r>
      <w:r>
        <w:rPr>
          <w:rFonts w:hint="eastAsia" w:ascii="宋体" w:hAnsi="宋体" w:cs="宋体"/>
          <w:b w:val="0"/>
          <w:bCs/>
          <w:sz w:val="21"/>
          <w:szCs w:val="21"/>
          <w:highlight w:val="none"/>
          <w:lang w:val="en-US" w:eastAsia="zh-CN"/>
        </w:rPr>
        <w:t>或盖章</w:t>
      </w:r>
      <w:r>
        <w:rPr>
          <w:rFonts w:ascii="宋体" w:hAnsi="宋体" w:cs="宋体"/>
          <w:b w:val="0"/>
          <w:bCs/>
          <w:sz w:val="21"/>
          <w:szCs w:val="21"/>
          <w:highlight w:val="none"/>
          <w:lang w:val="zh-CN"/>
        </w:rPr>
        <w:t>)</w:t>
      </w:r>
    </w:p>
    <w:p w14:paraId="67B2331D">
      <w:pPr>
        <w:autoSpaceDE w:val="0"/>
        <w:autoSpaceDN w:val="0"/>
        <w:adjustRightInd w:val="0"/>
        <w:spacing w:line="360" w:lineRule="auto"/>
        <w:ind w:left="525" w:leftChars="250" w:firstLine="3150" w:firstLineChars="1500"/>
        <w:jc w:val="left"/>
        <w:rPr>
          <w:rFonts w:ascii="宋体" w:hAnsi="宋体" w:cs="宋体"/>
          <w:b w:val="0"/>
          <w:bCs/>
          <w:sz w:val="21"/>
          <w:szCs w:val="18"/>
          <w:highlight w:val="none"/>
          <w:lang w:val="zh-CN"/>
        </w:rPr>
      </w:pP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年</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月</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日</w:t>
      </w:r>
    </w:p>
    <w:p w14:paraId="3B420D83">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50BCD63E">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35154FB1">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6A145EA2">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42993AC8">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98F1142">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6A658AC3">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6BBC1BF9">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B577D09">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220CC338">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552F785F">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3AA7766F">
      <w:pPr>
        <w:numPr>
          <w:ilvl w:val="0"/>
          <w:numId w:val="0"/>
        </w:numPr>
        <w:ind w:leftChars="0"/>
        <w:jc w:val="center"/>
        <w:rPr>
          <w:rFonts w:hint="eastAsia"/>
          <w:b/>
          <w:bCs/>
          <w:sz w:val="28"/>
          <w:szCs w:val="28"/>
          <w:highlight w:val="none"/>
          <w:lang w:val="en-US" w:eastAsia="zh-CN"/>
        </w:rPr>
      </w:pPr>
      <w:r>
        <w:rPr>
          <w:rFonts w:hint="eastAsia" w:ascii="Times New Roman" w:hAnsi="Times New Roman" w:eastAsia="宋体" w:cs="Times New Roman"/>
          <w:b/>
          <w:bCs/>
          <w:color w:val="000000"/>
          <w:kern w:val="2"/>
          <w:sz w:val="24"/>
          <w:szCs w:val="24"/>
          <w:highlight w:val="none"/>
          <w:lang w:val="en-US" w:eastAsia="zh-CN" w:bidi="ar-SA"/>
        </w:rPr>
        <w:t>（八）信誉承诺书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586E3BE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（1）为采购人不具有独立法人资格的附属机构（单位）；</w:t>
      </w:r>
    </w:p>
    <w:p w14:paraId="20CC3AD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（2）为本采购项目提供整体设计、规范编制或者项目管理、监理、检测等服务的；</w:t>
      </w:r>
    </w:p>
    <w:p w14:paraId="0536D74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（3）与采购人存在利害关系且可能影响招标公正性；</w:t>
      </w:r>
    </w:p>
    <w:p w14:paraId="45D0570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（4）与本采购项目的其他供应商为同一个单位负责人；</w:t>
      </w:r>
    </w:p>
    <w:p w14:paraId="4D6E625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（5）与本采购项目的其他供应商存在直接控股、管理关系；</w:t>
      </w:r>
    </w:p>
    <w:p w14:paraId="02B8416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（6）为本采购项目的采购代理机构；</w:t>
      </w:r>
    </w:p>
    <w:p w14:paraId="1BE460E9">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（7）与本采购项目的采购代理机构同为一个法定代表人；</w:t>
      </w:r>
    </w:p>
    <w:p w14:paraId="3B325DC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（8）与本采购项目的采购代理机构存在控股或参股关系；</w:t>
      </w:r>
    </w:p>
    <w:p w14:paraId="55B30F3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（9）被依法暂停或者取消投标资格；</w:t>
      </w:r>
    </w:p>
    <w:p w14:paraId="394C837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（10）被责令停产停业，暂扣或者吊销执照，或吊销资质证书；</w:t>
      </w:r>
    </w:p>
    <w:p w14:paraId="0ED8BD7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（11）进入清算程序，或被宣告破产，或其他丧失履约能力的情形；</w:t>
      </w:r>
    </w:p>
    <w:p w14:paraId="26E8AE0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（12）参加政府采购活动前三年内，在经营活动中有重大违法记录；</w:t>
      </w:r>
    </w:p>
    <w:p w14:paraId="6C819EC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（13）被“中国政府采购网”列入政府采购严重违法失信行为记录名单；</w:t>
      </w:r>
    </w:p>
    <w:p w14:paraId="6056BE2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（14）被工商行政管理机关在“全国企业信用信息公示系统”中列入严重违法失信企业名单（黑名单）；</w:t>
      </w:r>
    </w:p>
    <w:p w14:paraId="2804A65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（15）被最高人民法院在“信用中国”网站列入失信被执行人、重大税收违法失信主体、政府采购严重违法失信行为记录名单；</w:t>
      </w:r>
    </w:p>
    <w:p w14:paraId="5092C3D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（16）在近年（2022年1月1日起至今）内供应商及其法定代表人在“中国裁判文书网”上有行贿犯罪行为；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（17）法律法规或供应商须知前附表规定的其他情形。</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56B2A866">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14A167EF">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0672589A">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zh-CN"/>
        </w:rPr>
      </w:pPr>
    </w:p>
    <w:p w14:paraId="21CC5B16">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zh-CN"/>
        </w:rPr>
      </w:pPr>
    </w:p>
    <w:p w14:paraId="045CA7FB">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zh-CN"/>
        </w:rPr>
      </w:pPr>
    </w:p>
    <w:p w14:paraId="3EB52AF7">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zh-CN"/>
        </w:rPr>
      </w:pPr>
    </w:p>
    <w:p w14:paraId="68401B8C">
      <w:pPr>
        <w:jc w:val="center"/>
        <w:rPr>
          <w:rFonts w:hint="default" w:ascii="宋体" w:hAnsi="宋体" w:eastAsia="宋体" w:cs="宋体"/>
          <w:b w:val="0"/>
          <w:bCs/>
          <w:sz w:val="21"/>
          <w:szCs w:val="21"/>
          <w:highlight w:val="none"/>
          <w:lang w:val="en-US" w:eastAsia="zh-CN"/>
        </w:rPr>
      </w:pPr>
      <w:r>
        <w:rPr>
          <w:rFonts w:hint="eastAsia" w:ascii="Times New Roman" w:hAnsi="Times New Roman" w:eastAsia="宋体" w:cs="Times New Roman"/>
          <w:b/>
          <w:bCs/>
          <w:color w:val="000000"/>
          <w:kern w:val="2"/>
          <w:sz w:val="24"/>
          <w:szCs w:val="24"/>
          <w:highlight w:val="none"/>
          <w:lang w:val="en-US" w:eastAsia="zh-CN" w:bidi="ar-SA"/>
        </w:rPr>
        <w:t>（九） 中小企业声明函</w:t>
      </w:r>
    </w:p>
    <w:p w14:paraId="03622744">
      <w:pPr>
        <w:autoSpaceDE w:val="0"/>
        <w:autoSpaceDN w:val="0"/>
        <w:spacing w:before="38"/>
        <w:ind w:right="1677"/>
        <w:jc w:val="both"/>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31"/>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11"/>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6F6E98E8">
      <w:pPr>
        <w:pStyle w:val="24"/>
        <w:widowControl w:val="0"/>
        <w:numPr>
          <w:ilvl w:val="0"/>
          <w:numId w:val="0"/>
        </w:numPr>
        <w:spacing w:line="500" w:lineRule="exact"/>
        <w:jc w:val="center"/>
        <w:rPr>
          <w:rFonts w:hint="eastAsia" w:ascii="宋体" w:hAnsi="宋体" w:eastAsia="宋体" w:cs="宋体"/>
          <w:b w:val="0"/>
          <w:bCs w:val="0"/>
          <w:color w:val="auto"/>
          <w:kern w:val="2"/>
          <w:sz w:val="21"/>
          <w:szCs w:val="21"/>
          <w:highlight w:val="none"/>
          <w:lang w:val="en-US" w:eastAsia="zh-CN"/>
        </w:rPr>
      </w:pPr>
    </w:p>
    <w:p w14:paraId="0AA21118">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07BA4D6C">
      <w:pPr>
        <w:pStyle w:val="24"/>
        <w:widowControl w:val="0"/>
        <w:numPr>
          <w:ilvl w:val="0"/>
          <w:numId w:val="0"/>
        </w:numPr>
        <w:spacing w:line="500" w:lineRule="exact"/>
        <w:jc w:val="center"/>
        <w:rPr>
          <w:rFonts w:hint="default" w:ascii="宋体" w:hAnsi="宋体" w:eastAsia="宋体" w:cs="楷体"/>
          <w:color w:val="auto"/>
          <w:szCs w:val="21"/>
          <w:highlight w:val="none"/>
          <w:lang w:val="en-US" w:eastAsia="zh-CN"/>
        </w:rPr>
      </w:pPr>
      <w:r>
        <w:rPr>
          <w:rFonts w:hint="eastAsia" w:ascii="宋体" w:hAnsi="宋体" w:eastAsia="宋体" w:cs="Arial"/>
          <w:b/>
          <w:bCs/>
          <w:color w:val="auto"/>
          <w:kern w:val="0"/>
          <w:sz w:val="30"/>
          <w:szCs w:val="30"/>
          <w:highlight w:val="none"/>
          <w:lang w:val="en-US" w:eastAsia="zh-CN" w:bidi="ar-SA"/>
        </w:rPr>
        <w:t>六、</w:t>
      </w:r>
      <w:r>
        <w:rPr>
          <w:rFonts w:hint="eastAsia" w:cs="楷体"/>
          <w:color w:val="auto"/>
          <w:sz w:val="30"/>
          <w:szCs w:val="30"/>
          <w:highlight w:val="none"/>
          <w:lang w:val="en-US" w:eastAsia="zh-CN"/>
        </w:rPr>
        <w:t>服务方案</w:t>
      </w:r>
    </w:p>
    <w:p w14:paraId="44DADA2F">
      <w:pPr>
        <w:autoSpaceDE w:val="0"/>
        <w:autoSpaceDN w:val="0"/>
        <w:adjustRightInd w:val="0"/>
        <w:spacing w:line="400" w:lineRule="exact"/>
        <w:ind w:firstLine="420" w:firstLineChars="200"/>
        <w:jc w:val="left"/>
        <w:rPr>
          <w:rFonts w:hint="eastAsia" w:ascii="宋体" w:hAnsi="宋体" w:cs="宋体"/>
          <w:sz w:val="21"/>
          <w:szCs w:val="21"/>
          <w:highlight w:val="none"/>
          <w:lang w:val="zh-CN"/>
        </w:rPr>
      </w:pPr>
    </w:p>
    <w:p w14:paraId="532F8AB4">
      <w:pPr>
        <w:autoSpaceDE w:val="0"/>
        <w:autoSpaceDN w:val="0"/>
        <w:adjustRightInd w:val="0"/>
        <w:spacing w:line="400" w:lineRule="exact"/>
        <w:ind w:firstLine="420" w:firstLineChars="200"/>
        <w:jc w:val="left"/>
        <w:rPr>
          <w:rFonts w:hint="eastAsia" w:ascii="宋体" w:hAnsi="宋体" w:cs="宋体"/>
          <w:sz w:val="21"/>
          <w:szCs w:val="21"/>
          <w:highlight w:val="none"/>
          <w:lang w:val="zh-CN"/>
        </w:rPr>
      </w:pPr>
      <w:r>
        <w:rPr>
          <w:rFonts w:hint="eastAsia" w:ascii="宋体" w:hAnsi="宋体" w:cs="宋体"/>
          <w:sz w:val="21"/>
          <w:szCs w:val="21"/>
          <w:highlight w:val="none"/>
          <w:lang w:val="en-US" w:eastAsia="zh-CN"/>
        </w:rPr>
        <w:t>供应商</w:t>
      </w:r>
      <w:r>
        <w:rPr>
          <w:rFonts w:hint="eastAsia" w:ascii="宋体" w:hAnsi="宋体" w:cs="宋体"/>
          <w:sz w:val="21"/>
          <w:szCs w:val="21"/>
          <w:highlight w:val="none"/>
          <w:lang w:val="zh-CN"/>
        </w:rPr>
        <w:t>应根据</w:t>
      </w:r>
      <w:r>
        <w:rPr>
          <w:rFonts w:hint="eastAsia" w:ascii="宋体" w:hAnsi="宋体" w:cs="宋体"/>
          <w:sz w:val="21"/>
          <w:szCs w:val="21"/>
          <w:highlight w:val="none"/>
          <w:lang w:val="en-US" w:eastAsia="zh-CN"/>
        </w:rPr>
        <w:t>采购</w:t>
      </w:r>
      <w:r>
        <w:rPr>
          <w:rFonts w:hint="eastAsia" w:ascii="宋体" w:hAnsi="宋体" w:cs="宋体"/>
          <w:sz w:val="21"/>
          <w:szCs w:val="21"/>
          <w:highlight w:val="none"/>
          <w:lang w:val="zh-CN"/>
        </w:rPr>
        <w:t>文件</w:t>
      </w:r>
      <w:r>
        <w:rPr>
          <w:rFonts w:hint="eastAsia" w:ascii="宋体" w:hAnsi="宋体" w:cs="宋体"/>
          <w:sz w:val="21"/>
          <w:szCs w:val="21"/>
          <w:highlight w:val="none"/>
          <w:lang w:val="en-US" w:eastAsia="zh-CN"/>
        </w:rPr>
        <w:t>内容和采购人需求</w:t>
      </w:r>
      <w:r>
        <w:rPr>
          <w:rFonts w:hint="eastAsia" w:ascii="宋体" w:hAnsi="宋体" w:cs="宋体"/>
          <w:sz w:val="21"/>
          <w:szCs w:val="21"/>
          <w:highlight w:val="none"/>
          <w:lang w:val="zh-CN"/>
        </w:rPr>
        <w:t>，参考以下要点编制本</w:t>
      </w:r>
      <w:r>
        <w:rPr>
          <w:rFonts w:hint="eastAsia" w:ascii="宋体" w:hAnsi="宋体" w:cs="宋体"/>
          <w:sz w:val="21"/>
          <w:szCs w:val="21"/>
          <w:highlight w:val="none"/>
          <w:lang w:val="en-US" w:eastAsia="zh-CN"/>
        </w:rPr>
        <w:t>项目</w:t>
      </w:r>
      <w:r>
        <w:rPr>
          <w:rFonts w:hint="eastAsia" w:ascii="宋体" w:hAnsi="宋体" w:cs="宋体"/>
          <w:sz w:val="21"/>
          <w:szCs w:val="21"/>
          <w:highlight w:val="none"/>
          <w:lang w:val="zh-CN"/>
        </w:rPr>
        <w:t>的</w:t>
      </w:r>
      <w:r>
        <w:rPr>
          <w:rFonts w:hint="eastAsia" w:ascii="宋体" w:hAnsi="宋体" w:cs="宋体"/>
          <w:sz w:val="21"/>
          <w:szCs w:val="21"/>
          <w:highlight w:val="none"/>
          <w:lang w:val="en-US" w:eastAsia="zh-CN"/>
        </w:rPr>
        <w:t>服务方案</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包括但不限于以下内容</w:t>
      </w:r>
      <w:r>
        <w:rPr>
          <w:rFonts w:hint="eastAsia" w:ascii="宋体" w:hAnsi="宋体" w:cs="宋体"/>
          <w:sz w:val="21"/>
          <w:szCs w:val="21"/>
          <w:highlight w:val="none"/>
          <w:lang w:val="zh-CN"/>
        </w:rPr>
        <w:t>：</w:t>
      </w:r>
    </w:p>
    <w:p w14:paraId="233AFE3B">
      <w:pPr>
        <w:spacing w:line="400" w:lineRule="exact"/>
        <w:ind w:left="420"/>
        <w:rPr>
          <w:rFonts w:ascii="宋体" w:hAnsi="宋体" w:cs="宋体"/>
          <w:sz w:val="21"/>
          <w:szCs w:val="21"/>
          <w:highlight w:val="none"/>
          <w:lang w:val="zh-CN"/>
        </w:rPr>
      </w:pPr>
      <w:r>
        <w:rPr>
          <w:rFonts w:hint="eastAsia" w:ascii="宋体" w:hAnsi="宋体" w:cs="宋体"/>
          <w:sz w:val="21"/>
          <w:szCs w:val="21"/>
          <w:highlight w:val="none"/>
          <w:lang w:val="zh-CN"/>
        </w:rPr>
        <w:t>（1）</w:t>
      </w:r>
      <w:r>
        <w:rPr>
          <w:rFonts w:hint="eastAsia" w:ascii="宋体" w:hAnsi="宋体" w:cs="宋体"/>
          <w:b w:val="0"/>
          <w:bCs/>
          <w:sz w:val="21"/>
          <w:szCs w:val="21"/>
          <w:highlight w:val="none"/>
          <w:lang w:val="en-US" w:eastAsia="zh-CN"/>
        </w:rPr>
        <w:t>污泥处理工艺</w:t>
      </w:r>
    </w:p>
    <w:p w14:paraId="2F892494">
      <w:pPr>
        <w:spacing w:line="400" w:lineRule="exact"/>
        <w:ind w:left="420"/>
        <w:rPr>
          <w:rFonts w:ascii="宋体" w:hAnsi="宋体" w:cs="宋体"/>
          <w:sz w:val="21"/>
          <w:szCs w:val="21"/>
          <w:highlight w:val="none"/>
          <w:lang w:val="zh-CN"/>
        </w:rPr>
      </w:pPr>
      <w:r>
        <w:rPr>
          <w:rFonts w:hint="eastAsia" w:ascii="宋体" w:hAnsi="宋体" w:cs="宋体"/>
          <w:sz w:val="21"/>
          <w:szCs w:val="21"/>
          <w:highlight w:val="none"/>
          <w:lang w:val="zh-CN"/>
        </w:rPr>
        <w:t>（2）</w:t>
      </w:r>
      <w:r>
        <w:rPr>
          <w:rFonts w:hint="eastAsia" w:ascii="宋体" w:hAnsi="宋体" w:cs="宋体"/>
          <w:b w:val="0"/>
          <w:bCs/>
          <w:sz w:val="21"/>
          <w:szCs w:val="21"/>
          <w:highlight w:val="none"/>
          <w:lang w:val="en-US" w:eastAsia="zh-CN"/>
        </w:rPr>
        <w:t>污泥处置方式</w:t>
      </w:r>
    </w:p>
    <w:p w14:paraId="5DF2004A">
      <w:pPr>
        <w:spacing w:line="400" w:lineRule="exact"/>
        <w:ind w:left="420"/>
        <w:rPr>
          <w:rFonts w:ascii="宋体" w:hAnsi="宋体" w:cs="宋体"/>
          <w:sz w:val="21"/>
          <w:szCs w:val="21"/>
          <w:highlight w:val="none"/>
          <w:lang w:val="zh-CN"/>
        </w:rPr>
      </w:pPr>
      <w:r>
        <w:rPr>
          <w:rFonts w:hint="eastAsia" w:ascii="宋体" w:hAnsi="宋体" w:cs="宋体"/>
          <w:sz w:val="21"/>
          <w:szCs w:val="21"/>
          <w:highlight w:val="none"/>
          <w:lang w:val="zh-CN"/>
        </w:rPr>
        <w:t>（3）</w:t>
      </w:r>
      <w:r>
        <w:rPr>
          <w:rFonts w:hint="eastAsia" w:ascii="宋体" w:hAnsi="宋体" w:cs="宋体"/>
          <w:b w:val="0"/>
          <w:bCs/>
          <w:sz w:val="21"/>
          <w:szCs w:val="21"/>
          <w:highlight w:val="none"/>
          <w:lang w:val="zh-CN"/>
        </w:rPr>
        <w:t>质量</w:t>
      </w:r>
      <w:r>
        <w:rPr>
          <w:rFonts w:hint="eastAsia" w:ascii="宋体" w:hAnsi="宋体" w:cs="宋体"/>
          <w:b w:val="0"/>
          <w:bCs/>
          <w:sz w:val="21"/>
          <w:szCs w:val="21"/>
          <w:highlight w:val="none"/>
          <w:lang w:val="en-US" w:eastAsia="zh-CN"/>
        </w:rPr>
        <w:t>管理体系与保证措施</w:t>
      </w:r>
    </w:p>
    <w:p w14:paraId="3FCDCFFA">
      <w:pPr>
        <w:spacing w:line="400" w:lineRule="exact"/>
        <w:ind w:left="420"/>
        <w:rPr>
          <w:rFonts w:ascii="宋体" w:hAnsi="宋体" w:cs="宋体"/>
          <w:sz w:val="21"/>
          <w:szCs w:val="21"/>
          <w:highlight w:val="none"/>
          <w:lang w:val="zh-CN"/>
        </w:rPr>
      </w:pPr>
      <w:r>
        <w:rPr>
          <w:rFonts w:hint="eastAsia" w:ascii="宋体" w:hAnsi="宋体" w:cs="宋体"/>
          <w:sz w:val="21"/>
          <w:szCs w:val="21"/>
          <w:highlight w:val="none"/>
          <w:lang w:val="zh-CN"/>
        </w:rPr>
        <w:t>（4）</w:t>
      </w:r>
      <w:r>
        <w:rPr>
          <w:rFonts w:hint="eastAsia" w:ascii="宋体" w:hAnsi="宋体" w:cs="宋体"/>
          <w:bCs/>
          <w:color w:val="auto"/>
          <w:kern w:val="2"/>
          <w:highlight w:val="none"/>
          <w:lang w:val="zh-CN"/>
        </w:rPr>
        <w:t>安全管理体系与措施</w:t>
      </w:r>
    </w:p>
    <w:p w14:paraId="4A9F9785">
      <w:pPr>
        <w:spacing w:line="400" w:lineRule="exact"/>
        <w:ind w:left="420"/>
        <w:rPr>
          <w:rFonts w:hint="eastAsia" w:ascii="宋体" w:hAnsi="宋体" w:cs="宋体"/>
          <w:sz w:val="21"/>
          <w:szCs w:val="21"/>
          <w:highlight w:val="none"/>
          <w:lang w:val="zh-CN"/>
        </w:rPr>
      </w:pPr>
      <w:r>
        <w:rPr>
          <w:rFonts w:hint="eastAsia" w:ascii="宋体" w:hAnsi="宋体" w:cs="宋体"/>
          <w:sz w:val="21"/>
          <w:szCs w:val="21"/>
          <w:highlight w:val="none"/>
          <w:lang w:val="zh-CN"/>
        </w:rPr>
        <w:t>（5）</w:t>
      </w:r>
      <w:r>
        <w:rPr>
          <w:rFonts w:hint="eastAsia" w:ascii="宋体" w:hAnsi="宋体" w:cs="宋体"/>
          <w:bCs/>
          <w:color w:val="auto"/>
          <w:kern w:val="2"/>
          <w:highlight w:val="none"/>
          <w:lang w:val="zh-CN"/>
        </w:rPr>
        <w:t>环境保护管理体系与措施</w:t>
      </w:r>
    </w:p>
    <w:p w14:paraId="6ED739B4">
      <w:pPr>
        <w:spacing w:line="400" w:lineRule="exact"/>
        <w:ind w:left="420"/>
        <w:rPr>
          <w:rFonts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lang w:val="zh-CN"/>
        </w:rPr>
        <w:t>）</w:t>
      </w:r>
      <w:r>
        <w:rPr>
          <w:rFonts w:hint="eastAsia" w:ascii="宋体" w:hAnsi="宋体" w:cs="宋体"/>
          <w:bCs/>
          <w:color w:val="auto"/>
          <w:kern w:val="2"/>
          <w:highlight w:val="none"/>
          <w:lang w:val="en-US" w:eastAsia="zh-CN"/>
        </w:rPr>
        <w:t>拟投入的设备</w:t>
      </w:r>
    </w:p>
    <w:p w14:paraId="13BC347D">
      <w:pPr>
        <w:spacing w:line="400" w:lineRule="exact"/>
        <w:ind w:left="420"/>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lang w:val="zh-CN"/>
        </w:rPr>
        <w:t>）有必要说明的其他内容</w:t>
      </w:r>
    </w:p>
    <w:p w14:paraId="692B415F">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55CB89D8">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2A36E12A">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6A90F1CD">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557FC09C">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0C05267F">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12392D75">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1A72D829">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34C1803D">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537DF5D1">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3ADE95A8">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78278781">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54556FA5">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65F79B12">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4C19C70B">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53550221">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1E3463B6">
      <w:pPr>
        <w:pStyle w:val="24"/>
        <w:widowControl w:val="0"/>
        <w:numPr>
          <w:ilvl w:val="0"/>
          <w:numId w:val="0"/>
        </w:numPr>
        <w:spacing w:line="500" w:lineRule="exact"/>
        <w:jc w:val="both"/>
        <w:rPr>
          <w:rFonts w:hint="default" w:ascii="宋体" w:hAnsi="宋体" w:cs="楷体"/>
          <w:color w:val="auto"/>
          <w:szCs w:val="21"/>
          <w:highlight w:val="none"/>
          <w:lang w:val="en-US" w:eastAsia="zh-CN"/>
        </w:rPr>
      </w:pPr>
    </w:p>
    <w:p w14:paraId="7EAC8B4F">
      <w:pPr>
        <w:pStyle w:val="24"/>
        <w:widowControl w:val="0"/>
        <w:numPr>
          <w:ilvl w:val="0"/>
          <w:numId w:val="0"/>
        </w:numPr>
        <w:spacing w:line="500" w:lineRule="exact"/>
        <w:jc w:val="center"/>
        <w:rPr>
          <w:rFonts w:hint="eastAsia" w:ascii="宋体" w:hAnsi="宋体" w:eastAsia="宋体" w:cs="Arial"/>
          <w:b/>
          <w:bCs/>
          <w:color w:val="auto"/>
          <w:kern w:val="0"/>
          <w:sz w:val="30"/>
          <w:szCs w:val="30"/>
          <w:highlight w:val="none"/>
          <w:lang w:val="en-US" w:eastAsia="zh-CN" w:bidi="ar-SA"/>
        </w:rPr>
      </w:pPr>
    </w:p>
    <w:p w14:paraId="540CD894">
      <w:pPr>
        <w:pStyle w:val="24"/>
        <w:widowControl w:val="0"/>
        <w:numPr>
          <w:ilvl w:val="0"/>
          <w:numId w:val="0"/>
        </w:numPr>
        <w:spacing w:line="500" w:lineRule="exact"/>
        <w:jc w:val="center"/>
        <w:rPr>
          <w:rFonts w:hint="default" w:ascii="宋体" w:hAnsi="宋体" w:cs="楷体"/>
          <w:color w:val="auto"/>
          <w:sz w:val="30"/>
          <w:szCs w:val="30"/>
          <w:highlight w:val="none"/>
          <w:lang w:val="en-US" w:eastAsia="zh-CN"/>
        </w:rPr>
      </w:pPr>
      <w:r>
        <w:rPr>
          <w:rFonts w:hint="eastAsia" w:ascii="宋体" w:hAnsi="宋体" w:eastAsia="宋体" w:cs="Arial"/>
          <w:b/>
          <w:bCs/>
          <w:color w:val="auto"/>
          <w:kern w:val="0"/>
          <w:sz w:val="30"/>
          <w:szCs w:val="30"/>
          <w:highlight w:val="none"/>
          <w:lang w:val="en-US" w:eastAsia="zh-CN" w:bidi="ar-SA"/>
        </w:rPr>
        <w:t>七、</w:t>
      </w:r>
      <w:r>
        <w:rPr>
          <w:rFonts w:hint="eastAsia" w:ascii="宋体" w:hAnsi="宋体" w:cs="楷体"/>
          <w:color w:val="auto"/>
          <w:sz w:val="30"/>
          <w:szCs w:val="30"/>
          <w:highlight w:val="none"/>
        </w:rPr>
        <w:t>其他资料</w:t>
      </w:r>
    </w:p>
    <w:p w14:paraId="3DB3A16D">
      <w:pPr>
        <w:pStyle w:val="24"/>
        <w:widowControl w:val="0"/>
        <w:numPr>
          <w:ilvl w:val="0"/>
          <w:numId w:val="0"/>
        </w:numPr>
        <w:spacing w:line="500" w:lineRule="exact"/>
        <w:jc w:val="both"/>
        <w:rPr>
          <w:rFonts w:hint="default" w:ascii="宋体" w:hAnsi="宋体" w:cs="楷体"/>
          <w:b w:val="0"/>
          <w:bCs/>
          <w:color w:val="auto"/>
          <w:sz w:val="21"/>
          <w:szCs w:val="21"/>
          <w:highlight w:val="none"/>
          <w:lang w:val="en-US" w:eastAsia="zh-CN"/>
        </w:rPr>
      </w:pPr>
    </w:p>
    <w:p w14:paraId="0C860540">
      <w:pPr>
        <w:shd w:val="clear" w:color="auto" w:fill="auto"/>
        <w:spacing w:line="400" w:lineRule="exact"/>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1、服务承诺</w:t>
      </w:r>
    </w:p>
    <w:p w14:paraId="3B58A581">
      <w:pPr>
        <w:shd w:val="clear" w:color="auto" w:fill="auto"/>
        <w:spacing w:line="400" w:lineRule="exact"/>
        <w:jc w:val="both"/>
        <w:rPr>
          <w:rFonts w:hint="eastAsia" w:hAnsi="宋体"/>
          <w:b/>
          <w:bCs/>
          <w:sz w:val="32"/>
          <w:szCs w:val="32"/>
          <w:highlight w:val="none"/>
          <w:lang w:val="en-US" w:eastAsia="zh-CN"/>
        </w:rPr>
      </w:pPr>
    </w:p>
    <w:p w14:paraId="14DB35FC">
      <w:pPr>
        <w:pStyle w:val="7"/>
        <w:rPr>
          <w:rFonts w:hint="eastAsia"/>
          <w:highlight w:val="none"/>
          <w:lang w:val="en-US" w:eastAsia="zh-CN"/>
        </w:rPr>
      </w:pPr>
    </w:p>
    <w:p w14:paraId="3A8428A3">
      <w:pPr>
        <w:pStyle w:val="7"/>
        <w:rPr>
          <w:rFonts w:hint="eastAsia"/>
          <w:highlight w:val="none"/>
          <w:lang w:val="en-US" w:eastAsia="zh-CN"/>
        </w:rPr>
      </w:pPr>
    </w:p>
    <w:p w14:paraId="5E0D249B">
      <w:pPr>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570AE437">
      <w:pPr>
        <w:jc w:val="center"/>
        <w:rPr>
          <w:rFonts w:hint="eastAsia" w:hAnsi="宋体"/>
          <w:b w:val="0"/>
          <w:bCs w:val="0"/>
          <w:sz w:val="28"/>
          <w:szCs w:val="28"/>
          <w:highlight w:val="none"/>
          <w:lang w:val="en-US" w:eastAsia="zh-CN"/>
        </w:rPr>
      </w:pPr>
    </w:p>
    <w:p w14:paraId="2CFE4115">
      <w:pPr>
        <w:jc w:val="center"/>
        <w:rPr>
          <w:rFonts w:hint="eastAsia" w:hAnsi="宋体"/>
          <w:b w:val="0"/>
          <w:bCs w:val="0"/>
          <w:sz w:val="28"/>
          <w:szCs w:val="28"/>
          <w:highlight w:val="none"/>
          <w:lang w:val="en-US" w:eastAsia="zh-CN"/>
        </w:rPr>
      </w:pPr>
    </w:p>
    <w:p w14:paraId="0F7B3A6E">
      <w:pPr>
        <w:jc w:val="center"/>
        <w:rPr>
          <w:rFonts w:hint="eastAsia" w:hAnsi="宋体"/>
          <w:b w:val="0"/>
          <w:bCs w:val="0"/>
          <w:sz w:val="28"/>
          <w:szCs w:val="28"/>
          <w:highlight w:val="none"/>
          <w:lang w:val="en-US" w:eastAsia="zh-CN"/>
        </w:rPr>
      </w:pPr>
    </w:p>
    <w:p w14:paraId="14980928">
      <w:pPr>
        <w:jc w:val="center"/>
        <w:rPr>
          <w:rFonts w:hint="eastAsia" w:hAnsi="宋体"/>
          <w:b w:val="0"/>
          <w:bCs w:val="0"/>
          <w:sz w:val="28"/>
          <w:szCs w:val="28"/>
          <w:highlight w:val="none"/>
          <w:lang w:val="en-US" w:eastAsia="zh-CN"/>
        </w:rPr>
      </w:pPr>
    </w:p>
    <w:p w14:paraId="11FF93E4">
      <w:pPr>
        <w:jc w:val="center"/>
        <w:rPr>
          <w:rFonts w:hint="eastAsia" w:hAnsi="宋体"/>
          <w:b w:val="0"/>
          <w:bCs w:val="0"/>
          <w:sz w:val="28"/>
          <w:szCs w:val="28"/>
          <w:highlight w:val="none"/>
          <w:lang w:val="en-US" w:eastAsia="zh-CN"/>
        </w:rPr>
      </w:pPr>
    </w:p>
    <w:p w14:paraId="6CD07E91">
      <w:pPr>
        <w:jc w:val="center"/>
        <w:rPr>
          <w:rFonts w:hint="eastAsia" w:hAnsi="宋体"/>
          <w:b w:val="0"/>
          <w:bCs w:val="0"/>
          <w:sz w:val="28"/>
          <w:szCs w:val="28"/>
          <w:highlight w:val="none"/>
          <w:lang w:val="en-US" w:eastAsia="zh-CN"/>
        </w:rPr>
      </w:pPr>
    </w:p>
    <w:p w14:paraId="7D13835A">
      <w:pPr>
        <w:spacing w:line="360" w:lineRule="auto"/>
        <w:jc w:val="center"/>
        <w:rPr>
          <w:rFonts w:hint="eastAsia" w:hAnsi="宋体"/>
          <w:b w:val="0"/>
          <w:bCs w:val="0"/>
          <w:sz w:val="28"/>
          <w:szCs w:val="28"/>
          <w:highlight w:val="none"/>
          <w:lang w:val="en-US" w:eastAsia="zh-CN"/>
        </w:rPr>
      </w:pPr>
    </w:p>
    <w:p w14:paraId="68042AAD">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5BAADA40">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3B030682">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6FFC898D">
      <w:pPr>
        <w:rPr>
          <w:rFonts w:hint="eastAsia" w:hAnsi="宋体"/>
          <w:b/>
          <w:bCs/>
          <w:sz w:val="21"/>
          <w:szCs w:val="21"/>
          <w:highlight w:val="none"/>
          <w:lang w:val="en-US" w:eastAsia="zh-CN"/>
        </w:rPr>
      </w:pPr>
      <w:r>
        <w:rPr>
          <w:rFonts w:hint="eastAsia" w:hAnsi="宋体"/>
          <w:b/>
          <w:bCs/>
          <w:sz w:val="21"/>
          <w:szCs w:val="21"/>
          <w:highlight w:val="none"/>
          <w:lang w:val="en-US" w:eastAsia="zh-CN"/>
        </w:rPr>
        <w:br w:type="page"/>
      </w:r>
    </w:p>
    <w:p w14:paraId="204A4FCD">
      <w:pPr>
        <w:pStyle w:val="24"/>
        <w:widowControl w:val="0"/>
        <w:numPr>
          <w:ilvl w:val="0"/>
          <w:numId w:val="0"/>
        </w:numPr>
        <w:spacing w:line="360" w:lineRule="auto"/>
        <w:jc w:val="both"/>
        <w:rPr>
          <w:rFonts w:hint="default" w:cs="楷体"/>
          <w:b w:val="0"/>
          <w:bCs/>
          <w:color w:val="auto"/>
          <w:sz w:val="21"/>
          <w:szCs w:val="21"/>
          <w:highlight w:val="none"/>
          <w:lang w:val="en-US" w:eastAsia="zh-CN"/>
        </w:rPr>
      </w:pPr>
      <w:r>
        <w:rPr>
          <w:rFonts w:hint="eastAsia" w:cs="楷体"/>
          <w:b w:val="0"/>
          <w:bCs/>
          <w:color w:val="auto"/>
          <w:sz w:val="21"/>
          <w:szCs w:val="21"/>
          <w:highlight w:val="none"/>
          <w:lang w:val="en-US" w:eastAsia="zh-CN"/>
        </w:rPr>
        <w:t>2</w:t>
      </w:r>
      <w:r>
        <w:rPr>
          <w:rFonts w:hint="default" w:cs="楷体"/>
          <w:b w:val="0"/>
          <w:bCs/>
          <w:color w:val="auto"/>
          <w:sz w:val="21"/>
          <w:szCs w:val="21"/>
          <w:highlight w:val="none"/>
          <w:lang w:val="en-US" w:eastAsia="zh-CN"/>
        </w:rPr>
        <w:t>、供应商认为有必要的其他材料</w:t>
      </w:r>
    </w:p>
    <w:p w14:paraId="5B7CFDFD">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451BD9E2">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2C9FA7F0">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71B2187E">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19E8DE3A">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3243A1B9">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235925DC">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317390F6">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1025ADD1">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68EAA28F">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45EEA178">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4AE5D6D7">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494DD4B8">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357580B9">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4755D888">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66704B03">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738A7899">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19D427D1">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21E344B2">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64607147">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3C1D8955">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76C77322">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03E37A86">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0779BC6D">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701132E7">
      <w:pPr>
        <w:pStyle w:val="24"/>
        <w:widowControl w:val="0"/>
        <w:numPr>
          <w:ilvl w:val="0"/>
          <w:numId w:val="0"/>
        </w:numPr>
        <w:spacing w:line="360" w:lineRule="auto"/>
        <w:jc w:val="both"/>
        <w:rPr>
          <w:rFonts w:hint="default" w:cs="楷体"/>
          <w:b w:val="0"/>
          <w:bCs/>
          <w:color w:val="auto"/>
          <w:sz w:val="21"/>
          <w:szCs w:val="21"/>
          <w:highlight w:val="none"/>
          <w:lang w:val="en-US" w:eastAsia="zh-CN"/>
        </w:rPr>
      </w:pPr>
    </w:p>
    <w:p w14:paraId="28872FA1">
      <w:pPr>
        <w:spacing w:line="312" w:lineRule="auto"/>
        <w:rPr>
          <w:rFonts w:hint="eastAsia" w:ascii="宋体" w:hAnsi="宋体"/>
          <w:b/>
          <w:color w:val="auto"/>
          <w:szCs w:val="21"/>
          <w:highlight w:val="none"/>
        </w:rPr>
      </w:pPr>
    </w:p>
    <w:p w14:paraId="6BB3AA2F">
      <w:pPr>
        <w:spacing w:line="312" w:lineRule="auto"/>
        <w:rPr>
          <w:rFonts w:hint="eastAsia" w:ascii="宋体" w:hAnsi="宋体"/>
          <w:b/>
          <w:color w:val="auto"/>
          <w:szCs w:val="21"/>
          <w:highlight w:val="none"/>
        </w:rPr>
      </w:pPr>
    </w:p>
    <w:p w14:paraId="0A6A0443">
      <w:pPr>
        <w:spacing w:line="312" w:lineRule="auto"/>
        <w:rPr>
          <w:rFonts w:hint="eastAsia" w:ascii="宋体" w:hAnsi="宋体"/>
          <w:b/>
          <w:color w:val="auto"/>
          <w:szCs w:val="21"/>
          <w:highlight w:val="none"/>
        </w:rPr>
      </w:pPr>
    </w:p>
    <w:p w14:paraId="1030E2EF">
      <w:pPr>
        <w:spacing w:line="312" w:lineRule="auto"/>
        <w:rPr>
          <w:rFonts w:hint="eastAsia" w:ascii="宋体" w:hAnsi="宋体"/>
          <w:b/>
          <w:color w:val="auto"/>
          <w:szCs w:val="21"/>
          <w:highlight w:val="none"/>
        </w:rPr>
      </w:pPr>
    </w:p>
    <w:p w14:paraId="3D1DE820">
      <w:pPr>
        <w:pStyle w:val="5"/>
        <w:rPr>
          <w:rFonts w:hint="default" w:ascii="宋体" w:hAnsi="宋体" w:eastAsia="宋体"/>
          <w:sz w:val="24"/>
          <w:highlight w:val="none"/>
          <w:lang w:val="en-US" w:eastAsia="zh-CN"/>
        </w:rPr>
      </w:pPr>
      <w:r>
        <w:rPr>
          <w:rFonts w:hint="eastAsia" w:ascii="宋体" w:hAnsi="宋体"/>
          <w:b/>
          <w:color w:val="auto"/>
          <w:szCs w:val="21"/>
          <w:highlight w:val="none"/>
        </w:rPr>
        <w:t>附件：</w:t>
      </w:r>
    </w:p>
    <w:p w14:paraId="1619B173">
      <w:pPr>
        <w:rPr>
          <w:rFonts w:hint="eastAsia" w:ascii="宋体" w:hAnsi="宋体" w:eastAsia="宋体" w:cs="宋体"/>
          <w:color w:val="FF0000"/>
          <w:szCs w:val="21"/>
          <w:highlight w:val="none"/>
        </w:rPr>
      </w:pPr>
      <w:r>
        <w:rPr>
          <w:rFonts w:hint="eastAsia" w:ascii="宋体" w:hAnsi="宋体" w:eastAsia="宋体" w:cs="宋体"/>
          <w:color w:val="FF0000"/>
          <w:szCs w:val="21"/>
          <w:highlight w:val="none"/>
          <w:shd w:val="clear" w:color="auto" w:fill="FFFFFF"/>
        </w:rPr>
        <w:t xml:space="preserve">      </w:t>
      </w:r>
      <w:r>
        <w:rPr>
          <w:rFonts w:hint="eastAsia" w:ascii="宋体" w:hAnsi="宋体" w:eastAsia="宋体" w:cs="宋体"/>
          <w:color w:val="FF0000"/>
          <w:szCs w:val="21"/>
          <w:highlight w:val="none"/>
          <w:shd w:val="clear" w:color="auto" w:fill="FFFFFF"/>
        </w:rPr>
        <w:drawing>
          <wp:inline distT="0" distB="0" distL="114300" distR="114300">
            <wp:extent cx="4286250" cy="1905000"/>
            <wp:effectExtent l="0" t="0" r="0" b="0"/>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8"/>
                    <a:stretch>
                      <a:fillRect/>
                    </a:stretch>
                  </pic:blipFill>
                  <pic:spPr>
                    <a:xfrm>
                      <a:off x="0" y="0"/>
                      <a:ext cx="4286250" cy="1905000"/>
                    </a:xfrm>
                    <a:prstGeom prst="rect">
                      <a:avLst/>
                    </a:prstGeom>
                    <a:noFill/>
                    <a:ln>
                      <a:noFill/>
                    </a:ln>
                  </pic:spPr>
                </pic:pic>
              </a:graphicData>
            </a:graphic>
          </wp:inline>
        </w:drawing>
      </w:r>
    </w:p>
    <w:p w14:paraId="25F836C6">
      <w:pPr>
        <w:jc w:val="center"/>
        <w:rPr>
          <w:rFonts w:hint="eastAsia" w:ascii="宋体" w:hAnsi="宋体" w:eastAsia="宋体" w:cs="宋体"/>
          <w:highlight w:val="none"/>
        </w:rPr>
      </w:pPr>
      <w:r>
        <w:rPr>
          <w:rFonts w:hint="eastAsia" w:ascii="宋体" w:hAnsi="宋体" w:eastAsia="宋体" w:cs="宋体"/>
          <w:highlight w:val="none"/>
        </w:rPr>
        <w:t>工信部联企业〔2011〕300号</w:t>
      </w:r>
    </w:p>
    <w:p w14:paraId="129D2A59">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shd w:val="clear" w:color="auto" w:fill="FFFFFF"/>
          <w:lang w:bidi="ar"/>
        </w:rPr>
        <w:t>关于印发中小企业划型标准规定的通知</w:t>
      </w:r>
    </w:p>
    <w:p w14:paraId="6A8447C3">
      <w:pPr>
        <w:pStyle w:val="15"/>
        <w:spacing w:before="452" w:after="150" w:line="560" w:lineRule="atLeast"/>
        <w:ind w:left="150"/>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各省、自治区、直辖市人民政府，国务院各部委、各直属机构及有关单位：</w:t>
      </w:r>
    </w:p>
    <w:p w14:paraId="290DB482">
      <w:pPr>
        <w:pStyle w:val="15"/>
        <w:spacing w:before="452" w:after="150" w:line="560" w:lineRule="atLeast"/>
        <w:ind w:left="150"/>
        <w:rPr>
          <w:rFonts w:hint="eastAsia" w:ascii="宋体" w:hAnsi="宋体" w:eastAsia="宋体" w:cs="宋体"/>
          <w:highlight w:val="none"/>
        </w:rPr>
      </w:pPr>
      <w:r>
        <w:rPr>
          <w:rFonts w:hint="eastAsia" w:ascii="宋体" w:hAnsi="宋体" w:eastAsia="宋体" w:cs="宋体"/>
          <w:color w:val="000000"/>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A17275B">
      <w:pPr>
        <w:pStyle w:val="15"/>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工业和信息化部</w:t>
      </w:r>
    </w:p>
    <w:p w14:paraId="31B53AC1">
      <w:pPr>
        <w:pStyle w:val="15"/>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国家统计局</w:t>
      </w:r>
    </w:p>
    <w:p w14:paraId="2231D068">
      <w:pPr>
        <w:pStyle w:val="15"/>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国家发展和改革委员会</w:t>
      </w:r>
    </w:p>
    <w:p w14:paraId="35FAA762">
      <w:pPr>
        <w:pStyle w:val="15"/>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财政部</w:t>
      </w:r>
    </w:p>
    <w:p w14:paraId="2F4C6FCE">
      <w:pPr>
        <w:pStyle w:val="15"/>
        <w:spacing w:before="452" w:after="150" w:line="560" w:lineRule="atLeast"/>
        <w:ind w:left="150"/>
        <w:jc w:val="right"/>
        <w:rPr>
          <w:rFonts w:hint="eastAsia" w:ascii="宋体" w:hAnsi="宋体" w:eastAsia="宋体" w:cs="宋体"/>
          <w:highlight w:val="none"/>
        </w:rPr>
      </w:pPr>
      <w:r>
        <w:rPr>
          <w:rFonts w:hint="eastAsia" w:ascii="宋体" w:hAnsi="宋体" w:eastAsia="宋体" w:cs="宋体"/>
          <w:color w:val="000000"/>
          <w:highlight w:val="none"/>
          <w:shd w:val="clear" w:color="auto" w:fill="FFFFFF"/>
        </w:rPr>
        <w:t>二○一一年六月十八日</w:t>
      </w:r>
    </w:p>
    <w:p w14:paraId="7E533F1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jc w:val="center"/>
        <w:textAlignment w:val="auto"/>
        <w:rPr>
          <w:rFonts w:hint="eastAsia" w:ascii="宋体" w:hAnsi="宋体" w:eastAsia="宋体" w:cs="宋体"/>
          <w:sz w:val="21"/>
          <w:szCs w:val="21"/>
          <w:highlight w:val="none"/>
        </w:rPr>
      </w:pPr>
      <w:r>
        <w:rPr>
          <w:rStyle w:val="21"/>
          <w:rFonts w:hint="eastAsia" w:ascii="宋体" w:hAnsi="宋体" w:eastAsia="宋体" w:cs="宋体"/>
          <w:color w:val="000000"/>
          <w:highlight w:val="none"/>
          <w:shd w:val="clear" w:color="auto" w:fill="FFFFFF"/>
        </w:rPr>
        <w:br w:type="page"/>
      </w:r>
      <w:r>
        <w:rPr>
          <w:rStyle w:val="21"/>
          <w:rFonts w:hint="eastAsia" w:ascii="宋体" w:hAnsi="宋体" w:eastAsia="宋体" w:cs="宋体"/>
          <w:color w:val="000000"/>
          <w:sz w:val="21"/>
          <w:szCs w:val="21"/>
          <w:highlight w:val="none"/>
          <w:shd w:val="clear" w:color="auto" w:fill="FFFFFF"/>
        </w:rPr>
        <w:t>中小企业划型标准规定</w:t>
      </w:r>
    </w:p>
    <w:p w14:paraId="369F9E8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一、根据《中华人民共和国中小企业促进法》和《国务院关于进一步促进中小企业发展的若干意见》(国发〔2009〕36号)，制定本规定。</w:t>
      </w:r>
    </w:p>
    <w:p w14:paraId="73F21F3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二、中小企业划分为中型、小型、微型三种类型，具体标准根据企业从业人员、营业收入、资产总额等指标，结合行业特点制定。</w:t>
      </w:r>
    </w:p>
    <w:p w14:paraId="1C9F3B8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B6436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四、各行业划型标准为：</w:t>
      </w:r>
    </w:p>
    <w:p w14:paraId="0DECEE5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7505B3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A2D11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b/>
          <w:bCs/>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w:t>
      </w:r>
      <w:r>
        <w:rPr>
          <w:rFonts w:hint="eastAsia" w:ascii="宋体" w:hAnsi="宋体" w:eastAsia="宋体" w:cs="宋体"/>
          <w:b/>
          <w:bCs/>
          <w:color w:val="000000"/>
          <w:sz w:val="21"/>
          <w:szCs w:val="21"/>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B2B41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1F992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3BFD2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D2DEB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F5A67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13038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84DD5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2C02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26BA7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0D174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9A827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87185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E7201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4F9F1EE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五、企业类型的划分以统计部门的统计数据为依据。</w:t>
      </w:r>
    </w:p>
    <w:p w14:paraId="3CBF673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34E3B5E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17411F2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八、本规定由工业和信息化部、国家统计局会同有关部门根据《国民经济行业分类》修订情况和企业发展变化情况适时修订。</w:t>
      </w:r>
    </w:p>
    <w:p w14:paraId="6EE5A98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九、本规定由工业和信息化部、国家统计局会同有关部门负责解释。</w:t>
      </w:r>
    </w:p>
    <w:p w14:paraId="048DE549">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firstLine="36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十、本规定自发布之日起执行，原国家经贸委、原国家计委、财政部和国家统计局2003年颁布的《中小企业标准暂行规定》同时废止。</w:t>
      </w:r>
    </w:p>
    <w:p w14:paraId="5298238C">
      <w:pPr>
        <w:spacing w:line="312" w:lineRule="auto"/>
        <w:rPr>
          <w:rFonts w:hint="eastAsia" w:ascii="宋体" w:hAnsi="宋体"/>
          <w:b/>
          <w:color w:val="auto"/>
          <w:szCs w:val="21"/>
          <w:highlight w:val="none"/>
        </w:rPr>
      </w:pPr>
    </w:p>
    <w:p w14:paraId="704231E4">
      <w:pPr>
        <w:spacing w:line="312" w:lineRule="auto"/>
        <w:rPr>
          <w:rFonts w:hint="eastAsia" w:ascii="宋体" w:hAnsi="宋体"/>
          <w:b/>
          <w:color w:val="auto"/>
          <w:szCs w:val="21"/>
          <w:highlight w:val="none"/>
        </w:rPr>
      </w:pPr>
    </w:p>
    <w:p w14:paraId="45E4B14F">
      <w:pPr>
        <w:spacing w:line="312" w:lineRule="auto"/>
        <w:rPr>
          <w:rFonts w:hint="eastAsia" w:ascii="宋体" w:hAnsi="宋体"/>
          <w:b/>
          <w:color w:val="auto"/>
          <w:szCs w:val="21"/>
          <w:highlight w:val="none"/>
        </w:rPr>
      </w:pPr>
    </w:p>
    <w:p w14:paraId="67C56BED">
      <w:pPr>
        <w:spacing w:line="312" w:lineRule="auto"/>
        <w:rPr>
          <w:rFonts w:hint="eastAsia" w:ascii="宋体" w:hAnsi="宋体"/>
          <w:b/>
          <w:color w:val="auto"/>
          <w:szCs w:val="21"/>
          <w:highlight w:val="none"/>
        </w:rPr>
      </w:pPr>
    </w:p>
    <w:p w14:paraId="4F807B7F">
      <w:pPr>
        <w:spacing w:line="312"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政府采购促进中小企业发展管理办法</w:t>
      </w:r>
    </w:p>
    <w:p w14:paraId="68884B06">
      <w:pPr>
        <w:spacing w:line="312" w:lineRule="auto"/>
        <w:jc w:val="center"/>
        <w:rPr>
          <w:rFonts w:hint="eastAsia" w:ascii="宋体" w:hAnsi="宋体"/>
          <w:b/>
          <w:color w:val="auto"/>
          <w:szCs w:val="21"/>
          <w:highlight w:val="none"/>
        </w:rPr>
      </w:pPr>
      <w:r>
        <w:rPr>
          <w:rFonts w:hint="eastAsia" w:ascii="宋体" w:hAnsi="宋体"/>
          <w:b/>
          <w:color w:val="auto"/>
          <w:szCs w:val="21"/>
          <w:highlight w:val="none"/>
        </w:rPr>
        <w:t>财库〔2020〕46号</w:t>
      </w:r>
    </w:p>
    <w:p w14:paraId="718C0EA6">
      <w:pPr>
        <w:spacing w:line="312" w:lineRule="auto"/>
        <w:rPr>
          <w:rFonts w:hint="eastAsia" w:ascii="宋体" w:hAnsi="宋体"/>
          <w:color w:val="auto"/>
          <w:szCs w:val="21"/>
          <w:highlight w:val="none"/>
        </w:rPr>
      </w:pPr>
      <w:r>
        <w:rPr>
          <w:rFonts w:hint="eastAsia" w:ascii="宋体" w:hAnsi="宋体"/>
          <w:color w:val="auto"/>
          <w:szCs w:val="21"/>
          <w:highlight w:val="none"/>
        </w:rPr>
        <w:t>　　第一条 为了发挥政府采购的政策功能，促进中小企业健康发展，根据《中华人民共和国政府采购法》、《中华人民共和国中小企业促进法》等有关法律法规，制定本办法。</w:t>
      </w:r>
    </w:p>
    <w:p w14:paraId="5917511C">
      <w:pPr>
        <w:spacing w:line="312" w:lineRule="auto"/>
        <w:rPr>
          <w:rFonts w:hint="eastAsia" w:ascii="宋体" w:hAnsi="宋体"/>
          <w:color w:val="auto"/>
          <w:szCs w:val="21"/>
          <w:highlight w:val="none"/>
        </w:rPr>
      </w:pPr>
      <w:r>
        <w:rPr>
          <w:rFonts w:hint="eastAsia" w:ascii="宋体" w:hAnsi="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082A5CC">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E0C6873">
      <w:pPr>
        <w:spacing w:line="312" w:lineRule="auto"/>
        <w:rPr>
          <w:rFonts w:hint="eastAsia" w:ascii="宋体" w:hAnsi="宋体"/>
          <w:color w:val="auto"/>
          <w:szCs w:val="21"/>
          <w:highlight w:val="none"/>
        </w:rPr>
      </w:pPr>
      <w:r>
        <w:rPr>
          <w:rFonts w:hint="eastAsia" w:ascii="宋体" w:hAnsi="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14:paraId="573140A8">
      <w:pPr>
        <w:spacing w:line="312" w:lineRule="auto"/>
        <w:rPr>
          <w:rFonts w:hint="eastAsia" w:ascii="宋体" w:hAnsi="宋体"/>
          <w:color w:val="auto"/>
          <w:szCs w:val="21"/>
          <w:highlight w:val="none"/>
        </w:rPr>
      </w:pPr>
      <w:r>
        <w:rPr>
          <w:rFonts w:hint="eastAsia" w:ascii="宋体" w:hAnsi="宋体"/>
          <w:color w:val="auto"/>
          <w:szCs w:val="21"/>
          <w:highlight w:val="none"/>
        </w:rPr>
        <w:t>　　第四条 在政府采购活动中，供应商提供的货物、工程或者服务符合下列情形的，享受本办法规定的中小企业扶持政策：</w:t>
      </w:r>
    </w:p>
    <w:p w14:paraId="47FF129B">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2C1CEB71">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69E1C70F">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545821CB">
      <w:pPr>
        <w:spacing w:line="312" w:lineRule="auto"/>
        <w:ind w:firstLine="420" w:firstLineChars="200"/>
        <w:rPr>
          <w:rFonts w:hint="eastAsia" w:ascii="宋体" w:hAnsi="宋体"/>
          <w:color w:val="auto"/>
          <w:highlight w:val="none"/>
        </w:rPr>
      </w:pPr>
      <w:r>
        <w:rPr>
          <w:rFonts w:hint="eastAsia" w:ascii="宋体" w:hAnsi="宋体"/>
          <w:color w:val="auto"/>
          <w:highlight w:val="none"/>
        </w:rPr>
        <w:t>在货物采购项目中，供应商提供的货物既有中小企业制造货物，也有大型企业制造货物的，不享受本办法规定的中小企业扶持政策。</w:t>
      </w:r>
    </w:p>
    <w:p w14:paraId="511D0AB6">
      <w:pPr>
        <w:spacing w:line="312" w:lineRule="auto"/>
        <w:ind w:firstLine="420" w:firstLineChars="200"/>
        <w:rPr>
          <w:rFonts w:hint="eastAsia" w:ascii="宋体" w:hAnsi="宋体"/>
          <w:color w:val="auto"/>
          <w:highlight w:val="none"/>
        </w:rPr>
      </w:pPr>
      <w:r>
        <w:rPr>
          <w:rFonts w:hint="eastAsia" w:ascii="宋体" w:hAnsi="宋体"/>
          <w:color w:val="auto"/>
          <w:highlight w:val="none"/>
        </w:rPr>
        <w:t>以联合体形式参加政府采购活动，联合体各方均为中小企业的，联合体视同中小企业。其中，联合体各方均为小微企业的，联合体视同小微企业。</w:t>
      </w:r>
    </w:p>
    <w:p w14:paraId="0F946E66">
      <w:pPr>
        <w:spacing w:line="312" w:lineRule="auto"/>
        <w:ind w:firstLine="420" w:firstLineChars="200"/>
        <w:rPr>
          <w:rFonts w:hint="eastAsia" w:ascii="宋体" w:hAnsi="宋体"/>
          <w:color w:val="auto"/>
          <w:highlight w:val="none"/>
        </w:rPr>
      </w:pPr>
      <w:r>
        <w:rPr>
          <w:rFonts w:hint="eastAsia" w:ascii="宋体" w:hAnsi="宋体"/>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17CCD5A">
      <w:pPr>
        <w:spacing w:line="312" w:lineRule="auto"/>
        <w:ind w:firstLine="420" w:firstLineChars="200"/>
        <w:rPr>
          <w:rFonts w:hint="eastAsia" w:ascii="宋体" w:hAnsi="宋体"/>
          <w:color w:val="auto"/>
          <w:highlight w:val="none"/>
        </w:rPr>
      </w:pPr>
      <w:r>
        <w:rPr>
          <w:rFonts w:hint="eastAsia" w:ascii="宋体" w:hAnsi="宋体"/>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3486C56">
      <w:pPr>
        <w:spacing w:line="312" w:lineRule="auto"/>
        <w:ind w:firstLine="420" w:firstLineChars="200"/>
        <w:rPr>
          <w:rFonts w:hint="eastAsia" w:ascii="宋体" w:hAnsi="宋体"/>
          <w:color w:val="auto"/>
          <w:highlight w:val="none"/>
        </w:rPr>
      </w:pPr>
      <w:r>
        <w:rPr>
          <w:rFonts w:hint="eastAsia" w:ascii="宋体" w:hAnsi="宋体"/>
          <w:color w:val="auto"/>
          <w:highlight w:val="none"/>
        </w:rPr>
        <w:t>符合下列情形之一的，可不专门面向中小企业预留采购份额：</w:t>
      </w:r>
    </w:p>
    <w:p w14:paraId="37683DFC">
      <w:pPr>
        <w:spacing w:line="312" w:lineRule="auto"/>
        <w:ind w:firstLine="420" w:firstLineChars="200"/>
        <w:rPr>
          <w:rFonts w:hint="eastAsia" w:ascii="宋体" w:hAnsi="宋体"/>
          <w:color w:val="auto"/>
          <w:highlight w:val="none"/>
        </w:rPr>
      </w:pPr>
      <w:r>
        <w:rPr>
          <w:rFonts w:hint="eastAsia" w:ascii="宋体" w:hAnsi="宋体"/>
          <w:color w:val="auto"/>
          <w:highlight w:val="none"/>
        </w:rPr>
        <w:t>（一）法律法规和国家有关政策明确规定优先或者应当面向事业单位、社会组织等非企业主体采购的；</w:t>
      </w:r>
    </w:p>
    <w:p w14:paraId="57212D41">
      <w:pPr>
        <w:spacing w:line="312" w:lineRule="auto"/>
        <w:ind w:firstLine="420" w:firstLineChars="200"/>
        <w:rPr>
          <w:rFonts w:hint="eastAsia" w:ascii="宋体" w:hAnsi="宋体"/>
          <w:color w:val="auto"/>
          <w:highlight w:val="none"/>
        </w:rPr>
      </w:pPr>
      <w:r>
        <w:rPr>
          <w:rFonts w:hint="eastAsia" w:ascii="宋体" w:hAnsi="宋体"/>
          <w:color w:val="auto"/>
          <w:highlight w:val="none"/>
        </w:rPr>
        <w:t>（二）因确需使用不可替代的专利、专有技术，基础设施限制，或者提供特定公共服务等原因，只能从中小企业之外的供应商处采购的；</w:t>
      </w:r>
    </w:p>
    <w:p w14:paraId="404FD53A">
      <w:pPr>
        <w:spacing w:line="312" w:lineRule="auto"/>
        <w:rPr>
          <w:rFonts w:hint="eastAsia" w:ascii="宋体" w:hAnsi="宋体"/>
          <w:color w:val="auto"/>
          <w:szCs w:val="21"/>
          <w:highlight w:val="none"/>
        </w:rPr>
      </w:pPr>
      <w:r>
        <w:rPr>
          <w:rFonts w:hint="eastAsia" w:ascii="宋体" w:hAnsi="宋体"/>
          <w:color w:val="auto"/>
          <w:szCs w:val="21"/>
          <w:highlight w:val="none"/>
        </w:rPr>
        <w:t>　  （三）按照本办法规定预留采购份额无法确保充分供应、充分竞争，或者存在可能影响政府采购目标实现的情形；</w:t>
      </w:r>
    </w:p>
    <w:p w14:paraId="2DB2BC9B">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（四）框架协议采购项目；</w:t>
      </w:r>
    </w:p>
    <w:p w14:paraId="47DC91CF">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（五）省级以上人民政府财政部门规定的其他情形。</w:t>
      </w:r>
    </w:p>
    <w:p w14:paraId="1EB400B6">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除上述情形外，其他均为适宜由中小企业提供的情形。</w:t>
      </w:r>
    </w:p>
    <w:p w14:paraId="70CD381E">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第七条 采购限额标准以上，200万元以下的货物和服务采购项目、400万元以下的工程采购项目，适宜由中小企业提供的，采购人应当专门面向中小企业采购。</w:t>
      </w:r>
    </w:p>
    <w:p w14:paraId="4332B595">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89075B2">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（一）将采购项目整体或者设置采购包专门面向中小企业采购；</w:t>
      </w:r>
    </w:p>
    <w:p w14:paraId="439414E3">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（二）要求供应商以联合体形式参加采购活动，且联合体中中小企业承担的部分达到一定比例；</w:t>
      </w:r>
    </w:p>
    <w:p w14:paraId="5C59025A">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（三）要求获得采购合同的供应商将采购项目中的一定比例分包给一家或者多家中小企业。</w:t>
      </w:r>
    </w:p>
    <w:p w14:paraId="72BC51A8">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组成联合体或者接受分包合同的中小企业与联合体内其他企业、分包企业之间不得存在直接控股、管理关系。</w:t>
      </w:r>
    </w:p>
    <w:p w14:paraId="44AFD76E">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7FAE58">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C335B9D">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6C582D5">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9972F66">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7AFCEFA">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第十二条 采购项目涉及中小企业采购的，采购文件应当明确以下内容：</w:t>
      </w:r>
    </w:p>
    <w:p w14:paraId="768D0715">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（一）预留份额的采购项目或者采购包，明确该项目或相关采购包专门面向中小企业采购，以及相关标的及预算金额；</w:t>
      </w:r>
    </w:p>
    <w:p w14:paraId="5F509108">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（二）要求以联合体形式参加或者合同分包的，明确联合协议或者分包意向协议中中小企业合同金额应当达到的比例，并作为供应商资格条件；</w:t>
      </w:r>
    </w:p>
    <w:p w14:paraId="4483853B">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（三）非预留份额的采购项目或者采购包，明确有关价格扣除比例或者价格分加分比例；</w:t>
      </w:r>
    </w:p>
    <w:p w14:paraId="295D21AD">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（四）规定依据本办法规定享受扶持政策获得政府采购合同的，小微企业不得将合同分包给大中型企业，中型企业不得将合同分包给大型企业；</w:t>
      </w:r>
    </w:p>
    <w:p w14:paraId="4C5484F9">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（五）采购人认为具备相关条件的，明确对中小企业在资金支付期限、预付款比例等方面的优惠措施；</w:t>
      </w:r>
    </w:p>
    <w:p w14:paraId="0AEBE854">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（六）明确采购标的对应的中小企业划分标准所属行业；</w:t>
      </w:r>
    </w:p>
    <w:p w14:paraId="0EF76EAF">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（七）法律法规和省级以上人民政府财政部门规定的其他事项。</w:t>
      </w:r>
    </w:p>
    <w:p w14:paraId="728E9A71">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第十三条 中标、成交供应商享受本办法规定的中小企业扶持政策的，采购人、采购代理机构应当随中标、成交结果公开中标、成交供应商的《中小企业声明函》。</w:t>
      </w:r>
    </w:p>
    <w:p w14:paraId="664364A8">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适用招标投标法的政府采购工程建设项目，应当在公示中标候选人时公开中标候选人的《中小企业声明函》。</w:t>
      </w:r>
    </w:p>
    <w:p w14:paraId="3A600AEC">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E425AC">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CC73EA5">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2D6FFF72">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中小企业主管部门应当在收到财政部门或者有关招标投标行政监督部门关于协助开展中小企业认定函后 10 个工作日内做出书面答复。</w:t>
      </w:r>
    </w:p>
    <w:p w14:paraId="4825B39B">
      <w:pPr>
        <w:numPr>
          <w:ilvl w:val="0"/>
          <w:numId w:val="12"/>
        </w:num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034C8809">
      <w:pPr>
        <w:spacing w:line="312" w:lineRule="auto"/>
        <w:rPr>
          <w:rFonts w:hint="eastAsia" w:ascii="宋体" w:hAnsi="宋体"/>
          <w:color w:val="auto"/>
          <w:highlight w:val="none"/>
        </w:rPr>
      </w:pPr>
      <w:r>
        <w:rPr>
          <w:rFonts w:hint="eastAsia" w:ascii="宋体" w:hAnsi="宋体"/>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5FAEC35">
      <w:pPr>
        <w:spacing w:line="312" w:lineRule="auto"/>
        <w:ind w:firstLine="420" w:firstLineChars="200"/>
        <w:rPr>
          <w:rFonts w:hint="eastAsia" w:ascii="宋体" w:hAnsi="宋体"/>
          <w:color w:val="auto"/>
          <w:highlight w:val="none"/>
        </w:rPr>
      </w:pPr>
      <w:r>
        <w:rPr>
          <w:rFonts w:hint="eastAsia" w:ascii="宋体" w:hAnsi="宋体"/>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489A225">
      <w:pPr>
        <w:spacing w:line="312" w:lineRule="auto"/>
        <w:ind w:firstLine="420" w:firstLineChars="200"/>
        <w:rPr>
          <w:rFonts w:hint="eastAsia" w:ascii="宋体" w:hAnsi="宋体"/>
          <w:color w:val="auto"/>
          <w:highlight w:val="none"/>
        </w:rPr>
      </w:pPr>
      <w:r>
        <w:rPr>
          <w:rFonts w:hint="eastAsia" w:ascii="宋体" w:hAnsi="宋体"/>
          <w:color w:val="auto"/>
          <w:highlight w:val="none"/>
        </w:rPr>
        <w:t>第二十条 供应商按照本办法规定提供声明函内容不实的，属于提供虚假材料谋取中标、成交，依照《中华人民共和国政府采购法》等国家有关规定追究相应责任。</w:t>
      </w:r>
    </w:p>
    <w:p w14:paraId="6C856511">
      <w:pPr>
        <w:spacing w:line="312" w:lineRule="auto"/>
        <w:ind w:firstLine="420" w:firstLineChars="200"/>
        <w:rPr>
          <w:rFonts w:hint="eastAsia" w:ascii="宋体" w:hAnsi="宋体"/>
          <w:color w:val="auto"/>
          <w:highlight w:val="none"/>
        </w:rPr>
      </w:pPr>
      <w:r>
        <w:rPr>
          <w:rFonts w:hint="eastAsia" w:ascii="宋体" w:hAnsi="宋体"/>
          <w:color w:val="auto"/>
          <w:highlight w:val="none"/>
        </w:rPr>
        <w:t>适用招标投标法的政府采购工程建设项目，供应商按照本办法规定提供声明函内容不实的，属于弄虚作假骗取中标，依照《中华人民共和国招标投标法》等国家有关规定追究相应责任。</w:t>
      </w:r>
    </w:p>
    <w:p w14:paraId="43DFEC94">
      <w:pPr>
        <w:spacing w:line="312" w:lineRule="auto"/>
        <w:ind w:firstLine="420" w:firstLineChars="200"/>
        <w:rPr>
          <w:rFonts w:hint="eastAsia" w:ascii="宋体" w:hAnsi="宋体"/>
          <w:color w:val="auto"/>
          <w:highlight w:val="none"/>
        </w:rPr>
      </w:pPr>
      <w:r>
        <w:rPr>
          <w:rFonts w:hint="eastAsia" w:ascii="宋体" w:hAnsi="宋体"/>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color w:val="auto"/>
          <w:highlight w:val="none"/>
        </w:rPr>
        <w:fldChar w:fldCharType="begin"/>
      </w:r>
      <w:r>
        <w:rPr>
          <w:rFonts w:hint="eastAsia" w:ascii="宋体" w:hAnsi="宋体"/>
          <w:color w:val="auto"/>
          <w:highlight w:val="none"/>
        </w:rPr>
        <w:instrText xml:space="preserve"> HYPERLINK "http://10.162.100.18:168/golaw?dbnm=gjfg&amp;flid=1129012015130679" </w:instrText>
      </w:r>
      <w:r>
        <w:rPr>
          <w:rFonts w:hint="eastAsia" w:ascii="宋体" w:hAnsi="宋体"/>
          <w:color w:val="auto"/>
          <w:highlight w:val="none"/>
        </w:rPr>
        <w:fldChar w:fldCharType="separate"/>
      </w:r>
      <w:r>
        <w:rPr>
          <w:rFonts w:hint="eastAsia" w:ascii="宋体" w:hAnsi="宋体"/>
          <w:color w:val="auto"/>
          <w:highlight w:val="none"/>
        </w:rPr>
        <w:t>国监察法》、《中华人民共和国政府采购法实施条例》等国家</w:t>
      </w:r>
      <w:r>
        <w:rPr>
          <w:rFonts w:hint="eastAsia" w:ascii="宋体" w:hAnsi="宋体"/>
          <w:color w:val="auto"/>
          <w:highlight w:val="none"/>
        </w:rPr>
        <w:fldChar w:fldCharType="end"/>
      </w:r>
      <w:r>
        <w:rPr>
          <w:rFonts w:hint="eastAsia" w:ascii="宋体" w:hAnsi="宋体"/>
          <w:color w:val="auto"/>
          <w:highlight w:val="none"/>
        </w:rPr>
        <w:t>有关规定追究相应责任；涉嫌犯罪的，依法移送有关国家机关处理。</w:t>
      </w:r>
    </w:p>
    <w:p w14:paraId="7490DA66">
      <w:pPr>
        <w:spacing w:line="312" w:lineRule="auto"/>
        <w:ind w:firstLine="420" w:firstLineChars="200"/>
        <w:rPr>
          <w:rFonts w:hint="eastAsia" w:ascii="宋体" w:hAnsi="宋体"/>
          <w:color w:val="auto"/>
          <w:highlight w:val="none"/>
        </w:rPr>
      </w:pPr>
      <w:r>
        <w:rPr>
          <w:rFonts w:hint="eastAsia" w:ascii="宋体" w:hAnsi="宋体"/>
          <w:color w:val="auto"/>
          <w:highlight w:val="none"/>
        </w:rPr>
        <w:t>第二十二条 对外援助项目、国家相关资格或者资质管理制度另有规定的项目，不适用本办法。</w:t>
      </w:r>
    </w:p>
    <w:p w14:paraId="02D12A82">
      <w:pPr>
        <w:spacing w:line="312" w:lineRule="auto"/>
        <w:ind w:firstLine="420" w:firstLineChars="200"/>
        <w:rPr>
          <w:rFonts w:hint="eastAsia" w:ascii="宋体" w:hAnsi="宋体"/>
          <w:color w:val="auto"/>
          <w:highlight w:val="none"/>
        </w:rPr>
      </w:pPr>
      <w:r>
        <w:rPr>
          <w:rFonts w:hint="eastAsia" w:ascii="宋体" w:hAnsi="宋体"/>
          <w:color w:val="auto"/>
          <w:highlight w:val="none"/>
        </w:rPr>
        <w:t>第二十三条</w:t>
      </w:r>
      <w:r>
        <w:rPr>
          <w:rFonts w:hint="eastAsia" w:ascii="宋体" w:hAnsi="宋体"/>
          <w:color w:val="auto"/>
          <w:highlight w:val="none"/>
        </w:rPr>
        <w:tab/>
      </w:r>
      <w:r>
        <w:rPr>
          <w:rFonts w:hint="eastAsia" w:ascii="宋体" w:hAnsi="宋体"/>
          <w:color w:val="auto"/>
          <w:highlight w:val="none"/>
        </w:rPr>
        <w:t>关于视同中小企业的其他主体的政府采购扶持政策，由财政部会同有关部门另行规定。</w:t>
      </w:r>
    </w:p>
    <w:p w14:paraId="0620B228">
      <w:pPr>
        <w:spacing w:line="312" w:lineRule="auto"/>
        <w:ind w:firstLine="420" w:firstLineChars="200"/>
        <w:rPr>
          <w:rFonts w:hint="eastAsia" w:ascii="宋体" w:hAnsi="宋体"/>
          <w:color w:val="auto"/>
          <w:highlight w:val="none"/>
        </w:rPr>
      </w:pPr>
      <w:r>
        <w:rPr>
          <w:rFonts w:hint="eastAsia" w:ascii="宋体" w:hAnsi="宋体"/>
          <w:color w:val="auto"/>
          <w:highlight w:val="none"/>
        </w:rPr>
        <w:t>第二十四条</w:t>
      </w:r>
      <w:r>
        <w:rPr>
          <w:rFonts w:hint="eastAsia" w:ascii="宋体" w:hAnsi="宋体"/>
          <w:color w:val="auto"/>
          <w:highlight w:val="none"/>
        </w:rPr>
        <w:tab/>
      </w:r>
      <w:r>
        <w:rPr>
          <w:rFonts w:hint="eastAsia" w:ascii="宋体" w:hAnsi="宋体"/>
          <w:color w:val="auto"/>
          <w:highlight w:val="none"/>
        </w:rPr>
        <w:t>省级财政部门可以会同中小企业主管部门根据本办法的规定制定具体实施办法。</w:t>
      </w:r>
    </w:p>
    <w:p w14:paraId="5F89DA37">
      <w:pPr>
        <w:spacing w:line="312" w:lineRule="auto"/>
        <w:ind w:firstLine="420" w:firstLineChars="200"/>
        <w:rPr>
          <w:rFonts w:hint="eastAsia" w:ascii="宋体" w:hAnsi="宋体"/>
          <w:color w:val="auto"/>
          <w:szCs w:val="21"/>
          <w:highlight w:val="none"/>
        </w:rPr>
      </w:pPr>
      <w:r>
        <w:rPr>
          <w:rFonts w:hint="eastAsia" w:ascii="宋体" w:hAnsi="宋体"/>
          <w:color w:val="auto"/>
          <w:highlight w:val="none"/>
        </w:rPr>
        <w:t>第二十五条 本办法自2021年1月1日起施行。《财政部 工业和信息化部关于印发〈政府采购促进中小企业发展暂行办法〉的通知》（财库﹝2011﹞181 号）同时废止。</w:t>
      </w:r>
    </w:p>
    <w:p w14:paraId="6F5718EA">
      <w:pPr>
        <w:spacing w:line="312" w:lineRule="auto"/>
        <w:rPr>
          <w:rFonts w:hint="eastAsia" w:ascii="宋体" w:hAnsi="宋体"/>
          <w:color w:val="auto"/>
          <w:szCs w:val="21"/>
          <w:highlight w:val="none"/>
        </w:rPr>
      </w:pPr>
    </w:p>
    <w:p w14:paraId="64D2999D">
      <w:pPr>
        <w:rPr>
          <w:rFonts w:hint="eastAsia" w:ascii="仿宋_GB2312" w:hAnsi="仿宋_GB2312" w:eastAsia="仿宋_GB2312" w:cs="仿宋_GB2312"/>
          <w:color w:val="auto"/>
          <w:sz w:val="32"/>
          <w:szCs w:val="32"/>
          <w:highlight w:val="none"/>
        </w:rPr>
      </w:pPr>
    </w:p>
    <w:p w14:paraId="68217EA5">
      <w:pP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bCs/>
          <w:color w:val="auto"/>
          <w:sz w:val="28"/>
          <w:szCs w:val="28"/>
          <w:highlight w:val="none"/>
        </w:rPr>
        <w:t>附件：</w:t>
      </w:r>
    </w:p>
    <w:p w14:paraId="4A51E982">
      <w:pPr>
        <w:spacing w:line="6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吉林省强化政府采购政策支持中小企业发展落实举措</w:t>
      </w:r>
    </w:p>
    <w:p w14:paraId="46F9526E">
      <w:pPr>
        <w:jc w:val="center"/>
        <w:rPr>
          <w:rFonts w:hint="eastAsia"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吉财采购〔2022〕478号</w:t>
      </w:r>
    </w:p>
    <w:p w14:paraId="00C81A2E">
      <w:pPr>
        <w:rPr>
          <w:rFonts w:hint="eastAsia"/>
          <w:color w:val="auto"/>
          <w:highlight w:val="none"/>
        </w:rPr>
      </w:pPr>
    </w:p>
    <w:p w14:paraId="76875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1FB8112B">
      <w:pPr>
        <w:numPr>
          <w:ilvl w:val="0"/>
          <w:numId w:val="1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强化政策落实支持中小企业发展</w:t>
      </w:r>
    </w:p>
    <w:p w14:paraId="403F32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各级预算单位要认真落实《政府采购促进中小企业发展管理办法》</w:t>
      </w:r>
      <w:r>
        <w:rPr>
          <w:rFonts w:hint="eastAsia" w:ascii="宋体" w:hAnsi="宋体" w:cs="宋体"/>
          <w:color w:val="auto"/>
          <w:szCs w:val="21"/>
          <w:highlight w:val="none"/>
          <w:shd w:val="clear" w:color="auto" w:fill="FFFFFF"/>
        </w:rPr>
        <w:t>（财库〔2020〕46号，以下简称《办法》）</w:t>
      </w:r>
      <w:r>
        <w:rPr>
          <w:rFonts w:hint="eastAsia" w:ascii="宋体" w:hAnsi="宋体" w:cs="宋体"/>
          <w:color w:val="auto"/>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4E48D6F">
      <w:pPr>
        <w:numPr>
          <w:ilvl w:val="0"/>
          <w:numId w:val="1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提高政府采购项目价格评审优惠幅度</w:t>
      </w:r>
    </w:p>
    <w:p w14:paraId="2C4BC62E">
      <w:pPr>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宋体" w:hAnsi="宋体" w:cs="宋体"/>
          <w:color w:val="auto"/>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6B728E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三、提高政府采购工程项目预留份额比例</w:t>
      </w:r>
    </w:p>
    <w:p w14:paraId="6A25B365">
      <w:pPr>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宋体" w:hAnsi="宋体" w:cs="宋体"/>
          <w:color w:val="auto"/>
          <w:szCs w:val="21"/>
          <w:highlight w:val="none"/>
        </w:rPr>
        <w:t>省财政厅将协调发改、工信、住建、交通、水利、商务等部门，</w:t>
      </w:r>
      <w:r>
        <w:rPr>
          <w:rFonts w:hint="eastAsia" w:ascii="宋体" w:hAnsi="宋体" w:cs="宋体"/>
          <w:color w:val="auto"/>
          <w:szCs w:val="21"/>
          <w:highlight w:val="none"/>
          <w:shd w:val="clear" w:color="auto" w:fill="FFFFFF"/>
        </w:rPr>
        <w:t>按照国家相关工程招投标行政监督部门对工程招投标领域落实政府采购支持中小企业的政策要求，</w:t>
      </w:r>
      <w:r>
        <w:rPr>
          <w:rFonts w:hint="eastAsia" w:ascii="宋体" w:hAnsi="宋体" w:cs="宋体"/>
          <w:color w:val="auto"/>
          <w:szCs w:val="21"/>
          <w:highlight w:val="none"/>
        </w:rPr>
        <w:t>及时调整完善工程招投标领域有关标准文本、评标制度等，支持督促各预算单位严格落实政府采购政策。</w:t>
      </w:r>
    </w:p>
    <w:p w14:paraId="4736F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四、降低经营成本提高履约能力</w:t>
      </w:r>
    </w:p>
    <w:p w14:paraId="019203DB">
      <w:pPr>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1FB7F236">
      <w:pPr>
        <w:pStyle w:val="15"/>
        <w:spacing w:line="360" w:lineRule="auto"/>
        <w:ind w:firstLine="420" w:firstLineChars="200"/>
        <w:jc w:val="both"/>
        <w:textAlignment w:val="baseline"/>
        <w:rPr>
          <w:rStyle w:val="21"/>
          <w:rFonts w:hint="eastAsia" w:ascii="宋体" w:hAnsi="宋体" w:cs="宋体"/>
          <w:b w:val="0"/>
          <w:bCs/>
          <w:color w:val="auto"/>
          <w:sz w:val="21"/>
          <w:szCs w:val="21"/>
          <w:highlight w:val="none"/>
          <w:shd w:val="clear" w:color="auto" w:fill="FFFFFF"/>
        </w:rPr>
      </w:pPr>
      <w:r>
        <w:rPr>
          <w:rFonts w:hint="eastAsia" w:ascii="宋体" w:hAnsi="宋体" w:cs="宋体"/>
          <w:bCs/>
          <w:color w:val="auto"/>
          <w:sz w:val="21"/>
          <w:szCs w:val="21"/>
          <w:highlight w:val="none"/>
        </w:rPr>
        <w:t>五、优化政府采购程序</w:t>
      </w:r>
      <w:r>
        <w:rPr>
          <w:rStyle w:val="21"/>
          <w:rFonts w:hint="eastAsia" w:ascii="宋体" w:hAnsi="宋体" w:cs="宋体"/>
          <w:b w:val="0"/>
          <w:bCs/>
          <w:color w:val="auto"/>
          <w:sz w:val="21"/>
          <w:szCs w:val="21"/>
          <w:highlight w:val="none"/>
          <w:shd w:val="clear" w:color="auto" w:fill="FFFFFF"/>
        </w:rPr>
        <w:t>推进全流程电子化</w:t>
      </w:r>
    </w:p>
    <w:p w14:paraId="7732CCBE">
      <w:pPr>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1E031EFC">
      <w:pPr>
        <w:pStyle w:val="15"/>
        <w:spacing w:line="360" w:lineRule="auto"/>
        <w:ind w:firstLine="420" w:firstLineChars="200"/>
        <w:jc w:val="both"/>
        <w:textAlignment w:val="baseline"/>
        <w:rPr>
          <w:rStyle w:val="21"/>
          <w:rFonts w:hint="eastAsia" w:ascii="宋体" w:hAnsi="宋体" w:cs="宋体"/>
          <w:b w:val="0"/>
          <w:bCs/>
          <w:color w:val="auto"/>
          <w:sz w:val="21"/>
          <w:szCs w:val="21"/>
          <w:highlight w:val="none"/>
          <w:shd w:val="clear" w:color="auto" w:fill="FFFFFF"/>
        </w:rPr>
      </w:pPr>
      <w:r>
        <w:rPr>
          <w:rStyle w:val="21"/>
          <w:rFonts w:hint="eastAsia" w:ascii="宋体" w:hAnsi="宋体" w:cs="宋体"/>
          <w:b w:val="0"/>
          <w:bCs/>
          <w:color w:val="auto"/>
          <w:sz w:val="21"/>
          <w:szCs w:val="21"/>
          <w:highlight w:val="none"/>
          <w:shd w:val="clear" w:color="auto" w:fill="FFFFFF"/>
        </w:rPr>
        <w:t>六、加强项目执行管理提升政府采购透明度</w:t>
      </w:r>
    </w:p>
    <w:p w14:paraId="725EA147">
      <w:pPr>
        <w:pStyle w:val="15"/>
        <w:spacing w:line="360" w:lineRule="auto"/>
        <w:ind w:firstLine="420" w:firstLineChars="200"/>
        <w:jc w:val="both"/>
        <w:textAlignment w:val="baseline"/>
        <w:rPr>
          <w:rFonts w:hint="eastAsia" w:ascii="宋体" w:hAnsi="宋体" w:cs="宋体"/>
          <w:color w:val="auto"/>
          <w:sz w:val="21"/>
          <w:szCs w:val="21"/>
          <w:highlight w:val="none"/>
        </w:rPr>
      </w:pPr>
      <w:r>
        <w:rPr>
          <w:rFonts w:hint="eastAsia" w:ascii="宋体" w:hAnsi="宋体" w:cs="宋体"/>
          <w:bCs/>
          <w:color w:val="auto"/>
          <w:sz w:val="21"/>
          <w:szCs w:val="21"/>
          <w:highlight w:val="none"/>
          <w:shd w:val="clear" w:color="auto" w:fill="FFFFFF"/>
        </w:rPr>
        <w:t> </w:t>
      </w:r>
      <w:r>
        <w:rPr>
          <w:rFonts w:hint="eastAsia" w:ascii="宋体" w:hAnsi="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7CF509A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3F2F90B">
      <w:pPr>
        <w:spacing w:line="360" w:lineRule="auto"/>
        <w:jc w:val="center"/>
        <w:rPr>
          <w:rFonts w:hint="eastAsia" w:ascii="宋体" w:hAnsi="宋体" w:cs="楷体"/>
          <w:b/>
          <w:color w:val="auto"/>
          <w:kern w:val="0"/>
          <w:sz w:val="28"/>
          <w:szCs w:val="28"/>
          <w:highlight w:val="none"/>
          <w:lang w:bidi="ar"/>
        </w:rPr>
      </w:pPr>
      <w:r>
        <w:rPr>
          <w:rFonts w:hint="eastAsia" w:ascii="宋体" w:hAnsi="宋体" w:cs="楷体"/>
          <w:b/>
          <w:color w:val="auto"/>
          <w:kern w:val="0"/>
          <w:sz w:val="28"/>
          <w:szCs w:val="28"/>
          <w:highlight w:val="none"/>
          <w:lang w:bidi="ar"/>
        </w:rPr>
        <w:br w:type="page"/>
      </w:r>
      <w:r>
        <w:rPr>
          <w:rFonts w:hint="eastAsia" w:ascii="宋体" w:hAnsi="宋体" w:cs="楷体"/>
          <w:b/>
          <w:color w:val="auto"/>
          <w:kern w:val="0"/>
          <w:sz w:val="28"/>
          <w:szCs w:val="28"/>
          <w:highlight w:val="none"/>
          <w:lang w:bidi="ar"/>
        </w:rPr>
        <w:t>财政部 司法部关于政府采购支持监狱企业发展有关问题的通知</w:t>
      </w:r>
    </w:p>
    <w:p w14:paraId="57E92466">
      <w:pPr>
        <w:spacing w:line="360" w:lineRule="auto"/>
        <w:jc w:val="center"/>
        <w:rPr>
          <w:rFonts w:hint="eastAsia" w:ascii="宋体" w:hAnsi="宋体" w:cs="楷体"/>
          <w:color w:val="auto"/>
          <w:szCs w:val="21"/>
          <w:highlight w:val="none"/>
        </w:rPr>
      </w:pPr>
      <w:r>
        <w:rPr>
          <w:rFonts w:hint="eastAsia" w:ascii="宋体" w:hAnsi="宋体" w:cs="楷体"/>
          <w:b/>
          <w:color w:val="auto"/>
          <w:kern w:val="0"/>
          <w:szCs w:val="21"/>
          <w:highlight w:val="none"/>
          <w:lang w:bidi="ar"/>
        </w:rPr>
        <w:t>(财库〔2014〕68号)</w:t>
      </w:r>
    </w:p>
    <w:p w14:paraId="0A3B19AA">
      <w:pPr>
        <w:spacing w:line="312" w:lineRule="auto"/>
        <w:rPr>
          <w:rFonts w:hint="eastAsia" w:ascii="宋体" w:hAnsi="宋体"/>
          <w:color w:val="auto"/>
          <w:szCs w:val="21"/>
          <w:highlight w:val="none"/>
        </w:rPr>
      </w:pPr>
      <w:r>
        <w:rPr>
          <w:rFonts w:hint="eastAsia" w:ascii="宋体" w:hAnsi="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4847D46">
      <w:pPr>
        <w:spacing w:line="312" w:lineRule="auto"/>
        <w:rPr>
          <w:rFonts w:hint="eastAsia" w:ascii="宋体" w:hAnsi="宋体"/>
          <w:color w:val="auto"/>
          <w:szCs w:val="21"/>
          <w:highlight w:val="none"/>
        </w:rPr>
      </w:pPr>
      <w:r>
        <w:rPr>
          <w:rFonts w:hint="eastAsia" w:ascii="宋体" w:hAnsi="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68056D">
      <w:pPr>
        <w:spacing w:line="312" w:lineRule="auto"/>
        <w:rPr>
          <w:rFonts w:hint="eastAsia" w:ascii="宋体" w:hAnsi="宋体"/>
          <w:color w:val="auto"/>
          <w:szCs w:val="21"/>
          <w:highlight w:val="none"/>
        </w:rPr>
      </w:pPr>
      <w:r>
        <w:rPr>
          <w:rFonts w:hint="eastAsia" w:ascii="宋体" w:hAnsi="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976066C">
      <w:pPr>
        <w:spacing w:line="312" w:lineRule="auto"/>
        <w:rPr>
          <w:rFonts w:hint="eastAsia" w:ascii="宋体" w:hAnsi="宋体"/>
          <w:color w:val="auto"/>
          <w:szCs w:val="21"/>
          <w:highlight w:val="none"/>
        </w:rPr>
      </w:pPr>
      <w:r>
        <w:rPr>
          <w:rFonts w:hint="eastAsia" w:ascii="宋体" w:hAnsi="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1B08E72D">
      <w:pPr>
        <w:spacing w:line="312" w:lineRule="auto"/>
        <w:rPr>
          <w:rFonts w:hint="eastAsia" w:ascii="宋体" w:hAnsi="宋体"/>
          <w:color w:val="auto"/>
          <w:szCs w:val="21"/>
          <w:highlight w:val="none"/>
        </w:rPr>
      </w:pPr>
      <w:r>
        <w:rPr>
          <w:rFonts w:hint="eastAsia" w:ascii="宋体" w:hAnsi="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BDB6113">
      <w:pPr>
        <w:spacing w:line="312" w:lineRule="auto"/>
        <w:rPr>
          <w:rFonts w:hint="eastAsia" w:ascii="宋体" w:hAnsi="宋体"/>
          <w:color w:val="auto"/>
          <w:szCs w:val="21"/>
          <w:highlight w:val="none"/>
        </w:rPr>
      </w:pPr>
      <w:r>
        <w:rPr>
          <w:rFonts w:hint="eastAsia" w:ascii="宋体" w:hAnsi="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4FBD4798">
      <w:pPr>
        <w:spacing w:line="312" w:lineRule="auto"/>
        <w:rPr>
          <w:rFonts w:hint="eastAsia" w:ascii="宋体" w:hAnsi="宋体"/>
          <w:color w:val="auto"/>
          <w:szCs w:val="21"/>
          <w:highlight w:val="none"/>
        </w:rPr>
      </w:pPr>
      <w:r>
        <w:rPr>
          <w:rFonts w:hint="eastAsia" w:ascii="宋体" w:hAnsi="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28308C">
      <w:pPr>
        <w:spacing w:line="312" w:lineRule="auto"/>
        <w:rPr>
          <w:rFonts w:hint="eastAsia" w:ascii="宋体" w:hAnsi="宋体"/>
          <w:color w:val="auto"/>
          <w:szCs w:val="21"/>
          <w:highlight w:val="none"/>
        </w:rPr>
      </w:pPr>
    </w:p>
    <w:p w14:paraId="4A912D9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27" w:lineRule="atLeast"/>
        <w:ind w:left="0" w:right="0" w:firstLine="0"/>
        <w:jc w:val="center"/>
        <w:rPr>
          <w:rFonts w:ascii="Arial" w:hAnsi="Arial" w:cs="Arial"/>
          <w:i w:val="0"/>
          <w:iCs w:val="0"/>
          <w:caps w:val="0"/>
          <w:color w:val="333333"/>
          <w:spacing w:val="0"/>
          <w:sz w:val="24"/>
          <w:szCs w:val="24"/>
          <w:highlight w:val="none"/>
        </w:rPr>
      </w:pPr>
      <w:r>
        <w:rPr>
          <w:rFonts w:hint="eastAsia" w:ascii="宋体" w:hAnsi="宋体" w:eastAsia="宋体" w:cs="楷体"/>
          <w:b/>
          <w:color w:val="auto"/>
          <w:kern w:val="0"/>
          <w:sz w:val="28"/>
          <w:szCs w:val="28"/>
          <w:highlight w:val="none"/>
          <w:lang w:val="en-US" w:eastAsia="zh-CN" w:bidi="ar"/>
        </w:rPr>
        <w:t>财政部民政部中国残疾人联合会关于促进残疾人就业政府采购政策的通知》（财库〔2017〕 141号）</w:t>
      </w:r>
    </w:p>
    <w:p w14:paraId="0C8C818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7F316F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为了发挥政府采购促进残疾人就业的作用，进一步保障残疾人权益，依照《政府采购法》、《残疾人保障法》等法律法规及相关规定，现就促进残疾人就业政府采购政策通知如下：</w:t>
      </w:r>
    </w:p>
    <w:p w14:paraId="4643F47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一、享受政府采购支持政策的残疾人福利性单位应当同时满足以下条件：</w:t>
      </w:r>
    </w:p>
    <w:p w14:paraId="46495A8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（一）安置的残疾人占本单位在职职工人数的比例不低于25%（含25%），并且安置的残疾人人数不少于10人（含10人）；</w:t>
      </w:r>
    </w:p>
    <w:p w14:paraId="4F3CE07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（二）依法与安置的每位残疾人签订了一年以上（含一年）的劳动合同或服务协议；</w:t>
      </w:r>
    </w:p>
    <w:p w14:paraId="6C75FAC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（三）为安置的每位残疾人按月足额缴纳了基本养老保险、基本医疗保险、失业保险、工伤保险和生育保险等社会保险费；</w:t>
      </w:r>
    </w:p>
    <w:p w14:paraId="5F9E6CC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（四）通过银行等金融机构向安置的每位残疾人，按月支付了不低于单位所在区县适用的经省级人民政府批准的月最低工资标准的工资；</w:t>
      </w:r>
    </w:p>
    <w:p w14:paraId="7858BAC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（五）提供本单位制造的货物、承担的工程或者服务（以下简称产品），或者提供其他残疾人福利性单位制造的货物（不包括使用非残疾人福利性单位注册商标的货物）。</w:t>
      </w:r>
    </w:p>
    <w:p w14:paraId="0C0D426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85FF0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5F3565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中标、成交供应商为残疾人福利性单位的，采购人或者其委托的采购代理机构应当随中标、成交结果同时公告其《残疾人福利性单位声明函》，接受社会监督。</w:t>
      </w:r>
    </w:p>
    <w:p w14:paraId="678C5D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供应商提供的《残疾人福利性单位声明函》与事实不符的，依照《政府采购法》第七十七条第一款的规定追究法律责任。</w:t>
      </w:r>
    </w:p>
    <w:p w14:paraId="268153F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3B8A35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四、采购人采购公开招标数额标准以上的货物或者服务，因落实促进残疾人就业政策的需要，依法履行有关报批程序后，可采用公开招标以外的采购方式。</w:t>
      </w:r>
    </w:p>
    <w:p w14:paraId="76B405C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9D2E12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235A63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Arial" w:hAnsi="Arial" w:cs="Arial"/>
          <w:i w:val="0"/>
          <w:iCs w:val="0"/>
          <w:caps w:val="0"/>
          <w:color w:val="333333"/>
          <w:spacing w:val="0"/>
          <w:sz w:val="24"/>
          <w:szCs w:val="24"/>
          <w:highlight w:val="none"/>
          <w:lang w:val="en-US" w:eastAsia="zh-CN"/>
        </w:rPr>
      </w:pPr>
      <w:r>
        <w:rPr>
          <w:rFonts w:hint="default" w:ascii="宋体" w:hAnsi="宋体" w:eastAsia="宋体" w:cs="Times New Roman"/>
          <w:color w:val="auto"/>
          <w:szCs w:val="21"/>
          <w:highlight w:val="none"/>
        </w:rPr>
        <w:t>　　七、本通知自2017年10月1日起执行。</w:t>
      </w:r>
    </w:p>
    <w:sectPr>
      <w:headerReference r:id="rId5" w:type="default"/>
      <w:footerReference r:id="rId6"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LDHRH+å®ä½">
    <w:altName w:val="Verdana"/>
    <w:panose1 w:val="00000000000000000000"/>
    <w:charset w:val="01"/>
    <w:family w:val="auto"/>
    <w:pitch w:val="default"/>
    <w:sig w:usb0="00000000" w:usb1="00000000" w:usb2="01010101" w:usb3="01010101" w:csb0="01010101" w:csb1="01010101"/>
  </w:font>
  <w:font w:name="Verdana">
    <w:panose1 w:val="020B0604030504040204"/>
    <w:charset w:val="00"/>
    <w:family w:val="auto"/>
    <w:pitch w:val="default"/>
    <w:sig w:usb0="A00006FF" w:usb1="4000205B" w:usb2="00000010" w:usb3="00000000" w:csb0="2000019F" w:csb1="00000000"/>
  </w:font>
  <w:font w:name="NumberOnly">
    <w:altName w:val="Sitka Text"/>
    <w:panose1 w:val="020B0500000000000000"/>
    <w:charset w:val="00"/>
    <w:family w:val="swiss"/>
    <w:pitch w:val="default"/>
    <w:sig w:usb0="00000000" w:usb1="00000000" w:usb2="00000000" w:usb3="00000000" w:csb0="00000111" w:csb1="40000000"/>
  </w:font>
  <w:font w:name="Sitka Text">
    <w:panose1 w:val="02000505000000020004"/>
    <w:charset w:val="00"/>
    <w:family w:val="auto"/>
    <w:pitch w:val="default"/>
    <w:sig w:usb0="A00002EF" w:usb1="4000204B" w:usb2="00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052C">
    <w:pPr>
      <w:pStyle w:val="10"/>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3FD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813FD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86F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1E6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7A1E6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3C81">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D21D8">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3D21D8">
                    <w:pPr>
                      <w:pStyle w:val="10"/>
                    </w:pPr>
                    <w:r>
                      <w:fldChar w:fldCharType="begin"/>
                    </w:r>
                    <w:r>
                      <w:instrText xml:space="preserve"> PAGE  \* MERGEFORMAT </w:instrText>
                    </w:r>
                    <w:r>
                      <w:fldChar w:fldCharType="separate"/>
                    </w:r>
                    <w:r>
                      <w:t>35</w:t>
                    </w:r>
                    <w:r>
                      <w:fldChar w:fldCharType="end"/>
                    </w:r>
                  </w:p>
                </w:txbxContent>
              </v:textbox>
            </v:shape>
          </w:pict>
        </mc:Fallback>
      </mc:AlternateContent>
    </w:r>
  </w:p>
  <w:p w14:paraId="2AB9133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395D">
    <w:pPr>
      <w:pStyle w:val="11"/>
      <w:pBdr>
        <w:bottom w:val="none" w:color="auto" w:sz="0" w:space="1"/>
      </w:pBdr>
      <w:adjustRightInd w:val="0"/>
      <w:jc w:val="right"/>
      <w:rPr>
        <w:rFonts w:ascii="Cambria" w:hAnsi="Cambria" w:cs="黑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9E1E3"/>
    <w:multiLevelType w:val="singleLevel"/>
    <w:tmpl w:val="9A89E1E3"/>
    <w:lvl w:ilvl="0" w:tentative="0">
      <w:start w:val="1"/>
      <w:numFmt w:val="decimal"/>
      <w:suff w:val="nothing"/>
      <w:lvlText w:val="%1、"/>
      <w:lvlJc w:val="left"/>
    </w:lvl>
  </w:abstractNum>
  <w:abstractNum w:abstractNumId="1">
    <w:nsid w:val="AA36CE0D"/>
    <w:multiLevelType w:val="singleLevel"/>
    <w:tmpl w:val="AA36CE0D"/>
    <w:lvl w:ilvl="0" w:tentative="0">
      <w:start w:val="4"/>
      <w:numFmt w:val="chineseCounting"/>
      <w:suff w:val="nothing"/>
      <w:lvlText w:val="%1、"/>
      <w:lvlJc w:val="left"/>
      <w:rPr>
        <w:rFonts w:hint="eastAsia"/>
      </w:rPr>
    </w:lvl>
  </w:abstractNum>
  <w:abstractNum w:abstractNumId="2">
    <w:nsid w:val="B2E46B79"/>
    <w:multiLevelType w:val="singleLevel"/>
    <w:tmpl w:val="B2E46B79"/>
    <w:lvl w:ilvl="0" w:tentative="0">
      <w:start w:val="1"/>
      <w:numFmt w:val="decimal"/>
      <w:suff w:val="nothing"/>
      <w:lvlText w:val="%1、"/>
      <w:lvlJc w:val="left"/>
    </w:lvl>
  </w:abstractNum>
  <w:abstractNum w:abstractNumId="3">
    <w:nsid w:val="DDD81B71"/>
    <w:multiLevelType w:val="singleLevel"/>
    <w:tmpl w:val="DDD81B71"/>
    <w:lvl w:ilvl="0" w:tentative="0">
      <w:start w:val="1"/>
      <w:numFmt w:val="chineseCounting"/>
      <w:suff w:val="space"/>
      <w:lvlText w:val="第%1章"/>
      <w:lvlJc w:val="left"/>
      <w:rPr>
        <w:rFonts w:hint="eastAsia"/>
      </w:rPr>
    </w:lvl>
  </w:abstractNum>
  <w:abstractNum w:abstractNumId="4">
    <w:nsid w:val="EF2F2501"/>
    <w:multiLevelType w:val="singleLevel"/>
    <w:tmpl w:val="EF2F2501"/>
    <w:lvl w:ilvl="0" w:tentative="0">
      <w:start w:val="1"/>
      <w:numFmt w:val="decimal"/>
      <w:lvlText w:val="%1."/>
      <w:lvlJc w:val="left"/>
      <w:pPr>
        <w:tabs>
          <w:tab w:val="left" w:pos="312"/>
        </w:tabs>
      </w:pPr>
    </w:lvl>
  </w:abstractNum>
  <w:abstractNum w:abstractNumId="5">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E8AFB2E"/>
    <w:multiLevelType w:val="singleLevel"/>
    <w:tmpl w:val="0E8AFB2E"/>
    <w:lvl w:ilvl="0" w:tentative="0">
      <w:start w:val="1"/>
      <w:numFmt w:val="decimal"/>
      <w:suff w:val="nothing"/>
      <w:lvlText w:val="%1、"/>
      <w:lvlJc w:val="left"/>
    </w:lvl>
  </w:abstractNum>
  <w:abstractNum w:abstractNumId="7">
    <w:nsid w:val="34A67DFE"/>
    <w:multiLevelType w:val="singleLevel"/>
    <w:tmpl w:val="34A67DFE"/>
    <w:lvl w:ilvl="0" w:tentative="0">
      <w:start w:val="1"/>
      <w:numFmt w:val="decimal"/>
      <w:suff w:val="nothing"/>
      <w:lvlText w:val="%1、"/>
      <w:lvlJc w:val="left"/>
    </w:lvl>
  </w:abstractNum>
  <w:abstractNum w:abstractNumId="8">
    <w:nsid w:val="58AE46C3"/>
    <w:multiLevelType w:val="singleLevel"/>
    <w:tmpl w:val="58AE46C3"/>
    <w:lvl w:ilvl="0" w:tentative="0">
      <w:start w:val="1"/>
      <w:numFmt w:val="decimal"/>
      <w:suff w:val="space"/>
      <w:lvlText w:val="(%1)"/>
      <w:lvlJc w:val="left"/>
    </w:lvl>
  </w:abstractNum>
  <w:abstractNum w:abstractNumId="9">
    <w:nsid w:val="62919614"/>
    <w:multiLevelType w:val="singleLevel"/>
    <w:tmpl w:val="62919614"/>
    <w:lvl w:ilvl="0" w:tentative="0">
      <w:start w:val="2"/>
      <w:numFmt w:val="chineseCounting"/>
      <w:suff w:val="nothing"/>
      <w:lvlText w:val="%1、"/>
      <w:lvlJc w:val="left"/>
    </w:lvl>
  </w:abstractNum>
  <w:abstractNum w:abstractNumId="10">
    <w:nsid w:val="62957E5C"/>
    <w:multiLevelType w:val="singleLevel"/>
    <w:tmpl w:val="62957E5C"/>
    <w:lvl w:ilvl="0" w:tentative="0">
      <w:start w:val="1"/>
      <w:numFmt w:val="chineseCounting"/>
      <w:suff w:val="nothing"/>
      <w:lvlText w:val="%1、"/>
      <w:lvlJc w:val="left"/>
    </w:lvl>
  </w:abstractNum>
  <w:abstractNum w:abstractNumId="11">
    <w:nsid w:val="75AC0386"/>
    <w:multiLevelType w:val="singleLevel"/>
    <w:tmpl w:val="75AC0386"/>
    <w:lvl w:ilvl="0" w:tentative="0">
      <w:start w:val="5"/>
      <w:numFmt w:val="chineseCounting"/>
      <w:suff w:val="space"/>
      <w:lvlText w:val="第%1章"/>
      <w:lvlJc w:val="left"/>
      <w:rPr>
        <w:rFonts w:hint="eastAsia"/>
      </w:rPr>
    </w:lvl>
  </w:abstractNum>
  <w:abstractNum w:abstractNumId="12">
    <w:nsid w:val="75DB61E8"/>
    <w:multiLevelType w:val="singleLevel"/>
    <w:tmpl w:val="75DB61E8"/>
    <w:lvl w:ilvl="0" w:tentative="0">
      <w:start w:val="17"/>
      <w:numFmt w:val="chineseCounting"/>
      <w:suff w:val="space"/>
      <w:lvlText w:val="第%1条"/>
      <w:lvlJc w:val="left"/>
      <w:rPr>
        <w:rFonts w:hint="eastAsia"/>
      </w:rPr>
    </w:lvl>
  </w:abstractNum>
  <w:abstractNum w:abstractNumId="13">
    <w:nsid w:val="766C0D6C"/>
    <w:multiLevelType w:val="multilevel"/>
    <w:tmpl w:val="766C0D6C"/>
    <w:lvl w:ilvl="0" w:tentative="0">
      <w:start w:val="1"/>
      <w:numFmt w:val="bullet"/>
      <w:pStyle w:val="23"/>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num w:numId="1">
    <w:abstractNumId w:val="13"/>
  </w:num>
  <w:num w:numId="2">
    <w:abstractNumId w:val="3"/>
  </w:num>
  <w:num w:numId="3">
    <w:abstractNumId w:val="0"/>
  </w:num>
  <w:num w:numId="4">
    <w:abstractNumId w:val="2"/>
  </w:num>
  <w:num w:numId="5">
    <w:abstractNumId w:val="8"/>
  </w:num>
  <w:num w:numId="6">
    <w:abstractNumId w:val="1"/>
  </w:num>
  <w:num w:numId="7">
    <w:abstractNumId w:val="7"/>
  </w:num>
  <w:num w:numId="8">
    <w:abstractNumId w:val="11"/>
  </w:num>
  <w:num w:numId="9">
    <w:abstractNumId w:val="6"/>
  </w:num>
  <w:num w:numId="10">
    <w:abstractNumId w:val="4"/>
  </w:num>
  <w:num w:numId="11">
    <w:abstractNumId w:val="5"/>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RjNjI5MjUyZWE2MjUzYTUxNzg2NmMzMmU1YWMifQ=="/>
  </w:docVars>
  <w:rsids>
    <w:rsidRoot w:val="53DE438C"/>
    <w:rsid w:val="009E3FB1"/>
    <w:rsid w:val="00A425CF"/>
    <w:rsid w:val="00E9534B"/>
    <w:rsid w:val="019C154E"/>
    <w:rsid w:val="02202E8C"/>
    <w:rsid w:val="02AE6D09"/>
    <w:rsid w:val="04A30E45"/>
    <w:rsid w:val="0556639B"/>
    <w:rsid w:val="05751BF3"/>
    <w:rsid w:val="05D25741"/>
    <w:rsid w:val="08057A5A"/>
    <w:rsid w:val="084038D7"/>
    <w:rsid w:val="08984850"/>
    <w:rsid w:val="09053C0D"/>
    <w:rsid w:val="09A23CB4"/>
    <w:rsid w:val="0A36039E"/>
    <w:rsid w:val="0AAA33C6"/>
    <w:rsid w:val="0AE61DC4"/>
    <w:rsid w:val="0C221910"/>
    <w:rsid w:val="0ED37915"/>
    <w:rsid w:val="0EE217E5"/>
    <w:rsid w:val="0F06201F"/>
    <w:rsid w:val="0FAF1F8C"/>
    <w:rsid w:val="0FFC1742"/>
    <w:rsid w:val="10672CD7"/>
    <w:rsid w:val="113A1409"/>
    <w:rsid w:val="12804516"/>
    <w:rsid w:val="12B84D0B"/>
    <w:rsid w:val="14C42C94"/>
    <w:rsid w:val="14F50E56"/>
    <w:rsid w:val="17272D0B"/>
    <w:rsid w:val="17A816D4"/>
    <w:rsid w:val="184B14B9"/>
    <w:rsid w:val="19053B32"/>
    <w:rsid w:val="19C04430"/>
    <w:rsid w:val="1A743080"/>
    <w:rsid w:val="1A913F9D"/>
    <w:rsid w:val="1AA74B7C"/>
    <w:rsid w:val="1BD73715"/>
    <w:rsid w:val="1EBD22AA"/>
    <w:rsid w:val="1F6410B2"/>
    <w:rsid w:val="1F742858"/>
    <w:rsid w:val="1F877DA2"/>
    <w:rsid w:val="1F8A5BB8"/>
    <w:rsid w:val="20335BB0"/>
    <w:rsid w:val="230129F3"/>
    <w:rsid w:val="23F82BEB"/>
    <w:rsid w:val="243D64D3"/>
    <w:rsid w:val="246E02B3"/>
    <w:rsid w:val="26A11ACC"/>
    <w:rsid w:val="26CD1C32"/>
    <w:rsid w:val="26F30CD4"/>
    <w:rsid w:val="27696100"/>
    <w:rsid w:val="27D019DA"/>
    <w:rsid w:val="299A2018"/>
    <w:rsid w:val="29F5555C"/>
    <w:rsid w:val="2A1144BD"/>
    <w:rsid w:val="2A6B3DFE"/>
    <w:rsid w:val="2AD64A4F"/>
    <w:rsid w:val="2B400C25"/>
    <w:rsid w:val="2C4F7E3B"/>
    <w:rsid w:val="2C972C5C"/>
    <w:rsid w:val="2E5A5D0E"/>
    <w:rsid w:val="2F6449F7"/>
    <w:rsid w:val="300F1811"/>
    <w:rsid w:val="32BF4B25"/>
    <w:rsid w:val="32CD2946"/>
    <w:rsid w:val="32DF259F"/>
    <w:rsid w:val="34BA494B"/>
    <w:rsid w:val="34DE4EC9"/>
    <w:rsid w:val="34E238FB"/>
    <w:rsid w:val="34F91EF2"/>
    <w:rsid w:val="35F62C3D"/>
    <w:rsid w:val="375A12C0"/>
    <w:rsid w:val="3835041E"/>
    <w:rsid w:val="38367638"/>
    <w:rsid w:val="38574EE9"/>
    <w:rsid w:val="38E57EBD"/>
    <w:rsid w:val="39983F59"/>
    <w:rsid w:val="39ED7BED"/>
    <w:rsid w:val="3A5D0076"/>
    <w:rsid w:val="3A684079"/>
    <w:rsid w:val="3CB036B4"/>
    <w:rsid w:val="3E6475C9"/>
    <w:rsid w:val="3FDE711A"/>
    <w:rsid w:val="402B42CE"/>
    <w:rsid w:val="40733240"/>
    <w:rsid w:val="416074D3"/>
    <w:rsid w:val="43D16466"/>
    <w:rsid w:val="43D54EE6"/>
    <w:rsid w:val="43DC0E39"/>
    <w:rsid w:val="44063BBC"/>
    <w:rsid w:val="444207A6"/>
    <w:rsid w:val="44550ABD"/>
    <w:rsid w:val="46973B9F"/>
    <w:rsid w:val="47136D96"/>
    <w:rsid w:val="47590C4D"/>
    <w:rsid w:val="477C493B"/>
    <w:rsid w:val="48D53A2F"/>
    <w:rsid w:val="4A297061"/>
    <w:rsid w:val="4A884CD1"/>
    <w:rsid w:val="4B33613F"/>
    <w:rsid w:val="4C170558"/>
    <w:rsid w:val="4CC6195C"/>
    <w:rsid w:val="4D5F5D9D"/>
    <w:rsid w:val="4E6E2254"/>
    <w:rsid w:val="4F4F1EE6"/>
    <w:rsid w:val="5176064D"/>
    <w:rsid w:val="53BE5EB5"/>
    <w:rsid w:val="53DE438C"/>
    <w:rsid w:val="5422632A"/>
    <w:rsid w:val="548A4B3B"/>
    <w:rsid w:val="55702F2C"/>
    <w:rsid w:val="557504C5"/>
    <w:rsid w:val="56414A59"/>
    <w:rsid w:val="56624F9E"/>
    <w:rsid w:val="56A52538"/>
    <w:rsid w:val="57E5031E"/>
    <w:rsid w:val="582772A7"/>
    <w:rsid w:val="5B2A781E"/>
    <w:rsid w:val="5D620CA6"/>
    <w:rsid w:val="5EC73467"/>
    <w:rsid w:val="5FA81A0C"/>
    <w:rsid w:val="60016769"/>
    <w:rsid w:val="605C2C07"/>
    <w:rsid w:val="6076732C"/>
    <w:rsid w:val="61EA77D5"/>
    <w:rsid w:val="63425CDB"/>
    <w:rsid w:val="63D12D56"/>
    <w:rsid w:val="65B42FA6"/>
    <w:rsid w:val="677A644C"/>
    <w:rsid w:val="6855051E"/>
    <w:rsid w:val="68664B20"/>
    <w:rsid w:val="6B66417A"/>
    <w:rsid w:val="6C0B6583"/>
    <w:rsid w:val="6D3B23F0"/>
    <w:rsid w:val="6EB309BA"/>
    <w:rsid w:val="6F7A6142"/>
    <w:rsid w:val="70A84A59"/>
    <w:rsid w:val="70AD0AC6"/>
    <w:rsid w:val="70D429B5"/>
    <w:rsid w:val="71873294"/>
    <w:rsid w:val="71B034E1"/>
    <w:rsid w:val="720E4CD1"/>
    <w:rsid w:val="736846E4"/>
    <w:rsid w:val="7452064E"/>
    <w:rsid w:val="74D239B7"/>
    <w:rsid w:val="74E766BA"/>
    <w:rsid w:val="753366D1"/>
    <w:rsid w:val="758845CC"/>
    <w:rsid w:val="76676C88"/>
    <w:rsid w:val="77A64DEA"/>
    <w:rsid w:val="77EE2D39"/>
    <w:rsid w:val="78021A4F"/>
    <w:rsid w:val="782D681E"/>
    <w:rsid w:val="785904E4"/>
    <w:rsid w:val="788972B7"/>
    <w:rsid w:val="792E51E6"/>
    <w:rsid w:val="796D5CD1"/>
    <w:rsid w:val="79DA14EC"/>
    <w:rsid w:val="7A4153ED"/>
    <w:rsid w:val="7A722550"/>
    <w:rsid w:val="7B014331"/>
    <w:rsid w:val="7B7B3104"/>
    <w:rsid w:val="7D33069A"/>
    <w:rsid w:val="7DD13167"/>
    <w:rsid w:val="7DD547CA"/>
    <w:rsid w:val="7ED6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4"/>
    <w:qFormat/>
    <w:uiPriority w:val="0"/>
    <w:pPr>
      <w:keepNext/>
      <w:keepLines/>
      <w:widowControl w:val="0"/>
      <w:spacing w:before="120" w:after="120" w:line="415" w:lineRule="auto"/>
      <w:jc w:val="both"/>
      <w:outlineLvl w:val="1"/>
    </w:pPr>
    <w:rPr>
      <w:rFonts w:ascii="Arial" w:hAnsi="Arial" w:eastAsia="黑体"/>
      <w:kern w:val="2"/>
      <w:sz w:val="36"/>
      <w:szCs w:val="36"/>
    </w:rPr>
  </w:style>
  <w:style w:type="paragraph" w:styleId="5">
    <w:name w:val="heading 3"/>
    <w:basedOn w:val="1"/>
    <w:next w:val="4"/>
    <w:autoRedefine/>
    <w:unhideWhenUsed/>
    <w:qFormat/>
    <w:uiPriority w:val="0"/>
    <w:pPr>
      <w:keepNext/>
      <w:keepLines/>
      <w:spacing w:beforeLines="50" w:afterLines="50" w:line="416" w:lineRule="atLeast"/>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semiHidden/>
    <w:qFormat/>
    <w:uiPriority w:val="0"/>
    <w:rPr>
      <w:rFonts w:ascii="Arial" w:hAnsi="Arial" w:eastAsia="Arial" w:cs="Arial"/>
      <w:szCs w:val="21"/>
      <w:lang w:eastAsia="en-US"/>
    </w:rPr>
  </w:style>
  <w:style w:type="paragraph" w:styleId="8">
    <w:name w:val="Body Text Indent"/>
    <w:basedOn w:val="1"/>
    <w:next w:val="1"/>
    <w:autoRedefine/>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styleId="9">
    <w:name w:val="Date"/>
    <w:basedOn w:val="1"/>
    <w:next w:val="1"/>
    <w:qFormat/>
    <w:uiPriority w:val="0"/>
    <w:rPr>
      <w:rFonts w:eastAsia="黑体"/>
      <w:sz w:val="36"/>
    </w:r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2">
    <w:name w:val="Subtitle"/>
    <w:basedOn w:val="1"/>
    <w:next w:val="1"/>
    <w:autoRedefine/>
    <w:qFormat/>
    <w:uiPriority w:val="0"/>
    <w:pPr>
      <w:spacing w:before="240" w:after="60" w:line="312" w:lineRule="auto"/>
      <w:jc w:val="center"/>
      <w:outlineLvl w:val="1"/>
    </w:pPr>
    <w:rPr>
      <w:rFonts w:ascii="Tahoma" w:hAnsi="Tahoma"/>
      <w:b/>
      <w:bCs/>
      <w:kern w:val="28"/>
      <w:sz w:val="32"/>
      <w:szCs w:val="32"/>
    </w:rPr>
  </w:style>
  <w:style w:type="paragraph" w:styleId="13">
    <w:name w:val="Body Text Indent 3"/>
    <w:basedOn w:val="1"/>
    <w:autoRedefine/>
    <w:qFormat/>
    <w:uiPriority w:val="0"/>
    <w:pPr>
      <w:spacing w:after="120"/>
      <w:ind w:left="420" w:leftChars="200"/>
    </w:pPr>
    <w:rPr>
      <w:sz w:val="16"/>
      <w:szCs w:val="16"/>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0"/>
    <w:pPr>
      <w:widowControl/>
      <w:jc w:val="left"/>
    </w:pPr>
    <w:rPr>
      <w:rFonts w:ascii="楷体" w:hAnsi="楷体" w:cs="楷体"/>
      <w:kern w:val="0"/>
      <w:sz w:val="18"/>
      <w:szCs w:val="18"/>
    </w:rPr>
  </w:style>
  <w:style w:type="paragraph" w:styleId="16">
    <w:name w:val="Title"/>
    <w:basedOn w:val="1"/>
    <w:next w:val="1"/>
    <w:autoRedefine/>
    <w:qFormat/>
    <w:uiPriority w:val="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17">
    <w:name w:val="Body Text First Indent 2"/>
    <w:basedOn w:val="8"/>
    <w:next w:val="1"/>
    <w:autoRedefine/>
    <w:qFormat/>
    <w:uiPriority w:val="0"/>
    <w:pPr>
      <w:ind w:firstLine="420" w:firstLineChars="200"/>
    </w:pPr>
    <w:rPr>
      <w:kern w:val="2"/>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paragraph" w:customStyle="1" w:styleId="23">
    <w:name w:val="首行缩进"/>
    <w:basedOn w:val="1"/>
    <w:autoRedefine/>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paragraph" w:customStyle="1" w:styleId="24">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 w:type="paragraph" w:customStyle="1" w:styleId="2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6">
    <w:name w:val="Table Paragraph"/>
    <w:basedOn w:val="1"/>
    <w:autoRedefine/>
    <w:qFormat/>
    <w:uiPriority w:val="1"/>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目录"/>
    <w:basedOn w:val="1"/>
    <w:autoRedefine/>
    <w:qFormat/>
    <w:uiPriority w:val="0"/>
    <w:pPr>
      <w:jc w:val="center"/>
    </w:pPr>
    <w:rPr>
      <w:rFonts w:ascii="宋体"/>
      <w:sz w:val="36"/>
    </w:rPr>
  </w:style>
  <w:style w:type="paragraph" w:customStyle="1" w:styleId="29">
    <w:name w:val="Title"/>
    <w:basedOn w:val="1"/>
    <w:qFormat/>
    <w:uiPriority w:val="0"/>
    <w:pPr>
      <w:widowControl/>
      <w:spacing w:before="240" w:after="60"/>
      <w:jc w:val="center"/>
      <w:outlineLvl w:val="0"/>
    </w:pPr>
    <w:rPr>
      <w:rFonts w:ascii="Arial" w:hAnsi="Arial" w:cs="Arial"/>
      <w:b/>
      <w:bCs/>
      <w:kern w:val="0"/>
      <w:sz w:val="44"/>
      <w:szCs w:val="32"/>
    </w:rPr>
  </w:style>
  <w:style w:type="paragraph" w:customStyle="1" w:styleId="30">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15271</Words>
  <Characters>17394</Characters>
  <Lines>0</Lines>
  <Paragraphs>0</Paragraphs>
  <TotalTime>3</TotalTime>
  <ScaleCrop>false</ScaleCrop>
  <LinksUpToDate>false</LinksUpToDate>
  <CharactersWithSpaces>17597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2024-02-20T03:07:00Z</dcterms:created>
  <dc:creator>Administrator</dc:creator>
  <cp:lastModifiedBy>Administrator</cp:lastModifiedBy>
  <cp:lastPrinted>2024-02-21T03:46:00Z</cp:lastPrinted>
  <dcterms:modified xsi:type="dcterms:W3CDTF">2025-07-15T00:22:09Z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4D69463026FD4D8C947E377F9B5C53B4_13</vt:lpwstr>
  </property>
  <property fmtid="{D5CDD505-2E9C-101B-9397-08002B2CF9AE}" pid="4" name="KSOTemplateDocerSaveRecord">
    <vt:lpwstr>eyJoZGlkIjoiYzQ3NmVhZGZlM2MzZDE2YzdlZjBmNTE4ZjQxZTczMTEiLCJ1c2VySWQiOiIzNzU2NTQ4MTkifQ==</vt:lpwstr>
  </property>
</Properties>
</file>