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4CD3C">
      <w:pPr>
        <w:tabs>
          <w:tab w:val="left" w:pos="673"/>
          <w:tab w:val="center" w:pos="10467"/>
        </w:tabs>
        <w:ind w:firstLine="0" w:firstLineChars="0"/>
        <w:jc w:val="left"/>
        <w:rPr>
          <w:rFonts w:hint="eastAsia" w:asciiTheme="minorEastAsia" w:hAnsiTheme="minor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23814" w:h="16839" w:orient="landscape"/>
          <w:pgMar w:top="1276" w:right="1440" w:bottom="1800" w:left="1440" w:header="850" w:footer="850" w:gutter="0"/>
          <w:pgBorders>
            <w:top w:val="single" w:color="auto" w:sz="4" w:space="1"/>
            <w:left w:val="single" w:color="auto" w:sz="4" w:space="4"/>
            <w:bottom w:val="single" w:color="auto" w:sz="4" w:space="1"/>
            <w:right w:val="single" w:color="auto" w:sz="4" w:space="4"/>
          </w:pgBorders>
          <w:cols w:space="566" w:num="1"/>
          <w:docGrid w:type="lines" w:linePitch="326" w:charSpace="0"/>
        </w:sectPr>
      </w:pPr>
      <w:r>
        <w:rPr>
          <w:rFonts w:hint="eastAsia" w:asciiTheme="minorEastAsia" w:hAnsiTheme="minorEastAsia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污 水 设 计 说 明</w:t>
      </w:r>
    </w:p>
    <w:p w14:paraId="1E047332">
      <w:pPr>
        <w:pStyle w:val="2"/>
        <w:numPr>
          <w:ilvl w:val="0"/>
          <w:numId w:val="1"/>
        </w:numP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概述</w:t>
      </w:r>
    </w:p>
    <w:p w14:paraId="2BC407C7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bookmarkStart w:id="0" w:name="_Hlk93068527"/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根据本工程设计合同，进行</w:t>
      </w:r>
      <w:r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北华大学北校区青春广场维修改造工程施工图设计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。</w:t>
      </w:r>
    </w:p>
    <w:p w14:paraId="1A6B2321">
      <w:pPr>
        <w:ind w:firstLine="480"/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项目位置位</w:t>
      </w:r>
      <w:r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于吉林省吉林市龙潭区新山街北华大学北校区。</w:t>
      </w:r>
    </w:p>
    <w:p w14:paraId="1B2F678E">
      <w:pPr>
        <w:ind w:firstLine="480"/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FF0000"/>
          <w:szCs w:val="24"/>
          <w:highlight w:val="none"/>
        </w:rPr>
        <w:t>主要工程内容为新建污水DN</w:t>
      </w:r>
      <w:r>
        <w:rPr>
          <w:rFonts w:hint="eastAsia" w:asciiTheme="minorEastAsia" w:hAnsiTheme="minorEastAsia"/>
          <w:color w:val="FF0000"/>
          <w:szCs w:val="24"/>
          <w:highlight w:val="none"/>
          <w:lang w:val="en-US" w:eastAsia="zh-CN"/>
        </w:rPr>
        <w:t>4</w:t>
      </w:r>
      <w:r>
        <w:rPr>
          <w:rFonts w:hint="eastAsia" w:asciiTheme="minorEastAsia" w:hAnsiTheme="minorEastAsia"/>
          <w:color w:val="FF0000"/>
          <w:szCs w:val="24"/>
          <w:highlight w:val="none"/>
        </w:rPr>
        <w:t>00重力管线共约</w:t>
      </w:r>
      <w:r>
        <w:rPr>
          <w:rFonts w:hint="eastAsia" w:asciiTheme="minorEastAsia" w:hAnsiTheme="minorEastAsia"/>
          <w:color w:val="FF0000"/>
          <w:szCs w:val="24"/>
          <w:highlight w:val="none"/>
          <w:lang w:val="en-US" w:eastAsia="zh-CN"/>
        </w:rPr>
        <w:t>103</w:t>
      </w:r>
      <w:r>
        <w:rPr>
          <w:rFonts w:hint="eastAsia" w:asciiTheme="minorEastAsia" w:hAnsiTheme="minorEastAsia"/>
          <w:color w:val="FF0000"/>
          <w:szCs w:val="24"/>
          <w:highlight w:val="none"/>
        </w:rPr>
        <w:t>米。</w:t>
      </w:r>
      <w:r>
        <w:rPr>
          <w:rFonts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bookmarkEnd w:id="0"/>
    <w:p w14:paraId="04A47FC4">
      <w:pPr>
        <w:pStyle w:val="2"/>
        <w:numPr>
          <w:ilvl w:val="0"/>
          <w:numId w:val="1"/>
        </w:numP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设计依据</w:t>
      </w:r>
    </w:p>
    <w:p w14:paraId="35C63920">
      <w:pPr>
        <w:pStyle w:val="3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相关文件</w:t>
      </w:r>
    </w:p>
    <w:p w14:paraId="108A5FF0">
      <w:pPr>
        <w:pStyle w:val="18"/>
        <w:numPr>
          <w:ilvl w:val="0"/>
          <w:numId w:val="2"/>
        </w:numPr>
        <w:ind w:left="0"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设计合同；</w:t>
      </w:r>
    </w:p>
    <w:p w14:paraId="278F2F77">
      <w:pPr>
        <w:pStyle w:val="18"/>
        <w:numPr>
          <w:ilvl w:val="0"/>
          <w:numId w:val="2"/>
        </w:numPr>
        <w:ind w:left="0"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业主提供</w:t>
      </w:r>
      <w:r>
        <w:rPr>
          <w:rFonts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现状地形图资料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；</w:t>
      </w:r>
    </w:p>
    <w:p w14:paraId="5465D6BA">
      <w:pPr>
        <w:pStyle w:val="18"/>
        <w:numPr>
          <w:ilvl w:val="0"/>
          <w:numId w:val="2"/>
        </w:numPr>
        <w:ind w:left="0" w:firstLine="480"/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《北华大学北校区路面改造》施工图 （中城诚园设计有限公司</w:t>
      </w:r>
      <w:r>
        <w:rPr>
          <w:rFonts w:hint="eastAsia" w:asciiTheme="minorEastAsia" w:hAnsiTheme="minorEastAsia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2022.06</w:t>
      </w:r>
      <w:r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）；</w:t>
      </w:r>
    </w:p>
    <w:p w14:paraId="61EB74C9">
      <w:pPr>
        <w:pStyle w:val="3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设计规范</w:t>
      </w:r>
    </w:p>
    <w:p w14:paraId="74E08875">
      <w:pPr>
        <w:pStyle w:val="18"/>
        <w:numPr>
          <w:ilvl w:val="0"/>
          <w:numId w:val="3"/>
        </w:numPr>
        <w:ind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《城乡排水工程项目规范》</w:t>
      </w:r>
      <w:r>
        <w:rPr>
          <w:rFonts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GB55027-2022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；</w:t>
      </w:r>
    </w:p>
    <w:p w14:paraId="20EC2D58">
      <w:pPr>
        <w:pStyle w:val="18"/>
        <w:numPr>
          <w:ilvl w:val="0"/>
          <w:numId w:val="3"/>
        </w:numPr>
        <w:ind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《建筑给水排水设计标准》GB/T50</w:t>
      </w:r>
      <w:r>
        <w:rPr>
          <w:rFonts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015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-201</w:t>
      </w:r>
      <w:r>
        <w:rPr>
          <w:rFonts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；</w:t>
      </w:r>
    </w:p>
    <w:p w14:paraId="1F945925">
      <w:pPr>
        <w:pStyle w:val="18"/>
        <w:numPr>
          <w:ilvl w:val="0"/>
          <w:numId w:val="3"/>
        </w:numPr>
        <w:ind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《城市工程管线综合规划规范》GB50289-2016；</w:t>
      </w:r>
    </w:p>
    <w:p w14:paraId="192CA18F">
      <w:pPr>
        <w:pStyle w:val="18"/>
        <w:numPr>
          <w:ilvl w:val="0"/>
          <w:numId w:val="3"/>
        </w:numPr>
        <w:ind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《城市排水工程规划规范》GB50318-2017；</w:t>
      </w:r>
    </w:p>
    <w:p w14:paraId="603E9881">
      <w:pPr>
        <w:pStyle w:val="18"/>
        <w:numPr>
          <w:ilvl w:val="0"/>
          <w:numId w:val="3"/>
        </w:numPr>
        <w:ind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《室外排水设计标准》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GB50014-20</w:t>
      </w:r>
      <w:r>
        <w:rPr>
          <w:rFonts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；</w:t>
      </w:r>
    </w:p>
    <w:p w14:paraId="5C6D777C">
      <w:pPr>
        <w:pStyle w:val="18"/>
        <w:numPr>
          <w:ilvl w:val="0"/>
          <w:numId w:val="3"/>
        </w:numPr>
        <w:ind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《给水排水管道工程施工及验收规范》GB50268-2008；</w:t>
      </w:r>
    </w:p>
    <w:p w14:paraId="6E8DBC17">
      <w:pPr>
        <w:pStyle w:val="18"/>
        <w:numPr>
          <w:ilvl w:val="0"/>
          <w:numId w:val="3"/>
        </w:numPr>
        <w:ind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《给水排水工程管道结构设计规范》GB50332-2002；</w:t>
      </w:r>
    </w:p>
    <w:p w14:paraId="15AF0A9D">
      <w:pPr>
        <w:pStyle w:val="18"/>
        <w:numPr>
          <w:ilvl w:val="0"/>
          <w:numId w:val="3"/>
        </w:numPr>
        <w:ind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GB/T 19472.2-2017《埋地用聚乙烯（PE）结构壁管道系统第2部分：聚乙烯缠绕结构壁管材》；</w:t>
      </w:r>
    </w:p>
    <w:p w14:paraId="10292E95">
      <w:pPr>
        <w:pStyle w:val="18"/>
        <w:numPr>
          <w:ilvl w:val="0"/>
          <w:numId w:val="3"/>
        </w:numPr>
        <w:tabs>
          <w:tab w:val="left" w:pos="0"/>
          <w:tab w:val="left" w:pos="900"/>
        </w:tabs>
        <w:ind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《室外给水排水和燃气热力工程抗震设计规范》GB50032-2003；</w:t>
      </w:r>
    </w:p>
    <w:p w14:paraId="16ECC2B4">
      <w:pPr>
        <w:pStyle w:val="18"/>
        <w:numPr>
          <w:ilvl w:val="0"/>
          <w:numId w:val="3"/>
        </w:numPr>
        <w:tabs>
          <w:tab w:val="left" w:pos="7560"/>
        </w:tabs>
        <w:spacing w:line="440" w:lineRule="exact"/>
        <w:ind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《建筑与市政工程抗震通用规范》  GB55002-2021；</w:t>
      </w:r>
    </w:p>
    <w:p w14:paraId="6609FB23">
      <w:pPr>
        <w:pStyle w:val="18"/>
        <w:numPr>
          <w:ilvl w:val="0"/>
          <w:numId w:val="3"/>
        </w:numPr>
        <w:ind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《检查井盖》GB/T23858-2009；</w:t>
      </w:r>
    </w:p>
    <w:p w14:paraId="27F4556B">
      <w:pPr>
        <w:pStyle w:val="18"/>
        <w:numPr>
          <w:ilvl w:val="0"/>
          <w:numId w:val="3"/>
        </w:numPr>
        <w:ind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《给水排水构筑物工程施工及验收规范》GB50141-2008；</w:t>
      </w:r>
    </w:p>
    <w:p w14:paraId="0B9408BE">
      <w:pPr>
        <w:pStyle w:val="18"/>
        <w:numPr>
          <w:ilvl w:val="0"/>
          <w:numId w:val="3"/>
        </w:numPr>
        <w:ind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市政公用工程设计文件编制深度（2013年版）；</w:t>
      </w:r>
    </w:p>
    <w:p w14:paraId="34405145">
      <w:pPr>
        <w:pStyle w:val="18"/>
        <w:numPr>
          <w:ilvl w:val="0"/>
          <w:numId w:val="0"/>
        </w:numP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 w14:paraId="637DAC55">
      <w:pPr>
        <w:pStyle w:val="2"/>
        <w:numPr>
          <w:ilvl w:val="0"/>
          <w:numId w:val="1"/>
        </w:numP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设计内容</w:t>
      </w:r>
    </w:p>
    <w:p w14:paraId="67491723">
      <w:pPr>
        <w:pStyle w:val="3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管线平面设计</w:t>
      </w:r>
    </w:p>
    <w:p w14:paraId="7A0986E2">
      <w:pPr>
        <w:ind w:firstLine="0"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.1.1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现状调查</w:t>
      </w:r>
    </w:p>
    <w:p w14:paraId="5A887EE4">
      <w:pPr>
        <w:ind w:firstLine="480"/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本次</w:t>
      </w:r>
      <w:r>
        <w:rPr>
          <w:rFonts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工程范围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位于</w:t>
      </w:r>
      <w:r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北华大学北校区博学路东侧实验楼南侧</w:t>
      </w:r>
      <w:r>
        <w:rPr>
          <w:rFonts w:hint="eastAsia" w:asciiTheme="minorEastAsia" w:hAnsiTheme="minorEastAsia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路段</w:t>
      </w:r>
      <w:r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4178D528">
      <w:pPr>
        <w:ind w:firstLine="0"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.1.2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主要设计内容</w:t>
      </w:r>
    </w:p>
    <w:p w14:paraId="539641B0">
      <w:pPr>
        <w:ind w:firstLine="480"/>
        <w:rPr>
          <w:rFonts w:hint="eastAsia" w:asciiTheme="minorEastAsia" w:hAnsiTheme="minorEastAsia"/>
          <w:color w:val="FF0000"/>
          <w:highlight w:val="none"/>
        </w:rPr>
      </w:pPr>
      <w:r>
        <w:rPr>
          <w:rFonts w:hint="eastAsia" w:asciiTheme="minorEastAsia" w:hAnsiTheme="minorEastAsia"/>
          <w:color w:val="FF0000"/>
        </w:rPr>
        <w:t>根据</w:t>
      </w:r>
      <w:r>
        <w:rPr>
          <w:rFonts w:asciiTheme="minorEastAsia" w:hAnsiTheme="minorEastAsia"/>
          <w:color w:val="FF0000"/>
        </w:rPr>
        <w:t>现场情况</w:t>
      </w:r>
      <w:r>
        <w:rPr>
          <w:rFonts w:asciiTheme="minorEastAsia" w:hAnsiTheme="minorEastAsia"/>
          <w:color w:val="FF0000"/>
          <w:highlight w:val="none"/>
        </w:rPr>
        <w:t>，</w:t>
      </w:r>
      <w:r>
        <w:rPr>
          <w:rFonts w:hint="eastAsia" w:asciiTheme="minorEastAsia" w:hAnsiTheme="minorEastAsia"/>
          <w:color w:val="FF0000"/>
          <w:highlight w:val="none"/>
          <w:lang w:val="en-US" w:eastAsia="zh-CN"/>
        </w:rPr>
        <w:t>对北华大学</w:t>
      </w:r>
      <w:r>
        <w:rPr>
          <w:rFonts w:hint="eastAsia" w:asciiTheme="minorEastAsia" w:hAnsiTheme="minorEastAsia"/>
          <w:color w:val="FF0000"/>
          <w:szCs w:val="24"/>
          <w:highlight w:val="none"/>
        </w:rPr>
        <w:t>北校区博学路东侧实验楼南侧化粪池</w:t>
      </w:r>
      <w:r>
        <w:rPr>
          <w:rFonts w:hint="eastAsia" w:asciiTheme="minorEastAsia" w:hAnsiTheme="minorEastAsia"/>
          <w:color w:val="FF0000"/>
          <w:szCs w:val="24"/>
          <w:highlight w:val="none"/>
          <w:lang w:val="en-US" w:eastAsia="zh-CN"/>
        </w:rPr>
        <w:t>接至博学路现状污水井路段DN400混凝土污水管，以及博学路现状污水井接至附近现状雨水井路段DN400混凝土污水管进行拆除并全部更换为DN400 HPDE污水管</w:t>
      </w:r>
      <w:r>
        <w:rPr>
          <w:rFonts w:asciiTheme="minorEastAsia" w:hAnsiTheme="minorEastAsia"/>
          <w:color w:val="FF0000"/>
          <w:highlight w:val="none"/>
        </w:rPr>
        <w:t>。</w:t>
      </w:r>
      <w:r>
        <w:rPr>
          <w:rFonts w:hint="eastAsia" w:asciiTheme="minorEastAsia" w:hAnsiTheme="minorEastAsia"/>
          <w:color w:val="FF0000"/>
          <w:highlight w:val="none"/>
        </w:rPr>
        <w:t>因化粪池处附近标高及博学路现状井标高未知，具体施工时务必根据现场情况进行调整。</w:t>
      </w:r>
    </w:p>
    <w:p w14:paraId="4662D4D4">
      <w:pPr>
        <w:pStyle w:val="3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管线竖向设计</w:t>
      </w:r>
    </w:p>
    <w:p w14:paraId="588BA553">
      <w:pPr>
        <w:ind w:firstLine="0"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.2.1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竖向设计原则</w:t>
      </w:r>
    </w:p>
    <w:p w14:paraId="005258F8">
      <w:pPr>
        <w:ind w:firstLine="480"/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）结合道路竖向设计，在非交叉段，控制管顶最小覆土深度为</w:t>
      </w:r>
      <w:r>
        <w:rPr>
          <w:rFonts w:hint="eastAsia" w:asciiTheme="minorEastAsia" w:hAnsiTheme="minorEastAsia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0.75</w:t>
      </w:r>
      <w:r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米。</w:t>
      </w:r>
    </w:p>
    <w:p w14:paraId="722BC036">
      <w:pPr>
        <w:ind w:firstLine="480"/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）污水管道在设计充满度下，管道流速控制在0.6～5.0m/s。</w:t>
      </w:r>
    </w:p>
    <w:p w14:paraId="1379D893">
      <w:pPr>
        <w:pStyle w:val="2"/>
        <w:numPr>
          <w:ilvl w:val="0"/>
          <w:numId w:val="1"/>
        </w:numP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主要技术要求</w:t>
      </w:r>
    </w:p>
    <w:p w14:paraId="44763221">
      <w:pPr>
        <w:pStyle w:val="3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管材、接口及基础</w:t>
      </w:r>
    </w:p>
    <w:p w14:paraId="056DF4B5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szCs w:val="24"/>
        </w:rPr>
        <w:t>管材采用高密度聚乙烯缠绕结构壁B型管（克拉管），承插式热熔连接，承口应逆水流方向，插口应顺水流方向。</w:t>
      </w:r>
    </w:p>
    <w:p w14:paraId="665179A0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管道环刚度:管道环刚度≥8.0KN/m</w:t>
      </w:r>
      <w:r>
        <w:rPr>
          <w:rFonts w:hint="eastAsia" w:asciiTheme="minorEastAsia" w:hAnsiTheme="minorEastAsia"/>
          <w:color w:val="000000" w:themeColor="text1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设计使用年限不低于50年。</w:t>
      </w:r>
    </w:p>
    <w:p w14:paraId="5EB3DFF7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排水管道工程所用的原材料、半成品、成品等产品的品种、规格、性能必须符合国家有关标准的规定和设计要求。</w:t>
      </w:r>
    </w:p>
    <w:p w14:paraId="35A3F5B3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管道应直线敷设。当遇到特殊情况需利用柔性接口转角进行折线敷设时，其允许偏转角度应由管材制造厂提供。一般情况de≤315mm时转角不宜大于2°，315mm＜de≤630mm时不宜大于1.5°，当de＞630mm时不宜大于1°；当需要利用管材柔性进行弧形敷设时，在20℃温度下其最小曲率半径R不得小于20de。</w:t>
      </w:r>
    </w:p>
    <w:p w14:paraId="6E15AE3D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管道采用</w:t>
      </w:r>
      <w:r>
        <w:rPr>
          <w:rFonts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180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°砂基础，砂基础详见《沟槽回填断面示意图》。地基承载力要求≥100kPa。</w:t>
      </w:r>
    </w:p>
    <w:p w14:paraId="50CA4EAC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管道基础应座落在原状土层上，沟槽开挖时应严格控制槽底标高。</w:t>
      </w:r>
    </w:p>
    <w:p w14:paraId="7C3907B4">
      <w:pPr>
        <w:pStyle w:val="3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沟槽开挖</w:t>
      </w:r>
    </w:p>
    <w:p w14:paraId="32E981D2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沟槽的开挖断面应符合施工组织设计(方案)的要求。槽底原状地基土不得扰动，机械开挖时槽底预留200～300mm土层由人工开挖至设计高程，整平。槽底不得受水浸泡或受冻，槽底局部扰动或受水浸泡时，宜采用天然级配砂砾石或石灰土回填。槽底扰动土层为湿陷性黄土时，应进行地基处理。槽底土层为杂填土、腐蚀性土时，应全部挖除并按设计要求进行地基处理。</w:t>
      </w:r>
    </w:p>
    <w:p w14:paraId="432631D3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另外，槽壁应平顺，边坡坡度符合施工方案的规定；在沟槽边坡稳固后设置供施工人员上下沟槽的安全梯。</w:t>
      </w:r>
    </w:p>
    <w:p w14:paraId="2B525202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沟槽底部的开挖宽度，按下式计算确定；</w:t>
      </w:r>
    </w:p>
    <w:p w14:paraId="1020CEDA">
      <w:pPr>
        <w:ind w:firstLine="0" w:firstLineChars="0"/>
        <w:jc w:val="center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B＝D</w:t>
      </w:r>
      <w:r>
        <w:rPr>
          <w:rFonts w:hint="eastAsia" w:asciiTheme="minorEastAsia" w:hAnsiTheme="minorEastAsia"/>
          <w:color w:val="000000" w:themeColor="text1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＋2(b</w:t>
      </w:r>
      <w:r>
        <w:rPr>
          <w:rFonts w:hint="eastAsia" w:asciiTheme="minorEastAsia" w:hAnsiTheme="minorEastAsia"/>
          <w:color w:val="000000" w:themeColor="text1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＋b</w:t>
      </w:r>
      <w:r>
        <w:rPr>
          <w:rFonts w:hint="eastAsia" w:asciiTheme="minorEastAsia" w:hAnsiTheme="minorEastAsia"/>
          <w:color w:val="000000" w:themeColor="text1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＋b</w:t>
      </w:r>
      <w:r>
        <w:rPr>
          <w:rFonts w:hint="eastAsia" w:asciiTheme="minorEastAsia" w:hAnsiTheme="minorEastAsia"/>
          <w:color w:val="000000" w:themeColor="text1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)</w:t>
      </w:r>
    </w:p>
    <w:p w14:paraId="55AC368B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式中  B——管道沟槽底部的开挖宽度(mm)；</w:t>
      </w:r>
    </w:p>
    <w:p w14:paraId="4AB558EC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   D</w:t>
      </w:r>
      <w:r>
        <w:rPr>
          <w:rFonts w:hint="eastAsia" w:asciiTheme="minorEastAsia" w:hAnsiTheme="minorEastAsia"/>
          <w:color w:val="000000" w:themeColor="text1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——管外径(mm)；</w:t>
      </w:r>
    </w:p>
    <w:p w14:paraId="2A213B30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   b</w:t>
      </w:r>
      <w:r>
        <w:rPr>
          <w:rFonts w:hint="eastAsia" w:asciiTheme="minorEastAsia" w:hAnsiTheme="minorEastAsia"/>
          <w:color w:val="000000" w:themeColor="text1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——管道一侧的工作面宽度(mm)，可按表1选取；</w:t>
      </w:r>
    </w:p>
    <w:p w14:paraId="57E87807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   b</w:t>
      </w:r>
      <w:r>
        <w:rPr>
          <w:rFonts w:hint="eastAsia" w:asciiTheme="minorEastAsia" w:hAnsiTheme="minorEastAsia"/>
          <w:color w:val="000000" w:themeColor="text1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——有支撑要求时，管道一侧的支撑厚度，可取150～200mm；</w:t>
      </w:r>
    </w:p>
    <w:p w14:paraId="0C518B59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   b</w:t>
      </w:r>
      <w:r>
        <w:rPr>
          <w:rFonts w:hint="eastAsia" w:asciiTheme="minorEastAsia" w:hAnsiTheme="minorEastAsia"/>
          <w:color w:val="000000" w:themeColor="text1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——现场浇筑混凝土或钢筋混凝土管渠一侧模板的厚度(mm)。</w:t>
      </w:r>
    </w:p>
    <w:p w14:paraId="2F5B90E7">
      <w:pPr>
        <w:ind w:firstLine="482"/>
        <w:jc w:val="center"/>
        <w:rPr>
          <w:rFonts w:hint="eastAsia"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表</w:t>
      </w:r>
      <w:r>
        <w:rPr>
          <w:rFonts w:hint="eastAsia" w:asciiTheme="minorEastAsia" w:hAnsiTheme="minorEastAsia"/>
          <w:b/>
          <w:lang w:val="en-US" w:eastAsia="zh-CN"/>
        </w:rPr>
        <w:t>1</w:t>
      </w:r>
      <w:r>
        <w:rPr>
          <w:rFonts w:hint="eastAsia" w:asciiTheme="minorEastAsia" w:hAnsiTheme="minorEastAsia"/>
          <w:b/>
        </w:rPr>
        <w:t xml:space="preserve">  管道一侧的工作面宽度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2811"/>
        <w:gridCol w:w="1843"/>
        <w:gridCol w:w="1000"/>
        <w:gridCol w:w="4768"/>
      </w:tblGrid>
      <w:tr w14:paraId="20A77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0" w:type="auto"/>
            <w:vMerge w:val="restart"/>
            <w:vAlign w:val="center"/>
          </w:tcPr>
          <w:p w14:paraId="66D2B0E7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管道的外径D0</w:t>
            </w:r>
          </w:p>
        </w:tc>
        <w:tc>
          <w:tcPr>
            <w:tcW w:w="0" w:type="auto"/>
            <w:gridSpan w:val="3"/>
            <w:vAlign w:val="center"/>
          </w:tcPr>
          <w:p w14:paraId="3BD97698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管道一侧的工作面宽度b1 (mm)</w:t>
            </w:r>
          </w:p>
        </w:tc>
      </w:tr>
      <w:tr w14:paraId="34C73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53" w:hRule="atLeast"/>
          <w:jc w:val="center"/>
        </w:trPr>
        <w:tc>
          <w:tcPr>
            <w:tcW w:w="0" w:type="auto"/>
            <w:vMerge w:val="continue"/>
            <w:vAlign w:val="center"/>
          </w:tcPr>
          <w:p w14:paraId="5355248B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467DA8A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混凝土类管道</w:t>
            </w:r>
          </w:p>
        </w:tc>
        <w:tc>
          <w:tcPr>
            <w:tcW w:w="0" w:type="auto"/>
            <w:vAlign w:val="center"/>
          </w:tcPr>
          <w:p w14:paraId="1F37A525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金属类管道、化学建材管道</w:t>
            </w:r>
          </w:p>
        </w:tc>
      </w:tr>
      <w:tr w14:paraId="6132D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47" w:hRule="atLeast"/>
          <w:jc w:val="center"/>
        </w:trPr>
        <w:tc>
          <w:tcPr>
            <w:tcW w:w="0" w:type="auto"/>
            <w:vMerge w:val="restart"/>
            <w:vAlign w:val="center"/>
          </w:tcPr>
          <w:p w14:paraId="5A3268C6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D0≤500</w:t>
            </w:r>
          </w:p>
        </w:tc>
        <w:tc>
          <w:tcPr>
            <w:tcW w:w="0" w:type="auto"/>
            <w:vAlign w:val="center"/>
          </w:tcPr>
          <w:p w14:paraId="5AEA4D18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刚性接口</w:t>
            </w:r>
          </w:p>
        </w:tc>
        <w:tc>
          <w:tcPr>
            <w:tcW w:w="0" w:type="auto"/>
            <w:vAlign w:val="center"/>
          </w:tcPr>
          <w:p w14:paraId="699C7166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400</w:t>
            </w:r>
          </w:p>
        </w:tc>
        <w:tc>
          <w:tcPr>
            <w:tcW w:w="0" w:type="auto"/>
            <w:vMerge w:val="restart"/>
            <w:vAlign w:val="center"/>
          </w:tcPr>
          <w:p w14:paraId="31B75489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300</w:t>
            </w:r>
          </w:p>
        </w:tc>
      </w:tr>
      <w:tr w14:paraId="44861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53" w:hRule="atLeast"/>
          <w:jc w:val="center"/>
        </w:trPr>
        <w:tc>
          <w:tcPr>
            <w:tcW w:w="0" w:type="auto"/>
            <w:vMerge w:val="continue"/>
            <w:vAlign w:val="center"/>
          </w:tcPr>
          <w:p w14:paraId="76607D35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6EB04639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柔性接口</w:t>
            </w:r>
          </w:p>
        </w:tc>
        <w:tc>
          <w:tcPr>
            <w:tcW w:w="0" w:type="auto"/>
            <w:vAlign w:val="center"/>
          </w:tcPr>
          <w:p w14:paraId="7B82EF2A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300</w:t>
            </w:r>
          </w:p>
        </w:tc>
        <w:tc>
          <w:tcPr>
            <w:tcW w:w="0" w:type="auto"/>
            <w:vMerge w:val="continue"/>
            <w:vAlign w:val="center"/>
          </w:tcPr>
          <w:p w14:paraId="691E2534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</w:p>
        </w:tc>
      </w:tr>
      <w:tr w14:paraId="5183B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47" w:hRule="atLeast"/>
          <w:jc w:val="center"/>
        </w:trPr>
        <w:tc>
          <w:tcPr>
            <w:tcW w:w="0" w:type="auto"/>
            <w:vMerge w:val="restart"/>
            <w:vAlign w:val="center"/>
          </w:tcPr>
          <w:p w14:paraId="67C5AF8D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500＜D0≤1000</w:t>
            </w:r>
          </w:p>
        </w:tc>
        <w:tc>
          <w:tcPr>
            <w:tcW w:w="0" w:type="auto"/>
            <w:vAlign w:val="center"/>
          </w:tcPr>
          <w:p w14:paraId="25ECA00C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刚性接口</w:t>
            </w:r>
          </w:p>
        </w:tc>
        <w:tc>
          <w:tcPr>
            <w:tcW w:w="0" w:type="auto"/>
            <w:vAlign w:val="center"/>
          </w:tcPr>
          <w:p w14:paraId="01C4AE73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500</w:t>
            </w:r>
          </w:p>
        </w:tc>
        <w:tc>
          <w:tcPr>
            <w:tcW w:w="0" w:type="auto"/>
            <w:vMerge w:val="restart"/>
            <w:vAlign w:val="center"/>
          </w:tcPr>
          <w:p w14:paraId="71652D31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400</w:t>
            </w:r>
          </w:p>
        </w:tc>
      </w:tr>
      <w:tr w14:paraId="03D82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0" w:type="auto"/>
            <w:vMerge w:val="continue"/>
            <w:vAlign w:val="center"/>
          </w:tcPr>
          <w:p w14:paraId="4466B966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33E34B88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柔性接口</w:t>
            </w:r>
          </w:p>
        </w:tc>
        <w:tc>
          <w:tcPr>
            <w:tcW w:w="0" w:type="auto"/>
            <w:vAlign w:val="center"/>
          </w:tcPr>
          <w:p w14:paraId="31D57334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400</w:t>
            </w:r>
          </w:p>
        </w:tc>
        <w:tc>
          <w:tcPr>
            <w:tcW w:w="0" w:type="auto"/>
            <w:vMerge w:val="continue"/>
            <w:vAlign w:val="center"/>
          </w:tcPr>
          <w:p w14:paraId="64B160B7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</w:p>
        </w:tc>
      </w:tr>
      <w:tr w14:paraId="141D6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47" w:hRule="atLeast"/>
          <w:jc w:val="center"/>
        </w:trPr>
        <w:tc>
          <w:tcPr>
            <w:tcW w:w="0" w:type="auto"/>
            <w:gridSpan w:val="4"/>
          </w:tcPr>
          <w:p w14:paraId="16C163C6">
            <w:pPr>
              <w:spacing w:line="276" w:lineRule="auto"/>
              <w:ind w:firstLine="480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注：槽底需设排水沟时，b1应适当增加；管道有现场施工的外防水层时，b1宜取800mm；  采用机械回填管道侧面时，b1需满足机械作业的宽度要求。</w:t>
            </w:r>
          </w:p>
        </w:tc>
      </w:tr>
    </w:tbl>
    <w:p w14:paraId="4609D420">
      <w:pPr>
        <w:ind w:firstLine="48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为此沟槽开挖后，当地下水位低于沟槽底面高程，且开挖深度在5m以内、沟槽不设支撑时，沟槽边坡最陡坡度应符合表</w:t>
      </w:r>
      <w:r>
        <w:rPr>
          <w:rFonts w:hint="eastAsia" w:asciiTheme="minorEastAsia" w:hAnsiTheme="minorEastAsia"/>
          <w:lang w:val="en-US" w:eastAsia="zh-CN"/>
        </w:rPr>
        <w:t>2</w:t>
      </w:r>
      <w:r>
        <w:rPr>
          <w:rFonts w:hint="eastAsia" w:asciiTheme="minorEastAsia" w:hAnsiTheme="minorEastAsia"/>
        </w:rPr>
        <w:t>的规定。</w:t>
      </w:r>
    </w:p>
    <w:p w14:paraId="021B99E2">
      <w:pPr>
        <w:ind w:firstLine="0" w:firstLineChars="0"/>
        <w:jc w:val="center"/>
        <w:rPr>
          <w:rFonts w:hint="eastAsia"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表</w:t>
      </w:r>
      <w:r>
        <w:rPr>
          <w:rFonts w:hint="eastAsia" w:asciiTheme="minorEastAsia" w:hAnsiTheme="minorEastAsia"/>
          <w:b/>
          <w:lang w:val="en-US" w:eastAsia="zh-CN"/>
        </w:rPr>
        <w:t>2</w:t>
      </w:r>
      <w:r>
        <w:rPr>
          <w:rFonts w:hint="eastAsia" w:asciiTheme="minorEastAsia" w:hAnsiTheme="minorEastAsia"/>
          <w:b/>
        </w:rPr>
        <w:t xml:space="preserve">  深度在5m以内的沟槽边坡的最陡坡度</w:t>
      </w:r>
    </w:p>
    <w:tbl>
      <w:tblPr>
        <w:tblStyle w:val="10"/>
        <w:tblW w:w="0" w:type="auto"/>
        <w:jc w:val="center"/>
        <w:tblLayout w:type="autofit"/>
        <w:tblCellMar>
          <w:top w:w="23" w:type="dxa"/>
          <w:left w:w="108" w:type="dxa"/>
          <w:bottom w:w="23" w:type="dxa"/>
          <w:right w:w="108" w:type="dxa"/>
        </w:tblCellMar>
      </w:tblPr>
      <w:tblGrid>
        <w:gridCol w:w="3460"/>
        <w:gridCol w:w="1260"/>
        <w:gridCol w:w="1260"/>
        <w:gridCol w:w="1260"/>
      </w:tblGrid>
      <w:tr w14:paraId="10306FC1">
        <w:tblPrEx>
          <w:tblCellMar>
            <w:top w:w="23" w:type="dxa"/>
            <w:left w:w="108" w:type="dxa"/>
            <w:bottom w:w="23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77EB26CD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土的类别</w:t>
            </w:r>
          </w:p>
        </w:tc>
        <w:tc>
          <w:tcPr>
            <w:tcW w:w="0" w:type="auto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3C6D0E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边坡坡度(高：宽)</w:t>
            </w:r>
          </w:p>
        </w:tc>
      </w:tr>
      <w:tr w14:paraId="72F34697">
        <w:tblPrEx>
          <w:tblCellMar>
            <w:top w:w="23" w:type="dxa"/>
            <w:left w:w="108" w:type="dxa"/>
            <w:bottom w:w="23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3C0566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A7DC10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坡顶无荷载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B252FE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坡顶有静载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269371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坡顶有动载</w:t>
            </w:r>
          </w:p>
        </w:tc>
      </w:tr>
      <w:tr w14:paraId="733EA5D3">
        <w:tblPrEx>
          <w:tblCellMar>
            <w:top w:w="23" w:type="dxa"/>
            <w:left w:w="108" w:type="dxa"/>
            <w:bottom w:w="23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E80850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中密的砂土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93CFD6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1﹕1.00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991870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1﹕1.25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4B5667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1﹕1.50</w:t>
            </w:r>
          </w:p>
        </w:tc>
      </w:tr>
      <w:tr w14:paraId="1408A715">
        <w:tblPrEx>
          <w:tblCellMar>
            <w:top w:w="23" w:type="dxa"/>
            <w:left w:w="108" w:type="dxa"/>
            <w:bottom w:w="23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6C8BE2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中密的碎石类土(充填物为砂土)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3F3D3B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1﹕0.75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1D025C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1﹕1.00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F05C11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1﹕1.25</w:t>
            </w:r>
          </w:p>
        </w:tc>
      </w:tr>
      <w:tr w14:paraId="19959152">
        <w:tblPrEx>
          <w:tblCellMar>
            <w:top w:w="23" w:type="dxa"/>
            <w:left w:w="108" w:type="dxa"/>
            <w:bottom w:w="23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FE9F3B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硬塑的粉土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2F62AB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1﹕0.67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E8F17F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1﹕O.75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855187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1﹕1.00</w:t>
            </w:r>
          </w:p>
        </w:tc>
      </w:tr>
      <w:tr w14:paraId="440D0208">
        <w:tblPrEx>
          <w:tblCellMar>
            <w:top w:w="23" w:type="dxa"/>
            <w:left w:w="108" w:type="dxa"/>
            <w:bottom w:w="23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F4B223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中密的碎石类土(充填物为黏性土)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6296CB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1﹕0.50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3FDEC8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1﹕O.67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529438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1﹕O.75</w:t>
            </w:r>
          </w:p>
        </w:tc>
      </w:tr>
      <w:tr w14:paraId="4526F8B4">
        <w:tblPrEx>
          <w:tblCellMar>
            <w:top w:w="23" w:type="dxa"/>
            <w:left w:w="108" w:type="dxa"/>
            <w:bottom w:w="23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13D701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硬塑的粉质黏土、黏土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2C2300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1﹕0.33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475E1D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1﹕0.50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F25155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1﹕0.67</w:t>
            </w:r>
          </w:p>
        </w:tc>
      </w:tr>
      <w:tr w14:paraId="38FF9379">
        <w:tblPrEx>
          <w:tblCellMar>
            <w:top w:w="23" w:type="dxa"/>
            <w:left w:w="108" w:type="dxa"/>
            <w:bottom w:w="23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1FEE88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老黄土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0E8269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1﹕0.10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AE0063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1﹕0.25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51CBAE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1﹕0.33</w:t>
            </w:r>
          </w:p>
        </w:tc>
      </w:tr>
      <w:tr w14:paraId="5F380FBA">
        <w:tblPrEx>
          <w:tblCellMar>
            <w:top w:w="23" w:type="dxa"/>
            <w:left w:w="108" w:type="dxa"/>
            <w:bottom w:w="23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C96AD0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软土(经井点降水后)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138FF2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1﹕1.25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85FD58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550F48">
            <w:pPr>
              <w:adjustRightInd w:val="0"/>
              <w:snapToGrid w:val="0"/>
              <w:spacing w:line="276" w:lineRule="auto"/>
              <w:ind w:left="-90" w:firstLine="30" w:firstLineChars="14"/>
              <w:jc w:val="center"/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pacing w:val="5"/>
                <w:kern w:val="0"/>
                <w:sz w:val="21"/>
                <w:szCs w:val="21"/>
              </w:rPr>
              <w:t>—</w:t>
            </w:r>
          </w:p>
        </w:tc>
      </w:tr>
    </w:tbl>
    <w:p w14:paraId="6E8090DF">
      <w:pPr>
        <w:ind w:firstLine="480"/>
        <w:rPr>
          <w:rFonts w:hint="default" w:asciiTheme="minorEastAsia" w:hAnsiTheme="minorEastAsia" w:eastAsiaTheme="minorEastAsia"/>
          <w:highlight w:val="none"/>
          <w:lang w:val="en-US" w:eastAsia="zh-CN"/>
        </w:rPr>
      </w:pPr>
      <w:r>
        <w:rPr>
          <w:rFonts w:hint="eastAsia" w:asciiTheme="minorEastAsia" w:hAnsiTheme="minorEastAsia"/>
          <w:highlight w:val="none"/>
          <w:lang w:val="en-US" w:eastAsia="zh-CN"/>
        </w:rPr>
        <w:t>由于本工程尚未提供地勘报告，开挖后根据现场情况由监理单位组织建设单位、施工单位、设计单位参考表2，共同确定放坡比，并进行放坡实验后方可施工。</w:t>
      </w:r>
    </w:p>
    <w:p w14:paraId="2C09101C">
      <w:pPr>
        <w:ind w:firstLine="48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沟槽挖深较大时，应确定分层开挖的深度，并符合下列规定：人工开挖沟槽的槽深超过3m时应分层开挖，每层的深度不超过2m；人工开挖多层沟槽的层间留台宽度：放坡开槽时不应小于0.8m，直槽时不应小于0.5m，安装井点设备时不应小于1.5m；采用机械挖槽时，沟槽分层的深度按机械性能确定。</w:t>
      </w:r>
    </w:p>
    <w:p w14:paraId="72BBBF03">
      <w:pPr>
        <w:ind w:firstLine="48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当管道埋深＞2m，且地下水位较高，对土方施工有影响的，应根据工程规模、工程地质、水文地质、周围环境等要求，制定施工降排水方案，并适当减小放坡坡率。</w:t>
      </w:r>
    </w:p>
    <w:p w14:paraId="279BC2D0">
      <w:pPr>
        <w:ind w:firstLine="48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当沟槽内有地下水时，必须将地下水降至槽底以下不小于0.5m，做到干槽施工。</w:t>
      </w:r>
    </w:p>
    <w:p w14:paraId="1D8D6E9F">
      <w:pPr>
        <w:ind w:firstLine="48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沟槽每侧临时堆土或施加其他荷载时，应符合下列规定：不得影响建(构)筑物、各种管线和其他设施的安全；不得掩埋消火栓、管道闸阀、雨水口、测量标志以及各种地下管道的井盖，且不得妨碍其正常使用；堆土距沟槽边缘不小于0.8m，且高度不应超过1.5m；沟槽边堆置土方不得超过设计堆置高度。</w:t>
      </w:r>
    </w:p>
    <w:p w14:paraId="55D9810F">
      <w:pPr>
        <w:pStyle w:val="3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沟槽回填</w:t>
      </w:r>
    </w:p>
    <w:p w14:paraId="1438F83D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（1）一般规定</w:t>
      </w:r>
    </w:p>
    <w:p w14:paraId="68980331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1）管道敷设后应立即进行沟槽回填。在密闭性检验前，除接头外漏，管道两侧和管顶以上的回填高度不宜小于0.5m。</w:t>
      </w:r>
    </w:p>
    <w:p w14:paraId="2ABF5022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2）从管底基础至管顶0.5m范围内，沿管道、检查井两侧必须采用人工对称、分层（两侧填筑高差，不应超过一个土层厚度100-200mm）回填压实，严禁用机械推土回填。管两侧分层压实宜采用临时限位措施，防止管道上浮。</w:t>
      </w:r>
    </w:p>
    <w:p w14:paraId="08720052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3）管顶0.5m以上沟槽采用机械回填时，应从管轴线两侧同时均匀进行，做到分层（两侧填筑高差，不应超过一个土层厚度100-200mm）回填、夯实、碾压。</w:t>
      </w:r>
    </w:p>
    <w:p w14:paraId="188306B5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4）回填时沟槽内应无积水。不得回填淤泥、有机质土和冻土，回填土中不得含有石块、砖及其他带有棱角的杂硬物体。</w:t>
      </w:r>
    </w:p>
    <w:p w14:paraId="75A51B14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）在地下水位高的软土地基上，在地基不均匀的管段上，在高地下水位的管段和地下水流动区内应采用铺设土工布的措施，做法见图集06MS201-2-55。</w:t>
      </w:r>
    </w:p>
    <w:p w14:paraId="5A0CB97D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排水管道铺设完毕并经检验合格后，应及时回填沟槽。回填时，化学建材管道或管径大于900mm的钢管、球墨铸铁管等柔性管道在沟槽回填前，应采取措施控制管道的竖向变形。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ab/>
      </w:r>
    </w:p>
    <w:p w14:paraId="3534C78E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（2）管沟回填材料及密实度要求</w:t>
      </w:r>
    </w:p>
    <w:p w14:paraId="44D84F94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管沟回填材料及密实度要求具体详见下图：</w:t>
      </w:r>
    </w:p>
    <w:p w14:paraId="3971B510">
      <w:pPr>
        <w:ind w:firstLine="0" w:firstLineChars="0"/>
        <w:jc w:val="center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6472555" cy="2432050"/>
            <wp:effectExtent l="0" t="0" r="4445" b="635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72555" cy="243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BE78D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（3）井室、雨水口及其他附属构筑物周围回填应符合下列规定</w:t>
      </w:r>
    </w:p>
    <w:p w14:paraId="472EE3AA">
      <w:pPr>
        <w:pStyle w:val="18"/>
        <w:numPr>
          <w:ilvl w:val="0"/>
          <w:numId w:val="4"/>
        </w:numPr>
        <w:ind w:left="0" w:firstLine="567" w:firstLineChars="0"/>
        <w:jc w:val="left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井室周围的回填，应与管道沟槽回填同时进行；不便同时进行时，应留台阶形接茬；</w:t>
      </w:r>
    </w:p>
    <w:p w14:paraId="6CE0C99F">
      <w:pPr>
        <w:pStyle w:val="18"/>
        <w:numPr>
          <w:ilvl w:val="0"/>
          <w:numId w:val="4"/>
        </w:numPr>
        <w:ind w:left="0" w:firstLine="567" w:firstLineChars="0"/>
        <w:jc w:val="left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井室周围回填压实时应沿井室中心对称进行，且不得漏夯；</w:t>
      </w:r>
    </w:p>
    <w:p w14:paraId="06A3C2F0">
      <w:pPr>
        <w:pStyle w:val="18"/>
        <w:numPr>
          <w:ilvl w:val="0"/>
          <w:numId w:val="4"/>
        </w:numPr>
        <w:ind w:left="0" w:firstLine="567" w:firstLineChars="0"/>
        <w:jc w:val="left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回填材料压实后应与井壁紧贴；</w:t>
      </w:r>
    </w:p>
    <w:p w14:paraId="537A3380">
      <w:pPr>
        <w:pStyle w:val="18"/>
        <w:numPr>
          <w:ilvl w:val="0"/>
          <w:numId w:val="4"/>
        </w:numPr>
        <w:ind w:left="0" w:firstLine="567" w:firstLineChars="0"/>
        <w:jc w:val="left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路面范围内的井室周围，应采用石灰土、砂、砂砾等材料回填，其回填宽度不宜小于400mm；</w:t>
      </w:r>
    </w:p>
    <w:p w14:paraId="121685D4">
      <w:pPr>
        <w:pStyle w:val="18"/>
        <w:numPr>
          <w:ilvl w:val="0"/>
          <w:numId w:val="4"/>
        </w:numPr>
        <w:ind w:left="0" w:firstLine="567" w:firstLineChars="0"/>
        <w:jc w:val="left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严禁在槽壁取土回填。</w:t>
      </w:r>
    </w:p>
    <w:p w14:paraId="0518BEB5">
      <w:pPr>
        <w:pStyle w:val="3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检查井</w:t>
      </w:r>
    </w:p>
    <w:p w14:paraId="2158CB12">
      <w:pPr>
        <w:ind w:firstLine="480"/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采用φ1000mm的圆形混凝土污水检查井，做法详见</w:t>
      </w:r>
      <w:r>
        <w:rPr>
          <w:rFonts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20S515</w:t>
      </w:r>
      <w:r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-3</w:t>
      </w:r>
      <w:r>
        <w:rPr>
          <w:rFonts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；</w:t>
      </w:r>
      <w:r>
        <w:rPr>
          <w:rFonts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6673368C">
      <w:pPr>
        <w:pStyle w:val="3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井盖、井座及踏步    </w:t>
      </w:r>
    </w:p>
    <w:p w14:paraId="6D007DDC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（1）当检查井位于机动车道下时，井盖与井座采用φ700重型井盖与井座，并符合《检查井盖》GB/T23858-2009中的质量要求。检查井井盖修筑高程与所在位置道路修筑高程一致；</w:t>
      </w:r>
    </w:p>
    <w:p w14:paraId="46E95B6E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（2）当检查井位于人行道时，井盖与井座采用φ700轻型井盖与井座，当检查井位于人行道、绿化带下时，采用C250类型井盖，并符合《检查井盖》GB/T23858-2009中的质量要求。检查井井盖修筑高程应高出绿化带10cm。</w:t>
      </w:r>
    </w:p>
    <w:p w14:paraId="01656434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（3）井盖上注明"污水"字样和制造年份。井盖、支座及连接件采用热浸沥青防腐，防盗措施采用反转销轴连接</w:t>
      </w:r>
      <w:r>
        <w:rPr>
          <w:rFonts w:hint="eastAsia" w:asciiTheme="minorEastAsia" w:hAnsiTheme="minorEastAsia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参照06MS201-6-12。</w:t>
      </w:r>
    </w:p>
    <w:p w14:paraId="29C1DF2E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井盖与井座采用φ700尺寸型号，具体做法详见《球墨铸铁单层井盖及踏步施工》14S501-1。所选用检查井盖应具备防盗、防坠落、防滑、防移位、防噪声、易开启等多功能要，采用自调式防沉降球墨铸铁井盖，产品表面光滑、平整，无气孔、夹渣、冷隔、裂纹等缺陷，材料为球墨铸铁；满足荷载</w:t>
      </w:r>
      <w:r>
        <w:rPr>
          <w:rFonts w:hint="eastAsia" w:asciiTheme="minorEastAsia" w:hAnsiTheme="minorEastAsia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400kN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，产品表面防腐措施采用喷涂沥青漆，且检查井内需设防坠落设施，防坠落设施详见《防坠网安装大样图》。所有检查井盖应有“污水”字样标识，切忌错盖。</w:t>
      </w:r>
    </w:p>
    <w:p w14:paraId="0D9BBBB6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踏步材质应采用《球墨铸铁件》GB/T 1348-2019中所规定的机械性能不低于QT450-10球磨铸铁件制作。踏步的可变荷载标准值按1.5KN垂直作用力考虑。具体做法详见《球墨铸铁单层井盖及踏步施工》14S501-1。</w:t>
      </w:r>
    </w:p>
    <w:p w14:paraId="2A7CE57C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（4）井盖防坠要求如下，安装图见附后详图：</w:t>
      </w:r>
    </w:p>
    <w:p w14:paraId="147C9643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高强度塑料防坠落格板</w:t>
      </w:r>
    </w:p>
    <w:p w14:paraId="0A9D39C2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格板材质为高强度塑料和不锈钢挂件表面做防腐处理组成，该材质具有优异的力学和化学性能，满足长期恶劣环境工作不会发生老化及尺寸变化。</w:t>
      </w:r>
    </w:p>
    <w:p w14:paraId="4CBD8627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格板重量宜小于3kg；过水孔面积应在50%～70%之间，最大孔径应小于70mm</w:t>
      </w:r>
    </w:p>
    <w:p w14:paraId="1DD070FB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防坠隔板与井壁采用柔性连接方式，安装牢固拆卸快捷方便不能过于复杂，悬挂件由悬挂带和悬挂孔组成，应满足下列要求；</w:t>
      </w:r>
    </w:p>
    <w:p w14:paraId="608B1111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1）悬挂件总长度不超过20mm，宽度不超过4cm。</w:t>
      </w:r>
    </w:p>
    <w:p w14:paraId="521AA8BE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2）单个悬挂件的抗拉强度不低于5KN。</w:t>
      </w:r>
    </w:p>
    <w:p w14:paraId="63C86C9E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3）悬挂孔的材质宜为304不锈钢，外表涂漆。</w:t>
      </w:r>
    </w:p>
    <w:p w14:paraId="1AFBE34F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4）悬挂带应外包覆PVC材料。</w:t>
      </w:r>
    </w:p>
    <w:p w14:paraId="4C4C157B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嵌钢销钉长度尺寸应大于100mm，末端应加环状锯齿；直径应大于10mm，内嵌钢机械性能应达到6.8级以上等级；防坠落格板动态承重能力≥100Kg外包覆层PP材料应符合《聚丙烯(PP)树脂》GB/T 12670的规定。</w:t>
      </w:r>
    </w:p>
    <w:p w14:paraId="1DE0E9F9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安装应满足下列要求</w:t>
      </w:r>
    </w:p>
    <w:p w14:paraId="587CCA93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1）嵌钢销钉固定于检查井井壁的砖砌体或混凝土上，嵌钢销钉沿检查井井壁内同一水平均匀四等分布。</w:t>
      </w:r>
    </w:p>
    <w:p w14:paraId="4674506E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2）嵌钢销钉和检查井连接管道中心线的水平距离宜大于50mm，</w:t>
      </w:r>
    </w:p>
    <w:p w14:paraId="773E5C6E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3）格板至地表的垂直高度宜为150mm～300mm。</w:t>
      </w:r>
    </w:p>
    <w:p w14:paraId="2E6CEB50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安装后验收内容包括：</w:t>
      </w:r>
    </w:p>
    <w:p w14:paraId="238C1F93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1）防坠格板应完整无损，干净整洁。</w:t>
      </w:r>
    </w:p>
    <w:p w14:paraId="51A41721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 w:eastAsiaTheme="minorEastAsia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2）防坠格板应安装平整，水平差值不超过10mm</w:t>
      </w:r>
      <w:r>
        <w:rPr>
          <w:rFonts w:hint="eastAsia" w:asciiTheme="minorEastAsia" w:hAnsiTheme="minorEastAsia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F1826D4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3）格板应和悬挂件契合紧凑，且牢固完整。</w:t>
      </w:r>
    </w:p>
    <w:p w14:paraId="7C9664AF">
      <w:pPr>
        <w:tabs>
          <w:tab w:val="left" w:pos="7560"/>
        </w:tabs>
        <w:spacing w:line="440" w:lineRule="exact"/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4）进行耐冲击检验测试，既采用100kg沙袋（φ300mm×1m）于30cm的高度竖向自由落体实施冲击1次冲击面积为φ300mm，承受实验荷载后要求格板无裂痕无破损，整体不松动保持完整。</w:t>
      </w:r>
    </w:p>
    <w:p w14:paraId="30A18D54">
      <w:pPr>
        <w:tabs>
          <w:tab w:val="left" w:pos="7560"/>
        </w:tabs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1908810</wp:posOffset>
            </wp:positionH>
            <wp:positionV relativeFrom="paragraph">
              <wp:posOffset>584200</wp:posOffset>
            </wp:positionV>
            <wp:extent cx="2840355" cy="2604770"/>
            <wp:effectExtent l="0" t="0" r="0" b="508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40355" cy="260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5）进行耐反冲力检验测试，即采用拉力机对防坠格板进行拉力试验，拉力方向为垂直向上，最大拉力不小于75kg，承受拉力后要求防坠格板整体不脱落松动。 </w:t>
      </w:r>
    </w:p>
    <w:p w14:paraId="40B79DD1">
      <w:pPr>
        <w:tabs>
          <w:tab w:val="left" w:pos="7560"/>
        </w:tabs>
        <w:ind w:firstLine="482"/>
        <w:jc w:val="center"/>
        <w:rPr>
          <w:rFonts w:hint="eastAsia" w:asciiTheme="minorEastAsia" w:hAnsiTheme="minorEastAsia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  <w:t>悬挂式塑料防坠格板安装平面图</w:t>
      </w:r>
    </w:p>
    <w:p w14:paraId="5F2E2DA5">
      <w:pPr>
        <w:tabs>
          <w:tab w:val="left" w:pos="7560"/>
        </w:tabs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注：本图所示为防坠格板安装平面图，嵌钢销钉数量仅为示意，具体嵌钢销钉数量应根据现场情况确定。</w:t>
      </w:r>
    </w:p>
    <w:p w14:paraId="099A012A">
      <w:pPr>
        <w:tabs>
          <w:tab w:val="left" w:pos="7560"/>
        </w:tabs>
        <w:ind w:firstLine="482"/>
        <w:jc w:val="center"/>
        <w:rPr>
          <w:rFonts w:hint="eastAsia" w:asciiTheme="minorEastAsia" w:hAnsiTheme="minorEastAsia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961130" cy="2343785"/>
            <wp:effectExtent l="0" t="0" r="127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3738" cy="2357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B6326">
      <w:pPr>
        <w:tabs>
          <w:tab w:val="left" w:pos="7560"/>
        </w:tabs>
        <w:ind w:firstLine="482"/>
        <w:jc w:val="center"/>
        <w:rPr>
          <w:rFonts w:hint="eastAsia" w:asciiTheme="minorEastAsia" w:hAnsiTheme="minorEastAsia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  <w:t>防坠格板安装立面图</w:t>
      </w:r>
    </w:p>
    <w:p w14:paraId="3F87A02A">
      <w:pPr>
        <w:tabs>
          <w:tab w:val="left" w:pos="7560"/>
        </w:tabs>
        <w:ind w:firstLine="440"/>
        <w:rPr>
          <w:rFonts w:hint="eastAsia" w:asciiTheme="minorEastAsia" w:hAnsiTheme="minorEastAsia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  <w:t>注：本图所示为防坠格板安装立面图，两侧销钉位置对称仅为示意。</w:t>
      </w:r>
    </w:p>
    <w:p w14:paraId="511852BC">
      <w:pPr>
        <w:ind w:firstLine="482"/>
        <w:jc w:val="center"/>
        <w:rPr>
          <w:rFonts w:hint="eastAsia" w:asciiTheme="minorEastAsia" w:hAnsiTheme="minorEastAsia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  <w:t>防坠格板规格表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"/>
        <w:gridCol w:w="1416"/>
        <w:gridCol w:w="2376"/>
        <w:gridCol w:w="2256"/>
      </w:tblGrid>
      <w:tr w14:paraId="0C43D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0" w:type="auto"/>
          </w:tcPr>
          <w:p w14:paraId="2D2ACA38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防坠格板规格(De)</w:t>
            </w:r>
          </w:p>
        </w:tc>
        <w:tc>
          <w:tcPr>
            <w:tcW w:w="0" w:type="auto"/>
          </w:tcPr>
          <w:p w14:paraId="5D9C8A9A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直径（mm）</w:t>
            </w:r>
          </w:p>
        </w:tc>
        <w:tc>
          <w:tcPr>
            <w:tcW w:w="0" w:type="auto"/>
          </w:tcPr>
          <w:p w14:paraId="597E21FE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最小结构厚度（mm）</w:t>
            </w:r>
          </w:p>
        </w:tc>
        <w:tc>
          <w:tcPr>
            <w:tcW w:w="0" w:type="auto"/>
          </w:tcPr>
          <w:p w14:paraId="56EAE444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适用检查井直径(D)</w:t>
            </w:r>
          </w:p>
        </w:tc>
      </w:tr>
      <w:tr w14:paraId="6D87A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0" w:type="auto"/>
          </w:tcPr>
          <w:p w14:paraId="2213B3CD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350</w:t>
            </w:r>
          </w:p>
        </w:tc>
        <w:tc>
          <w:tcPr>
            <w:tcW w:w="0" w:type="auto"/>
          </w:tcPr>
          <w:p w14:paraId="68E57F76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340±10</w:t>
            </w:r>
          </w:p>
        </w:tc>
        <w:tc>
          <w:tcPr>
            <w:tcW w:w="0" w:type="auto"/>
          </w:tcPr>
          <w:p w14:paraId="4757B05A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13.8</w:t>
            </w:r>
          </w:p>
        </w:tc>
        <w:tc>
          <w:tcPr>
            <w:tcW w:w="0" w:type="auto"/>
          </w:tcPr>
          <w:p w14:paraId="0A154869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Φ400mm</w:t>
            </w:r>
          </w:p>
        </w:tc>
      </w:tr>
      <w:tr w14:paraId="4E029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0" w:type="auto"/>
          </w:tcPr>
          <w:p w14:paraId="07B36AB6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450</w:t>
            </w:r>
          </w:p>
        </w:tc>
        <w:tc>
          <w:tcPr>
            <w:tcW w:w="0" w:type="auto"/>
          </w:tcPr>
          <w:p w14:paraId="09117980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440±10</w:t>
            </w:r>
          </w:p>
        </w:tc>
        <w:tc>
          <w:tcPr>
            <w:tcW w:w="0" w:type="auto"/>
          </w:tcPr>
          <w:p w14:paraId="7E6ECB82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13.8</w:t>
            </w:r>
          </w:p>
        </w:tc>
        <w:tc>
          <w:tcPr>
            <w:tcW w:w="0" w:type="auto"/>
          </w:tcPr>
          <w:p w14:paraId="7B823A47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Φ500-Φ600mm</w:t>
            </w:r>
          </w:p>
        </w:tc>
      </w:tr>
      <w:tr w14:paraId="6707B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0" w:type="auto"/>
          </w:tcPr>
          <w:p w14:paraId="55BFAF67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550</w:t>
            </w:r>
          </w:p>
        </w:tc>
        <w:tc>
          <w:tcPr>
            <w:tcW w:w="0" w:type="auto"/>
          </w:tcPr>
          <w:p w14:paraId="35B8F91B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540±10</w:t>
            </w:r>
          </w:p>
        </w:tc>
        <w:tc>
          <w:tcPr>
            <w:tcW w:w="0" w:type="auto"/>
          </w:tcPr>
          <w:p w14:paraId="14394FDC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14.2</w:t>
            </w:r>
          </w:p>
        </w:tc>
        <w:tc>
          <w:tcPr>
            <w:tcW w:w="0" w:type="auto"/>
          </w:tcPr>
          <w:p w14:paraId="75B97699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Φ600-Φ700mm</w:t>
            </w:r>
          </w:p>
        </w:tc>
      </w:tr>
      <w:tr w14:paraId="6C6D6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0" w:type="auto"/>
          </w:tcPr>
          <w:p w14:paraId="2E0293B8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650</w:t>
            </w:r>
          </w:p>
        </w:tc>
        <w:tc>
          <w:tcPr>
            <w:tcW w:w="0" w:type="auto"/>
          </w:tcPr>
          <w:p w14:paraId="33E9D4F5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640±10</w:t>
            </w:r>
          </w:p>
        </w:tc>
        <w:tc>
          <w:tcPr>
            <w:tcW w:w="0" w:type="auto"/>
          </w:tcPr>
          <w:p w14:paraId="2C9B900D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14.5</w:t>
            </w:r>
          </w:p>
        </w:tc>
        <w:tc>
          <w:tcPr>
            <w:tcW w:w="0" w:type="auto"/>
          </w:tcPr>
          <w:p w14:paraId="66F1FC6A">
            <w:pPr>
              <w:ind w:firstLine="0" w:firstLineChars="0"/>
              <w:jc w:val="center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Φ800-Φ900mm</w:t>
            </w:r>
          </w:p>
        </w:tc>
      </w:tr>
    </w:tbl>
    <w:p w14:paraId="3C73D6D8">
      <w:pPr>
        <w:ind w:firstLine="482"/>
        <w:jc w:val="center"/>
        <w:rPr>
          <w:rFonts w:hint="eastAsia" w:asciiTheme="minorEastAsia" w:hAnsiTheme="minorEastAsia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  <w:t>各部件规格表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3276"/>
        <w:gridCol w:w="4416"/>
        <w:gridCol w:w="1176"/>
      </w:tblGrid>
      <w:tr w14:paraId="11582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0" w:type="auto"/>
          </w:tcPr>
          <w:p w14:paraId="4305E36D">
            <w:pPr>
              <w:ind w:firstLine="0" w:firstLineChars="0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部件名称</w:t>
            </w:r>
          </w:p>
        </w:tc>
        <w:tc>
          <w:tcPr>
            <w:tcW w:w="0" w:type="auto"/>
          </w:tcPr>
          <w:p w14:paraId="53F2A6F6">
            <w:pPr>
              <w:ind w:firstLine="0" w:firstLineChars="0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材质</w:t>
            </w:r>
          </w:p>
        </w:tc>
        <w:tc>
          <w:tcPr>
            <w:tcW w:w="0" w:type="auto"/>
          </w:tcPr>
          <w:p w14:paraId="1EFC0775">
            <w:pPr>
              <w:ind w:firstLine="0" w:firstLineChars="0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强度负荷</w:t>
            </w:r>
          </w:p>
        </w:tc>
        <w:tc>
          <w:tcPr>
            <w:tcW w:w="0" w:type="auto"/>
          </w:tcPr>
          <w:p w14:paraId="45B6D00C">
            <w:pPr>
              <w:ind w:firstLine="0" w:firstLineChars="0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部件名称</w:t>
            </w:r>
          </w:p>
        </w:tc>
      </w:tr>
      <w:tr w14:paraId="7BD4A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0" w:type="auto"/>
          </w:tcPr>
          <w:p w14:paraId="7ECB23B7">
            <w:pPr>
              <w:ind w:firstLine="0" w:firstLineChars="0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防坠格板</w:t>
            </w:r>
          </w:p>
        </w:tc>
        <w:tc>
          <w:tcPr>
            <w:tcW w:w="0" w:type="auto"/>
          </w:tcPr>
          <w:p w14:paraId="52261F09">
            <w:pPr>
              <w:ind w:firstLine="0" w:firstLineChars="0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高强度微米增强塑料</w:t>
            </w:r>
          </w:p>
        </w:tc>
        <w:tc>
          <w:tcPr>
            <w:tcW w:w="0" w:type="auto"/>
          </w:tcPr>
          <w:p w14:paraId="1B818A57">
            <w:pPr>
              <w:ind w:firstLine="0" w:firstLineChars="0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动态承重能力≥100Kg,静态载荷≥200Kg</w:t>
            </w:r>
          </w:p>
        </w:tc>
        <w:tc>
          <w:tcPr>
            <w:tcW w:w="0" w:type="auto"/>
          </w:tcPr>
          <w:p w14:paraId="53A4FEED">
            <w:pPr>
              <w:ind w:firstLine="0" w:firstLineChars="0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防坠格板</w:t>
            </w:r>
          </w:p>
        </w:tc>
      </w:tr>
      <w:tr w14:paraId="4A22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0" w:type="auto"/>
          </w:tcPr>
          <w:p w14:paraId="278B00E5">
            <w:pPr>
              <w:ind w:firstLine="0" w:firstLineChars="0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复合吊带</w:t>
            </w:r>
          </w:p>
        </w:tc>
        <w:tc>
          <w:tcPr>
            <w:tcW w:w="0" w:type="auto"/>
          </w:tcPr>
          <w:p w14:paraId="1AAE2557">
            <w:pPr>
              <w:ind w:firstLine="0" w:firstLineChars="0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编织涤纶外覆防霉耐腐蚀PVC</w:t>
            </w:r>
          </w:p>
        </w:tc>
        <w:tc>
          <w:tcPr>
            <w:tcW w:w="0" w:type="auto"/>
          </w:tcPr>
          <w:p w14:paraId="25DB2D69">
            <w:pPr>
              <w:ind w:firstLine="0" w:firstLineChars="0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抗拉强度≥5000N</w:t>
            </w:r>
          </w:p>
        </w:tc>
        <w:tc>
          <w:tcPr>
            <w:tcW w:w="0" w:type="auto"/>
          </w:tcPr>
          <w:p w14:paraId="6469CE76">
            <w:pPr>
              <w:ind w:firstLine="0" w:firstLineChars="0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复合吊带</w:t>
            </w:r>
          </w:p>
        </w:tc>
      </w:tr>
      <w:tr w14:paraId="5C165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0" w:type="auto"/>
          </w:tcPr>
          <w:p w14:paraId="2915B830">
            <w:pPr>
              <w:ind w:firstLine="0" w:firstLineChars="0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悬挂件</w:t>
            </w:r>
          </w:p>
        </w:tc>
        <w:tc>
          <w:tcPr>
            <w:tcW w:w="0" w:type="auto"/>
          </w:tcPr>
          <w:p w14:paraId="4147CE86">
            <w:pPr>
              <w:ind w:firstLine="0" w:firstLineChars="0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不锈钢、表面涂漆防腐处理</w:t>
            </w:r>
          </w:p>
        </w:tc>
        <w:tc>
          <w:tcPr>
            <w:tcW w:w="0" w:type="auto"/>
          </w:tcPr>
          <w:p w14:paraId="7ACAB049">
            <w:pPr>
              <w:ind w:firstLine="0" w:firstLineChars="0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</w:tcPr>
          <w:p w14:paraId="4CD9D6E8">
            <w:pPr>
              <w:ind w:firstLine="0" w:firstLineChars="0"/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悬挂件</w:t>
            </w:r>
          </w:p>
        </w:tc>
      </w:tr>
    </w:tbl>
    <w:p w14:paraId="300152BC">
      <w:pPr>
        <w:pStyle w:val="3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道路破坏及恢复</w:t>
      </w:r>
    </w:p>
    <w:p w14:paraId="28328734"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沥青路面</w:t>
      </w:r>
      <w:r>
        <w:rPr>
          <w:rFonts w:hint="eastAsia"/>
        </w:rPr>
        <w:t>支干路：</w:t>
      </w:r>
    </w:p>
    <w:p w14:paraId="0FE10F49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cm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中粒式沥青混凝土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(AC-16、SBS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改性沥青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)；</w:t>
      </w:r>
    </w:p>
    <w:p w14:paraId="41F9C335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0.5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L/m</w:t>
      </w:r>
      <w:r>
        <w:rPr>
          <w:rFonts w:hint="eastAsia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乳化沥青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层油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PC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 w14:paraId="17B2D078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cm 粗粒式沥青混凝土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C-25；</w:t>
      </w:r>
    </w:p>
    <w:p w14:paraId="151BD43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L/m</w:t>
      </w:r>
      <w:r>
        <w:rPr>
          <w:rFonts w:hint="eastAsia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乳化沥青透层油  PC-2；</w:t>
      </w:r>
    </w:p>
    <w:p w14:paraId="395923C8">
      <w:pPr>
        <w:rPr>
          <w:rFonts w:hint="eastAsia"/>
          <w:color w:val="FF0000"/>
        </w:rPr>
      </w:pPr>
      <w:r>
        <w:rPr>
          <w:rFonts w:hint="eastAsia"/>
          <w:color w:val="FF0000"/>
          <w:lang w:val="en-US" w:eastAsia="zh-CN"/>
        </w:rPr>
        <w:t>15</w:t>
      </w:r>
      <w:r>
        <w:rPr>
          <w:rFonts w:hint="eastAsia"/>
          <w:color w:val="FF0000"/>
        </w:rPr>
        <w:t xml:space="preserve">cm 水泥稳定碎石 </w:t>
      </w:r>
      <w:r>
        <w:rPr>
          <w:rFonts w:ascii="Arial" w:hAnsi="Arial" w:eastAsia="宋体" w:cs="Arial"/>
          <w:i w:val="0"/>
          <w:iCs w:val="0"/>
          <w:caps w:val="0"/>
          <w:color w:val="FF0000"/>
          <w:spacing w:val="0"/>
          <w:sz w:val="21"/>
          <w:szCs w:val="21"/>
          <w:shd w:val="clear" w:fill="FFFFFF"/>
        </w:rPr>
        <w:t>Ⅰ</w:t>
      </w:r>
      <w:r>
        <w:rPr>
          <w:rFonts w:hint="eastAsia" w:ascii="Arial" w:hAnsi="Arial" w:eastAsia="宋体" w:cs="Arial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层</w:t>
      </w:r>
      <w:r>
        <w:rPr>
          <w:rFonts w:hint="eastAsia"/>
          <w:color w:val="FF0000"/>
        </w:rPr>
        <w:t>（水泥含量</w:t>
      </w:r>
      <w:r>
        <w:rPr>
          <w:rFonts w:hint="eastAsia"/>
          <w:color w:val="FF0000"/>
          <w:lang w:val="en-US" w:eastAsia="zh-CN"/>
        </w:rPr>
        <w:t>6</w:t>
      </w:r>
      <w:r>
        <w:rPr>
          <w:rFonts w:hint="eastAsia"/>
          <w:color w:val="FF0000"/>
        </w:rPr>
        <w:t>％）；</w:t>
      </w:r>
    </w:p>
    <w:p w14:paraId="2A3AC7E5">
      <w:pPr>
        <w:rPr>
          <w:rFonts w:hint="eastAsia"/>
          <w:color w:val="FF0000"/>
        </w:rPr>
      </w:pPr>
      <w:r>
        <w:rPr>
          <w:rFonts w:hint="eastAsia"/>
          <w:color w:val="FF0000"/>
        </w:rPr>
        <w:t>1</w:t>
      </w:r>
      <w:r>
        <w:rPr>
          <w:rFonts w:hint="eastAsia"/>
          <w:color w:val="FF0000"/>
          <w:lang w:val="en-US" w:eastAsia="zh-CN"/>
        </w:rPr>
        <w:t>5</w:t>
      </w:r>
      <w:r>
        <w:rPr>
          <w:rFonts w:hint="eastAsia"/>
          <w:color w:val="FF0000"/>
        </w:rPr>
        <w:t>cm</w:t>
      </w:r>
      <w:r>
        <w:rPr>
          <w:rFonts w:hint="eastAsia"/>
          <w:color w:val="FF0000"/>
          <w:lang w:val="en-US" w:eastAsia="zh-CN"/>
        </w:rPr>
        <w:t xml:space="preserve"> </w:t>
      </w:r>
      <w:r>
        <w:rPr>
          <w:rFonts w:hint="eastAsia"/>
          <w:color w:val="FF0000"/>
        </w:rPr>
        <w:t>水泥稳定碎石</w:t>
      </w:r>
      <w:r>
        <w:rPr>
          <w:rFonts w:hint="eastAsia"/>
          <w:color w:val="FF0000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iCs w:val="0"/>
          <w:caps w:val="0"/>
          <w:color w:val="FF0000"/>
          <w:spacing w:val="0"/>
          <w:sz w:val="21"/>
          <w:szCs w:val="21"/>
          <w:shd w:val="clear" w:fill="FFFFFF"/>
        </w:rPr>
        <w:t>Ⅱ</w:t>
      </w:r>
      <w:r>
        <w:rPr>
          <w:rFonts w:hint="eastAsia"/>
          <w:color w:val="FF0000"/>
          <w:lang w:val="en-US" w:eastAsia="zh-CN"/>
        </w:rPr>
        <w:t>层</w:t>
      </w:r>
      <w:r>
        <w:rPr>
          <w:rFonts w:hint="eastAsia"/>
          <w:color w:val="FF0000"/>
        </w:rPr>
        <w:t xml:space="preserve"> （水泥含量</w:t>
      </w:r>
      <w:r>
        <w:rPr>
          <w:rFonts w:hint="eastAsia"/>
          <w:color w:val="FF0000"/>
          <w:lang w:val="en-US" w:eastAsia="zh-CN"/>
        </w:rPr>
        <w:t>6</w:t>
      </w:r>
      <w:r>
        <w:rPr>
          <w:rFonts w:hint="eastAsia"/>
          <w:color w:val="FF0000"/>
        </w:rPr>
        <w:t>％）；</w:t>
      </w:r>
    </w:p>
    <w:p w14:paraId="049237F7">
      <w:pPr>
        <w:rPr>
          <w:rFonts w:hint="eastAsia"/>
          <w:color w:val="FF0000"/>
          <w:lang w:eastAsia="zh-CN"/>
        </w:rPr>
      </w:pPr>
      <w:r>
        <w:rPr>
          <w:rFonts w:hint="eastAsia"/>
          <w:color w:val="FF0000"/>
          <w:lang w:eastAsia="zh-CN"/>
        </w:rPr>
        <w:t>（</w:t>
      </w:r>
      <w:r>
        <w:rPr>
          <w:rFonts w:hint="eastAsia"/>
          <w:color w:val="FF0000"/>
          <w:lang w:val="en-US" w:eastAsia="zh-CN"/>
        </w:rPr>
        <w:t>2</w:t>
      </w:r>
      <w:r>
        <w:rPr>
          <w:rFonts w:hint="eastAsia"/>
          <w:color w:val="FF0000"/>
          <w:lang w:eastAsia="zh-CN"/>
        </w:rPr>
        <w:t>）水泥混凝土路面</w:t>
      </w:r>
      <w:bookmarkStart w:id="2" w:name="_GoBack"/>
      <w:bookmarkEnd w:id="2"/>
    </w:p>
    <w:p w14:paraId="000DDBEB">
      <w:pPr>
        <w:rPr>
          <w:rFonts w:hint="eastAsia"/>
          <w:color w:val="FF0000"/>
          <w:lang w:eastAsia="zh-CN"/>
        </w:rPr>
      </w:pPr>
      <w:r>
        <w:rPr>
          <w:rFonts w:hint="eastAsia"/>
          <w:color w:val="FF0000"/>
          <w:lang w:eastAsia="zh-CN"/>
        </w:rPr>
        <w:t>20cm水泥混凝土面层C30</w:t>
      </w:r>
    </w:p>
    <w:p w14:paraId="4A8DD844">
      <w:pPr>
        <w:rPr>
          <w:rFonts w:hint="eastAsia"/>
          <w:color w:val="FF0000"/>
          <w:lang w:eastAsia="zh-CN"/>
        </w:rPr>
      </w:pPr>
      <w:r>
        <w:rPr>
          <w:rFonts w:hint="eastAsia"/>
          <w:color w:val="FF0000"/>
          <w:lang w:eastAsia="zh-CN"/>
        </w:rPr>
        <w:t>20cm水泥稳定碎石（水泥含量</w:t>
      </w:r>
      <w:r>
        <w:rPr>
          <w:rFonts w:hint="eastAsia"/>
          <w:color w:val="FF0000"/>
          <w:lang w:val="en-US" w:eastAsia="zh-CN"/>
        </w:rPr>
        <w:t>6</w:t>
      </w:r>
      <w:r>
        <w:rPr>
          <w:rFonts w:hint="eastAsia"/>
          <w:color w:val="FF0000"/>
          <w:lang w:eastAsia="zh-CN"/>
        </w:rPr>
        <w:t>%）</w:t>
      </w:r>
    </w:p>
    <w:p w14:paraId="23A9F10D">
      <w:pPr>
        <w:rPr>
          <w:rFonts w:hint="eastAsia"/>
          <w:color w:val="FF0000"/>
          <w:lang w:eastAsia="zh-CN"/>
        </w:rPr>
      </w:pPr>
      <w:r>
        <w:rPr>
          <w:rFonts w:hint="eastAsia"/>
          <w:color w:val="FF0000"/>
          <w:lang w:eastAsia="zh-CN"/>
        </w:rPr>
        <w:t>土基（压实度≥94%）。</w:t>
      </w:r>
    </w:p>
    <w:p w14:paraId="5AA5C69F">
      <w:pPr>
        <w:jc w:val="center"/>
      </w:pPr>
      <w:r>
        <w:drawing>
          <wp:inline distT="0" distB="0" distL="114300" distR="114300">
            <wp:extent cx="3498850" cy="2102485"/>
            <wp:effectExtent l="0" t="0" r="635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98850" cy="210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5BC22">
      <w:pPr>
        <w:numPr>
          <w:ilvl w:val="0"/>
          <w:numId w:val="5"/>
        </w:numPr>
        <w:jc w:val="left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绿化恢复</w:t>
      </w:r>
    </w:p>
    <w:p w14:paraId="36A0D23F"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铺设草皮</w:t>
      </w:r>
    </w:p>
    <w:p w14:paraId="60CD6373">
      <w:pPr>
        <w:pStyle w:val="2"/>
        <w:numPr>
          <w:ilvl w:val="0"/>
          <w:numId w:val="1"/>
        </w:numP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施工安装注意事项及质量验收要求</w:t>
      </w:r>
    </w:p>
    <w:p w14:paraId="426D1CA7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1）雨季施工应采取防止管材上浮的措施。若管道安装完毕后，发生管材上浮时，应进行管内底搞成的复测和外观检测，如发生位移、漂浮、拔口等现象，应及时返工处理。</w:t>
      </w:r>
    </w:p>
    <w:p w14:paraId="6EF0FF64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2）建设单位应向施工单位提供施工影响范围内地下管线(构筑物)及其他公共设施资料，施工单位应采取措施加以保护。</w:t>
      </w:r>
    </w:p>
    <w:p w14:paraId="2E829F88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3）管道敷设完毕且经检验合格后，应进行密闭性检验。实验结果需满足《给水排水管道工程施工及验收规范》GB50268-2008要求。</w:t>
      </w:r>
    </w:p>
    <w:p w14:paraId="642EF627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4）沟槽回填至设计高程后，在12~24h内应测量管道竖向直径的初始变形量，并计算管道竖向直径初始变形率，其值不得超过管道直径允许变形率的2/3。</w:t>
      </w:r>
    </w:p>
    <w:p w14:paraId="78A61686">
      <w:pPr>
        <w:ind w:firstLine="48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5）管道施工完毕并经检查合格后，应进行管道的闭水试验，确保管道安装的质量，达到零渗漏的要求，详见《给水排水管道工程施工及验收规范》GB50268-2008。</w:t>
      </w:r>
    </w:p>
    <w:p w14:paraId="16BB0326">
      <w:pPr>
        <w:pStyle w:val="2"/>
        <w:numPr>
          <w:ilvl w:val="0"/>
          <w:numId w:val="1"/>
        </w:numP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1" w:name="_Hlk90312980"/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抗震设计</w:t>
      </w:r>
    </w:p>
    <w:p w14:paraId="1F749502">
      <w:pPr>
        <w:ind w:firstLine="480"/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根据《室外给水排水和燃气热力工程抗震设计规范》，本工程需做抗震设计。抗震设计</w:t>
      </w: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满足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《建筑与市政工程抗震通用规范》6.2.1条、6</w:t>
      </w: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.2.6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条、6.2.8条</w:t>
      </w: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、6.2.12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条相应</w:t>
      </w: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规定。</w:t>
      </w:r>
    </w:p>
    <w:p w14:paraId="56853D26">
      <w:pPr>
        <w:ind w:firstLine="480"/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1）钢筋混凝土盛水构筑物和地下管道管体的混凝土等级，不应低于C25；</w:t>
      </w:r>
    </w:p>
    <w:p w14:paraId="5087C953">
      <w:pPr>
        <w:ind w:firstLine="480"/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砌体结构的砖砌体强度等级不应低于MU10，块石砌体的强度等级不应低于MU20；砌筑砂浆。应采用水泥砂浆，其强度等级不应低于M7.5；</w:t>
      </w:r>
    </w:p>
    <w:p w14:paraId="04434BEC">
      <w:pPr>
        <w:ind w:firstLine="480"/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）盛水构筑物的防震缝宽度不得小于30mm。当缝两侧结构在多遇地震最大变形值超过10mm时，应适当加宽，同时应明确止水带相应的技术要求。彼此贴建，且各自独立工作的双墙水池，其防震缝宽度不应小于单侧挡水墙多遇地震最大位移的2倍，且不得小于50mm；</w:t>
      </w:r>
    </w:p>
    <w:p w14:paraId="24C45D40">
      <w:pPr>
        <w:ind w:firstLine="480"/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）埋地的承插式接口管道，应采用柔性接口。</w:t>
      </w:r>
    </w:p>
    <w:p w14:paraId="1C3A22CA">
      <w:pPr>
        <w:pStyle w:val="2"/>
        <w:numPr>
          <w:ilvl w:val="0"/>
          <w:numId w:val="1"/>
        </w:numPr>
        <w:rPr>
          <w:rFonts w:hint="eastAsia" w:asciiTheme="minorEastAsia" w:hAnsiTheme="minorEastAsia"/>
          <w:szCs w:val="30"/>
        </w:rPr>
      </w:pPr>
      <w:r>
        <w:rPr>
          <w:rFonts w:hint="eastAsia" w:asciiTheme="minorEastAsia" w:hAnsiTheme="minorEastAsia"/>
          <w:szCs w:val="30"/>
        </w:rPr>
        <w:t>基坑监测</w:t>
      </w:r>
    </w:p>
    <w:p w14:paraId="7D555E3F">
      <w:pPr>
        <w:ind w:firstLine="480"/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施工过程中，应注意严格依据B50268-2008等规范监测柱顶水平位移、土体测向位移、桩体变形、土压力、支撑轴力、支撑竖向位移、地下水位、建筑物沉降倾料、支撑立柱沉降、基底沉降或回弹、地面沉降、重要管线沉降等，并对量测结果进行总结分析，预测结构和建筑物的安全状况，评价施工方法，确定工程措施。</w:t>
      </w:r>
    </w:p>
    <w:p w14:paraId="4F0D7FF0">
      <w:pPr>
        <w:pStyle w:val="2"/>
        <w:numPr>
          <w:ilvl w:val="0"/>
          <w:numId w:val="1"/>
        </w:numP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其它</w:t>
      </w:r>
    </w:p>
    <w:p w14:paraId="53F1E723">
      <w:pPr>
        <w:pStyle w:val="18"/>
        <w:numPr>
          <w:ilvl w:val="0"/>
          <w:numId w:val="6"/>
        </w:numPr>
        <w:ind w:firstLineChars="0"/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本图采用2000国家大地坐标系，2000国家大地</w:t>
      </w:r>
      <w:r>
        <w:rPr>
          <w:rFonts w:hint="eastAsia" w:asciiTheme="minorEastAsia" w:hAnsiTheme="minorEastAsia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高程</w:t>
      </w:r>
      <w:r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23D1877">
      <w:pPr>
        <w:pStyle w:val="18"/>
        <w:numPr>
          <w:ilvl w:val="0"/>
          <w:numId w:val="6"/>
        </w:numPr>
        <w:ind w:firstLineChars="0"/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BM点位及高程由业主单位提供。</w:t>
      </w:r>
      <w:r>
        <w:rPr>
          <w:rFonts w:hint="eastAsia" w:asciiTheme="minorEastAsia" w:hAnsiTheme="minorEastAsia"/>
          <w:highlight w:val="none"/>
        </w:rPr>
        <w:t>因化粪池处标高及博学路现状井标高未知，具体施工时务必根据现场情况进行调整</w:t>
      </w:r>
      <w:r>
        <w:rPr>
          <w:rFonts w:hint="eastAsia" w:asciiTheme="minorEastAsia" w:hAnsiTheme="minorEastAsia"/>
          <w:highlight w:val="none"/>
          <w:lang w:eastAsia="zh-CN"/>
        </w:rPr>
        <w:t>。</w:t>
      </w:r>
    </w:p>
    <w:p w14:paraId="7CE02C2C">
      <w:pPr>
        <w:pStyle w:val="18"/>
        <w:numPr>
          <w:ilvl w:val="0"/>
          <w:numId w:val="6"/>
        </w:numPr>
        <w:ind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施工单位进行施工前应严格校验图纸所标识的上、下游管道接口标高，</w:t>
      </w:r>
      <w:r>
        <w:rPr>
          <w:rFonts w:hint="eastAsia" w:asciiTheme="minorEastAsia" w:hAnsiTheme="minor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对图纸中标注的现状检查井标高应进行现场实测，</w:t>
      </w: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如发现与设计不符应及时通知建设单位，由建设单位通知设计院对图纸进行调整。</w:t>
      </w:r>
    </w:p>
    <w:p w14:paraId="3F0B94DD">
      <w:pPr>
        <w:pStyle w:val="18"/>
        <w:numPr>
          <w:ilvl w:val="0"/>
          <w:numId w:val="6"/>
        </w:numPr>
        <w:ind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施工单位进行施工前，应提前做好地下管线调查工作，避免开挖过程中对现状地下管线产生破坏。</w:t>
      </w:r>
    </w:p>
    <w:p w14:paraId="3A5ABD06">
      <w:pPr>
        <w:pStyle w:val="18"/>
        <w:numPr>
          <w:ilvl w:val="0"/>
          <w:numId w:val="6"/>
        </w:numPr>
        <w:ind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施工过程中如发现现状地下管线标高与设计冲突时，应及时通知建设单位，由建设单位通知设计院对图纸进行调整。</w:t>
      </w:r>
    </w:p>
    <w:p w14:paraId="461267BF">
      <w:pPr>
        <w:pStyle w:val="18"/>
        <w:numPr>
          <w:ilvl w:val="0"/>
          <w:numId w:val="6"/>
        </w:numPr>
        <w:ind w:firstLineChars="0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未尽事宜请施工单位严格按国家现行规范及省、市有关标准规范执行。</w:t>
      </w:r>
    </w:p>
    <w:bookmarkEnd w:id="1"/>
    <w:p w14:paraId="4B22D8B0">
      <w:pPr>
        <w:pStyle w:val="2"/>
        <w:numPr>
          <w:ilvl w:val="0"/>
          <w:numId w:val="1"/>
        </w:numPr>
        <w:rPr>
          <w:rFonts w:hint="eastAsia" w:asciiTheme="minorEastAsia" w:hAnsi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主要工程量</w:t>
      </w:r>
    </w:p>
    <w:p w14:paraId="12DFAAA9">
      <w:pPr>
        <w:ind w:firstLine="0" w:firstLineChars="0"/>
        <w:jc w:val="center"/>
        <w:textAlignment w:val="baseline"/>
        <w:rPr>
          <w:rFonts w:hint="eastAsia" w:cs="Times New Roman" w:asciiTheme="minorEastAsia" w:hAnsiTheme="minorEastAsia"/>
          <w:b/>
          <w:color w:val="000000" w:themeColor="text1"/>
          <w:kern w:val="0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/>
          <w:b/>
          <w:color w:val="000000" w:themeColor="text1"/>
          <w:kern w:val="0"/>
          <w:szCs w:val="24"/>
          <w14:textFill>
            <w14:solidFill>
              <w14:schemeClr w14:val="tx1"/>
            </w14:solidFill>
          </w14:textFill>
        </w:rPr>
        <w:t>工程量表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9"/>
        <w:gridCol w:w="1176"/>
        <w:gridCol w:w="1214"/>
        <w:gridCol w:w="1220"/>
        <w:gridCol w:w="850"/>
        <w:gridCol w:w="2036"/>
      </w:tblGrid>
      <w:tr w14:paraId="55D50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3489" w:type="dxa"/>
            <w:vAlign w:val="center"/>
          </w:tcPr>
          <w:p w14:paraId="29A2DD41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14:textFill>
                  <w14:solidFill>
                    <w14:schemeClr w14:val="tx1"/>
                  </w14:solidFill>
                </w14:textFill>
              </w:rPr>
              <w:t>名  称</w:t>
            </w:r>
          </w:p>
        </w:tc>
        <w:tc>
          <w:tcPr>
            <w:tcW w:w="1176" w:type="dxa"/>
            <w:vAlign w:val="center"/>
          </w:tcPr>
          <w:p w14:paraId="680EC181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1214" w:type="dxa"/>
            <w:vAlign w:val="center"/>
          </w:tcPr>
          <w:p w14:paraId="1922693A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14:textFill>
                  <w14:solidFill>
                    <w14:schemeClr w14:val="tx1"/>
                  </w14:solidFill>
                </w14:textFill>
              </w:rPr>
              <w:t>材质</w:t>
            </w:r>
          </w:p>
        </w:tc>
        <w:tc>
          <w:tcPr>
            <w:tcW w:w="1220" w:type="dxa"/>
            <w:vAlign w:val="center"/>
          </w:tcPr>
          <w:p w14:paraId="582B971B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850" w:type="dxa"/>
          </w:tcPr>
          <w:p w14:paraId="1B50DA20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2036" w:type="dxa"/>
          </w:tcPr>
          <w:p w14:paraId="07CCC602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07C8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3489" w:type="dxa"/>
            <w:vAlign w:val="center"/>
          </w:tcPr>
          <w:p w14:paraId="676F33C8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szCs w:val="24"/>
                <w:highlight w:val="none"/>
              </w:rPr>
              <w:t>高密度聚乙烯缠绕结构壁B型管</w:t>
            </w:r>
          </w:p>
        </w:tc>
        <w:tc>
          <w:tcPr>
            <w:tcW w:w="1176" w:type="dxa"/>
            <w:vAlign w:val="center"/>
          </w:tcPr>
          <w:p w14:paraId="302269AE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</w:rPr>
              <w:t>DN</w:t>
            </w:r>
            <w:r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</w:rPr>
              <w:t>00</w:t>
            </w:r>
          </w:p>
        </w:tc>
        <w:tc>
          <w:tcPr>
            <w:tcW w:w="1214" w:type="dxa"/>
            <w:vAlign w:val="center"/>
          </w:tcPr>
          <w:p w14:paraId="333D12E0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HDPE</w:t>
            </w:r>
          </w:p>
        </w:tc>
        <w:tc>
          <w:tcPr>
            <w:tcW w:w="1220" w:type="dxa"/>
            <w:vAlign w:val="center"/>
          </w:tcPr>
          <w:p w14:paraId="4909ECF9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850" w:type="dxa"/>
            <w:vAlign w:val="center"/>
          </w:tcPr>
          <w:p w14:paraId="1CD4DEE1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cs="Times New Roman" w:asciiTheme="minorEastAsia" w:hAnsiTheme="minorEastAsia" w:eastAsiaTheme="minorEastAsia"/>
                <w:color w:val="000000" w:themeColor="text1"/>
                <w:kern w:val="0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  <w:t>103</w:t>
            </w:r>
          </w:p>
        </w:tc>
        <w:tc>
          <w:tcPr>
            <w:tcW w:w="2036" w:type="dxa"/>
            <w:vAlign w:val="center"/>
          </w:tcPr>
          <w:p w14:paraId="2D773016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13D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3489" w:type="dxa"/>
            <w:vAlign w:val="center"/>
          </w:tcPr>
          <w:p w14:paraId="54621702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圆形混凝土污水检查井</w:t>
            </w:r>
          </w:p>
        </w:tc>
        <w:tc>
          <w:tcPr>
            <w:tcW w:w="1176" w:type="dxa"/>
            <w:vAlign w:val="center"/>
          </w:tcPr>
          <w:p w14:paraId="52199D37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φ1000</w:t>
            </w:r>
          </w:p>
        </w:tc>
        <w:tc>
          <w:tcPr>
            <w:tcW w:w="1214" w:type="dxa"/>
            <w:vAlign w:val="center"/>
          </w:tcPr>
          <w:p w14:paraId="3BB119A1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钢砼</w:t>
            </w:r>
          </w:p>
        </w:tc>
        <w:tc>
          <w:tcPr>
            <w:tcW w:w="1220" w:type="dxa"/>
            <w:vAlign w:val="center"/>
          </w:tcPr>
          <w:p w14:paraId="1430F661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座</w:t>
            </w:r>
          </w:p>
        </w:tc>
        <w:tc>
          <w:tcPr>
            <w:tcW w:w="850" w:type="dxa"/>
            <w:vAlign w:val="center"/>
          </w:tcPr>
          <w:p w14:paraId="3568A641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 w:eastAsiaTheme="minorEastAsia"/>
                <w:color w:val="000000" w:themeColor="text1"/>
                <w:kern w:val="0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036" w:type="dxa"/>
            <w:vAlign w:val="center"/>
          </w:tcPr>
          <w:p w14:paraId="0ABEDC3D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000000" w:themeColor="text1"/>
                <w:kern w:val="0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详见</w:t>
            </w:r>
            <w:r>
              <w:rPr>
                <w:rFonts w:asciiTheme="minorEastAsia" w:hAnsiTheme="minorEastAsia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20S515</w:t>
            </w:r>
            <w:r>
              <w:rPr>
                <w:rFonts w:hint="eastAsia" w:asciiTheme="minorEastAsia" w:hAnsiTheme="minorEastAsia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-3</w:t>
            </w:r>
            <w:r>
              <w:rPr>
                <w:rFonts w:asciiTheme="minorEastAsia" w:hAnsiTheme="minorEastAsia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51E0E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3489" w:type="dxa"/>
            <w:vAlign w:val="center"/>
          </w:tcPr>
          <w:p w14:paraId="2B32D46F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cs="Times New Roman" w:asciiTheme="minorEastAsia" w:hAnsiTheme="minorEastAsia" w:eastAsiaTheme="minorEastAsia"/>
                <w:color w:val="FF0000"/>
                <w:kern w:val="0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  <w:t>管线拆除</w:t>
            </w:r>
          </w:p>
        </w:tc>
        <w:tc>
          <w:tcPr>
            <w:tcW w:w="1176" w:type="dxa"/>
            <w:vAlign w:val="center"/>
          </w:tcPr>
          <w:p w14:paraId="15157963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cs="Times New Roman" w:asciiTheme="minorEastAsia" w:hAnsiTheme="minorEastAsia" w:eastAsiaTheme="minorEastAsia"/>
                <w:color w:val="FF0000"/>
                <w:kern w:val="0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  <w:t>DN400</w:t>
            </w:r>
          </w:p>
        </w:tc>
        <w:tc>
          <w:tcPr>
            <w:tcW w:w="1214" w:type="dxa"/>
            <w:vAlign w:val="center"/>
          </w:tcPr>
          <w:p w14:paraId="1291D7CB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 w:eastAsiaTheme="minorEastAsia"/>
                <w:color w:val="FF0000"/>
                <w:kern w:val="0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  <w:t>钢筋混凝土</w:t>
            </w:r>
          </w:p>
        </w:tc>
        <w:tc>
          <w:tcPr>
            <w:tcW w:w="1220" w:type="dxa"/>
            <w:vAlign w:val="center"/>
          </w:tcPr>
          <w:p w14:paraId="6B0CE277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 w:eastAsiaTheme="minorEastAsia"/>
                <w:color w:val="FF0000"/>
                <w:kern w:val="0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  <w:t>m</w:t>
            </w:r>
          </w:p>
        </w:tc>
        <w:tc>
          <w:tcPr>
            <w:tcW w:w="850" w:type="dxa"/>
            <w:vAlign w:val="center"/>
          </w:tcPr>
          <w:p w14:paraId="3B9BA64F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  <w:t>103</w:t>
            </w:r>
          </w:p>
        </w:tc>
        <w:tc>
          <w:tcPr>
            <w:tcW w:w="2036" w:type="dxa"/>
            <w:vAlign w:val="center"/>
          </w:tcPr>
          <w:p w14:paraId="406278B4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Theme="minorEastAsia" w:hAnsiTheme="minorEastAsia"/>
                <w:color w:val="FF0000"/>
                <w:szCs w:val="24"/>
                <w:highlight w:val="none"/>
              </w:rPr>
            </w:pPr>
          </w:p>
        </w:tc>
      </w:tr>
      <w:tr w14:paraId="5F4DB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exact"/>
          <w:jc w:val="center"/>
        </w:trPr>
        <w:tc>
          <w:tcPr>
            <w:tcW w:w="3489" w:type="dxa"/>
            <w:vAlign w:val="center"/>
          </w:tcPr>
          <w:p w14:paraId="7C1F26F0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cs="Times New Roman" w:asciiTheme="minorEastAsia" w:hAnsiTheme="minorEastAsia" w:eastAsiaTheme="minorEastAsia"/>
                <w:color w:val="FF0000"/>
                <w:kern w:val="0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  <w:t>绿化带路面恢复</w:t>
            </w:r>
          </w:p>
        </w:tc>
        <w:tc>
          <w:tcPr>
            <w:tcW w:w="1176" w:type="dxa"/>
            <w:vAlign w:val="center"/>
          </w:tcPr>
          <w:p w14:paraId="7B335832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35992454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cs="Times New Roman" w:asciiTheme="minorEastAsia" w:hAnsiTheme="minorEastAsia" w:eastAsiaTheme="minorEastAsia"/>
                <w:color w:val="FF0000"/>
                <w:kern w:val="0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  <w:t>170</w:t>
            </w:r>
          </w:p>
        </w:tc>
        <w:tc>
          <w:tcPr>
            <w:tcW w:w="1220" w:type="dxa"/>
            <w:vAlign w:val="center"/>
          </w:tcPr>
          <w:p w14:paraId="71C39207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cs="Times New Roman" w:asciiTheme="minorEastAsia" w:hAnsiTheme="minorEastAsia" w:eastAsiaTheme="minorEastAsia"/>
                <w:color w:val="FF0000"/>
                <w:kern w:val="0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  <w:t>㎡</w:t>
            </w:r>
          </w:p>
        </w:tc>
        <w:tc>
          <w:tcPr>
            <w:tcW w:w="850" w:type="dxa"/>
            <w:vAlign w:val="center"/>
          </w:tcPr>
          <w:p w14:paraId="6746FA58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</w:rPr>
            </w:pPr>
          </w:p>
        </w:tc>
        <w:tc>
          <w:tcPr>
            <w:tcW w:w="2036" w:type="dxa"/>
            <w:vAlign w:val="center"/>
          </w:tcPr>
          <w:p w14:paraId="1F2DB9D6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Theme="minorEastAsia" w:hAnsiTheme="minorEastAsia" w:eastAsiaTheme="minorEastAsia"/>
                <w:color w:val="FF000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FF0000"/>
                <w:szCs w:val="24"/>
                <w:highlight w:val="none"/>
                <w:lang w:val="en-US" w:eastAsia="zh-CN"/>
              </w:rPr>
              <w:t>按照1:0.75放坡，破坏宽度3.5m计算，根据现场实际情况进行调整</w:t>
            </w:r>
          </w:p>
        </w:tc>
      </w:tr>
      <w:tr w14:paraId="0FD36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exact"/>
          <w:jc w:val="center"/>
        </w:trPr>
        <w:tc>
          <w:tcPr>
            <w:tcW w:w="3489" w:type="dxa"/>
            <w:vAlign w:val="center"/>
          </w:tcPr>
          <w:p w14:paraId="315B1325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  <w:t>沥青路面恢复</w:t>
            </w:r>
          </w:p>
        </w:tc>
        <w:tc>
          <w:tcPr>
            <w:tcW w:w="1176" w:type="dxa"/>
            <w:vAlign w:val="center"/>
          </w:tcPr>
          <w:p w14:paraId="2B244526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6FC04AEC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  <w:t>59</w:t>
            </w:r>
          </w:p>
        </w:tc>
        <w:tc>
          <w:tcPr>
            <w:tcW w:w="1220" w:type="dxa"/>
            <w:vAlign w:val="center"/>
          </w:tcPr>
          <w:p w14:paraId="0EE1E2C1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  <w:t>㎡</w:t>
            </w:r>
          </w:p>
        </w:tc>
        <w:tc>
          <w:tcPr>
            <w:tcW w:w="850" w:type="dxa"/>
            <w:vAlign w:val="center"/>
          </w:tcPr>
          <w:p w14:paraId="624F67A6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</w:rPr>
            </w:pPr>
          </w:p>
        </w:tc>
        <w:tc>
          <w:tcPr>
            <w:tcW w:w="2036" w:type="dxa"/>
            <w:vAlign w:val="center"/>
          </w:tcPr>
          <w:p w14:paraId="1B6CB0C7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Theme="minorEastAsia" w:hAnsiTheme="minorEastAsia"/>
                <w:color w:val="FF000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FF0000"/>
                <w:szCs w:val="24"/>
                <w:highlight w:val="none"/>
                <w:lang w:val="en-US" w:eastAsia="zh-CN"/>
              </w:rPr>
              <w:t>按照1:0.75放坡，破坏宽度3.5m计算，根据现场实际情况进行调整</w:t>
            </w:r>
          </w:p>
        </w:tc>
      </w:tr>
      <w:tr w14:paraId="1F2B8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exact"/>
          <w:jc w:val="center"/>
        </w:trPr>
        <w:tc>
          <w:tcPr>
            <w:tcW w:w="3489" w:type="dxa"/>
            <w:vAlign w:val="center"/>
          </w:tcPr>
          <w:p w14:paraId="6534B0C1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  <w:t>混凝土路面恢复</w:t>
            </w:r>
          </w:p>
        </w:tc>
        <w:tc>
          <w:tcPr>
            <w:tcW w:w="1176" w:type="dxa"/>
            <w:vAlign w:val="center"/>
          </w:tcPr>
          <w:p w14:paraId="3633F9EC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103E715C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  <w:t>129</w:t>
            </w:r>
          </w:p>
        </w:tc>
        <w:tc>
          <w:tcPr>
            <w:tcW w:w="1220" w:type="dxa"/>
            <w:vAlign w:val="center"/>
          </w:tcPr>
          <w:p w14:paraId="2B083F8A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  <w:lang w:val="en-US" w:eastAsia="zh-CN"/>
              </w:rPr>
              <w:t>㎡</w:t>
            </w:r>
          </w:p>
        </w:tc>
        <w:tc>
          <w:tcPr>
            <w:tcW w:w="850" w:type="dxa"/>
            <w:vAlign w:val="center"/>
          </w:tcPr>
          <w:p w14:paraId="592FA427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cs="Times New Roman" w:asciiTheme="minorEastAsia" w:hAnsiTheme="minorEastAsia"/>
                <w:color w:val="FF0000"/>
                <w:kern w:val="0"/>
                <w:szCs w:val="24"/>
                <w:highlight w:val="none"/>
              </w:rPr>
            </w:pPr>
          </w:p>
        </w:tc>
        <w:tc>
          <w:tcPr>
            <w:tcW w:w="2036" w:type="dxa"/>
            <w:vAlign w:val="center"/>
          </w:tcPr>
          <w:p w14:paraId="794F98D9">
            <w:pPr>
              <w:adjustRightIn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Theme="minorEastAsia" w:hAnsiTheme="minorEastAsia"/>
                <w:color w:val="FF000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FF0000"/>
                <w:szCs w:val="24"/>
                <w:highlight w:val="none"/>
                <w:lang w:val="en-US" w:eastAsia="zh-CN"/>
              </w:rPr>
              <w:t>按照1:0.75放坡，破坏宽度3.5m计算，根据现场实际情况进行调整</w:t>
            </w:r>
          </w:p>
        </w:tc>
      </w:tr>
    </w:tbl>
    <w:p w14:paraId="48CDDFEF">
      <w:pPr>
        <w:ind w:firstLine="0" w:firstLineChars="0"/>
        <w:jc w:val="center"/>
        <w:textAlignment w:val="baseline"/>
        <w:rPr>
          <w:rFonts w:hint="eastAsia" w:cs="Times New Roman" w:asciiTheme="minorEastAsia" w:hAnsiTheme="minorEastAsia"/>
          <w:b/>
          <w:color w:val="000000" w:themeColor="text1"/>
          <w:kern w:val="0"/>
          <w:szCs w:val="24"/>
          <w14:textFill>
            <w14:solidFill>
              <w14:schemeClr w14:val="tx1"/>
            </w14:solidFill>
          </w14:textFill>
        </w:rPr>
      </w:pPr>
    </w:p>
    <w:p w14:paraId="281BCDED">
      <w:pPr>
        <w:ind w:firstLine="0" w:firstLineChars="0"/>
        <w:jc w:val="center"/>
        <w:textAlignment w:val="baseline"/>
        <w:rPr>
          <w:rFonts w:hint="eastAsia" w:asciiTheme="minorEastAsia" w:hAnsi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sectPr>
      <w:type w:val="continuous"/>
      <w:pgSz w:w="23814" w:h="16839" w:orient="landscape"/>
      <w:pgMar w:top="1701" w:right="1418" w:bottom="1701" w:left="1418" w:header="851" w:footer="992" w:gutter="0"/>
      <w:pgBorders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cols w:space="566" w:num="2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61D10">
    <w:pPr>
      <w:pStyle w:val="7"/>
      <w:ind w:right="357" w:firstLine="360"/>
      <w:rPr>
        <w:rFonts w:hint="eastAsia" w:ascii="宋体" w:hAnsi="宋体"/>
        <w:sz w:val="21"/>
        <w:szCs w:val="21"/>
      </w:rPr>
    </w:pPr>
    <w:r>
      <w:rPr>
        <w:rFonts w:hint="eastAsia" w:ascii="宋体" w:hAnsi="宋体"/>
        <w:sz w:val="21"/>
        <w:szCs w:val="21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8773160</wp:posOffset>
          </wp:positionH>
          <wp:positionV relativeFrom="paragraph">
            <wp:posOffset>177800</wp:posOffset>
          </wp:positionV>
          <wp:extent cx="827405" cy="259715"/>
          <wp:effectExtent l="0" t="0" r="10795" b="6985"/>
          <wp:wrapNone/>
          <wp:docPr id="3" name="图片 3" descr="刘荣锴_ww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刘荣锴_www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7405" cy="259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7402830</wp:posOffset>
          </wp:positionH>
          <wp:positionV relativeFrom="paragraph">
            <wp:posOffset>191135</wp:posOffset>
          </wp:positionV>
          <wp:extent cx="638810" cy="325120"/>
          <wp:effectExtent l="0" t="0" r="8890" b="17780"/>
          <wp:wrapThrough wrapText="bothSides">
            <wp:wrapPolygon>
              <wp:start x="0" y="0"/>
              <wp:lineTo x="0" y="20250"/>
              <wp:lineTo x="21256" y="20250"/>
              <wp:lineTo x="21256" y="0"/>
              <wp:lineTo x="0" y="0"/>
            </wp:wrapPolygon>
          </wp:wrapThrough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3881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仿宋_GB2312" w:eastAsia="仿宋_GB2312" w:hAnsiTheme="minorEastAsia"/>
        <w:szCs w:val="24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4946650</wp:posOffset>
          </wp:positionH>
          <wp:positionV relativeFrom="paragraph">
            <wp:posOffset>203835</wp:posOffset>
          </wp:positionV>
          <wp:extent cx="826770" cy="292100"/>
          <wp:effectExtent l="0" t="0" r="0" b="0"/>
          <wp:wrapNone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图片 22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130" t="32113" r="25055" b="41023"/>
                  <a:stretch>
                    <a:fillRect/>
                  </a:stretch>
                </pic:blipFill>
                <pic:spPr>
                  <a:xfrm>
                    <a:off x="0" y="0"/>
                    <a:ext cx="827039" cy="291829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Theme="minorEastAsia" w:hAnsiTheme="minorEastAsia"/>
        <w:sz w:val="21"/>
        <w:szCs w:val="21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6409690</wp:posOffset>
          </wp:positionH>
          <wp:positionV relativeFrom="paragraph">
            <wp:posOffset>177165</wp:posOffset>
          </wp:positionV>
          <wp:extent cx="469265" cy="344805"/>
          <wp:effectExtent l="0" t="0" r="6985" b="17145"/>
          <wp:wrapNone/>
          <wp:docPr id="27" name="图片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图片 27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265" cy="344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宋体" w:hAnsi="宋体"/>
        <w:sz w:val="21"/>
        <w:szCs w:val="21"/>
      </w:rPr>
      <w:t xml:space="preserve">                                                               </w:t>
    </w:r>
  </w:p>
  <w:p w14:paraId="0B45CF06">
    <w:pPr>
      <w:pStyle w:val="7"/>
      <w:ind w:right="357" w:firstLine="6021" w:firstLineChars="3345"/>
      <w:rPr>
        <w:rFonts w:hint="eastAsia" w:ascii="宋体" w:hAnsi="宋体"/>
      </w:rPr>
    </w:pPr>
    <w:r>
      <w:rPr>
        <w:rFonts w:hint="eastAsi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-149225</wp:posOffset>
          </wp:positionV>
          <wp:extent cx="3514725" cy="486410"/>
          <wp:effectExtent l="0" t="0" r="9525" b="8890"/>
          <wp:wrapNone/>
          <wp:docPr id="15" name="图片 15" descr="C:\Users\Administrator\Desktop\0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15" descr="C:\Users\Administrator\Desktop\000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14725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宋体" w:hAnsi="宋体"/>
        <w:sz w:val="21"/>
        <w:szCs w:val="21"/>
      </w:rPr>
      <w:t xml:space="preserve"> </w:t>
    </w:r>
    <w:r>
      <w:rPr>
        <w:rFonts w:ascii="宋体" w:hAnsi="宋体"/>
        <w:sz w:val="21"/>
        <w:szCs w:val="21"/>
      </w:rPr>
      <w:t xml:space="preserve">         </w:t>
    </w:r>
    <w:r>
      <w:rPr>
        <w:rFonts w:hint="eastAsia" w:ascii="宋体" w:hAnsi="宋体"/>
        <w:sz w:val="21"/>
        <w:szCs w:val="21"/>
      </w:rPr>
      <w:t>审定:</w:t>
    </w:r>
    <w:r>
      <w:rPr>
        <w:rFonts w:ascii="宋体" w:hAnsi="宋体"/>
        <w:sz w:val="21"/>
        <w:szCs w:val="21"/>
      </w:rPr>
      <w:t xml:space="preserve">         </w:t>
    </w:r>
    <w:r>
      <w:rPr>
        <w:rFonts w:hint="eastAsia" w:ascii="宋体" w:hAnsi="宋体"/>
        <w:sz w:val="21"/>
        <w:szCs w:val="21"/>
      </w:rPr>
      <w:t xml:space="preserve">   </w:t>
    </w:r>
    <w:r>
      <w:rPr>
        <w:rFonts w:ascii="宋体" w:hAnsi="宋体"/>
        <w:sz w:val="21"/>
        <w:szCs w:val="21"/>
      </w:rPr>
      <w:t xml:space="preserve">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ascii="宋体" w:hAnsi="宋体"/>
        <w:sz w:val="21"/>
        <w:szCs w:val="21"/>
        <w:lang w:val="en-US" w:eastAsia="zh-CN"/>
      </w:rPr>
      <w:t xml:space="preserve">   </w:t>
    </w:r>
    <w:r>
      <w:rPr>
        <w:rFonts w:ascii="宋体" w:hAnsi="宋体"/>
        <w:sz w:val="21"/>
        <w:szCs w:val="21"/>
      </w:rPr>
      <w:t xml:space="preserve"> </w:t>
    </w:r>
    <w:r>
      <w:rPr>
        <w:rFonts w:hint="eastAsia" w:ascii="宋体" w:hAnsi="宋体"/>
        <w:sz w:val="21"/>
        <w:szCs w:val="21"/>
      </w:rPr>
      <w:t xml:space="preserve">审核:  </w:t>
    </w:r>
    <w:r>
      <w:rPr>
        <w:rFonts w:ascii="宋体" w:hAnsi="宋体"/>
        <w:sz w:val="21"/>
        <w:szCs w:val="21"/>
      </w:rPr>
      <w:t xml:space="preserve">    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ascii="宋体" w:hAnsi="宋体"/>
        <w:sz w:val="21"/>
        <w:szCs w:val="21"/>
      </w:rPr>
      <w:t xml:space="preserve"> </w:t>
    </w:r>
    <w:r>
      <w:rPr>
        <w:rFonts w:hint="eastAsia" w:ascii="宋体" w:hAnsi="宋体"/>
        <w:sz w:val="21"/>
        <w:szCs w:val="21"/>
      </w:rPr>
      <w:t xml:space="preserve">校核:  </w:t>
    </w:r>
    <w:r>
      <w:rPr>
        <w:rFonts w:ascii="宋体" w:hAnsi="宋体"/>
        <w:sz w:val="21"/>
        <w:szCs w:val="21"/>
      </w:rPr>
      <w:t xml:space="preserve">  </w:t>
    </w:r>
    <w:r>
      <w:rPr>
        <w:rFonts w:hint="eastAsia" w:ascii="宋体" w:hAnsi="宋体"/>
        <w:sz w:val="21"/>
        <w:szCs w:val="21"/>
        <w:lang w:val="en-US" w:eastAsia="zh-CN"/>
      </w:rPr>
      <w:t xml:space="preserve">   </w:t>
    </w:r>
    <w:r>
      <w:rPr>
        <w:rFonts w:ascii="宋体" w:hAnsi="宋体"/>
        <w:sz w:val="21"/>
        <w:szCs w:val="21"/>
      </w:rPr>
      <w:t xml:space="preserve">    </w:t>
    </w:r>
    <w:r>
      <w:rPr>
        <w:rFonts w:hint="eastAsia" w:ascii="宋体" w:hAnsi="宋体"/>
        <w:sz w:val="21"/>
        <w:szCs w:val="21"/>
      </w:rPr>
      <w:t xml:space="preserve">  </w:t>
    </w:r>
    <w:r>
      <w:rPr>
        <w:rFonts w:ascii="宋体" w:hAnsi="宋体"/>
        <w:sz w:val="21"/>
        <w:szCs w:val="21"/>
      </w:rPr>
      <w:t xml:space="preserve"> </w:t>
    </w:r>
    <w:r>
      <w:rPr>
        <w:rFonts w:hint="eastAsia" w:ascii="宋体" w:hAnsi="宋体"/>
        <w:sz w:val="21"/>
        <w:szCs w:val="21"/>
      </w:rPr>
      <w:t xml:space="preserve">编制:       </w:t>
    </w:r>
    <w:r>
      <w:rPr>
        <w:rFonts w:ascii="宋体" w:hAnsi="宋体"/>
        <w:sz w:val="21"/>
        <w:szCs w:val="21"/>
      </w:rPr>
      <w:t xml:space="preserve">      </w:t>
    </w:r>
    <w:r>
      <w:rPr>
        <w:rFonts w:hint="eastAsia" w:ascii="宋体" w:hAnsi="宋体"/>
        <w:sz w:val="21"/>
        <w:szCs w:val="21"/>
      </w:rPr>
      <w:t xml:space="preserve">   </w:t>
    </w:r>
    <w:r>
      <w:rPr>
        <w:rFonts w:hint="eastAsia" w:ascii="宋体" w:hAnsi="宋体"/>
        <w:sz w:val="21"/>
        <w:szCs w:val="21"/>
        <w:lang w:val="en-US" w:eastAsia="zh-CN"/>
      </w:rPr>
      <w:t xml:space="preserve">  </w:t>
    </w:r>
    <w:r>
      <w:rPr>
        <w:rFonts w:hint="eastAsia" w:ascii="宋体" w:hAnsi="宋体"/>
        <w:sz w:val="21"/>
        <w:szCs w:val="21"/>
      </w:rPr>
      <w:t>设计编号：</w:t>
    </w:r>
    <w:r>
      <w:rPr>
        <w:rFonts w:ascii="宋体" w:hAnsi="宋体"/>
        <w:sz w:val="21"/>
        <w:szCs w:val="21"/>
      </w:rPr>
      <w:t xml:space="preserve"> </w:t>
    </w:r>
    <w:r>
      <w:rPr>
        <w:rFonts w:hint="eastAsia" w:ascii="宋体" w:hAnsi="宋体"/>
        <w:sz w:val="21"/>
        <w:szCs w:val="21"/>
      </w:rPr>
      <w:t>60240392</w:t>
    </w:r>
    <w:r>
      <w:rPr>
        <w:rFonts w:ascii="宋体" w:hAnsi="宋体"/>
        <w:sz w:val="21"/>
        <w:szCs w:val="21"/>
      </w:rPr>
      <w:t xml:space="preserve"> </w:t>
    </w:r>
    <w:r>
      <w:rPr>
        <w:rFonts w:hint="eastAsia" w:ascii="宋体" w:hAnsi="宋体"/>
        <w:sz w:val="21"/>
        <w:szCs w:val="21"/>
        <w:lang w:val="en-US" w:eastAsia="zh-CN"/>
      </w:rPr>
      <w:t xml:space="preserve">      </w:t>
    </w:r>
    <w:r>
      <w:rPr>
        <w:rFonts w:ascii="宋体" w:hAnsi="宋体"/>
        <w:sz w:val="21"/>
        <w:szCs w:val="21"/>
      </w:rPr>
      <w:t xml:space="preserve">   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ascii="宋体" w:hAnsi="宋体"/>
        <w:sz w:val="21"/>
        <w:szCs w:val="21"/>
      </w:rPr>
      <w:t xml:space="preserve">    </w:t>
    </w:r>
    <w:r>
      <w:rPr>
        <w:rFonts w:hint="eastAsia" w:ascii="宋体" w:hAnsi="宋体"/>
        <w:sz w:val="21"/>
        <w:szCs w:val="21"/>
      </w:rPr>
      <w:t xml:space="preserve"> 日期：</w:t>
    </w:r>
    <w:r>
      <w:rPr>
        <w:rFonts w:ascii="宋体" w:hAnsi="宋体"/>
        <w:sz w:val="21"/>
        <w:szCs w:val="21"/>
      </w:rPr>
      <w:t>2025.0</w:t>
    </w:r>
    <w:r>
      <w:rPr>
        <w:rFonts w:hint="eastAsia" w:ascii="宋体" w:hAnsi="宋体"/>
        <w:sz w:val="21"/>
        <w:szCs w:val="21"/>
      </w:rPr>
      <w:t>2</w:t>
    </w:r>
  </w:p>
  <w:p w14:paraId="1023D55A"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1B60BF"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C792A8"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482F6F">
    <w:pPr>
      <w:autoSpaceDE w:val="0"/>
      <w:autoSpaceDN w:val="0"/>
      <w:ind w:firstLine="0" w:firstLineChars="0"/>
      <w:jc w:val="left"/>
      <w:textAlignment w:val="center"/>
      <w:rPr>
        <w:rFonts w:cs="Times New Roman" w:asciiTheme="minorEastAsia" w:hAnsiTheme="minorEastAsia"/>
        <w:szCs w:val="21"/>
      </w:rPr>
    </w:pPr>
    <w:r>
      <w:rPr>
        <w:rFonts w:hint="eastAsia" w:asciiTheme="minorEastAsia" w:hAnsiTheme="minorEastAsia"/>
        <w:szCs w:val="21"/>
      </w:rPr>
      <w:t>工程名称:</w:t>
    </w:r>
    <w:r>
      <w:rPr>
        <w:rFonts w:hint="eastAsia" w:asciiTheme="minorEastAsia" w:hAnsiTheme="minorEastAsia"/>
        <w:color w:val="000000" w:themeColor="text1"/>
        <w:szCs w:val="24"/>
        <w14:textFill>
          <w14:solidFill>
            <w14:schemeClr w14:val="tx1"/>
          </w14:solidFill>
        </w14:textFill>
      </w:rPr>
      <w:t xml:space="preserve"> </w:t>
    </w:r>
    <w:r>
      <w:rPr>
        <w:rFonts w:hint="eastAsia" w:asciiTheme="minorEastAsia" w:hAnsiTheme="minorEastAsia"/>
        <w:color w:val="000000" w:themeColor="text1"/>
        <w:szCs w:val="24"/>
        <w:highlight w:val="none"/>
        <w14:textFill>
          <w14:solidFill>
            <w14:schemeClr w14:val="tx1"/>
          </w14:solidFill>
        </w14:textFill>
      </w:rPr>
      <w:t>北华大学北校区青春广场维修改造工程</w:t>
    </w:r>
    <w:r>
      <w:rPr>
        <w:rFonts w:asciiTheme="minorEastAsia" w:hAnsiTheme="minorEastAsia"/>
        <w:szCs w:val="21"/>
        <w:highlight w:val="none"/>
      </w:rPr>
      <w:t xml:space="preserve">  </w:t>
    </w:r>
    <w:r>
      <w:rPr>
        <w:rFonts w:asciiTheme="minorEastAsia" w:hAnsiTheme="minorEastAsia"/>
        <w:szCs w:val="21"/>
      </w:rPr>
      <w:t xml:space="preserve">                   </w:t>
    </w:r>
    <w:r>
      <w:rPr>
        <w:rFonts w:hint="eastAsia" w:asciiTheme="minorEastAsia" w:hAnsiTheme="minorEastAsia"/>
        <w:szCs w:val="21"/>
      </w:rPr>
      <w:t xml:space="preserve">                     </w:t>
    </w:r>
    <w:r>
      <w:rPr>
        <w:rFonts w:asciiTheme="minorEastAsia" w:hAnsiTheme="minorEastAsia"/>
        <w:szCs w:val="21"/>
      </w:rPr>
      <w:t xml:space="preserve">                       </w:t>
    </w:r>
    <w:r>
      <w:rPr>
        <w:rFonts w:hint="eastAsia" w:asciiTheme="minorEastAsia" w:hAnsiTheme="minorEastAsia"/>
        <w:szCs w:val="21"/>
      </w:rPr>
      <w:t xml:space="preserve">            </w:t>
    </w:r>
    <w:r>
      <w:rPr>
        <w:rFonts w:asciiTheme="minorEastAsia" w:hAnsiTheme="minorEastAsia"/>
        <w:szCs w:val="21"/>
      </w:rPr>
      <w:t xml:space="preserve">                   </w:t>
    </w:r>
    <w:r>
      <w:rPr>
        <w:rFonts w:cs="Times New Roman" w:asciiTheme="minorEastAsia" w:hAnsiTheme="minorEastAsia"/>
        <w:szCs w:val="21"/>
      </w:rPr>
      <w:t xml:space="preserve">        </w:t>
    </w:r>
    <w:r>
      <w:rPr>
        <w:rFonts w:hint="eastAsia" w:cs="Times New Roman" w:asciiTheme="minorEastAsia" w:hAnsiTheme="minorEastAsia"/>
        <w:szCs w:val="21"/>
      </w:rPr>
      <w:t xml:space="preserve">          </w:t>
    </w:r>
    <w:r>
      <w:rPr>
        <w:rFonts w:cs="Times New Roman" w:asciiTheme="minorEastAsia" w:hAnsiTheme="minorEastAsia"/>
        <w:szCs w:val="21"/>
      </w:rPr>
      <w:t xml:space="preserve">第 </w:t>
    </w:r>
    <w:r>
      <w:rPr>
        <w:rFonts w:cs="Times New Roman" w:asciiTheme="minorEastAsia" w:hAnsiTheme="minorEastAsia"/>
        <w:szCs w:val="21"/>
      </w:rPr>
      <w:fldChar w:fldCharType="begin"/>
    </w:r>
    <w:r>
      <w:rPr>
        <w:rFonts w:cs="Times New Roman" w:asciiTheme="minorEastAsia" w:hAnsiTheme="minorEastAsia"/>
        <w:szCs w:val="21"/>
      </w:rPr>
      <w:instrText xml:space="preserve"> PAGE </w:instrText>
    </w:r>
    <w:r>
      <w:rPr>
        <w:rFonts w:cs="Times New Roman" w:asciiTheme="minorEastAsia" w:hAnsiTheme="minorEastAsia"/>
        <w:szCs w:val="21"/>
      </w:rPr>
      <w:fldChar w:fldCharType="separate"/>
    </w:r>
    <w:r>
      <w:rPr>
        <w:rFonts w:cs="Times New Roman" w:asciiTheme="minorEastAsia" w:hAnsiTheme="minorEastAsia"/>
        <w:szCs w:val="21"/>
      </w:rPr>
      <w:t>7</w:t>
    </w:r>
    <w:r>
      <w:rPr>
        <w:rFonts w:cs="Times New Roman" w:asciiTheme="minorEastAsia" w:hAnsiTheme="minorEastAsia"/>
        <w:szCs w:val="21"/>
      </w:rPr>
      <w:fldChar w:fldCharType="end"/>
    </w:r>
    <w:r>
      <w:rPr>
        <w:rFonts w:cs="Times New Roman" w:asciiTheme="minorEastAsia" w:hAnsiTheme="minorEastAsia"/>
        <w:szCs w:val="21"/>
      </w:rPr>
      <w:t xml:space="preserve"> 页 共 </w:t>
    </w:r>
    <w:r>
      <w:rPr>
        <w:rFonts w:cs="Times New Roman" w:asciiTheme="minorEastAsia" w:hAnsiTheme="minorEastAsia"/>
        <w:szCs w:val="21"/>
      </w:rPr>
      <w:fldChar w:fldCharType="begin"/>
    </w:r>
    <w:r>
      <w:rPr>
        <w:rFonts w:cs="Times New Roman" w:asciiTheme="minorEastAsia" w:hAnsiTheme="minorEastAsia"/>
        <w:szCs w:val="21"/>
      </w:rPr>
      <w:instrText xml:space="preserve"> NUMPAGES </w:instrText>
    </w:r>
    <w:r>
      <w:rPr>
        <w:rFonts w:cs="Times New Roman" w:asciiTheme="minorEastAsia" w:hAnsiTheme="minorEastAsia"/>
        <w:szCs w:val="21"/>
      </w:rPr>
      <w:fldChar w:fldCharType="separate"/>
    </w:r>
    <w:r>
      <w:rPr>
        <w:rFonts w:cs="Times New Roman" w:asciiTheme="minorEastAsia" w:hAnsiTheme="minorEastAsia"/>
        <w:szCs w:val="21"/>
      </w:rPr>
      <w:t>7</w:t>
    </w:r>
    <w:r>
      <w:rPr>
        <w:rFonts w:cs="Times New Roman" w:asciiTheme="minorEastAsia" w:hAnsiTheme="minorEastAsia"/>
        <w:szCs w:val="21"/>
      </w:rPr>
      <w:fldChar w:fldCharType="end"/>
    </w:r>
    <w:r>
      <w:rPr>
        <w:rFonts w:cs="Times New Roman" w:asciiTheme="minorEastAsia" w:hAnsiTheme="minorEastAsia"/>
        <w:szCs w:val="21"/>
      </w:rPr>
      <w:t xml:space="preserve"> 页</w:t>
    </w:r>
    <w:r>
      <w:rPr>
        <w:rFonts w:hint="eastAsia" w:cs="Times New Roman" w:asciiTheme="minorEastAsia" w:hAnsiTheme="minorEastAsia"/>
        <w:szCs w:val="21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27A22"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84018"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9C8B39"/>
    <w:multiLevelType w:val="singleLevel"/>
    <w:tmpl w:val="F79C8B39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3CB8234A"/>
    <w:multiLevelType w:val="multilevel"/>
    <w:tmpl w:val="3CB8234A"/>
    <w:lvl w:ilvl="0" w:tentative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DD243ED"/>
    <w:multiLevelType w:val="multilevel"/>
    <w:tmpl w:val="4DD243ED"/>
    <w:lvl w:ilvl="0" w:tentative="0">
      <w:start w:val="1"/>
      <w:numFmt w:val="decimal"/>
      <w:lvlText w:val="%1)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645F6A49"/>
    <w:multiLevelType w:val="multilevel"/>
    <w:tmpl w:val="645F6A49"/>
    <w:lvl w:ilvl="0" w:tentative="0">
      <w:start w:val="1"/>
      <w:numFmt w:val="decimal"/>
      <w:lvlText w:val="%1)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7056726E"/>
    <w:multiLevelType w:val="multilevel"/>
    <w:tmpl w:val="7056726E"/>
    <w:lvl w:ilvl="0" w:tentative="0">
      <w:start w:val="1"/>
      <w:numFmt w:val="decimal"/>
      <w:lvlText w:val="%1)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71C85777"/>
    <w:multiLevelType w:val="multilevel"/>
    <w:tmpl w:val="71C85777"/>
    <w:lvl w:ilvl="0" w:tentative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955"/>
    <w:rsid w:val="00002A55"/>
    <w:rsid w:val="00002DD9"/>
    <w:rsid w:val="00011D36"/>
    <w:rsid w:val="0001303A"/>
    <w:rsid w:val="0002395E"/>
    <w:rsid w:val="00023FA6"/>
    <w:rsid w:val="00024D55"/>
    <w:rsid w:val="000275A5"/>
    <w:rsid w:val="0003535E"/>
    <w:rsid w:val="00044CC7"/>
    <w:rsid w:val="000457F6"/>
    <w:rsid w:val="000519FA"/>
    <w:rsid w:val="00052329"/>
    <w:rsid w:val="000572F2"/>
    <w:rsid w:val="0006486C"/>
    <w:rsid w:val="00066383"/>
    <w:rsid w:val="00066F52"/>
    <w:rsid w:val="000700F1"/>
    <w:rsid w:val="000837B1"/>
    <w:rsid w:val="000902B5"/>
    <w:rsid w:val="00097E38"/>
    <w:rsid w:val="000A00B5"/>
    <w:rsid w:val="000A38A0"/>
    <w:rsid w:val="000B2514"/>
    <w:rsid w:val="000C4839"/>
    <w:rsid w:val="001179D1"/>
    <w:rsid w:val="00124990"/>
    <w:rsid w:val="00124999"/>
    <w:rsid w:val="00135092"/>
    <w:rsid w:val="00135A4F"/>
    <w:rsid w:val="001374E9"/>
    <w:rsid w:val="0014333E"/>
    <w:rsid w:val="00155651"/>
    <w:rsid w:val="00161F1D"/>
    <w:rsid w:val="001661E3"/>
    <w:rsid w:val="00167CED"/>
    <w:rsid w:val="00170669"/>
    <w:rsid w:val="00176F3A"/>
    <w:rsid w:val="00183657"/>
    <w:rsid w:val="001851E8"/>
    <w:rsid w:val="00187008"/>
    <w:rsid w:val="0018761F"/>
    <w:rsid w:val="001933C8"/>
    <w:rsid w:val="001A15C8"/>
    <w:rsid w:val="001A3935"/>
    <w:rsid w:val="001B03E0"/>
    <w:rsid w:val="001B5419"/>
    <w:rsid w:val="001B6B41"/>
    <w:rsid w:val="001B6E07"/>
    <w:rsid w:val="001D7EE2"/>
    <w:rsid w:val="001E5BEE"/>
    <w:rsid w:val="001F57AB"/>
    <w:rsid w:val="002006EE"/>
    <w:rsid w:val="00202EF4"/>
    <w:rsid w:val="00203336"/>
    <w:rsid w:val="00206BF5"/>
    <w:rsid w:val="00210EB8"/>
    <w:rsid w:val="002162EF"/>
    <w:rsid w:val="00231B18"/>
    <w:rsid w:val="00233943"/>
    <w:rsid w:val="00235702"/>
    <w:rsid w:val="002374A0"/>
    <w:rsid w:val="00242F6F"/>
    <w:rsid w:val="00244EDF"/>
    <w:rsid w:val="00246B0B"/>
    <w:rsid w:val="002540A5"/>
    <w:rsid w:val="002565D2"/>
    <w:rsid w:val="00256DC7"/>
    <w:rsid w:val="00274C5F"/>
    <w:rsid w:val="00275D7F"/>
    <w:rsid w:val="002919F5"/>
    <w:rsid w:val="002920DA"/>
    <w:rsid w:val="002B0D41"/>
    <w:rsid w:val="002B225F"/>
    <w:rsid w:val="002B3339"/>
    <w:rsid w:val="002C019F"/>
    <w:rsid w:val="002D0085"/>
    <w:rsid w:val="002D22EE"/>
    <w:rsid w:val="002D33AA"/>
    <w:rsid w:val="002D6B09"/>
    <w:rsid w:val="002D7CCC"/>
    <w:rsid w:val="002F4447"/>
    <w:rsid w:val="00305ED3"/>
    <w:rsid w:val="003060AD"/>
    <w:rsid w:val="00311111"/>
    <w:rsid w:val="00315B45"/>
    <w:rsid w:val="00317AE8"/>
    <w:rsid w:val="00317B18"/>
    <w:rsid w:val="00317F27"/>
    <w:rsid w:val="00320099"/>
    <w:rsid w:val="00321A6A"/>
    <w:rsid w:val="00327A78"/>
    <w:rsid w:val="003331FB"/>
    <w:rsid w:val="00333D36"/>
    <w:rsid w:val="00334143"/>
    <w:rsid w:val="00335D47"/>
    <w:rsid w:val="00347209"/>
    <w:rsid w:val="003475DB"/>
    <w:rsid w:val="003478BF"/>
    <w:rsid w:val="0037298E"/>
    <w:rsid w:val="00373B64"/>
    <w:rsid w:val="00384C9A"/>
    <w:rsid w:val="003A46C0"/>
    <w:rsid w:val="003B00BB"/>
    <w:rsid w:val="003B15D8"/>
    <w:rsid w:val="003B2F67"/>
    <w:rsid w:val="003B5E1C"/>
    <w:rsid w:val="003C26E7"/>
    <w:rsid w:val="003C46DD"/>
    <w:rsid w:val="003C4A8B"/>
    <w:rsid w:val="003C7939"/>
    <w:rsid w:val="003D5212"/>
    <w:rsid w:val="003E4EBB"/>
    <w:rsid w:val="003E5E63"/>
    <w:rsid w:val="003F132F"/>
    <w:rsid w:val="003F43AD"/>
    <w:rsid w:val="003F5A31"/>
    <w:rsid w:val="003F634F"/>
    <w:rsid w:val="004032D2"/>
    <w:rsid w:val="00403628"/>
    <w:rsid w:val="00406A62"/>
    <w:rsid w:val="00413611"/>
    <w:rsid w:val="004226DE"/>
    <w:rsid w:val="00425158"/>
    <w:rsid w:val="00425AD5"/>
    <w:rsid w:val="004310B7"/>
    <w:rsid w:val="0043158B"/>
    <w:rsid w:val="004318FB"/>
    <w:rsid w:val="00443D30"/>
    <w:rsid w:val="00444D48"/>
    <w:rsid w:val="004478D2"/>
    <w:rsid w:val="0045737E"/>
    <w:rsid w:val="0046283C"/>
    <w:rsid w:val="0048260C"/>
    <w:rsid w:val="004850C3"/>
    <w:rsid w:val="00485C4F"/>
    <w:rsid w:val="00493EEF"/>
    <w:rsid w:val="004A6E39"/>
    <w:rsid w:val="004A7E4F"/>
    <w:rsid w:val="004B1987"/>
    <w:rsid w:val="004C6028"/>
    <w:rsid w:val="004D4C47"/>
    <w:rsid w:val="004E0E73"/>
    <w:rsid w:val="004E52A6"/>
    <w:rsid w:val="004F14B2"/>
    <w:rsid w:val="004F43CA"/>
    <w:rsid w:val="00500470"/>
    <w:rsid w:val="00502B1A"/>
    <w:rsid w:val="00502B99"/>
    <w:rsid w:val="00510FF8"/>
    <w:rsid w:val="00511708"/>
    <w:rsid w:val="00517A9D"/>
    <w:rsid w:val="005211BE"/>
    <w:rsid w:val="00523B85"/>
    <w:rsid w:val="005263E8"/>
    <w:rsid w:val="005274D1"/>
    <w:rsid w:val="00540BCC"/>
    <w:rsid w:val="0055314C"/>
    <w:rsid w:val="0055610D"/>
    <w:rsid w:val="00561EE3"/>
    <w:rsid w:val="0057350A"/>
    <w:rsid w:val="00573B7A"/>
    <w:rsid w:val="0057629B"/>
    <w:rsid w:val="005778EE"/>
    <w:rsid w:val="0058657F"/>
    <w:rsid w:val="005A27E5"/>
    <w:rsid w:val="005A5DFB"/>
    <w:rsid w:val="005B1B4D"/>
    <w:rsid w:val="005B4DC4"/>
    <w:rsid w:val="005C4202"/>
    <w:rsid w:val="005E3531"/>
    <w:rsid w:val="005E58F8"/>
    <w:rsid w:val="005E6C6E"/>
    <w:rsid w:val="005F092B"/>
    <w:rsid w:val="005F3564"/>
    <w:rsid w:val="005F5522"/>
    <w:rsid w:val="005F70FC"/>
    <w:rsid w:val="00602774"/>
    <w:rsid w:val="00602DED"/>
    <w:rsid w:val="006036DF"/>
    <w:rsid w:val="00613377"/>
    <w:rsid w:val="00614FEE"/>
    <w:rsid w:val="00616E29"/>
    <w:rsid w:val="006316C4"/>
    <w:rsid w:val="00640ED5"/>
    <w:rsid w:val="006422D9"/>
    <w:rsid w:val="00646690"/>
    <w:rsid w:val="006577AE"/>
    <w:rsid w:val="00666EDC"/>
    <w:rsid w:val="0066716D"/>
    <w:rsid w:val="00675C19"/>
    <w:rsid w:val="00682452"/>
    <w:rsid w:val="0069359E"/>
    <w:rsid w:val="00697095"/>
    <w:rsid w:val="006A0FC4"/>
    <w:rsid w:val="006A7E48"/>
    <w:rsid w:val="006B5C02"/>
    <w:rsid w:val="006C6CED"/>
    <w:rsid w:val="006D03B6"/>
    <w:rsid w:val="006D696B"/>
    <w:rsid w:val="006E0900"/>
    <w:rsid w:val="006F08B7"/>
    <w:rsid w:val="006F3EB6"/>
    <w:rsid w:val="006F4221"/>
    <w:rsid w:val="006F6E3D"/>
    <w:rsid w:val="006F7A9A"/>
    <w:rsid w:val="00702C6D"/>
    <w:rsid w:val="0070541E"/>
    <w:rsid w:val="00724D60"/>
    <w:rsid w:val="00731AF7"/>
    <w:rsid w:val="0073521D"/>
    <w:rsid w:val="00745D8B"/>
    <w:rsid w:val="007465B0"/>
    <w:rsid w:val="00746C71"/>
    <w:rsid w:val="007509D7"/>
    <w:rsid w:val="007568CD"/>
    <w:rsid w:val="00757F56"/>
    <w:rsid w:val="00760C38"/>
    <w:rsid w:val="00763E7C"/>
    <w:rsid w:val="00765F30"/>
    <w:rsid w:val="007663E7"/>
    <w:rsid w:val="007760C3"/>
    <w:rsid w:val="00784248"/>
    <w:rsid w:val="00786852"/>
    <w:rsid w:val="007949A0"/>
    <w:rsid w:val="007950AC"/>
    <w:rsid w:val="007974DD"/>
    <w:rsid w:val="007A201F"/>
    <w:rsid w:val="007A4624"/>
    <w:rsid w:val="007A71B2"/>
    <w:rsid w:val="007B1BA1"/>
    <w:rsid w:val="007B5CA1"/>
    <w:rsid w:val="007B6B65"/>
    <w:rsid w:val="007C20DB"/>
    <w:rsid w:val="007C3753"/>
    <w:rsid w:val="007C4770"/>
    <w:rsid w:val="007C6144"/>
    <w:rsid w:val="007D723D"/>
    <w:rsid w:val="007E7C76"/>
    <w:rsid w:val="007F2A98"/>
    <w:rsid w:val="007F4740"/>
    <w:rsid w:val="007F5779"/>
    <w:rsid w:val="00810F42"/>
    <w:rsid w:val="008139F0"/>
    <w:rsid w:val="00821D5A"/>
    <w:rsid w:val="008277CE"/>
    <w:rsid w:val="00827D80"/>
    <w:rsid w:val="0083543E"/>
    <w:rsid w:val="00841BA2"/>
    <w:rsid w:val="0084231E"/>
    <w:rsid w:val="0084307F"/>
    <w:rsid w:val="00847456"/>
    <w:rsid w:val="0085150C"/>
    <w:rsid w:val="00851B0F"/>
    <w:rsid w:val="00863FB0"/>
    <w:rsid w:val="00874A82"/>
    <w:rsid w:val="00875448"/>
    <w:rsid w:val="00875AF8"/>
    <w:rsid w:val="0087773E"/>
    <w:rsid w:val="00882A9F"/>
    <w:rsid w:val="008853BE"/>
    <w:rsid w:val="00894513"/>
    <w:rsid w:val="008A6BDD"/>
    <w:rsid w:val="008A7847"/>
    <w:rsid w:val="008B4A14"/>
    <w:rsid w:val="008C342C"/>
    <w:rsid w:val="008F000C"/>
    <w:rsid w:val="008F76A7"/>
    <w:rsid w:val="0091531A"/>
    <w:rsid w:val="00915CEB"/>
    <w:rsid w:val="00930E24"/>
    <w:rsid w:val="00932AE1"/>
    <w:rsid w:val="00934607"/>
    <w:rsid w:val="0094189E"/>
    <w:rsid w:val="00956D39"/>
    <w:rsid w:val="00967B5D"/>
    <w:rsid w:val="00967E8D"/>
    <w:rsid w:val="00972F0A"/>
    <w:rsid w:val="00981BD6"/>
    <w:rsid w:val="00990193"/>
    <w:rsid w:val="009960D2"/>
    <w:rsid w:val="009B10DF"/>
    <w:rsid w:val="009B3145"/>
    <w:rsid w:val="009B3174"/>
    <w:rsid w:val="009B3AFD"/>
    <w:rsid w:val="009B510A"/>
    <w:rsid w:val="009B6179"/>
    <w:rsid w:val="009C4463"/>
    <w:rsid w:val="009C4955"/>
    <w:rsid w:val="009E3592"/>
    <w:rsid w:val="009E5BAD"/>
    <w:rsid w:val="009F13E8"/>
    <w:rsid w:val="009F7C52"/>
    <w:rsid w:val="00A00893"/>
    <w:rsid w:val="00A02279"/>
    <w:rsid w:val="00A023EC"/>
    <w:rsid w:val="00A06363"/>
    <w:rsid w:val="00A17C78"/>
    <w:rsid w:val="00A349FD"/>
    <w:rsid w:val="00A40DB5"/>
    <w:rsid w:val="00A455BA"/>
    <w:rsid w:val="00A623F5"/>
    <w:rsid w:val="00A67038"/>
    <w:rsid w:val="00A70C4D"/>
    <w:rsid w:val="00A90F56"/>
    <w:rsid w:val="00A91522"/>
    <w:rsid w:val="00A9400E"/>
    <w:rsid w:val="00A95C7F"/>
    <w:rsid w:val="00A9665E"/>
    <w:rsid w:val="00AA0FD1"/>
    <w:rsid w:val="00AA571C"/>
    <w:rsid w:val="00AB4C51"/>
    <w:rsid w:val="00AB5CBA"/>
    <w:rsid w:val="00AB60C2"/>
    <w:rsid w:val="00AC2C5B"/>
    <w:rsid w:val="00AC5CCD"/>
    <w:rsid w:val="00AD62FB"/>
    <w:rsid w:val="00AD6D8C"/>
    <w:rsid w:val="00AE72B3"/>
    <w:rsid w:val="00AE75CA"/>
    <w:rsid w:val="00AF72BB"/>
    <w:rsid w:val="00B03D0C"/>
    <w:rsid w:val="00B0540D"/>
    <w:rsid w:val="00B06015"/>
    <w:rsid w:val="00B10290"/>
    <w:rsid w:val="00B208B9"/>
    <w:rsid w:val="00B315A7"/>
    <w:rsid w:val="00B31731"/>
    <w:rsid w:val="00B3342B"/>
    <w:rsid w:val="00B340FE"/>
    <w:rsid w:val="00B527BD"/>
    <w:rsid w:val="00B57DAC"/>
    <w:rsid w:val="00B6113F"/>
    <w:rsid w:val="00B61259"/>
    <w:rsid w:val="00B640CD"/>
    <w:rsid w:val="00B64190"/>
    <w:rsid w:val="00B668FA"/>
    <w:rsid w:val="00B75501"/>
    <w:rsid w:val="00B7630B"/>
    <w:rsid w:val="00B769BF"/>
    <w:rsid w:val="00B816A9"/>
    <w:rsid w:val="00B84788"/>
    <w:rsid w:val="00B8740D"/>
    <w:rsid w:val="00B90383"/>
    <w:rsid w:val="00BA0D2E"/>
    <w:rsid w:val="00BA4435"/>
    <w:rsid w:val="00BB088B"/>
    <w:rsid w:val="00BB135A"/>
    <w:rsid w:val="00BB2D38"/>
    <w:rsid w:val="00BD4262"/>
    <w:rsid w:val="00BE10C0"/>
    <w:rsid w:val="00BF15DE"/>
    <w:rsid w:val="00C06067"/>
    <w:rsid w:val="00C07670"/>
    <w:rsid w:val="00C16328"/>
    <w:rsid w:val="00C207BD"/>
    <w:rsid w:val="00C21294"/>
    <w:rsid w:val="00C303D5"/>
    <w:rsid w:val="00C4768E"/>
    <w:rsid w:val="00C54861"/>
    <w:rsid w:val="00C64FA1"/>
    <w:rsid w:val="00C80956"/>
    <w:rsid w:val="00C8668E"/>
    <w:rsid w:val="00C87D9E"/>
    <w:rsid w:val="00C9671A"/>
    <w:rsid w:val="00C970EC"/>
    <w:rsid w:val="00CA26DB"/>
    <w:rsid w:val="00CA6B61"/>
    <w:rsid w:val="00CC3D04"/>
    <w:rsid w:val="00CD1514"/>
    <w:rsid w:val="00CD17C8"/>
    <w:rsid w:val="00CE0994"/>
    <w:rsid w:val="00CE15D6"/>
    <w:rsid w:val="00CE3842"/>
    <w:rsid w:val="00CE6BA1"/>
    <w:rsid w:val="00D00920"/>
    <w:rsid w:val="00D01F55"/>
    <w:rsid w:val="00D0276E"/>
    <w:rsid w:val="00D23BC5"/>
    <w:rsid w:val="00D23C6D"/>
    <w:rsid w:val="00D32B3D"/>
    <w:rsid w:val="00D34ECD"/>
    <w:rsid w:val="00D37420"/>
    <w:rsid w:val="00D37B2D"/>
    <w:rsid w:val="00D4075B"/>
    <w:rsid w:val="00D41394"/>
    <w:rsid w:val="00D55E88"/>
    <w:rsid w:val="00D57F1C"/>
    <w:rsid w:val="00D868E9"/>
    <w:rsid w:val="00D87CAE"/>
    <w:rsid w:val="00D930B9"/>
    <w:rsid w:val="00D93DE6"/>
    <w:rsid w:val="00D95A0C"/>
    <w:rsid w:val="00DA10D3"/>
    <w:rsid w:val="00DA2E31"/>
    <w:rsid w:val="00DA37B1"/>
    <w:rsid w:val="00DA652E"/>
    <w:rsid w:val="00DB4889"/>
    <w:rsid w:val="00DC3342"/>
    <w:rsid w:val="00DD3869"/>
    <w:rsid w:val="00DD3BB4"/>
    <w:rsid w:val="00DE2268"/>
    <w:rsid w:val="00DE30D2"/>
    <w:rsid w:val="00DE38C5"/>
    <w:rsid w:val="00DE574C"/>
    <w:rsid w:val="00DE69DE"/>
    <w:rsid w:val="00DF3253"/>
    <w:rsid w:val="00DF6974"/>
    <w:rsid w:val="00E0067C"/>
    <w:rsid w:val="00E05765"/>
    <w:rsid w:val="00E1464C"/>
    <w:rsid w:val="00E237D2"/>
    <w:rsid w:val="00E2649C"/>
    <w:rsid w:val="00E27BF4"/>
    <w:rsid w:val="00E33849"/>
    <w:rsid w:val="00E41C81"/>
    <w:rsid w:val="00E45693"/>
    <w:rsid w:val="00E50ABD"/>
    <w:rsid w:val="00E51495"/>
    <w:rsid w:val="00E603F4"/>
    <w:rsid w:val="00E6619E"/>
    <w:rsid w:val="00E70F5C"/>
    <w:rsid w:val="00E75787"/>
    <w:rsid w:val="00E831C8"/>
    <w:rsid w:val="00E849FB"/>
    <w:rsid w:val="00E86B44"/>
    <w:rsid w:val="00E93357"/>
    <w:rsid w:val="00E97B1F"/>
    <w:rsid w:val="00E97B76"/>
    <w:rsid w:val="00EA29CE"/>
    <w:rsid w:val="00EA7D6F"/>
    <w:rsid w:val="00EB0085"/>
    <w:rsid w:val="00EB201D"/>
    <w:rsid w:val="00EB3E00"/>
    <w:rsid w:val="00EB5639"/>
    <w:rsid w:val="00ED50DD"/>
    <w:rsid w:val="00EE06AA"/>
    <w:rsid w:val="00EE3040"/>
    <w:rsid w:val="00EF24F1"/>
    <w:rsid w:val="00EF29F5"/>
    <w:rsid w:val="00EF2B27"/>
    <w:rsid w:val="00F12E08"/>
    <w:rsid w:val="00F218A0"/>
    <w:rsid w:val="00F32350"/>
    <w:rsid w:val="00F36D19"/>
    <w:rsid w:val="00F6650C"/>
    <w:rsid w:val="00F74ED1"/>
    <w:rsid w:val="00F75E5C"/>
    <w:rsid w:val="00F76246"/>
    <w:rsid w:val="00F76EC4"/>
    <w:rsid w:val="00F87A3F"/>
    <w:rsid w:val="00F90D01"/>
    <w:rsid w:val="00F932CB"/>
    <w:rsid w:val="00F95FE8"/>
    <w:rsid w:val="00FA055C"/>
    <w:rsid w:val="00FA275D"/>
    <w:rsid w:val="00FA43ED"/>
    <w:rsid w:val="00FA4A10"/>
    <w:rsid w:val="00FA6FE3"/>
    <w:rsid w:val="00FB4D2B"/>
    <w:rsid w:val="00FC4197"/>
    <w:rsid w:val="00FE5424"/>
    <w:rsid w:val="00FE5E32"/>
    <w:rsid w:val="00FF1D99"/>
    <w:rsid w:val="00FF2335"/>
    <w:rsid w:val="00FF355C"/>
    <w:rsid w:val="0140099C"/>
    <w:rsid w:val="01BA7E42"/>
    <w:rsid w:val="03C87F33"/>
    <w:rsid w:val="04043109"/>
    <w:rsid w:val="054B5371"/>
    <w:rsid w:val="15F335E7"/>
    <w:rsid w:val="1BF31392"/>
    <w:rsid w:val="26345235"/>
    <w:rsid w:val="2E2B68DB"/>
    <w:rsid w:val="448D13F0"/>
    <w:rsid w:val="4C2B665D"/>
    <w:rsid w:val="54516634"/>
    <w:rsid w:val="5EEA6F44"/>
    <w:rsid w:val="69502367"/>
    <w:rsid w:val="76500365"/>
    <w:rsid w:val="7FF2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ind w:firstLine="0" w:firstLineChars="0"/>
      <w:jc w:val="left"/>
      <w:outlineLvl w:val="0"/>
    </w:pPr>
    <w:rPr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17"/>
    <w:autoRedefine/>
    <w:unhideWhenUsed/>
    <w:qFormat/>
    <w:uiPriority w:val="9"/>
    <w:pPr>
      <w:keepNext/>
      <w:keepLines/>
      <w:numPr>
        <w:ilvl w:val="1"/>
        <w:numId w:val="1"/>
      </w:numPr>
      <w:ind w:firstLineChars="0"/>
      <w:outlineLvl w:val="1"/>
    </w:pPr>
    <w:rPr>
      <w:rFonts w:ascii="仿宋_GB2312" w:eastAsia="仿宋_GB2312" w:hAnsiTheme="majorHAnsi" w:cstheme="majorBidi"/>
      <w:bCs/>
      <w:color w:val="000000" w:themeColor="text1"/>
      <w:szCs w:val="24"/>
      <w14:textFill>
        <w14:solidFill>
          <w14:schemeClr w14:val="tx1"/>
        </w14:solidFill>
      </w14:textFill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21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5"/>
    <w:next w:val="5"/>
    <w:link w:val="20"/>
    <w:semiHidden/>
    <w:unhideWhenUsed/>
    <w:qFormat/>
    <w:uiPriority w:val="99"/>
    <w:rPr>
      <w:b/>
      <w:bCs/>
    </w:rPr>
  </w:style>
  <w:style w:type="character" w:styleId="12">
    <w:name w:val="Emphasis"/>
    <w:basedOn w:val="11"/>
    <w:qFormat/>
    <w:uiPriority w:val="20"/>
    <w:rPr>
      <w:i/>
      <w:iCs/>
    </w:rPr>
  </w:style>
  <w:style w:type="character" w:styleId="13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5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6">
    <w:name w:val="标题 1 字符"/>
    <w:basedOn w:val="11"/>
    <w:link w:val="2"/>
    <w:qFormat/>
    <w:uiPriority w:val="9"/>
    <w:rPr>
      <w:b/>
      <w:bCs/>
      <w:kern w:val="44"/>
      <w:sz w:val="28"/>
      <w:szCs w:val="44"/>
    </w:rPr>
  </w:style>
  <w:style w:type="character" w:customStyle="1" w:styleId="17">
    <w:name w:val="标题 2 字符"/>
    <w:basedOn w:val="11"/>
    <w:link w:val="3"/>
    <w:qFormat/>
    <w:uiPriority w:val="9"/>
    <w:rPr>
      <w:rFonts w:ascii="仿宋_GB2312" w:eastAsia="仿宋_GB2312" w:hAnsiTheme="majorHAnsi" w:cstheme="majorBidi"/>
      <w:bCs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paragraph" w:styleId="18">
    <w:name w:val="List Paragraph"/>
    <w:basedOn w:val="1"/>
    <w:qFormat/>
    <w:uiPriority w:val="34"/>
    <w:pPr>
      <w:ind w:firstLine="420"/>
    </w:pPr>
  </w:style>
  <w:style w:type="character" w:customStyle="1" w:styleId="19">
    <w:name w:val="批注文字 字符"/>
    <w:basedOn w:val="11"/>
    <w:link w:val="5"/>
    <w:semiHidden/>
    <w:qFormat/>
    <w:uiPriority w:val="99"/>
    <w:rPr>
      <w:sz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sz w:val="24"/>
    </w:rPr>
  </w:style>
  <w:style w:type="character" w:customStyle="1" w:styleId="21">
    <w:name w:val="批注框文本 字符"/>
    <w:basedOn w:val="11"/>
    <w:link w:val="6"/>
    <w:semiHidden/>
    <w:qFormat/>
    <w:uiPriority w:val="99"/>
    <w:rPr>
      <w:sz w:val="18"/>
      <w:szCs w:val="18"/>
    </w:rPr>
  </w:style>
  <w:style w:type="character" w:customStyle="1" w:styleId="22">
    <w:name w:val="标题 3 字符"/>
    <w:basedOn w:val="11"/>
    <w:link w:val="4"/>
    <w:semiHidden/>
    <w:qFormat/>
    <w:uiPriority w:val="9"/>
    <w:rPr>
      <w:b/>
      <w:bCs/>
      <w:sz w:val="32"/>
      <w:szCs w:val="32"/>
    </w:rPr>
  </w:style>
  <w:style w:type="character" w:customStyle="1" w:styleId="23">
    <w:name w:val="spanctfield"/>
    <w:basedOn w:val="11"/>
    <w:qFormat/>
    <w:uiPriority w:val="0"/>
  </w:style>
  <w:style w:type="paragraph" w:customStyle="1" w:styleId="24">
    <w:name w:val="!可研 正文"/>
    <w:basedOn w:val="1"/>
    <w:qFormat/>
    <w:uiPriority w:val="0"/>
    <w:rPr>
      <w:rFonts w:ascii="Times New Roman" w:hAnsi="Times New Roman" w:eastAsia="宋体" w:cs="Times New Roman"/>
    </w:rPr>
  </w:style>
  <w:style w:type="character" w:customStyle="1" w:styleId="25">
    <w:name w:val="不明显强调1"/>
    <w:basedOn w:val="11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9.png"/><Relationship Id="rId14" Type="http://schemas.openxmlformats.org/officeDocument/2006/relationships/image" Target="media/image8.jpe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5" Type="http://schemas.openxmlformats.org/officeDocument/2006/relationships/image" Target="media/image5.jpeg"/><Relationship Id="rId4" Type="http://schemas.openxmlformats.org/officeDocument/2006/relationships/image" Target="media/image4.png"/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6</Pages>
  <Words>1360</Words>
  <Characters>1638</Characters>
  <Lines>47</Lines>
  <Paragraphs>13</Paragraphs>
  <TotalTime>0</TotalTime>
  <ScaleCrop>false</ScaleCrop>
  <LinksUpToDate>false</LinksUpToDate>
  <CharactersWithSpaces>1684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2025-02-10T06:27:00Z</dcterms:created>
  <dc:creator>Sky123.Org</dc:creator>
  <cp:lastModifiedBy>abc</cp:lastModifiedBy>
  <cp:lastPrinted>2024-10-26T06:39:00Z</cp:lastPrinted>
  <dcterms:modified xsi:type="dcterms:W3CDTF">2025-04-09T02:28:03Z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eyJoZGlkIjoiZWQ5ODFkYmY2MmRlMzdjOTI4OWE2M2QzNzZlYWJhYWEiLCJ1c2VySWQiOiI1MzE5MTI0OTgifQ==</vt:lpwstr>
  </property>
  <property fmtid="{D5CDD505-2E9C-101B-9397-08002B2CF9AE}" pid="3" name="KSOProductBuildVer">
    <vt:lpwstr>2052-12.1.0.20305</vt:lpwstr>
  </property>
  <property fmtid="{D5CDD505-2E9C-101B-9397-08002B2CF9AE}" pid="4" name="ICV">
    <vt:lpwstr>61714930905546C6BA014A5195A777A6_13</vt:lpwstr>
  </property>
</Properties>
</file>