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73C4">
      <w:pPr>
        <w:jc w:val="center"/>
        <w:rPr>
          <w:rFonts w:hint="eastAsia" w:ascii="宋体" w:hAnsi="宋体" w:cs="宋体"/>
          <w:b/>
          <w:color w:val="auto"/>
          <w:sz w:val="56"/>
          <w:szCs w:val="56"/>
          <w:highlight w:val="none"/>
          <w:lang w:eastAsia="zh-CN"/>
        </w:rPr>
      </w:pPr>
    </w:p>
    <w:p w14:paraId="4259D096">
      <w:pPr>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eastAsia="zh-CN"/>
        </w:rPr>
        <w:t>国道漫临线（G612）分水（县界）至临江段工程林业勘察设计服务</w:t>
      </w:r>
    </w:p>
    <w:p w14:paraId="70B2A0DA">
      <w:pPr>
        <w:jc w:val="center"/>
        <w:rPr>
          <w:rFonts w:hint="eastAsia" w:ascii="宋体" w:hAnsi="宋体" w:eastAsia="宋体" w:cs="宋体"/>
          <w:b/>
          <w:color w:val="auto"/>
          <w:sz w:val="36"/>
          <w:szCs w:val="36"/>
          <w:highlight w:val="none"/>
          <w:lang w:eastAsia="zh-CN"/>
        </w:rPr>
      </w:pPr>
    </w:p>
    <w:p w14:paraId="3421C215">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lang w:eastAsia="zh-CN"/>
        </w:rPr>
        <w:t>竞争性磋商文件</w:t>
      </w:r>
    </w:p>
    <w:p w14:paraId="6956EF17">
      <w:pPr>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u w:val="none"/>
          <w:lang w:eastAsia="zh-CN"/>
        </w:rPr>
        <w:t>JLHS202507245</w:t>
      </w:r>
    </w:p>
    <w:p w14:paraId="1813BF70">
      <w:pPr>
        <w:jc w:val="center"/>
        <w:rPr>
          <w:rFonts w:hint="eastAsia" w:ascii="宋体" w:hAnsi="宋体" w:eastAsia="宋体" w:cs="宋体"/>
          <w:b/>
          <w:color w:val="auto"/>
          <w:sz w:val="32"/>
          <w:szCs w:val="32"/>
          <w:highlight w:val="none"/>
          <w:lang w:eastAsia="zh-CN"/>
        </w:rPr>
      </w:pPr>
    </w:p>
    <w:p w14:paraId="33D5E64D">
      <w:pPr>
        <w:jc w:val="center"/>
        <w:rPr>
          <w:rFonts w:hint="eastAsia" w:ascii="宋体" w:hAnsi="宋体" w:eastAsia="宋体" w:cs="宋体"/>
          <w:b/>
          <w:color w:val="auto"/>
          <w:spacing w:val="0"/>
          <w:kern w:val="2"/>
          <w:sz w:val="32"/>
          <w:szCs w:val="32"/>
          <w:lang w:val="en-US" w:eastAsia="zh-CN" w:bidi="ar-SA"/>
        </w:rPr>
      </w:pPr>
    </w:p>
    <w:p w14:paraId="25F42596">
      <w:pPr>
        <w:jc w:val="center"/>
        <w:rPr>
          <w:rFonts w:hint="eastAsia" w:ascii="宋体" w:hAnsi="宋体" w:eastAsia="宋体" w:cs="宋体"/>
          <w:b/>
          <w:color w:val="auto"/>
          <w:spacing w:val="0"/>
          <w:kern w:val="2"/>
          <w:sz w:val="32"/>
          <w:szCs w:val="32"/>
          <w:lang w:val="en-US" w:eastAsia="zh-CN" w:bidi="ar-SA"/>
        </w:rPr>
      </w:pPr>
    </w:p>
    <w:p w14:paraId="6C3C861C">
      <w:pPr>
        <w:jc w:val="center"/>
        <w:rPr>
          <w:rFonts w:hint="eastAsia" w:ascii="宋体" w:hAnsi="宋体" w:eastAsia="宋体" w:cs="宋体"/>
          <w:b/>
          <w:color w:val="auto"/>
          <w:spacing w:val="0"/>
          <w:kern w:val="2"/>
          <w:sz w:val="32"/>
          <w:szCs w:val="32"/>
          <w:lang w:val="en-US" w:eastAsia="zh-CN" w:bidi="ar-SA"/>
        </w:rPr>
      </w:pPr>
    </w:p>
    <w:p w14:paraId="5F7CDC6E">
      <w:pPr>
        <w:jc w:val="center"/>
        <w:rPr>
          <w:rFonts w:hint="eastAsia" w:ascii="宋体" w:hAnsi="宋体" w:eastAsia="宋体" w:cs="宋体"/>
          <w:b/>
          <w:color w:val="auto"/>
          <w:spacing w:val="0"/>
          <w:kern w:val="2"/>
          <w:sz w:val="32"/>
          <w:szCs w:val="32"/>
          <w:lang w:val="en-US" w:eastAsia="zh-CN" w:bidi="ar-SA"/>
        </w:rPr>
      </w:pPr>
    </w:p>
    <w:p w14:paraId="4789974C">
      <w:pPr>
        <w:jc w:val="center"/>
        <w:rPr>
          <w:rFonts w:hint="eastAsia" w:ascii="宋体" w:hAnsi="宋体" w:eastAsia="宋体" w:cs="宋体"/>
          <w:b/>
          <w:color w:val="auto"/>
          <w:spacing w:val="0"/>
          <w:kern w:val="2"/>
          <w:sz w:val="32"/>
          <w:szCs w:val="32"/>
          <w:lang w:val="en-US" w:eastAsia="zh-CN" w:bidi="ar-SA"/>
        </w:rPr>
      </w:pPr>
    </w:p>
    <w:p w14:paraId="4D260C90">
      <w:pPr>
        <w:jc w:val="center"/>
        <w:rPr>
          <w:rFonts w:hint="eastAsia" w:ascii="宋体" w:hAnsi="宋体" w:eastAsia="宋体" w:cs="宋体"/>
          <w:b/>
          <w:color w:val="auto"/>
          <w:spacing w:val="0"/>
          <w:kern w:val="2"/>
          <w:sz w:val="32"/>
          <w:szCs w:val="32"/>
          <w:lang w:val="en-US" w:eastAsia="zh-CN" w:bidi="ar-SA"/>
        </w:rPr>
      </w:pPr>
    </w:p>
    <w:p w14:paraId="7346E763">
      <w:pPr>
        <w:jc w:val="center"/>
        <w:rPr>
          <w:rFonts w:hint="eastAsia" w:ascii="宋体" w:hAnsi="宋体" w:eastAsia="宋体" w:cs="宋体"/>
          <w:b/>
          <w:color w:val="auto"/>
          <w:spacing w:val="0"/>
          <w:kern w:val="2"/>
          <w:sz w:val="32"/>
          <w:szCs w:val="32"/>
          <w:lang w:val="en-US" w:eastAsia="zh-CN" w:bidi="ar-SA"/>
        </w:rPr>
      </w:pPr>
    </w:p>
    <w:p w14:paraId="36CD154D">
      <w:pPr>
        <w:jc w:val="center"/>
        <w:rPr>
          <w:rFonts w:hint="eastAsia" w:ascii="宋体" w:hAnsi="宋体" w:eastAsia="宋体" w:cs="宋体"/>
          <w:b/>
          <w:color w:val="auto"/>
          <w:spacing w:val="0"/>
          <w:kern w:val="2"/>
          <w:sz w:val="32"/>
          <w:szCs w:val="32"/>
          <w:lang w:val="en-US" w:eastAsia="zh-CN" w:bidi="ar-SA"/>
        </w:rPr>
      </w:pPr>
    </w:p>
    <w:p w14:paraId="382AC37C">
      <w:pPr>
        <w:spacing w:line="360" w:lineRule="auto"/>
        <w:jc w:val="center"/>
        <w:rPr>
          <w:rFonts w:hint="eastAsia" w:ascii="宋体" w:hAnsi="宋体" w:eastAsia="宋体" w:cs="宋体"/>
          <w:b/>
          <w:color w:val="auto"/>
          <w:spacing w:val="0"/>
          <w:kern w:val="2"/>
          <w:sz w:val="32"/>
          <w:szCs w:val="32"/>
          <w:lang w:val="en-US" w:eastAsia="zh-CN" w:bidi="ar-SA"/>
        </w:rPr>
      </w:pPr>
    </w:p>
    <w:p w14:paraId="3693B234">
      <w:pPr>
        <w:spacing w:line="360" w:lineRule="auto"/>
        <w:ind w:firstLine="1928" w:firstLineChars="600"/>
        <w:jc w:val="both"/>
        <w:rPr>
          <w:rFonts w:hint="default" w:ascii="宋体" w:hAnsi="宋体" w:eastAsia="宋体" w:cs="宋体"/>
          <w:b/>
          <w:color w:val="auto"/>
          <w:spacing w:val="0"/>
          <w:kern w:val="2"/>
          <w:sz w:val="32"/>
          <w:szCs w:val="32"/>
          <w:lang w:val="en-US" w:eastAsia="zh-CN" w:bidi="ar-SA"/>
        </w:rPr>
      </w:pPr>
      <w:r>
        <w:rPr>
          <w:rFonts w:hint="eastAsia" w:ascii="宋体" w:hAnsi="宋体" w:eastAsia="宋体" w:cs="宋体"/>
          <w:b/>
          <w:color w:val="auto"/>
          <w:spacing w:val="0"/>
          <w:kern w:val="2"/>
          <w:sz w:val="32"/>
          <w:szCs w:val="32"/>
          <w:lang w:val="en-US" w:eastAsia="zh-CN" w:bidi="ar-SA"/>
        </w:rPr>
        <w:t>采购人：</w:t>
      </w:r>
      <w:r>
        <w:rPr>
          <w:rFonts w:hint="eastAsia" w:ascii="宋体" w:hAnsi="宋体" w:cs="宋体"/>
          <w:b/>
          <w:color w:val="auto"/>
          <w:spacing w:val="0"/>
          <w:kern w:val="2"/>
          <w:sz w:val="32"/>
          <w:szCs w:val="32"/>
          <w:lang w:val="en-US" w:eastAsia="zh-CN" w:bidi="ar-SA"/>
        </w:rPr>
        <w:t>临江市交通运输局</w:t>
      </w:r>
    </w:p>
    <w:p w14:paraId="4E0919A9">
      <w:pPr>
        <w:spacing w:line="360" w:lineRule="auto"/>
        <w:ind w:firstLine="1928" w:firstLineChars="6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采购代理机构</w:t>
      </w:r>
      <w:r>
        <w:rPr>
          <w:rFonts w:hint="eastAsia" w:ascii="宋体" w:hAnsi="宋体" w:eastAsia="宋体" w:cs="宋体"/>
          <w:b/>
          <w:color w:val="auto"/>
          <w:sz w:val="32"/>
          <w:szCs w:val="32"/>
          <w:highlight w:val="none"/>
        </w:rPr>
        <w:t>：</w:t>
      </w:r>
      <w:r>
        <w:rPr>
          <w:rFonts w:hint="eastAsia" w:ascii="宋体" w:hAnsi="宋体" w:cs="宋体"/>
          <w:b/>
          <w:color w:val="auto"/>
          <w:sz w:val="32"/>
          <w:szCs w:val="32"/>
          <w:lang w:val="en-US" w:eastAsia="zh-CN"/>
        </w:rPr>
        <w:t>吉林省杭盛项目管理有限公司</w:t>
      </w:r>
    </w:p>
    <w:p w14:paraId="7F33A696">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二零二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年·长春</w:t>
      </w:r>
    </w:p>
    <w:p w14:paraId="329E1B7E">
      <w:pPr>
        <w:autoSpaceDE w:val="0"/>
        <w:autoSpaceDN w:val="0"/>
        <w:adjustRightInd w:val="0"/>
        <w:jc w:val="center"/>
        <w:rPr>
          <w:rFonts w:hint="eastAsia" w:ascii="宋体" w:hAnsi="宋体" w:eastAsia="宋体" w:cs="宋体"/>
          <w:b/>
          <w:color w:val="auto"/>
          <w:sz w:val="44"/>
          <w:highlight w:val="none"/>
          <w:lang w:val="zh-CN"/>
        </w:rPr>
      </w:pPr>
      <w:r>
        <w:rPr>
          <w:rFonts w:hint="eastAsia" w:ascii="宋体" w:hAnsi="宋体" w:eastAsia="宋体" w:cs="宋体"/>
          <w:b/>
          <w:color w:val="auto"/>
          <w:sz w:val="44"/>
          <w:highlight w:val="none"/>
          <w:lang w:val="zh-CN"/>
        </w:rPr>
        <w:br w:type="page"/>
      </w:r>
      <w:r>
        <w:rPr>
          <w:rFonts w:hint="eastAsia" w:ascii="宋体" w:hAnsi="宋体" w:eastAsia="宋体" w:cs="宋体"/>
          <w:b/>
          <w:color w:val="auto"/>
          <w:sz w:val="44"/>
          <w:highlight w:val="none"/>
          <w:lang w:val="zh-CN"/>
        </w:rPr>
        <w:t>目  录</w:t>
      </w:r>
    </w:p>
    <w:p w14:paraId="718F2DED">
      <w:pPr>
        <w:pStyle w:val="24"/>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b/>
          <w:color w:val="auto"/>
          <w:sz w:val="28"/>
          <w:szCs w:val="28"/>
          <w:highlight w:val="none"/>
          <w:lang w:val="zh-CN"/>
        </w:rPr>
        <w:fldChar w:fldCharType="begin"/>
      </w:r>
      <w:r>
        <w:rPr>
          <w:rFonts w:hint="eastAsia" w:ascii="宋体" w:hAnsi="宋体" w:eastAsia="宋体" w:cs="宋体"/>
          <w:b/>
          <w:color w:val="auto"/>
          <w:sz w:val="28"/>
          <w:szCs w:val="28"/>
          <w:highlight w:val="none"/>
          <w:lang w:val="zh-CN"/>
        </w:rPr>
        <w:instrText xml:space="preserve">TOC \o "1-1" \h \u </w:instrText>
      </w:r>
      <w:r>
        <w:rPr>
          <w:rFonts w:hint="eastAsia" w:ascii="宋体" w:hAnsi="宋体" w:eastAsia="宋体" w:cs="宋体"/>
          <w:b/>
          <w:color w:val="auto"/>
          <w:sz w:val="28"/>
          <w:szCs w:val="28"/>
          <w:highlight w:val="none"/>
          <w:lang w:val="zh-CN"/>
        </w:rPr>
        <w:fldChar w:fldCharType="separate"/>
      </w: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_Toc1084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第一章  </w:t>
      </w:r>
      <w:r>
        <w:rPr>
          <w:rFonts w:hint="eastAsia" w:ascii="宋体" w:hAnsi="宋体" w:eastAsia="宋体" w:cs="宋体"/>
          <w:bCs/>
          <w:color w:val="auto"/>
          <w:sz w:val="28"/>
          <w:szCs w:val="52"/>
          <w:highlight w:val="none"/>
          <w:lang w:eastAsia="zh-CN"/>
        </w:rPr>
        <w:t>竞争性磋商</w:t>
      </w:r>
      <w:r>
        <w:rPr>
          <w:rFonts w:hint="eastAsia" w:ascii="宋体" w:hAnsi="宋体" w:eastAsia="宋体" w:cs="宋体"/>
          <w:bCs/>
          <w:color w:val="auto"/>
          <w:sz w:val="28"/>
          <w:szCs w:val="52"/>
          <w:highlight w:val="none"/>
        </w:rPr>
        <w:t>公告</w:t>
      </w:r>
      <w:r>
        <w:rPr>
          <w:color w:val="auto"/>
          <w:sz w:val="28"/>
          <w:szCs w:val="24"/>
        </w:rPr>
        <w:tab/>
      </w:r>
      <w:r>
        <w:rPr>
          <w:color w:val="auto"/>
          <w:sz w:val="28"/>
          <w:szCs w:val="24"/>
        </w:rPr>
        <w:fldChar w:fldCharType="begin"/>
      </w:r>
      <w:r>
        <w:rPr>
          <w:color w:val="auto"/>
          <w:sz w:val="28"/>
          <w:szCs w:val="24"/>
        </w:rPr>
        <w:instrText xml:space="preserve"> PAGEREF _Toc1084 \h </w:instrText>
      </w:r>
      <w:r>
        <w:rPr>
          <w:color w:val="auto"/>
          <w:sz w:val="28"/>
          <w:szCs w:val="24"/>
        </w:rPr>
        <w:fldChar w:fldCharType="separate"/>
      </w:r>
      <w:r>
        <w:rPr>
          <w:color w:val="auto"/>
          <w:sz w:val="28"/>
          <w:szCs w:val="24"/>
        </w:rPr>
        <w:t>1</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76549536">
      <w:pPr>
        <w:pStyle w:val="24"/>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_Toc4365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第二章  </w:t>
      </w:r>
      <w:r>
        <w:rPr>
          <w:rFonts w:hint="eastAsia" w:ascii="宋体" w:hAnsi="宋体" w:eastAsia="宋体" w:cs="宋体"/>
          <w:color w:val="auto"/>
          <w:sz w:val="28"/>
          <w:szCs w:val="24"/>
          <w:highlight w:val="none"/>
          <w:lang w:eastAsia="zh-CN"/>
        </w:rPr>
        <w:t>供应商</w:t>
      </w:r>
      <w:r>
        <w:rPr>
          <w:rFonts w:hint="eastAsia" w:ascii="宋体" w:hAnsi="宋体" w:eastAsia="宋体" w:cs="宋体"/>
          <w:color w:val="auto"/>
          <w:sz w:val="28"/>
          <w:szCs w:val="24"/>
          <w:highlight w:val="none"/>
        </w:rPr>
        <w:t>须知</w:t>
      </w:r>
      <w:r>
        <w:rPr>
          <w:color w:val="auto"/>
          <w:sz w:val="28"/>
          <w:szCs w:val="24"/>
        </w:rPr>
        <w:tab/>
      </w:r>
      <w:r>
        <w:rPr>
          <w:color w:val="auto"/>
          <w:sz w:val="28"/>
          <w:szCs w:val="24"/>
        </w:rPr>
        <w:fldChar w:fldCharType="begin"/>
      </w:r>
      <w:r>
        <w:rPr>
          <w:color w:val="auto"/>
          <w:sz w:val="28"/>
          <w:szCs w:val="24"/>
        </w:rPr>
        <w:instrText xml:space="preserve"> PAGEREF _Toc4365 \h </w:instrText>
      </w:r>
      <w:r>
        <w:rPr>
          <w:color w:val="auto"/>
          <w:sz w:val="28"/>
          <w:szCs w:val="24"/>
        </w:rPr>
        <w:fldChar w:fldCharType="separate"/>
      </w:r>
      <w:r>
        <w:rPr>
          <w:color w:val="auto"/>
          <w:sz w:val="28"/>
          <w:szCs w:val="24"/>
        </w:rPr>
        <w:t>4</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2E566D41">
      <w:pPr>
        <w:pStyle w:val="24"/>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_Toc30740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第三章  </w:t>
      </w:r>
      <w:r>
        <w:rPr>
          <w:rFonts w:hint="eastAsia" w:ascii="宋体" w:hAnsi="宋体" w:eastAsia="宋体" w:cs="宋体"/>
          <w:bCs/>
          <w:color w:val="auto"/>
          <w:kern w:val="15"/>
          <w:sz w:val="28"/>
          <w:szCs w:val="28"/>
          <w:highlight w:val="none"/>
          <w:lang w:val="zh-CN"/>
        </w:rPr>
        <w:t>评</w:t>
      </w:r>
      <w:r>
        <w:rPr>
          <w:rFonts w:hint="eastAsia" w:ascii="宋体" w:hAnsi="宋体" w:cs="宋体"/>
          <w:bCs/>
          <w:color w:val="auto"/>
          <w:kern w:val="15"/>
          <w:sz w:val="28"/>
          <w:szCs w:val="28"/>
          <w:highlight w:val="none"/>
          <w:lang w:val="en-US" w:eastAsia="zh-CN"/>
        </w:rPr>
        <w:t>标方</w:t>
      </w:r>
      <w:r>
        <w:rPr>
          <w:rFonts w:hint="eastAsia" w:ascii="宋体" w:hAnsi="宋体" w:eastAsia="宋体" w:cs="宋体"/>
          <w:bCs/>
          <w:color w:val="auto"/>
          <w:kern w:val="15"/>
          <w:sz w:val="28"/>
          <w:szCs w:val="28"/>
          <w:highlight w:val="none"/>
          <w:lang w:val="zh-CN"/>
        </w:rPr>
        <w:t>法</w:t>
      </w:r>
      <w:r>
        <w:rPr>
          <w:rFonts w:hint="eastAsia" w:ascii="宋体" w:hAnsi="宋体" w:eastAsia="宋体" w:cs="宋体"/>
          <w:color w:val="auto"/>
          <w:sz w:val="28"/>
          <w:szCs w:val="24"/>
          <w:highlight w:val="none"/>
          <w:lang w:eastAsia="zh-CN"/>
        </w:rPr>
        <w:t>（</w:t>
      </w:r>
      <w:r>
        <w:rPr>
          <w:rFonts w:hint="eastAsia" w:ascii="宋体" w:hAnsi="宋体" w:eastAsia="宋体" w:cs="宋体"/>
          <w:color w:val="auto"/>
          <w:sz w:val="28"/>
          <w:szCs w:val="24"/>
          <w:highlight w:val="none"/>
          <w:lang w:val="en-US" w:eastAsia="zh-CN"/>
        </w:rPr>
        <w:t>综合评分法</w:t>
      </w:r>
      <w:r>
        <w:rPr>
          <w:rFonts w:hint="eastAsia" w:ascii="宋体" w:hAnsi="宋体" w:eastAsia="宋体" w:cs="宋体"/>
          <w:color w:val="auto"/>
          <w:sz w:val="28"/>
          <w:szCs w:val="24"/>
          <w:highlight w:val="none"/>
          <w:lang w:eastAsia="zh-CN"/>
        </w:rPr>
        <w:t>）</w:t>
      </w:r>
      <w:r>
        <w:rPr>
          <w:color w:val="auto"/>
          <w:sz w:val="28"/>
          <w:szCs w:val="24"/>
        </w:rPr>
        <w:tab/>
      </w:r>
      <w:r>
        <w:rPr>
          <w:color w:val="auto"/>
          <w:sz w:val="28"/>
          <w:szCs w:val="24"/>
        </w:rPr>
        <w:fldChar w:fldCharType="begin"/>
      </w:r>
      <w:r>
        <w:rPr>
          <w:color w:val="auto"/>
          <w:sz w:val="28"/>
          <w:szCs w:val="24"/>
        </w:rPr>
        <w:instrText xml:space="preserve"> PAGEREF _Toc30740 \h </w:instrText>
      </w:r>
      <w:r>
        <w:rPr>
          <w:color w:val="auto"/>
          <w:sz w:val="28"/>
          <w:szCs w:val="24"/>
        </w:rPr>
        <w:fldChar w:fldCharType="separate"/>
      </w:r>
      <w:r>
        <w:rPr>
          <w:color w:val="auto"/>
          <w:sz w:val="28"/>
          <w:szCs w:val="24"/>
        </w:rPr>
        <w:t>19</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0DE76A64">
      <w:pPr>
        <w:pStyle w:val="24"/>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_Toc12031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kern w:val="44"/>
          <w:sz w:val="28"/>
          <w:szCs w:val="32"/>
          <w:highlight w:val="none"/>
          <w:lang w:val="en-US" w:eastAsia="zh-CN" w:bidi="ar-SA"/>
        </w:rPr>
        <w:t>第四章  合同条款及格式</w:t>
      </w:r>
      <w:r>
        <w:rPr>
          <w:color w:val="auto"/>
          <w:sz w:val="28"/>
          <w:szCs w:val="24"/>
        </w:rPr>
        <w:tab/>
      </w:r>
      <w:r>
        <w:rPr>
          <w:color w:val="auto"/>
          <w:sz w:val="28"/>
          <w:szCs w:val="24"/>
        </w:rPr>
        <w:fldChar w:fldCharType="begin"/>
      </w:r>
      <w:r>
        <w:rPr>
          <w:color w:val="auto"/>
          <w:sz w:val="28"/>
          <w:szCs w:val="24"/>
        </w:rPr>
        <w:instrText xml:space="preserve"> PAGEREF _Toc12031 \h </w:instrText>
      </w:r>
      <w:r>
        <w:rPr>
          <w:color w:val="auto"/>
          <w:sz w:val="28"/>
          <w:szCs w:val="24"/>
        </w:rPr>
        <w:fldChar w:fldCharType="separate"/>
      </w:r>
      <w:r>
        <w:rPr>
          <w:color w:val="auto"/>
          <w:sz w:val="28"/>
          <w:szCs w:val="24"/>
        </w:rPr>
        <w:t>30</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0EEF6A7E">
      <w:pPr>
        <w:pStyle w:val="24"/>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_Toc18667 </w:instrText>
      </w:r>
      <w:r>
        <w:rPr>
          <w:rFonts w:hint="eastAsia" w:ascii="宋体" w:hAnsi="宋体" w:eastAsia="宋体" w:cs="宋体"/>
          <w:color w:val="auto"/>
          <w:sz w:val="28"/>
          <w:szCs w:val="28"/>
          <w:highlight w:val="none"/>
          <w:lang w:val="zh-CN"/>
        </w:rPr>
        <w:fldChar w:fldCharType="separate"/>
      </w:r>
      <w:r>
        <w:rPr>
          <w:rFonts w:hint="eastAsia" w:ascii="宋体" w:hAnsi="宋体" w:cs="宋体"/>
          <w:color w:val="auto"/>
          <w:sz w:val="28"/>
          <w:szCs w:val="24"/>
          <w:highlight w:val="none"/>
          <w:lang w:eastAsia="zh-CN"/>
        </w:rPr>
        <w:t>第五章</w:t>
      </w:r>
      <w:r>
        <w:rPr>
          <w:rFonts w:hint="eastAsia" w:ascii="宋体" w:hAnsi="宋体" w:eastAsia="宋体" w:cs="宋体"/>
          <w:color w:val="auto"/>
          <w:sz w:val="28"/>
          <w:szCs w:val="24"/>
          <w:highlight w:val="none"/>
        </w:rPr>
        <w:t xml:space="preserve"> </w:t>
      </w:r>
      <w:r>
        <w:rPr>
          <w:rFonts w:hint="eastAsia" w:ascii="宋体" w:hAnsi="宋体" w:cs="宋体"/>
          <w:color w:val="auto"/>
          <w:sz w:val="28"/>
          <w:szCs w:val="24"/>
          <w:highlight w:val="none"/>
          <w:lang w:val="en-US" w:eastAsia="zh-CN"/>
        </w:rPr>
        <w:t xml:space="preserve"> 采购需求</w:t>
      </w:r>
      <w:r>
        <w:rPr>
          <w:color w:val="auto"/>
          <w:sz w:val="28"/>
          <w:szCs w:val="24"/>
        </w:rPr>
        <w:tab/>
      </w:r>
      <w:r>
        <w:rPr>
          <w:color w:val="auto"/>
          <w:sz w:val="28"/>
          <w:szCs w:val="24"/>
        </w:rPr>
        <w:fldChar w:fldCharType="begin"/>
      </w:r>
      <w:r>
        <w:rPr>
          <w:color w:val="auto"/>
          <w:sz w:val="28"/>
          <w:szCs w:val="24"/>
        </w:rPr>
        <w:instrText xml:space="preserve"> PAGEREF _Toc18667 \h </w:instrText>
      </w:r>
      <w:r>
        <w:rPr>
          <w:color w:val="auto"/>
          <w:sz w:val="28"/>
          <w:szCs w:val="24"/>
        </w:rPr>
        <w:fldChar w:fldCharType="separate"/>
      </w:r>
      <w:r>
        <w:rPr>
          <w:color w:val="auto"/>
          <w:sz w:val="28"/>
          <w:szCs w:val="24"/>
        </w:rPr>
        <w:t>34</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43B788F4">
      <w:pPr>
        <w:pStyle w:val="24"/>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_Toc30478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第六章  </w:t>
      </w:r>
      <w:r>
        <w:rPr>
          <w:rFonts w:hint="eastAsia" w:ascii="宋体" w:hAnsi="宋体" w:eastAsia="宋体" w:cs="宋体"/>
          <w:color w:val="auto"/>
          <w:sz w:val="28"/>
          <w:szCs w:val="24"/>
          <w:highlight w:val="none"/>
          <w:lang w:eastAsia="zh-CN"/>
        </w:rPr>
        <w:t>响应文件</w:t>
      </w:r>
      <w:r>
        <w:rPr>
          <w:rFonts w:hint="eastAsia" w:ascii="宋体" w:hAnsi="宋体" w:eastAsia="宋体" w:cs="宋体"/>
          <w:color w:val="auto"/>
          <w:sz w:val="28"/>
          <w:szCs w:val="24"/>
          <w:highlight w:val="none"/>
        </w:rPr>
        <w:t>构成、要求及格式</w:t>
      </w:r>
      <w:r>
        <w:rPr>
          <w:color w:val="auto"/>
          <w:sz w:val="28"/>
          <w:szCs w:val="24"/>
        </w:rPr>
        <w:tab/>
      </w:r>
      <w:r>
        <w:rPr>
          <w:color w:val="auto"/>
          <w:sz w:val="28"/>
          <w:szCs w:val="24"/>
        </w:rPr>
        <w:fldChar w:fldCharType="begin"/>
      </w:r>
      <w:r>
        <w:rPr>
          <w:color w:val="auto"/>
          <w:sz w:val="28"/>
          <w:szCs w:val="24"/>
        </w:rPr>
        <w:instrText xml:space="preserve"> PAGEREF _Toc30478 \h </w:instrText>
      </w:r>
      <w:r>
        <w:rPr>
          <w:color w:val="auto"/>
          <w:sz w:val="28"/>
          <w:szCs w:val="24"/>
        </w:rPr>
        <w:fldChar w:fldCharType="separate"/>
      </w:r>
      <w:r>
        <w:rPr>
          <w:color w:val="auto"/>
          <w:sz w:val="28"/>
          <w:szCs w:val="24"/>
        </w:rPr>
        <w:t>35</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7CB82C74">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宋体" w:hAnsi="宋体" w:eastAsia="宋体" w:cs="宋体"/>
          <w:b/>
          <w:color w:val="auto"/>
          <w:szCs w:val="21"/>
          <w:highlight w:val="none"/>
          <w:lang w:val="zh-CN"/>
        </w:rPr>
      </w:pPr>
      <w:r>
        <w:rPr>
          <w:rFonts w:hint="eastAsia" w:ascii="宋体" w:hAnsi="宋体" w:eastAsia="宋体" w:cs="宋体"/>
          <w:color w:val="auto"/>
          <w:sz w:val="28"/>
          <w:szCs w:val="28"/>
          <w:highlight w:val="none"/>
          <w:lang w:val="zh-CN"/>
        </w:rPr>
        <w:fldChar w:fldCharType="end"/>
      </w:r>
      <w:bookmarkStart w:id="155" w:name="_GoBack"/>
      <w:bookmarkEnd w:id="155"/>
    </w:p>
    <w:p w14:paraId="65FE9CEB">
      <w:pPr>
        <w:autoSpaceDE w:val="0"/>
        <w:autoSpaceDN w:val="0"/>
        <w:adjustRightInd w:val="0"/>
        <w:rPr>
          <w:rFonts w:hint="eastAsia" w:ascii="宋体" w:hAnsi="宋体" w:eastAsia="宋体" w:cs="宋体"/>
          <w:b/>
          <w:color w:val="auto"/>
          <w:szCs w:val="21"/>
          <w:highlight w:val="none"/>
          <w:lang w:val="zh-CN"/>
        </w:rPr>
      </w:pPr>
    </w:p>
    <w:p w14:paraId="7A7EA91D">
      <w:pPr>
        <w:pStyle w:val="18"/>
        <w:jc w:val="center"/>
        <w:rPr>
          <w:rFonts w:hint="eastAsia" w:ascii="宋体" w:hAnsi="宋体" w:eastAsia="宋体" w:cs="宋体"/>
          <w:b/>
          <w:color w:val="auto"/>
          <w:szCs w:val="21"/>
          <w:highlight w:val="none"/>
        </w:rPr>
      </w:pPr>
    </w:p>
    <w:p w14:paraId="0EABC50F">
      <w:pPr>
        <w:rPr>
          <w:rFonts w:hint="eastAsia" w:ascii="宋体" w:hAnsi="宋体" w:eastAsia="宋体" w:cs="宋体"/>
          <w:color w:val="auto"/>
          <w:highlight w:val="none"/>
        </w:rPr>
      </w:pPr>
    </w:p>
    <w:p w14:paraId="1B85790B">
      <w:pPr>
        <w:rPr>
          <w:rFonts w:hint="eastAsia" w:ascii="宋体" w:hAnsi="宋体" w:eastAsia="宋体" w:cs="宋体"/>
          <w:color w:val="auto"/>
          <w:highlight w:val="none"/>
        </w:rPr>
      </w:pPr>
    </w:p>
    <w:p w14:paraId="63BA7667">
      <w:pPr>
        <w:rPr>
          <w:rFonts w:hint="eastAsia" w:ascii="宋体" w:hAnsi="宋体" w:eastAsia="宋体" w:cs="宋体"/>
          <w:color w:val="auto"/>
          <w:highlight w:val="none"/>
        </w:rPr>
      </w:pPr>
    </w:p>
    <w:p w14:paraId="3E6953DC">
      <w:pPr>
        <w:rPr>
          <w:rFonts w:hint="eastAsia" w:ascii="宋体" w:hAnsi="宋体" w:eastAsia="宋体" w:cs="宋体"/>
          <w:color w:val="auto"/>
          <w:highlight w:val="none"/>
        </w:rPr>
      </w:pPr>
    </w:p>
    <w:p w14:paraId="27929647">
      <w:pPr>
        <w:tabs>
          <w:tab w:val="left" w:pos="6969"/>
        </w:tabs>
        <w:rPr>
          <w:rFonts w:hint="eastAsia" w:ascii="宋体" w:hAnsi="宋体" w:eastAsia="宋体" w:cs="宋体"/>
          <w:color w:val="auto"/>
          <w:highlight w:val="none"/>
        </w:rPr>
      </w:pPr>
      <w:r>
        <w:rPr>
          <w:rFonts w:hint="eastAsia" w:ascii="宋体" w:hAnsi="宋体" w:eastAsia="宋体" w:cs="宋体"/>
          <w:color w:val="auto"/>
          <w:highlight w:val="none"/>
        </w:rPr>
        <w:tab/>
      </w:r>
    </w:p>
    <w:p w14:paraId="7CED6A0B">
      <w:pPr>
        <w:rPr>
          <w:rFonts w:hint="eastAsia" w:ascii="宋体" w:hAnsi="宋体" w:eastAsia="宋体" w:cs="宋体"/>
          <w:color w:val="auto"/>
          <w:highlight w:val="none"/>
        </w:rPr>
      </w:pPr>
    </w:p>
    <w:p w14:paraId="2C6BA4AD">
      <w:pPr>
        <w:rPr>
          <w:rFonts w:hint="eastAsia" w:ascii="宋体" w:hAnsi="宋体" w:eastAsia="宋体" w:cs="宋体"/>
          <w:color w:val="auto"/>
          <w:highlight w:val="none"/>
        </w:rPr>
        <w:sectPr>
          <w:headerReference r:id="rId3" w:type="first"/>
          <w:footerReference r:id="rId6" w:type="first"/>
          <w:footerReference r:id="rId4" w:type="default"/>
          <w:footerReference r:id="rId5" w:type="even"/>
          <w:pgSz w:w="11906" w:h="16838"/>
          <w:pgMar w:top="1440" w:right="1080" w:bottom="1440" w:left="1080" w:header="567" w:footer="737" w:gutter="0"/>
          <w:pgBorders>
            <w:top w:val="none" w:sz="0" w:space="0"/>
            <w:left w:val="none" w:sz="0" w:space="0"/>
            <w:bottom w:val="none" w:sz="0" w:space="0"/>
            <w:right w:val="none" w:sz="0" w:space="0"/>
          </w:pgBorders>
          <w:pgNumType w:start="0"/>
          <w:cols w:space="720" w:num="1"/>
          <w:titlePg/>
          <w:docGrid w:type="lines" w:linePitch="490" w:charSpace="0"/>
        </w:sectPr>
      </w:pPr>
    </w:p>
    <w:p w14:paraId="05B21CAF">
      <w:pPr>
        <w:pStyle w:val="2"/>
        <w:keepNext/>
        <w:keepLines/>
        <w:pageBreakBefore w:val="0"/>
        <w:widowControl w:val="0"/>
        <w:tabs>
          <w:tab w:val="left" w:pos="432"/>
        </w:tabs>
        <w:kinsoku/>
        <w:wordWrap/>
        <w:overflowPunct/>
        <w:topLinePunct w:val="0"/>
        <w:autoSpaceDE/>
        <w:autoSpaceDN/>
        <w:bidi w:val="0"/>
        <w:adjustRightInd/>
        <w:snapToGrid/>
        <w:spacing w:before="0" w:after="157" w:afterLines="50" w:line="360" w:lineRule="auto"/>
        <w:ind w:left="431" w:hanging="431"/>
        <w:jc w:val="center"/>
        <w:textAlignment w:val="auto"/>
        <w:rPr>
          <w:rFonts w:hint="eastAsia" w:ascii="宋体" w:hAnsi="宋体" w:eastAsia="宋体" w:cs="宋体"/>
          <w:bCs/>
          <w:color w:val="auto"/>
          <w:sz w:val="44"/>
          <w:szCs w:val="44"/>
        </w:rPr>
      </w:pPr>
      <w:bookmarkStart w:id="0" w:name="_Toc29547239"/>
      <w:bookmarkStart w:id="1" w:name="_Toc23340"/>
      <w:bookmarkStart w:id="2" w:name="_Toc1084"/>
      <w:bookmarkStart w:id="3" w:name="_Toc23568"/>
      <w:r>
        <w:rPr>
          <w:rFonts w:hint="eastAsia" w:ascii="宋体" w:hAnsi="宋体" w:eastAsia="宋体" w:cs="宋体"/>
          <w:bCs/>
          <w:color w:val="auto"/>
          <w:sz w:val="44"/>
          <w:szCs w:val="44"/>
        </w:rPr>
        <w:t xml:space="preserve">第一章 </w:t>
      </w:r>
      <w:bookmarkEnd w:id="0"/>
      <w:bookmarkStart w:id="4" w:name="_Toc12966013"/>
      <w:r>
        <w:rPr>
          <w:rFonts w:hint="eastAsia" w:ascii="宋体" w:hAnsi="宋体" w:eastAsia="宋体" w:cs="宋体"/>
          <w:bCs/>
          <w:color w:val="auto"/>
          <w:sz w:val="44"/>
          <w:szCs w:val="44"/>
          <w:lang w:eastAsia="zh-CN"/>
        </w:rPr>
        <w:t>竞争性磋商</w:t>
      </w:r>
      <w:r>
        <w:rPr>
          <w:rFonts w:hint="eastAsia" w:ascii="宋体" w:hAnsi="宋体" w:eastAsia="宋体" w:cs="宋体"/>
          <w:bCs/>
          <w:color w:val="auto"/>
          <w:sz w:val="44"/>
          <w:szCs w:val="44"/>
        </w:rPr>
        <w:t>公告</w:t>
      </w:r>
      <w:bookmarkEnd w:id="1"/>
      <w:bookmarkEnd w:id="2"/>
      <w:bookmarkEnd w:id="3"/>
      <w:bookmarkEnd w:id="4"/>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7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tcBorders>
              <w:tl2br w:val="nil"/>
              <w:tr2bl w:val="nil"/>
            </w:tcBorders>
            <w:vAlign w:val="top"/>
          </w:tcPr>
          <w:p w14:paraId="6F9EF319">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22" w:firstLineChars="200"/>
              <w:textAlignment w:val="auto"/>
              <w:rPr>
                <w:rFonts w:hint="eastAsia" w:ascii="宋体" w:hAnsi="宋体" w:eastAsia="宋体" w:cs="宋体"/>
                <w:b/>
                <w:bCs/>
                <w:color w:val="auto"/>
                <w:sz w:val="21"/>
                <w:szCs w:val="21"/>
                <w:vertAlign w:val="baseline"/>
                <w:lang w:val="en-US" w:eastAsia="zh-CN"/>
              </w:rPr>
            </w:pPr>
            <w:bookmarkStart w:id="5" w:name="_Toc359494608"/>
            <w:r>
              <w:rPr>
                <w:rFonts w:hint="eastAsia" w:ascii="宋体" w:hAnsi="宋体" w:eastAsia="宋体" w:cs="宋体"/>
                <w:b/>
                <w:bCs/>
                <w:color w:val="auto"/>
                <w:sz w:val="21"/>
                <w:szCs w:val="21"/>
                <w:lang w:val="en-US" w:eastAsia="zh-CN"/>
              </w:rPr>
              <w:t>项目概况</w:t>
            </w:r>
          </w:p>
        </w:tc>
      </w:tr>
      <w:tr w14:paraId="733F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l2br w:val="nil"/>
              <w:tr2bl w:val="nil"/>
            </w:tcBorders>
            <w:vAlign w:val="top"/>
          </w:tcPr>
          <w:p w14:paraId="67BE185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cs="宋体"/>
                <w:color w:val="auto"/>
                <w:sz w:val="21"/>
                <w:szCs w:val="21"/>
                <w:u w:val="single"/>
                <w:lang w:val="en-US" w:eastAsia="zh-CN"/>
              </w:rPr>
              <w:t>国道漫临线（G612）分水（县界）至临江段工程林业勘察设计服务</w:t>
            </w:r>
            <w:r>
              <w:rPr>
                <w:rFonts w:hint="eastAsia" w:ascii="宋体" w:hAnsi="宋体" w:eastAsia="宋体" w:cs="宋体"/>
                <w:color w:val="auto"/>
                <w:sz w:val="21"/>
                <w:szCs w:val="21"/>
                <w:lang w:val="en-US" w:eastAsia="zh-CN"/>
              </w:rPr>
              <w:t>的潜在供应商应在</w:t>
            </w:r>
            <w:r>
              <w:rPr>
                <w:rFonts w:hint="eastAsia" w:ascii="宋体" w:hAnsi="宋体" w:eastAsia="宋体" w:cs="宋体"/>
                <w:color w:val="auto"/>
                <w:sz w:val="21"/>
                <w:szCs w:val="21"/>
                <w:u w:val="single"/>
                <w:lang w:val="en-US" w:eastAsia="zh-CN"/>
              </w:rPr>
              <w:t>“政采云”平台(https://www.zcygov.cn/)</w:t>
            </w:r>
            <w:r>
              <w:rPr>
                <w:rFonts w:hint="eastAsia" w:ascii="宋体" w:hAnsi="宋体" w:eastAsia="宋体" w:cs="宋体"/>
                <w:color w:val="auto"/>
                <w:sz w:val="21"/>
                <w:szCs w:val="21"/>
                <w:lang w:val="en-US" w:eastAsia="zh-CN"/>
              </w:rPr>
              <w:t>获取采购文件，并于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点</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color w:val="auto"/>
                <w:sz w:val="21"/>
                <w:szCs w:val="21"/>
                <w:highlight w:val="none"/>
                <w:lang w:val="en-US" w:eastAsia="zh-CN"/>
              </w:rPr>
              <w:t>（北京时间）前提交响应文件。</w:t>
            </w:r>
          </w:p>
        </w:tc>
      </w:tr>
    </w:tbl>
    <w:p w14:paraId="3A3DD21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一、项目基本情况</w:t>
      </w:r>
    </w:p>
    <w:p w14:paraId="6A1EA6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1.项目编号：</w:t>
      </w:r>
      <w:r>
        <w:rPr>
          <w:rFonts w:hint="eastAsia" w:ascii="宋体" w:hAnsi="宋体" w:cs="宋体"/>
          <w:color w:val="auto"/>
          <w:sz w:val="21"/>
          <w:szCs w:val="21"/>
          <w:highlight w:val="none"/>
          <w:lang w:val="en-US" w:eastAsia="zh-CN"/>
        </w:rPr>
        <w:t>JLHS202507245</w:t>
      </w:r>
      <w:r>
        <w:rPr>
          <w:rFonts w:hint="eastAsia" w:ascii="宋体" w:hAnsi="宋体" w:eastAsia="宋体" w:cs="宋体"/>
          <w:color w:val="auto"/>
          <w:sz w:val="21"/>
          <w:szCs w:val="21"/>
          <w:highlight w:val="none"/>
          <w:lang w:val="en-US" w:eastAsia="zh-CN"/>
        </w:rPr>
        <w:t>（采购计划-[2025]-00077号）</w:t>
      </w:r>
    </w:p>
    <w:p w14:paraId="2111A7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2.项目名称：</w:t>
      </w:r>
      <w:r>
        <w:rPr>
          <w:rFonts w:hint="eastAsia" w:ascii="宋体" w:hAnsi="宋体" w:cs="宋体"/>
          <w:color w:val="auto"/>
          <w:sz w:val="21"/>
          <w:szCs w:val="21"/>
          <w:lang w:val="en-US" w:eastAsia="zh-CN"/>
        </w:rPr>
        <w:t>国道漫临线（G612）分水（县界）至临江段工程林业勘察设计服务</w:t>
      </w:r>
    </w:p>
    <w:p w14:paraId="52A271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3.采购方式：竞争性磋商</w:t>
      </w:r>
    </w:p>
    <w:p w14:paraId="5B1B59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4.预算金额：</w:t>
      </w:r>
      <w:r>
        <w:rPr>
          <w:rFonts w:hint="eastAsia" w:ascii="宋体" w:hAnsi="宋体" w:cs="宋体"/>
          <w:color w:val="auto"/>
          <w:sz w:val="21"/>
          <w:szCs w:val="21"/>
          <w:lang w:val="en-US" w:eastAsia="zh-CN"/>
        </w:rPr>
        <w:t>1220300</w:t>
      </w:r>
      <w:r>
        <w:rPr>
          <w:rFonts w:hint="eastAsia" w:ascii="宋体" w:hAnsi="宋体" w:eastAsia="宋体" w:cs="宋体"/>
          <w:color w:val="auto"/>
          <w:sz w:val="21"/>
          <w:szCs w:val="21"/>
          <w:lang w:val="en-US" w:eastAsia="zh-CN"/>
        </w:rPr>
        <w:t>.00元</w:t>
      </w:r>
    </w:p>
    <w:p w14:paraId="2294729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5.最高限价：</w:t>
      </w:r>
      <w:r>
        <w:rPr>
          <w:rFonts w:hint="eastAsia" w:ascii="宋体" w:hAnsi="宋体" w:cs="宋体"/>
          <w:color w:val="auto"/>
          <w:sz w:val="21"/>
          <w:szCs w:val="21"/>
          <w:lang w:val="en-US" w:eastAsia="zh-CN"/>
        </w:rPr>
        <w:t>1220300.00元</w:t>
      </w:r>
    </w:p>
    <w:p w14:paraId="5B1FB9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6.采购需求：</w:t>
      </w:r>
      <w:r>
        <w:rPr>
          <w:rFonts w:hint="eastAsia" w:ascii="宋体" w:hAnsi="宋体" w:cs="宋体"/>
          <w:color w:val="auto"/>
          <w:sz w:val="21"/>
          <w:szCs w:val="21"/>
          <w:highlight w:val="none"/>
          <w:lang w:val="en-US" w:eastAsia="zh-CN"/>
        </w:rPr>
        <w:t>国道漫临线（G612）分水（县界）至临江段工程林业勘察设计服务</w:t>
      </w:r>
      <w:r>
        <w:rPr>
          <w:rFonts w:hint="eastAsia" w:ascii="宋体" w:hAnsi="宋体" w:eastAsia="宋体" w:cs="宋体"/>
          <w:color w:val="auto"/>
          <w:sz w:val="21"/>
          <w:szCs w:val="21"/>
          <w:highlight w:val="none"/>
          <w:lang w:val="en-US" w:eastAsia="zh-CN"/>
        </w:rPr>
        <w:t>，详见采购需求</w:t>
      </w:r>
      <w:r>
        <w:rPr>
          <w:rFonts w:hint="eastAsia" w:ascii="宋体" w:hAnsi="宋体" w:eastAsia="宋体" w:cs="宋体"/>
          <w:color w:val="auto"/>
          <w:sz w:val="21"/>
          <w:szCs w:val="21"/>
          <w:highlight w:val="none"/>
          <w:lang w:val="en-GB" w:eastAsia="zh-CN"/>
        </w:rPr>
        <w:t>；</w:t>
      </w:r>
    </w:p>
    <w:p w14:paraId="3275CD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lang w:val="en-US" w:eastAsia="zh-CN"/>
        </w:rPr>
        <w:t>7.合同履约</w:t>
      </w:r>
      <w:r>
        <w:rPr>
          <w:rFonts w:hint="eastAsia" w:ascii="宋体" w:hAnsi="宋体" w:eastAsia="宋体" w:cs="宋体"/>
          <w:color w:val="auto"/>
          <w:sz w:val="21"/>
          <w:szCs w:val="21"/>
          <w:lang w:val="en-GB" w:eastAsia="zh-CN"/>
        </w:rPr>
        <w:t>期限：</w:t>
      </w:r>
      <w:r>
        <w:rPr>
          <w:rFonts w:hint="eastAsia" w:ascii="宋体" w:hAnsi="宋体" w:cs="宋体"/>
          <w:color w:val="auto"/>
          <w:sz w:val="21"/>
          <w:szCs w:val="21"/>
          <w:highlight w:val="none"/>
          <w:lang w:val="en-GB" w:eastAsia="zh-CN"/>
        </w:rPr>
        <w:t>自委托协议签订之日起6个月内完成使用林地可行性报告编制；取得使用林地审核同意书后1个月内完成国家重点保护野生植物采集（补植）方案、采伐调查设计资料</w:t>
      </w:r>
      <w:r>
        <w:rPr>
          <w:rFonts w:hint="eastAsia" w:ascii="宋体" w:hAnsi="宋体" w:eastAsia="宋体" w:cs="宋体"/>
          <w:color w:val="auto"/>
          <w:sz w:val="21"/>
          <w:szCs w:val="21"/>
          <w:highlight w:val="none"/>
          <w:lang w:val="en-US" w:eastAsia="zh-CN"/>
        </w:rPr>
        <w:t>；</w:t>
      </w:r>
    </w:p>
    <w:p w14:paraId="73B2D9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8.服务地点：</w:t>
      </w:r>
      <w:r>
        <w:rPr>
          <w:rFonts w:hint="eastAsia" w:ascii="宋体" w:hAnsi="宋体" w:cs="宋体"/>
          <w:color w:val="auto"/>
          <w:sz w:val="21"/>
          <w:szCs w:val="21"/>
          <w:lang w:val="en-US" w:eastAsia="zh-CN"/>
        </w:rPr>
        <w:t>临江市</w:t>
      </w:r>
      <w:r>
        <w:rPr>
          <w:rFonts w:hint="eastAsia" w:ascii="宋体" w:hAnsi="宋体" w:eastAsia="宋体" w:cs="宋体"/>
          <w:color w:val="auto"/>
          <w:sz w:val="21"/>
          <w:szCs w:val="21"/>
          <w:lang w:val="en-US" w:eastAsia="zh-CN"/>
        </w:rPr>
        <w:t>；</w:t>
      </w:r>
    </w:p>
    <w:p w14:paraId="488643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9.本项目不接受联合体。</w:t>
      </w:r>
    </w:p>
    <w:p w14:paraId="4D9B8A3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二、申请人的资格要求：</w:t>
      </w:r>
    </w:p>
    <w:p w14:paraId="2D9879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1.满足《中华人民共和国政府采购法》第二十二条规定；</w:t>
      </w:r>
    </w:p>
    <w:p w14:paraId="4F2D15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2.落实政府采购政策需满足的资格要求：</w:t>
      </w:r>
      <w:r>
        <w:rPr>
          <w:rFonts w:hint="eastAsia" w:ascii="宋体" w:hAnsi="宋体" w:eastAsia="宋体" w:cs="宋体"/>
          <w:color w:val="auto"/>
          <w:sz w:val="21"/>
          <w:szCs w:val="21"/>
          <w:u w:val="single"/>
          <w:lang w:val="en-US" w:eastAsia="zh-CN"/>
        </w:rPr>
        <w:t>本项目为</w:t>
      </w:r>
      <w:r>
        <w:rPr>
          <w:rFonts w:hint="eastAsia" w:ascii="宋体" w:hAnsi="宋体" w:cs="宋体"/>
          <w:color w:val="auto"/>
          <w:sz w:val="21"/>
          <w:szCs w:val="21"/>
          <w:u w:val="single"/>
          <w:lang w:val="en-US" w:eastAsia="zh-CN"/>
        </w:rPr>
        <w:t>非</w:t>
      </w:r>
      <w:r>
        <w:rPr>
          <w:rFonts w:hint="eastAsia" w:ascii="宋体" w:hAnsi="宋体" w:eastAsia="宋体" w:cs="宋体"/>
          <w:color w:val="auto"/>
          <w:sz w:val="21"/>
          <w:szCs w:val="21"/>
          <w:u w:val="single"/>
          <w:lang w:val="en-US" w:eastAsia="zh-CN"/>
        </w:rPr>
        <w:t>专门面向中小企业的采购项目</w:t>
      </w:r>
      <w:r>
        <w:rPr>
          <w:rFonts w:hint="eastAsia" w:ascii="宋体" w:hAnsi="宋体" w:eastAsia="宋体" w:cs="宋体"/>
          <w:color w:val="auto"/>
          <w:sz w:val="21"/>
          <w:szCs w:val="21"/>
          <w:lang w:val="en-US" w:eastAsia="zh-CN"/>
        </w:rPr>
        <w:t>；</w:t>
      </w:r>
    </w:p>
    <w:p w14:paraId="6D451C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3.本项目的特定资格要求：</w:t>
      </w:r>
    </w:p>
    <w:p w14:paraId="1DC3EB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3.1申请人需具备独立承担民事行为能力的法人，具备有效的营业执照；具有履行合同所必需的设备、资金和专业技术能力；</w:t>
      </w:r>
    </w:p>
    <w:p w14:paraId="6D9161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供应商须具有中国林业工程建设协会颁发的林业调查规划设计乙级及以上资质证书</w:t>
      </w:r>
      <w:r>
        <w:rPr>
          <w:rFonts w:hint="eastAsia" w:ascii="宋体" w:hAnsi="宋体" w:eastAsia="宋体" w:cs="宋体"/>
          <w:color w:val="auto"/>
          <w:sz w:val="21"/>
          <w:szCs w:val="21"/>
          <w:highlight w:val="none"/>
          <w:lang w:val="en-US" w:eastAsia="zh-CN"/>
        </w:rPr>
        <w:t>，项目负责人须具有相关专业中级及</w:t>
      </w:r>
      <w:r>
        <w:rPr>
          <w:rFonts w:hint="eastAsia" w:ascii="宋体" w:hAnsi="宋体" w:eastAsia="宋体" w:cs="宋体"/>
          <w:color w:val="auto"/>
          <w:sz w:val="21"/>
          <w:szCs w:val="21"/>
          <w:lang w:val="en-US" w:eastAsia="zh-CN"/>
        </w:rPr>
        <w:t>以上职称；</w:t>
      </w:r>
    </w:p>
    <w:p w14:paraId="635982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en-US" w:eastAsia="zh-CN"/>
        </w:rPr>
        <w:t>具有良好的商业信誉和健全的财务会计制度，提供近三年（202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年度-202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年度）经会计师事务所审计的财务审计报告（成立不足三年的企业需提供成立当年至202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color w:val="auto"/>
          <w:sz w:val="21"/>
          <w:szCs w:val="21"/>
          <w:lang w:val="en-US" w:eastAsia="zh-CN"/>
        </w:rPr>
        <w:t>为202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以后</w:t>
      </w:r>
      <w:r>
        <w:rPr>
          <w:rFonts w:hint="eastAsia" w:ascii="宋体" w:hAnsi="宋体" w:eastAsia="宋体" w:cs="宋体"/>
          <w:color w:val="auto"/>
          <w:sz w:val="21"/>
          <w:szCs w:val="21"/>
          <w:lang w:val="en-US" w:eastAsia="zh-CN"/>
        </w:rPr>
        <w:t>注册成立的公司，提供基本开户行出具的银行资信证明）；</w:t>
      </w:r>
    </w:p>
    <w:p w14:paraId="62D9F4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有依法缴纳税收和社会保障资金的良好记录，202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月1日以后任意</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个月的依法缴纳税收和社会保障资金良好记录的证明文件，依法免税免社会保障资金的，应提供相应证明文件；</w:t>
      </w:r>
    </w:p>
    <w:p w14:paraId="01262B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信誉要求：</w:t>
      </w:r>
    </w:p>
    <w:p w14:paraId="3EC0A6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①拒绝列入政府取消投标资格记录期间的企业或个人投标；</w:t>
      </w:r>
    </w:p>
    <w:p w14:paraId="5F07AC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②未被“中国政府采购网”列入政府采购严重违法失信行为记录名单；</w:t>
      </w:r>
    </w:p>
    <w:p w14:paraId="293305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③未被“信用中国”网站中列入失信被执行人或重大税收违法失信主体；</w:t>
      </w:r>
    </w:p>
    <w:p w14:paraId="24A1C1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④参加政府采购活动前三年内，在经营活动中没有重大违法记录；</w:t>
      </w:r>
    </w:p>
    <w:p w14:paraId="40714D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本项目不允许分包；</w:t>
      </w:r>
    </w:p>
    <w:p w14:paraId="7B5FD6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单位负责人为同一人或者存在直接控股、管理关系的不同供应商，不得参加同一合同项下的政府采购活动。</w:t>
      </w:r>
    </w:p>
    <w:p w14:paraId="1C693B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三、获取采购文件</w:t>
      </w:r>
    </w:p>
    <w:p w14:paraId="64F6CF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日至202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lang w:val="en-US" w:eastAsia="zh-CN"/>
        </w:rPr>
        <w:t xml:space="preserve">（北京时间，法定节假日除外）。 </w:t>
      </w:r>
    </w:p>
    <w:p w14:paraId="7B38DC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地点：“政采云”平台(http：//www.zcygov.cn)。</w:t>
      </w:r>
    </w:p>
    <w:p w14:paraId="19A97B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式：本项目不发放纸质版招标文件。供应商可自行在“政采云”平台（https://www.zcygov.cn/）下载采购文件（操作路径：登录“政采云”平台-项目采购-获取采购文件-找到本项目-点击“申请获取采购文件”），电子投标文件制作需要基于“政采云”平台获取的采购文件编制。</w:t>
      </w:r>
    </w:p>
    <w:p w14:paraId="0FAC98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售价：免费获取。</w:t>
      </w:r>
    </w:p>
    <w:p w14:paraId="4723048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四、响应文件提交</w:t>
      </w:r>
    </w:p>
    <w:p w14:paraId="30C735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点</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0分（北京时间）</w:t>
      </w:r>
    </w:p>
    <w:p w14:paraId="03AD49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eastAsia="zh-CN"/>
        </w:rPr>
        <w:t>在</w:t>
      </w:r>
      <w:r>
        <w:rPr>
          <w:rFonts w:hint="eastAsia" w:ascii="宋体" w:hAnsi="宋体" w:eastAsia="宋体" w:cs="宋体"/>
          <w:color w:val="auto"/>
          <w:sz w:val="21"/>
          <w:szCs w:val="21"/>
          <w:highlight w:val="none"/>
          <w:lang w:val="en-US" w:eastAsia="zh-CN"/>
        </w:rPr>
        <w:t>“政采云”平台(http：//www.zcygov.cn)</w:t>
      </w:r>
      <w:r>
        <w:rPr>
          <w:rFonts w:hint="eastAsia" w:ascii="宋体" w:hAnsi="宋体" w:eastAsia="宋体" w:cs="宋体"/>
          <w:color w:val="auto"/>
          <w:sz w:val="21"/>
          <w:szCs w:val="21"/>
          <w:highlight w:val="none"/>
          <w:lang w:val="zh-CN" w:eastAsia="zh-CN"/>
        </w:rPr>
        <w:t>上传电子加密投标文件</w:t>
      </w:r>
    </w:p>
    <w:p w14:paraId="19E480E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五、开启</w:t>
      </w:r>
    </w:p>
    <w:p w14:paraId="043052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点</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0分（北京时间）</w:t>
      </w:r>
    </w:p>
    <w:p w14:paraId="1F52CF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w:t>
      </w:r>
      <w:r>
        <w:rPr>
          <w:rFonts w:hint="eastAsia" w:ascii="宋体" w:hAnsi="宋体" w:cs="宋体"/>
          <w:color w:val="auto"/>
          <w:sz w:val="21"/>
          <w:szCs w:val="21"/>
          <w:lang w:val="zh-CN" w:eastAsia="zh-CN"/>
        </w:rPr>
        <w:t>吉林省白山市浑江区白山市浑江区红旗街578号国投大厦3</w:t>
      </w:r>
      <w:r>
        <w:rPr>
          <w:rFonts w:hint="eastAsia" w:ascii="宋体" w:hAnsi="宋体" w:cs="宋体"/>
          <w:color w:val="auto"/>
          <w:sz w:val="21"/>
          <w:szCs w:val="21"/>
          <w:highlight w:val="none"/>
          <w:lang w:val="zh-CN" w:eastAsia="zh-CN"/>
        </w:rPr>
        <w:t>楼开标室</w:t>
      </w:r>
      <w:r>
        <w:rPr>
          <w:rFonts w:hint="eastAsia" w:ascii="宋体" w:hAnsi="宋体" w:cs="宋体"/>
          <w:color w:val="auto"/>
          <w:sz w:val="21"/>
          <w:szCs w:val="21"/>
          <w:highlight w:val="none"/>
          <w:lang w:val="en-US" w:eastAsia="zh-CN"/>
        </w:rPr>
        <w:t>1</w:t>
      </w:r>
    </w:p>
    <w:p w14:paraId="572E130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六、公告期限</w:t>
      </w:r>
    </w:p>
    <w:p w14:paraId="2EFAEB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自本公告发布之日起5个工作日。</w:t>
      </w:r>
    </w:p>
    <w:p w14:paraId="4788537A">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七、其他补充事宜</w:t>
      </w:r>
    </w:p>
    <w:p w14:paraId="43EE35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1.本次磋商公告在“政采云”平台上发布并同时推送至《中国政府采购网》</w:t>
      </w:r>
      <w:r>
        <w:rPr>
          <w:rFonts w:hint="eastAsia" w:ascii="宋体" w:hAnsi="宋体" w:cs="宋体"/>
          <w:color w:val="auto"/>
          <w:sz w:val="21"/>
          <w:szCs w:val="21"/>
          <w:lang w:val="en-US" w:eastAsia="zh-CN"/>
        </w:rPr>
        <w:t>、《吉林省政府采购网》、</w:t>
      </w:r>
      <w:r>
        <w:rPr>
          <w:rFonts w:hint="eastAsia" w:ascii="宋体" w:hAnsi="宋体" w:eastAsia="宋体" w:cs="宋体"/>
          <w:color w:val="auto"/>
          <w:sz w:val="21"/>
          <w:szCs w:val="21"/>
          <w:lang w:val="en-US" w:eastAsia="zh-CN"/>
        </w:rPr>
        <w:t>《吉林省公共资源交易公共服务平台》。</w:t>
      </w:r>
    </w:p>
    <w:p w14:paraId="229E90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2.逾期送达的或者未送达的响应文件，采购人不予受理。</w:t>
      </w:r>
    </w:p>
    <w:p w14:paraId="3B2655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3.磋商保证金缴纳时间、方式、金额、明确位置和注意事项等其他要求详见磋商文件。</w:t>
      </w:r>
    </w:p>
    <w:p w14:paraId="3D614272">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4.本项目为全流程电子化项目，通过“政采云”平台（http：//www.zcygov.cn）实行在线电子投标，供应商应先安装“政采云投标客户端”（请自行前往“政采云”平台进行下载），并按照本项目</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lang w:val="en-US" w:eastAsia="zh-CN"/>
        </w:rPr>
        <w:t>文件和“政采云”平台的要求编制、加密后在投标截止时间前通过网络上传至“政采云”平台，供应商在“政采云”平台提交电子版响应文件时，请填写参加开标活动经办人联系方式，并按照现场工作人员通知使用CA锁进行响应文件远程解密。</w:t>
      </w:r>
    </w:p>
    <w:p w14:paraId="67A543AB">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.本项目需要落实的政府采购政策：</w:t>
      </w:r>
    </w:p>
    <w:p w14:paraId="424D167E">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.1.执行《政府采购促进中小企业发展管理办法》（财库[2020]46号）及《关于进一步加大政府采购支持中小企业力度的通知》（财库〔2022〕19号）；</w:t>
      </w:r>
    </w:p>
    <w:p w14:paraId="092C4D3F">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.2.执行《财政部、司法部关于政府采购支持监狱企业发展有关问题的通知》（财库[2014]68号）；</w:t>
      </w:r>
    </w:p>
    <w:p w14:paraId="7B42E884">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.3.执行《关于促进残疾人就业政府采购政策的通知》（财库〔2017〕141号）；</w:t>
      </w:r>
    </w:p>
    <w:p w14:paraId="36738880">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.4执行《财政部 国家发展改革委关于印发〈节能产品政府采购实施意见〉的通知》（财库[2004]185号）；</w:t>
      </w:r>
    </w:p>
    <w:p w14:paraId="3F05C38A">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.5.执行《财政部 环保总局关于环境标志产品政府采购实施的意见》（财库[2006]90号）；</w:t>
      </w:r>
    </w:p>
    <w:p w14:paraId="63093FBF">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.6.《关于调整优化节能产品、环境标志产品政府采购执行机制的通知》（财库【2019】9号）：</w:t>
      </w:r>
    </w:p>
    <w:p w14:paraId="2C61249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八、凡对本次采购提出询问，请按以下方式联系</w:t>
      </w:r>
    </w:p>
    <w:p w14:paraId="0E88D3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14:paraId="438F32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ascii="宋体" w:hAnsi="宋体" w:cs="宋体"/>
          <w:color w:val="auto"/>
          <w:sz w:val="21"/>
          <w:szCs w:val="21"/>
          <w:lang w:val="en-US" w:eastAsia="zh-CN"/>
        </w:rPr>
        <w:t>临江市交通运输局</w:t>
      </w:r>
    </w:p>
    <w:p w14:paraId="55F760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吉林省临江市临江大街103号</w:t>
      </w:r>
    </w:p>
    <w:p w14:paraId="39D628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ascii="宋体" w:hAnsi="宋体" w:cs="宋体"/>
          <w:color w:val="auto"/>
          <w:sz w:val="21"/>
          <w:szCs w:val="21"/>
          <w:lang w:val="en-US" w:eastAsia="zh-CN"/>
        </w:rPr>
        <w:t>0439-5256800</w:t>
      </w:r>
    </w:p>
    <w:p w14:paraId="2B79BA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2.采购代理机构信息</w:t>
      </w:r>
    </w:p>
    <w:p w14:paraId="25DD50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称：</w:t>
      </w:r>
      <w:r>
        <w:rPr>
          <w:rFonts w:hint="eastAsia" w:ascii="宋体" w:hAnsi="宋体" w:cs="宋体"/>
          <w:color w:val="auto"/>
          <w:sz w:val="21"/>
          <w:szCs w:val="21"/>
          <w:lang w:val="zh-CN" w:eastAsia="zh-CN"/>
        </w:rPr>
        <w:t>吉林省杭盛项目管理有限公司</w:t>
      </w:r>
    </w:p>
    <w:p w14:paraId="79FA17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长春市高新开发区创新路669号长春市转业军人创业孵化基地大楼511-1室</w:t>
      </w:r>
    </w:p>
    <w:p w14:paraId="0D5AD6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ascii="宋体" w:hAnsi="宋体" w:cs="宋体"/>
          <w:color w:val="auto"/>
          <w:sz w:val="21"/>
          <w:szCs w:val="21"/>
          <w:lang w:val="en-US" w:eastAsia="zh-CN"/>
        </w:rPr>
        <w:t>0431-80806989</w:t>
      </w:r>
    </w:p>
    <w:p w14:paraId="4F4C2E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bookmarkStart w:id="6" w:name="_Toc4467"/>
      <w:bookmarkStart w:id="7" w:name="_Toc25910"/>
      <w:bookmarkStart w:id="8" w:name="_Toc19115"/>
      <w:bookmarkStart w:id="9" w:name="_Toc23354"/>
      <w:bookmarkStart w:id="10" w:name="_Toc11856"/>
      <w:bookmarkStart w:id="11" w:name="_Toc18106"/>
      <w:bookmarkStart w:id="12" w:name="_Toc5532"/>
      <w:bookmarkStart w:id="13" w:name="_Toc24773"/>
      <w:bookmarkStart w:id="14" w:name="_Toc7118"/>
      <w:bookmarkStart w:id="15" w:name="_Toc12476"/>
      <w:r>
        <w:rPr>
          <w:rFonts w:hint="eastAsia" w:ascii="宋体" w:hAnsi="宋体" w:eastAsia="宋体" w:cs="宋体"/>
          <w:color w:val="auto"/>
          <w:sz w:val="21"/>
          <w:szCs w:val="21"/>
          <w:lang w:val="zh-CN" w:eastAsia="zh-CN"/>
        </w:rPr>
        <w:t>3.项目联系方式</w:t>
      </w:r>
      <w:bookmarkEnd w:id="6"/>
      <w:bookmarkEnd w:id="7"/>
      <w:bookmarkEnd w:id="8"/>
      <w:bookmarkEnd w:id="9"/>
      <w:bookmarkEnd w:id="10"/>
      <w:bookmarkEnd w:id="11"/>
      <w:bookmarkEnd w:id="12"/>
      <w:bookmarkEnd w:id="13"/>
      <w:bookmarkEnd w:id="14"/>
      <w:bookmarkEnd w:id="15"/>
    </w:p>
    <w:p w14:paraId="781088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lang w:val="en-US" w:eastAsia="zh-CN"/>
        </w:rPr>
      </w:pPr>
      <w:bookmarkStart w:id="16" w:name="_Toc6004"/>
      <w:bookmarkStart w:id="17" w:name="_Toc19551"/>
      <w:bookmarkStart w:id="18" w:name="_Toc6110"/>
      <w:bookmarkStart w:id="19" w:name="_Toc9909"/>
      <w:bookmarkStart w:id="20" w:name="_Toc23102"/>
      <w:bookmarkStart w:id="21" w:name="_Toc14375"/>
      <w:bookmarkStart w:id="22" w:name="_Toc21324"/>
      <w:bookmarkStart w:id="23" w:name="_Toc6133"/>
      <w:bookmarkStart w:id="24" w:name="_Toc31981"/>
      <w:bookmarkStart w:id="25" w:name="_Toc25247"/>
      <w:r>
        <w:rPr>
          <w:rFonts w:hint="eastAsia" w:ascii="宋体" w:hAnsi="宋体" w:eastAsia="宋体" w:cs="宋体"/>
          <w:color w:val="auto"/>
          <w:sz w:val="21"/>
          <w:szCs w:val="21"/>
          <w:lang w:val="zh-CN" w:eastAsia="zh-CN"/>
        </w:rPr>
        <w:t>项目联系人：</w:t>
      </w:r>
      <w:bookmarkEnd w:id="16"/>
      <w:bookmarkEnd w:id="17"/>
      <w:bookmarkEnd w:id="18"/>
      <w:bookmarkEnd w:id="19"/>
      <w:bookmarkEnd w:id="20"/>
      <w:bookmarkEnd w:id="21"/>
      <w:bookmarkEnd w:id="22"/>
      <w:bookmarkEnd w:id="23"/>
      <w:bookmarkEnd w:id="24"/>
      <w:bookmarkEnd w:id="25"/>
      <w:r>
        <w:rPr>
          <w:rFonts w:hint="eastAsia" w:ascii="宋体" w:hAnsi="宋体" w:cs="宋体"/>
          <w:color w:val="auto"/>
          <w:sz w:val="21"/>
          <w:szCs w:val="21"/>
          <w:lang w:val="en-US" w:eastAsia="zh-CN"/>
        </w:rPr>
        <w:t>王璐</w:t>
      </w:r>
    </w:p>
    <w:p w14:paraId="3E766D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电      话：</w:t>
      </w:r>
      <w:r>
        <w:rPr>
          <w:rFonts w:hint="eastAsia" w:ascii="宋体" w:hAnsi="宋体" w:cs="宋体"/>
          <w:color w:val="auto"/>
          <w:sz w:val="21"/>
          <w:szCs w:val="21"/>
          <w:lang w:val="zh-CN" w:eastAsia="zh-CN"/>
        </w:rPr>
        <w:t>0431-80806989</w:t>
      </w:r>
    </w:p>
    <w:p w14:paraId="074028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4.监督部门：</w:t>
      </w:r>
      <w:r>
        <w:rPr>
          <w:rFonts w:hint="eastAsia" w:ascii="宋体" w:hAnsi="宋体" w:cs="宋体"/>
          <w:color w:val="auto"/>
          <w:sz w:val="21"/>
          <w:szCs w:val="21"/>
          <w:lang w:val="en-US" w:eastAsia="zh-CN"/>
        </w:rPr>
        <w:t>临江市</w:t>
      </w:r>
      <w:r>
        <w:rPr>
          <w:rFonts w:hint="eastAsia" w:ascii="宋体" w:hAnsi="宋体" w:eastAsia="宋体" w:cs="宋体"/>
          <w:color w:val="auto"/>
          <w:sz w:val="21"/>
          <w:szCs w:val="21"/>
          <w:lang w:val="en-US" w:eastAsia="zh-CN"/>
        </w:rPr>
        <w:t>政府采购管理工作办公室</w:t>
      </w:r>
    </w:p>
    <w:p w14:paraId="235864F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p>
    <w:p w14:paraId="2F02A260">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rPr>
      </w:pPr>
      <w:bookmarkStart w:id="26" w:name="_Toc4365"/>
      <w:bookmarkStart w:id="27" w:name="_Toc10415"/>
      <w:bookmarkStart w:id="28" w:name="_Toc15490"/>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26"/>
      <w:bookmarkEnd w:id="27"/>
      <w:bookmarkEnd w:id="28"/>
    </w:p>
    <w:p w14:paraId="2DC4AC13">
      <w:pPr>
        <w:autoSpaceDE w:val="0"/>
        <w:autoSpaceDN w:val="0"/>
        <w:adjustRightInd w:val="0"/>
        <w:jc w:val="center"/>
        <w:rPr>
          <w:rFonts w:hint="eastAsia" w:ascii="宋体" w:hAnsi="宋体" w:eastAsia="宋体" w:cs="宋体"/>
          <w:b w:val="0"/>
          <w:bCs/>
          <w:color w:val="auto"/>
          <w:sz w:val="28"/>
          <w:szCs w:val="28"/>
          <w:highlight w:val="none"/>
          <w:lang w:val="zh-CN"/>
        </w:rPr>
      </w:pPr>
      <w:r>
        <w:rPr>
          <w:rFonts w:hint="eastAsia" w:ascii="宋体" w:hAnsi="宋体" w:cs="宋体"/>
          <w:b w:val="0"/>
          <w:bCs/>
          <w:color w:val="auto"/>
          <w:sz w:val="28"/>
          <w:szCs w:val="28"/>
          <w:highlight w:val="none"/>
          <w:lang w:val="zh-CN"/>
        </w:rPr>
        <w:t>（一）</w:t>
      </w:r>
      <w:r>
        <w:rPr>
          <w:rFonts w:hint="eastAsia" w:ascii="宋体" w:hAnsi="宋体" w:eastAsia="宋体" w:cs="宋体"/>
          <w:b w:val="0"/>
          <w:bCs/>
          <w:color w:val="auto"/>
          <w:sz w:val="28"/>
          <w:szCs w:val="28"/>
          <w:highlight w:val="none"/>
          <w:lang w:val="zh-CN"/>
        </w:rPr>
        <w:t>供应商须知前附表</w:t>
      </w:r>
    </w:p>
    <w:tbl>
      <w:tblPr>
        <w:tblStyle w:val="34"/>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51"/>
        <w:gridCol w:w="6302"/>
      </w:tblGrid>
      <w:tr w14:paraId="486D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38" w:type="dxa"/>
            <w:vAlign w:val="center"/>
          </w:tcPr>
          <w:p w14:paraId="50CBF80F">
            <w:pPr>
              <w:autoSpaceDE w:val="0"/>
              <w:autoSpaceDN w:val="0"/>
              <w:adjustRightInd w:val="0"/>
              <w:spacing w:line="32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2351" w:type="dxa"/>
            <w:vAlign w:val="center"/>
          </w:tcPr>
          <w:p w14:paraId="53003C12">
            <w:pPr>
              <w:pStyle w:val="23"/>
              <w:pBdr>
                <w:bottom w:val="none" w:color="auto" w:sz="0" w:space="0"/>
              </w:pBdr>
              <w:tabs>
                <w:tab w:val="clear" w:pos="4153"/>
                <w:tab w:val="clear" w:pos="8306"/>
              </w:tabs>
              <w:autoSpaceDE w:val="0"/>
              <w:autoSpaceDN w:val="0"/>
              <w:adjustRightInd w:val="0"/>
              <w:snapToGrid/>
              <w:spacing w:line="320" w:lineRule="exac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名  称</w:t>
            </w:r>
          </w:p>
        </w:tc>
        <w:tc>
          <w:tcPr>
            <w:tcW w:w="6302" w:type="dxa"/>
            <w:vAlign w:val="center"/>
          </w:tcPr>
          <w:p w14:paraId="22EA7A87">
            <w:pPr>
              <w:pStyle w:val="23"/>
              <w:pBdr>
                <w:bottom w:val="none" w:color="auto" w:sz="0" w:space="0"/>
              </w:pBdr>
              <w:tabs>
                <w:tab w:val="clear" w:pos="4153"/>
                <w:tab w:val="clear" w:pos="8306"/>
              </w:tabs>
              <w:autoSpaceDE w:val="0"/>
              <w:autoSpaceDN w:val="0"/>
              <w:adjustRightInd w:val="0"/>
              <w:snapToGrid/>
              <w:spacing w:line="320" w:lineRule="exac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编列内容</w:t>
            </w:r>
          </w:p>
        </w:tc>
      </w:tr>
      <w:tr w14:paraId="3D4C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22BA2617">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1.1.2</w:t>
            </w:r>
          </w:p>
        </w:tc>
        <w:tc>
          <w:tcPr>
            <w:tcW w:w="2351" w:type="dxa"/>
            <w:vAlign w:val="center"/>
          </w:tcPr>
          <w:p w14:paraId="3CDA29C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w:t>
            </w:r>
          </w:p>
        </w:tc>
        <w:tc>
          <w:tcPr>
            <w:tcW w:w="6302" w:type="dxa"/>
            <w:vAlign w:val="center"/>
          </w:tcPr>
          <w:p w14:paraId="651E8C7F">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    称：</w:t>
            </w:r>
            <w:r>
              <w:rPr>
                <w:rFonts w:hint="eastAsia" w:ascii="宋体" w:hAnsi="宋体" w:cs="宋体"/>
                <w:color w:val="auto"/>
                <w:szCs w:val="21"/>
                <w:highlight w:val="none"/>
                <w:lang w:val="en-US" w:eastAsia="zh-CN"/>
              </w:rPr>
              <w:t>临江市交通运输局</w:t>
            </w:r>
          </w:p>
          <w:p w14:paraId="015C7DA9">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    址：</w:t>
            </w:r>
            <w:r>
              <w:rPr>
                <w:rFonts w:hint="eastAsia" w:ascii="宋体" w:hAnsi="宋体" w:cs="宋体"/>
                <w:color w:val="auto"/>
                <w:sz w:val="21"/>
                <w:szCs w:val="21"/>
                <w:lang w:val="en-US" w:eastAsia="zh-CN"/>
              </w:rPr>
              <w:t>吉林省临江市临江大街103号</w:t>
            </w:r>
          </w:p>
          <w:p w14:paraId="60467E8D">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联系方式：</w:t>
            </w:r>
            <w:r>
              <w:rPr>
                <w:rFonts w:hint="eastAsia" w:ascii="宋体" w:hAnsi="宋体" w:cs="宋体"/>
                <w:color w:val="auto"/>
                <w:szCs w:val="21"/>
                <w:highlight w:val="none"/>
                <w:lang w:val="en-US" w:eastAsia="zh-CN"/>
              </w:rPr>
              <w:t>0439-5256800</w:t>
            </w:r>
          </w:p>
        </w:tc>
      </w:tr>
      <w:tr w14:paraId="443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3322DD4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1.1.3</w:t>
            </w:r>
          </w:p>
        </w:tc>
        <w:tc>
          <w:tcPr>
            <w:tcW w:w="2351" w:type="dxa"/>
            <w:vAlign w:val="center"/>
          </w:tcPr>
          <w:p w14:paraId="067C04E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302" w:type="dxa"/>
            <w:vAlign w:val="center"/>
          </w:tcPr>
          <w:p w14:paraId="69A5D89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w:t>
            </w:r>
            <w:r>
              <w:rPr>
                <w:rFonts w:hint="eastAsia" w:ascii="宋体" w:hAnsi="宋体" w:cs="宋体"/>
                <w:bCs/>
                <w:color w:val="auto"/>
                <w:szCs w:val="21"/>
                <w:highlight w:val="none"/>
                <w:lang w:val="zh-CN"/>
              </w:rPr>
              <w:t>吉林省杭盛项目管理有限公司</w:t>
            </w:r>
          </w:p>
          <w:p w14:paraId="4C89ADA9">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w:t>
            </w:r>
            <w:r>
              <w:rPr>
                <w:rFonts w:hint="eastAsia" w:ascii="宋体" w:hAnsi="宋体" w:cs="宋体"/>
                <w:bCs/>
                <w:color w:val="auto"/>
                <w:szCs w:val="21"/>
                <w:highlight w:val="none"/>
                <w:lang w:val="zh-CN"/>
              </w:rPr>
              <w:t>长春市高新开发区创新路669号长春市转业军人创业孵化基地大楼511-1室</w:t>
            </w:r>
          </w:p>
          <w:p w14:paraId="7ED05A02">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cs="宋体"/>
                <w:b w:val="0"/>
                <w:color w:val="auto"/>
                <w:kern w:val="2"/>
                <w:sz w:val="21"/>
                <w:szCs w:val="21"/>
              </w:rPr>
              <w:t>项目联系人：</w:t>
            </w:r>
            <w:r>
              <w:rPr>
                <w:rFonts w:hint="eastAsia" w:ascii="宋体" w:hAnsi="宋体" w:cs="宋体"/>
                <w:b w:val="0"/>
                <w:color w:val="auto"/>
                <w:kern w:val="2"/>
                <w:sz w:val="21"/>
                <w:szCs w:val="21"/>
                <w:lang w:eastAsia="zh-CN"/>
              </w:rPr>
              <w:t>王璐</w:t>
            </w:r>
          </w:p>
          <w:p w14:paraId="30C157B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w:t>
            </w:r>
            <w:r>
              <w:rPr>
                <w:rFonts w:hint="eastAsia" w:ascii="宋体" w:hAnsi="宋体" w:cs="宋体"/>
                <w:color w:val="auto"/>
                <w:sz w:val="21"/>
                <w:szCs w:val="21"/>
                <w:lang w:val="zh-CN" w:eastAsia="zh-CN"/>
              </w:rPr>
              <w:t>0431-80806989</w:t>
            </w:r>
          </w:p>
        </w:tc>
      </w:tr>
      <w:tr w14:paraId="429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07EB8AB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1.1.4</w:t>
            </w:r>
          </w:p>
        </w:tc>
        <w:tc>
          <w:tcPr>
            <w:tcW w:w="2351" w:type="dxa"/>
            <w:vAlign w:val="center"/>
          </w:tcPr>
          <w:p w14:paraId="72C1C77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302" w:type="dxa"/>
            <w:vAlign w:val="center"/>
          </w:tcPr>
          <w:p w14:paraId="35770DB5">
            <w:pPr>
              <w:autoSpaceDE w:val="0"/>
              <w:autoSpaceDN w:val="0"/>
              <w:adjustRightInd w:val="0"/>
              <w:spacing w:line="320" w:lineRule="exact"/>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zh-CN"/>
              </w:rPr>
              <w:t>项目名称：</w:t>
            </w:r>
            <w:r>
              <w:rPr>
                <w:rFonts w:hint="eastAsia" w:ascii="宋体" w:hAnsi="宋体" w:cs="宋体"/>
                <w:b w:val="0"/>
                <w:bCs w:val="0"/>
                <w:color w:val="auto"/>
                <w:kern w:val="0"/>
                <w:szCs w:val="21"/>
                <w:highlight w:val="none"/>
                <w:lang w:eastAsia="zh-CN" w:bidi="ar"/>
              </w:rPr>
              <w:t>国道漫临线（G612）分水（县界）至临江段工程林业勘察设计服务</w:t>
            </w:r>
          </w:p>
          <w:p w14:paraId="4616034E">
            <w:pPr>
              <w:autoSpaceDE w:val="0"/>
              <w:autoSpaceDN w:val="0"/>
              <w:adjustRightInd w:val="0"/>
              <w:spacing w:line="320" w:lineRule="exact"/>
              <w:jc w:val="left"/>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 w:val="21"/>
                <w:szCs w:val="21"/>
                <w:highlight w:val="none"/>
                <w:lang w:val="en-US" w:eastAsia="zh-CN"/>
              </w:rPr>
              <w:t>JLHS202507245</w:t>
            </w:r>
            <w:r>
              <w:rPr>
                <w:rFonts w:hint="eastAsia" w:ascii="宋体" w:hAnsi="宋体" w:eastAsia="宋体" w:cs="宋体"/>
                <w:color w:val="auto"/>
                <w:sz w:val="21"/>
                <w:szCs w:val="21"/>
                <w:highlight w:val="none"/>
                <w:lang w:val="en-US" w:eastAsia="zh-CN"/>
              </w:rPr>
              <w:t>（采购计划-[2025]-00077号）</w:t>
            </w:r>
          </w:p>
        </w:tc>
      </w:tr>
      <w:tr w14:paraId="2578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04744114">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1.2</w:t>
            </w:r>
          </w:p>
        </w:tc>
        <w:tc>
          <w:tcPr>
            <w:tcW w:w="2351" w:type="dxa"/>
            <w:vAlign w:val="center"/>
          </w:tcPr>
          <w:p w14:paraId="6BCA6211">
            <w:pPr>
              <w:autoSpaceDE w:val="0"/>
              <w:autoSpaceDN w:val="0"/>
              <w:adjustRightInd w:val="0"/>
              <w:spacing w:line="320" w:lineRule="exact"/>
              <w:jc w:val="center"/>
              <w:rPr>
                <w:rFonts w:hint="default" w:ascii="宋体" w:hAnsi="宋体" w:eastAsia="宋体" w:cs="宋体"/>
                <w:bCs/>
                <w:color w:val="auto"/>
                <w:szCs w:val="21"/>
                <w:highlight w:val="none"/>
                <w:lang w:val="en-US"/>
              </w:rPr>
            </w:pPr>
            <w:r>
              <w:rPr>
                <w:rFonts w:hint="eastAsia" w:ascii="宋体" w:hAnsi="宋体" w:cs="宋体"/>
                <w:b w:val="0"/>
                <w:bCs w:val="0"/>
                <w:color w:val="auto"/>
                <w:kern w:val="0"/>
                <w:szCs w:val="21"/>
                <w:highlight w:val="none"/>
                <w:lang w:val="en-US" w:eastAsia="zh-CN" w:bidi="ar"/>
              </w:rPr>
              <w:t>采购预算</w:t>
            </w:r>
          </w:p>
        </w:tc>
        <w:tc>
          <w:tcPr>
            <w:tcW w:w="6302" w:type="dxa"/>
            <w:vAlign w:val="center"/>
          </w:tcPr>
          <w:p w14:paraId="6ABADB7E">
            <w:pPr>
              <w:autoSpaceDE w:val="0"/>
              <w:autoSpaceDN w:val="0"/>
              <w:adjustRightInd w:val="0"/>
              <w:spacing w:line="3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1220300</w:t>
            </w:r>
            <w:r>
              <w:rPr>
                <w:rFonts w:hint="default" w:ascii="宋体" w:hAnsi="宋体" w:eastAsia="宋体" w:cs="宋体"/>
                <w:color w:val="auto"/>
                <w:szCs w:val="21"/>
                <w:highlight w:val="none"/>
                <w:lang w:val="en-US" w:eastAsia="zh-CN"/>
              </w:rPr>
              <w:t>.00元</w:t>
            </w:r>
          </w:p>
        </w:tc>
      </w:tr>
      <w:tr w14:paraId="15C7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8" w:type="dxa"/>
            <w:vMerge w:val="restart"/>
            <w:vAlign w:val="center"/>
          </w:tcPr>
          <w:p w14:paraId="4C02ED56">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3</w:t>
            </w:r>
          </w:p>
        </w:tc>
        <w:tc>
          <w:tcPr>
            <w:tcW w:w="2351" w:type="dxa"/>
            <w:vAlign w:val="center"/>
          </w:tcPr>
          <w:p w14:paraId="5CEE2E4A">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采购需求</w:t>
            </w:r>
          </w:p>
        </w:tc>
        <w:tc>
          <w:tcPr>
            <w:tcW w:w="6302" w:type="dxa"/>
            <w:vAlign w:val="center"/>
          </w:tcPr>
          <w:p w14:paraId="5F2FCB1B">
            <w:pPr>
              <w:autoSpaceDE w:val="0"/>
              <w:autoSpaceDN w:val="0"/>
              <w:adjustRightInd w:val="0"/>
              <w:spacing w:line="320" w:lineRule="exact"/>
              <w:jc w:val="left"/>
              <w:rPr>
                <w:rFonts w:hint="eastAsia" w:ascii="宋体" w:hAnsi="宋体" w:eastAsia="宋体" w:cs="宋体"/>
                <w:color w:val="auto"/>
                <w:szCs w:val="21"/>
                <w:highlight w:val="yellow"/>
                <w:lang w:eastAsia="zh-CN"/>
              </w:rPr>
            </w:pPr>
            <w:r>
              <w:rPr>
                <w:rFonts w:hint="eastAsia" w:ascii="宋体" w:hAnsi="宋体" w:cs="宋体"/>
                <w:color w:val="auto"/>
                <w:sz w:val="21"/>
                <w:szCs w:val="21"/>
                <w:highlight w:val="none"/>
                <w:lang w:val="en-US" w:eastAsia="zh-CN"/>
              </w:rPr>
              <w:t>国道漫临线（G612）分水（县界）至临江段工程林业勘察设计服务</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 xml:space="preserve">“第五章 </w:t>
            </w:r>
            <w:r>
              <w:rPr>
                <w:rFonts w:hint="eastAsia" w:ascii="宋体" w:hAnsi="宋体" w:eastAsia="宋体" w:cs="宋体"/>
                <w:color w:val="auto"/>
                <w:sz w:val="21"/>
                <w:szCs w:val="21"/>
                <w:highlight w:val="none"/>
                <w:lang w:val="en-US" w:eastAsia="zh-CN"/>
              </w:rPr>
              <w:t>采购需求</w:t>
            </w:r>
            <w:r>
              <w:rPr>
                <w:rFonts w:hint="eastAsia" w:ascii="宋体" w:hAnsi="宋体" w:cs="宋体"/>
                <w:color w:val="auto"/>
                <w:sz w:val="21"/>
                <w:szCs w:val="21"/>
                <w:highlight w:val="none"/>
                <w:lang w:val="en-US" w:eastAsia="zh-CN"/>
              </w:rPr>
              <w:t>”</w:t>
            </w:r>
          </w:p>
        </w:tc>
      </w:tr>
      <w:tr w14:paraId="3EAD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vAlign w:val="center"/>
          </w:tcPr>
          <w:p w14:paraId="17475A85">
            <w:pPr>
              <w:autoSpaceDE w:val="0"/>
              <w:autoSpaceDN w:val="0"/>
              <w:adjustRightInd w:val="0"/>
              <w:spacing w:line="320" w:lineRule="exact"/>
              <w:jc w:val="center"/>
              <w:rPr>
                <w:rFonts w:hint="eastAsia" w:ascii="宋体" w:hAnsi="宋体" w:eastAsia="宋体" w:cs="宋体"/>
                <w:bCs/>
                <w:color w:val="auto"/>
                <w:szCs w:val="21"/>
                <w:highlight w:val="none"/>
                <w:lang w:val="zh-CN"/>
              </w:rPr>
            </w:pPr>
          </w:p>
        </w:tc>
        <w:tc>
          <w:tcPr>
            <w:tcW w:w="2351" w:type="dxa"/>
            <w:vAlign w:val="center"/>
          </w:tcPr>
          <w:p w14:paraId="0432174F">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合同履约期限</w:t>
            </w:r>
          </w:p>
        </w:tc>
        <w:tc>
          <w:tcPr>
            <w:tcW w:w="6302" w:type="dxa"/>
            <w:vAlign w:val="center"/>
          </w:tcPr>
          <w:p w14:paraId="1DD8BC26">
            <w:pPr>
              <w:autoSpaceDE w:val="0"/>
              <w:autoSpaceDN w:val="0"/>
              <w:adjustRightInd w:val="0"/>
              <w:spacing w:line="32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自委托协议签订之日起6个月内完成使用林地可行性报告编制；取得使用林地审核同意书后1个月内完成国家重点保护野生植物采集（补植）方案、采伐调查设计资料。</w:t>
            </w:r>
          </w:p>
        </w:tc>
      </w:tr>
      <w:tr w14:paraId="3F3D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vAlign w:val="center"/>
          </w:tcPr>
          <w:p w14:paraId="63695D27">
            <w:pPr>
              <w:autoSpaceDE w:val="0"/>
              <w:autoSpaceDN w:val="0"/>
              <w:adjustRightInd w:val="0"/>
              <w:spacing w:line="320" w:lineRule="exact"/>
              <w:jc w:val="center"/>
              <w:rPr>
                <w:rFonts w:hint="eastAsia" w:ascii="宋体" w:hAnsi="宋体" w:eastAsia="宋体" w:cs="宋体"/>
                <w:bCs/>
                <w:color w:val="auto"/>
                <w:szCs w:val="21"/>
                <w:highlight w:val="none"/>
                <w:lang w:val="zh-CN"/>
              </w:rPr>
            </w:pPr>
          </w:p>
        </w:tc>
        <w:tc>
          <w:tcPr>
            <w:tcW w:w="2351" w:type="dxa"/>
            <w:vAlign w:val="center"/>
          </w:tcPr>
          <w:p w14:paraId="68923FCF">
            <w:pPr>
              <w:autoSpaceDE w:val="0"/>
              <w:autoSpaceDN w:val="0"/>
              <w:adjustRightInd w:val="0"/>
              <w:spacing w:line="320" w:lineRule="exact"/>
              <w:jc w:val="center"/>
              <w:rPr>
                <w:rFonts w:hint="eastAsia" w:ascii="宋体" w:hAnsi="宋体" w:eastAsia="宋体" w:cs="宋体"/>
                <w:b w:val="0"/>
                <w:bCs w:val="0"/>
                <w:color w:val="auto"/>
                <w:kern w:val="0"/>
                <w:szCs w:val="21"/>
                <w:highlight w:val="none"/>
                <w:lang w:val="zh-CN" w:bidi="ar"/>
              </w:rPr>
            </w:pPr>
            <w:r>
              <w:rPr>
                <w:rFonts w:hint="eastAsia" w:ascii="宋体" w:hAnsi="宋体" w:eastAsia="宋体" w:cs="宋体"/>
                <w:b w:val="0"/>
                <w:bCs w:val="0"/>
                <w:color w:val="auto"/>
                <w:kern w:val="0"/>
                <w:szCs w:val="21"/>
                <w:highlight w:val="none"/>
                <w:lang w:bidi="ar"/>
              </w:rPr>
              <w:t>资金来源</w:t>
            </w:r>
          </w:p>
        </w:tc>
        <w:tc>
          <w:tcPr>
            <w:tcW w:w="6302" w:type="dxa"/>
            <w:vAlign w:val="center"/>
          </w:tcPr>
          <w:p w14:paraId="0B1ECE92">
            <w:pPr>
              <w:autoSpaceDE w:val="0"/>
              <w:autoSpaceDN w:val="0"/>
              <w:adjustRightInd w:val="0"/>
              <w:spacing w:line="320" w:lineRule="exact"/>
              <w:jc w:val="left"/>
              <w:rPr>
                <w:rFonts w:hint="default"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财政资金</w:t>
            </w:r>
          </w:p>
        </w:tc>
      </w:tr>
      <w:tr w14:paraId="03A8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vAlign w:val="center"/>
          </w:tcPr>
          <w:p w14:paraId="4E164E7B">
            <w:pPr>
              <w:autoSpaceDE w:val="0"/>
              <w:autoSpaceDN w:val="0"/>
              <w:adjustRightInd w:val="0"/>
              <w:spacing w:line="320" w:lineRule="exact"/>
              <w:jc w:val="center"/>
              <w:rPr>
                <w:rFonts w:hint="eastAsia"/>
                <w:color w:val="auto"/>
                <w:lang w:val="zh-CN"/>
              </w:rPr>
            </w:pPr>
          </w:p>
          <w:p w14:paraId="7DCACF91">
            <w:pPr>
              <w:pStyle w:val="3"/>
              <w:rPr>
                <w:rFonts w:hint="eastAsia"/>
                <w:color w:val="auto"/>
                <w:lang w:val="zh-CN"/>
              </w:rPr>
            </w:pPr>
          </w:p>
        </w:tc>
        <w:tc>
          <w:tcPr>
            <w:tcW w:w="2351" w:type="dxa"/>
            <w:vAlign w:val="center"/>
          </w:tcPr>
          <w:p w14:paraId="0E265C7B">
            <w:pPr>
              <w:autoSpaceDE w:val="0"/>
              <w:autoSpaceDN w:val="0"/>
              <w:adjustRightInd w:val="0"/>
              <w:spacing w:line="320" w:lineRule="exact"/>
              <w:jc w:val="center"/>
              <w:rPr>
                <w:rFonts w:hint="eastAsia" w:ascii="宋体" w:hAnsi="宋体" w:cs="宋体"/>
                <w:bCs/>
                <w:color w:val="auto"/>
                <w:szCs w:val="21"/>
                <w:highlight w:val="none"/>
                <w:lang w:val="zh-CN"/>
              </w:rPr>
            </w:pPr>
            <w:r>
              <w:rPr>
                <w:rFonts w:hint="eastAsia" w:ascii="宋体" w:hAnsi="宋体" w:cs="宋体"/>
                <w:b w:val="0"/>
                <w:bCs w:val="0"/>
                <w:color w:val="auto"/>
                <w:kern w:val="0"/>
                <w:szCs w:val="21"/>
                <w:highlight w:val="none"/>
                <w:lang w:eastAsia="zh-CN" w:bidi="ar"/>
              </w:rPr>
              <w:t>服务地点</w:t>
            </w:r>
          </w:p>
        </w:tc>
        <w:tc>
          <w:tcPr>
            <w:tcW w:w="6302" w:type="dxa"/>
            <w:vAlign w:val="center"/>
          </w:tcPr>
          <w:p w14:paraId="42506633">
            <w:pPr>
              <w:autoSpaceDE w:val="0"/>
              <w:autoSpaceDN w:val="0"/>
              <w:adjustRightInd w:val="0"/>
              <w:spacing w:line="320" w:lineRule="exact"/>
              <w:jc w:val="left"/>
              <w:rPr>
                <w:rFonts w:hint="default" w:ascii="宋体" w:hAnsi="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临江市</w:t>
            </w:r>
          </w:p>
        </w:tc>
      </w:tr>
      <w:tr w14:paraId="1EE8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38" w:type="dxa"/>
            <w:vMerge w:val="continue"/>
            <w:vAlign w:val="center"/>
          </w:tcPr>
          <w:p w14:paraId="095FEE83">
            <w:pPr>
              <w:autoSpaceDE w:val="0"/>
              <w:autoSpaceDN w:val="0"/>
              <w:adjustRightInd w:val="0"/>
              <w:spacing w:line="320" w:lineRule="exact"/>
              <w:jc w:val="center"/>
              <w:rPr>
                <w:rFonts w:hint="eastAsia" w:ascii="宋体" w:hAnsi="宋体" w:eastAsia="宋体" w:cs="宋体"/>
                <w:bCs/>
                <w:color w:val="auto"/>
                <w:szCs w:val="21"/>
                <w:highlight w:val="none"/>
                <w:lang w:val="zh-CN"/>
              </w:rPr>
            </w:pPr>
          </w:p>
        </w:tc>
        <w:tc>
          <w:tcPr>
            <w:tcW w:w="2351" w:type="dxa"/>
            <w:vAlign w:val="center"/>
          </w:tcPr>
          <w:p w14:paraId="5D0AB758">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color w:val="auto"/>
                <w:highlight w:val="none"/>
                <w:lang w:eastAsia="zh-CN"/>
              </w:rPr>
              <w:t>质量要求</w:t>
            </w:r>
          </w:p>
        </w:tc>
        <w:tc>
          <w:tcPr>
            <w:tcW w:w="6302" w:type="dxa"/>
            <w:vAlign w:val="center"/>
          </w:tcPr>
          <w:p w14:paraId="5352F20A">
            <w:pPr>
              <w:autoSpaceDE w:val="0"/>
              <w:autoSpaceDN w:val="0"/>
              <w:adjustRightInd w:val="0"/>
              <w:spacing w:line="320" w:lineRule="exact"/>
              <w:jc w:val="left"/>
              <w:rPr>
                <w:rFonts w:hint="default" w:ascii="宋体" w:hAnsi="宋体" w:eastAsia="宋体" w:cs="宋体"/>
                <w:bCs/>
                <w:color w:val="auto"/>
                <w:szCs w:val="21"/>
                <w:highlight w:val="none"/>
                <w:lang w:val="en-US" w:eastAsia="zh-CN"/>
              </w:rPr>
            </w:pPr>
            <w:r>
              <w:rPr>
                <w:rFonts w:hint="eastAsia" w:ascii="宋体" w:hAnsi="宋体" w:cs="宋体"/>
                <w:color w:val="auto"/>
                <w:highlight w:val="none"/>
                <w:lang w:eastAsia="zh-CN"/>
              </w:rPr>
              <w:t>符合国家现行相关规范合格标准</w:t>
            </w:r>
            <w:r>
              <w:rPr>
                <w:rFonts w:hint="eastAsia" w:ascii="宋体" w:hAnsi="宋体" w:cs="宋体"/>
                <w:color w:val="auto"/>
                <w:highlight w:val="none"/>
                <w:lang w:val="en-US" w:eastAsia="zh-CN"/>
              </w:rPr>
              <w:t>及采购人要求</w:t>
            </w:r>
          </w:p>
        </w:tc>
      </w:tr>
      <w:tr w14:paraId="38DF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8" w:type="dxa"/>
            <w:vAlign w:val="center"/>
          </w:tcPr>
          <w:p w14:paraId="77626E33">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rPr>
              <w:t>.1</w:t>
            </w:r>
          </w:p>
        </w:tc>
        <w:tc>
          <w:tcPr>
            <w:tcW w:w="2351" w:type="dxa"/>
            <w:vAlign w:val="center"/>
          </w:tcPr>
          <w:p w14:paraId="51E843AB">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合格的供应商应具备以下条件</w:t>
            </w:r>
          </w:p>
        </w:tc>
        <w:tc>
          <w:tcPr>
            <w:tcW w:w="6302" w:type="dxa"/>
          </w:tcPr>
          <w:p w14:paraId="75B57765">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1.满足《中华人民共和国政府采购法》第二十二条规定；</w:t>
            </w:r>
          </w:p>
          <w:p w14:paraId="7A24CD8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2.落实政府采购政策需满足的资格要求：本项目为</w:t>
            </w:r>
            <w:r>
              <w:rPr>
                <w:rFonts w:hint="eastAsia" w:ascii="宋体" w:hAnsi="宋体" w:cs="宋体"/>
                <w:bCs/>
                <w:color w:val="auto"/>
                <w:szCs w:val="21"/>
                <w:highlight w:val="none"/>
                <w:lang w:val="en-US" w:eastAsia="zh-CN"/>
              </w:rPr>
              <w:t>非</w:t>
            </w:r>
            <w:r>
              <w:rPr>
                <w:rFonts w:hint="eastAsia" w:ascii="宋体" w:hAnsi="宋体" w:eastAsia="宋体" w:cs="宋体"/>
                <w:bCs/>
                <w:color w:val="auto"/>
                <w:szCs w:val="21"/>
                <w:highlight w:val="none"/>
                <w:lang w:val="zh-CN"/>
              </w:rPr>
              <w:t>专门面向中小企业的采购项目；</w:t>
            </w:r>
          </w:p>
          <w:p w14:paraId="1BBACA68">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3.本项目的特定资格要求：</w:t>
            </w:r>
          </w:p>
          <w:p w14:paraId="37DBA87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申请人需具备独立承担民事行为能力的法人，具备有效的营业执照；具有履行合同所必需的设备、资金和专业技术能力；</w:t>
            </w:r>
          </w:p>
          <w:p w14:paraId="70CC9C84">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3.2</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供应商须具有中国林业工程建设协会颁发的林业调查规划设计乙级及以上资质证书，项目负责人须具有相关专业中级及以上职称；</w:t>
            </w:r>
          </w:p>
          <w:p w14:paraId="28A33EFC">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具有良好的商业信誉和健全的财务会计制度，提供近三年（2022年度-2024年度）经会计师事务所审计的财务审计报告（成立不足三年的企业需提供成立当年至2024年度财务审计报告；若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为2025年以后注册成立的公司，提供基本开户行出具的银行资信证明）；</w:t>
            </w:r>
          </w:p>
          <w:p w14:paraId="7FD6A285">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有依法缴纳税收和社会保障资金的良好记录，2025年1月1日以后任意一个月的依法缴纳税收和社会保障资金良好记录的证明文件，依法免税免社会保障资金的，应提供相应证明文件；</w:t>
            </w:r>
          </w:p>
          <w:p w14:paraId="4C43C988">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信誉要求：</w:t>
            </w:r>
          </w:p>
          <w:p w14:paraId="18701DE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①拒绝列入政府取消投标资格记录期间的企业或个人投标；</w:t>
            </w:r>
          </w:p>
          <w:p w14:paraId="5E6A39A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②未被“中国政府采购网”列入政府采购严重违法失信行为记录名单；</w:t>
            </w:r>
          </w:p>
          <w:p w14:paraId="31EA03DE">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③未被“信用中国”网站中列入失信被执行人或重大税收违法失信主体；</w:t>
            </w:r>
          </w:p>
          <w:p w14:paraId="322267B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④参加政府采购活动前三年内，在经营活动中没有重大违法记录；</w:t>
            </w:r>
          </w:p>
          <w:p w14:paraId="6BF2C13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本项目不允许分包；</w:t>
            </w:r>
          </w:p>
          <w:p w14:paraId="3E42FC7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单位负责人为同一人或者存在直接控股、管理关系的不同供应商，不得参加同一合同项下的政府采购活动。</w:t>
            </w:r>
          </w:p>
        </w:tc>
      </w:tr>
      <w:tr w14:paraId="7BF3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FE195C5">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rPr>
              <w:t>.2</w:t>
            </w:r>
          </w:p>
        </w:tc>
        <w:tc>
          <w:tcPr>
            <w:tcW w:w="2351" w:type="dxa"/>
            <w:vAlign w:val="center"/>
          </w:tcPr>
          <w:p w14:paraId="22086F7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本项目是否专门面向中小企业或小型、微型企业采购</w:t>
            </w:r>
          </w:p>
        </w:tc>
        <w:tc>
          <w:tcPr>
            <w:tcW w:w="6302" w:type="dxa"/>
            <w:vAlign w:val="center"/>
          </w:tcPr>
          <w:p w14:paraId="75B8F4B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否</w:t>
            </w:r>
          </w:p>
          <w:p w14:paraId="089840BF">
            <w:pPr>
              <w:spacing w:line="320" w:lineRule="exact"/>
              <w:jc w:val="left"/>
              <w:rPr>
                <w:rFonts w:hint="eastAsia" w:ascii="宋体" w:hAnsi="宋体" w:eastAsia="宋体" w:cs="宋体"/>
                <w:color w:val="auto"/>
                <w:szCs w:val="21"/>
                <w:highlight w:val="none"/>
                <w:shd w:val="clear" w:color="auto" w:fill="FFFFFF"/>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是</w:t>
            </w:r>
          </w:p>
        </w:tc>
      </w:tr>
      <w:tr w14:paraId="7930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2874C5F">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rPr>
              <w:t>.6</w:t>
            </w:r>
          </w:p>
        </w:tc>
        <w:tc>
          <w:tcPr>
            <w:tcW w:w="2351" w:type="dxa"/>
            <w:vAlign w:val="center"/>
          </w:tcPr>
          <w:p w14:paraId="4901C19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302" w:type="dxa"/>
            <w:vAlign w:val="center"/>
          </w:tcPr>
          <w:p w14:paraId="52CCF69B">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不接受</w:t>
            </w:r>
          </w:p>
          <w:p w14:paraId="02DD0687">
            <w:pPr>
              <w:widowControl/>
              <w:adjustRightInd w:val="0"/>
              <w:spacing w:line="320" w:lineRule="exact"/>
              <w:jc w:val="lef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□接受</w:t>
            </w:r>
          </w:p>
        </w:tc>
      </w:tr>
      <w:tr w14:paraId="3A94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431C193F">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5</w:t>
            </w:r>
          </w:p>
        </w:tc>
        <w:tc>
          <w:tcPr>
            <w:tcW w:w="2351" w:type="dxa"/>
            <w:vAlign w:val="center"/>
          </w:tcPr>
          <w:p w14:paraId="476069F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302" w:type="dxa"/>
            <w:vAlign w:val="center"/>
          </w:tcPr>
          <w:p w14:paraId="72CB136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不允许</w:t>
            </w:r>
          </w:p>
          <w:p w14:paraId="4CE9542E">
            <w:pPr>
              <w:widowControl/>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□允许</w:t>
            </w:r>
          </w:p>
        </w:tc>
      </w:tr>
      <w:tr w14:paraId="2D29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0D3E056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2351" w:type="dxa"/>
            <w:vAlign w:val="center"/>
          </w:tcPr>
          <w:p w14:paraId="0C637A5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构成竞争性磋商文件的其他材料</w:t>
            </w:r>
          </w:p>
        </w:tc>
        <w:tc>
          <w:tcPr>
            <w:tcW w:w="6302" w:type="dxa"/>
            <w:vAlign w:val="center"/>
          </w:tcPr>
          <w:p w14:paraId="288CDBCE">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lang w:eastAsia="zh-CN"/>
              </w:rPr>
              <w:t>竞争性磋商文件</w:t>
            </w:r>
            <w:r>
              <w:rPr>
                <w:rFonts w:hint="eastAsia" w:ascii="宋体" w:hAnsi="宋体" w:eastAsia="宋体" w:cs="宋体"/>
                <w:bCs/>
                <w:color w:val="auto"/>
                <w:kern w:val="0"/>
                <w:szCs w:val="21"/>
                <w:highlight w:val="none"/>
              </w:rPr>
              <w:t>的澄清、修改、补充文件等</w:t>
            </w:r>
          </w:p>
        </w:tc>
      </w:tr>
      <w:tr w14:paraId="218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9C70102">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2.3.2</w:t>
            </w:r>
          </w:p>
        </w:tc>
        <w:tc>
          <w:tcPr>
            <w:tcW w:w="2351" w:type="dxa"/>
            <w:vAlign w:val="center"/>
          </w:tcPr>
          <w:p w14:paraId="646F9FAB">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302" w:type="dxa"/>
            <w:vAlign w:val="center"/>
          </w:tcPr>
          <w:p w14:paraId="3EFCC56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时  间：供应商如对竞争性磋商文件不清楚或有异议需要澄清，请在投标截止日期</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日前将问题提交给采购代理机构。</w:t>
            </w:r>
          </w:p>
          <w:p w14:paraId="2D9ADD73">
            <w:pPr>
              <w:autoSpaceDE w:val="0"/>
              <w:autoSpaceDN w:val="0"/>
              <w:adjustRightInd w:val="0"/>
              <w:spacing w:line="32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联系人：</w:t>
            </w:r>
            <w:r>
              <w:rPr>
                <w:rFonts w:hint="eastAsia" w:ascii="宋体" w:hAnsi="宋体" w:cs="宋体"/>
                <w:bCs/>
                <w:color w:val="auto"/>
                <w:szCs w:val="21"/>
                <w:highlight w:val="none"/>
                <w:lang w:val="zh-CN"/>
              </w:rPr>
              <w:t>王璐</w:t>
            </w:r>
          </w:p>
          <w:p w14:paraId="69C1805F">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电  话：</w:t>
            </w:r>
            <w:r>
              <w:rPr>
                <w:rFonts w:hint="eastAsia" w:ascii="宋体" w:hAnsi="宋体" w:cs="宋体"/>
                <w:color w:val="auto"/>
                <w:szCs w:val="21"/>
                <w:lang w:eastAsia="zh-CN"/>
              </w:rPr>
              <w:t>0431-80806989</w:t>
            </w:r>
          </w:p>
        </w:tc>
      </w:tr>
      <w:tr w14:paraId="26A9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30F28D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2.3.3</w:t>
            </w:r>
          </w:p>
        </w:tc>
        <w:tc>
          <w:tcPr>
            <w:tcW w:w="2351" w:type="dxa"/>
            <w:vAlign w:val="center"/>
          </w:tcPr>
          <w:p w14:paraId="1AA29F6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采购人发出澄清文件的时间</w:t>
            </w:r>
          </w:p>
        </w:tc>
        <w:tc>
          <w:tcPr>
            <w:tcW w:w="6302" w:type="dxa"/>
            <w:vAlign w:val="center"/>
          </w:tcPr>
          <w:p w14:paraId="4B35F750">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磋商截止时间5日前</w:t>
            </w:r>
          </w:p>
        </w:tc>
      </w:tr>
      <w:tr w14:paraId="26DF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31B2D2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2.3.4</w:t>
            </w:r>
          </w:p>
        </w:tc>
        <w:tc>
          <w:tcPr>
            <w:tcW w:w="2351" w:type="dxa"/>
            <w:vAlign w:val="center"/>
          </w:tcPr>
          <w:p w14:paraId="6AB68FB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02EB0FE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竞争性磋商文件澄清的时间</w:t>
            </w:r>
          </w:p>
        </w:tc>
        <w:tc>
          <w:tcPr>
            <w:tcW w:w="6302" w:type="dxa"/>
            <w:vAlign w:val="center"/>
          </w:tcPr>
          <w:p w14:paraId="56774838">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应在收到该澄清的24小时内或根据澄清通知中要求的时间内予以确认</w:t>
            </w:r>
          </w:p>
        </w:tc>
      </w:tr>
      <w:tr w14:paraId="5A9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65B21B5F">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2.4.1</w:t>
            </w:r>
          </w:p>
        </w:tc>
        <w:tc>
          <w:tcPr>
            <w:tcW w:w="2351" w:type="dxa"/>
            <w:vAlign w:val="center"/>
          </w:tcPr>
          <w:p w14:paraId="49817925">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采购人发出修改文件的时间</w:t>
            </w:r>
          </w:p>
        </w:tc>
        <w:tc>
          <w:tcPr>
            <w:tcW w:w="6302" w:type="dxa"/>
            <w:vAlign w:val="center"/>
          </w:tcPr>
          <w:p w14:paraId="61954D6C">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磋商截止时间5日前</w:t>
            </w:r>
          </w:p>
        </w:tc>
      </w:tr>
      <w:tr w14:paraId="5D3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42B5853C">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2.4.2</w:t>
            </w:r>
          </w:p>
        </w:tc>
        <w:tc>
          <w:tcPr>
            <w:tcW w:w="2351" w:type="dxa"/>
            <w:vAlign w:val="center"/>
          </w:tcPr>
          <w:p w14:paraId="428F2B1C">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6A90FFF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竞争性磋商文件修改的时间</w:t>
            </w:r>
          </w:p>
        </w:tc>
        <w:tc>
          <w:tcPr>
            <w:tcW w:w="6302" w:type="dxa"/>
            <w:vAlign w:val="center"/>
          </w:tcPr>
          <w:p w14:paraId="1E3B1359">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应在收到该</w:t>
            </w:r>
            <w:r>
              <w:rPr>
                <w:rFonts w:hint="eastAsia" w:ascii="宋体" w:hAnsi="宋体" w:eastAsia="宋体" w:cs="宋体"/>
                <w:bCs/>
                <w:color w:val="auto"/>
                <w:szCs w:val="21"/>
                <w:highlight w:val="none"/>
                <w:lang w:eastAsia="zh-CN"/>
              </w:rPr>
              <w:t>修改</w:t>
            </w:r>
            <w:r>
              <w:rPr>
                <w:rFonts w:hint="eastAsia" w:ascii="宋体" w:hAnsi="宋体" w:eastAsia="宋体" w:cs="宋体"/>
                <w:bCs/>
                <w:color w:val="auto"/>
                <w:szCs w:val="21"/>
                <w:highlight w:val="none"/>
              </w:rPr>
              <w:t>的24小时内或根据</w:t>
            </w:r>
            <w:r>
              <w:rPr>
                <w:rFonts w:hint="eastAsia" w:ascii="宋体" w:hAnsi="宋体" w:eastAsia="宋体" w:cs="宋体"/>
                <w:bCs/>
                <w:color w:val="auto"/>
                <w:szCs w:val="21"/>
                <w:highlight w:val="none"/>
                <w:lang w:eastAsia="zh-CN"/>
              </w:rPr>
              <w:t>修改</w:t>
            </w:r>
            <w:r>
              <w:rPr>
                <w:rFonts w:hint="eastAsia" w:ascii="宋体" w:hAnsi="宋体" w:eastAsia="宋体" w:cs="宋体"/>
                <w:bCs/>
                <w:color w:val="auto"/>
                <w:szCs w:val="21"/>
                <w:highlight w:val="none"/>
              </w:rPr>
              <w:t>通知中要求的时间内予以确认</w:t>
            </w:r>
          </w:p>
        </w:tc>
      </w:tr>
      <w:tr w14:paraId="222B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8" w:type="dxa"/>
            <w:vAlign w:val="center"/>
          </w:tcPr>
          <w:p w14:paraId="7BD1694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2351" w:type="dxa"/>
            <w:vAlign w:val="center"/>
          </w:tcPr>
          <w:p w14:paraId="41A5296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接收质疑函的方式和联系方式</w:t>
            </w:r>
          </w:p>
        </w:tc>
        <w:tc>
          <w:tcPr>
            <w:tcW w:w="6302" w:type="dxa"/>
            <w:vAlign w:val="center"/>
          </w:tcPr>
          <w:p w14:paraId="37B5EBFA">
            <w:pPr>
              <w:autoSpaceDE w:val="0"/>
              <w:autoSpaceDN w:val="0"/>
              <w:adjustRightInd w:val="0"/>
              <w:spacing w:line="32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供应商认为采购文件、采购过程和中标、成交结果使自己的权益受到损害的，可以在知道或者应知其权益受到损害之日起七个工作日内，在法定质疑期内以书面形式向采购代理机构一次性提出针对同一采购程序环节的质疑，</w:t>
            </w:r>
            <w:r>
              <w:rPr>
                <w:rFonts w:hint="eastAsia" w:ascii="宋体" w:hAnsi="宋体" w:eastAsia="宋体" w:cs="宋体"/>
                <w:color w:val="auto"/>
                <w:kern w:val="0"/>
                <w:szCs w:val="21"/>
                <w:highlight w:val="none"/>
              </w:rPr>
              <w:t>质疑</w:t>
            </w:r>
            <w:r>
              <w:rPr>
                <w:rFonts w:hint="eastAsia" w:ascii="宋体" w:hAnsi="宋体" w:eastAsia="宋体" w:cs="宋体"/>
                <w:bCs/>
                <w:color w:val="auto"/>
                <w:szCs w:val="21"/>
                <w:highlight w:val="none"/>
              </w:rPr>
              <w:t>以书面形式送达（仅接收派人送达、邮寄送达质疑函原件两种方式），质疑函的格式和内容应当符合《政府采购质疑和投诉办法》（财政部令第94号）的要求。</w:t>
            </w:r>
          </w:p>
          <w:p w14:paraId="596C3EEE">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联系部门：招标部</w:t>
            </w:r>
          </w:p>
          <w:p w14:paraId="095F7FA1">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联系人：</w:t>
            </w:r>
            <w:r>
              <w:rPr>
                <w:rFonts w:hint="eastAsia" w:ascii="宋体" w:hAnsi="宋体" w:cs="宋体"/>
                <w:color w:val="auto"/>
                <w:szCs w:val="21"/>
                <w:lang w:eastAsia="zh-CN"/>
              </w:rPr>
              <w:t>王璐</w:t>
            </w:r>
          </w:p>
          <w:p w14:paraId="29D1B972">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联系电话：</w:t>
            </w:r>
            <w:r>
              <w:rPr>
                <w:rFonts w:hint="eastAsia" w:ascii="宋体" w:hAnsi="宋体" w:cs="宋体"/>
                <w:bCs/>
                <w:color w:val="auto"/>
                <w:szCs w:val="21"/>
                <w:lang w:eastAsia="zh-CN"/>
              </w:rPr>
              <w:t>0431-80806989</w:t>
            </w:r>
          </w:p>
          <w:p w14:paraId="6E1B1757">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邮箱：</w:t>
            </w:r>
            <w:r>
              <w:rPr>
                <w:rFonts w:hint="eastAsia" w:ascii="宋体" w:hAnsi="宋体" w:cs="宋体"/>
                <w:bCs/>
                <w:color w:val="auto"/>
                <w:szCs w:val="21"/>
                <w:lang w:val="en-US" w:eastAsia="zh-CN"/>
              </w:rPr>
              <w:t>dashuzyl@qq.com</w:t>
            </w:r>
          </w:p>
          <w:p w14:paraId="47E12CB3">
            <w:pPr>
              <w:autoSpaceDE w:val="0"/>
              <w:autoSpaceDN w:val="0"/>
              <w:adjustRightInd w:val="0"/>
              <w:spacing w:line="320" w:lineRule="exact"/>
              <w:jc w:val="left"/>
              <w:rPr>
                <w:rFonts w:hint="eastAsia" w:ascii="宋体" w:hAnsi="宋体" w:eastAsia="宋体" w:cs="宋体"/>
                <w:bCs/>
                <w:color w:val="auto"/>
                <w:szCs w:val="21"/>
                <w:highlight w:val="none"/>
              </w:rPr>
            </w:pPr>
            <w:r>
              <w:rPr>
                <w:rFonts w:hint="eastAsia" w:ascii="宋体" w:hAnsi="宋体" w:cs="宋体"/>
                <w:bCs/>
                <w:color w:val="auto"/>
                <w:szCs w:val="21"/>
              </w:rPr>
              <w:t>通信地址：</w:t>
            </w:r>
            <w:r>
              <w:rPr>
                <w:rFonts w:hint="eastAsia" w:ascii="宋体" w:hAnsi="宋体" w:cs="宋体"/>
                <w:bCs/>
                <w:color w:val="auto"/>
                <w:szCs w:val="21"/>
                <w:lang w:eastAsia="zh-CN"/>
              </w:rPr>
              <w:t>长春市高新开发区创新路669号长春市转业军人创业孵化基地大楼511-1室</w:t>
            </w:r>
          </w:p>
        </w:tc>
      </w:tr>
      <w:tr w14:paraId="3933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38" w:type="dxa"/>
            <w:vAlign w:val="center"/>
          </w:tcPr>
          <w:p w14:paraId="020AD110">
            <w:pPr>
              <w:autoSpaceDE w:val="0"/>
              <w:autoSpaceDN w:val="0"/>
              <w:adjustRightInd w:val="0"/>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3.2</w:t>
            </w:r>
          </w:p>
        </w:tc>
        <w:tc>
          <w:tcPr>
            <w:tcW w:w="2351" w:type="dxa"/>
            <w:vAlign w:val="center"/>
          </w:tcPr>
          <w:p w14:paraId="3D1FF985">
            <w:pPr>
              <w:numPr>
                <w:ilvl w:val="0"/>
                <w:numId w:val="0"/>
              </w:numPr>
              <w:bidi w:val="0"/>
              <w:ind w:leftChars="0"/>
              <w:jc w:val="center"/>
              <w:rPr>
                <w:rFonts w:hint="eastAsia" w:ascii="宋体" w:hAnsi="宋体" w:eastAsia="宋体" w:cs="宋体"/>
                <w:bCs/>
                <w:color w:val="auto"/>
                <w:szCs w:val="21"/>
                <w:highlight w:val="none"/>
                <w:lang w:val="zh-CN"/>
              </w:rPr>
            </w:pPr>
            <w:r>
              <w:rPr>
                <w:rFonts w:hint="eastAsia" w:ascii="宋体" w:hAnsi="宋体" w:eastAsia="宋体" w:cs="宋体"/>
                <w:color w:val="auto"/>
                <w:highlight w:val="none"/>
              </w:rPr>
              <w:t>投标报价</w:t>
            </w:r>
          </w:p>
        </w:tc>
        <w:tc>
          <w:tcPr>
            <w:tcW w:w="6302" w:type="dxa"/>
            <w:vAlign w:val="center"/>
          </w:tcPr>
          <w:p w14:paraId="0A74E939">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投标报价不得超过</w:t>
            </w:r>
            <w:r>
              <w:rPr>
                <w:rFonts w:hint="eastAsia" w:ascii="宋体" w:hAnsi="宋体" w:cs="宋体"/>
                <w:bCs/>
                <w:color w:val="auto"/>
                <w:szCs w:val="21"/>
                <w:highlight w:val="none"/>
                <w:lang w:val="en-US" w:eastAsia="zh-CN"/>
              </w:rPr>
              <w:t>最高限价。</w:t>
            </w:r>
          </w:p>
        </w:tc>
      </w:tr>
      <w:tr w14:paraId="14DE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8" w:type="dxa"/>
            <w:vAlign w:val="center"/>
          </w:tcPr>
          <w:p w14:paraId="3F2B0353">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2351" w:type="dxa"/>
            <w:vAlign w:val="center"/>
          </w:tcPr>
          <w:p w14:paraId="3A1A5C23">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302" w:type="dxa"/>
            <w:vAlign w:val="center"/>
          </w:tcPr>
          <w:p w14:paraId="71CB7F5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w:t>
            </w:r>
            <w:r>
              <w:rPr>
                <w:rFonts w:hint="eastAsia" w:ascii="宋体" w:hAnsi="宋体" w:eastAsia="宋体" w:cs="宋体"/>
                <w:bCs/>
                <w:color w:val="auto"/>
                <w:szCs w:val="21"/>
                <w:highlight w:val="none"/>
                <w:lang w:val="en-US" w:eastAsia="zh-CN"/>
              </w:rPr>
              <w:t>起</w:t>
            </w:r>
            <w:r>
              <w:rPr>
                <w:rFonts w:hint="eastAsia" w:ascii="宋体" w:hAnsi="宋体" w:eastAsia="宋体" w:cs="宋体"/>
                <w:bCs/>
                <w:color w:val="auto"/>
                <w:szCs w:val="21"/>
                <w:highlight w:val="none"/>
                <w:lang w:val="zh-CN"/>
              </w:rPr>
              <w:t>90天（日历天）</w:t>
            </w:r>
          </w:p>
        </w:tc>
      </w:tr>
      <w:tr w14:paraId="1D62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9C9DF2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p>
        </w:tc>
        <w:tc>
          <w:tcPr>
            <w:tcW w:w="2351" w:type="dxa"/>
            <w:vAlign w:val="center"/>
          </w:tcPr>
          <w:p w14:paraId="65FF5598">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6302" w:type="dxa"/>
            <w:vAlign w:val="center"/>
          </w:tcPr>
          <w:p w14:paraId="4C0CBA2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投标保证金的金额:人民币</w:t>
            </w: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lang w:val="en-US" w:eastAsia="zh-CN"/>
              </w:rPr>
              <w:t>000</w:t>
            </w:r>
            <w:r>
              <w:rPr>
                <w:rFonts w:hint="eastAsia" w:ascii="宋体" w:hAnsi="宋体" w:eastAsia="宋体" w:cs="宋体"/>
                <w:bCs/>
                <w:color w:val="auto"/>
                <w:szCs w:val="21"/>
                <w:highlight w:val="none"/>
                <w:lang w:val="zh-CN"/>
              </w:rPr>
              <w:t>.00元整。</w:t>
            </w:r>
          </w:p>
          <w:p w14:paraId="66BB9D4F">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投标保证金的形式：现金、银行出具的现金支票、保兑支票、银行汇票、银行或专业担保公司或保险公司出具的保函、转账、电汇等</w:t>
            </w:r>
          </w:p>
          <w:p w14:paraId="681D199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（1）若采用现金或支票形式的：供应商应在</w:t>
            </w:r>
            <w:r>
              <w:rPr>
                <w:rFonts w:hint="eastAsia" w:ascii="宋体" w:hAnsi="宋体" w:cs="宋体"/>
                <w:bCs/>
                <w:color w:val="auto"/>
                <w:szCs w:val="21"/>
                <w:highlight w:val="none"/>
                <w:lang w:val="en-US" w:eastAsia="zh-CN"/>
              </w:rPr>
              <w:t>投标截止时间</w:t>
            </w:r>
            <w:r>
              <w:rPr>
                <w:rFonts w:hint="eastAsia" w:ascii="宋体" w:hAnsi="宋体" w:eastAsia="宋体" w:cs="宋体"/>
                <w:bCs/>
                <w:color w:val="auto"/>
                <w:szCs w:val="21"/>
                <w:highlight w:val="none"/>
                <w:lang w:val="zh-CN"/>
              </w:rPr>
              <w:t>前，将投标保证金由</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的基本账户一次性转入并到达指定账户，否则视为投标保证金无效</w:t>
            </w:r>
          </w:p>
          <w:p w14:paraId="5C7E840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户名：</w:t>
            </w:r>
            <w:r>
              <w:rPr>
                <w:rFonts w:hint="eastAsia" w:ascii="宋体" w:hAnsi="宋体" w:cs="宋体"/>
                <w:color w:val="auto"/>
                <w:highlight w:val="none"/>
                <w:lang w:val="en-US" w:eastAsia="zh-CN"/>
              </w:rPr>
              <w:t>吉林省杭盛项目管理有限公司</w:t>
            </w:r>
          </w:p>
          <w:p w14:paraId="79C78AFB">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账号：</w:t>
            </w:r>
            <w:r>
              <w:rPr>
                <w:rFonts w:hint="eastAsia" w:ascii="宋体" w:hAnsi="宋体" w:cs="宋体"/>
                <w:color w:val="auto"/>
                <w:highlight w:val="none"/>
                <w:lang w:val="en-US" w:eastAsia="zh-CN"/>
              </w:rPr>
              <w:t>61010078801000005475</w:t>
            </w:r>
          </w:p>
          <w:p w14:paraId="4246E85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开户行：</w:t>
            </w:r>
            <w:r>
              <w:rPr>
                <w:rFonts w:hint="eastAsia" w:ascii="宋体" w:hAnsi="宋体" w:cs="宋体"/>
                <w:color w:val="auto"/>
                <w:highlight w:val="none"/>
                <w:lang w:val="en-US" w:eastAsia="zh-CN"/>
              </w:rPr>
              <w:t>上海浦东发展银行长春分行</w:t>
            </w:r>
          </w:p>
          <w:p w14:paraId="0D5BC42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（2）若采用银行、保险公司、工程担保机构开具的保函，应将保函复印件装订在响应文件内，原件应在</w:t>
            </w:r>
            <w:r>
              <w:rPr>
                <w:rFonts w:hint="eastAsia" w:ascii="宋体" w:hAnsi="宋体" w:cs="宋体"/>
                <w:bCs/>
                <w:color w:val="auto"/>
                <w:szCs w:val="21"/>
                <w:highlight w:val="none"/>
                <w:lang w:val="en-US" w:eastAsia="zh-CN"/>
              </w:rPr>
              <w:t>投标截止时间</w:t>
            </w:r>
            <w:r>
              <w:rPr>
                <w:rFonts w:hint="eastAsia" w:ascii="宋体" w:hAnsi="宋体" w:eastAsia="宋体" w:cs="宋体"/>
                <w:bCs/>
                <w:color w:val="auto"/>
                <w:szCs w:val="21"/>
                <w:highlight w:val="none"/>
                <w:lang w:val="zh-CN"/>
              </w:rPr>
              <w:t>前单独密封递交给代理机构。供应商必须保证在代理机构通过银行、保险公司、工程担保机构询证其保函真伪时，应在投标截止时间前及时获得回复，代理机构最多为供应商询证 2 次，若开具保函的银行不及时回复代理机构的询证或不能全部确认代理机构询证的内容，代理机构将视为其保函无效，供应商将承担由此产生的一切后果。若供应商的基本账户在购买磋商文件后至递交投标担保截止时间之间发生更改，须提前2天以彩色复印件加盖公章形式电子发送代理机构邮箱并电话通知代理机构，由采购人、采购代理机构进行确认，否则所递交投标担保无效。无论采取何种形式的投标保证金，投标保证金有效期均应与投标有效期一致。采购人如果延长了</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有效期，则投标保证金的有效期也相应延长。</w:t>
            </w:r>
          </w:p>
          <w:p w14:paraId="10EA2C6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应在汇款时认真核对收款单位、开户行名称、账号准确无误，确保保证金按时到账，投标保证金应写明项目名称及编号，否则后果自负。</w:t>
            </w:r>
          </w:p>
        </w:tc>
      </w:tr>
      <w:tr w14:paraId="09A7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38" w:type="dxa"/>
            <w:vAlign w:val="center"/>
          </w:tcPr>
          <w:p w14:paraId="58C18CCC">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3.8.2</w:t>
            </w:r>
          </w:p>
        </w:tc>
        <w:tc>
          <w:tcPr>
            <w:tcW w:w="2351" w:type="dxa"/>
            <w:vAlign w:val="center"/>
          </w:tcPr>
          <w:p w14:paraId="69B550A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302" w:type="dxa"/>
            <w:vAlign w:val="center"/>
          </w:tcPr>
          <w:p w14:paraId="0856B3AA">
            <w:pPr>
              <w:numPr>
                <w:ilvl w:val="0"/>
                <w:numId w:val="0"/>
              </w:numPr>
              <w:autoSpaceDE w:val="0"/>
              <w:autoSpaceDN w:val="0"/>
              <w:adjustRightInd w:val="0"/>
              <w:spacing w:line="320" w:lineRule="exact"/>
              <w:ind w:leftChars="0"/>
              <w:jc w:val="left"/>
              <w:rPr>
                <w:rFonts w:hint="eastAsia" w:ascii="宋体" w:hAnsi="宋体" w:eastAsia="宋体" w:cs="宋体"/>
                <w:bCs/>
                <w:color w:val="auto"/>
                <w:szCs w:val="21"/>
                <w:highlight w:val="none"/>
                <w:lang w:val="zh-CN"/>
              </w:rPr>
            </w:pPr>
            <w:r>
              <w:rPr>
                <w:rFonts w:hint="eastAsia" w:ascii="宋体" w:hAnsi="宋体" w:cs="宋体"/>
                <w:bCs/>
                <w:color w:val="auto"/>
                <w:szCs w:val="21"/>
                <w:lang w:val="zh-CN"/>
              </w:rPr>
              <w:t>按“</w:t>
            </w:r>
            <w:r>
              <w:rPr>
                <w:rFonts w:hint="eastAsia" w:ascii="宋体" w:hAnsi="宋体" w:cs="宋体"/>
                <w:bCs/>
                <w:color w:val="auto"/>
                <w:szCs w:val="21"/>
                <w:lang w:val="en-US" w:eastAsia="zh-CN"/>
              </w:rPr>
              <w:t>政采云</w:t>
            </w:r>
            <w:r>
              <w:rPr>
                <w:rFonts w:hint="eastAsia" w:ascii="宋体" w:hAnsi="宋体" w:cs="宋体"/>
                <w:bCs/>
                <w:color w:val="auto"/>
                <w:szCs w:val="21"/>
                <w:lang w:val="zh-CN"/>
              </w:rPr>
              <w:t>”系统</w:t>
            </w:r>
            <w:r>
              <w:rPr>
                <w:rFonts w:hint="eastAsia" w:ascii="宋体" w:hAnsi="宋体" w:cs="宋体"/>
                <w:bCs/>
                <w:color w:val="auto"/>
                <w:szCs w:val="21"/>
                <w:lang w:val="en-US" w:eastAsia="zh-CN"/>
              </w:rPr>
              <w:t>及招标文件</w:t>
            </w:r>
            <w:r>
              <w:rPr>
                <w:rFonts w:hint="eastAsia" w:ascii="宋体" w:hAnsi="宋体" w:cs="宋体"/>
                <w:bCs/>
                <w:color w:val="auto"/>
                <w:szCs w:val="21"/>
                <w:lang w:val="zh-CN"/>
              </w:rPr>
              <w:t>要求签字盖章，如被授权人无法网上签字，需将此页打印签字后扫描上传至投标文件</w:t>
            </w:r>
            <w:r>
              <w:rPr>
                <w:rFonts w:hint="eastAsia" w:ascii="宋体" w:hAnsi="宋体" w:eastAsia="宋体" w:cs="宋体"/>
                <w:bCs/>
                <w:color w:val="auto"/>
                <w:szCs w:val="21"/>
                <w:highlight w:val="none"/>
                <w:lang w:val="zh-CN"/>
              </w:rPr>
              <w:t>。</w:t>
            </w:r>
          </w:p>
        </w:tc>
      </w:tr>
      <w:tr w14:paraId="1702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6A606C2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4.2.1</w:t>
            </w:r>
          </w:p>
        </w:tc>
        <w:tc>
          <w:tcPr>
            <w:tcW w:w="2351" w:type="dxa"/>
            <w:vAlign w:val="center"/>
          </w:tcPr>
          <w:p w14:paraId="47CABF48">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响应文件递交截止时间</w:t>
            </w:r>
          </w:p>
        </w:tc>
        <w:tc>
          <w:tcPr>
            <w:tcW w:w="6302" w:type="dxa"/>
            <w:vAlign w:val="center"/>
          </w:tcPr>
          <w:p w14:paraId="68095A96">
            <w:pPr>
              <w:autoSpaceDE w:val="0"/>
              <w:autoSpaceDN w:val="0"/>
              <w:adjustRightInd w:val="0"/>
              <w:spacing w:line="320" w:lineRule="exact"/>
              <w:jc w:val="left"/>
              <w:rPr>
                <w:rFonts w:hint="eastAsia" w:ascii="宋体" w:hAnsi="宋体" w:eastAsia="宋体" w:cs="宋体"/>
                <w:b/>
                <w:bCs/>
                <w:color w:val="auto"/>
                <w:szCs w:val="21"/>
                <w:highlight w:val="none"/>
                <w:lang w:val="zh-CN"/>
              </w:rPr>
            </w:pPr>
            <w:r>
              <w:rPr>
                <w:rFonts w:hint="eastAsia" w:ascii="宋体" w:hAnsi="宋体" w:eastAsia="宋体" w:cs="宋体"/>
                <w:color w:val="auto"/>
                <w:sz w:val="21"/>
                <w:szCs w:val="21"/>
                <w:highlight w:val="none"/>
                <w:shd w:val="clear"/>
                <w:lang w:val="en-US" w:eastAsia="zh-CN"/>
              </w:rPr>
              <w:t>202</w:t>
            </w:r>
            <w:r>
              <w:rPr>
                <w:rFonts w:hint="eastAsia" w:ascii="宋体" w:hAnsi="宋体" w:cs="宋体"/>
                <w:color w:val="auto"/>
                <w:sz w:val="21"/>
                <w:szCs w:val="21"/>
                <w:highlight w:val="none"/>
                <w:shd w:val="clear"/>
                <w:lang w:val="en-US" w:eastAsia="zh-CN"/>
              </w:rPr>
              <w:t>5</w:t>
            </w:r>
            <w:r>
              <w:rPr>
                <w:rFonts w:hint="eastAsia" w:ascii="宋体" w:hAnsi="宋体" w:eastAsia="宋体" w:cs="宋体"/>
                <w:color w:val="auto"/>
                <w:sz w:val="21"/>
                <w:szCs w:val="21"/>
                <w:highlight w:val="none"/>
                <w:shd w:val="clear"/>
                <w:lang w:val="en-US" w:eastAsia="zh-CN"/>
              </w:rPr>
              <w:t>年</w:t>
            </w:r>
            <w:r>
              <w:rPr>
                <w:rFonts w:hint="eastAsia" w:ascii="宋体" w:hAnsi="宋体" w:cs="宋体"/>
                <w:color w:val="auto"/>
                <w:sz w:val="21"/>
                <w:szCs w:val="21"/>
                <w:highlight w:val="none"/>
                <w:shd w:val="clear"/>
                <w:lang w:val="en-US" w:eastAsia="zh-CN"/>
              </w:rPr>
              <w:t>7</w:t>
            </w:r>
            <w:r>
              <w:rPr>
                <w:rFonts w:hint="eastAsia" w:ascii="宋体" w:hAnsi="宋体" w:eastAsia="宋体" w:cs="宋体"/>
                <w:color w:val="auto"/>
                <w:sz w:val="21"/>
                <w:szCs w:val="21"/>
                <w:highlight w:val="none"/>
                <w:shd w:val="clear"/>
                <w:lang w:val="en-US" w:eastAsia="zh-CN"/>
              </w:rPr>
              <w:t>月</w:t>
            </w:r>
            <w:r>
              <w:rPr>
                <w:rFonts w:hint="eastAsia" w:ascii="宋体" w:hAnsi="宋体" w:cs="宋体"/>
                <w:color w:val="auto"/>
                <w:sz w:val="21"/>
                <w:szCs w:val="21"/>
                <w:highlight w:val="none"/>
                <w:shd w:val="clear"/>
                <w:lang w:val="en-US" w:eastAsia="zh-CN"/>
              </w:rPr>
              <w:t>18</w:t>
            </w:r>
            <w:r>
              <w:rPr>
                <w:rFonts w:hint="eastAsia" w:ascii="宋体" w:hAnsi="宋体" w:eastAsia="宋体" w:cs="宋体"/>
                <w:color w:val="auto"/>
                <w:sz w:val="21"/>
                <w:szCs w:val="21"/>
                <w:highlight w:val="none"/>
                <w:shd w:val="clear"/>
                <w:lang w:val="en-US" w:eastAsia="zh-CN"/>
              </w:rPr>
              <w:t>日</w:t>
            </w:r>
            <w:r>
              <w:rPr>
                <w:rFonts w:hint="eastAsia" w:ascii="宋体" w:hAnsi="宋体" w:cs="宋体"/>
                <w:color w:val="auto"/>
                <w:sz w:val="21"/>
                <w:szCs w:val="21"/>
                <w:highlight w:val="none"/>
                <w:shd w:val="clear"/>
                <w:lang w:val="en-US" w:eastAsia="zh-CN"/>
              </w:rPr>
              <w:t>13</w:t>
            </w:r>
            <w:r>
              <w:rPr>
                <w:rFonts w:hint="eastAsia" w:ascii="宋体" w:hAnsi="宋体" w:eastAsia="宋体" w:cs="宋体"/>
                <w:color w:val="auto"/>
                <w:sz w:val="21"/>
                <w:szCs w:val="21"/>
                <w:highlight w:val="none"/>
                <w:shd w:val="clear"/>
                <w:lang w:val="en-US" w:eastAsia="zh-CN"/>
              </w:rPr>
              <w:t>点</w:t>
            </w:r>
            <w:r>
              <w:rPr>
                <w:rFonts w:hint="eastAsia" w:ascii="宋体" w:hAnsi="宋体" w:cs="宋体"/>
                <w:color w:val="auto"/>
                <w:sz w:val="21"/>
                <w:szCs w:val="21"/>
                <w:highlight w:val="none"/>
                <w:shd w:val="clear"/>
                <w:lang w:val="en-US" w:eastAsia="zh-CN"/>
              </w:rPr>
              <w:t>0</w:t>
            </w:r>
            <w:r>
              <w:rPr>
                <w:rFonts w:hint="eastAsia" w:ascii="宋体" w:hAnsi="宋体" w:eastAsia="宋体" w:cs="宋体"/>
                <w:color w:val="auto"/>
                <w:sz w:val="21"/>
                <w:szCs w:val="21"/>
                <w:highlight w:val="none"/>
                <w:shd w:val="clear"/>
                <w:lang w:val="en-US" w:eastAsia="zh-CN"/>
              </w:rPr>
              <w:t>0分</w:t>
            </w:r>
            <w:r>
              <w:rPr>
                <w:rFonts w:hint="eastAsia" w:ascii="宋体" w:hAnsi="宋体" w:eastAsia="宋体" w:cs="宋体"/>
                <w:color w:val="auto"/>
                <w:sz w:val="21"/>
                <w:szCs w:val="21"/>
                <w:highlight w:val="none"/>
              </w:rPr>
              <w:t>（北京时间）</w:t>
            </w:r>
          </w:p>
        </w:tc>
      </w:tr>
      <w:tr w14:paraId="5D71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38" w:type="dxa"/>
            <w:vAlign w:val="center"/>
          </w:tcPr>
          <w:p w14:paraId="473250DA">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4.2.2</w:t>
            </w:r>
          </w:p>
        </w:tc>
        <w:tc>
          <w:tcPr>
            <w:tcW w:w="2351" w:type="dxa"/>
            <w:vAlign w:val="center"/>
          </w:tcPr>
          <w:p w14:paraId="5DD9813D">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响应文件递交地点</w:t>
            </w:r>
          </w:p>
        </w:tc>
        <w:tc>
          <w:tcPr>
            <w:tcW w:w="6302" w:type="dxa"/>
            <w:vAlign w:val="center"/>
          </w:tcPr>
          <w:p w14:paraId="74664BF3">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color w:val="auto"/>
                <w:sz w:val="21"/>
                <w:szCs w:val="21"/>
                <w:highlight w:val="none"/>
                <w:lang w:val="zh-CN" w:eastAsia="zh-CN"/>
              </w:rPr>
              <w:t>在</w:t>
            </w:r>
            <w:r>
              <w:rPr>
                <w:rFonts w:hint="eastAsia" w:ascii="宋体" w:hAnsi="宋体" w:eastAsia="宋体" w:cs="宋体"/>
                <w:color w:val="auto"/>
                <w:sz w:val="21"/>
                <w:szCs w:val="21"/>
                <w:lang w:val="en-US" w:eastAsia="zh-CN"/>
              </w:rPr>
              <w:t>“政采云”平台(http：//www.zcygov.cn)</w:t>
            </w:r>
            <w:r>
              <w:rPr>
                <w:rFonts w:hint="eastAsia" w:ascii="宋体" w:hAnsi="宋体" w:eastAsia="宋体" w:cs="宋体"/>
                <w:color w:val="auto"/>
                <w:sz w:val="21"/>
                <w:szCs w:val="21"/>
                <w:highlight w:val="none"/>
                <w:lang w:val="zh-CN" w:eastAsia="zh-CN"/>
              </w:rPr>
              <w:t>上传电子加密投标文件</w:t>
            </w:r>
          </w:p>
        </w:tc>
      </w:tr>
      <w:tr w14:paraId="0634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0616F3C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4.4</w:t>
            </w:r>
          </w:p>
        </w:tc>
        <w:tc>
          <w:tcPr>
            <w:tcW w:w="2351" w:type="dxa"/>
            <w:vAlign w:val="center"/>
          </w:tcPr>
          <w:p w14:paraId="77B5909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302" w:type="dxa"/>
            <w:vAlign w:val="center"/>
          </w:tcPr>
          <w:p w14:paraId="4A08D86D">
            <w:pPr>
              <w:spacing w:line="32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磋商文件要求的其他材料</w:t>
            </w:r>
          </w:p>
        </w:tc>
      </w:tr>
      <w:tr w14:paraId="6570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vAlign w:val="center"/>
          </w:tcPr>
          <w:p w14:paraId="368A923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5.1</w:t>
            </w:r>
          </w:p>
        </w:tc>
        <w:tc>
          <w:tcPr>
            <w:tcW w:w="2351" w:type="dxa"/>
            <w:vAlign w:val="center"/>
          </w:tcPr>
          <w:p w14:paraId="259B27BB">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6302" w:type="dxa"/>
            <w:vAlign w:val="center"/>
          </w:tcPr>
          <w:p w14:paraId="4432D046">
            <w:pPr>
              <w:autoSpaceDE w:val="0"/>
              <w:autoSpaceDN w:val="0"/>
              <w:adjustRightInd w:val="0"/>
              <w:spacing w:line="320" w:lineRule="exact"/>
              <w:rPr>
                <w:rFonts w:hint="eastAsia" w:ascii="宋体" w:hAnsi="宋体" w:eastAsia="宋体" w:cs="宋体"/>
                <w:b w:val="0"/>
                <w:bCs/>
                <w:color w:val="auto"/>
                <w:szCs w:val="21"/>
                <w:highlight w:val="none"/>
              </w:rPr>
            </w:pPr>
            <w:r>
              <w:rPr>
                <w:rFonts w:hint="eastAsia" w:ascii="宋体" w:hAnsi="宋体" w:eastAsia="宋体" w:cs="宋体"/>
                <w:b/>
                <w:bCs/>
                <w:color w:val="auto"/>
                <w:szCs w:val="21"/>
                <w:highlight w:val="none"/>
              </w:rPr>
              <w:t>开标时间：</w:t>
            </w:r>
            <w:r>
              <w:rPr>
                <w:rFonts w:hint="eastAsia" w:ascii="宋体" w:hAnsi="宋体" w:eastAsia="宋体" w:cs="宋体"/>
                <w:b w:val="0"/>
                <w:bCs/>
                <w:color w:val="auto"/>
                <w:szCs w:val="21"/>
                <w:highlight w:val="none"/>
              </w:rPr>
              <w:t>同响应文件递交截止时间</w:t>
            </w:r>
          </w:p>
          <w:p w14:paraId="2248411C">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
                <w:bCs/>
                <w:color w:val="auto"/>
                <w:szCs w:val="21"/>
                <w:highlight w:val="none"/>
              </w:rPr>
              <w:t>开标地点：</w:t>
            </w:r>
            <w:r>
              <w:rPr>
                <w:rFonts w:hint="eastAsia" w:ascii="宋体" w:hAnsi="宋体" w:cs="宋体"/>
                <w:color w:val="auto"/>
                <w:sz w:val="21"/>
                <w:szCs w:val="21"/>
                <w:lang w:val="zh-CN" w:eastAsia="zh-CN"/>
              </w:rPr>
              <w:t>吉林省白山市浑江区白山市浑江区红旗街578号国投大厦3楼</w:t>
            </w:r>
            <w:r>
              <w:rPr>
                <w:rFonts w:hint="eastAsia" w:ascii="宋体" w:hAnsi="宋体" w:cs="宋体"/>
                <w:color w:val="auto"/>
                <w:sz w:val="21"/>
                <w:szCs w:val="21"/>
                <w:highlight w:val="none"/>
                <w:lang w:val="zh-CN" w:eastAsia="zh-CN"/>
              </w:rPr>
              <w:t>开标室</w:t>
            </w:r>
            <w:r>
              <w:rPr>
                <w:rFonts w:hint="eastAsia" w:ascii="宋体" w:hAnsi="宋体" w:cs="宋体"/>
                <w:color w:val="auto"/>
                <w:sz w:val="21"/>
                <w:szCs w:val="21"/>
                <w:highlight w:val="none"/>
                <w:lang w:val="en-US" w:eastAsia="zh-CN"/>
              </w:rPr>
              <w:t>1</w:t>
            </w:r>
          </w:p>
        </w:tc>
      </w:tr>
      <w:tr w14:paraId="0943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38" w:type="dxa"/>
            <w:vAlign w:val="center"/>
          </w:tcPr>
          <w:p w14:paraId="2F4BE6F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5.2</w:t>
            </w:r>
          </w:p>
        </w:tc>
        <w:tc>
          <w:tcPr>
            <w:tcW w:w="2351" w:type="dxa"/>
            <w:vAlign w:val="center"/>
          </w:tcPr>
          <w:p w14:paraId="55752EF4">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开标程序</w:t>
            </w:r>
          </w:p>
        </w:tc>
        <w:tc>
          <w:tcPr>
            <w:tcW w:w="6302" w:type="dxa"/>
            <w:vAlign w:val="center"/>
          </w:tcPr>
          <w:p w14:paraId="14F6A860">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开标顺序：按</w:t>
            </w:r>
            <w:r>
              <w:rPr>
                <w:rFonts w:hint="eastAsia" w:ascii="宋体" w:hAnsi="宋体" w:eastAsia="宋体" w:cs="宋体"/>
                <w:color w:val="auto"/>
                <w:sz w:val="21"/>
                <w:szCs w:val="21"/>
                <w:lang w:val="en-US" w:eastAsia="zh-CN"/>
              </w:rPr>
              <w:t>“政采云”平台</w:t>
            </w:r>
            <w:r>
              <w:rPr>
                <w:rFonts w:hint="eastAsia" w:ascii="宋体" w:hAnsi="宋体" w:eastAsia="宋体" w:cs="宋体"/>
                <w:bCs/>
                <w:color w:val="auto"/>
                <w:szCs w:val="21"/>
                <w:highlight w:val="none"/>
                <w:lang w:val="zh-CN"/>
              </w:rPr>
              <w:t>先后顺序进行。</w:t>
            </w:r>
          </w:p>
        </w:tc>
      </w:tr>
      <w:tr w14:paraId="0BBE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38" w:type="dxa"/>
            <w:vAlign w:val="center"/>
          </w:tcPr>
          <w:p w14:paraId="7F6AA8C5">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6.1</w:t>
            </w:r>
          </w:p>
        </w:tc>
        <w:tc>
          <w:tcPr>
            <w:tcW w:w="2351" w:type="dxa"/>
            <w:vAlign w:val="center"/>
          </w:tcPr>
          <w:p w14:paraId="1EAB8891">
            <w:pPr>
              <w:autoSpaceDE w:val="0"/>
              <w:autoSpaceDN w:val="0"/>
              <w:adjustRightInd w:val="0"/>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bCs/>
                <w:color w:val="auto"/>
                <w:szCs w:val="21"/>
                <w:highlight w:val="none"/>
                <w:lang w:val="zh-CN"/>
              </w:rPr>
              <w:t>资格审查主体</w:t>
            </w:r>
          </w:p>
        </w:tc>
        <w:tc>
          <w:tcPr>
            <w:tcW w:w="6302" w:type="dxa"/>
            <w:vAlign w:val="center"/>
          </w:tcPr>
          <w:p w14:paraId="417157DB">
            <w:pPr>
              <w:autoSpaceDE w:val="0"/>
              <w:autoSpaceDN w:val="0"/>
              <w:adjustRightInd w:val="0"/>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bCs/>
                <w:color w:val="auto"/>
                <w:szCs w:val="21"/>
                <w:highlight w:val="none"/>
                <w:lang w:val="zh-CN" w:eastAsia="zh-CN"/>
              </w:rPr>
              <w:t>竞争性磋商小组</w:t>
            </w:r>
          </w:p>
        </w:tc>
      </w:tr>
      <w:tr w14:paraId="448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38" w:type="dxa"/>
            <w:vAlign w:val="center"/>
          </w:tcPr>
          <w:p w14:paraId="2D76E02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7.1.1</w:t>
            </w:r>
          </w:p>
        </w:tc>
        <w:tc>
          <w:tcPr>
            <w:tcW w:w="2351" w:type="dxa"/>
            <w:vAlign w:val="center"/>
          </w:tcPr>
          <w:p w14:paraId="47B88AF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磋商小组的组建</w:t>
            </w:r>
          </w:p>
        </w:tc>
        <w:tc>
          <w:tcPr>
            <w:tcW w:w="6302" w:type="dxa"/>
            <w:vAlign w:val="center"/>
          </w:tcPr>
          <w:p w14:paraId="6922FA01">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磋商小组构成：</w:t>
            </w:r>
            <w:r>
              <w:rPr>
                <w:rFonts w:hint="eastAsia" w:ascii="宋体" w:hAnsi="宋体" w:cs="宋体"/>
                <w:bCs/>
                <w:color w:val="auto"/>
                <w:szCs w:val="21"/>
                <w:highlight w:val="none"/>
                <w:lang w:val="zh-CN"/>
              </w:rPr>
              <w:t>有关</w:t>
            </w:r>
            <w:r>
              <w:rPr>
                <w:rFonts w:hint="eastAsia" w:ascii="宋体" w:hAnsi="宋体" w:eastAsia="宋体" w:cs="宋体"/>
                <w:bCs/>
                <w:color w:val="auto"/>
                <w:szCs w:val="21"/>
                <w:highlight w:val="none"/>
                <w:lang w:val="zh-CN"/>
              </w:rPr>
              <w:t>专家3人。</w:t>
            </w:r>
          </w:p>
          <w:p w14:paraId="06E44CC7">
            <w:pPr>
              <w:autoSpaceDE w:val="0"/>
              <w:autoSpaceDN w:val="0"/>
              <w:adjustRightInd w:val="0"/>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评标专家确定方式：有关专家从依法设立的政府采购评审专家库中随机抽取产生。</w:t>
            </w:r>
          </w:p>
        </w:tc>
      </w:tr>
      <w:tr w14:paraId="11D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8" w:type="dxa"/>
            <w:vAlign w:val="center"/>
          </w:tcPr>
          <w:p w14:paraId="58B36F0E">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7.2</w:t>
            </w:r>
          </w:p>
        </w:tc>
        <w:tc>
          <w:tcPr>
            <w:tcW w:w="2351" w:type="dxa"/>
            <w:vAlign w:val="center"/>
          </w:tcPr>
          <w:p w14:paraId="7DEFE9F5">
            <w:pPr>
              <w:autoSpaceDE w:val="0"/>
              <w:autoSpaceDN w:val="0"/>
              <w:adjustRightInd w:val="0"/>
              <w:spacing w:line="320" w:lineRule="exact"/>
              <w:jc w:val="center"/>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eastAsia="zh-CN"/>
              </w:rPr>
              <w:t>偏离</w:t>
            </w:r>
          </w:p>
        </w:tc>
        <w:tc>
          <w:tcPr>
            <w:tcW w:w="6302" w:type="dxa"/>
            <w:vAlign w:val="center"/>
          </w:tcPr>
          <w:p w14:paraId="6A793DB1">
            <w:pPr>
              <w:autoSpaceDE w:val="0"/>
              <w:autoSpaceDN w:val="0"/>
              <w:adjustRightInd w:val="0"/>
              <w:spacing w:line="320" w:lineRule="exact"/>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eastAsia="zh-CN"/>
              </w:rPr>
              <w:t>不允许负偏离</w:t>
            </w:r>
          </w:p>
        </w:tc>
      </w:tr>
      <w:tr w14:paraId="0E61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38" w:type="dxa"/>
            <w:vAlign w:val="center"/>
          </w:tcPr>
          <w:p w14:paraId="6DE1C7D2">
            <w:pPr>
              <w:autoSpaceDE w:val="0"/>
              <w:autoSpaceDN w:val="0"/>
              <w:adjustRightInd w:val="0"/>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7.3</w:t>
            </w:r>
          </w:p>
        </w:tc>
        <w:tc>
          <w:tcPr>
            <w:tcW w:w="2351" w:type="dxa"/>
            <w:vAlign w:val="center"/>
          </w:tcPr>
          <w:p w14:paraId="5EA6A5F6">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评</w:t>
            </w:r>
            <w:r>
              <w:rPr>
                <w:rFonts w:hint="eastAsia" w:ascii="宋体" w:hAnsi="宋体" w:eastAsia="宋体" w:cs="宋体"/>
                <w:bCs/>
                <w:color w:val="auto"/>
                <w:szCs w:val="21"/>
                <w:highlight w:val="none"/>
                <w:lang w:val="en-US" w:eastAsia="zh-CN"/>
              </w:rPr>
              <w:t>标方法</w:t>
            </w:r>
          </w:p>
        </w:tc>
        <w:tc>
          <w:tcPr>
            <w:tcW w:w="6302" w:type="dxa"/>
            <w:vAlign w:val="center"/>
          </w:tcPr>
          <w:p w14:paraId="7E095A11">
            <w:pPr>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综合评分法</w:t>
            </w:r>
          </w:p>
        </w:tc>
      </w:tr>
      <w:tr w14:paraId="0AF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0B8F7E14">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8.1</w:t>
            </w:r>
          </w:p>
        </w:tc>
        <w:tc>
          <w:tcPr>
            <w:tcW w:w="2351" w:type="dxa"/>
            <w:vAlign w:val="center"/>
          </w:tcPr>
          <w:p w14:paraId="28837C14">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是否授权磋商小组确定</w:t>
            </w:r>
            <w:r>
              <w:rPr>
                <w:rFonts w:hint="eastAsia" w:ascii="宋体" w:hAnsi="宋体" w:cs="宋体"/>
                <w:bCs/>
                <w:color w:val="auto"/>
                <w:szCs w:val="21"/>
                <w:highlight w:val="none"/>
                <w:lang w:val="en-US" w:eastAsia="zh-CN"/>
              </w:rPr>
              <w:t>成交供应商</w:t>
            </w:r>
          </w:p>
        </w:tc>
        <w:tc>
          <w:tcPr>
            <w:tcW w:w="6302" w:type="dxa"/>
            <w:vAlign w:val="center"/>
          </w:tcPr>
          <w:p w14:paraId="58385D6A">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否，推荐成交候选供应商数：</w:t>
            </w:r>
            <w:r>
              <w:rPr>
                <w:rFonts w:hint="eastAsia" w:ascii="宋体" w:hAnsi="宋体" w:eastAsia="宋体" w:cs="宋体"/>
                <w:bCs/>
                <w:color w:val="auto"/>
                <w:szCs w:val="21"/>
                <w:highlight w:val="none"/>
                <w:u w:val="single"/>
              </w:rPr>
              <w:t>3</w:t>
            </w:r>
            <w:r>
              <w:rPr>
                <w:rFonts w:hint="eastAsia" w:ascii="宋体" w:hAnsi="宋体" w:eastAsia="宋体" w:cs="宋体"/>
                <w:bCs/>
                <w:color w:val="auto"/>
                <w:szCs w:val="21"/>
                <w:highlight w:val="none"/>
              </w:rPr>
              <w:t>名</w:t>
            </w:r>
          </w:p>
        </w:tc>
      </w:tr>
      <w:tr w14:paraId="7526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8" w:type="dxa"/>
            <w:vAlign w:val="center"/>
          </w:tcPr>
          <w:p w14:paraId="0F8F8D32">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8.2</w:t>
            </w:r>
          </w:p>
        </w:tc>
        <w:tc>
          <w:tcPr>
            <w:tcW w:w="2351" w:type="dxa"/>
            <w:vAlign w:val="center"/>
          </w:tcPr>
          <w:p w14:paraId="75E4A36A">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lang w:val="zh-CN"/>
              </w:rPr>
              <w:t>结果公告</w:t>
            </w:r>
          </w:p>
        </w:tc>
        <w:tc>
          <w:tcPr>
            <w:tcW w:w="6302" w:type="dxa"/>
            <w:vAlign w:val="center"/>
          </w:tcPr>
          <w:p w14:paraId="0A145647">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期限为1个工作日</w:t>
            </w:r>
          </w:p>
        </w:tc>
      </w:tr>
      <w:tr w14:paraId="2BB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Align w:val="center"/>
          </w:tcPr>
          <w:p w14:paraId="144FC1CD">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8.4.1</w:t>
            </w:r>
          </w:p>
        </w:tc>
        <w:tc>
          <w:tcPr>
            <w:tcW w:w="2351" w:type="dxa"/>
            <w:vAlign w:val="center"/>
          </w:tcPr>
          <w:p w14:paraId="37772321">
            <w:pPr>
              <w:spacing w:line="320" w:lineRule="exact"/>
              <w:jc w:val="center"/>
              <w:rPr>
                <w:rFonts w:hint="eastAsia" w:ascii="宋体" w:hAnsi="宋体" w:eastAsia="宋体" w:cs="宋体"/>
                <w:bCs/>
                <w:color w:val="auto"/>
                <w:szCs w:val="21"/>
                <w:highlight w:val="none"/>
              </w:rPr>
            </w:pPr>
            <w:bookmarkStart w:id="29" w:name="_Toc8885"/>
            <w:bookmarkStart w:id="30" w:name="_Toc27528"/>
            <w:r>
              <w:rPr>
                <w:rFonts w:hint="eastAsia" w:ascii="宋体" w:hAnsi="宋体" w:eastAsia="宋体" w:cs="宋体"/>
                <w:bCs/>
                <w:color w:val="auto"/>
                <w:szCs w:val="21"/>
                <w:highlight w:val="none"/>
              </w:rPr>
              <w:t>履约保证金</w:t>
            </w:r>
            <w:bookmarkEnd w:id="29"/>
            <w:bookmarkEnd w:id="30"/>
          </w:p>
        </w:tc>
        <w:tc>
          <w:tcPr>
            <w:tcW w:w="6302" w:type="dxa"/>
            <w:vAlign w:val="center"/>
          </w:tcPr>
          <w:p w14:paraId="35F24DD1">
            <w:pPr>
              <w:autoSpaceDE w:val="0"/>
              <w:autoSpaceDN w:val="0"/>
              <w:adjustRightInd w:val="0"/>
              <w:spacing w:line="320" w:lineRule="exact"/>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不收取</w:t>
            </w:r>
          </w:p>
        </w:tc>
      </w:tr>
      <w:tr w14:paraId="1CE1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8" w:type="dxa"/>
            <w:vAlign w:val="center"/>
          </w:tcPr>
          <w:p w14:paraId="143CE202">
            <w:pPr>
              <w:pStyle w:val="75"/>
              <w:widowControl/>
              <w:adjustRightInd w:val="0"/>
              <w:snapToGrid w:val="0"/>
              <w:spacing w:before="36" w:beforeLines="15"/>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8653" w:type="dxa"/>
            <w:gridSpan w:val="2"/>
            <w:vAlign w:val="center"/>
          </w:tcPr>
          <w:p w14:paraId="4D1B2AF6">
            <w:pPr>
              <w:pStyle w:val="75"/>
              <w:widowControl/>
              <w:tabs>
                <w:tab w:val="left" w:pos="930"/>
              </w:tabs>
              <w:adjustRightInd w:val="0"/>
              <w:snapToGrid w:val="0"/>
              <w:spacing w:before="36" w:beforeLines="15"/>
              <w:ind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eastAsia="zh-CN"/>
              </w:rPr>
              <w:t>需要补充的其他内容</w:t>
            </w:r>
          </w:p>
        </w:tc>
      </w:tr>
      <w:tr w14:paraId="33A7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38" w:type="dxa"/>
            <w:vAlign w:val="center"/>
          </w:tcPr>
          <w:p w14:paraId="2F3ED6D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cs="宋体"/>
                <w:bCs/>
                <w:color w:val="auto"/>
                <w:szCs w:val="21"/>
                <w:lang w:val="zh-CN"/>
              </w:rPr>
              <w:t>10.1</w:t>
            </w:r>
          </w:p>
        </w:tc>
        <w:tc>
          <w:tcPr>
            <w:tcW w:w="2351" w:type="dxa"/>
            <w:vAlign w:val="center"/>
          </w:tcPr>
          <w:p w14:paraId="16D5EF3B">
            <w:pPr>
              <w:spacing w:line="320" w:lineRule="exact"/>
              <w:jc w:val="left"/>
              <w:rPr>
                <w:rFonts w:hint="eastAsia" w:ascii="宋体" w:hAnsi="宋体" w:eastAsia="宋体" w:cs="宋体"/>
                <w:bCs/>
                <w:color w:val="auto"/>
                <w:kern w:val="15"/>
                <w:szCs w:val="21"/>
                <w:highlight w:val="none"/>
              </w:rPr>
            </w:pPr>
            <w:r>
              <w:rPr>
                <w:rFonts w:hint="eastAsia" w:ascii="宋体" w:hAnsi="宋体" w:cs="宋体"/>
                <w:bCs/>
                <w:color w:val="auto"/>
                <w:kern w:val="15"/>
                <w:szCs w:val="21"/>
                <w:highlight w:val="none"/>
              </w:rPr>
              <w:t>采购代理服务费</w:t>
            </w:r>
          </w:p>
        </w:tc>
        <w:tc>
          <w:tcPr>
            <w:tcW w:w="6302" w:type="dxa"/>
            <w:vAlign w:val="center"/>
          </w:tcPr>
          <w:p w14:paraId="360558E9">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采购代理机构按如下标准收取代理服务费：</w:t>
            </w:r>
          </w:p>
          <w:p w14:paraId="3CFBA478">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收费依据：依据《国家发展改革委关于进一步放开建设项目专业服务价格的通知》（发改办价格【2015】299号）的规定。</w:t>
            </w:r>
          </w:p>
          <w:p w14:paraId="6E936D0D">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收取对象：中标人。</w:t>
            </w:r>
          </w:p>
          <w:p w14:paraId="288352B0">
            <w:pPr>
              <w:spacing w:line="320" w:lineRule="exact"/>
              <w:jc w:val="lef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收费金额或比例：中标（成交）金额的1.5%。</w:t>
            </w:r>
          </w:p>
          <w:p w14:paraId="42CF7647">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账号名称：吉林省杭盛项目管理有限公司</w:t>
            </w:r>
          </w:p>
          <w:p w14:paraId="70F808C7">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开户行：上海浦东发展银行长春分行</w:t>
            </w:r>
          </w:p>
          <w:p w14:paraId="38BA6E2F">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账号：61010078801000005475</w:t>
            </w:r>
          </w:p>
          <w:p w14:paraId="6A37B637">
            <w:pPr>
              <w:spacing w:line="320" w:lineRule="exact"/>
              <w:jc w:val="left"/>
              <w:rPr>
                <w:rFonts w:hint="eastAsia" w:ascii="宋体" w:hAnsi="宋体" w:eastAsia="宋体" w:cs="宋体"/>
                <w:bCs/>
                <w:color w:val="auto"/>
                <w:szCs w:val="21"/>
                <w:highlight w:val="none"/>
              </w:rPr>
            </w:pPr>
            <w:r>
              <w:rPr>
                <w:rFonts w:hint="eastAsia" w:ascii="宋体" w:hAnsi="宋体" w:cs="宋体"/>
                <w:bCs/>
                <w:color w:val="auto"/>
                <w:szCs w:val="21"/>
                <w:lang w:val="zh-CN"/>
              </w:rPr>
              <w:t>代理服务费以现金或公对公转账方式均可。</w:t>
            </w:r>
          </w:p>
        </w:tc>
      </w:tr>
      <w:tr w14:paraId="35FA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8" w:type="dxa"/>
            <w:vAlign w:val="center"/>
          </w:tcPr>
          <w:p w14:paraId="5D195656">
            <w:pPr>
              <w:autoSpaceDE w:val="0"/>
              <w:autoSpaceDN w:val="0"/>
              <w:adjustRightInd w:val="0"/>
              <w:spacing w:line="32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rPr>
              <w:t>10.</w:t>
            </w:r>
            <w:r>
              <w:rPr>
                <w:rFonts w:hint="eastAsia" w:ascii="宋体" w:hAnsi="宋体" w:cs="宋体"/>
                <w:bCs/>
                <w:color w:val="auto"/>
                <w:szCs w:val="21"/>
                <w:lang w:val="en-US" w:eastAsia="zh-CN"/>
              </w:rPr>
              <w:t>2</w:t>
            </w:r>
          </w:p>
        </w:tc>
        <w:tc>
          <w:tcPr>
            <w:tcW w:w="2351" w:type="dxa"/>
            <w:vAlign w:val="center"/>
          </w:tcPr>
          <w:p w14:paraId="184E44C7">
            <w:pPr>
              <w:pStyle w:val="11"/>
              <w:widowControl/>
              <w:adjustRightInd w:val="0"/>
              <w:snapToGrid w:val="0"/>
              <w:spacing w:line="288" w:lineRule="auto"/>
              <w:jc w:val="left"/>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Cs/>
                <w:color w:val="auto"/>
                <w:szCs w:val="21"/>
                <w:highlight w:val="none"/>
              </w:rPr>
              <w:t>付款</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结算</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方式</w:t>
            </w:r>
          </w:p>
        </w:tc>
        <w:tc>
          <w:tcPr>
            <w:tcW w:w="6302" w:type="dxa"/>
            <w:vAlign w:val="center"/>
          </w:tcPr>
          <w:p w14:paraId="545ABB31">
            <w:pPr>
              <w:pStyle w:val="11"/>
              <w:widowControl/>
              <w:adjustRightInd w:val="0"/>
              <w:snapToGrid w:val="0"/>
              <w:spacing w:line="288" w:lineRule="auto"/>
              <w:jc w:val="left"/>
              <w:rPr>
                <w:rFonts w:hint="default" w:ascii="宋体" w:hAnsi="宋体" w:cs="宋体"/>
                <w:b w:val="0"/>
                <w:bCs/>
                <w:color w:val="auto"/>
                <w:kern w:val="2"/>
                <w:sz w:val="21"/>
                <w:szCs w:val="21"/>
                <w:highlight w:val="none"/>
                <w:lang w:val="en-US" w:eastAsia="zh-CN" w:bidi="ar-SA"/>
              </w:rPr>
            </w:pPr>
            <w:r>
              <w:rPr>
                <w:rFonts w:hint="eastAsia" w:ascii="宋体" w:hAnsi="宋体" w:cs="宋体"/>
                <w:bCs/>
                <w:color w:val="auto"/>
                <w:szCs w:val="21"/>
                <w:highlight w:val="none"/>
              </w:rPr>
              <w:t>以实际</w:t>
            </w:r>
            <w:r>
              <w:rPr>
                <w:rFonts w:hint="eastAsia" w:ascii="宋体" w:hAnsi="宋体" w:cs="宋体"/>
                <w:bCs/>
                <w:color w:val="auto"/>
                <w:szCs w:val="21"/>
                <w:highlight w:val="none"/>
                <w:lang w:eastAsia="zh-CN"/>
              </w:rPr>
              <w:t>签订</w:t>
            </w:r>
            <w:r>
              <w:rPr>
                <w:rFonts w:hint="eastAsia" w:ascii="宋体" w:hAnsi="宋体" w:cs="宋体"/>
                <w:bCs/>
                <w:color w:val="auto"/>
                <w:szCs w:val="21"/>
                <w:highlight w:val="none"/>
              </w:rPr>
              <w:t>合同为准</w:t>
            </w:r>
          </w:p>
        </w:tc>
      </w:tr>
      <w:tr w14:paraId="13CC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8" w:type="dxa"/>
            <w:vAlign w:val="center"/>
          </w:tcPr>
          <w:p w14:paraId="24491822">
            <w:pPr>
              <w:autoSpaceDE w:val="0"/>
              <w:autoSpaceDN w:val="0"/>
              <w:adjustRightInd w:val="0"/>
              <w:spacing w:line="320" w:lineRule="exact"/>
              <w:jc w:val="center"/>
              <w:rPr>
                <w:rFonts w:hint="eastAsia" w:ascii="宋体" w:hAnsi="宋体" w:eastAsia="宋体" w:cs="宋体"/>
                <w:bCs/>
                <w:color w:val="auto"/>
                <w:szCs w:val="21"/>
                <w:lang w:eastAsia="zh-CN"/>
              </w:rPr>
            </w:pPr>
            <w:r>
              <w:rPr>
                <w:rFonts w:hint="eastAsia" w:ascii="宋体" w:hAnsi="宋体" w:cs="宋体"/>
                <w:bCs/>
                <w:color w:val="auto"/>
                <w:szCs w:val="21"/>
              </w:rPr>
              <w:t>10.</w:t>
            </w:r>
            <w:r>
              <w:rPr>
                <w:rFonts w:hint="eastAsia" w:ascii="宋体" w:hAnsi="宋体" w:cs="宋体"/>
                <w:bCs/>
                <w:color w:val="auto"/>
                <w:szCs w:val="21"/>
                <w:lang w:val="en-US" w:eastAsia="zh-CN"/>
              </w:rPr>
              <w:t>3</w:t>
            </w:r>
          </w:p>
        </w:tc>
        <w:tc>
          <w:tcPr>
            <w:tcW w:w="2351" w:type="dxa"/>
            <w:vAlign w:val="center"/>
          </w:tcPr>
          <w:p w14:paraId="4E7C6701">
            <w:pPr>
              <w:pStyle w:val="11"/>
              <w:widowControl/>
              <w:adjustRightInd w:val="0"/>
              <w:snapToGrid w:val="0"/>
              <w:spacing w:line="288" w:lineRule="auto"/>
              <w:jc w:val="left"/>
              <w:rPr>
                <w:rFonts w:hint="eastAsia" w:ascii="宋体" w:hAnsi="宋体" w:cs="宋体"/>
                <w:bCs/>
                <w:color w:val="auto"/>
                <w:szCs w:val="21"/>
              </w:rPr>
            </w:pPr>
            <w:r>
              <w:rPr>
                <w:rFonts w:hint="eastAsia" w:ascii="宋体" w:hAnsi="宋体" w:cs="宋体"/>
                <w:bCs/>
                <w:color w:val="auto"/>
                <w:szCs w:val="21"/>
              </w:rPr>
              <w:t>中小企业行业划分类型</w:t>
            </w:r>
          </w:p>
        </w:tc>
        <w:tc>
          <w:tcPr>
            <w:tcW w:w="6302" w:type="dxa"/>
            <w:vAlign w:val="center"/>
          </w:tcPr>
          <w:p w14:paraId="5D8E7203">
            <w:pPr>
              <w:pStyle w:val="11"/>
              <w:widowControl/>
              <w:adjustRightInd w:val="0"/>
              <w:snapToGrid w:val="0"/>
              <w:spacing w:line="288" w:lineRule="auto"/>
              <w:jc w:val="left"/>
              <w:rPr>
                <w:rFonts w:hint="eastAsia" w:ascii="宋体" w:hAnsi="宋体" w:cs="宋体"/>
                <w:bCs/>
                <w:color w:val="auto"/>
                <w:szCs w:val="21"/>
              </w:rPr>
            </w:pPr>
            <w:r>
              <w:rPr>
                <w:rFonts w:hint="eastAsia" w:ascii="宋体" w:hAnsi="宋体" w:cs="宋体"/>
                <w:bCs/>
                <w:color w:val="auto"/>
                <w:szCs w:val="21"/>
              </w:rPr>
              <w:t>所属行业：其他未列明行业</w:t>
            </w:r>
          </w:p>
        </w:tc>
      </w:tr>
      <w:tr w14:paraId="6ED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1" w:type="dxa"/>
            <w:gridSpan w:val="3"/>
            <w:vAlign w:val="center"/>
          </w:tcPr>
          <w:p w14:paraId="7643D7DF">
            <w:pPr>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竞争性磋商公告与竞争性磋商文件有不一致处，以竞争性磋商文件为准。</w:t>
            </w:r>
          </w:p>
        </w:tc>
      </w:tr>
    </w:tbl>
    <w:p w14:paraId="73F8D844">
      <w:pPr>
        <w:autoSpaceDE w:val="0"/>
        <w:autoSpaceDN w:val="0"/>
        <w:adjustRightInd w:val="0"/>
        <w:snapToGrid w:val="0"/>
        <w:spacing w:after="245" w:afterLines="50"/>
        <w:jc w:val="center"/>
        <w:outlineLvl w:val="1"/>
        <w:rPr>
          <w:rFonts w:hint="eastAsia" w:ascii="宋体" w:hAnsi="宋体" w:eastAsia="宋体" w:cs="宋体"/>
          <w:color w:val="auto"/>
          <w:kern w:val="0"/>
          <w:sz w:val="28"/>
          <w:szCs w:val="28"/>
          <w:highlight w:val="none"/>
        </w:rPr>
      </w:pPr>
      <w:r>
        <w:rPr>
          <w:rFonts w:hint="eastAsia" w:ascii="宋体" w:hAnsi="宋体" w:eastAsia="宋体" w:cs="宋体"/>
          <w:b/>
          <w:color w:val="auto"/>
          <w:szCs w:val="21"/>
          <w:highlight w:val="none"/>
          <w:lang w:val="zh-CN"/>
        </w:rPr>
        <w:br w:type="page"/>
      </w:r>
      <w:bookmarkStart w:id="31" w:name="_Toc26328"/>
      <w:bookmarkStart w:id="32" w:name="_Toc8496"/>
      <w:r>
        <w:rPr>
          <w:rFonts w:hint="eastAsia" w:ascii="宋体" w:hAnsi="宋体" w:eastAsia="宋体" w:cs="宋体"/>
          <w:color w:val="auto"/>
          <w:kern w:val="0"/>
          <w:sz w:val="28"/>
          <w:szCs w:val="28"/>
          <w:highlight w:val="none"/>
        </w:rPr>
        <w:t>（二）</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须知</w:t>
      </w:r>
      <w:bookmarkEnd w:id="31"/>
      <w:bookmarkEnd w:id="32"/>
    </w:p>
    <w:p w14:paraId="1AC8A04C">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33" w:name="_Toc21866"/>
      <w:bookmarkStart w:id="34" w:name="_Toc195921793"/>
      <w:bookmarkStart w:id="35" w:name="_Toc23205"/>
      <w:r>
        <w:rPr>
          <w:rFonts w:hint="eastAsia" w:ascii="宋体" w:hAnsi="宋体" w:eastAsia="宋体" w:cs="宋体"/>
          <w:color w:val="auto"/>
          <w:kern w:val="0"/>
          <w:szCs w:val="21"/>
          <w:highlight w:val="none"/>
        </w:rPr>
        <w:t>总则</w:t>
      </w:r>
      <w:bookmarkEnd w:id="33"/>
      <w:bookmarkEnd w:id="34"/>
      <w:bookmarkEnd w:id="35"/>
    </w:p>
    <w:p w14:paraId="046FD82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36" w:name="_Toc195921794"/>
      <w:r>
        <w:rPr>
          <w:rFonts w:hint="eastAsia" w:ascii="宋体" w:hAnsi="宋体" w:eastAsia="宋体" w:cs="宋体"/>
          <w:color w:val="auto"/>
          <w:kern w:val="0"/>
          <w:szCs w:val="21"/>
          <w:highlight w:val="none"/>
        </w:rPr>
        <w:t>项目概况</w:t>
      </w:r>
      <w:bookmarkEnd w:id="36"/>
    </w:p>
    <w:p w14:paraId="2B12C54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根据《中华人民共和国政府采购法》和《</w:t>
      </w:r>
      <w:r>
        <w:rPr>
          <w:rFonts w:hint="eastAsia" w:ascii="宋体" w:hAnsi="宋体" w:eastAsia="宋体" w:cs="宋体"/>
          <w:color w:val="auto"/>
          <w:kern w:val="0"/>
          <w:szCs w:val="21"/>
          <w:highlight w:val="none"/>
          <w:lang w:val="en-US" w:eastAsia="zh-CN"/>
        </w:rPr>
        <w:t>政府采购竞争性磋商采购方式管理暂行办法</w:t>
      </w:r>
      <w:r>
        <w:rPr>
          <w:rFonts w:hint="eastAsia" w:ascii="宋体" w:hAnsi="宋体" w:eastAsia="宋体" w:cs="宋体"/>
          <w:color w:val="auto"/>
          <w:kern w:val="0"/>
          <w:szCs w:val="21"/>
          <w:highlight w:val="none"/>
        </w:rPr>
        <w:t>》等有关法律、法规和规章的规定，对本项目进行</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w:t>
      </w:r>
    </w:p>
    <w:p w14:paraId="4F7F100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r>
        <w:rPr>
          <w:rFonts w:hint="eastAsia" w:ascii="宋体" w:hAnsi="宋体" w:eastAsia="宋体" w:cs="宋体"/>
          <w:color w:val="auto"/>
          <w:szCs w:val="21"/>
          <w:highlight w:val="none"/>
        </w:rPr>
        <w:t>指依法进行政府采购的国家机关、事业单位、团体组织。本项目采购人见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kern w:val="0"/>
          <w:szCs w:val="21"/>
          <w:highlight w:val="none"/>
        </w:rPr>
        <w:t>。</w:t>
      </w:r>
    </w:p>
    <w:p w14:paraId="3FE0A87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指采购人委托的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kern w:val="0"/>
          <w:szCs w:val="21"/>
          <w:highlight w:val="none"/>
        </w:rPr>
        <w:t>。</w:t>
      </w:r>
    </w:p>
    <w:p w14:paraId="10D1FE0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采购项目名称</w:t>
      </w:r>
      <w:r>
        <w:rPr>
          <w:rFonts w:hint="eastAsia" w:ascii="宋体" w:hAnsi="宋体" w:eastAsia="宋体" w:cs="宋体"/>
          <w:color w:val="auto"/>
          <w:kern w:val="0"/>
          <w:szCs w:val="21"/>
          <w:highlight w:val="none"/>
          <w:lang w:eastAsia="zh-CN"/>
        </w:rPr>
        <w:t>及编号</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szCs w:val="21"/>
          <w:highlight w:val="none"/>
        </w:rPr>
        <w:t>。</w:t>
      </w:r>
    </w:p>
    <w:p w14:paraId="6151C2A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b w:val="0"/>
          <w:bCs w:val="0"/>
          <w:color w:val="auto"/>
          <w:kern w:val="0"/>
          <w:szCs w:val="21"/>
          <w:highlight w:val="none"/>
          <w:lang w:val="en-US" w:eastAsia="zh-CN" w:bidi="ar"/>
        </w:rPr>
        <w:t>采购预算</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szCs w:val="21"/>
          <w:highlight w:val="none"/>
        </w:rPr>
        <w:t>。</w:t>
      </w:r>
    </w:p>
    <w:p w14:paraId="0D84E81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bookmarkStart w:id="37" w:name="_Toc195921796"/>
      <w:r>
        <w:rPr>
          <w:rFonts w:hint="eastAsia" w:ascii="宋体" w:hAnsi="宋体" w:cs="宋体"/>
          <w:color w:val="auto"/>
          <w:kern w:val="0"/>
          <w:szCs w:val="21"/>
          <w:highlight w:val="none"/>
          <w:lang w:eastAsia="zh-CN"/>
        </w:rPr>
        <w:t>采购需求</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合同履约期限、</w:t>
      </w:r>
      <w:r>
        <w:rPr>
          <w:rFonts w:hint="eastAsia" w:ascii="宋体" w:hAnsi="宋体" w:cs="宋体"/>
          <w:color w:val="auto"/>
          <w:kern w:val="0"/>
          <w:szCs w:val="21"/>
          <w:highlight w:val="none"/>
          <w:lang w:val="en-US" w:eastAsia="zh-CN"/>
        </w:rPr>
        <w:t>资金来源、服务地点</w:t>
      </w:r>
      <w:r>
        <w:rPr>
          <w:rFonts w:hint="eastAsia" w:ascii="宋体" w:hAnsi="宋体" w:eastAsia="宋体" w:cs="宋体"/>
          <w:color w:val="auto"/>
          <w:kern w:val="0"/>
          <w:szCs w:val="21"/>
          <w:highlight w:val="none"/>
        </w:rPr>
        <w:t>和质量</w:t>
      </w:r>
      <w:bookmarkEnd w:id="37"/>
      <w:r>
        <w:rPr>
          <w:rFonts w:hint="eastAsia" w:ascii="宋体" w:hAnsi="宋体" w:eastAsia="宋体" w:cs="宋体"/>
          <w:color w:val="auto"/>
          <w:kern w:val="0"/>
          <w:szCs w:val="21"/>
          <w:highlight w:val="none"/>
          <w:lang w:eastAsia="zh-CN"/>
        </w:rPr>
        <w:t>要求</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见供应商须知前附表。</w:t>
      </w:r>
    </w:p>
    <w:p w14:paraId="71C2FA1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指响应招标、参加投标竞争的法人、其他组织或者自然人</w:t>
      </w:r>
      <w:r>
        <w:rPr>
          <w:rFonts w:hint="eastAsia" w:ascii="宋体" w:hAnsi="宋体" w:eastAsia="宋体" w:cs="宋体"/>
          <w:color w:val="auto"/>
          <w:kern w:val="0"/>
          <w:szCs w:val="21"/>
          <w:highlight w:val="none"/>
        </w:rPr>
        <w:t>。</w:t>
      </w:r>
    </w:p>
    <w:p w14:paraId="6546352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bookmarkStart w:id="38" w:name="_Ref426956497"/>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应具备以下条件</w:t>
      </w:r>
      <w:bookmarkEnd w:id="38"/>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见供应商须知前附表。</w:t>
      </w:r>
    </w:p>
    <w:p w14:paraId="612C2BE7">
      <w:pPr>
        <w:keepNext w:val="0"/>
        <w:keepLines w:val="0"/>
        <w:pageBreakBefore w:val="0"/>
        <w:widowControl w:val="0"/>
        <w:numPr>
          <w:ilvl w:val="255"/>
          <w:numId w:val="0"/>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本项目是否专门面向中小企业或小型、微型企业采购： </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szCs w:val="21"/>
          <w:highlight w:val="none"/>
        </w:rPr>
        <w:t>。</w:t>
      </w:r>
    </w:p>
    <w:p w14:paraId="53F16DE2">
      <w:pPr>
        <w:keepNext w:val="0"/>
        <w:keepLines w:val="0"/>
        <w:pageBreakBefore w:val="0"/>
        <w:widowControl w:val="0"/>
        <w:numPr>
          <w:ilvl w:val="255"/>
          <w:numId w:val="0"/>
        </w:numPr>
        <w:tabs>
          <w:tab w:val="left" w:pos="1060"/>
        </w:tabs>
        <w:kinsoku/>
        <w:wordWrap/>
        <w:overflowPunct/>
        <w:topLinePunct w:val="0"/>
        <w:autoSpaceDE w:val="0"/>
        <w:autoSpaceDN w:val="0"/>
        <w:bidi w:val="0"/>
        <w:adjustRightInd w:val="0"/>
        <w:snapToGrid w:val="0"/>
        <w:spacing w:line="360" w:lineRule="auto"/>
        <w:ind w:left="926" w:hanging="926" w:hangingChars="441"/>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应当遵循公平竞争的原则，不得恶意串通，不得妨碍其他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的竞争行为，不得损害采购人或者其他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的合法权益。</w:t>
      </w:r>
    </w:p>
    <w:p w14:paraId="161324B3">
      <w:pPr>
        <w:keepNext w:val="0"/>
        <w:keepLines w:val="0"/>
        <w:pageBreakBefore w:val="0"/>
        <w:widowControl w:val="0"/>
        <w:numPr>
          <w:ilvl w:val="255"/>
          <w:numId w:val="0"/>
        </w:numPr>
        <w:tabs>
          <w:tab w:val="left" w:pos="840"/>
        </w:tabs>
        <w:kinsoku/>
        <w:wordWrap/>
        <w:overflowPunct/>
        <w:topLinePunct w:val="0"/>
        <w:autoSpaceDE w:val="0"/>
        <w:autoSpaceDN w:val="0"/>
        <w:bidi w:val="0"/>
        <w:adjustRightInd w:val="0"/>
        <w:snapToGrid w:val="0"/>
        <w:spacing w:line="360" w:lineRule="auto"/>
        <w:ind w:left="924" w:hanging="924" w:hangingChars="4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.4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不得以向采购人、</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成员行贿或者采取其他不正当手段谋取中标。</w:t>
      </w:r>
    </w:p>
    <w:p w14:paraId="2A5BC60F">
      <w:pPr>
        <w:keepNext w:val="0"/>
        <w:keepLines w:val="0"/>
        <w:pageBreakBefore w:val="0"/>
        <w:widowControl w:val="0"/>
        <w:numPr>
          <w:ilvl w:val="255"/>
          <w:numId w:val="0"/>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.5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本项目将执行在政府采购活动中查询及使用信用记录的规定，具体要求为：</w:t>
      </w:r>
    </w:p>
    <w:p w14:paraId="3690D4E9">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信用信息查询的截止时点：投标截止时间。</w:t>
      </w:r>
    </w:p>
    <w:p w14:paraId="040A407B">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（www.ccgp.gov.cn）； </w:t>
      </w:r>
    </w:p>
    <w:p w14:paraId="72E4BBB1">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信用信息查询记录和证据留存具体方式：将经查询存在不良信用记录的潜在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的查询结果网页截图作为查询记录和证据，与其他采购文件一并保存；</w:t>
      </w:r>
    </w:p>
    <w:p w14:paraId="64DA6D3E">
      <w:pPr>
        <w:keepNext w:val="0"/>
        <w:keepLines w:val="0"/>
        <w:pageBreakBefore w:val="0"/>
        <w:widowControl w:val="0"/>
        <w:numPr>
          <w:ilvl w:val="255"/>
          <w:numId w:val="0"/>
        </w:numPr>
        <w:tabs>
          <w:tab w:val="left" w:pos="840"/>
        </w:tabs>
        <w:kinsoku/>
        <w:wordWrap/>
        <w:overflowPunct/>
        <w:topLinePunct w:val="0"/>
        <w:autoSpaceDE w:val="0"/>
        <w:autoSpaceDN w:val="0"/>
        <w:bidi w:val="0"/>
        <w:adjustRightInd w:val="0"/>
        <w:snapToGrid w:val="0"/>
        <w:spacing w:line="360" w:lineRule="auto"/>
        <w:ind w:left="924" w:hanging="924" w:hangingChars="4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.6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公告规定接受联合体投标的，除应符合本章第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_Ref426956497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项要求外，还应遵守以下规定：</w:t>
      </w:r>
    </w:p>
    <w:p w14:paraId="30687AE1">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联合体各方应按</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提供的格式签订联合体协议书，明确联合体牵头人和各方工作内容和义务；</w:t>
      </w:r>
    </w:p>
    <w:p w14:paraId="040374BD">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联合体中有同类资质的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按照联合体分工承担相同工作的，应当按照资质等级较低的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确定联合体的资质等级。</w:t>
      </w:r>
    </w:p>
    <w:p w14:paraId="050FD07B">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联合体各方不得再单独参加或者与其他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另外组成联合体参加同一合同项下的投标。</w:t>
      </w:r>
    </w:p>
    <w:p w14:paraId="2ECF9922">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联合体各方应当共同与采购人签订采购合同，就采购合同约定的事项对采购人承担连带责任。</w:t>
      </w:r>
    </w:p>
    <w:p w14:paraId="01DBFB0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p w14:paraId="34A98AC3">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根据</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的规定和采购项目的实际情况，拟在中标后将中标项目的非主体、非关键性工作分包的，应当在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中载明分包承担主体，分包承担主体应当具备相应资质条件且不得再次分包。政府采购合同分包履行的，中标、成交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就采购项目和分包项目向采购人负责，分包人就分包项目承担责任。</w:t>
      </w:r>
    </w:p>
    <w:p w14:paraId="0AE8867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39" w:name="_Toc195921799"/>
      <w:r>
        <w:rPr>
          <w:rFonts w:hint="eastAsia" w:ascii="宋体" w:hAnsi="宋体" w:eastAsia="宋体" w:cs="宋体"/>
          <w:color w:val="auto"/>
          <w:kern w:val="0"/>
          <w:szCs w:val="21"/>
          <w:highlight w:val="none"/>
        </w:rPr>
        <w:t>合格的服务</w:t>
      </w:r>
    </w:p>
    <w:p w14:paraId="1C482D88">
      <w:pPr>
        <w:keepNext w:val="0"/>
        <w:keepLines w:val="0"/>
        <w:pageBreakBefore w:val="0"/>
        <w:widowControl w:val="0"/>
        <w:numPr>
          <w:ilvl w:val="2"/>
          <w:numId w:val="1"/>
        </w:numPr>
        <w:kinsoku/>
        <w:wordWrap/>
        <w:overflowPunct/>
        <w:topLinePunct w:val="0"/>
        <w:bidi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合同中提供的所有服务，均应来自上述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_Ref426956497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项所规定的合格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14:paraId="7E5CA58B">
      <w:pPr>
        <w:keepNext w:val="0"/>
        <w:keepLines w:val="0"/>
        <w:pageBreakBefore w:val="0"/>
        <w:widowControl w:val="0"/>
        <w:kinsoku/>
        <w:wordWrap/>
        <w:overflowPunct/>
        <w:topLinePunct w:val="0"/>
        <w:bidi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服务系指</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规定的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须承担的与本次</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需求有关的服务及其他相关的服务。</w:t>
      </w:r>
    </w:p>
    <w:p w14:paraId="45D80CD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费用承担</w:t>
      </w:r>
      <w:bookmarkEnd w:id="39"/>
    </w:p>
    <w:p w14:paraId="388E8692">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准备和参加投标活动发生的费用自理。</w:t>
      </w:r>
    </w:p>
    <w:p w14:paraId="4EF6029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0" w:name="_Toc195921800"/>
      <w:r>
        <w:rPr>
          <w:rFonts w:hint="eastAsia" w:ascii="宋体" w:hAnsi="宋体" w:eastAsia="宋体" w:cs="宋体"/>
          <w:color w:val="auto"/>
          <w:kern w:val="0"/>
          <w:szCs w:val="21"/>
          <w:highlight w:val="none"/>
        </w:rPr>
        <w:t>保密</w:t>
      </w:r>
      <w:bookmarkEnd w:id="40"/>
    </w:p>
    <w:p w14:paraId="5BA105A6">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参与招标投标活动的各方应对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中的商业和技术等秘密保密，违者应对由此造成的后果承担法律责任。</w:t>
      </w:r>
    </w:p>
    <w:p w14:paraId="5A03D4F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1" w:name="_Toc195921801"/>
      <w:r>
        <w:rPr>
          <w:rFonts w:hint="eastAsia" w:ascii="宋体" w:hAnsi="宋体" w:eastAsia="宋体" w:cs="宋体"/>
          <w:color w:val="auto"/>
          <w:kern w:val="0"/>
          <w:szCs w:val="21"/>
          <w:highlight w:val="none"/>
        </w:rPr>
        <w:t>语言文字</w:t>
      </w:r>
      <w:bookmarkEnd w:id="41"/>
    </w:p>
    <w:p w14:paraId="40B4162D">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除专用术语外，与招标投标有关的语言均使用中文。必要时专用术语应附有中文注释。</w:t>
      </w:r>
    </w:p>
    <w:p w14:paraId="311350B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2" w:name="_Toc195921802"/>
      <w:r>
        <w:rPr>
          <w:rFonts w:hint="eastAsia" w:ascii="宋体" w:hAnsi="宋体" w:eastAsia="宋体" w:cs="宋体"/>
          <w:color w:val="auto"/>
          <w:kern w:val="0"/>
          <w:szCs w:val="21"/>
          <w:highlight w:val="none"/>
        </w:rPr>
        <w:t>计量单位</w:t>
      </w:r>
      <w:bookmarkEnd w:id="42"/>
    </w:p>
    <w:p w14:paraId="0B18A259">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所有计量均采用中华人民共和国法定计量单位。</w:t>
      </w:r>
    </w:p>
    <w:p w14:paraId="48A47027">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43" w:name="_Toc17376"/>
      <w:r>
        <w:rPr>
          <w:rFonts w:hint="eastAsia" w:ascii="宋体" w:hAnsi="宋体" w:eastAsia="宋体" w:cs="宋体"/>
          <w:color w:val="auto"/>
          <w:kern w:val="0"/>
          <w:szCs w:val="21"/>
          <w:highlight w:val="none"/>
          <w:lang w:eastAsia="zh-CN"/>
        </w:rPr>
        <w:t>竞争性磋商文件</w:t>
      </w:r>
      <w:bookmarkEnd w:id="43"/>
    </w:p>
    <w:p w14:paraId="47B3E77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4" w:name="_Toc195921808"/>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的组成</w:t>
      </w:r>
      <w:bookmarkEnd w:id="44"/>
    </w:p>
    <w:p w14:paraId="3D6BD1E2">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包括：</w:t>
      </w:r>
    </w:p>
    <w:p w14:paraId="604DB9BC">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竞争性磋商</w:t>
      </w:r>
      <w:r>
        <w:rPr>
          <w:rFonts w:hint="eastAsia" w:ascii="宋体" w:hAnsi="宋体" w:eastAsia="宋体" w:cs="宋体"/>
          <w:color w:val="auto"/>
          <w:kern w:val="0"/>
          <w:szCs w:val="21"/>
          <w:highlight w:val="none"/>
        </w:rPr>
        <w:t>公告；</w:t>
      </w:r>
    </w:p>
    <w:p w14:paraId="3FED03A1">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52EB269E">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标方法</w:t>
      </w:r>
      <w:r>
        <w:rPr>
          <w:rFonts w:hint="eastAsia" w:ascii="宋体" w:hAnsi="宋体" w:eastAsia="宋体" w:cs="宋体"/>
          <w:color w:val="auto"/>
          <w:kern w:val="0"/>
          <w:szCs w:val="21"/>
          <w:highlight w:val="none"/>
          <w:lang w:eastAsia="zh-CN"/>
        </w:rPr>
        <w:t>（综合评分法）</w:t>
      </w:r>
      <w:r>
        <w:rPr>
          <w:rFonts w:hint="eastAsia" w:ascii="宋体" w:hAnsi="宋体" w:eastAsia="宋体" w:cs="宋体"/>
          <w:color w:val="auto"/>
          <w:kern w:val="0"/>
          <w:szCs w:val="21"/>
          <w:highlight w:val="none"/>
        </w:rPr>
        <w:t>；</w:t>
      </w:r>
    </w:p>
    <w:p w14:paraId="4D1A02CF">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（4）合同条款及格式（范本）；</w:t>
      </w:r>
    </w:p>
    <w:p w14:paraId="723A858B">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kern w:val="0"/>
          <w:szCs w:val="21"/>
          <w:highlight w:val="none"/>
          <w:lang w:val="en-US" w:eastAsia="zh-CN"/>
        </w:rPr>
        <w:t>采购需求</w:t>
      </w:r>
      <w:r>
        <w:rPr>
          <w:rFonts w:hint="eastAsia" w:ascii="宋体" w:hAnsi="宋体" w:eastAsia="宋体" w:cs="宋体"/>
          <w:color w:val="auto"/>
          <w:kern w:val="0"/>
          <w:szCs w:val="21"/>
          <w:highlight w:val="none"/>
        </w:rPr>
        <w:t>；</w:t>
      </w:r>
    </w:p>
    <w:p w14:paraId="57C22E4B">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构成、要求及格式</w:t>
      </w:r>
      <w:r>
        <w:rPr>
          <w:rFonts w:hint="eastAsia" w:ascii="宋体" w:hAnsi="宋体" w:eastAsia="宋体" w:cs="宋体"/>
          <w:color w:val="auto"/>
          <w:kern w:val="0"/>
          <w:szCs w:val="21"/>
          <w:highlight w:val="none"/>
        </w:rPr>
        <w:t>。</w:t>
      </w:r>
    </w:p>
    <w:p w14:paraId="11F82A61">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根据本章对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所作的澄清、修改，构成</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的组成部分。</w:t>
      </w:r>
    </w:p>
    <w:p w14:paraId="0AAC628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5" w:name="_Toc195921809"/>
      <w:bookmarkStart w:id="46" w:name="_Ref426441946"/>
      <w:r>
        <w:rPr>
          <w:rFonts w:hint="eastAsia" w:ascii="宋体" w:hAnsi="宋体" w:cs="黑体"/>
          <w:color w:val="auto"/>
          <w:kern w:val="0"/>
          <w:szCs w:val="21"/>
          <w:lang w:eastAsia="zh-CN"/>
        </w:rPr>
        <w:t>供应商</w:t>
      </w:r>
      <w:r>
        <w:rPr>
          <w:rFonts w:hint="eastAsia" w:ascii="宋体" w:hAnsi="宋体" w:cs="黑体"/>
          <w:color w:val="auto"/>
          <w:kern w:val="0"/>
          <w:szCs w:val="21"/>
        </w:rPr>
        <w:t>认真阅读</w:t>
      </w:r>
      <w:r>
        <w:rPr>
          <w:rFonts w:hint="eastAsia" w:ascii="宋体" w:hAnsi="宋体" w:cs="黑体"/>
          <w:color w:val="auto"/>
          <w:kern w:val="0"/>
          <w:szCs w:val="21"/>
          <w:lang w:val="en-US" w:eastAsia="zh-CN"/>
        </w:rPr>
        <w:t>磋商文件</w:t>
      </w:r>
      <w:r>
        <w:rPr>
          <w:rFonts w:hint="eastAsia" w:ascii="宋体" w:hAnsi="宋体" w:cs="黑体"/>
          <w:color w:val="auto"/>
          <w:kern w:val="0"/>
          <w:szCs w:val="21"/>
        </w:rPr>
        <w:t>中所有的条款、事项、格式和技术规范、参数及要求等。没有按照</w:t>
      </w:r>
      <w:r>
        <w:rPr>
          <w:rFonts w:hint="eastAsia" w:ascii="宋体" w:hAnsi="宋体" w:cs="黑体"/>
          <w:color w:val="auto"/>
          <w:kern w:val="0"/>
          <w:szCs w:val="21"/>
          <w:lang w:val="en-US" w:eastAsia="zh-CN"/>
        </w:rPr>
        <w:t>磋商文件</w:t>
      </w:r>
      <w:r>
        <w:rPr>
          <w:rFonts w:hint="eastAsia" w:ascii="宋体" w:hAnsi="宋体" w:cs="黑体"/>
          <w:color w:val="auto"/>
          <w:kern w:val="0"/>
          <w:szCs w:val="21"/>
        </w:rPr>
        <w:t>要求提交全部资料，或者</w:t>
      </w:r>
      <w:r>
        <w:rPr>
          <w:rFonts w:hint="eastAsia" w:ascii="宋体" w:hAnsi="宋体" w:cs="宋体"/>
          <w:color w:val="auto"/>
          <w:szCs w:val="21"/>
          <w:lang w:val="en-US" w:eastAsia="zh-CN"/>
        </w:rPr>
        <w:t>响应</w:t>
      </w:r>
      <w:r>
        <w:rPr>
          <w:rFonts w:hint="eastAsia" w:ascii="宋体" w:hAnsi="宋体" w:eastAsia="宋体" w:cs="宋体"/>
          <w:color w:val="auto"/>
          <w:szCs w:val="21"/>
        </w:rPr>
        <w:t>文件</w:t>
      </w:r>
      <w:r>
        <w:rPr>
          <w:rFonts w:hint="eastAsia" w:ascii="宋体" w:hAnsi="宋体" w:cs="黑体"/>
          <w:color w:val="auto"/>
          <w:kern w:val="0"/>
          <w:szCs w:val="21"/>
        </w:rPr>
        <w:t>未对</w:t>
      </w:r>
      <w:r>
        <w:rPr>
          <w:rFonts w:hint="eastAsia" w:ascii="宋体" w:hAnsi="宋体" w:cs="黑体"/>
          <w:color w:val="auto"/>
          <w:kern w:val="0"/>
          <w:szCs w:val="21"/>
          <w:lang w:val="en-US" w:eastAsia="zh-CN"/>
        </w:rPr>
        <w:t>磋商文件</w:t>
      </w:r>
      <w:r>
        <w:rPr>
          <w:rFonts w:hint="eastAsia" w:ascii="宋体" w:hAnsi="宋体" w:cs="黑体"/>
          <w:color w:val="auto"/>
          <w:kern w:val="0"/>
          <w:szCs w:val="21"/>
        </w:rPr>
        <w:t>在各方面都做出实质性响应是</w:t>
      </w:r>
      <w:r>
        <w:rPr>
          <w:rFonts w:hint="eastAsia" w:ascii="宋体" w:hAnsi="宋体" w:cs="黑体"/>
          <w:color w:val="auto"/>
          <w:kern w:val="0"/>
          <w:szCs w:val="21"/>
          <w:lang w:val="en-US" w:eastAsia="zh-CN"/>
        </w:rPr>
        <w:t>供应商</w:t>
      </w:r>
      <w:r>
        <w:rPr>
          <w:rFonts w:hint="eastAsia" w:ascii="宋体" w:hAnsi="宋体" w:cs="黑体"/>
          <w:color w:val="auto"/>
          <w:kern w:val="0"/>
          <w:szCs w:val="21"/>
        </w:rPr>
        <w:t>的风险，有可能导致其投标被拒绝或被认定为无效投标或被确定为投标无效</w:t>
      </w:r>
      <w:r>
        <w:rPr>
          <w:rFonts w:hint="eastAsia" w:ascii="宋体" w:hAnsi="宋体" w:eastAsia="宋体" w:cs="宋体"/>
          <w:color w:val="auto"/>
          <w:kern w:val="0"/>
          <w:szCs w:val="21"/>
          <w:highlight w:val="none"/>
        </w:rPr>
        <w:t>。</w:t>
      </w:r>
    </w:p>
    <w:p w14:paraId="0786BD5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的澄清</w:t>
      </w:r>
      <w:bookmarkEnd w:id="45"/>
      <w:bookmarkEnd w:id="46"/>
    </w:p>
    <w:p w14:paraId="71AE9DA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应仔细阅读和检查</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的全部内容。如发现缺页或附件不全，应及时向采购人提出，以便补齐。</w:t>
      </w:r>
    </w:p>
    <w:p w14:paraId="7CF8AFD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kern w:val="0"/>
          <w:szCs w:val="21"/>
          <w:highlight w:val="none"/>
        </w:rPr>
        <w:t>如有疑问</w:t>
      </w:r>
      <w:r>
        <w:rPr>
          <w:rFonts w:hint="eastAsia" w:ascii="宋体" w:hAnsi="宋体" w:eastAsia="宋体" w:cs="宋体"/>
          <w:color w:val="auto"/>
          <w:szCs w:val="21"/>
          <w:highlight w:val="none"/>
        </w:rPr>
        <w:t>可以向采购人提出询问</w:t>
      </w:r>
      <w:r>
        <w:rPr>
          <w:rFonts w:hint="eastAsia" w:ascii="宋体" w:hAnsi="宋体" w:eastAsia="宋体" w:cs="宋体"/>
          <w:color w:val="auto"/>
          <w:kern w:val="0"/>
          <w:szCs w:val="21"/>
          <w:highlight w:val="none"/>
        </w:rPr>
        <w:t>，要求采购人对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予以澄清。</w:t>
      </w:r>
    </w:p>
    <w:p w14:paraId="2973376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进行必要的澄清。该澄清在原公告发布媒体上发布澄清（更正）公告，同时以书面形式通知所有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。澄清的内容为</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的组成部分。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w:t>
      </w:r>
      <w:r>
        <w:rPr>
          <w:rFonts w:hint="eastAsia" w:ascii="宋体" w:hAnsi="宋体" w:eastAsia="宋体" w:cs="宋体"/>
          <w:color w:val="auto"/>
          <w:szCs w:val="21"/>
          <w:highlight w:val="none"/>
        </w:rPr>
        <w:t>在</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公告中规定的投标截止日前，随时查询</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公告发布媒体的信息，获取对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澄清的信息。</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的澄清以书面形式通知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应在收到该澄清的24小时内或根据澄清通知中要求的时间内予以确认。</w:t>
      </w:r>
    </w:p>
    <w:p w14:paraId="534B425A">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澄清的内容可能影响</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编制的，采购人或者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在投标截止时间至少5日前，以书面形式通知所有获取</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；不足5日的，采购人或者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将顺延提交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2C31C62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在收到澄清文件后，应将加盖公章的回执以书面方式通知采购人，确认已收到该澄清。</w:t>
      </w:r>
    </w:p>
    <w:p w14:paraId="3B75710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7" w:name="_Ref426441954"/>
      <w:bookmarkStart w:id="48" w:name="_Toc195921810"/>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的修改</w:t>
      </w:r>
      <w:bookmarkEnd w:id="47"/>
      <w:bookmarkEnd w:id="48"/>
    </w:p>
    <w:p w14:paraId="70A6666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进行必要的修改。该修改在原公告发布媒体上发布澄清（更正）公告，同时以书面形式通知所有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。修改的内容为</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的组成部分。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w:t>
      </w:r>
      <w:r>
        <w:rPr>
          <w:rFonts w:hint="eastAsia" w:ascii="宋体" w:hAnsi="宋体" w:eastAsia="宋体" w:cs="宋体"/>
          <w:color w:val="auto"/>
          <w:szCs w:val="21"/>
          <w:highlight w:val="none"/>
        </w:rPr>
        <w:t>在投标截止日前，随时查询</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公告发布媒体的信息，获取对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修改的信息。</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的修改以书面形式通知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应在收到该修改通知的24小时内或根据修改通知中要求的时间内予以确认。</w:t>
      </w:r>
    </w:p>
    <w:p w14:paraId="78585A4E">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修改的内容可能影响</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编制的，采购人或者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在投标截止时间至少5日前，以书面形式通知所有获取</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；不足5日的，采购人或者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将顺延提交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5E338C7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收到修改文件后，应将加盖公章的回执以书面方式通知采购人，确认已收到该修改。</w:t>
      </w:r>
    </w:p>
    <w:p w14:paraId="7AC72CB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使其权益受到损害的，在收到</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之日或</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公告期限届满之日起七个工作日内，按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须知前附表中接收质疑函的方式以书面形式一次性提出质疑。</w:t>
      </w:r>
    </w:p>
    <w:p w14:paraId="388CAC60">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49" w:name="_Toc318"/>
      <w:r>
        <w:rPr>
          <w:rFonts w:hint="eastAsia" w:ascii="宋体" w:hAnsi="宋体" w:eastAsia="宋体" w:cs="宋体"/>
          <w:color w:val="auto"/>
          <w:kern w:val="0"/>
          <w:szCs w:val="21"/>
          <w:highlight w:val="none"/>
          <w:lang w:eastAsia="zh-CN"/>
        </w:rPr>
        <w:t>响应文件</w:t>
      </w:r>
      <w:bookmarkEnd w:id="49"/>
    </w:p>
    <w:p w14:paraId="4A4243A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50" w:name="_Toc195921812"/>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w:t>
      </w:r>
      <w:bookmarkEnd w:id="50"/>
    </w:p>
    <w:p w14:paraId="522A972B">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应包括下列内容：</w:t>
      </w:r>
    </w:p>
    <w:p w14:paraId="510D495B">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报价</w:t>
      </w:r>
      <w:r>
        <w:rPr>
          <w:rFonts w:hint="eastAsia" w:ascii="宋体" w:hAnsi="宋体" w:eastAsia="宋体" w:cs="宋体"/>
          <w:color w:val="auto"/>
          <w:kern w:val="0"/>
          <w:szCs w:val="21"/>
          <w:highlight w:val="none"/>
          <w:lang w:eastAsia="zh-CN"/>
        </w:rPr>
        <w:t>函及</w:t>
      </w:r>
      <w:r>
        <w:rPr>
          <w:rFonts w:hint="eastAsia" w:ascii="宋体" w:hAnsi="宋体" w:cs="宋体"/>
          <w:color w:val="auto"/>
          <w:kern w:val="0"/>
          <w:szCs w:val="21"/>
          <w:highlight w:val="none"/>
          <w:lang w:val="en-US" w:eastAsia="zh-CN"/>
        </w:rPr>
        <w:t>报价</w:t>
      </w:r>
      <w:r>
        <w:rPr>
          <w:rFonts w:hint="eastAsia" w:ascii="宋体" w:hAnsi="宋体" w:eastAsia="宋体" w:cs="宋体"/>
          <w:color w:val="auto"/>
          <w:kern w:val="0"/>
          <w:szCs w:val="21"/>
          <w:highlight w:val="none"/>
          <w:lang w:eastAsia="zh-CN"/>
        </w:rPr>
        <w:t>函附录</w:t>
      </w:r>
    </w:p>
    <w:p w14:paraId="3DD83C5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磋商保证金</w:t>
      </w:r>
    </w:p>
    <w:p w14:paraId="2D555BF3">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商务条款</w:t>
      </w:r>
      <w:r>
        <w:rPr>
          <w:rFonts w:hint="eastAsia" w:ascii="宋体" w:hAnsi="宋体" w:cs="宋体"/>
          <w:color w:val="auto"/>
          <w:kern w:val="0"/>
          <w:szCs w:val="21"/>
          <w:highlight w:val="none"/>
          <w:lang w:eastAsia="zh-CN"/>
        </w:rPr>
        <w:t>偏离</w:t>
      </w:r>
      <w:r>
        <w:rPr>
          <w:rFonts w:hint="eastAsia" w:ascii="宋体" w:hAnsi="宋体" w:eastAsia="宋体" w:cs="宋体"/>
          <w:color w:val="auto"/>
          <w:kern w:val="0"/>
          <w:szCs w:val="21"/>
          <w:highlight w:val="none"/>
          <w:lang w:eastAsia="zh-CN"/>
        </w:rPr>
        <w:t>表</w:t>
      </w:r>
    </w:p>
    <w:p w14:paraId="0BAF710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类似项目完成情况表</w:t>
      </w:r>
    </w:p>
    <w:p w14:paraId="6E1D8AE8">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技术文件</w:t>
      </w:r>
    </w:p>
    <w:p w14:paraId="22BA7F1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081" w:leftChars="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资格证明文件及相关资料</w:t>
      </w:r>
    </w:p>
    <w:p w14:paraId="101E6A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081" w:leftChars="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其他供应商认为有必要提供的材料</w:t>
      </w:r>
    </w:p>
    <w:p w14:paraId="3BF27F5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51" w:name="_Toc195921813"/>
      <w:r>
        <w:rPr>
          <w:rFonts w:hint="eastAsia" w:ascii="宋体" w:hAnsi="宋体" w:eastAsia="宋体" w:cs="宋体"/>
          <w:color w:val="auto"/>
          <w:kern w:val="0"/>
          <w:szCs w:val="21"/>
          <w:highlight w:val="none"/>
        </w:rPr>
        <w:t>投标报价</w:t>
      </w:r>
      <w:bookmarkEnd w:id="51"/>
    </w:p>
    <w:p w14:paraId="5D0D9E4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52" w:name="_Toc195921814"/>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应按</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第六章提供的格式进行投标报价。</w:t>
      </w:r>
    </w:p>
    <w:p w14:paraId="16DA309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所有根据合同或其它原因应由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支付的税款和其它应交纳的费用都应包括在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提交的投标价格中。</w:t>
      </w:r>
    </w:p>
    <w:p w14:paraId="2B7A5A8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报价应包含本项目所有税项。</w:t>
      </w:r>
    </w:p>
    <w:p w14:paraId="663589E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应仔细阅读所有</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，填报自己认为正确的报价。</w:t>
      </w:r>
    </w:p>
    <w:p w14:paraId="5FE4D4F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采购需求</w:t>
      </w:r>
      <w:r>
        <w:rPr>
          <w:rFonts w:hint="eastAsia" w:ascii="宋体" w:hAnsi="宋体" w:eastAsia="宋体" w:cs="宋体"/>
          <w:color w:val="auto"/>
          <w:kern w:val="0"/>
          <w:szCs w:val="21"/>
          <w:highlight w:val="none"/>
        </w:rPr>
        <w:t>只允许有一个报价，采购人不接受任何有选择的报价。</w:t>
      </w:r>
    </w:p>
    <w:p w14:paraId="5D3F02C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根据本</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的规定将投标价分成几部分，只是为了方便</w:t>
      </w:r>
      <w:r>
        <w:rPr>
          <w:rFonts w:hint="eastAsia" w:ascii="宋体" w:hAnsi="宋体" w:cs="宋体"/>
          <w:color w:val="auto"/>
          <w:kern w:val="0"/>
          <w:szCs w:val="21"/>
          <w:highlight w:val="none"/>
          <w:lang w:val="en-US" w:eastAsia="zh-CN"/>
        </w:rPr>
        <w:t>采购人</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进行比较，并不限制采购人以上述任何条件订立合同的权力。</w:t>
      </w:r>
    </w:p>
    <w:p w14:paraId="613F2EDD">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除非合同另有约定，</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所报的投标价在合同执行过程中是固定不变的，不得以任何理由予以变更。任何包含价格调整要求的投标，将被认为是非响应性投标而予以拒绝。</w:t>
      </w:r>
    </w:p>
    <w:p w14:paraId="602F008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53" w:name="_Ref421009326"/>
      <w:r>
        <w:rPr>
          <w:rFonts w:hint="eastAsia" w:ascii="宋体" w:hAnsi="宋体" w:eastAsia="宋体" w:cs="宋体"/>
          <w:color w:val="auto"/>
          <w:kern w:val="0"/>
          <w:szCs w:val="21"/>
          <w:highlight w:val="none"/>
        </w:rPr>
        <w:t>投标有效期</w:t>
      </w:r>
      <w:bookmarkEnd w:id="52"/>
      <w:bookmarkEnd w:id="53"/>
    </w:p>
    <w:p w14:paraId="683A23C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本项目投标有效期见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须知前附表。投标有效期从提交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的截止之日起算。</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中承诺的投标有效期应当不少于</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中载明的投标有效期。</w:t>
      </w:r>
    </w:p>
    <w:p w14:paraId="4EF3C54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须知前附表规定的投标有效期内，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不得要求撤销或修改其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p>
    <w:p w14:paraId="1CADC1F7">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磋商保证金</w:t>
      </w:r>
    </w:p>
    <w:p w14:paraId="12CDA65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54" w:name="_Ref419361076"/>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应按</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须知前附表规定的金额、形式递交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，并作为其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的组成部分。联合体投标的，可以由联合体中的一方或者共同提交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，以一方名义提交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的，对联合体各方均具有约束力。</w:t>
      </w:r>
      <w:bookmarkEnd w:id="54"/>
    </w:p>
    <w:p w14:paraId="427F2FA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不按本章第</w:t>
      </w:r>
      <w:r>
        <w:rPr>
          <w:rFonts w:hint="eastAsia" w:ascii="宋体" w:hAnsi="宋体" w:eastAsia="宋体" w:cs="宋体"/>
          <w:color w:val="auto"/>
          <w:kern w:val="0"/>
          <w:szCs w:val="21"/>
          <w:highlight w:val="none"/>
          <w:lang w:val="en-US" w:eastAsia="zh-CN"/>
        </w:rPr>
        <w:t>3.7.1</w:t>
      </w:r>
      <w:r>
        <w:rPr>
          <w:rFonts w:hint="eastAsia" w:ascii="宋体" w:hAnsi="宋体" w:eastAsia="宋体" w:cs="宋体"/>
          <w:color w:val="auto"/>
          <w:kern w:val="0"/>
          <w:szCs w:val="21"/>
          <w:highlight w:val="none"/>
        </w:rPr>
        <w:t>项要求提交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的，其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无效。</w:t>
      </w:r>
    </w:p>
    <w:p w14:paraId="403E478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bookmarkStart w:id="55" w:name="_Ref419361088"/>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在投标截止时间前，按</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的要求向</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递交</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，投标截止时间之后递交的</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将被拒绝。</w:t>
      </w:r>
      <w:bookmarkEnd w:id="55"/>
    </w:p>
    <w:p w14:paraId="76729B4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在汇款时务必注明所投标项目的</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编号及用途，否则，因款项用途不明导致投标无效等后果由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自行承担。</w:t>
      </w:r>
    </w:p>
    <w:p w14:paraId="6053E50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应当自</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通知书发出之日起5个工作日内退还未中标人的</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，自政府采购合同签订之日起5个工作日内退还中标人的</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szCs w:val="21"/>
          <w:highlight w:val="none"/>
        </w:rPr>
        <w:t>或者转为中标人的履约保证金</w:t>
      </w:r>
      <w:r>
        <w:rPr>
          <w:rFonts w:hint="eastAsia" w:ascii="宋体" w:hAnsi="宋体" w:eastAsia="宋体" w:cs="宋体"/>
          <w:color w:val="auto"/>
          <w:kern w:val="0"/>
          <w:szCs w:val="21"/>
          <w:highlight w:val="none"/>
        </w:rPr>
        <w:t>。</w:t>
      </w:r>
    </w:p>
    <w:p w14:paraId="7F5475C3">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926" w:hanging="926" w:hangingChars="441"/>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采购人或者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逾期退还</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的，除退还</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本金外，还应当按中国人民银行同期贷款基准利率上浮20％后的利率支付超期资金占用费，但因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自身原因导致无法及时退还的除外。</w:t>
      </w:r>
    </w:p>
    <w:p w14:paraId="6F23F71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有下列行为之一者，其</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可不予退还：</w:t>
      </w:r>
    </w:p>
    <w:p w14:paraId="6F3D896A">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在投标有效期内撤回</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p>
    <w:p w14:paraId="14E55E9B">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中提供虚假材料的；</w:t>
      </w:r>
    </w:p>
    <w:p w14:paraId="7949C0AF">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（3）除因不可抗力或</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认可的情形以外，</w:t>
      </w:r>
      <w:r>
        <w:rPr>
          <w:rFonts w:hint="eastAsia" w:ascii="宋体" w:hAnsi="宋体" w:cs="宋体"/>
          <w:color w:val="auto"/>
          <w:kern w:val="0"/>
          <w:szCs w:val="21"/>
          <w:highlight w:val="none"/>
          <w:lang w:eastAsia="zh-CN"/>
        </w:rPr>
        <w:t>成交供应商</w:t>
      </w:r>
      <w:r>
        <w:rPr>
          <w:rFonts w:hint="eastAsia" w:ascii="宋体" w:hAnsi="宋体" w:eastAsia="宋体" w:cs="宋体"/>
          <w:color w:val="auto"/>
          <w:kern w:val="0"/>
          <w:szCs w:val="21"/>
          <w:highlight w:val="none"/>
        </w:rPr>
        <w:t>不与采购人签订合同的；</w:t>
      </w:r>
    </w:p>
    <w:p w14:paraId="45EE9AF8">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与采购人、其他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恶意串通的；</w:t>
      </w:r>
    </w:p>
    <w:p w14:paraId="1710CB24">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规定应由</w:t>
      </w:r>
      <w:r>
        <w:rPr>
          <w:rFonts w:hint="eastAsia" w:ascii="宋体" w:hAnsi="宋体" w:cs="宋体"/>
          <w:color w:val="auto"/>
          <w:kern w:val="0"/>
          <w:szCs w:val="21"/>
          <w:highlight w:val="none"/>
          <w:lang w:eastAsia="zh-CN"/>
        </w:rPr>
        <w:t>成交供应商</w:t>
      </w:r>
      <w:r>
        <w:rPr>
          <w:rFonts w:hint="eastAsia" w:ascii="宋体" w:hAnsi="宋体" w:eastAsia="宋体" w:cs="宋体"/>
          <w:color w:val="auto"/>
          <w:kern w:val="0"/>
          <w:szCs w:val="21"/>
          <w:highlight w:val="none"/>
        </w:rPr>
        <w:t>缴纳</w:t>
      </w:r>
      <w:r>
        <w:rPr>
          <w:rFonts w:hint="eastAsia" w:ascii="宋体" w:hAnsi="宋体" w:cs="宋体"/>
          <w:color w:val="auto"/>
          <w:kern w:val="0"/>
          <w:szCs w:val="21"/>
          <w:highlight w:val="none"/>
          <w:lang w:val="en-US" w:eastAsia="zh-CN"/>
        </w:rPr>
        <w:t>代理</w:t>
      </w:r>
      <w:r>
        <w:rPr>
          <w:rFonts w:hint="eastAsia" w:ascii="宋体" w:hAnsi="宋体" w:eastAsia="宋体" w:cs="宋体"/>
          <w:color w:val="auto"/>
          <w:kern w:val="0"/>
          <w:szCs w:val="21"/>
          <w:highlight w:val="none"/>
        </w:rPr>
        <w:t>服务费而</w:t>
      </w:r>
      <w:r>
        <w:rPr>
          <w:rFonts w:hint="eastAsia" w:ascii="宋体" w:hAnsi="宋体" w:cs="宋体"/>
          <w:color w:val="auto"/>
          <w:kern w:val="0"/>
          <w:szCs w:val="21"/>
          <w:highlight w:val="none"/>
          <w:lang w:eastAsia="zh-CN"/>
        </w:rPr>
        <w:t>成交供应商</w:t>
      </w:r>
      <w:r>
        <w:rPr>
          <w:rFonts w:hint="eastAsia" w:ascii="宋体" w:hAnsi="宋体" w:eastAsia="宋体" w:cs="宋体"/>
          <w:color w:val="auto"/>
          <w:kern w:val="0"/>
          <w:szCs w:val="21"/>
          <w:highlight w:val="none"/>
        </w:rPr>
        <w:t>未缴纳的；</w:t>
      </w:r>
    </w:p>
    <w:p w14:paraId="5521B100">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规定的其他情形。</w:t>
      </w:r>
    </w:p>
    <w:p w14:paraId="580FA34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56" w:name="_Toc195921818"/>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的编制</w:t>
      </w:r>
      <w:bookmarkEnd w:id="56"/>
    </w:p>
    <w:p w14:paraId="284EE9D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应按第六章“</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构成、要求及格式”进行编写，如有必要，可以增加附页，作为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可以提出比</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要求更有利于采购人的承诺。</w:t>
      </w:r>
    </w:p>
    <w:p w14:paraId="701ADF5B">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应当对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有关交</w:t>
      </w:r>
      <w:r>
        <w:rPr>
          <w:rFonts w:hint="eastAsia" w:ascii="宋体" w:hAnsi="宋体" w:cs="宋体"/>
          <w:color w:val="auto"/>
          <w:kern w:val="0"/>
          <w:szCs w:val="21"/>
          <w:highlight w:val="none"/>
          <w:lang w:eastAsia="zh-CN"/>
        </w:rPr>
        <w:t>合同履约期限</w:t>
      </w:r>
      <w:r>
        <w:rPr>
          <w:rFonts w:hint="eastAsia" w:ascii="宋体" w:hAnsi="宋体" w:eastAsia="宋体" w:cs="宋体"/>
          <w:color w:val="auto"/>
          <w:kern w:val="0"/>
          <w:szCs w:val="21"/>
          <w:highlight w:val="none"/>
        </w:rPr>
        <w:t>、投标有效期、对</w:t>
      </w:r>
      <w:r>
        <w:rPr>
          <w:rFonts w:hint="eastAsia" w:ascii="宋体" w:hAnsi="宋体" w:cs="宋体"/>
          <w:color w:val="auto"/>
          <w:kern w:val="0"/>
          <w:szCs w:val="21"/>
          <w:highlight w:val="none"/>
          <w:lang w:eastAsia="zh-CN"/>
        </w:rPr>
        <w:t>采购需求</w:t>
      </w:r>
      <w:r>
        <w:rPr>
          <w:rFonts w:hint="eastAsia" w:ascii="宋体" w:hAnsi="宋体" w:eastAsia="宋体" w:cs="宋体"/>
          <w:color w:val="auto"/>
          <w:kern w:val="0"/>
          <w:szCs w:val="21"/>
          <w:highlight w:val="none"/>
        </w:rPr>
        <w:t>以及</w:t>
      </w:r>
      <w:r>
        <w:rPr>
          <w:rFonts w:hint="eastAsia" w:ascii="宋体" w:hAnsi="宋体" w:eastAsia="宋体" w:cs="宋体"/>
          <w:color w:val="auto"/>
          <w:szCs w:val="21"/>
          <w:highlight w:val="none"/>
        </w:rPr>
        <w:t>采购项目的技术要求、服务内容、服务标准、验收</w:t>
      </w:r>
      <w:r>
        <w:rPr>
          <w:rFonts w:hint="eastAsia" w:ascii="宋体" w:hAnsi="宋体" w:eastAsia="宋体" w:cs="宋体"/>
          <w:color w:val="auto"/>
          <w:kern w:val="0"/>
          <w:szCs w:val="21"/>
          <w:highlight w:val="none"/>
        </w:rPr>
        <w:t>等实质性内容作出响应。</w:t>
      </w:r>
    </w:p>
    <w:p w14:paraId="1BBCA65E">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的法定代表人或经授权的代表须根据</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第六章的规定在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中需要签字或盖章的位置签字（加盖人名章）或加盖单位公章。授权代表须持有书面的“法定代表人授权书”（标准格式附后），并将其附在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中。签字或加盖人名章的其他要求见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53DADF28">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投标截止时间前，如对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进行了修改，包括对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行间插字、涂改和增删，均应由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的法定代表人或经正式授权的代表在修改的每一页上签字。</w:t>
      </w:r>
    </w:p>
    <w:p w14:paraId="097D6270">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57" w:name="_Toc28752"/>
      <w:bookmarkStart w:id="58" w:name="_Toc15970"/>
      <w:bookmarkStart w:id="59" w:name="_Toc195921819"/>
      <w:r>
        <w:rPr>
          <w:rFonts w:hint="eastAsia" w:ascii="宋体" w:hAnsi="宋体" w:eastAsia="宋体" w:cs="宋体"/>
          <w:color w:val="auto"/>
          <w:kern w:val="0"/>
          <w:szCs w:val="21"/>
          <w:highlight w:val="none"/>
        </w:rPr>
        <w:t>投标</w:t>
      </w:r>
      <w:bookmarkEnd w:id="57"/>
      <w:bookmarkEnd w:id="58"/>
      <w:bookmarkEnd w:id="59"/>
    </w:p>
    <w:p w14:paraId="752532F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0" w:name="_Toc195921820"/>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的密封和标记</w:t>
      </w:r>
      <w:bookmarkEnd w:id="60"/>
    </w:p>
    <w:p w14:paraId="6998B5D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61" w:name="_Ref421008470"/>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w:t>
      </w:r>
      <w:r>
        <w:rPr>
          <w:rFonts w:hint="eastAsia" w:ascii="宋体" w:hAnsi="宋体" w:cs="宋体"/>
          <w:color w:val="auto"/>
          <w:kern w:val="0"/>
          <w:szCs w:val="21"/>
          <w:highlight w:val="none"/>
          <w:lang w:val="en-US" w:eastAsia="zh-CN"/>
        </w:rPr>
        <w:t>按</w:t>
      </w:r>
      <w:r>
        <w:rPr>
          <w:rFonts w:hint="eastAsia" w:ascii="宋体" w:hAnsi="宋体" w:eastAsia="宋体" w:cs="宋体"/>
          <w:color w:val="auto"/>
          <w:sz w:val="21"/>
          <w:szCs w:val="21"/>
          <w:lang w:val="en-US" w:eastAsia="zh-CN"/>
        </w:rPr>
        <w:t>“政采云”平台系统加密上传</w:t>
      </w:r>
      <w:r>
        <w:rPr>
          <w:rFonts w:hint="eastAsia" w:ascii="宋体" w:hAnsi="宋体" w:eastAsia="宋体" w:cs="宋体"/>
          <w:color w:val="auto"/>
          <w:kern w:val="0"/>
          <w:szCs w:val="21"/>
          <w:highlight w:val="none"/>
        </w:rPr>
        <w:t>。</w:t>
      </w:r>
      <w:bookmarkEnd w:id="61"/>
    </w:p>
    <w:p w14:paraId="2B33DD1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62" w:name="_Ref421008478"/>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的封套上应标识的其他内容见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bookmarkEnd w:id="62"/>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不适用</w:t>
      </w:r>
      <w:r>
        <w:rPr>
          <w:rFonts w:hint="eastAsia" w:ascii="宋体" w:hAnsi="宋体" w:cs="宋体"/>
          <w:color w:val="auto"/>
          <w:kern w:val="0"/>
          <w:szCs w:val="21"/>
          <w:highlight w:val="none"/>
          <w:lang w:eastAsia="zh-CN"/>
        </w:rPr>
        <w:t>）</w:t>
      </w:r>
    </w:p>
    <w:p w14:paraId="2615A92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未按本章第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_Ref421008470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4.1.1</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项或第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_Ref421008478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项要求密封和加写标识的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，采购人不予受理。</w:t>
      </w:r>
    </w:p>
    <w:p w14:paraId="4FD1A1F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3" w:name="_Toc195921821"/>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的递交</w:t>
      </w:r>
      <w:bookmarkEnd w:id="63"/>
    </w:p>
    <w:p w14:paraId="541CCBB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要求提交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的截止时间前，将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密封送达投标地点</w:t>
      </w:r>
      <w:r>
        <w:rPr>
          <w:rFonts w:hint="eastAsia" w:ascii="宋体" w:hAnsi="宋体" w:eastAsia="宋体" w:cs="宋体"/>
          <w:color w:val="auto"/>
          <w:kern w:val="0"/>
          <w:szCs w:val="21"/>
          <w:highlight w:val="none"/>
        </w:rPr>
        <w:t>。</w:t>
      </w:r>
    </w:p>
    <w:p w14:paraId="7E7EE4C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的地点：见</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w:t>
      </w:r>
    </w:p>
    <w:p w14:paraId="0B11C8E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不足</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家未开标情形外，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不予退还。</w:t>
      </w:r>
    </w:p>
    <w:p w14:paraId="6A1983B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逾期送达或者未按照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要求密封的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应当拒收</w:t>
      </w:r>
      <w:r>
        <w:rPr>
          <w:rFonts w:hint="eastAsia" w:ascii="宋体" w:hAnsi="宋体" w:eastAsia="宋体" w:cs="宋体"/>
          <w:color w:val="auto"/>
          <w:kern w:val="0"/>
          <w:szCs w:val="21"/>
          <w:highlight w:val="none"/>
        </w:rPr>
        <w:t>。</w:t>
      </w:r>
    </w:p>
    <w:p w14:paraId="574F6F4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4" w:name="_Toc195921822"/>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的修改与撤回</w:t>
      </w:r>
      <w:bookmarkEnd w:id="64"/>
    </w:p>
    <w:p w14:paraId="20ABE8E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公告规定的投标截止时间前，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可以修改或撤回已递交的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，但应以书面形式通知采购人。</w:t>
      </w:r>
    </w:p>
    <w:p w14:paraId="261CC40B">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修改的内容为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的组成部分。修改的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应按照本章第3条、第4条规定进行编制、密封、标记和递交，并标明“修改”字样。</w:t>
      </w:r>
    </w:p>
    <w:p w14:paraId="4C1380C5">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的其他材料，见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w:t>
      </w:r>
    </w:p>
    <w:p w14:paraId="0BAC8D1F">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65" w:name="_Toc195921823"/>
      <w:bookmarkStart w:id="66" w:name="_Toc16836"/>
      <w:bookmarkStart w:id="67" w:name="_Toc10568"/>
      <w:r>
        <w:rPr>
          <w:rFonts w:hint="eastAsia" w:ascii="宋体" w:hAnsi="宋体" w:eastAsia="宋体" w:cs="宋体"/>
          <w:color w:val="auto"/>
          <w:kern w:val="0"/>
          <w:szCs w:val="21"/>
          <w:highlight w:val="none"/>
        </w:rPr>
        <w:t>开标</w:t>
      </w:r>
      <w:bookmarkEnd w:id="65"/>
      <w:bookmarkEnd w:id="66"/>
      <w:bookmarkEnd w:id="67"/>
    </w:p>
    <w:p w14:paraId="318F7A9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8" w:name="_Toc195921824"/>
      <w:r>
        <w:rPr>
          <w:rFonts w:hint="eastAsia" w:ascii="宋体" w:hAnsi="宋体" w:eastAsia="宋体" w:cs="宋体"/>
          <w:color w:val="auto"/>
          <w:kern w:val="0"/>
          <w:szCs w:val="21"/>
          <w:highlight w:val="none"/>
        </w:rPr>
        <w:t>开标时间和地点</w:t>
      </w:r>
      <w:bookmarkEnd w:id="68"/>
    </w:p>
    <w:p w14:paraId="4CE09B0A">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采购人在</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公告规定的投标截止时间（开标时间）和地点公开开标，并邀请所有</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的法定代表人或其委托代理人准时参加。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未参加开标的，视同认可开标结果。</w:t>
      </w:r>
    </w:p>
    <w:p w14:paraId="2BA41B6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开标时，应当由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或者其推选的代表检查</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的密封情况；确认</w:t>
      </w:r>
      <w:r>
        <w:rPr>
          <w:rFonts w:hint="eastAsia" w:ascii="宋体" w:hAnsi="宋体" w:eastAsia="宋体" w:cs="宋体"/>
          <w:color w:val="auto"/>
          <w:kern w:val="0"/>
          <w:szCs w:val="21"/>
          <w:highlight w:val="none"/>
          <w:lang w:eastAsia="zh-CN"/>
        </w:rPr>
        <w:t>密封情况完好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直接进行评标</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不适用</w:t>
      </w:r>
      <w:r>
        <w:rPr>
          <w:rFonts w:hint="eastAsia" w:ascii="宋体" w:hAnsi="宋体" w:cs="宋体"/>
          <w:color w:val="auto"/>
          <w:kern w:val="0"/>
          <w:szCs w:val="21"/>
          <w:highlight w:val="none"/>
          <w:lang w:eastAsia="zh-CN"/>
        </w:rPr>
        <w:t>）</w:t>
      </w:r>
    </w:p>
    <w:p w14:paraId="37B29900">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w:t>
      </w:r>
      <w:r>
        <w:rPr>
          <w:rFonts w:hint="eastAsia" w:hAnsi="宋体" w:cs="宋体"/>
          <w:color w:val="auto"/>
          <w:highlight w:val="none"/>
          <w:lang w:val="en-US" w:eastAsia="zh-CN"/>
        </w:rPr>
        <w:t>3</w:t>
      </w:r>
      <w:r>
        <w:rPr>
          <w:rFonts w:hint="eastAsia" w:ascii="宋体" w:hAnsi="宋体" w:eastAsia="宋体" w:cs="宋体"/>
          <w:color w:val="auto"/>
          <w:highlight w:val="none"/>
        </w:rPr>
        <w:t>家的，不进行开标。</w:t>
      </w:r>
    </w:p>
    <w:p w14:paraId="240CDFA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开标过程由采购人或者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代表和相关工作人员签字确认后随采购文件一并存档。</w:t>
      </w:r>
    </w:p>
    <w:p w14:paraId="05A86CB4">
      <w:pPr>
        <w:pStyle w:val="153"/>
        <w:keepNext w:val="0"/>
        <w:keepLines w:val="0"/>
        <w:pageBreakBefore w:val="0"/>
        <w:widowControl w:val="0"/>
        <w:kinsoku/>
        <w:wordWrap/>
        <w:overflowPunct/>
        <w:topLinePunct w:val="0"/>
        <w:bidi w:val="0"/>
        <w:snapToGrid w:val="0"/>
        <w:spacing w:line="360" w:lineRule="auto"/>
        <w:ind w:left="1132" w:leftChars="539"/>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代表对开标过程和开标记录有疑义，以及认为采购人、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p>
    <w:p w14:paraId="7CB7144B">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对开标过程有疑义的，在开标结束后七个工作日内，按本须知2.5款接收质疑函的方式以书面形式一次性提出质疑。</w:t>
      </w:r>
    </w:p>
    <w:p w14:paraId="3E8531DA">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69" w:name="_Toc14534"/>
      <w:bookmarkStart w:id="70" w:name="_Toc6719"/>
      <w:bookmarkStart w:id="71" w:name="_Toc195921826"/>
      <w:r>
        <w:rPr>
          <w:rFonts w:hint="eastAsia" w:ascii="宋体" w:hAnsi="宋体" w:eastAsia="宋体" w:cs="宋体"/>
          <w:color w:val="auto"/>
          <w:kern w:val="0"/>
          <w:szCs w:val="21"/>
          <w:highlight w:val="none"/>
        </w:rPr>
        <w:t>资格审查</w:t>
      </w:r>
      <w:bookmarkEnd w:id="69"/>
      <w:bookmarkEnd w:id="70"/>
    </w:p>
    <w:p w14:paraId="32CDBAF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开标结束后，</w:t>
      </w:r>
      <w:r>
        <w:rPr>
          <w:rFonts w:hint="eastAsia" w:ascii="宋体" w:hAnsi="宋体" w:cs="宋体"/>
          <w:color w:val="auto"/>
          <w:kern w:val="0"/>
          <w:szCs w:val="21"/>
          <w:highlight w:val="none"/>
          <w:lang w:eastAsia="zh-CN"/>
        </w:rPr>
        <w:t>竞争性磋商小组</w:t>
      </w:r>
      <w:r>
        <w:rPr>
          <w:rFonts w:hint="eastAsia" w:ascii="宋体" w:hAnsi="宋体" w:eastAsia="宋体" w:cs="宋体"/>
          <w:color w:val="auto"/>
          <w:kern w:val="0"/>
          <w:szCs w:val="21"/>
          <w:highlight w:val="none"/>
        </w:rPr>
        <w:t>依法对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的资格进行审查。</w:t>
      </w:r>
    </w:p>
    <w:p w14:paraId="1C67FFB9">
      <w:pPr>
        <w:pStyle w:val="153"/>
        <w:keepNext w:val="0"/>
        <w:keepLines w:val="0"/>
        <w:pageBreakBefore w:val="0"/>
        <w:widowControl w:val="0"/>
        <w:kinsoku/>
        <w:wordWrap/>
        <w:overflowPunct/>
        <w:topLinePunct w:val="0"/>
        <w:bidi w:val="0"/>
        <w:snapToGrid w:val="0"/>
        <w:spacing w:line="360" w:lineRule="auto"/>
        <w:ind w:left="1132" w:leftChars="539"/>
        <w:textAlignment w:val="auto"/>
        <w:rPr>
          <w:rFonts w:hint="eastAsia" w:ascii="宋体" w:hAnsi="宋体" w:eastAsia="宋体" w:cs="宋体"/>
          <w:color w:val="auto"/>
          <w:highlight w:val="none"/>
        </w:rPr>
      </w:pPr>
      <w:r>
        <w:rPr>
          <w:rFonts w:hint="eastAsia" w:ascii="宋体" w:hAnsi="宋体" w:eastAsia="宋体" w:cs="宋体"/>
          <w:color w:val="auto"/>
          <w:highlight w:val="none"/>
        </w:rPr>
        <w:t>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w:t>
      </w:r>
      <w:r>
        <w:rPr>
          <w:rFonts w:hint="eastAsia" w:hAnsi="宋体" w:cs="宋体"/>
          <w:color w:val="auto"/>
          <w:highlight w:val="none"/>
          <w:lang w:val="en-US" w:eastAsia="zh-CN"/>
        </w:rPr>
        <w:t>3</w:t>
      </w:r>
      <w:r>
        <w:rPr>
          <w:rFonts w:hint="eastAsia" w:ascii="宋体" w:hAnsi="宋体" w:eastAsia="宋体" w:cs="宋体"/>
          <w:color w:val="auto"/>
          <w:highlight w:val="none"/>
        </w:rPr>
        <w:t>家的，不进行评标。</w:t>
      </w:r>
    </w:p>
    <w:p w14:paraId="3C9EEE34">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72" w:name="_Toc30234"/>
      <w:bookmarkStart w:id="73" w:name="_Toc13389"/>
      <w:r>
        <w:rPr>
          <w:rFonts w:hint="eastAsia" w:ascii="宋体" w:hAnsi="宋体" w:eastAsia="宋体" w:cs="宋体"/>
          <w:color w:val="auto"/>
          <w:kern w:val="0"/>
          <w:szCs w:val="21"/>
          <w:highlight w:val="none"/>
        </w:rPr>
        <w:t>评标</w:t>
      </w:r>
      <w:bookmarkEnd w:id="71"/>
      <w:bookmarkEnd w:id="72"/>
      <w:bookmarkEnd w:id="73"/>
    </w:p>
    <w:p w14:paraId="16B5901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p>
    <w:p w14:paraId="18FFA9DF">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评标由采购人依法组建的</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负责。</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由有关</w:t>
      </w:r>
      <w:r>
        <w:rPr>
          <w:rFonts w:hint="eastAsia" w:ascii="宋体" w:hAnsi="宋体" w:cs="宋体"/>
          <w:color w:val="auto"/>
          <w:kern w:val="0"/>
          <w:szCs w:val="21"/>
          <w:highlight w:val="none"/>
          <w:lang w:val="en-US" w:eastAsia="zh-CN"/>
        </w:rPr>
        <w:t>专业</w:t>
      </w:r>
      <w:r>
        <w:rPr>
          <w:rFonts w:hint="eastAsia" w:ascii="宋体" w:hAnsi="宋体" w:eastAsia="宋体" w:cs="宋体"/>
          <w:color w:val="auto"/>
          <w:kern w:val="0"/>
          <w:szCs w:val="21"/>
          <w:highlight w:val="none"/>
        </w:rPr>
        <w:t>方面的专家组成。</w:t>
      </w:r>
    </w:p>
    <w:p w14:paraId="70134CD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成员有下列情形之一的，应当回避：</w:t>
      </w:r>
    </w:p>
    <w:p w14:paraId="2C778A45">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存在劳动关系；</w:t>
      </w:r>
    </w:p>
    <w:p w14:paraId="33640A09">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的董事、监事；</w:t>
      </w:r>
    </w:p>
    <w:p w14:paraId="0434F802">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的控股股东或者实际控制人；</w:t>
      </w:r>
    </w:p>
    <w:p w14:paraId="19FBDF27">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的法定代表人或者负责人有夫妻、直系血亲、三代以内旁系血亲或者近姻亲关系；</w:t>
      </w:r>
    </w:p>
    <w:p w14:paraId="23D5F931">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（5）与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有其他可能影响政府采购活动公平、公正进行的关系。</w:t>
      </w:r>
    </w:p>
    <w:p w14:paraId="5373F330">
      <w:pPr>
        <w:keepNext w:val="0"/>
        <w:keepLines w:val="0"/>
        <w:pageBreakBefore w:val="0"/>
        <w:widowControl w:val="0"/>
        <w:numPr>
          <w:ilvl w:val="2"/>
          <w:numId w:val="1"/>
        </w:numPr>
        <w:tabs>
          <w:tab w:val="left" w:pos="1260"/>
          <w:tab w:val="left" w:pos="1418"/>
          <w:tab w:val="left" w:pos="180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szCs w:val="21"/>
          <w:highlight w:val="none"/>
        </w:rPr>
        <w:t>负责具体评标事务，并独立履行下列职责</w:t>
      </w:r>
      <w:r>
        <w:rPr>
          <w:rFonts w:hint="eastAsia" w:ascii="宋体" w:hAnsi="宋体" w:eastAsia="宋体" w:cs="宋体"/>
          <w:color w:val="auto"/>
          <w:kern w:val="0"/>
          <w:szCs w:val="21"/>
          <w:highlight w:val="none"/>
        </w:rPr>
        <w:t>：</w:t>
      </w:r>
    </w:p>
    <w:p w14:paraId="46E81C67">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bookmarkStart w:id="74" w:name="_Toc195921828"/>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审查、评价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是否符合</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的商务、技术等实质性要求；</w:t>
      </w:r>
    </w:p>
    <w:p w14:paraId="2E7EEA99">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有关事项作出澄清或者说明；</w:t>
      </w:r>
    </w:p>
    <w:p w14:paraId="4B7C60ED">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ab/>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进行比较和评价；</w:t>
      </w:r>
    </w:p>
    <w:p w14:paraId="4A685BFD">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确定</w:t>
      </w:r>
      <w:r>
        <w:rPr>
          <w:rFonts w:hint="eastAsia" w:hAnsi="宋体" w:cs="宋体"/>
          <w:color w:val="auto"/>
          <w:highlight w:val="none"/>
          <w:lang w:eastAsia="zh-CN"/>
        </w:rPr>
        <w:t>成交</w:t>
      </w:r>
      <w:r>
        <w:rPr>
          <w:rFonts w:hint="eastAsia" w:ascii="宋体" w:hAnsi="宋体" w:eastAsia="宋体" w:cs="宋体"/>
          <w:color w:val="auto"/>
          <w:highlight w:val="none"/>
        </w:rPr>
        <w:t>候选人名单，以及根据采购人委托直接确定中标人；</w:t>
      </w:r>
    </w:p>
    <w:p w14:paraId="567C42FA">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或者有关部门报告评标中发现的违法行为。</w:t>
      </w:r>
    </w:p>
    <w:p w14:paraId="4758C2E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应当对符合资格的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进行符合性审查，以确定其是否满足</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的实质性要求。</w:t>
      </w:r>
      <w:bookmarkEnd w:id="74"/>
    </w:p>
    <w:p w14:paraId="1F568A2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按照第三章“</w:t>
      </w:r>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w:t>
      </w:r>
      <w:r>
        <w:rPr>
          <w:rFonts w:hint="eastAsia" w:ascii="宋体" w:hAnsi="宋体" w:eastAsia="宋体" w:cs="宋体"/>
          <w:bCs/>
          <w:color w:val="auto"/>
          <w:kern w:val="15"/>
          <w:szCs w:val="21"/>
          <w:highlight w:val="none"/>
          <w:lang w:val="zh-CN"/>
        </w:rPr>
        <w:t>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综合评分法</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”规定的评标方法和标准，对符合性审查合格的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进行商务和技术评估，综合比较与评价。“</w:t>
      </w:r>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标方法</w:t>
      </w:r>
      <w:r>
        <w:rPr>
          <w:rFonts w:hint="eastAsia" w:ascii="宋体" w:hAnsi="宋体" w:eastAsia="宋体" w:cs="宋体"/>
          <w:color w:val="auto"/>
          <w:szCs w:val="21"/>
          <w:highlight w:val="none"/>
        </w:rPr>
        <w:t>”没有规定的方法、评审因素和标准，不作为评标依据。</w:t>
      </w:r>
    </w:p>
    <w:p w14:paraId="29D01BD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在评标过程中发现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有不遵循公平竞争的原则，恶意串通，妨碍其他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的竞争行为，损害采购人或者其他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的合法权益的，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应当认定其投标无效，并书面报告本级财政部门。</w:t>
      </w:r>
    </w:p>
    <w:p w14:paraId="0257C1E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家或者通过资格审查或符合性审查的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家的，除采购任务取消情形外，将重新招标或采用其他采购方式采购。</w:t>
      </w:r>
    </w:p>
    <w:p w14:paraId="4C0D3CFE">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75" w:name="_Toc30754"/>
      <w:bookmarkStart w:id="76" w:name="_Toc195921830"/>
      <w:bookmarkStart w:id="77" w:name="_Toc19223"/>
      <w:r>
        <w:rPr>
          <w:rFonts w:hint="eastAsia" w:ascii="宋体" w:hAnsi="宋体" w:eastAsia="宋体" w:cs="宋体"/>
          <w:color w:val="auto"/>
          <w:kern w:val="0"/>
          <w:szCs w:val="21"/>
          <w:highlight w:val="none"/>
        </w:rPr>
        <w:t>合同授予</w:t>
      </w:r>
      <w:bookmarkEnd w:id="75"/>
      <w:bookmarkEnd w:id="76"/>
      <w:bookmarkEnd w:id="77"/>
    </w:p>
    <w:p w14:paraId="32197EE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hint="eastAsia" w:ascii="宋体" w:hAnsi="宋体" w:eastAsia="宋体" w:cs="宋体"/>
          <w:color w:val="auto"/>
          <w:kern w:val="0"/>
          <w:szCs w:val="21"/>
          <w:highlight w:val="none"/>
        </w:rPr>
      </w:pPr>
      <w:bookmarkStart w:id="78" w:name="_Toc195921831"/>
      <w:r>
        <w:rPr>
          <w:rFonts w:hint="eastAsia" w:ascii="宋体" w:hAnsi="宋体" w:eastAsia="宋体" w:cs="宋体"/>
          <w:color w:val="auto"/>
          <w:kern w:val="0"/>
          <w:szCs w:val="21"/>
          <w:highlight w:val="none"/>
        </w:rPr>
        <w:t>定标方式</w:t>
      </w:r>
      <w:bookmarkEnd w:id="78"/>
    </w:p>
    <w:p w14:paraId="79131A89">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采购人按评标报告确定的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候选人名单中按顺序确定</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确定的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候选人的人数见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4C9CEF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公告</w:t>
      </w:r>
    </w:p>
    <w:p w14:paraId="730A5EF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应当自</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人确定之日起2个工作日内，在省级以上财政部门指定的媒体上公告中标结果。</w:t>
      </w:r>
    </w:p>
    <w:p w14:paraId="7F919413">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公告期限为1个工作日。</w:t>
      </w:r>
    </w:p>
    <w:p w14:paraId="11E438D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结果有疑义的，在</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公告期限届满之日</w:t>
      </w:r>
      <w:r>
        <w:rPr>
          <w:rFonts w:hint="eastAsia" w:ascii="宋体" w:hAnsi="宋体" w:eastAsia="宋体" w:cs="宋体"/>
          <w:color w:val="auto"/>
          <w:szCs w:val="21"/>
          <w:highlight w:val="none"/>
        </w:rPr>
        <w:t>起七个工作日内，按本须知2.5款接收质疑函的方式以书面形式一次性提出对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结果的质疑。</w:t>
      </w:r>
    </w:p>
    <w:p w14:paraId="2E166C9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hint="eastAsia" w:ascii="宋体" w:hAnsi="宋体" w:eastAsia="宋体" w:cs="宋体"/>
          <w:color w:val="auto"/>
          <w:kern w:val="0"/>
          <w:szCs w:val="21"/>
          <w:highlight w:val="none"/>
        </w:rPr>
      </w:pPr>
      <w:bookmarkStart w:id="79" w:name="_Toc195921832"/>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通知</w:t>
      </w:r>
      <w:bookmarkEnd w:id="79"/>
    </w:p>
    <w:p w14:paraId="4812FF61">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在公告</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结果的同时，采购人以书面形式向</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人发出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通知书，同时将</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结果通知未</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6861E273">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通知书发出后，采购人不得违法改变</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结果，</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人无正当理由不得放弃中标。</w:t>
      </w:r>
    </w:p>
    <w:p w14:paraId="3896647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p w14:paraId="7F0E362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80" w:name="_Ref421009348"/>
      <w:r>
        <w:rPr>
          <w:rFonts w:hint="eastAsia" w:ascii="宋体" w:hAnsi="宋体" w:eastAsia="宋体" w:cs="宋体"/>
          <w:color w:val="auto"/>
          <w:kern w:val="0"/>
          <w:szCs w:val="21"/>
          <w:highlight w:val="none"/>
        </w:rPr>
        <w:t>在签订合同前，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人应按</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须知前附表规定的金额、担保形式和</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第四章“合同条款及格式”规定的履约保证金格式向采购人提交履约保证金。</w:t>
      </w:r>
      <w:bookmarkEnd w:id="80"/>
    </w:p>
    <w:p w14:paraId="178BF53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人不能按本章第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_Ref421009348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8.4.1</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项要求提交履约保证金的，视为放弃中标，其</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不予退还，给采购人造成的损失超过</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数额的，</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人还应当对超过部分予以赔偿。</w:t>
      </w:r>
    </w:p>
    <w:p w14:paraId="7C6DDEA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1" w:name="_Toc195921834"/>
      <w:r>
        <w:rPr>
          <w:rFonts w:hint="eastAsia" w:ascii="宋体" w:hAnsi="宋体" w:eastAsia="宋体" w:cs="宋体"/>
          <w:color w:val="auto"/>
          <w:kern w:val="0"/>
          <w:szCs w:val="21"/>
          <w:highlight w:val="none"/>
        </w:rPr>
        <w:t>签订合同</w:t>
      </w:r>
      <w:bookmarkEnd w:id="81"/>
    </w:p>
    <w:p w14:paraId="2FE24C7E">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采购人应当自</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通知书发出之日起30日内，按照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和</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的规定，与</w:t>
      </w: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签订书面合同。所签订的合同不得对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确定的事项和</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作实质性修改。</w:t>
      </w:r>
    </w:p>
    <w:p w14:paraId="33B45124">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人提出任何不合理的要求作为签订合同的条件。</w:t>
      </w:r>
    </w:p>
    <w:p w14:paraId="1AD2573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人无正当理由拒签合同的，采购人取消其</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资格，其</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不予退还；给采购人造成的损失超过</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数额的，</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人还应当对超过部分予以赔偿。</w:t>
      </w:r>
    </w:p>
    <w:p w14:paraId="43921BE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通知书后，采购人无正当理由拒签合同的，采购人向</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人退还</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；给</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人造成损失的，还应当赔偿损失。</w:t>
      </w:r>
    </w:p>
    <w:p w14:paraId="7765778D">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82" w:name="_Toc2343"/>
      <w:bookmarkStart w:id="83" w:name="_Toc11289"/>
      <w:bookmarkStart w:id="84" w:name="_Toc195921838"/>
      <w:r>
        <w:rPr>
          <w:rFonts w:hint="eastAsia" w:ascii="宋体" w:hAnsi="宋体" w:eastAsia="宋体" w:cs="宋体"/>
          <w:color w:val="auto"/>
          <w:kern w:val="0"/>
          <w:szCs w:val="21"/>
          <w:highlight w:val="none"/>
        </w:rPr>
        <w:t>纪律和监督</w:t>
      </w:r>
      <w:bookmarkEnd w:id="82"/>
      <w:bookmarkEnd w:id="83"/>
      <w:bookmarkEnd w:id="84"/>
    </w:p>
    <w:p w14:paraId="4FB5C9D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5" w:name="_Toc195921839"/>
      <w:r>
        <w:rPr>
          <w:rFonts w:hint="eastAsia" w:ascii="宋体" w:hAnsi="宋体" w:eastAsia="宋体" w:cs="宋体"/>
          <w:color w:val="auto"/>
          <w:kern w:val="0"/>
          <w:szCs w:val="21"/>
          <w:highlight w:val="none"/>
        </w:rPr>
        <w:t>对采购人的要求</w:t>
      </w:r>
      <w:bookmarkEnd w:id="85"/>
    </w:p>
    <w:p w14:paraId="79C09855">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采购人在政府采购活动中应当维护国家利益和社会公共利益，公正廉洁，诚实守信，执行政府采购政策。采购人不得向</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索要或者接受其给予的赠品、回扣或者与采购无关的其他商品、服务</w:t>
      </w:r>
      <w:r>
        <w:rPr>
          <w:rFonts w:hint="eastAsia" w:ascii="宋体" w:hAnsi="宋体" w:eastAsia="宋体" w:cs="宋体"/>
          <w:color w:val="auto"/>
          <w:kern w:val="0"/>
          <w:szCs w:val="21"/>
          <w:highlight w:val="none"/>
        </w:rPr>
        <w:t>。</w:t>
      </w:r>
    </w:p>
    <w:p w14:paraId="31671E0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6" w:name="_Toc195921840"/>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的要求</w:t>
      </w:r>
    </w:p>
    <w:p w14:paraId="69DE2F7B">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不得与采购人、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恶意串通操纵政府采购活动。</w:t>
      </w:r>
    </w:p>
    <w:p w14:paraId="62DF44D6">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工作人员不得接受采购人或者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组织的宴请、旅游、娱乐，不得收受礼品、现金、有价证券等，不得向采购人或者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报销应当由个人承担的费用。</w:t>
      </w:r>
    </w:p>
    <w:p w14:paraId="1439979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的纪律要求</w:t>
      </w:r>
      <w:bookmarkEnd w:id="86"/>
    </w:p>
    <w:p w14:paraId="2FCD027B">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不得相互串通投标或者与采购人串通投标，不得向采购人或者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成员行贿谋取中标，不得以他人名义投标或者以其他方式弄虚作假骗取中标；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不得以任何方式干扰、影响评标工作。</w:t>
      </w:r>
    </w:p>
    <w:p w14:paraId="36BB8B2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7" w:name="_Toc195921841"/>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及其成员不得有下列行为</w:t>
      </w:r>
      <w:bookmarkEnd w:id="87"/>
    </w:p>
    <w:p w14:paraId="688A145A">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确定参与评标至评标结束前私自接触</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14:paraId="4773DE29">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接受</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提出的与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不一致的澄清或者说明，</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作出必要的澄清、说明或者补正的情形除外；</w:t>
      </w:r>
    </w:p>
    <w:p w14:paraId="0822F853">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违反评标纪律发表倾向性意见或者征询采购人的倾向性意见；</w:t>
      </w:r>
    </w:p>
    <w:p w14:paraId="1146B69E">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对需要专业判断的主观评审因素协商评分；</w:t>
      </w:r>
    </w:p>
    <w:p w14:paraId="1C562EFB">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在评标过程中擅离职守，影响评标程序正常进行的；</w:t>
      </w:r>
    </w:p>
    <w:p w14:paraId="4E823BC3">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记录、复制或者带走任何评标资料；</w:t>
      </w:r>
    </w:p>
    <w:p w14:paraId="1F6C99EE">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其他不遵守评标纪律的行为。</w:t>
      </w:r>
    </w:p>
    <w:p w14:paraId="4AEE66C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8" w:name="_Toc195921842"/>
      <w:r>
        <w:rPr>
          <w:rFonts w:hint="eastAsia" w:ascii="宋体" w:hAnsi="宋体" w:eastAsia="宋体" w:cs="宋体"/>
          <w:color w:val="auto"/>
          <w:kern w:val="0"/>
          <w:szCs w:val="21"/>
          <w:highlight w:val="none"/>
        </w:rPr>
        <w:t>对与评标活动有关的工作人员的纪律要求</w:t>
      </w:r>
      <w:bookmarkEnd w:id="88"/>
    </w:p>
    <w:p w14:paraId="0C4F8248">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与评标活动有关的工作人员不得收受他人的财物或者其他好处，不得向他人透漏对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的评审和比较、中标候选人的推荐情况以及评标有关的其他情况。在评标活动中，与评标活动有关的工作人员不得擅离职守，影响评标程序正常进行。</w:t>
      </w:r>
    </w:p>
    <w:p w14:paraId="33E2609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680" w:hanging="1680" w:hangingChars="800"/>
        <w:textAlignment w:val="auto"/>
        <w:rPr>
          <w:rFonts w:hint="eastAsia" w:ascii="宋体" w:hAnsi="宋体" w:eastAsia="宋体" w:cs="宋体"/>
          <w:color w:val="auto"/>
          <w:kern w:val="0"/>
          <w:szCs w:val="21"/>
          <w:highlight w:val="none"/>
        </w:rPr>
      </w:pPr>
      <w:bookmarkStart w:id="89" w:name="_Toc195921843"/>
      <w:r>
        <w:rPr>
          <w:rFonts w:hint="eastAsia" w:ascii="宋体" w:hAnsi="宋体" w:eastAsia="宋体" w:cs="宋体"/>
          <w:color w:val="auto"/>
          <w:kern w:val="0"/>
          <w:szCs w:val="21"/>
          <w:highlight w:val="none"/>
        </w:rPr>
        <w:t>投诉</w:t>
      </w:r>
      <w:bookmarkEnd w:id="89"/>
    </w:p>
    <w:p w14:paraId="141DE2D4">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和其他利害关系人认为本次</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活动违反法律、法规和规章规定的，有权向有关行政监督部门投诉。</w:t>
      </w:r>
      <w:bookmarkStart w:id="90" w:name="_Toc27074"/>
      <w:bookmarkStart w:id="91" w:name="_Toc195921844"/>
      <w:bookmarkStart w:id="92" w:name="_Toc29652"/>
    </w:p>
    <w:p w14:paraId="067C23D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10        </w:t>
      </w:r>
      <w:r>
        <w:rPr>
          <w:rFonts w:hint="eastAsia" w:ascii="宋体" w:hAnsi="宋体" w:eastAsia="宋体" w:cs="宋体"/>
          <w:color w:val="auto"/>
          <w:kern w:val="0"/>
          <w:szCs w:val="21"/>
          <w:highlight w:val="none"/>
        </w:rPr>
        <w:t>需要补充的其他内容</w:t>
      </w:r>
      <w:bookmarkEnd w:id="90"/>
      <w:bookmarkEnd w:id="91"/>
      <w:bookmarkEnd w:id="92"/>
    </w:p>
    <w:p w14:paraId="27AED985">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firstLine="1050" w:firstLineChars="5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524F09D5">
      <w:pPr>
        <w:widowControl/>
        <w:jc w:val="left"/>
        <w:rPr>
          <w:rFonts w:hint="eastAsia" w:ascii="宋体" w:hAnsi="宋体" w:eastAsia="宋体" w:cs="宋体"/>
          <w:color w:val="auto"/>
          <w:kern w:val="0"/>
          <w:sz w:val="24"/>
          <w:highlight w:val="none"/>
        </w:rPr>
      </w:pPr>
    </w:p>
    <w:p w14:paraId="0EABF1C1">
      <w:pPr>
        <w:rPr>
          <w:rFonts w:hint="eastAsia" w:ascii="宋体" w:hAnsi="宋体" w:eastAsia="宋体" w:cs="宋体"/>
          <w:b/>
          <w:color w:val="auto"/>
          <w:sz w:val="32"/>
          <w:szCs w:val="32"/>
          <w:highlight w:val="none"/>
        </w:rPr>
      </w:pPr>
      <w:bookmarkStart w:id="93" w:name="_Toc179632599"/>
      <w:bookmarkStart w:id="94" w:name="_Toc5357"/>
      <w:bookmarkStart w:id="95" w:name="_Toc324863678"/>
      <w:bookmarkStart w:id="96" w:name="_Toc11311827"/>
      <w:bookmarkStart w:id="97" w:name="_Toc144974548"/>
      <w:bookmarkStart w:id="98" w:name="_Toc152045581"/>
      <w:bookmarkStart w:id="99" w:name="_Toc152042358"/>
      <w:bookmarkStart w:id="100" w:name="_Toc247085739"/>
      <w:r>
        <w:rPr>
          <w:rFonts w:hint="eastAsia" w:ascii="宋体" w:hAnsi="宋体" w:eastAsia="宋体" w:cs="宋体"/>
          <w:b/>
          <w:color w:val="auto"/>
          <w:sz w:val="32"/>
          <w:szCs w:val="32"/>
          <w:highlight w:val="none"/>
        </w:rPr>
        <w:br w:type="page"/>
      </w:r>
    </w:p>
    <w:p w14:paraId="374E4E8A">
      <w:pPr>
        <w:spacing w:line="400" w:lineRule="exact"/>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附件一：</w:t>
      </w:r>
      <w:bookmarkEnd w:id="93"/>
      <w:bookmarkEnd w:id="94"/>
      <w:bookmarkEnd w:id="95"/>
      <w:bookmarkEnd w:id="96"/>
      <w:bookmarkEnd w:id="97"/>
      <w:bookmarkEnd w:id="98"/>
      <w:bookmarkEnd w:id="99"/>
      <w:bookmarkEnd w:id="100"/>
      <w:r>
        <w:rPr>
          <w:rFonts w:hint="eastAsia" w:ascii="宋体" w:hAnsi="宋体" w:eastAsia="宋体" w:cs="宋体"/>
          <w:b/>
          <w:color w:val="auto"/>
          <w:sz w:val="32"/>
          <w:szCs w:val="32"/>
          <w:highlight w:val="none"/>
        </w:rPr>
        <w:t>最后报价</w:t>
      </w:r>
      <w:r>
        <w:rPr>
          <w:rFonts w:hint="eastAsia" w:ascii="宋体" w:hAnsi="宋体" w:cs="宋体"/>
          <w:b/>
          <w:color w:val="auto"/>
          <w:sz w:val="32"/>
          <w:szCs w:val="32"/>
          <w:highlight w:val="none"/>
          <w:lang w:val="en-US" w:eastAsia="zh-CN"/>
        </w:rPr>
        <w:t>函</w:t>
      </w:r>
    </w:p>
    <w:p w14:paraId="1F353079">
      <w:pPr>
        <w:spacing w:line="400" w:lineRule="exact"/>
        <w:jc w:val="center"/>
        <w:rPr>
          <w:rFonts w:hint="eastAsia" w:ascii="宋体" w:hAnsi="宋体" w:eastAsia="宋体" w:cs="宋体"/>
          <w:b/>
          <w:color w:val="auto"/>
          <w:sz w:val="32"/>
          <w:szCs w:val="32"/>
          <w:highlight w:val="none"/>
        </w:rPr>
      </w:pPr>
      <w:r>
        <w:rPr>
          <w:rFonts w:hint="eastAsia" w:ascii="宋体" w:hAnsi="宋体" w:cs="宋体"/>
          <w:color w:val="auto"/>
          <w:szCs w:val="21"/>
          <w:u w:val="none"/>
          <w:lang w:val="en-US" w:eastAsia="zh-CN"/>
        </w:rPr>
        <w:t>以“政采云”平台系统格式为准</w:t>
      </w:r>
    </w:p>
    <w:p w14:paraId="351F814C">
      <w:pPr>
        <w:spacing w:line="400" w:lineRule="exact"/>
        <w:jc w:val="both"/>
        <w:rPr>
          <w:rFonts w:hint="eastAsia" w:ascii="宋体" w:hAnsi="宋体" w:eastAsia="宋体" w:cs="宋体"/>
          <w:b/>
          <w:color w:val="auto"/>
          <w:sz w:val="32"/>
          <w:szCs w:val="32"/>
          <w:highlight w:val="none"/>
        </w:rPr>
      </w:pPr>
    </w:p>
    <w:p w14:paraId="07482078">
      <w:pPr>
        <w:spacing w:line="400" w:lineRule="exact"/>
        <w:jc w:val="left"/>
        <w:rPr>
          <w:rFonts w:hint="eastAsia" w:ascii="宋体" w:hAnsi="宋体" w:eastAsia="宋体" w:cs="宋体"/>
          <w:b/>
          <w:color w:val="auto"/>
          <w:sz w:val="32"/>
          <w:szCs w:val="32"/>
          <w:highlight w:val="none"/>
        </w:rPr>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C4D6226">
      <w:pPr>
        <w:spacing w:line="40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附件二：问题澄清通知</w:t>
      </w:r>
    </w:p>
    <w:p w14:paraId="43F6BC08">
      <w:pPr>
        <w:spacing w:line="440" w:lineRule="exact"/>
        <w:jc w:val="center"/>
        <w:rPr>
          <w:rFonts w:hint="eastAsia" w:ascii="宋体" w:hAnsi="宋体" w:eastAsia="宋体" w:cs="宋体"/>
          <w:color w:val="auto"/>
          <w:szCs w:val="21"/>
          <w:highlight w:val="none"/>
        </w:rPr>
      </w:pPr>
    </w:p>
    <w:p w14:paraId="1338CDE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问题澄清通知</w:t>
      </w:r>
    </w:p>
    <w:p w14:paraId="7A3A08B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编号：</w:t>
      </w:r>
    </w:p>
    <w:p w14:paraId="2A5765BE">
      <w:pPr>
        <w:spacing w:line="440" w:lineRule="exact"/>
        <w:rPr>
          <w:rFonts w:hint="eastAsia" w:ascii="宋体" w:hAnsi="宋体" w:eastAsia="宋体" w:cs="宋体"/>
          <w:color w:val="auto"/>
          <w:szCs w:val="21"/>
          <w:highlight w:val="none"/>
        </w:rPr>
      </w:pPr>
    </w:p>
    <w:p w14:paraId="5B7566A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w:t>
      </w:r>
    </w:p>
    <w:p w14:paraId="73F9C429">
      <w:pPr>
        <w:spacing w:line="440" w:lineRule="exact"/>
        <w:rPr>
          <w:rFonts w:hint="eastAsia" w:ascii="宋体" w:hAnsi="宋体" w:eastAsia="宋体" w:cs="宋体"/>
          <w:color w:val="auto"/>
          <w:szCs w:val="21"/>
          <w:highlight w:val="none"/>
        </w:rPr>
      </w:pPr>
    </w:p>
    <w:p w14:paraId="257DE09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（项目名称）采购的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，对你方的响应文件进行了仔细的审查，现需你方对下列问题以书面形式予以澄清：</w:t>
      </w:r>
    </w:p>
    <w:p w14:paraId="4F84BF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194D790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p>
    <w:p w14:paraId="2022ADD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p w14:paraId="64DC731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p>
    <w:p w14:paraId="3A8597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3EAB9F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时前递交至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（详细地址）或传真至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（传真号码）。采用传真方式的，应在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时前将原件递交至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（详细地址）。</w:t>
      </w:r>
    </w:p>
    <w:p w14:paraId="0641C776">
      <w:pPr>
        <w:spacing w:line="440" w:lineRule="exact"/>
        <w:rPr>
          <w:rFonts w:hint="eastAsia" w:ascii="宋体" w:hAnsi="宋体" w:eastAsia="宋体" w:cs="宋体"/>
          <w:color w:val="auto"/>
          <w:szCs w:val="21"/>
          <w:highlight w:val="none"/>
        </w:rPr>
      </w:pPr>
    </w:p>
    <w:p w14:paraId="6BD2926B">
      <w:pPr>
        <w:spacing w:line="440" w:lineRule="exact"/>
        <w:rPr>
          <w:rFonts w:hint="eastAsia" w:ascii="宋体" w:hAnsi="宋体" w:eastAsia="宋体" w:cs="宋体"/>
          <w:color w:val="auto"/>
          <w:szCs w:val="21"/>
          <w:highlight w:val="none"/>
        </w:rPr>
      </w:pPr>
    </w:p>
    <w:p w14:paraId="3176A2A2">
      <w:pPr>
        <w:spacing w:line="440" w:lineRule="exact"/>
        <w:jc w:val="righ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项目名称</w:t>
      </w:r>
      <w:r>
        <w:rPr>
          <w:rFonts w:hint="eastAsia" w:ascii="宋体" w:hAnsi="宋体" w:eastAsia="宋体" w:cs="宋体"/>
          <w:color w:val="auto"/>
          <w:szCs w:val="21"/>
        </w:rPr>
        <w:t>）</w:t>
      </w:r>
      <w:r>
        <w:rPr>
          <w:rFonts w:hint="eastAsia" w:ascii="宋体" w:hAnsi="宋体" w:eastAsia="宋体" w:cs="宋体"/>
          <w:color w:val="auto"/>
          <w:szCs w:val="21"/>
          <w:lang w:val="en-US" w:eastAsia="zh-CN"/>
        </w:rPr>
        <w:t>磋商小组</w:t>
      </w:r>
    </w:p>
    <w:p w14:paraId="16A8AABA">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经磋商小组授权的采购人代表签字或采购人加盖单位公章</w:t>
      </w:r>
      <w:r>
        <w:rPr>
          <w:rFonts w:hint="eastAsia" w:ascii="宋体" w:hAnsi="宋体" w:eastAsia="宋体" w:cs="宋体"/>
          <w:color w:val="auto"/>
          <w:szCs w:val="21"/>
          <w:lang w:eastAsia="zh-CN"/>
        </w:rPr>
        <w:t>）</w:t>
      </w:r>
    </w:p>
    <w:p w14:paraId="301CBAE0">
      <w:pPr>
        <w:spacing w:line="440" w:lineRule="exact"/>
        <w:ind w:firstLine="3045" w:firstLineChars="145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DE3FE1A">
      <w:pPr>
        <w:spacing w:line="400" w:lineRule="exact"/>
        <w:rPr>
          <w:rFonts w:hint="eastAsia" w:ascii="宋体" w:hAnsi="宋体" w:eastAsia="宋体" w:cs="宋体"/>
          <w:color w:val="auto"/>
          <w:szCs w:val="21"/>
          <w:highlight w:val="none"/>
        </w:rPr>
      </w:pPr>
    </w:p>
    <w:p w14:paraId="4978EFCD">
      <w:pPr>
        <w:spacing w:line="400" w:lineRule="exact"/>
        <w:jc w:val="left"/>
        <w:rPr>
          <w:rFonts w:hint="eastAsia" w:ascii="宋体" w:hAnsi="宋体" w:eastAsia="宋体" w:cs="宋体"/>
          <w:color w:val="auto"/>
          <w:sz w:val="36"/>
          <w:szCs w:val="36"/>
          <w:highlight w:val="none"/>
        </w:rPr>
      </w:pPr>
      <w:r>
        <w:rPr>
          <w:rFonts w:hint="eastAsia" w:ascii="宋体" w:hAnsi="宋体" w:eastAsia="宋体" w:cs="宋体"/>
          <w:color w:val="auto"/>
          <w:szCs w:val="21"/>
          <w:highlight w:val="none"/>
        </w:rPr>
        <w:br w:type="page"/>
      </w:r>
      <w:bookmarkStart w:id="101" w:name="_Toc247085741"/>
      <w:bookmarkStart w:id="102" w:name="_Toc246996226"/>
      <w:bookmarkStart w:id="103" w:name="_Toc152045583"/>
      <w:bookmarkStart w:id="104" w:name="_Toc152042360"/>
      <w:bookmarkStart w:id="105" w:name="_Toc144974550"/>
      <w:bookmarkStart w:id="106" w:name="_Toc324863680"/>
      <w:bookmarkStart w:id="107" w:name="_Toc246996969"/>
      <w:bookmarkStart w:id="108" w:name="_Toc179632601"/>
      <w:bookmarkStart w:id="109" w:name="_Toc454"/>
      <w:r>
        <w:rPr>
          <w:rFonts w:hint="eastAsia" w:ascii="宋体" w:hAnsi="宋体" w:eastAsia="宋体" w:cs="宋体"/>
          <w:b/>
          <w:color w:val="auto"/>
          <w:sz w:val="32"/>
          <w:szCs w:val="32"/>
          <w:highlight w:val="none"/>
        </w:rPr>
        <w:t>附件三：问题的澄清</w:t>
      </w:r>
      <w:bookmarkEnd w:id="101"/>
      <w:bookmarkEnd w:id="102"/>
      <w:bookmarkEnd w:id="103"/>
      <w:bookmarkEnd w:id="104"/>
      <w:bookmarkEnd w:id="105"/>
      <w:bookmarkEnd w:id="106"/>
      <w:bookmarkEnd w:id="107"/>
      <w:bookmarkEnd w:id="108"/>
      <w:bookmarkEnd w:id="109"/>
    </w:p>
    <w:p w14:paraId="7DDEBC72">
      <w:pPr>
        <w:spacing w:line="400" w:lineRule="exact"/>
        <w:jc w:val="center"/>
        <w:rPr>
          <w:rFonts w:hint="eastAsia" w:ascii="宋体" w:hAnsi="宋体" w:eastAsia="宋体" w:cs="宋体"/>
          <w:color w:val="auto"/>
          <w:szCs w:val="21"/>
          <w:highlight w:val="none"/>
        </w:rPr>
      </w:pPr>
    </w:p>
    <w:p w14:paraId="2F81923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问题的澄清</w:t>
      </w:r>
    </w:p>
    <w:p w14:paraId="20B4C36E">
      <w:pPr>
        <w:spacing w:line="400" w:lineRule="exact"/>
        <w:ind w:firstLine="3465" w:firstLineChars="1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31027AC8">
      <w:pPr>
        <w:spacing w:line="400" w:lineRule="exact"/>
        <w:rPr>
          <w:rFonts w:hint="eastAsia" w:ascii="宋体" w:hAnsi="宋体" w:eastAsia="宋体" w:cs="宋体"/>
          <w:color w:val="auto"/>
          <w:szCs w:val="21"/>
          <w:highlight w:val="none"/>
        </w:rPr>
      </w:pPr>
    </w:p>
    <w:p w14:paraId="1B62269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项目名称）采购</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w:t>
      </w:r>
    </w:p>
    <w:p w14:paraId="60294BA8">
      <w:pPr>
        <w:spacing w:line="440" w:lineRule="exact"/>
        <w:rPr>
          <w:rFonts w:hint="eastAsia" w:ascii="宋体" w:hAnsi="宋体" w:eastAsia="宋体" w:cs="宋体"/>
          <w:color w:val="auto"/>
          <w:szCs w:val="21"/>
          <w:highlight w:val="none"/>
        </w:rPr>
      </w:pPr>
    </w:p>
    <w:p w14:paraId="32F1A72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问题澄清通知（编号：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）已收悉，现澄清如下：</w:t>
      </w:r>
    </w:p>
    <w:p w14:paraId="2F5F43E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w:t>
      </w:r>
    </w:p>
    <w:p w14:paraId="0CB07AF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w:t>
      </w:r>
    </w:p>
    <w:p w14:paraId="69B27B3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ABC745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7987C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7F0A53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65F7E2F">
      <w:pPr>
        <w:spacing w:line="440" w:lineRule="exact"/>
        <w:rPr>
          <w:rFonts w:hint="eastAsia" w:ascii="宋体" w:hAnsi="宋体" w:eastAsia="宋体" w:cs="宋体"/>
          <w:color w:val="auto"/>
          <w:szCs w:val="21"/>
          <w:highlight w:val="none"/>
        </w:rPr>
      </w:pPr>
    </w:p>
    <w:p w14:paraId="67E842D2">
      <w:pPr>
        <w:spacing w:line="440" w:lineRule="exact"/>
        <w:rPr>
          <w:rFonts w:hint="eastAsia" w:ascii="宋体" w:hAnsi="宋体" w:eastAsia="宋体" w:cs="宋体"/>
          <w:color w:val="auto"/>
          <w:szCs w:val="21"/>
          <w:highlight w:val="none"/>
        </w:rPr>
      </w:pPr>
    </w:p>
    <w:p w14:paraId="4EB5D82B">
      <w:pPr>
        <w:spacing w:line="440" w:lineRule="exact"/>
        <w:rPr>
          <w:rFonts w:hint="eastAsia" w:ascii="宋体" w:hAnsi="宋体" w:eastAsia="宋体" w:cs="宋体"/>
          <w:color w:val="auto"/>
          <w:szCs w:val="21"/>
          <w:highlight w:val="none"/>
        </w:rPr>
      </w:pPr>
    </w:p>
    <w:p w14:paraId="04364D64">
      <w:pPr>
        <w:spacing w:line="440" w:lineRule="exact"/>
        <w:rPr>
          <w:rFonts w:hint="eastAsia" w:ascii="宋体" w:hAnsi="宋体" w:eastAsia="宋体" w:cs="宋体"/>
          <w:color w:val="auto"/>
          <w:szCs w:val="21"/>
          <w:highlight w:val="none"/>
        </w:rPr>
      </w:pPr>
    </w:p>
    <w:p w14:paraId="1D12601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7031C79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C863F9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5AABBE7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0141ED0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DBB0348">
      <w:pPr>
        <w:spacing w:line="400" w:lineRule="exact"/>
        <w:rPr>
          <w:rFonts w:hint="eastAsia" w:ascii="宋体" w:hAnsi="宋体" w:eastAsia="宋体" w:cs="宋体"/>
          <w:color w:val="auto"/>
          <w:szCs w:val="21"/>
          <w:highlight w:val="none"/>
        </w:rPr>
      </w:pPr>
    </w:p>
    <w:p w14:paraId="094F333D">
      <w:pPr>
        <w:pStyle w:val="2"/>
        <w:spacing w:before="0" w:after="0"/>
        <w:jc w:val="center"/>
        <w:rPr>
          <w:rFonts w:hint="eastAsia" w:ascii="宋体" w:hAnsi="宋体" w:eastAsia="宋体" w:cs="宋体"/>
          <w:color w:val="auto"/>
          <w:highlight w:val="yellow"/>
          <w:lang w:eastAsia="zh-CN"/>
        </w:rPr>
      </w:pPr>
      <w:r>
        <w:rPr>
          <w:rFonts w:hint="eastAsia" w:ascii="宋体" w:hAnsi="宋体" w:eastAsia="宋体" w:cs="宋体"/>
          <w:color w:val="auto"/>
          <w:szCs w:val="21"/>
          <w:highlight w:val="none"/>
        </w:rPr>
        <w:br w:type="page"/>
      </w:r>
      <w:bookmarkEnd w:id="5"/>
      <w:bookmarkStart w:id="110" w:name="_Toc2582"/>
      <w:bookmarkStart w:id="111" w:name="_Toc29547241"/>
      <w:bookmarkStart w:id="112" w:name="_Toc23622"/>
      <w:bookmarkStart w:id="113" w:name="_Toc30740"/>
      <w:r>
        <w:rPr>
          <w:rFonts w:hint="eastAsia" w:ascii="宋体" w:hAnsi="宋体" w:eastAsia="宋体" w:cs="宋体"/>
          <w:color w:val="auto"/>
          <w:highlight w:val="none"/>
        </w:rPr>
        <w:t xml:space="preserve">第三章  </w:t>
      </w:r>
      <w:bookmarkEnd w:id="110"/>
      <w:bookmarkEnd w:id="111"/>
      <w:bookmarkEnd w:id="112"/>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w:t>
      </w:r>
      <w:r>
        <w:rPr>
          <w:rFonts w:hint="eastAsia" w:ascii="宋体" w:hAnsi="宋体" w:eastAsia="宋体" w:cs="宋体"/>
          <w:bCs/>
          <w:color w:val="auto"/>
          <w:kern w:val="15"/>
          <w:szCs w:val="21"/>
          <w:highlight w:val="none"/>
          <w:lang w:val="zh-CN"/>
        </w:rPr>
        <w:t>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综合评分法</w:t>
      </w:r>
      <w:r>
        <w:rPr>
          <w:rFonts w:hint="eastAsia" w:ascii="宋体" w:hAnsi="宋体" w:eastAsia="宋体" w:cs="宋体"/>
          <w:color w:val="auto"/>
          <w:highlight w:val="none"/>
          <w:lang w:eastAsia="zh-CN"/>
        </w:rPr>
        <w:t>）</w:t>
      </w:r>
      <w:bookmarkEnd w:id="113"/>
    </w:p>
    <w:p w14:paraId="2CFB107C">
      <w:pPr>
        <w:spacing w:line="3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zh-CN"/>
        </w:rPr>
        <w:t>评</w:t>
      </w:r>
      <w:r>
        <w:rPr>
          <w:rFonts w:hint="eastAsia" w:ascii="宋体" w:hAnsi="宋体" w:eastAsia="宋体" w:cs="宋体"/>
          <w:b/>
          <w:color w:val="auto"/>
          <w:sz w:val="28"/>
          <w:szCs w:val="28"/>
          <w:lang w:val="en-US" w:eastAsia="zh-CN"/>
        </w:rPr>
        <w:t>标方法</w:t>
      </w:r>
      <w:r>
        <w:rPr>
          <w:rFonts w:hint="eastAsia" w:ascii="宋体" w:hAnsi="宋体" w:eastAsia="宋体" w:cs="宋体"/>
          <w:b/>
          <w:color w:val="auto"/>
          <w:sz w:val="28"/>
          <w:szCs w:val="28"/>
        </w:rPr>
        <w:t>前附表（一）</w:t>
      </w:r>
    </w:p>
    <w:p w14:paraId="48018FBD">
      <w:pPr>
        <w:pStyle w:val="14"/>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资格审查表</w:t>
      </w:r>
    </w:p>
    <w:tbl>
      <w:tblPr>
        <w:tblStyle w:val="34"/>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62"/>
        <w:gridCol w:w="6174"/>
      </w:tblGrid>
      <w:tr w14:paraId="1A18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2" w:type="dxa"/>
            <w:noWrap/>
            <w:vAlign w:val="center"/>
          </w:tcPr>
          <w:p w14:paraId="171C9C9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序号</w:t>
            </w:r>
          </w:p>
        </w:tc>
        <w:tc>
          <w:tcPr>
            <w:tcW w:w="2362" w:type="dxa"/>
            <w:noWrap/>
            <w:vAlign w:val="center"/>
          </w:tcPr>
          <w:p w14:paraId="3659964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评审因素</w:t>
            </w:r>
          </w:p>
        </w:tc>
        <w:tc>
          <w:tcPr>
            <w:tcW w:w="6174" w:type="dxa"/>
            <w:noWrap/>
            <w:vAlign w:val="center"/>
          </w:tcPr>
          <w:p w14:paraId="3441F1F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评审标准</w:t>
            </w:r>
          </w:p>
        </w:tc>
      </w:tr>
      <w:tr w14:paraId="5398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2" w:type="dxa"/>
            <w:noWrap/>
            <w:vAlign w:val="center"/>
          </w:tcPr>
          <w:p w14:paraId="013734E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2362" w:type="dxa"/>
            <w:noWrap/>
            <w:vAlign w:val="center"/>
          </w:tcPr>
          <w:p w14:paraId="4572A9D2">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rPr>
            </w:pPr>
            <w:r>
              <w:rPr>
                <w:rFonts w:hint="eastAsia" w:ascii="宋体" w:hAnsi="宋体" w:cs="宋体"/>
                <w:bCs/>
                <w:color w:val="auto"/>
                <w:lang w:val="zh-CN"/>
              </w:rPr>
              <w:t>营业执照</w:t>
            </w:r>
            <w:r>
              <w:rPr>
                <w:rFonts w:hint="eastAsia" w:ascii="宋体" w:hAnsi="宋体" w:cs="宋体"/>
                <w:bCs/>
                <w:color w:val="auto"/>
                <w:lang w:val="zh-CN" w:eastAsia="zh-CN"/>
              </w:rPr>
              <w:t>等证明文件</w:t>
            </w:r>
          </w:p>
        </w:tc>
        <w:tc>
          <w:tcPr>
            <w:tcW w:w="6174" w:type="dxa"/>
            <w:noWrap/>
            <w:vAlign w:val="center"/>
          </w:tcPr>
          <w:p w14:paraId="576C873B">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cs="宋体"/>
                <w:color w:val="auto"/>
                <w:kern w:val="0"/>
                <w:szCs w:val="21"/>
              </w:rPr>
              <w:t>申请人需具备独立承担民事行为能力的法人，</w:t>
            </w:r>
            <w:r>
              <w:rPr>
                <w:rFonts w:hint="eastAsia" w:ascii="宋体" w:hAnsi="宋体" w:cs="宋体"/>
                <w:color w:val="auto"/>
                <w:kern w:val="0"/>
                <w:szCs w:val="21"/>
                <w:lang w:bidi="ar"/>
              </w:rPr>
              <w:t>具备有效的营业执照；</w:t>
            </w:r>
            <w:r>
              <w:rPr>
                <w:rFonts w:hint="eastAsia" w:ascii="宋体" w:hAnsi="宋体" w:eastAsia="宋体" w:cs="宋体"/>
                <w:b/>
                <w:bCs w:val="0"/>
                <w:color w:val="auto"/>
                <w:lang w:val="en-US" w:eastAsia="zh-CN"/>
              </w:rPr>
              <w:t>响应文件</w:t>
            </w:r>
            <w:r>
              <w:rPr>
                <w:rFonts w:hint="eastAsia" w:ascii="宋体" w:hAnsi="宋体"/>
                <w:b/>
                <w:bCs/>
                <w:color w:val="auto"/>
                <w:kern w:val="0"/>
              </w:rPr>
              <w:t>内附复印件加盖公章。</w:t>
            </w:r>
          </w:p>
        </w:tc>
      </w:tr>
      <w:tr w14:paraId="62B2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2" w:type="dxa"/>
            <w:noWrap/>
            <w:vAlign w:val="center"/>
          </w:tcPr>
          <w:p w14:paraId="6A3C2A91">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p>
        </w:tc>
        <w:tc>
          <w:tcPr>
            <w:tcW w:w="2362" w:type="dxa"/>
            <w:noWrap/>
            <w:vAlign w:val="center"/>
          </w:tcPr>
          <w:p w14:paraId="48886A42">
            <w:pPr>
              <w:autoSpaceDE w:val="0"/>
              <w:autoSpaceDN w:val="0"/>
              <w:adjustRightInd w:val="0"/>
              <w:snapToGrid w:val="0"/>
              <w:spacing w:line="264" w:lineRule="auto"/>
              <w:jc w:val="center"/>
              <w:rPr>
                <w:rFonts w:hint="default" w:ascii="宋体" w:hAnsi="宋体" w:eastAsia="宋体" w:cs="宋体"/>
                <w:bCs/>
                <w:color w:val="auto"/>
                <w:lang w:val="en-US" w:eastAsia="zh-CN"/>
              </w:rPr>
            </w:pPr>
            <w:r>
              <w:rPr>
                <w:rFonts w:hint="eastAsia" w:ascii="宋体" w:hAnsi="宋体" w:cs="宋体"/>
                <w:bCs/>
                <w:color w:val="auto"/>
                <w:lang w:val="en-US" w:eastAsia="zh-CN"/>
              </w:rPr>
              <w:t>资质证书</w:t>
            </w:r>
          </w:p>
        </w:tc>
        <w:tc>
          <w:tcPr>
            <w:tcW w:w="6174" w:type="dxa"/>
            <w:noWrap/>
            <w:vAlign w:val="center"/>
          </w:tcPr>
          <w:p w14:paraId="5466E45B">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default"/>
                <w:color w:val="auto"/>
                <w:lang w:val="en-US" w:eastAsia="zh-CN"/>
              </w:rPr>
            </w:pPr>
            <w:r>
              <w:rPr>
                <w:rFonts w:hint="eastAsia" w:ascii="宋体" w:hAnsi="宋体" w:eastAsia="宋体" w:cs="宋体"/>
                <w:bCs/>
                <w:color w:val="auto"/>
                <w:szCs w:val="21"/>
                <w:highlight w:val="none"/>
                <w:lang w:val="zh-CN"/>
              </w:rPr>
              <w:t>供应商须具有中国林业工程建设协会颁发的林业调查规划设计乙级及以上资质证书；</w:t>
            </w:r>
            <w:r>
              <w:rPr>
                <w:rFonts w:hint="eastAsia" w:ascii="宋体" w:hAnsi="宋体" w:eastAsia="宋体" w:cs="宋体"/>
                <w:b/>
                <w:bCs w:val="0"/>
                <w:color w:val="auto"/>
                <w:lang w:val="en-US" w:eastAsia="zh-CN"/>
              </w:rPr>
              <w:t>响应文件</w:t>
            </w:r>
            <w:r>
              <w:rPr>
                <w:rFonts w:hint="eastAsia" w:ascii="宋体" w:hAnsi="宋体"/>
                <w:b/>
                <w:bCs/>
                <w:color w:val="auto"/>
                <w:kern w:val="0"/>
              </w:rPr>
              <w:t>内附复印件加盖公章。</w:t>
            </w:r>
          </w:p>
        </w:tc>
      </w:tr>
      <w:tr w14:paraId="2454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02" w:type="dxa"/>
            <w:shd w:val="clear" w:color="auto" w:fill="auto"/>
            <w:noWrap/>
            <w:vAlign w:val="center"/>
          </w:tcPr>
          <w:p w14:paraId="45649A14">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p>
        </w:tc>
        <w:tc>
          <w:tcPr>
            <w:tcW w:w="2362" w:type="dxa"/>
            <w:noWrap/>
            <w:vAlign w:val="center"/>
          </w:tcPr>
          <w:p w14:paraId="022ED06A">
            <w:pPr>
              <w:autoSpaceDE w:val="0"/>
              <w:autoSpaceDN w:val="0"/>
              <w:adjustRightInd w:val="0"/>
              <w:snapToGrid w:val="0"/>
              <w:spacing w:line="264" w:lineRule="auto"/>
              <w:jc w:val="center"/>
              <w:rPr>
                <w:rFonts w:hint="eastAsia" w:ascii="宋体" w:hAnsi="宋体" w:eastAsia="宋体" w:cs="宋体"/>
                <w:bCs/>
                <w:color w:val="auto"/>
                <w:lang w:val="en-US" w:eastAsia="zh-CN"/>
              </w:rPr>
            </w:pPr>
            <w:r>
              <w:rPr>
                <w:rFonts w:hint="eastAsia" w:ascii="宋体" w:hAnsi="宋体" w:cs="宋体"/>
                <w:bCs/>
                <w:color w:val="auto"/>
                <w:lang w:val="en-US" w:eastAsia="zh-CN"/>
              </w:rPr>
              <w:t>项目负责人</w:t>
            </w:r>
          </w:p>
        </w:tc>
        <w:tc>
          <w:tcPr>
            <w:tcW w:w="6174" w:type="dxa"/>
            <w:noWrap/>
            <w:vAlign w:val="center"/>
          </w:tcPr>
          <w:p w14:paraId="4E523E81">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default"/>
                <w:color w:val="auto"/>
                <w:lang w:val="en-US" w:eastAsia="zh-CN"/>
              </w:rPr>
            </w:pPr>
            <w:r>
              <w:rPr>
                <w:rFonts w:hint="eastAsia"/>
                <w:color w:val="auto"/>
                <w:lang w:val="en-US" w:eastAsia="zh-CN"/>
              </w:rPr>
              <w:t>供应商拟派出的</w:t>
            </w:r>
            <w:r>
              <w:rPr>
                <w:rFonts w:hint="eastAsia" w:ascii="宋体" w:hAnsi="宋体" w:eastAsia="宋体" w:cs="宋体"/>
                <w:bCs/>
                <w:color w:val="auto"/>
                <w:szCs w:val="21"/>
                <w:highlight w:val="none"/>
                <w:lang w:val="zh-CN"/>
              </w:rPr>
              <w:t>项目负责人须具有相关专业中级及以上职称</w:t>
            </w:r>
            <w:r>
              <w:rPr>
                <w:rFonts w:hint="eastAsia" w:ascii="宋体" w:hAnsi="宋体" w:eastAsia="宋体" w:cs="宋体"/>
                <w:bCs/>
                <w:color w:val="auto"/>
                <w:szCs w:val="21"/>
                <w:highlight w:val="none"/>
                <w:lang w:val="en-US" w:eastAsia="zh-CN"/>
              </w:rPr>
              <w:t>且应为供应商自有人员</w:t>
            </w:r>
            <w:r>
              <w:rPr>
                <w:rFonts w:hint="eastAsia" w:ascii="宋体" w:hAnsi="宋体" w:eastAsia="宋体" w:cs="宋体"/>
                <w:bCs/>
                <w:color w:val="auto"/>
                <w:szCs w:val="21"/>
                <w:highlight w:val="none"/>
                <w:lang w:val="zh-CN"/>
              </w:rPr>
              <w:t>；</w:t>
            </w:r>
            <w:r>
              <w:rPr>
                <w:rFonts w:hint="eastAsia" w:ascii="宋体" w:hAnsi="宋体" w:eastAsia="宋体" w:cs="宋体"/>
                <w:b/>
                <w:bCs w:val="0"/>
                <w:color w:val="auto"/>
                <w:lang w:val="en-US" w:eastAsia="zh-CN"/>
              </w:rPr>
              <w:t>响应文件</w:t>
            </w:r>
            <w:r>
              <w:rPr>
                <w:rFonts w:hint="eastAsia" w:ascii="宋体" w:hAnsi="宋体"/>
                <w:b/>
                <w:bCs/>
                <w:color w:val="auto"/>
                <w:kern w:val="0"/>
              </w:rPr>
              <w:t>内附</w:t>
            </w:r>
            <w:r>
              <w:rPr>
                <w:rFonts w:hint="eastAsia" w:ascii="宋体" w:hAnsi="宋体"/>
                <w:b/>
                <w:bCs/>
                <w:color w:val="auto"/>
                <w:kern w:val="0"/>
                <w:lang w:val="en-US" w:eastAsia="zh-CN"/>
              </w:rPr>
              <w:t>职称证及近半年社保证明</w:t>
            </w:r>
            <w:r>
              <w:rPr>
                <w:rFonts w:hint="eastAsia" w:ascii="宋体" w:hAnsi="宋体"/>
                <w:b/>
                <w:bCs/>
                <w:color w:val="auto"/>
                <w:kern w:val="0"/>
              </w:rPr>
              <w:t>复印件加盖公章。</w:t>
            </w:r>
          </w:p>
        </w:tc>
      </w:tr>
      <w:tr w14:paraId="5959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02" w:type="dxa"/>
            <w:shd w:val="clear" w:color="auto" w:fill="auto"/>
            <w:noWrap/>
            <w:vAlign w:val="center"/>
          </w:tcPr>
          <w:p w14:paraId="5A3B9280">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w:t>
            </w:r>
          </w:p>
        </w:tc>
        <w:tc>
          <w:tcPr>
            <w:tcW w:w="2362" w:type="dxa"/>
            <w:noWrap/>
            <w:vAlign w:val="center"/>
          </w:tcPr>
          <w:p w14:paraId="2F1DAB82">
            <w:pPr>
              <w:autoSpaceDE w:val="0"/>
              <w:autoSpaceDN w:val="0"/>
              <w:adjustRightInd w:val="0"/>
              <w:snapToGrid w:val="0"/>
              <w:spacing w:line="264" w:lineRule="auto"/>
              <w:jc w:val="center"/>
              <w:rPr>
                <w:rFonts w:hint="eastAsia" w:ascii="宋体" w:hAnsi="宋体" w:cs="宋体"/>
                <w:bCs/>
                <w:color w:val="auto"/>
                <w:szCs w:val="21"/>
              </w:rPr>
            </w:pPr>
            <w:r>
              <w:rPr>
                <w:rFonts w:hint="eastAsia" w:ascii="宋体" w:hAnsi="宋体" w:cs="宋体"/>
                <w:bCs/>
                <w:color w:val="auto"/>
                <w:szCs w:val="21"/>
              </w:rPr>
              <w:t>财务状况</w:t>
            </w:r>
          </w:p>
        </w:tc>
        <w:tc>
          <w:tcPr>
            <w:tcW w:w="6174" w:type="dxa"/>
            <w:noWrap/>
            <w:vAlign w:val="center"/>
          </w:tcPr>
          <w:p w14:paraId="6E4038E6">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具有良好的商业信誉和健全的财务会计制度，</w:t>
            </w:r>
            <w:r>
              <w:rPr>
                <w:rFonts w:hint="eastAsia" w:ascii="宋体" w:hAnsi="宋体" w:eastAsia="宋体" w:cs="宋体"/>
                <w:bCs/>
                <w:color w:val="auto"/>
                <w:szCs w:val="21"/>
                <w:highlight w:val="none"/>
                <w:lang w:val="zh-CN"/>
              </w:rPr>
              <w:t>提供近三年（2022年度-2024年度）经会计师事务所审计的财务审计报告（成立不足三年的企业需提供成立当年至2024年度财务审计报告；若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为2025年以后注册成立的公司，提供基本开户行出具的银行资信证明）</w:t>
            </w:r>
            <w:r>
              <w:rPr>
                <w:rFonts w:hint="eastAsia" w:ascii="宋体" w:hAnsi="宋体" w:cs="宋体"/>
                <w:color w:val="auto"/>
                <w:kern w:val="0"/>
                <w:szCs w:val="21"/>
                <w:lang w:bidi="ar"/>
              </w:rPr>
              <w:t>，</w:t>
            </w:r>
            <w:r>
              <w:rPr>
                <w:rFonts w:hint="eastAsia" w:ascii="宋体" w:hAnsi="宋体" w:eastAsia="宋体" w:cs="宋体"/>
                <w:b/>
                <w:bCs w:val="0"/>
                <w:color w:val="auto"/>
                <w:lang w:val="en-US" w:eastAsia="zh-CN"/>
              </w:rPr>
              <w:t>响应文件</w:t>
            </w:r>
            <w:r>
              <w:rPr>
                <w:rFonts w:hint="eastAsia" w:ascii="宋体" w:hAnsi="宋体"/>
                <w:b/>
                <w:bCs/>
                <w:color w:val="auto"/>
                <w:kern w:val="0"/>
              </w:rPr>
              <w:t>内</w:t>
            </w:r>
            <w:r>
              <w:rPr>
                <w:rFonts w:hint="eastAsia" w:ascii="宋体" w:hAnsi="宋体"/>
                <w:b/>
                <w:bCs/>
                <w:color w:val="auto"/>
                <w:kern w:val="0"/>
                <w:lang w:val="en-US" w:eastAsia="zh-CN"/>
              </w:rPr>
              <w:t>附</w:t>
            </w:r>
            <w:r>
              <w:rPr>
                <w:rFonts w:hint="eastAsia" w:ascii="宋体" w:hAnsi="宋体"/>
                <w:b/>
                <w:bCs/>
                <w:color w:val="auto"/>
                <w:kern w:val="0"/>
              </w:rPr>
              <w:t>复印件加盖公章。</w:t>
            </w:r>
          </w:p>
        </w:tc>
      </w:tr>
      <w:tr w14:paraId="6C5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02" w:type="dxa"/>
            <w:shd w:val="clear" w:color="auto" w:fill="auto"/>
            <w:noWrap/>
            <w:vAlign w:val="center"/>
          </w:tcPr>
          <w:p w14:paraId="37BD7DA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lang w:val="en-US" w:eastAsia="zh-CN"/>
              </w:rPr>
              <w:t>5</w:t>
            </w:r>
          </w:p>
        </w:tc>
        <w:tc>
          <w:tcPr>
            <w:tcW w:w="2362" w:type="dxa"/>
            <w:noWrap/>
            <w:vAlign w:val="center"/>
          </w:tcPr>
          <w:p w14:paraId="76601BA3">
            <w:pPr>
              <w:autoSpaceDE w:val="0"/>
              <w:autoSpaceDN w:val="0"/>
              <w:adjustRightInd w:val="0"/>
              <w:snapToGrid w:val="0"/>
              <w:spacing w:line="264"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有依法缴纳税收和社会保障资金的良好记录</w:t>
            </w:r>
          </w:p>
        </w:tc>
        <w:tc>
          <w:tcPr>
            <w:tcW w:w="6174" w:type="dxa"/>
            <w:noWrap/>
            <w:vAlign w:val="center"/>
          </w:tcPr>
          <w:p w14:paraId="4890F723">
            <w:pPr>
              <w:autoSpaceDE w:val="0"/>
              <w:autoSpaceDN w:val="0"/>
              <w:adjustRightInd w:val="0"/>
              <w:snapToGrid w:val="0"/>
              <w:spacing w:line="264" w:lineRule="auto"/>
              <w:rPr>
                <w:rFonts w:hint="eastAsia" w:ascii="宋体" w:hAnsi="宋体" w:eastAsia="宋体" w:cs="宋体"/>
                <w:bCs/>
                <w:color w:val="auto"/>
                <w:kern w:val="2"/>
                <w:sz w:val="21"/>
                <w:szCs w:val="21"/>
                <w:lang w:val="en-US" w:eastAsia="zh-CN" w:bidi="ar-SA"/>
              </w:rPr>
            </w:pPr>
            <w:r>
              <w:rPr>
                <w:rFonts w:hint="eastAsia" w:ascii="宋体" w:hAnsi="宋体" w:cs="宋体"/>
                <w:color w:val="auto"/>
                <w:kern w:val="0"/>
                <w:szCs w:val="21"/>
                <w:lang w:val="en-US" w:eastAsia="zh-CN" w:bidi="ar"/>
              </w:rPr>
              <w:t>提供2025年1月1日以后任意一个月的依法缴纳税收和社会保障资金良好记录的证明文件，依法免税免社会保障资金的，应提供相应证明文件</w:t>
            </w:r>
            <w:r>
              <w:rPr>
                <w:rFonts w:hint="eastAsia" w:ascii="宋体" w:hAnsi="宋体" w:cs="宋体"/>
                <w:color w:val="auto"/>
                <w:kern w:val="0"/>
                <w:szCs w:val="21"/>
                <w:lang w:bidi="ar"/>
              </w:rPr>
              <w:t>，</w:t>
            </w:r>
            <w:r>
              <w:rPr>
                <w:rFonts w:hint="eastAsia" w:ascii="宋体" w:hAnsi="宋体" w:eastAsia="宋体" w:cs="宋体"/>
                <w:b/>
                <w:bCs w:val="0"/>
                <w:color w:val="auto"/>
                <w:lang w:val="en-US" w:eastAsia="zh-CN"/>
              </w:rPr>
              <w:t>响应文件</w:t>
            </w:r>
            <w:r>
              <w:rPr>
                <w:rFonts w:hint="eastAsia" w:ascii="宋体" w:hAnsi="宋体" w:cs="宋体"/>
                <w:b/>
                <w:bCs/>
                <w:color w:val="auto"/>
                <w:kern w:val="0"/>
                <w:szCs w:val="21"/>
                <w:lang w:bidi="ar"/>
              </w:rPr>
              <w:t>内附复印件加盖公章</w:t>
            </w:r>
            <w:r>
              <w:rPr>
                <w:rFonts w:hint="eastAsia" w:ascii="宋体" w:hAnsi="宋体"/>
                <w:b/>
                <w:bCs/>
                <w:color w:val="auto"/>
                <w:kern w:val="0"/>
              </w:rPr>
              <w:t>。</w:t>
            </w:r>
          </w:p>
        </w:tc>
      </w:tr>
      <w:tr w14:paraId="6D88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2" w:type="dxa"/>
            <w:shd w:val="clear" w:color="auto" w:fill="auto"/>
            <w:noWrap/>
            <w:vAlign w:val="center"/>
          </w:tcPr>
          <w:p w14:paraId="577C728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6</w:t>
            </w:r>
          </w:p>
        </w:tc>
        <w:tc>
          <w:tcPr>
            <w:tcW w:w="2362" w:type="dxa"/>
            <w:noWrap/>
            <w:vAlign w:val="center"/>
          </w:tcPr>
          <w:p w14:paraId="1672FE72">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cs="宋体"/>
                <w:bCs/>
                <w:color w:val="auto"/>
                <w:szCs w:val="21"/>
                <w:highlight w:val="none"/>
                <w:lang w:val="en-US" w:eastAsia="zh-CN"/>
              </w:rPr>
            </w:pPr>
            <w:r>
              <w:rPr>
                <w:rFonts w:hint="eastAsia" w:ascii="宋体" w:hAnsi="宋体" w:eastAsia="宋体" w:cs="宋体"/>
                <w:bCs/>
                <w:color w:val="auto"/>
                <w:szCs w:val="21"/>
                <w:highlight w:val="none"/>
              </w:rPr>
              <w:t>具有履行合同所必需的设备和专业技术能力</w:t>
            </w:r>
          </w:p>
        </w:tc>
        <w:tc>
          <w:tcPr>
            <w:tcW w:w="6174" w:type="dxa"/>
            <w:noWrap/>
            <w:vAlign w:val="center"/>
          </w:tcPr>
          <w:p w14:paraId="7FD4BF57">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
                <w:bCs w:val="0"/>
                <w:color w:val="auto"/>
                <w:kern w:val="2"/>
                <w:sz w:val="21"/>
                <w:szCs w:val="21"/>
                <w:highlight w:val="cyan"/>
                <w:lang w:val="en-US" w:eastAsia="zh-CN" w:bidi="ar-SA"/>
              </w:rPr>
            </w:pPr>
            <w:r>
              <w:rPr>
                <w:rFonts w:hint="eastAsia" w:ascii="宋体" w:hAnsi="宋体" w:eastAsia="宋体" w:cs="宋体"/>
                <w:color w:val="auto"/>
                <w:szCs w:val="21"/>
              </w:rPr>
              <w:t>提供了可充分满足履行合同所需设备和专业技术能力的证明材料或承诺</w:t>
            </w:r>
            <w:r>
              <w:rPr>
                <w:rFonts w:hint="eastAsia" w:ascii="宋体" w:hAnsi="宋体" w:eastAsia="宋体" w:cs="宋体"/>
                <w:color w:val="auto"/>
                <w:szCs w:val="21"/>
                <w:lang w:eastAsia="zh-CN"/>
              </w:rPr>
              <w:t>。</w:t>
            </w:r>
          </w:p>
        </w:tc>
      </w:tr>
      <w:tr w14:paraId="79C6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02" w:type="dxa"/>
            <w:shd w:val="clear" w:color="auto" w:fill="auto"/>
            <w:noWrap/>
            <w:vAlign w:val="center"/>
          </w:tcPr>
          <w:p w14:paraId="628F2C3F">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7</w:t>
            </w:r>
          </w:p>
        </w:tc>
        <w:tc>
          <w:tcPr>
            <w:tcW w:w="2362" w:type="dxa"/>
            <w:noWrap/>
            <w:vAlign w:val="center"/>
          </w:tcPr>
          <w:p w14:paraId="4D5FC14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信誉要求</w:t>
            </w:r>
          </w:p>
        </w:tc>
        <w:tc>
          <w:tcPr>
            <w:tcW w:w="6174" w:type="dxa"/>
            <w:noWrap/>
            <w:vAlign w:val="center"/>
          </w:tcPr>
          <w:p w14:paraId="62693451">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①拒绝列入政府取消投标资格记录期间的企业或个人投标；</w:t>
            </w:r>
          </w:p>
          <w:p w14:paraId="04A052F2">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②</w:t>
            </w:r>
            <w:r>
              <w:rPr>
                <w:rFonts w:hint="eastAsia" w:ascii="宋体" w:hAnsi="宋体" w:eastAsia="宋体" w:cs="宋体"/>
                <w:color w:val="auto"/>
                <w:kern w:val="0"/>
                <w:szCs w:val="21"/>
                <w:highlight w:val="none"/>
                <w:lang w:eastAsia="zh-CN" w:bidi="ar"/>
              </w:rPr>
              <w:t>未被</w:t>
            </w:r>
            <w:r>
              <w:rPr>
                <w:rFonts w:hint="eastAsia" w:ascii="宋体" w:hAnsi="宋体" w:eastAsia="宋体" w:cs="宋体"/>
                <w:color w:val="auto"/>
                <w:kern w:val="0"/>
                <w:szCs w:val="21"/>
                <w:highlight w:val="none"/>
                <w:lang w:bidi="ar"/>
              </w:rPr>
              <w:t>“中国政府采购网”列入政府采购严重违法失信行为记录名单；</w:t>
            </w:r>
          </w:p>
          <w:p w14:paraId="5A2AAF6A">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③</w:t>
            </w:r>
            <w:r>
              <w:rPr>
                <w:rFonts w:hint="eastAsia" w:ascii="宋体" w:hAnsi="宋体" w:eastAsia="宋体" w:cs="宋体"/>
                <w:color w:val="auto"/>
                <w:kern w:val="0"/>
                <w:szCs w:val="21"/>
                <w:highlight w:val="none"/>
                <w:lang w:eastAsia="zh-CN" w:bidi="ar"/>
              </w:rPr>
              <w:t>未</w:t>
            </w:r>
            <w:r>
              <w:rPr>
                <w:rFonts w:hint="eastAsia" w:ascii="宋体" w:hAnsi="宋体" w:eastAsia="宋体" w:cs="宋体"/>
                <w:color w:val="auto"/>
                <w:kern w:val="0"/>
                <w:szCs w:val="21"/>
                <w:highlight w:val="none"/>
                <w:lang w:bidi="ar"/>
              </w:rPr>
              <w:t>被“信用中国”网站中列入失信被执行人或重大税收违法</w:t>
            </w:r>
            <w:r>
              <w:rPr>
                <w:rFonts w:hint="eastAsia" w:ascii="宋体" w:hAnsi="宋体" w:cs="宋体"/>
                <w:color w:val="auto"/>
                <w:kern w:val="0"/>
                <w:szCs w:val="21"/>
                <w:highlight w:val="none"/>
                <w:lang w:val="en-US" w:eastAsia="zh-CN" w:bidi="ar"/>
              </w:rPr>
              <w:t>失信主体</w:t>
            </w:r>
            <w:r>
              <w:rPr>
                <w:rFonts w:hint="eastAsia" w:ascii="宋体" w:hAnsi="宋体" w:eastAsia="宋体" w:cs="宋体"/>
                <w:color w:val="auto"/>
                <w:kern w:val="0"/>
                <w:szCs w:val="21"/>
                <w:highlight w:val="none"/>
                <w:lang w:bidi="ar"/>
              </w:rPr>
              <w:t>；</w:t>
            </w:r>
          </w:p>
          <w:p w14:paraId="28E60D64">
            <w:pPr>
              <w:widowControl/>
              <w:spacing w:line="23" w:lineRule="atLeast"/>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④</w:t>
            </w:r>
            <w:r>
              <w:rPr>
                <w:rFonts w:hint="eastAsia" w:ascii="宋体" w:hAnsi="宋体"/>
                <w:color w:val="auto"/>
              </w:rPr>
              <w:t>参加政府采购活动前三年内，在经营活动中没有重大违法记录</w:t>
            </w:r>
            <w:r>
              <w:rPr>
                <w:rFonts w:hint="eastAsia" w:ascii="宋体" w:hAnsi="宋体" w:eastAsia="宋体" w:cs="宋体"/>
                <w:color w:val="auto"/>
                <w:kern w:val="0"/>
                <w:szCs w:val="21"/>
                <w:highlight w:val="none"/>
                <w:lang w:bidi="ar"/>
              </w:rPr>
              <w:t>；</w:t>
            </w:r>
          </w:p>
          <w:p w14:paraId="0DC2875E">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kern w:val="0"/>
                <w:szCs w:val="21"/>
              </w:rPr>
              <w:t>提供由法定代表人或其委托代理人签字或盖章并加盖公章的承诺书。</w:t>
            </w:r>
          </w:p>
        </w:tc>
      </w:tr>
      <w:tr w14:paraId="6DC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2" w:type="dxa"/>
            <w:shd w:val="clear" w:color="auto" w:fill="auto"/>
            <w:noWrap/>
            <w:vAlign w:val="center"/>
          </w:tcPr>
          <w:p w14:paraId="4D6D3DA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8</w:t>
            </w:r>
          </w:p>
        </w:tc>
        <w:tc>
          <w:tcPr>
            <w:tcW w:w="2362" w:type="dxa"/>
            <w:noWrap/>
            <w:vAlign w:val="center"/>
          </w:tcPr>
          <w:p w14:paraId="1E9A71F8">
            <w:pPr>
              <w:adjustRightInd w:val="0"/>
              <w:snapToGrid w:val="0"/>
              <w:jc w:val="center"/>
              <w:rPr>
                <w:rFonts w:hint="eastAsia" w:ascii="宋体" w:hAnsi="宋体" w:eastAsia="宋体" w:cs="宋体"/>
                <w:color w:val="auto"/>
                <w:kern w:val="2"/>
                <w:sz w:val="21"/>
                <w:lang w:val="en-US" w:eastAsia="zh-CN" w:bidi="ar-SA"/>
              </w:rPr>
            </w:pPr>
            <w:r>
              <w:rPr>
                <w:rFonts w:hint="eastAsia" w:ascii="宋体" w:hAnsi="宋体" w:cs="宋体"/>
                <w:color w:val="auto"/>
              </w:rPr>
              <w:t>联合体投标</w:t>
            </w:r>
          </w:p>
        </w:tc>
        <w:tc>
          <w:tcPr>
            <w:tcW w:w="6174" w:type="dxa"/>
            <w:noWrap/>
            <w:vAlign w:val="center"/>
          </w:tcPr>
          <w:p w14:paraId="2644EFD1">
            <w:pPr>
              <w:adjustRightInd w:val="0"/>
              <w:snapToGrid w:val="0"/>
              <w:rPr>
                <w:rFonts w:hint="eastAsia" w:ascii="宋体" w:hAnsi="宋体" w:eastAsia="宋体" w:cs="宋体"/>
                <w:b/>
                <w:color w:val="auto"/>
                <w:kern w:val="0"/>
                <w:sz w:val="21"/>
                <w:szCs w:val="21"/>
                <w:lang w:val="en-US" w:eastAsia="zh-CN" w:bidi="ar-SA"/>
              </w:rPr>
            </w:pPr>
            <w:r>
              <w:rPr>
                <w:rFonts w:hint="eastAsia" w:ascii="宋体" w:hAnsi="宋体" w:cs="宋体"/>
                <w:bCs/>
                <w:color w:val="auto"/>
                <w:kern w:val="0"/>
                <w:szCs w:val="21"/>
              </w:rPr>
              <w:t>本项目不接受联合体投标</w:t>
            </w:r>
          </w:p>
        </w:tc>
      </w:tr>
      <w:tr w14:paraId="0047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2" w:type="dxa"/>
            <w:shd w:val="clear" w:color="auto" w:fill="auto"/>
            <w:noWrap/>
            <w:vAlign w:val="center"/>
          </w:tcPr>
          <w:p w14:paraId="0051F1C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9</w:t>
            </w:r>
          </w:p>
        </w:tc>
        <w:tc>
          <w:tcPr>
            <w:tcW w:w="2362" w:type="dxa"/>
            <w:noWrap/>
            <w:vAlign w:val="center"/>
          </w:tcPr>
          <w:p w14:paraId="57E99995">
            <w:pPr>
              <w:adjustRightInd w:val="0"/>
              <w:snapToGrid w:val="0"/>
              <w:jc w:val="center"/>
              <w:rPr>
                <w:rFonts w:hint="eastAsia" w:ascii="宋体" w:hAnsi="宋体" w:cs="宋体"/>
                <w:color w:val="auto"/>
              </w:rPr>
            </w:pPr>
            <w:r>
              <w:rPr>
                <w:rFonts w:hint="eastAsia" w:ascii="宋体" w:hAnsi="宋体" w:cs="宋体"/>
                <w:color w:val="auto"/>
              </w:rPr>
              <w:t>其他要求</w:t>
            </w:r>
          </w:p>
        </w:tc>
        <w:tc>
          <w:tcPr>
            <w:tcW w:w="6174" w:type="dxa"/>
            <w:noWrap/>
            <w:vAlign w:val="center"/>
          </w:tcPr>
          <w:p w14:paraId="3C066C86">
            <w:pPr>
              <w:adjustRightInd w:val="0"/>
              <w:snapToGrid w:val="0"/>
              <w:rPr>
                <w:rFonts w:hint="eastAsia" w:ascii="宋体" w:hAnsi="宋体" w:eastAsia="宋体" w:cs="宋体"/>
                <w:bCs/>
                <w:color w:val="auto"/>
                <w:kern w:val="0"/>
                <w:szCs w:val="21"/>
                <w:lang w:eastAsia="zh-CN"/>
              </w:rPr>
            </w:pPr>
            <w:r>
              <w:rPr>
                <w:rFonts w:hint="eastAsia" w:ascii="宋体" w:hAnsi="宋体" w:eastAsia="宋体" w:cs="宋体"/>
                <w:color w:val="auto"/>
                <w:kern w:val="0"/>
                <w:szCs w:val="21"/>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color w:val="auto"/>
                <w:kern w:val="0"/>
                <w:szCs w:val="21"/>
                <w:highlight w:val="none"/>
                <w:lang w:bidi="ar"/>
              </w:rPr>
              <w:t>。</w:t>
            </w:r>
            <w:r>
              <w:rPr>
                <w:rFonts w:hint="eastAsia" w:ascii="宋体" w:hAnsi="宋体" w:cs="宋体"/>
                <w:b/>
                <w:color w:val="auto"/>
                <w:szCs w:val="21"/>
              </w:rPr>
              <w:t>提供由法定代表人或其委托代理人签字或盖章并加盖公章的承诺书</w:t>
            </w:r>
            <w:r>
              <w:rPr>
                <w:rFonts w:hint="eastAsia" w:ascii="宋体" w:hAnsi="宋体" w:cs="宋体"/>
                <w:b/>
                <w:bCs/>
                <w:color w:val="auto"/>
                <w:szCs w:val="21"/>
              </w:rPr>
              <w:t>。</w:t>
            </w:r>
          </w:p>
        </w:tc>
      </w:tr>
      <w:tr w14:paraId="3B6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2" w:type="dxa"/>
            <w:noWrap/>
            <w:vAlign w:val="center"/>
          </w:tcPr>
          <w:p w14:paraId="35228F44">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2362" w:type="dxa"/>
            <w:noWrap/>
            <w:vAlign w:val="center"/>
          </w:tcPr>
          <w:p w14:paraId="5B7D7D72">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法律、行政法规规定的其他条件</w:t>
            </w:r>
          </w:p>
        </w:tc>
        <w:tc>
          <w:tcPr>
            <w:tcW w:w="6174" w:type="dxa"/>
            <w:noWrap/>
            <w:vAlign w:val="center"/>
          </w:tcPr>
          <w:p w14:paraId="2BBA0743">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不存在违反法律、法规的情况</w:t>
            </w:r>
          </w:p>
        </w:tc>
      </w:tr>
    </w:tbl>
    <w:p w14:paraId="565BA388">
      <w:pPr>
        <w:rPr>
          <w:rFonts w:hint="eastAsia" w:ascii="宋体" w:hAnsi="宋体" w:eastAsia="宋体" w:cs="宋体"/>
          <w:b/>
          <w:color w:val="auto"/>
          <w:szCs w:val="21"/>
        </w:rPr>
      </w:pPr>
      <w:r>
        <w:rPr>
          <w:rFonts w:hint="eastAsia" w:ascii="宋体" w:hAnsi="宋体" w:eastAsia="宋体" w:cs="宋体"/>
          <w:b/>
          <w:color w:val="auto"/>
          <w:szCs w:val="21"/>
        </w:rPr>
        <w:br w:type="page"/>
      </w:r>
    </w:p>
    <w:p w14:paraId="2B7ED9AF">
      <w:pPr>
        <w:pStyle w:val="14"/>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符合性审查表</w:t>
      </w:r>
    </w:p>
    <w:tbl>
      <w:tblPr>
        <w:tblStyle w:val="3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333"/>
        <w:gridCol w:w="6454"/>
      </w:tblGrid>
      <w:tr w14:paraId="7C49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noWrap/>
            <w:vAlign w:val="center"/>
          </w:tcPr>
          <w:p w14:paraId="783C8161">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序号</w:t>
            </w:r>
          </w:p>
        </w:tc>
        <w:tc>
          <w:tcPr>
            <w:tcW w:w="2333" w:type="dxa"/>
            <w:noWrap/>
            <w:vAlign w:val="center"/>
          </w:tcPr>
          <w:p w14:paraId="1B06D8C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评审因素</w:t>
            </w:r>
          </w:p>
        </w:tc>
        <w:tc>
          <w:tcPr>
            <w:tcW w:w="6454" w:type="dxa"/>
            <w:noWrap/>
            <w:vAlign w:val="center"/>
          </w:tcPr>
          <w:p w14:paraId="349EFE77">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评审标准</w:t>
            </w:r>
          </w:p>
        </w:tc>
      </w:tr>
      <w:tr w14:paraId="5CAE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32" w:type="dxa"/>
            <w:noWrap/>
            <w:vAlign w:val="center"/>
          </w:tcPr>
          <w:p w14:paraId="11D62F47">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2333" w:type="dxa"/>
            <w:noWrap/>
            <w:vAlign w:val="center"/>
          </w:tcPr>
          <w:p w14:paraId="19B8652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供应商名称</w:t>
            </w:r>
          </w:p>
        </w:tc>
        <w:tc>
          <w:tcPr>
            <w:tcW w:w="6454" w:type="dxa"/>
            <w:noWrap/>
            <w:vAlign w:val="center"/>
          </w:tcPr>
          <w:p w14:paraId="06BB253E">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与磋商文件获取、营业执照</w:t>
            </w:r>
            <w:r>
              <w:rPr>
                <w:rFonts w:hint="eastAsia" w:ascii="宋体" w:hAnsi="宋体" w:cs="宋体"/>
                <w:color w:val="auto"/>
                <w:lang w:val="en-US" w:eastAsia="zh-CN"/>
              </w:rPr>
              <w:t>等证明文件</w:t>
            </w:r>
            <w:r>
              <w:rPr>
                <w:rFonts w:hint="eastAsia" w:ascii="宋体" w:hAnsi="宋体" w:eastAsia="宋体" w:cs="宋体"/>
                <w:bCs/>
                <w:color w:val="auto"/>
                <w:szCs w:val="21"/>
                <w:highlight w:val="none"/>
                <w:lang w:val="zh-CN"/>
              </w:rPr>
              <w:t>一致（</w:t>
            </w:r>
            <w:r>
              <w:rPr>
                <w:rFonts w:hint="eastAsia" w:ascii="宋体" w:hAnsi="宋体" w:eastAsia="宋体" w:cs="宋体"/>
                <w:color w:val="auto"/>
                <w:szCs w:val="21"/>
                <w:highlight w:val="none"/>
              </w:rPr>
              <w:t>符合法定工商变更程序除外</w:t>
            </w:r>
            <w:r>
              <w:rPr>
                <w:rFonts w:hint="eastAsia" w:ascii="宋体" w:hAnsi="宋体" w:eastAsia="宋体" w:cs="宋体"/>
                <w:bCs/>
                <w:color w:val="auto"/>
                <w:szCs w:val="21"/>
                <w:highlight w:val="none"/>
                <w:lang w:val="zh-CN"/>
              </w:rPr>
              <w:t>）</w:t>
            </w:r>
          </w:p>
        </w:tc>
      </w:tr>
      <w:tr w14:paraId="4AA6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2CB51040">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2333" w:type="dxa"/>
            <w:noWrap/>
            <w:vAlign w:val="center"/>
          </w:tcPr>
          <w:p w14:paraId="761301F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签字盖章</w:t>
            </w:r>
          </w:p>
        </w:tc>
        <w:tc>
          <w:tcPr>
            <w:tcW w:w="6454" w:type="dxa"/>
            <w:noWrap/>
            <w:vAlign w:val="center"/>
          </w:tcPr>
          <w:p w14:paraId="55A3C0A3">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符合磋商文件要求</w:t>
            </w:r>
          </w:p>
        </w:tc>
      </w:tr>
      <w:tr w14:paraId="4941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2" w:type="dxa"/>
            <w:noWrap/>
            <w:vAlign w:val="center"/>
          </w:tcPr>
          <w:p w14:paraId="134C845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2333" w:type="dxa"/>
            <w:noWrap/>
            <w:vAlign w:val="center"/>
          </w:tcPr>
          <w:p w14:paraId="2616C14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cs="宋体"/>
                <w:color w:val="auto"/>
              </w:rPr>
              <w:t>报价唯一</w:t>
            </w:r>
          </w:p>
        </w:tc>
        <w:tc>
          <w:tcPr>
            <w:tcW w:w="6454" w:type="dxa"/>
            <w:noWrap/>
            <w:vAlign w:val="center"/>
          </w:tcPr>
          <w:p w14:paraId="2E26BCBC">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rPr>
              <w:t>只能有一个有效报价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且</w:t>
            </w:r>
            <w:r>
              <w:rPr>
                <w:rFonts w:hint="eastAsia" w:ascii="宋体" w:hAnsi="宋体" w:eastAsia="宋体" w:cs="宋体"/>
                <w:color w:val="auto"/>
                <w:szCs w:val="21"/>
              </w:rPr>
              <w:t>报价未超过</w:t>
            </w:r>
            <w:r>
              <w:rPr>
                <w:rFonts w:hint="eastAsia" w:ascii="宋体" w:hAnsi="宋体" w:cs="宋体"/>
                <w:b w:val="0"/>
                <w:bCs w:val="0"/>
                <w:color w:val="auto"/>
                <w:kern w:val="0"/>
                <w:szCs w:val="21"/>
                <w:highlight w:val="none"/>
                <w:lang w:val="en-US" w:eastAsia="zh-CN" w:bidi="ar"/>
              </w:rPr>
              <w:t>最高限价</w:t>
            </w:r>
          </w:p>
        </w:tc>
      </w:tr>
      <w:tr w14:paraId="5CF6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2E3128BA">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color w:val="auto"/>
                <w:kern w:val="2"/>
                <w:sz w:val="21"/>
                <w:lang w:val="en-US" w:eastAsia="zh-CN" w:bidi="ar-SA"/>
              </w:rPr>
            </w:pPr>
            <w:r>
              <w:rPr>
                <w:rFonts w:hint="eastAsia" w:ascii="宋体" w:hAnsi="宋体" w:cs="宋体"/>
                <w:color w:val="auto"/>
                <w:lang w:val="en-US" w:eastAsia="zh-CN"/>
              </w:rPr>
              <w:t>4</w:t>
            </w:r>
          </w:p>
        </w:tc>
        <w:tc>
          <w:tcPr>
            <w:tcW w:w="2333" w:type="dxa"/>
            <w:noWrap/>
            <w:vAlign w:val="center"/>
          </w:tcPr>
          <w:p w14:paraId="54D3C20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响应文件格式</w:t>
            </w:r>
          </w:p>
        </w:tc>
        <w:tc>
          <w:tcPr>
            <w:tcW w:w="6454" w:type="dxa"/>
            <w:noWrap/>
            <w:vAlign w:val="center"/>
          </w:tcPr>
          <w:p w14:paraId="3CF0C743">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符合第六章“响应文件构成、要求及格式”的要求</w:t>
            </w:r>
          </w:p>
        </w:tc>
      </w:tr>
      <w:tr w14:paraId="306B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2" w:type="dxa"/>
            <w:noWrap/>
            <w:vAlign w:val="center"/>
          </w:tcPr>
          <w:p w14:paraId="42D7553E">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c>
          <w:tcPr>
            <w:tcW w:w="2333" w:type="dxa"/>
            <w:noWrap/>
            <w:vAlign w:val="center"/>
          </w:tcPr>
          <w:p w14:paraId="087A533A">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合同履约期限</w:t>
            </w:r>
          </w:p>
        </w:tc>
        <w:tc>
          <w:tcPr>
            <w:tcW w:w="6454" w:type="dxa"/>
            <w:noWrap/>
            <w:vAlign w:val="center"/>
          </w:tcPr>
          <w:p w14:paraId="5DD4084B">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自委托协议签订之日起6个月内完成使用林地可行性报告编制；取得使用林地审核同意书后1个月内完成国家重点保护野生植物采集（补植）方案、采伐调查设计资料。</w:t>
            </w:r>
          </w:p>
        </w:tc>
      </w:tr>
      <w:tr w14:paraId="2E3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55CF4BA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6</w:t>
            </w:r>
          </w:p>
        </w:tc>
        <w:tc>
          <w:tcPr>
            <w:tcW w:w="2333" w:type="dxa"/>
            <w:noWrap/>
            <w:vAlign w:val="center"/>
          </w:tcPr>
          <w:p w14:paraId="05CEC62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lang w:val="en-US" w:eastAsia="zh-CN"/>
              </w:rPr>
              <w:t>质量要求</w:t>
            </w:r>
          </w:p>
        </w:tc>
        <w:tc>
          <w:tcPr>
            <w:tcW w:w="6454" w:type="dxa"/>
            <w:noWrap/>
            <w:vAlign w:val="center"/>
          </w:tcPr>
          <w:p w14:paraId="7337FDE2">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eastAsia="zh-CN"/>
              </w:rPr>
            </w:pPr>
            <w:r>
              <w:rPr>
                <w:rFonts w:hint="eastAsia" w:ascii="宋体" w:hAnsi="宋体" w:cs="宋体"/>
                <w:color w:val="auto"/>
                <w:highlight w:val="none"/>
                <w:lang w:eastAsia="zh-CN"/>
              </w:rPr>
              <w:t>符合国家现行相关规范合格标准</w:t>
            </w:r>
            <w:r>
              <w:rPr>
                <w:rFonts w:hint="eastAsia" w:ascii="宋体" w:hAnsi="宋体" w:cs="宋体"/>
                <w:color w:val="auto"/>
                <w:highlight w:val="none"/>
                <w:lang w:val="en-US" w:eastAsia="zh-CN"/>
              </w:rPr>
              <w:t>及采购人要求</w:t>
            </w:r>
          </w:p>
        </w:tc>
      </w:tr>
      <w:tr w14:paraId="053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598C4E4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7</w:t>
            </w:r>
          </w:p>
        </w:tc>
        <w:tc>
          <w:tcPr>
            <w:tcW w:w="2333" w:type="dxa"/>
            <w:noWrap/>
            <w:vAlign w:val="center"/>
          </w:tcPr>
          <w:p w14:paraId="248DB960">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454" w:type="dxa"/>
            <w:noWrap/>
            <w:vAlign w:val="center"/>
          </w:tcPr>
          <w:p w14:paraId="3209F5EA">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w:t>
            </w:r>
            <w:r>
              <w:rPr>
                <w:rFonts w:hint="eastAsia" w:ascii="宋体" w:hAnsi="宋体" w:eastAsia="宋体" w:cs="宋体"/>
                <w:bCs/>
                <w:color w:val="auto"/>
                <w:szCs w:val="21"/>
                <w:highlight w:val="none"/>
                <w:lang w:val="en-US" w:eastAsia="zh-CN"/>
              </w:rPr>
              <w:t>起</w:t>
            </w:r>
            <w:r>
              <w:rPr>
                <w:rFonts w:hint="eastAsia" w:ascii="宋体" w:hAnsi="宋体" w:eastAsia="宋体" w:cs="宋体"/>
                <w:bCs/>
                <w:color w:val="auto"/>
                <w:szCs w:val="21"/>
                <w:highlight w:val="none"/>
                <w:lang w:val="zh-CN"/>
              </w:rPr>
              <w:t>90天（日历天）</w:t>
            </w:r>
          </w:p>
        </w:tc>
      </w:tr>
      <w:tr w14:paraId="207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7FB9A31A">
            <w:pPr>
              <w:keepNext w:val="0"/>
              <w:keepLines w:val="0"/>
              <w:pageBreakBefore w:val="0"/>
              <w:widowControl w:val="0"/>
              <w:kinsoku/>
              <w:wordWrap/>
              <w:overflowPunct/>
              <w:topLinePunct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2333" w:type="dxa"/>
            <w:noWrap/>
            <w:vAlign w:val="center"/>
          </w:tcPr>
          <w:p w14:paraId="76571A95">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yellow"/>
                <w:lang w:val="zh-CN"/>
              </w:rPr>
            </w:pPr>
            <w:r>
              <w:rPr>
                <w:rFonts w:hint="eastAsia" w:ascii="宋体" w:hAnsi="宋体" w:cs="宋体"/>
                <w:bCs/>
                <w:color w:val="auto"/>
                <w:szCs w:val="21"/>
                <w:highlight w:val="none"/>
                <w:lang w:val="zh-CN"/>
              </w:rPr>
              <w:t>服务地点</w:t>
            </w:r>
          </w:p>
        </w:tc>
        <w:tc>
          <w:tcPr>
            <w:tcW w:w="6454" w:type="dxa"/>
            <w:noWrap/>
            <w:vAlign w:val="center"/>
          </w:tcPr>
          <w:p w14:paraId="32B0AF5E">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yellow"/>
                <w:lang w:val="en-US" w:eastAsia="zh-CN"/>
              </w:rPr>
            </w:pPr>
            <w:r>
              <w:rPr>
                <w:rFonts w:hint="eastAsia" w:ascii="宋体" w:hAnsi="宋体" w:cs="宋体"/>
                <w:color w:val="auto"/>
                <w:kern w:val="0"/>
                <w:szCs w:val="21"/>
                <w:lang w:eastAsia="zh-CN" w:bidi="ar"/>
              </w:rPr>
              <w:t>临江市</w:t>
            </w:r>
          </w:p>
        </w:tc>
      </w:tr>
      <w:tr w14:paraId="6C5F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2" w:type="dxa"/>
            <w:noWrap/>
            <w:vAlign w:val="center"/>
          </w:tcPr>
          <w:p w14:paraId="5CB6A1B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c>
          <w:tcPr>
            <w:tcW w:w="2333" w:type="dxa"/>
            <w:noWrap/>
            <w:vAlign w:val="center"/>
          </w:tcPr>
          <w:p w14:paraId="519377FC">
            <w:pPr>
              <w:autoSpaceDE w:val="0"/>
              <w:autoSpaceDN w:val="0"/>
              <w:adjustRightInd w:val="0"/>
              <w:spacing w:line="320" w:lineRule="exact"/>
              <w:jc w:val="center"/>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eastAsia="zh-CN"/>
              </w:rPr>
              <w:t>采购需求</w:t>
            </w:r>
          </w:p>
        </w:tc>
        <w:tc>
          <w:tcPr>
            <w:tcW w:w="6454" w:type="dxa"/>
            <w:noWrap/>
            <w:vAlign w:val="center"/>
          </w:tcPr>
          <w:p w14:paraId="0FFBCA24">
            <w:pPr>
              <w:autoSpaceDE w:val="0"/>
              <w:autoSpaceDN w:val="0"/>
              <w:adjustRightIn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lang w:eastAsia="zh-CN"/>
              </w:rPr>
              <w:t>不允许负偏离</w:t>
            </w:r>
            <w:r>
              <w:rPr>
                <w:rFonts w:hint="eastAsia" w:ascii="宋体" w:hAnsi="宋体" w:cs="宋体"/>
                <w:bCs/>
                <w:color w:val="auto"/>
                <w:kern w:val="0"/>
                <w:szCs w:val="21"/>
                <w:highlight w:val="none"/>
                <w:lang w:eastAsia="zh-CN"/>
              </w:rPr>
              <w:t>，满足“第五章</w:t>
            </w:r>
            <w:r>
              <w:rPr>
                <w:rFonts w:hint="eastAsia" w:ascii="宋体" w:hAnsi="宋体" w:cs="宋体"/>
                <w:bCs/>
                <w:color w:val="auto"/>
                <w:kern w:val="0"/>
                <w:szCs w:val="21"/>
                <w:highlight w:val="none"/>
                <w:lang w:val="en-US" w:eastAsia="zh-CN"/>
              </w:rPr>
              <w:t xml:space="preserve"> 采购需求</w:t>
            </w:r>
            <w:r>
              <w:rPr>
                <w:rFonts w:hint="eastAsia" w:ascii="宋体" w:hAnsi="宋体" w:cs="宋体"/>
                <w:bCs/>
                <w:color w:val="auto"/>
                <w:kern w:val="0"/>
                <w:szCs w:val="21"/>
                <w:highlight w:val="none"/>
                <w:lang w:eastAsia="zh-CN"/>
              </w:rPr>
              <w:t>”</w:t>
            </w:r>
          </w:p>
        </w:tc>
      </w:tr>
      <w:tr w14:paraId="5176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noWrap/>
            <w:vAlign w:val="center"/>
          </w:tcPr>
          <w:p w14:paraId="4792145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w:t>
            </w:r>
          </w:p>
        </w:tc>
        <w:tc>
          <w:tcPr>
            <w:tcW w:w="2333" w:type="dxa"/>
            <w:noWrap/>
            <w:vAlign w:val="center"/>
          </w:tcPr>
          <w:p w14:paraId="19F84B4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其他要求</w:t>
            </w:r>
          </w:p>
        </w:tc>
        <w:tc>
          <w:tcPr>
            <w:tcW w:w="6454" w:type="dxa"/>
            <w:noWrap/>
            <w:vAlign w:val="center"/>
          </w:tcPr>
          <w:p w14:paraId="1E6DE99C">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满足磋商文件其他实质性要求及相关法律法规规定</w:t>
            </w:r>
          </w:p>
        </w:tc>
      </w:tr>
    </w:tbl>
    <w:p w14:paraId="5476D0B0">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color w:val="auto"/>
          <w:sz w:val="30"/>
          <w:szCs w:val="30"/>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0"/>
          <w:szCs w:val="30"/>
          <w:lang w:val="zh-CN"/>
        </w:rPr>
        <w:t>评</w:t>
      </w:r>
      <w:r>
        <w:rPr>
          <w:rFonts w:hint="eastAsia" w:ascii="宋体" w:hAnsi="宋体" w:eastAsia="宋体" w:cs="宋体"/>
          <w:b/>
          <w:color w:val="auto"/>
          <w:sz w:val="30"/>
          <w:szCs w:val="30"/>
          <w:lang w:val="en-US" w:eastAsia="zh-CN"/>
        </w:rPr>
        <w:t>标</w:t>
      </w:r>
      <w:r>
        <w:rPr>
          <w:rFonts w:hint="eastAsia" w:ascii="宋体" w:hAnsi="宋体" w:cs="宋体"/>
          <w:b/>
          <w:color w:val="auto"/>
          <w:sz w:val="30"/>
          <w:szCs w:val="30"/>
          <w:lang w:val="en-US" w:eastAsia="zh-CN"/>
        </w:rPr>
        <w:t>方法</w:t>
      </w:r>
      <w:r>
        <w:rPr>
          <w:rFonts w:hint="eastAsia" w:ascii="宋体" w:hAnsi="宋体" w:eastAsia="宋体" w:cs="宋体"/>
          <w:b/>
          <w:color w:val="auto"/>
          <w:sz w:val="30"/>
          <w:szCs w:val="30"/>
        </w:rPr>
        <w:t>前附表（二）</w:t>
      </w:r>
    </w:p>
    <w:tbl>
      <w:tblPr>
        <w:tblStyle w:val="34"/>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84"/>
        <w:gridCol w:w="1403"/>
        <w:gridCol w:w="6440"/>
      </w:tblGrid>
      <w:tr w14:paraId="2041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83" w:type="dxa"/>
            <w:gridSpan w:val="2"/>
            <w:vAlign w:val="center"/>
          </w:tcPr>
          <w:p w14:paraId="735DEDA5">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条款号</w:t>
            </w:r>
          </w:p>
        </w:tc>
        <w:tc>
          <w:tcPr>
            <w:tcW w:w="1403" w:type="dxa"/>
            <w:vAlign w:val="center"/>
          </w:tcPr>
          <w:p w14:paraId="297ADE6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条款内容</w:t>
            </w:r>
          </w:p>
        </w:tc>
        <w:tc>
          <w:tcPr>
            <w:tcW w:w="6440" w:type="dxa"/>
            <w:vAlign w:val="center"/>
          </w:tcPr>
          <w:p w14:paraId="69B147E9">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编列内容</w:t>
            </w:r>
          </w:p>
        </w:tc>
      </w:tr>
      <w:tr w14:paraId="19D2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83" w:type="dxa"/>
            <w:gridSpan w:val="2"/>
            <w:vAlign w:val="center"/>
          </w:tcPr>
          <w:p w14:paraId="4D8A5DFA">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2.2.1</w:t>
            </w:r>
          </w:p>
        </w:tc>
        <w:tc>
          <w:tcPr>
            <w:tcW w:w="1403" w:type="dxa"/>
            <w:vAlign w:val="center"/>
          </w:tcPr>
          <w:p w14:paraId="439EA3F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分值构成</w:t>
            </w:r>
          </w:p>
          <w:p w14:paraId="7EF2B092">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(总分100分)</w:t>
            </w:r>
          </w:p>
        </w:tc>
        <w:tc>
          <w:tcPr>
            <w:tcW w:w="6440" w:type="dxa"/>
            <w:vAlign w:val="center"/>
          </w:tcPr>
          <w:p w14:paraId="2E733F8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olor w:val="auto"/>
                <w:highlight w:val="none"/>
              </w:rPr>
            </w:pPr>
            <w:r>
              <w:rPr>
                <w:rFonts w:ascii="宋体" w:hAnsi="宋体"/>
                <w:color w:val="auto"/>
                <w:highlight w:val="none"/>
              </w:rPr>
              <w:t>报价</w:t>
            </w:r>
            <w:r>
              <w:rPr>
                <w:rFonts w:hint="eastAsia" w:ascii="宋体" w:hAnsi="宋体"/>
                <w:color w:val="auto"/>
                <w:highlight w:val="none"/>
              </w:rPr>
              <w:t>部分</w:t>
            </w:r>
            <w:r>
              <w:rPr>
                <w:rFonts w:ascii="宋体" w:hAnsi="宋体"/>
                <w:color w:val="auto"/>
                <w:highlight w:val="none"/>
              </w:rPr>
              <w:t>：</w:t>
            </w:r>
            <w:r>
              <w:rPr>
                <w:rFonts w:hint="eastAsia" w:ascii="宋体" w:hAnsi="宋体"/>
                <w:color w:val="auto"/>
                <w:highlight w:val="none"/>
                <w:u w:val="single"/>
                <w:lang w:val="en-US" w:eastAsia="zh-CN"/>
              </w:rPr>
              <w:t>10</w:t>
            </w:r>
            <w:r>
              <w:rPr>
                <w:rFonts w:ascii="宋体" w:hAnsi="宋体"/>
                <w:color w:val="auto"/>
                <w:highlight w:val="none"/>
              </w:rPr>
              <w:t>分</w:t>
            </w:r>
          </w:p>
          <w:p w14:paraId="3DC2C9A9">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olor w:val="auto"/>
                <w:highlight w:val="none"/>
              </w:rPr>
            </w:pPr>
            <w:r>
              <w:rPr>
                <w:rFonts w:hint="eastAsia" w:ascii="宋体" w:hAnsi="宋体"/>
                <w:color w:val="auto"/>
                <w:highlight w:val="none"/>
              </w:rPr>
              <w:t>商务部分</w:t>
            </w:r>
            <w:r>
              <w:rPr>
                <w:rFonts w:ascii="宋体" w:hAnsi="宋体"/>
                <w:color w:val="auto"/>
                <w:highlight w:val="none"/>
              </w:rPr>
              <w:t>：</w:t>
            </w:r>
            <w:r>
              <w:rPr>
                <w:rFonts w:hint="eastAsia" w:ascii="宋体" w:hAnsi="宋体"/>
                <w:color w:val="auto"/>
                <w:highlight w:val="none"/>
                <w:u w:val="single"/>
                <w:lang w:val="en-US" w:eastAsia="zh-CN"/>
              </w:rPr>
              <w:t>25</w:t>
            </w:r>
            <w:r>
              <w:rPr>
                <w:rFonts w:ascii="宋体" w:hAnsi="宋体"/>
                <w:color w:val="auto"/>
                <w:highlight w:val="none"/>
                <w:u w:val="single"/>
              </w:rPr>
              <w:t>分</w:t>
            </w:r>
          </w:p>
          <w:p w14:paraId="37CB13C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s="宋体"/>
                <w:color w:val="auto"/>
                <w:highlight w:val="none"/>
              </w:rPr>
            </w:pPr>
            <w:r>
              <w:rPr>
                <w:rFonts w:hint="eastAsia" w:ascii="宋体" w:hAnsi="宋体"/>
                <w:color w:val="auto"/>
                <w:highlight w:val="none"/>
              </w:rPr>
              <w:t>技术部分</w:t>
            </w:r>
            <w:r>
              <w:rPr>
                <w:rFonts w:ascii="宋体" w:hAnsi="宋体"/>
                <w:color w:val="auto"/>
                <w:highlight w:val="none"/>
              </w:rPr>
              <w:t>：</w:t>
            </w:r>
            <w:r>
              <w:rPr>
                <w:rFonts w:hint="eastAsia" w:ascii="宋体" w:hAnsi="宋体"/>
                <w:color w:val="auto"/>
                <w:highlight w:val="none"/>
                <w:u w:val="single"/>
                <w:lang w:val="en-US" w:eastAsia="zh-CN"/>
              </w:rPr>
              <w:t>65</w:t>
            </w:r>
            <w:r>
              <w:rPr>
                <w:rFonts w:ascii="宋体" w:hAnsi="宋体"/>
                <w:color w:val="auto"/>
                <w:highlight w:val="none"/>
              </w:rPr>
              <w:t>分</w:t>
            </w:r>
          </w:p>
        </w:tc>
      </w:tr>
      <w:tr w14:paraId="6D28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83" w:type="dxa"/>
            <w:gridSpan w:val="2"/>
            <w:vAlign w:val="center"/>
          </w:tcPr>
          <w:p w14:paraId="7D63476E">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2.2.2</w:t>
            </w:r>
          </w:p>
        </w:tc>
        <w:tc>
          <w:tcPr>
            <w:tcW w:w="1403" w:type="dxa"/>
            <w:vAlign w:val="center"/>
          </w:tcPr>
          <w:p w14:paraId="3D77C55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磋商基准价</w:t>
            </w:r>
          </w:p>
          <w:p w14:paraId="1ADFF32C">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计算方法</w:t>
            </w:r>
          </w:p>
        </w:tc>
        <w:tc>
          <w:tcPr>
            <w:tcW w:w="6440" w:type="dxa"/>
            <w:vAlign w:val="center"/>
          </w:tcPr>
          <w:p w14:paraId="44C6090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s="宋体"/>
                <w:b/>
                <w:bCs/>
                <w:color w:val="auto"/>
                <w:highlight w:val="none"/>
              </w:rPr>
            </w:pPr>
            <w:r>
              <w:rPr>
                <w:rFonts w:hint="eastAsia" w:ascii="宋体" w:hAnsi="宋体" w:eastAsia="宋体" w:cs="宋体"/>
                <w:color w:val="auto"/>
                <w:sz w:val="21"/>
                <w:szCs w:val="21"/>
                <w:highlight w:val="none"/>
              </w:rPr>
              <w:t>价格分采用低价优先法计算，即</w:t>
            </w:r>
            <w:r>
              <w:rPr>
                <w:rFonts w:hint="eastAsia" w:ascii="宋体" w:hAnsi="宋体" w:cs="宋体"/>
                <w:bCs/>
                <w:color w:val="auto"/>
                <w:szCs w:val="21"/>
                <w:highlight w:val="none"/>
              </w:rPr>
              <w:t>满足磋商文件</w:t>
            </w:r>
            <w:r>
              <w:rPr>
                <w:rFonts w:hint="eastAsia" w:ascii="宋体" w:hAnsi="宋体" w:eastAsia="宋体" w:cs="宋体"/>
                <w:color w:val="auto"/>
                <w:sz w:val="21"/>
                <w:szCs w:val="21"/>
                <w:highlight w:val="none"/>
              </w:rPr>
              <w:t>要求</w:t>
            </w:r>
            <w:r>
              <w:rPr>
                <w:rFonts w:hint="eastAsia" w:ascii="宋体" w:hAnsi="宋体" w:cs="宋体"/>
                <w:bCs/>
                <w:color w:val="auto"/>
                <w:szCs w:val="21"/>
                <w:highlight w:val="none"/>
              </w:rPr>
              <w:t>的各供应商最后报价最</w:t>
            </w:r>
            <w:r>
              <w:rPr>
                <w:rFonts w:hint="eastAsia" w:ascii="宋体" w:hAnsi="宋体" w:cs="宋体"/>
                <w:bCs/>
                <w:color w:val="auto"/>
                <w:szCs w:val="21"/>
                <w:highlight w:val="none"/>
                <w:lang w:eastAsia="zh-CN"/>
              </w:rPr>
              <w:t>低</w:t>
            </w:r>
            <w:r>
              <w:rPr>
                <w:rFonts w:hint="eastAsia" w:ascii="宋体" w:hAnsi="宋体" w:cs="宋体"/>
                <w:bCs/>
                <w:color w:val="auto"/>
                <w:szCs w:val="21"/>
                <w:highlight w:val="none"/>
              </w:rPr>
              <w:t>的价格作为磋商基准价。</w:t>
            </w:r>
          </w:p>
        </w:tc>
      </w:tr>
      <w:tr w14:paraId="5182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3" w:type="dxa"/>
            <w:gridSpan w:val="2"/>
            <w:vAlign w:val="center"/>
          </w:tcPr>
          <w:p w14:paraId="369EDC8F">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条款号</w:t>
            </w:r>
          </w:p>
        </w:tc>
        <w:tc>
          <w:tcPr>
            <w:tcW w:w="1403" w:type="dxa"/>
            <w:vAlign w:val="center"/>
          </w:tcPr>
          <w:p w14:paraId="7A5A852C">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评分因素</w:t>
            </w:r>
          </w:p>
        </w:tc>
        <w:tc>
          <w:tcPr>
            <w:tcW w:w="6440" w:type="dxa"/>
            <w:vAlign w:val="center"/>
          </w:tcPr>
          <w:p w14:paraId="13DD4CE0">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b/>
                <w:color w:val="auto"/>
                <w:highlight w:val="none"/>
              </w:rPr>
              <w:t>评分标准</w:t>
            </w:r>
          </w:p>
        </w:tc>
      </w:tr>
      <w:tr w14:paraId="6349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9" w:type="dxa"/>
            <w:vAlign w:val="center"/>
          </w:tcPr>
          <w:p w14:paraId="41B601C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p>
        </w:tc>
        <w:tc>
          <w:tcPr>
            <w:tcW w:w="1084" w:type="dxa"/>
            <w:vAlign w:val="center"/>
          </w:tcPr>
          <w:p w14:paraId="135350C8">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报价</w:t>
            </w:r>
            <w:r>
              <w:rPr>
                <w:rFonts w:hint="eastAsia" w:ascii="宋体" w:hAnsi="宋体" w:cs="宋体"/>
                <w:color w:val="auto"/>
                <w:kern w:val="0"/>
                <w:szCs w:val="21"/>
                <w:highlight w:val="none"/>
                <w:lang w:bidi="ar"/>
              </w:rPr>
              <w:t>部分（</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tc>
        <w:tc>
          <w:tcPr>
            <w:tcW w:w="1403" w:type="dxa"/>
            <w:vAlign w:val="center"/>
          </w:tcPr>
          <w:p w14:paraId="4CE6E46D">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供应商报价</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p>
        </w:tc>
        <w:tc>
          <w:tcPr>
            <w:tcW w:w="6440" w:type="dxa"/>
            <w:vAlign w:val="center"/>
          </w:tcPr>
          <w:p w14:paraId="2B021F8D">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textAlignment w:val="top"/>
              <w:rPr>
                <w:rFonts w:ascii="宋体" w:hAnsi="宋体" w:cs="宋体"/>
                <w:color w:val="auto"/>
                <w:kern w:val="0"/>
                <w:szCs w:val="21"/>
                <w:highlight w:val="none"/>
                <w:lang w:bidi="ar"/>
              </w:rPr>
            </w:pPr>
            <w:r>
              <w:rPr>
                <w:rFonts w:hint="eastAsia" w:ascii="宋体" w:hAnsi="宋体" w:cs="宋体"/>
                <w:bCs/>
                <w:color w:val="auto"/>
                <w:szCs w:val="21"/>
                <w:highlight w:val="none"/>
              </w:rPr>
              <w:t>满足磋商文件要求的各供应商最后报价</w:t>
            </w:r>
            <w:r>
              <w:rPr>
                <w:rFonts w:hint="eastAsia" w:ascii="宋体" w:hAnsi="宋体" w:cs="宋体"/>
                <w:bCs/>
                <w:color w:val="auto"/>
                <w:szCs w:val="21"/>
                <w:highlight w:val="none"/>
                <w:lang w:eastAsia="zh-CN"/>
              </w:rPr>
              <w:t>在落实完政府采购政策后</w:t>
            </w:r>
            <w:r>
              <w:rPr>
                <w:rFonts w:hint="eastAsia" w:ascii="宋体" w:hAnsi="宋体" w:cs="宋体"/>
                <w:bCs/>
                <w:color w:val="auto"/>
                <w:szCs w:val="21"/>
                <w:highlight w:val="none"/>
              </w:rPr>
              <w:t>最</w:t>
            </w:r>
            <w:r>
              <w:rPr>
                <w:rFonts w:hint="eastAsia" w:ascii="宋体" w:hAnsi="宋体" w:cs="宋体"/>
                <w:bCs/>
                <w:color w:val="auto"/>
                <w:szCs w:val="21"/>
                <w:highlight w:val="none"/>
                <w:lang w:eastAsia="zh-CN"/>
              </w:rPr>
              <w:t>低</w:t>
            </w:r>
            <w:r>
              <w:rPr>
                <w:rFonts w:hint="eastAsia" w:ascii="宋体" w:hAnsi="宋体" w:cs="宋体"/>
                <w:bCs/>
                <w:color w:val="auto"/>
                <w:szCs w:val="21"/>
                <w:highlight w:val="none"/>
              </w:rPr>
              <w:t>的价格作为磋商基准价</w:t>
            </w:r>
            <w:r>
              <w:rPr>
                <w:rFonts w:hint="eastAsia" w:ascii="宋体" w:hAnsi="宋体" w:cs="宋体"/>
                <w:color w:val="auto"/>
                <w:kern w:val="0"/>
                <w:szCs w:val="21"/>
                <w:highlight w:val="none"/>
                <w:lang w:bidi="ar"/>
              </w:rPr>
              <w:t>，其价格分为满分</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p w14:paraId="0DFDC4DC">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注：报价得分保留小数点后两位。</w:t>
            </w:r>
          </w:p>
          <w:p w14:paraId="6909FEE2">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磋商报价得分=（磋商基准价</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最后磋商价）×</w:t>
            </w:r>
            <w:r>
              <w:rPr>
                <w:rFonts w:hint="eastAsia" w:ascii="宋体" w:hAnsi="宋体" w:cs="宋体"/>
                <w:color w:val="auto"/>
                <w:kern w:val="0"/>
                <w:szCs w:val="21"/>
                <w:highlight w:val="none"/>
                <w:lang w:val="en-US" w:eastAsia="zh-CN" w:bidi="ar"/>
              </w:rPr>
              <w:t>10</w:t>
            </w:r>
          </w:p>
        </w:tc>
      </w:tr>
      <w:tr w14:paraId="2CDC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9" w:type="dxa"/>
            <w:vMerge w:val="restart"/>
            <w:vAlign w:val="center"/>
          </w:tcPr>
          <w:p w14:paraId="19D85565">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w:t>
            </w:r>
          </w:p>
        </w:tc>
        <w:tc>
          <w:tcPr>
            <w:tcW w:w="1084" w:type="dxa"/>
            <w:vMerge w:val="restart"/>
            <w:vAlign w:val="center"/>
          </w:tcPr>
          <w:p w14:paraId="2AC6D150">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商务部分</w:t>
            </w:r>
          </w:p>
          <w:p w14:paraId="3623C256">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tc>
        <w:tc>
          <w:tcPr>
            <w:tcW w:w="1403" w:type="dxa"/>
            <w:vAlign w:val="center"/>
          </w:tcPr>
          <w:p w14:paraId="2BB3DFAC">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类似业绩</w:t>
            </w:r>
          </w:p>
          <w:p w14:paraId="4DBC9C6D">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p>
        </w:tc>
        <w:tc>
          <w:tcPr>
            <w:tcW w:w="6440" w:type="dxa"/>
            <w:tcBorders>
              <w:bottom w:val="single" w:color="auto" w:sz="4" w:space="0"/>
            </w:tcBorders>
            <w:vAlign w:val="center"/>
          </w:tcPr>
          <w:p w14:paraId="46765170">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提供202</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年至今类似</w:t>
            </w:r>
            <w:r>
              <w:rPr>
                <w:rFonts w:hint="eastAsia" w:ascii="宋体" w:hAnsi="宋体" w:cs="宋体"/>
                <w:color w:val="auto"/>
                <w:kern w:val="0"/>
                <w:szCs w:val="21"/>
                <w:highlight w:val="none"/>
                <w:lang w:val="en-US" w:eastAsia="zh-CN" w:bidi="ar"/>
              </w:rPr>
              <w:t>项目</w:t>
            </w:r>
            <w:r>
              <w:rPr>
                <w:rFonts w:hint="eastAsia" w:ascii="宋体" w:hAnsi="宋体" w:cs="宋体"/>
                <w:color w:val="auto"/>
                <w:kern w:val="0"/>
                <w:szCs w:val="21"/>
                <w:highlight w:val="none"/>
                <w:lang w:bidi="ar"/>
              </w:rPr>
              <w:t>业绩，每提供一个得</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分，最多得</w:t>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分，未提供不得分。</w:t>
            </w:r>
            <w:r>
              <w:rPr>
                <w:rFonts w:hint="eastAsia" w:ascii="宋体" w:hAnsi="宋体" w:cs="宋体"/>
                <w:b/>
                <w:bCs/>
                <w:color w:val="auto"/>
                <w:kern w:val="0"/>
                <w:szCs w:val="21"/>
                <w:highlight w:val="none"/>
                <w:lang w:bidi="ar"/>
              </w:rPr>
              <w:t>提供中标通知书或合同</w:t>
            </w:r>
            <w:r>
              <w:rPr>
                <w:rFonts w:hint="eastAsia" w:ascii="宋体" w:hAnsi="宋体" w:cs="宋体"/>
                <w:b/>
                <w:bCs/>
                <w:color w:val="auto"/>
                <w:kern w:val="0"/>
                <w:szCs w:val="21"/>
                <w:highlight w:val="none"/>
                <w:lang w:eastAsia="zh-CN" w:bidi="ar"/>
              </w:rPr>
              <w:t>协议书</w:t>
            </w:r>
            <w:r>
              <w:rPr>
                <w:rFonts w:hint="eastAsia" w:ascii="宋体" w:hAnsi="宋体" w:cs="宋体"/>
                <w:b/>
                <w:bCs/>
                <w:color w:val="auto"/>
                <w:kern w:val="0"/>
                <w:szCs w:val="21"/>
                <w:highlight w:val="none"/>
                <w:lang w:bidi="ar"/>
              </w:rPr>
              <w:t>(响应文件</w:t>
            </w:r>
            <w:r>
              <w:rPr>
                <w:rFonts w:hint="eastAsia" w:ascii="宋体" w:hAnsi="宋体" w:cs="宋体"/>
                <w:b/>
                <w:bCs/>
                <w:color w:val="auto"/>
                <w:kern w:val="0"/>
                <w:szCs w:val="21"/>
                <w:highlight w:val="none"/>
                <w:lang w:val="en-US" w:eastAsia="zh-CN" w:bidi="ar"/>
              </w:rPr>
              <w:t>内</w:t>
            </w:r>
            <w:r>
              <w:rPr>
                <w:rFonts w:hint="eastAsia" w:ascii="宋体" w:hAnsi="宋体" w:cs="宋体"/>
                <w:b/>
                <w:bCs/>
                <w:color w:val="auto"/>
                <w:kern w:val="0"/>
                <w:szCs w:val="21"/>
                <w:highlight w:val="none"/>
                <w:lang w:bidi="ar"/>
              </w:rPr>
              <w:t>附复印件加盖公章)。</w:t>
            </w:r>
          </w:p>
        </w:tc>
      </w:tr>
      <w:tr w14:paraId="6A13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99" w:type="dxa"/>
            <w:vMerge w:val="continue"/>
            <w:vAlign w:val="center"/>
          </w:tcPr>
          <w:p w14:paraId="072434C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084" w:type="dxa"/>
            <w:vMerge w:val="continue"/>
            <w:vAlign w:val="center"/>
          </w:tcPr>
          <w:p w14:paraId="04FFBD3F">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vAlign w:val="center"/>
          </w:tcPr>
          <w:p w14:paraId="1026963E">
            <w:pPr>
              <w:pStyle w:val="179"/>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color w:val="auto"/>
                <w:sz w:val="21"/>
                <w:szCs w:val="21"/>
                <w:highlight w:val="none"/>
              </w:rPr>
            </w:pPr>
            <w:r>
              <w:rPr>
                <w:color w:val="auto"/>
                <w:sz w:val="21"/>
                <w:szCs w:val="21"/>
                <w:highlight w:val="none"/>
              </w:rPr>
              <w:t>项目团队</w:t>
            </w:r>
          </w:p>
          <w:p w14:paraId="1258BA9D">
            <w:pPr>
              <w:pStyle w:val="179"/>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宋体" w:hAnsi="宋体" w:cs="宋体"/>
                <w:color w:val="auto"/>
                <w:szCs w:val="21"/>
                <w:highlight w:val="none"/>
              </w:rPr>
            </w:pPr>
            <w:r>
              <w:rPr>
                <w:color w:val="auto"/>
                <w:sz w:val="21"/>
                <w:szCs w:val="21"/>
                <w:highlight w:val="none"/>
                <w:lang w:val="en-US"/>
              </w:rPr>
              <w:t>（</w:t>
            </w:r>
            <w:r>
              <w:rPr>
                <w:rFonts w:hint="eastAsia"/>
                <w:color w:val="auto"/>
                <w:sz w:val="21"/>
                <w:szCs w:val="21"/>
                <w:highlight w:val="none"/>
                <w:lang w:val="en-US" w:eastAsia="zh-CN"/>
              </w:rPr>
              <w:t>10</w:t>
            </w:r>
            <w:r>
              <w:rPr>
                <w:color w:val="auto"/>
                <w:sz w:val="21"/>
                <w:szCs w:val="21"/>
                <w:highlight w:val="none"/>
                <w:lang w:val="en-US"/>
              </w:rPr>
              <w:t>分）</w:t>
            </w:r>
          </w:p>
        </w:tc>
        <w:tc>
          <w:tcPr>
            <w:tcW w:w="6440" w:type="dxa"/>
            <w:tcBorders>
              <w:bottom w:val="single" w:color="auto" w:sz="4" w:space="0"/>
            </w:tcBorders>
            <w:vAlign w:val="center"/>
          </w:tcPr>
          <w:p w14:paraId="3B4AE221">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rPr>
                <w:rFonts w:hint="eastAsia" w:ascii="宋体" w:hAnsi="宋体" w:eastAsia="宋体" w:cs="宋体"/>
                <w:sz w:val="21"/>
                <w:szCs w:val="20"/>
                <w:lang w:val="en-US" w:eastAsia="zh-CN"/>
              </w:rPr>
            </w:pPr>
            <w:r>
              <w:rPr>
                <w:color w:val="auto"/>
                <w:sz w:val="21"/>
                <w:szCs w:val="21"/>
                <w:highlight w:val="none"/>
              </w:rPr>
              <w:t>项目团队</w:t>
            </w:r>
            <w:r>
              <w:rPr>
                <w:rFonts w:hint="eastAsia"/>
                <w:color w:val="auto"/>
                <w:sz w:val="21"/>
                <w:szCs w:val="21"/>
                <w:highlight w:val="none"/>
                <w:lang w:val="en-US" w:eastAsia="zh-CN"/>
              </w:rPr>
              <w:t>成员应为供应商自有人员，</w:t>
            </w:r>
            <w:r>
              <w:rPr>
                <w:rFonts w:hint="eastAsia" w:ascii="宋体" w:hAnsi="宋体" w:cs="宋体"/>
                <w:sz w:val="21"/>
                <w:szCs w:val="20"/>
                <w:lang w:val="en-US" w:eastAsia="zh-CN"/>
              </w:rPr>
              <w:t>除项目负责人外，项目团队成员中每提供1名具备</w:t>
            </w:r>
            <w:r>
              <w:rPr>
                <w:rFonts w:hint="eastAsia" w:ascii="宋体" w:hAnsi="宋体" w:eastAsia="宋体" w:cs="宋体"/>
                <w:bCs/>
                <w:color w:val="auto"/>
                <w:szCs w:val="21"/>
                <w:highlight w:val="none"/>
                <w:lang w:val="zh-CN"/>
              </w:rPr>
              <w:t>相关专业中级及以上职称的</w:t>
            </w:r>
            <w:r>
              <w:rPr>
                <w:rFonts w:hint="eastAsia" w:ascii="宋体" w:hAnsi="宋体" w:eastAsia="宋体" w:cs="宋体"/>
                <w:bCs/>
                <w:color w:val="auto"/>
                <w:szCs w:val="21"/>
                <w:highlight w:val="none"/>
                <w:lang w:val="en-US" w:eastAsia="zh-CN"/>
              </w:rPr>
              <w:t>得2分，满分10分，一人多证的按一人计算。</w:t>
            </w:r>
            <w:r>
              <w:rPr>
                <w:rFonts w:hint="eastAsia" w:ascii="宋体" w:hAnsi="宋体" w:cs="宋体"/>
                <w:b/>
                <w:bCs/>
                <w:color w:val="auto"/>
                <w:kern w:val="0"/>
                <w:szCs w:val="21"/>
                <w:highlight w:val="none"/>
                <w:lang w:bidi="ar"/>
              </w:rPr>
              <w:t>响应文件</w:t>
            </w:r>
            <w:r>
              <w:rPr>
                <w:rFonts w:hint="eastAsia" w:ascii="宋体" w:hAnsi="宋体" w:cs="宋体"/>
                <w:b/>
                <w:bCs/>
                <w:color w:val="auto"/>
                <w:kern w:val="0"/>
                <w:szCs w:val="21"/>
                <w:highlight w:val="none"/>
                <w:lang w:val="en-US" w:eastAsia="zh-CN" w:bidi="ar"/>
              </w:rPr>
              <w:t>内</w:t>
            </w:r>
            <w:r>
              <w:rPr>
                <w:rFonts w:hint="eastAsia" w:ascii="宋体" w:hAnsi="宋体" w:cs="宋体"/>
                <w:b/>
                <w:bCs/>
                <w:color w:val="auto"/>
                <w:kern w:val="0"/>
                <w:szCs w:val="21"/>
                <w:highlight w:val="none"/>
                <w:lang w:bidi="ar"/>
              </w:rPr>
              <w:t>附</w:t>
            </w:r>
            <w:r>
              <w:rPr>
                <w:rFonts w:hint="eastAsia" w:ascii="宋体" w:hAnsi="宋体"/>
                <w:b/>
                <w:bCs/>
                <w:color w:val="auto"/>
                <w:kern w:val="0"/>
                <w:lang w:val="en-US" w:eastAsia="zh-CN"/>
              </w:rPr>
              <w:t>职称证及近半年社保证明</w:t>
            </w:r>
            <w:r>
              <w:rPr>
                <w:rFonts w:hint="eastAsia" w:ascii="宋体" w:hAnsi="宋体" w:cs="宋体"/>
                <w:b/>
                <w:bCs/>
                <w:color w:val="auto"/>
                <w:kern w:val="0"/>
                <w:szCs w:val="21"/>
                <w:highlight w:val="none"/>
                <w:lang w:bidi="ar"/>
              </w:rPr>
              <w:t>复印件加盖公章</w:t>
            </w:r>
            <w:r>
              <w:rPr>
                <w:rFonts w:hint="eastAsia" w:ascii="宋体" w:hAnsi="宋体" w:cs="宋体"/>
                <w:b/>
                <w:bCs/>
                <w:color w:val="auto"/>
                <w:kern w:val="0"/>
                <w:szCs w:val="21"/>
                <w:highlight w:val="none"/>
                <w:lang w:eastAsia="zh-CN" w:bidi="ar"/>
              </w:rPr>
              <w:t>。</w:t>
            </w:r>
          </w:p>
        </w:tc>
      </w:tr>
      <w:tr w14:paraId="1ECC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tcBorders>
              <w:top w:val="single" w:color="auto" w:sz="4" w:space="0"/>
              <w:left w:val="single" w:color="auto" w:sz="4" w:space="0"/>
              <w:right w:val="single" w:color="auto" w:sz="4" w:space="0"/>
            </w:tcBorders>
            <w:vAlign w:val="center"/>
          </w:tcPr>
          <w:p w14:paraId="190AC3BF">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color w:val="auto"/>
                <w:sz w:val="21"/>
                <w:szCs w:val="21"/>
                <w:highlight w:val="none"/>
              </w:rPr>
            </w:pPr>
            <w:r>
              <w:rPr>
                <w:rFonts w:hint="eastAsia" w:ascii="宋体" w:hAnsi="宋体" w:eastAsia="宋体" w:cs="宋体"/>
                <w:color w:val="auto"/>
                <w:kern w:val="2"/>
                <w:sz w:val="21"/>
                <w:szCs w:val="21"/>
                <w:highlight w:val="none"/>
              </w:rPr>
              <w:t>2.2.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（3）</w:t>
            </w:r>
          </w:p>
        </w:tc>
        <w:tc>
          <w:tcPr>
            <w:tcW w:w="1084" w:type="dxa"/>
            <w:vMerge w:val="restart"/>
            <w:tcBorders>
              <w:top w:val="single" w:color="auto" w:sz="4" w:space="0"/>
              <w:left w:val="single" w:color="auto" w:sz="4" w:space="0"/>
              <w:right w:val="single" w:color="auto" w:sz="4" w:space="0"/>
            </w:tcBorders>
            <w:vAlign w:val="center"/>
          </w:tcPr>
          <w:p w14:paraId="3617AD7D">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分）</w:t>
            </w:r>
          </w:p>
        </w:tc>
        <w:tc>
          <w:tcPr>
            <w:tcW w:w="1403" w:type="dxa"/>
            <w:tcBorders>
              <w:left w:val="single" w:color="auto" w:sz="4" w:space="0"/>
            </w:tcBorders>
            <w:vAlign w:val="center"/>
          </w:tcPr>
          <w:p w14:paraId="122207C3">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项目实施方案</w:t>
            </w:r>
            <w:r>
              <w:rPr>
                <w:rFonts w:hint="eastAsia" w:ascii="宋体" w:hAnsi="宋体" w:eastAsia="宋体" w:cs="宋体"/>
                <w:color w:val="auto"/>
                <w:sz w:val="21"/>
                <w:szCs w:val="21"/>
                <w:highlight w:val="none"/>
                <w:lang w:val="zh-CN" w:eastAsia="zh-CN"/>
              </w:rPr>
              <w:t>及具体措施（</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val="zh-CN" w:eastAsia="zh-CN"/>
              </w:rPr>
              <w:t>）</w:t>
            </w:r>
          </w:p>
        </w:tc>
        <w:tc>
          <w:tcPr>
            <w:tcW w:w="6440" w:type="dxa"/>
            <w:vAlign w:val="center"/>
          </w:tcPr>
          <w:p w14:paraId="79D20D70">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对实施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w:t>
            </w:r>
            <w:r>
              <w:rPr>
                <w:rFonts w:hint="eastAsia" w:ascii="宋体" w:hAnsi="宋体" w:eastAsia="宋体" w:cs="宋体"/>
                <w:color w:val="auto"/>
                <w:sz w:val="21"/>
                <w:szCs w:val="21"/>
                <w:highlight w:val="none"/>
                <w:lang w:val="zh-CN"/>
              </w:rPr>
              <w:t>进行综合评价</w:t>
            </w:r>
            <w:r>
              <w:rPr>
                <w:rFonts w:hint="eastAsia" w:ascii="宋体" w:hAnsi="宋体" w:eastAsia="宋体" w:cs="宋体"/>
                <w:color w:val="auto"/>
                <w:sz w:val="21"/>
                <w:szCs w:val="21"/>
                <w:highlight w:val="none"/>
                <w:lang w:val="zh-CN" w:eastAsia="zh-CN"/>
              </w:rPr>
              <w:t>。</w:t>
            </w:r>
          </w:p>
          <w:p w14:paraId="08E11297">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及具体措施方案科学、合理、详细且针对性强的得1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25928D3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及具体措施方案相对科学、合理、详细的得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p w14:paraId="595CBA33">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及具体措施方案一般的得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51802248">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49E7B4A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0ECA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99" w:type="dxa"/>
            <w:vMerge w:val="continue"/>
            <w:tcBorders>
              <w:left w:val="single" w:color="auto" w:sz="4" w:space="0"/>
              <w:right w:val="single" w:color="auto" w:sz="4" w:space="0"/>
            </w:tcBorders>
            <w:vAlign w:val="center"/>
          </w:tcPr>
          <w:p w14:paraId="12449E1B">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6498C1A4">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1B931F37">
            <w:pPr>
              <w:autoSpaceDE w:val="0"/>
              <w:autoSpaceDN w:val="0"/>
              <w:adjustRightInd w:val="0"/>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应急预案</w:t>
            </w:r>
          </w:p>
          <w:p w14:paraId="15D6E1C0">
            <w:pPr>
              <w:autoSpaceDE w:val="0"/>
              <w:autoSpaceDN w:val="0"/>
              <w:adjustRightInd w:val="0"/>
              <w:snapToGri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val="zh-CN"/>
              </w:rPr>
              <w:t>）</w:t>
            </w:r>
          </w:p>
        </w:tc>
        <w:tc>
          <w:tcPr>
            <w:tcW w:w="6440" w:type="dxa"/>
            <w:vAlign w:val="center"/>
          </w:tcPr>
          <w:p w14:paraId="1E01146E">
            <w:pPr>
              <w:keepNext w:val="0"/>
              <w:keepLines w:val="0"/>
              <w:widowControl/>
              <w:suppressLineNumbers w:val="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对应急预案进行综合评价。</w:t>
            </w:r>
          </w:p>
          <w:p w14:paraId="083FBD7A">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p w14:paraId="23FBCC9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5FFB3F06">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199459E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36CF20CE">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24CF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99" w:type="dxa"/>
            <w:vMerge w:val="continue"/>
            <w:tcBorders>
              <w:left w:val="single" w:color="auto" w:sz="4" w:space="0"/>
              <w:right w:val="single" w:color="auto" w:sz="4" w:space="0"/>
            </w:tcBorders>
            <w:vAlign w:val="center"/>
          </w:tcPr>
          <w:p w14:paraId="74702613">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0170F919">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447F4080">
            <w:pPr>
              <w:autoSpaceDE w:val="0"/>
              <w:autoSpaceDN w:val="0"/>
              <w:adjustRightInd w:val="0"/>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服务时间</w:t>
            </w:r>
          </w:p>
          <w:p w14:paraId="51B0E3BA">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响应方案</w:t>
            </w:r>
          </w:p>
          <w:p w14:paraId="5C16378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rPr>
              <w:t>）</w:t>
            </w:r>
          </w:p>
        </w:tc>
        <w:tc>
          <w:tcPr>
            <w:tcW w:w="6440" w:type="dxa"/>
            <w:vAlign w:val="center"/>
          </w:tcPr>
          <w:p w14:paraId="16FFA1BC">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根据本项目的实际情况，提出完善详尽的服务时间响应方案，能够充分满足采购人需求。</w:t>
            </w:r>
          </w:p>
          <w:p w14:paraId="6F978E7B">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543A3D48">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7795D941">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5D1610F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15EE6ED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52DD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9" w:type="dxa"/>
            <w:vMerge w:val="continue"/>
            <w:tcBorders>
              <w:left w:val="single" w:color="auto" w:sz="4" w:space="0"/>
              <w:right w:val="single" w:color="auto" w:sz="4" w:space="0"/>
            </w:tcBorders>
            <w:vAlign w:val="center"/>
          </w:tcPr>
          <w:p w14:paraId="66F56300">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774BA153">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4C310DD9">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服务质量保证措施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11分</w:t>
            </w:r>
            <w:r>
              <w:rPr>
                <w:rFonts w:hint="eastAsia" w:ascii="宋体" w:hAnsi="宋体" w:eastAsia="宋体" w:cs="宋体"/>
                <w:color w:val="auto"/>
                <w:sz w:val="21"/>
                <w:szCs w:val="21"/>
                <w:highlight w:val="none"/>
                <w:lang w:val="zh-CN"/>
              </w:rPr>
              <w:t>）</w:t>
            </w:r>
          </w:p>
        </w:tc>
        <w:tc>
          <w:tcPr>
            <w:tcW w:w="6440" w:type="dxa"/>
            <w:vAlign w:val="center"/>
          </w:tcPr>
          <w:p w14:paraId="47E4D415">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根据质量保证措施可靠性等主要方面进行综合评价。</w:t>
            </w:r>
          </w:p>
          <w:p w14:paraId="5ABB6B43">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eastAsia="zh-CN"/>
              </w:rPr>
              <w:t>分；</w:t>
            </w:r>
          </w:p>
          <w:p w14:paraId="40244D91">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308704E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3196143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7A3E085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1BC8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9" w:type="dxa"/>
            <w:vMerge w:val="continue"/>
            <w:tcBorders>
              <w:left w:val="single" w:color="auto" w:sz="4" w:space="0"/>
              <w:right w:val="single" w:color="auto" w:sz="4" w:space="0"/>
            </w:tcBorders>
            <w:vAlign w:val="center"/>
          </w:tcPr>
          <w:p w14:paraId="7BF476A3">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3A718D98">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16CA08CB">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rPr>
              <w:t>）</w:t>
            </w:r>
          </w:p>
        </w:tc>
        <w:tc>
          <w:tcPr>
            <w:tcW w:w="6440" w:type="dxa"/>
            <w:vAlign w:val="center"/>
          </w:tcPr>
          <w:p w14:paraId="30CE1FA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有完善的现场协调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lang w:val="zh-CN"/>
              </w:rPr>
              <w:t>措施、协调方法描述具体、准确、科学、严谨等主要方面进行综合评价。</w:t>
            </w:r>
          </w:p>
          <w:p w14:paraId="400764D0">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16BFB4CD">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347A805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6163B7AC">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3E572EC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1B65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9" w:type="dxa"/>
            <w:vMerge w:val="continue"/>
            <w:tcBorders>
              <w:left w:val="single" w:color="auto" w:sz="4" w:space="0"/>
              <w:right w:val="single" w:color="auto" w:sz="4" w:space="0"/>
            </w:tcBorders>
            <w:vAlign w:val="center"/>
          </w:tcPr>
          <w:p w14:paraId="71E6C90E">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6011285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597C194D">
            <w:pPr>
              <w:autoSpaceDE w:val="0"/>
              <w:autoSpaceDN w:val="0"/>
              <w:adjustRightInd w:val="0"/>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进度保证措施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val="zh-CN"/>
              </w:rPr>
              <w:t>）</w:t>
            </w:r>
          </w:p>
        </w:tc>
        <w:tc>
          <w:tcPr>
            <w:tcW w:w="6440" w:type="dxa"/>
            <w:vAlign w:val="center"/>
          </w:tcPr>
          <w:p w14:paraId="5B9FD720">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根据进度控制措施进行评价。</w:t>
            </w:r>
          </w:p>
          <w:p w14:paraId="21B0B8A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进度控制措施合理可靠得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14:paraId="018D0B83">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进度控制措施较合理可靠得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46CE3AB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27863347">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进度控制措施</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621BE6C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无不得分。</w:t>
            </w:r>
          </w:p>
        </w:tc>
      </w:tr>
      <w:tr w14:paraId="6E03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99" w:type="dxa"/>
            <w:vMerge w:val="continue"/>
            <w:tcBorders>
              <w:left w:val="single" w:color="auto" w:sz="4" w:space="0"/>
              <w:right w:val="single" w:color="auto" w:sz="4" w:space="0"/>
            </w:tcBorders>
            <w:vAlign w:val="center"/>
          </w:tcPr>
          <w:p w14:paraId="3EE38954">
            <w:pPr>
              <w:pStyle w:val="14"/>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4F767AF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030E6DE4">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w:t>
            </w:r>
          </w:p>
          <w:p w14:paraId="57B66CD8">
            <w:pPr>
              <w:autoSpaceDE w:val="0"/>
              <w:autoSpaceDN w:val="0"/>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（7分）</w:t>
            </w:r>
          </w:p>
        </w:tc>
        <w:tc>
          <w:tcPr>
            <w:tcW w:w="6440" w:type="dxa"/>
            <w:vAlign w:val="center"/>
          </w:tcPr>
          <w:p w14:paraId="0E5A9441">
            <w:pPr>
              <w:rPr>
                <w:rFonts w:hint="eastAsia" w:ascii="宋体" w:hAnsi="宋体" w:eastAsia="宋体" w:cs="宋体"/>
                <w:color w:val="auto"/>
                <w:sz w:val="21"/>
                <w:szCs w:val="21"/>
                <w:highlight w:val="none"/>
                <w:lang w:val="zh-CN"/>
              </w:rPr>
            </w:pPr>
            <w:r>
              <w:rPr>
                <w:rFonts w:hint="eastAsia" w:ascii="宋体" w:hAnsi="宋体" w:eastAsia="宋体" w:cs="宋体"/>
                <w:bCs/>
                <w:szCs w:val="21"/>
              </w:rPr>
              <w:t>服务</w:t>
            </w:r>
            <w:r>
              <w:rPr>
                <w:rFonts w:hint="eastAsia" w:ascii="宋体" w:hAnsi="宋体" w:eastAsia="宋体" w:cs="宋体"/>
                <w:bCs/>
                <w:szCs w:val="21"/>
                <w:lang w:val="en-US" w:eastAsia="zh-CN"/>
              </w:rPr>
              <w:t>承诺</w:t>
            </w:r>
            <w:r>
              <w:rPr>
                <w:rFonts w:hint="eastAsia" w:ascii="宋体" w:hAnsi="宋体" w:eastAsia="宋体" w:cs="宋体"/>
                <w:bCs/>
                <w:szCs w:val="21"/>
              </w:rPr>
              <w:t>，包括服务人员的配备、</w:t>
            </w:r>
            <w:r>
              <w:rPr>
                <w:rFonts w:hint="eastAsia" w:ascii="宋体" w:hAnsi="宋体" w:eastAsia="宋体" w:cs="宋体"/>
                <w:bCs/>
                <w:szCs w:val="21"/>
                <w:lang w:val="en-US" w:eastAsia="zh-CN"/>
              </w:rPr>
              <w:t>岗位职责、后期服务</w:t>
            </w:r>
            <w:r>
              <w:rPr>
                <w:rFonts w:hint="eastAsia" w:ascii="宋体" w:hAnsi="宋体" w:eastAsia="宋体" w:cs="宋体"/>
                <w:bCs/>
                <w:szCs w:val="21"/>
              </w:rPr>
              <w:t>、解决问题</w:t>
            </w:r>
            <w:r>
              <w:rPr>
                <w:rFonts w:hint="eastAsia" w:ascii="宋体" w:hAnsi="宋体" w:eastAsia="宋体" w:cs="宋体"/>
                <w:bCs/>
                <w:szCs w:val="21"/>
                <w:lang w:val="en-US" w:eastAsia="zh-CN"/>
              </w:rPr>
              <w:t>或</w:t>
            </w:r>
            <w:r>
              <w:rPr>
                <w:rFonts w:hint="eastAsia" w:ascii="宋体" w:hAnsi="宋体" w:eastAsia="宋体" w:cs="宋体"/>
                <w:bCs/>
                <w:szCs w:val="21"/>
              </w:rPr>
              <w:t>紧急</w:t>
            </w:r>
            <w:r>
              <w:rPr>
                <w:rFonts w:hint="eastAsia" w:ascii="宋体" w:hAnsi="宋体" w:eastAsia="宋体" w:cs="宋体"/>
                <w:bCs/>
                <w:szCs w:val="21"/>
                <w:lang w:val="en-US" w:eastAsia="zh-CN"/>
              </w:rPr>
              <w:t>情况现场服务</w:t>
            </w:r>
            <w:r>
              <w:rPr>
                <w:rFonts w:hint="eastAsia" w:ascii="宋体" w:hAnsi="宋体" w:eastAsia="宋体" w:cs="宋体"/>
                <w:bCs/>
                <w:szCs w:val="21"/>
              </w:rPr>
              <w:t>等情况进行</w:t>
            </w:r>
            <w:r>
              <w:rPr>
                <w:rFonts w:hint="eastAsia" w:ascii="宋体" w:hAnsi="宋体" w:eastAsia="宋体" w:cs="宋体"/>
                <w:color w:val="auto"/>
                <w:sz w:val="21"/>
                <w:szCs w:val="21"/>
                <w:highlight w:val="none"/>
                <w:lang w:val="zh-CN"/>
              </w:rPr>
              <w:t>综合评价。</w:t>
            </w:r>
          </w:p>
          <w:p w14:paraId="720F4090">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服务承诺切实可行、合理、科学、</w:t>
            </w:r>
            <w:r>
              <w:rPr>
                <w:rFonts w:hint="eastAsia" w:ascii="宋体" w:hAnsi="宋体" w:eastAsia="宋体" w:cs="宋体"/>
                <w:color w:val="auto"/>
                <w:sz w:val="21"/>
                <w:szCs w:val="21"/>
                <w:highlight w:val="none"/>
                <w:lang w:val="zh-CN" w:eastAsia="zh-CN"/>
              </w:rPr>
              <w:t>详细且针对性强的得</w:t>
            </w:r>
            <w:r>
              <w:rPr>
                <w:rFonts w:hint="eastAsia" w:ascii="宋体" w:hAnsi="宋体" w:eastAsia="宋体" w:cs="宋体"/>
                <w:color w:val="auto"/>
                <w:sz w:val="21"/>
                <w:szCs w:val="21"/>
                <w:highlight w:val="none"/>
                <w:lang w:val="en-US" w:eastAsia="zh-CN"/>
              </w:rPr>
              <w:t>7分；</w:t>
            </w:r>
          </w:p>
          <w:p w14:paraId="3161FE0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70E98EA6">
            <w:pPr>
              <w:rPr>
                <w:rFonts w:hint="default" w:ascii="宋体" w:hAnsi="宋体" w:eastAsia="宋体" w:cs="宋体"/>
                <w:bCs/>
                <w:szCs w:val="21"/>
                <w:lang w:val="en-US"/>
              </w:rPr>
            </w:pP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2分；</w:t>
            </w:r>
          </w:p>
          <w:p w14:paraId="2D2E6F61">
            <w:pPr>
              <w:rPr>
                <w:rFonts w:hint="default" w:ascii="宋体" w:hAnsi="宋体" w:eastAsia="宋体" w:cs="宋体"/>
                <w:bCs/>
                <w:szCs w:val="21"/>
                <w:lang w:val="en-US"/>
              </w:rPr>
            </w:pP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1分；</w:t>
            </w:r>
          </w:p>
          <w:p w14:paraId="10765980">
            <w:pPr>
              <w:rPr>
                <w:rFonts w:hint="eastAsia" w:ascii="宋体" w:hAnsi="宋体" w:eastAsia="宋体" w:cs="宋体"/>
                <w:color w:val="auto"/>
                <w:sz w:val="21"/>
                <w:szCs w:val="21"/>
                <w:highlight w:val="none"/>
                <w:lang w:eastAsia="zh-CN"/>
              </w:rPr>
            </w:pPr>
            <w:r>
              <w:rPr>
                <w:rFonts w:hint="eastAsia" w:ascii="宋体" w:hAnsi="宋体" w:cs="宋体"/>
                <w:bCs/>
                <w:szCs w:val="21"/>
              </w:rPr>
              <w:t>未提供不得分</w:t>
            </w:r>
            <w:r>
              <w:rPr>
                <w:rFonts w:hint="eastAsia" w:ascii="宋体" w:hAnsi="宋体" w:eastAsia="宋体" w:cs="宋体"/>
                <w:bCs/>
                <w:szCs w:val="21"/>
              </w:rPr>
              <w:t>。</w:t>
            </w:r>
          </w:p>
        </w:tc>
      </w:tr>
    </w:tbl>
    <w:p w14:paraId="43FB50A1">
      <w:pPr>
        <w:rPr>
          <w:rFonts w:hint="eastAsia" w:ascii="宋体" w:hAnsi="宋体" w:eastAsia="宋体" w:cs="宋体"/>
          <w:color w:val="auto"/>
          <w:szCs w:val="21"/>
          <w:shd w:val="clear" w:color="auto" w:fill="FFFFFF"/>
          <w:lang w:val="zh-CN" w:eastAsia="zh-CN"/>
        </w:rPr>
      </w:pPr>
      <w:r>
        <w:rPr>
          <w:rFonts w:hint="eastAsia" w:ascii="宋体" w:hAnsi="宋体" w:eastAsia="宋体" w:cs="宋体"/>
          <w:color w:val="auto"/>
          <w:szCs w:val="21"/>
          <w:shd w:val="clear" w:color="auto" w:fill="FFFFFF"/>
          <w:lang w:val="zh-CN" w:eastAsia="zh-CN"/>
        </w:rPr>
        <w:br w:type="page"/>
      </w:r>
    </w:p>
    <w:p w14:paraId="724B65D3">
      <w:pPr>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1.评审方法</w:t>
      </w:r>
    </w:p>
    <w:p w14:paraId="3866E66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本次评</w:t>
      </w:r>
      <w:r>
        <w:rPr>
          <w:rFonts w:hint="eastAsia" w:ascii="宋体" w:hAnsi="宋体" w:cs="宋体"/>
          <w:color w:val="auto"/>
          <w:szCs w:val="21"/>
          <w:highlight w:val="none"/>
          <w:shd w:val="clear" w:color="auto" w:fill="FFFFFF"/>
        </w:rPr>
        <w:t>审</w:t>
      </w:r>
      <w:r>
        <w:rPr>
          <w:rFonts w:hint="eastAsia" w:ascii="宋体" w:hAnsi="宋体" w:cs="宋体"/>
          <w:color w:val="auto"/>
          <w:szCs w:val="21"/>
          <w:highlight w:val="none"/>
          <w:shd w:val="clear" w:color="auto" w:fill="FFFFFF"/>
          <w:lang w:val="zh-CN"/>
        </w:rPr>
        <w:t>采用综合评分法。评</w:t>
      </w:r>
      <w:r>
        <w:rPr>
          <w:rFonts w:hint="eastAsia" w:ascii="宋体" w:hAnsi="宋体" w:cs="宋体"/>
          <w:color w:val="auto"/>
          <w:szCs w:val="21"/>
          <w:highlight w:val="none"/>
          <w:shd w:val="clear" w:color="auto" w:fill="FFFFFF"/>
        </w:rPr>
        <w:t>审</w:t>
      </w:r>
      <w:r>
        <w:rPr>
          <w:rFonts w:hint="eastAsia" w:ascii="宋体" w:hAnsi="宋体" w:cs="宋体"/>
          <w:color w:val="auto"/>
          <w:szCs w:val="21"/>
          <w:highlight w:val="none"/>
          <w:shd w:val="clear" w:color="auto" w:fill="FFFFFF"/>
          <w:lang w:val="zh-CN"/>
        </w:rPr>
        <w:t>结果按评审后得分由高到低顺序排列。得分相同的，按</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报价由低到高顺序排列。得分且</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报价相同的，按</w:t>
      </w:r>
      <w:r>
        <w:rPr>
          <w:rFonts w:hint="eastAsia" w:ascii="宋体" w:hAnsi="宋体" w:cs="宋体"/>
          <w:color w:val="auto"/>
          <w:szCs w:val="21"/>
          <w:highlight w:val="none"/>
        </w:rPr>
        <w:t>技术部分</w:t>
      </w:r>
      <w:r>
        <w:rPr>
          <w:rFonts w:hint="eastAsia" w:ascii="宋体" w:hAnsi="宋体" w:cs="宋体"/>
          <w:color w:val="auto"/>
          <w:szCs w:val="21"/>
          <w:highlight w:val="none"/>
          <w:shd w:val="clear" w:color="auto" w:fill="FFFFFF"/>
          <w:lang w:val="zh-CN"/>
        </w:rPr>
        <w:t>优劣顺序排列。响应文件满足磋商文件全部实质性要求，且按照评审因素的量化指标评审得分最高的供应商为排名第一的</w:t>
      </w:r>
      <w:r>
        <w:rPr>
          <w:rFonts w:hint="eastAsia" w:ascii="宋体" w:hAnsi="宋体" w:cs="宋体"/>
          <w:color w:val="auto"/>
          <w:szCs w:val="21"/>
          <w:highlight w:val="none"/>
          <w:shd w:val="clear" w:color="auto" w:fill="FFFFFF"/>
        </w:rPr>
        <w:t>成交供应商</w:t>
      </w:r>
      <w:r>
        <w:rPr>
          <w:rFonts w:hint="eastAsia" w:ascii="宋体" w:hAnsi="宋体" w:cs="宋体"/>
          <w:color w:val="auto"/>
          <w:szCs w:val="21"/>
          <w:highlight w:val="none"/>
          <w:shd w:val="clear" w:color="auto" w:fill="FFFFFF"/>
          <w:lang w:val="zh-CN"/>
        </w:rPr>
        <w:t>。</w:t>
      </w:r>
    </w:p>
    <w:p w14:paraId="414BC2E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2.评审标准</w:t>
      </w:r>
    </w:p>
    <w:p w14:paraId="0834F56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2.1初步评审标准</w:t>
      </w:r>
    </w:p>
    <w:p w14:paraId="0143544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2.1.1 资格评审标准：见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04BAB9E6">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2.1.2 符合性评审标准：见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6931BF6D">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2.2 分值构成与评分标准</w:t>
      </w:r>
    </w:p>
    <w:p w14:paraId="67C0D749">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2.2.1 分值构成</w:t>
      </w:r>
    </w:p>
    <w:p w14:paraId="196AC03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(1)报价部分：见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0D5F4FE0">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(2)商务部分：见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05E6A5DB">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(3)技术部分：见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1345252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 xml:space="preserve">2.2.2 </w:t>
      </w:r>
      <w:r>
        <w:rPr>
          <w:rFonts w:hint="eastAsia" w:ascii="宋体" w:hAnsi="宋体" w:cs="宋体"/>
          <w:color w:val="auto"/>
          <w:szCs w:val="21"/>
          <w:highlight w:val="none"/>
          <w:shd w:val="clear" w:color="auto" w:fill="FFFFFF"/>
        </w:rPr>
        <w:t>磋商</w:t>
      </w:r>
      <w:r>
        <w:rPr>
          <w:rFonts w:hint="eastAsia" w:ascii="宋体" w:hAnsi="宋体" w:cs="宋体"/>
          <w:color w:val="auto"/>
          <w:szCs w:val="21"/>
          <w:highlight w:val="none"/>
          <w:shd w:val="clear" w:color="auto" w:fill="FFFFFF"/>
          <w:lang w:val="zh-CN"/>
        </w:rPr>
        <w:t>基准价计算</w:t>
      </w:r>
    </w:p>
    <w:p w14:paraId="668737B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rPr>
        <w:t>磋商</w:t>
      </w:r>
      <w:r>
        <w:rPr>
          <w:rFonts w:hint="eastAsia" w:ascii="宋体" w:hAnsi="宋体" w:cs="宋体"/>
          <w:color w:val="auto"/>
          <w:szCs w:val="21"/>
          <w:highlight w:val="none"/>
          <w:shd w:val="clear" w:color="auto" w:fill="FFFFFF"/>
          <w:lang w:val="zh-CN"/>
        </w:rPr>
        <w:t>基准价计算方法：见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1FAFC21F">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2.2.3 评分标准</w:t>
      </w:r>
    </w:p>
    <w:p w14:paraId="23E31906">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(1)报价部分评分标准：见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6562A4A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(2)商务部分评分标准：见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588FF6A1">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(3)技术部分评分标准：见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4C5254A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w:t>
      </w:r>
      <w:r>
        <w:rPr>
          <w:rFonts w:hint="eastAsia" w:ascii="宋体" w:hAnsi="宋体" w:cs="宋体"/>
          <w:color w:val="auto"/>
          <w:szCs w:val="21"/>
          <w:highlight w:val="none"/>
          <w:shd w:val="clear" w:color="auto" w:fill="FFFFFF"/>
        </w:rPr>
        <w:t>评审</w:t>
      </w:r>
      <w:r>
        <w:rPr>
          <w:rFonts w:hint="eastAsia" w:ascii="宋体" w:hAnsi="宋体" w:cs="宋体"/>
          <w:color w:val="auto"/>
          <w:szCs w:val="21"/>
          <w:highlight w:val="none"/>
          <w:shd w:val="clear" w:color="auto" w:fill="FFFFFF"/>
          <w:lang w:val="zh-CN"/>
        </w:rPr>
        <w:t>程序</w:t>
      </w:r>
    </w:p>
    <w:p w14:paraId="352B4FB0">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3.1资格审查及符合性审查</w:t>
      </w:r>
    </w:p>
    <w:p w14:paraId="4EDFAA2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3.1.1磋商小组按</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前附表一所列审查标准，对供应商资格及符合性进行审查，以确定供应商是否具备磋商资格。</w:t>
      </w:r>
    </w:p>
    <w:p w14:paraId="6993963E">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3.1.2磋商小组在资格审查及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9C0D870">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磋商小组不接受供应商主动提出的澄清、说明或补正。</w:t>
      </w:r>
    </w:p>
    <w:p w14:paraId="5C9B600F">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供应商的书面澄清、说明和补正属于响应文件的组成部分。</w:t>
      </w:r>
    </w:p>
    <w:p w14:paraId="5E3F9C69">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磋商小组对供应商提交的澄清、说明或补正有疑问的，可以要求供应商进一步澄清、说明或补正，直至满足评审小组的要求。</w:t>
      </w:r>
    </w:p>
    <w:p w14:paraId="6D3D23CF">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3.1.3不具备磋商文件要求的资格或未通过符合性审查的供应商，不参与磋商，由磋商小组告知该供应商。</w:t>
      </w:r>
    </w:p>
    <w:p w14:paraId="6F7DB6B3">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3.1.4通过资格审查及符合性审查的合格供应商不足</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家</w:t>
      </w:r>
      <w:r>
        <w:rPr>
          <w:rFonts w:hint="eastAsia" w:ascii="宋体" w:hAnsi="宋体" w:cs="宋体"/>
          <w:color w:val="auto"/>
          <w:szCs w:val="21"/>
          <w:highlight w:val="none"/>
          <w:shd w:val="clear" w:color="auto" w:fill="FFFFFF"/>
          <w:lang w:val="zh-CN"/>
        </w:rPr>
        <w:t>的，不再进行评审和磋商。</w:t>
      </w:r>
    </w:p>
    <w:p w14:paraId="31E2B8D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3.2磋商</w:t>
      </w:r>
    </w:p>
    <w:p w14:paraId="2C4F9DD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3.2.1按“供应商须知”规定，由磋商小组与供应商进行磋商。</w:t>
      </w:r>
    </w:p>
    <w:p w14:paraId="5421918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3.2.2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25211DE">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3.2.3磋商结束后，磋商小组可以要求所有继续参加磋商的供应商在规定时间内提交</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报价函，提交最</w:t>
      </w:r>
      <w:r>
        <w:rPr>
          <w:rFonts w:hint="eastAsia" w:ascii="宋体" w:hAnsi="宋体" w:cs="宋体"/>
          <w:color w:val="auto"/>
          <w:szCs w:val="21"/>
          <w:highlight w:val="none"/>
          <w:shd w:val="clear" w:color="auto" w:fill="FFFFFF"/>
        </w:rPr>
        <w:t>后</w:t>
      </w:r>
      <w:r>
        <w:rPr>
          <w:rFonts w:hint="eastAsia" w:ascii="宋体" w:hAnsi="宋体" w:cs="宋体"/>
          <w:color w:val="auto"/>
          <w:szCs w:val="21"/>
          <w:highlight w:val="none"/>
          <w:shd w:val="clear" w:color="auto" w:fill="FFFFFF"/>
          <w:lang w:val="zh-CN"/>
        </w:rPr>
        <w:t>报价函的供应商不得少于</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lang w:val="zh-CN"/>
        </w:rPr>
        <w:t>家，但市场竞争不充分的科研项目以及需要扶持的科技成果转化项目除外。</w:t>
      </w:r>
    </w:p>
    <w:p w14:paraId="46207BE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 评审</w:t>
      </w:r>
    </w:p>
    <w:p w14:paraId="0ECF459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3.3.1 比较与评价</w:t>
      </w:r>
    </w:p>
    <w:p w14:paraId="0DE7D043">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磋商小组按本章第2.2款[分值构成与评分标准]对供应商提交的响应文件（包括最后报价函）进行商务、技术及其他因素评估，综合比较与评价。</w:t>
      </w:r>
    </w:p>
    <w:p w14:paraId="377ABC0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磋商小组认为供应商的报价明显低于其他参与最</w:t>
      </w:r>
      <w:r>
        <w:rPr>
          <w:rFonts w:hint="eastAsia" w:ascii="宋体" w:hAnsi="宋体" w:cs="宋体"/>
          <w:color w:val="auto"/>
          <w:szCs w:val="21"/>
          <w:highlight w:val="none"/>
          <w:shd w:val="clear" w:color="auto" w:fill="FFFFFF"/>
        </w:rPr>
        <w:t>后</w:t>
      </w:r>
      <w:r>
        <w:rPr>
          <w:rFonts w:hint="eastAsia" w:ascii="宋体" w:hAnsi="宋体" w:cs="宋体"/>
          <w:color w:val="auto"/>
          <w:szCs w:val="21"/>
          <w:highlight w:val="none"/>
          <w:shd w:val="clear" w:color="auto" w:fill="FFFFFF"/>
          <w:lang w:val="zh-CN"/>
        </w:rPr>
        <w:t>报价供应商的报价或明显低于采购预算时，有可能影响产品质量或者不能诚信履约的，应当要求其在合理的时间内提供书面说明，</w:t>
      </w:r>
      <w:r>
        <w:rPr>
          <w:rFonts w:hint="eastAsia" w:ascii="宋体" w:hAnsi="宋体" w:cs="宋体"/>
          <w:color w:val="auto"/>
          <w:szCs w:val="21"/>
          <w:highlight w:val="none"/>
          <w:shd w:val="clear" w:color="auto" w:fill="FFFFFF"/>
        </w:rPr>
        <w:t>并</w:t>
      </w:r>
      <w:r>
        <w:rPr>
          <w:rFonts w:hint="eastAsia" w:ascii="宋体" w:hAnsi="宋体" w:cs="宋体"/>
          <w:color w:val="auto"/>
          <w:szCs w:val="21"/>
          <w:highlight w:val="none"/>
          <w:shd w:val="clear" w:color="auto" w:fill="FFFFFF"/>
          <w:lang w:val="zh-CN"/>
        </w:rPr>
        <w:t>提交相关证明材料；供应商不能证明其报价合理性的，磋商小组应当将其作为无效处理。</w:t>
      </w:r>
    </w:p>
    <w:p w14:paraId="6F2B166A">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3.3.2 磋商小组按本章第2.2款规定的量化因素和分值进行打分，并计算出综合评估得分。</w:t>
      </w:r>
    </w:p>
    <w:p w14:paraId="2B8E274D">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(1)按本章报价</w:t>
      </w:r>
      <w:r>
        <w:rPr>
          <w:rFonts w:hint="eastAsia" w:ascii="宋体" w:hAnsi="宋体" w:cs="宋体"/>
          <w:color w:val="auto"/>
          <w:szCs w:val="21"/>
          <w:highlight w:val="none"/>
          <w:shd w:val="clear" w:color="auto" w:fill="FFFFFF"/>
        </w:rPr>
        <w:t>部分</w:t>
      </w:r>
      <w:r>
        <w:rPr>
          <w:rFonts w:hint="eastAsia" w:ascii="宋体" w:hAnsi="宋体" w:cs="宋体"/>
          <w:color w:val="auto"/>
          <w:szCs w:val="21"/>
          <w:highlight w:val="none"/>
          <w:shd w:val="clear" w:color="auto" w:fill="FFFFFF"/>
          <w:lang w:val="zh-CN"/>
        </w:rPr>
        <w:t>目规定的评审因素和分值对报价部分计算出得分A；</w:t>
      </w:r>
    </w:p>
    <w:p w14:paraId="2058709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(2)按本章商务</w:t>
      </w:r>
      <w:r>
        <w:rPr>
          <w:rFonts w:hint="eastAsia" w:ascii="宋体" w:hAnsi="宋体" w:cs="宋体"/>
          <w:color w:val="auto"/>
          <w:szCs w:val="21"/>
          <w:highlight w:val="none"/>
          <w:shd w:val="clear" w:color="auto" w:fill="FFFFFF"/>
        </w:rPr>
        <w:t>部分</w:t>
      </w:r>
      <w:r>
        <w:rPr>
          <w:rFonts w:hint="eastAsia" w:ascii="宋体" w:hAnsi="宋体" w:cs="宋体"/>
          <w:color w:val="auto"/>
          <w:szCs w:val="21"/>
          <w:highlight w:val="none"/>
          <w:shd w:val="clear" w:color="auto" w:fill="FFFFFF"/>
          <w:lang w:val="zh-CN"/>
        </w:rPr>
        <w:t>目规定的评审因素和分值对商务部分计算出得分B；</w:t>
      </w:r>
    </w:p>
    <w:p w14:paraId="11624A0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(3)按本章技术部分目规定的评审因素和分值对技术部分计算出得分</w:t>
      </w:r>
      <w:r>
        <w:rPr>
          <w:rFonts w:hint="eastAsia" w:ascii="宋体" w:hAnsi="宋体" w:cs="宋体"/>
          <w:color w:val="auto"/>
          <w:szCs w:val="21"/>
          <w:highlight w:val="none"/>
          <w:shd w:val="clear" w:color="auto" w:fill="FFFFFF"/>
        </w:rPr>
        <w:t>C</w:t>
      </w:r>
      <w:r>
        <w:rPr>
          <w:rFonts w:hint="eastAsia" w:ascii="宋体" w:hAnsi="宋体" w:cs="宋体"/>
          <w:color w:val="auto"/>
          <w:szCs w:val="21"/>
          <w:highlight w:val="none"/>
          <w:shd w:val="clear" w:color="auto" w:fill="FFFFFF"/>
          <w:lang w:val="zh-CN"/>
        </w:rPr>
        <w:t>；</w:t>
      </w:r>
    </w:p>
    <w:p w14:paraId="04091A7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3.3.3 评分分值计算保留小数点后两位，小数点后第三位“四舍五入”。</w:t>
      </w:r>
    </w:p>
    <w:p w14:paraId="6DF5809A">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3.3.4 供应商得分汇总E=A+B+C。</w:t>
      </w:r>
    </w:p>
    <w:p w14:paraId="288C87BD">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3.3.5 供应商最终得分=（E1+ E2+ E3）/3。</w:t>
      </w:r>
    </w:p>
    <w:p w14:paraId="1B2CEA76">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4.</w:t>
      </w:r>
      <w:r>
        <w:rPr>
          <w:rFonts w:hint="eastAsia" w:ascii="宋体" w:hAnsi="宋体" w:cs="宋体"/>
          <w:color w:val="auto"/>
          <w:szCs w:val="21"/>
          <w:highlight w:val="none"/>
          <w:shd w:val="clear" w:color="auto" w:fill="FFFFFF"/>
          <w:lang w:val="zh-CN"/>
        </w:rPr>
        <w:tab/>
      </w:r>
      <w:r>
        <w:rPr>
          <w:rFonts w:hint="eastAsia" w:ascii="宋体" w:hAnsi="宋体" w:cs="宋体"/>
          <w:color w:val="auto"/>
          <w:szCs w:val="21"/>
          <w:highlight w:val="none"/>
          <w:shd w:val="clear" w:color="auto" w:fill="FFFFFF"/>
          <w:lang w:val="zh-CN"/>
        </w:rPr>
        <w:t>评审结果</w:t>
      </w:r>
    </w:p>
    <w:p w14:paraId="2FC8AC03">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4.1 磋商小组按照得分由高到低的顺序推荐3名成交候选人，评审得分相同的，以</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报价低的优先，</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报价也相同的，以技术部分得分高的优先，技术部分得分也相同的，由采购人或者采购人委托磋商小组采取随机抽取方式确定。</w:t>
      </w:r>
    </w:p>
    <w:p w14:paraId="62D7F53F">
      <w:pPr>
        <w:autoSpaceDE w:val="0"/>
        <w:autoSpaceDN w:val="0"/>
        <w:adjustRightInd w:val="0"/>
        <w:spacing w:line="360" w:lineRule="auto"/>
        <w:ind w:firstLine="420" w:firstLineChars="200"/>
        <w:jc w:val="left"/>
        <w:rPr>
          <w:rFonts w:hint="eastAsia"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4.2 磋商小组完成评审后，应当向采购人提交书面评审报告。</w:t>
      </w:r>
    </w:p>
    <w:p w14:paraId="68E7DDF6">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color w:val="auto"/>
        </w:rPr>
      </w:pPr>
      <w:r>
        <w:rPr>
          <w:rFonts w:hint="eastAsia"/>
          <w:color w:val="auto"/>
          <w:lang w:val="zh-CN" w:eastAsia="zh-CN"/>
        </w:rPr>
        <w:t>对于非专门面</w:t>
      </w:r>
      <w:r>
        <w:rPr>
          <w:rFonts w:hint="eastAsia"/>
          <w:color w:val="auto"/>
          <w:lang w:eastAsia="zh-CN"/>
        </w:rPr>
        <w:t>向中小微企业采购的项目，依照《关于进一步加大政府采购支持中小企业力度的通知》的规定，凡符合要求的有效供应商，按照以下比例给予相应的价格扣除：</w:t>
      </w:r>
    </w:p>
    <w:tbl>
      <w:tblPr>
        <w:tblStyle w:val="3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827"/>
        <w:gridCol w:w="3087"/>
        <w:gridCol w:w="3017"/>
      </w:tblGrid>
      <w:tr w14:paraId="3FB26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8" w:type="pct"/>
            <w:noWrap w:val="0"/>
            <w:vAlign w:val="center"/>
          </w:tcPr>
          <w:p w14:paraId="5E7F85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序号</w:t>
            </w:r>
          </w:p>
        </w:tc>
        <w:tc>
          <w:tcPr>
            <w:tcW w:w="1443" w:type="pct"/>
            <w:noWrap w:val="0"/>
            <w:vAlign w:val="center"/>
          </w:tcPr>
          <w:p w14:paraId="26106B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情形</w:t>
            </w:r>
          </w:p>
        </w:tc>
        <w:tc>
          <w:tcPr>
            <w:tcW w:w="1576" w:type="pct"/>
            <w:noWrap w:val="0"/>
            <w:vAlign w:val="center"/>
          </w:tcPr>
          <w:p w14:paraId="006A79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zh-CN"/>
              </w:rPr>
              <w:t>价格扣除</w:t>
            </w:r>
            <w:r>
              <w:rPr>
                <w:rFonts w:hint="eastAsia"/>
                <w:color w:val="auto"/>
                <w:lang w:val="en-GB"/>
              </w:rPr>
              <w:t>比例</w:t>
            </w:r>
          </w:p>
        </w:tc>
        <w:tc>
          <w:tcPr>
            <w:tcW w:w="1540" w:type="pct"/>
            <w:noWrap w:val="0"/>
            <w:vAlign w:val="center"/>
          </w:tcPr>
          <w:p w14:paraId="476EEB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计算公式</w:t>
            </w:r>
          </w:p>
        </w:tc>
      </w:tr>
      <w:tr w14:paraId="19F67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38" w:type="pct"/>
            <w:noWrap w:val="0"/>
            <w:vAlign w:val="center"/>
          </w:tcPr>
          <w:p w14:paraId="225C65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1</w:t>
            </w:r>
          </w:p>
        </w:tc>
        <w:tc>
          <w:tcPr>
            <w:tcW w:w="1443" w:type="pct"/>
            <w:noWrap w:val="0"/>
            <w:vAlign w:val="center"/>
          </w:tcPr>
          <w:p w14:paraId="0E7BE6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非联合体供应商</w:t>
            </w:r>
          </w:p>
          <w:p w14:paraId="4FC70F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（供应商须为小型、微型企业）</w:t>
            </w:r>
          </w:p>
        </w:tc>
        <w:tc>
          <w:tcPr>
            <w:tcW w:w="1576" w:type="pct"/>
            <w:noWrap w:val="0"/>
            <w:vAlign w:val="center"/>
          </w:tcPr>
          <w:p w14:paraId="376A94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rPr>
              <w:t>对小型和微型企业</w:t>
            </w:r>
            <w:r>
              <w:rPr>
                <w:rFonts w:hint="eastAsia"/>
                <w:color w:val="auto"/>
                <w:lang w:eastAsia="zh-CN"/>
              </w:rPr>
              <w:t>服务</w:t>
            </w:r>
            <w:r>
              <w:rPr>
                <w:rFonts w:hint="eastAsia"/>
                <w:color w:val="auto"/>
              </w:rPr>
              <w:t>的价格扣除</w:t>
            </w:r>
            <w:r>
              <w:rPr>
                <w:rFonts w:hint="eastAsia"/>
                <w:color w:val="auto"/>
                <w:lang w:val="en-US" w:eastAsia="zh-CN"/>
              </w:rPr>
              <w:t>10</w:t>
            </w:r>
            <w:r>
              <w:rPr>
                <w:rFonts w:hint="eastAsia"/>
                <w:color w:val="auto"/>
              </w:rPr>
              <w:t>%</w:t>
            </w:r>
          </w:p>
        </w:tc>
        <w:tc>
          <w:tcPr>
            <w:tcW w:w="1540" w:type="pct"/>
            <w:vMerge w:val="restart"/>
            <w:noWrap w:val="0"/>
            <w:vAlign w:val="center"/>
          </w:tcPr>
          <w:p w14:paraId="6F71AE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评</w:t>
            </w:r>
            <w:r>
              <w:rPr>
                <w:rFonts w:hint="eastAsia"/>
                <w:color w:val="auto"/>
              </w:rPr>
              <w:t>审</w:t>
            </w:r>
            <w:r>
              <w:rPr>
                <w:rFonts w:hint="eastAsia"/>
                <w:color w:val="auto"/>
                <w:lang w:val="en-GB"/>
              </w:rPr>
              <w:t>价＝</w:t>
            </w:r>
            <w:r>
              <w:rPr>
                <w:rFonts w:hint="eastAsia"/>
                <w:color w:val="auto"/>
              </w:rPr>
              <w:t>最后</w:t>
            </w:r>
            <w:r>
              <w:rPr>
                <w:rFonts w:hint="eastAsia"/>
                <w:color w:val="auto"/>
                <w:lang w:val="en-GB"/>
              </w:rPr>
              <w:t>报价—</w:t>
            </w:r>
            <w:r>
              <w:rPr>
                <w:rFonts w:hint="eastAsia"/>
                <w:color w:val="auto"/>
              </w:rPr>
              <w:t>小型和微型企业</w:t>
            </w:r>
            <w:r>
              <w:rPr>
                <w:rFonts w:hint="eastAsia"/>
                <w:color w:val="auto"/>
                <w:lang w:eastAsia="zh-CN"/>
              </w:rPr>
              <w:t>服务</w:t>
            </w:r>
            <w:r>
              <w:rPr>
                <w:rFonts w:hint="eastAsia"/>
                <w:color w:val="auto"/>
              </w:rPr>
              <w:t>的价格</w:t>
            </w:r>
            <w:r>
              <w:rPr>
                <w:rFonts w:hint="eastAsia"/>
                <w:color w:val="auto"/>
                <w:lang w:val="en-GB"/>
              </w:rPr>
              <w:t>×</w:t>
            </w:r>
            <w:r>
              <w:rPr>
                <w:rFonts w:hint="eastAsia"/>
                <w:color w:val="auto"/>
                <w:lang w:val="en-US" w:eastAsia="zh-CN"/>
              </w:rPr>
              <w:t>10</w:t>
            </w:r>
            <w:r>
              <w:rPr>
                <w:rFonts w:hint="eastAsia"/>
                <w:color w:val="auto"/>
              </w:rPr>
              <w:t>%</w:t>
            </w:r>
          </w:p>
        </w:tc>
      </w:tr>
      <w:tr w14:paraId="370D7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38" w:type="pct"/>
            <w:noWrap w:val="0"/>
            <w:vAlign w:val="center"/>
          </w:tcPr>
          <w:p w14:paraId="43E45E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2</w:t>
            </w:r>
          </w:p>
        </w:tc>
        <w:tc>
          <w:tcPr>
            <w:tcW w:w="1443" w:type="pct"/>
            <w:noWrap w:val="0"/>
            <w:vAlign w:val="center"/>
          </w:tcPr>
          <w:p w14:paraId="06783F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lang w:val="en-GB"/>
              </w:rPr>
              <w:t>联合体各方均为小型、微型企业</w:t>
            </w:r>
          </w:p>
        </w:tc>
        <w:tc>
          <w:tcPr>
            <w:tcW w:w="1576" w:type="pct"/>
            <w:noWrap w:val="0"/>
            <w:vAlign w:val="center"/>
          </w:tcPr>
          <w:p w14:paraId="2D5710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对小型和微型企业</w:t>
            </w:r>
            <w:r>
              <w:rPr>
                <w:rFonts w:hint="eastAsia"/>
                <w:color w:val="auto"/>
                <w:lang w:eastAsia="zh-CN"/>
              </w:rPr>
              <w:t>服务</w:t>
            </w:r>
            <w:r>
              <w:rPr>
                <w:rFonts w:hint="eastAsia"/>
                <w:color w:val="auto"/>
              </w:rPr>
              <w:t>的价格扣除</w:t>
            </w:r>
            <w:r>
              <w:rPr>
                <w:rFonts w:hint="eastAsia"/>
                <w:color w:val="auto"/>
                <w:lang w:val="en-US" w:eastAsia="zh-CN"/>
              </w:rPr>
              <w:t>10</w:t>
            </w:r>
            <w:r>
              <w:rPr>
                <w:rFonts w:hint="eastAsia"/>
                <w:color w:val="auto"/>
              </w:rPr>
              <w:t>%</w:t>
            </w:r>
          </w:p>
          <w:p w14:paraId="767222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rPr>
              <w:t>（不再享受序号3的价格折扣）</w:t>
            </w:r>
          </w:p>
        </w:tc>
        <w:tc>
          <w:tcPr>
            <w:tcW w:w="1540" w:type="pct"/>
            <w:vMerge w:val="continue"/>
            <w:noWrap w:val="0"/>
            <w:vAlign w:val="center"/>
          </w:tcPr>
          <w:p w14:paraId="5BD00D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p>
        </w:tc>
      </w:tr>
      <w:tr w14:paraId="69F4B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38" w:type="pct"/>
            <w:noWrap w:val="0"/>
            <w:vAlign w:val="center"/>
          </w:tcPr>
          <w:p w14:paraId="738BA6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3</w:t>
            </w:r>
          </w:p>
        </w:tc>
        <w:tc>
          <w:tcPr>
            <w:tcW w:w="1443" w:type="pct"/>
            <w:noWrap w:val="0"/>
            <w:vAlign w:val="center"/>
          </w:tcPr>
          <w:p w14:paraId="60D571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联合体一方为小型、微型企业且小型、微型企业协议合同金额占联合体协议合同总金额30%以上的</w:t>
            </w:r>
          </w:p>
        </w:tc>
        <w:tc>
          <w:tcPr>
            <w:tcW w:w="1576" w:type="pct"/>
            <w:noWrap w:val="0"/>
            <w:vAlign w:val="center"/>
          </w:tcPr>
          <w:p w14:paraId="5D4444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对联合体总金额扣除</w:t>
            </w:r>
          </w:p>
          <w:p w14:paraId="1C479F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US" w:eastAsia="zh-CN"/>
              </w:rPr>
              <w:t>4</w:t>
            </w:r>
            <w:r>
              <w:rPr>
                <w:rFonts w:hint="eastAsia"/>
                <w:color w:val="auto"/>
              </w:rPr>
              <w:t>%</w:t>
            </w:r>
          </w:p>
        </w:tc>
        <w:tc>
          <w:tcPr>
            <w:tcW w:w="1540" w:type="pct"/>
            <w:noWrap w:val="0"/>
            <w:vAlign w:val="center"/>
          </w:tcPr>
          <w:p w14:paraId="6594AD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lang w:val="en-GB"/>
              </w:rPr>
            </w:pPr>
            <w:r>
              <w:rPr>
                <w:rFonts w:hint="eastAsia"/>
                <w:color w:val="auto"/>
                <w:lang w:val="en-GB"/>
              </w:rPr>
              <w:t>评</w:t>
            </w:r>
            <w:r>
              <w:rPr>
                <w:rFonts w:hint="eastAsia"/>
                <w:color w:val="auto"/>
              </w:rPr>
              <w:t>审</w:t>
            </w:r>
            <w:r>
              <w:rPr>
                <w:rFonts w:hint="eastAsia"/>
                <w:color w:val="auto"/>
                <w:lang w:val="en-GB"/>
              </w:rPr>
              <w:t>价＝</w:t>
            </w:r>
            <w:r>
              <w:rPr>
                <w:rFonts w:hint="eastAsia"/>
                <w:color w:val="auto"/>
              </w:rPr>
              <w:t>最后</w:t>
            </w:r>
            <w:r>
              <w:rPr>
                <w:rFonts w:hint="eastAsia"/>
                <w:color w:val="auto"/>
                <w:lang w:val="en-GB"/>
              </w:rPr>
              <w:t>报价×（</w:t>
            </w:r>
            <w:r>
              <w:rPr>
                <w:rFonts w:hint="eastAsia"/>
                <w:color w:val="auto"/>
              </w:rPr>
              <w:t>1-</w:t>
            </w:r>
            <w:r>
              <w:rPr>
                <w:rFonts w:hint="eastAsia"/>
                <w:color w:val="auto"/>
                <w:lang w:val="en-US" w:eastAsia="zh-CN"/>
              </w:rPr>
              <w:t>4</w:t>
            </w:r>
            <w:r>
              <w:rPr>
                <w:rFonts w:hint="eastAsia"/>
                <w:color w:val="auto"/>
              </w:rPr>
              <w:t>%</w:t>
            </w:r>
            <w:r>
              <w:rPr>
                <w:rFonts w:hint="eastAsia"/>
                <w:color w:val="auto"/>
                <w:lang w:val="en-GB"/>
              </w:rPr>
              <w:t>）</w:t>
            </w:r>
          </w:p>
        </w:tc>
      </w:tr>
    </w:tbl>
    <w:p w14:paraId="3AE8C828">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color w:val="auto"/>
          <w:lang w:eastAsia="zh-CN"/>
        </w:rPr>
      </w:pPr>
      <w:r>
        <w:rPr>
          <w:rFonts w:hint="eastAsia"/>
          <w:color w:val="auto"/>
          <w:lang w:eastAsia="zh-CN"/>
        </w:rPr>
        <w:t xml:space="preserve">注： </w:t>
      </w:r>
    </w:p>
    <w:p w14:paraId="747AA253">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color w:val="auto"/>
          <w:lang w:eastAsia="zh-CN"/>
        </w:rPr>
      </w:pPr>
      <w:r>
        <w:rPr>
          <w:rFonts w:hint="eastAsia"/>
          <w:color w:val="auto"/>
          <w:lang w:eastAsia="zh-CN"/>
        </w:rPr>
        <w:t>（1）中型企业不享受以上优惠；</w:t>
      </w:r>
    </w:p>
    <w:p w14:paraId="40B772F5">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color w:val="auto"/>
          <w:lang w:eastAsia="zh-CN"/>
        </w:rPr>
      </w:pPr>
      <w:r>
        <w:rPr>
          <w:rFonts w:hint="eastAsia"/>
          <w:color w:val="auto"/>
          <w:lang w:eastAsia="zh-CN"/>
        </w:rPr>
        <w:t>（2）小型、微型企业提供中型企业制造的货物的，视同为中型企业；</w:t>
      </w:r>
    </w:p>
    <w:p w14:paraId="4AF71FFE">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color w:val="auto"/>
          <w:lang w:eastAsia="zh-CN"/>
        </w:rPr>
      </w:pPr>
      <w:r>
        <w:rPr>
          <w:rFonts w:hint="eastAsia"/>
          <w:color w:val="auto"/>
          <w:lang w:eastAsia="zh-CN"/>
        </w:rPr>
        <w:t>（3）小型和微型企业产品包括货物及其提供的服务与工程，无法认定小型和微型企业的，不享受价格扣除；</w:t>
      </w:r>
    </w:p>
    <w:p w14:paraId="05568B08">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color w:val="auto"/>
          <w:lang w:eastAsia="zh-CN"/>
        </w:rPr>
      </w:pPr>
      <w:r>
        <w:rPr>
          <w:rFonts w:hint="eastAsia"/>
          <w:color w:val="auto"/>
          <w:lang w:eastAsia="zh-CN"/>
        </w:rPr>
        <w:t>（4）监狱企业视同小微企业，监狱企业参加采购活动的提供由省级以上监狱管理局、戒毒管理局(含新疆生产建设兵团)出具的属于监狱企业的证明文件，不再提供《中小微企业声明函》；</w:t>
      </w:r>
    </w:p>
    <w:p w14:paraId="3B3FC9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color w:val="auto"/>
          <w:lang w:eastAsia="zh-CN"/>
        </w:rPr>
        <w:t>（5）残疾人福利性单位视同小型、微型企业，残疾人福利性单位属于小型、微型企业的，不重复享受政策。符合条件的残疾人福利性单位在参加政府采购活动时，应当提供《残疾人福利性单位声明函》。</w:t>
      </w:r>
      <w:r>
        <w:rPr>
          <w:rFonts w:hint="eastAsia" w:ascii="宋体" w:hAnsi="宋体" w:cs="宋体"/>
          <w:color w:val="auto"/>
          <w:szCs w:val="21"/>
          <w:highlight w:val="none"/>
          <w:shd w:val="clear" w:color="auto" w:fill="FFFFFF"/>
          <w:lang w:val="en-US" w:eastAsia="zh-CN"/>
        </w:rPr>
        <w:t xml:space="preserve"> </w:t>
      </w:r>
    </w:p>
    <w:p w14:paraId="1F99E39B">
      <w:pP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041900A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30"/>
          <w:szCs w:val="30"/>
          <w:shd w:val="clear" w:color="auto" w:fill="FFFFFF"/>
          <w:lang w:eastAsia="zh-CN"/>
        </w:rPr>
      </w:pPr>
      <w:r>
        <w:rPr>
          <w:rFonts w:hint="eastAsia" w:ascii="宋体" w:hAnsi="宋体" w:eastAsia="宋体" w:cs="宋体"/>
          <w:b/>
          <w:color w:val="auto"/>
          <w:sz w:val="30"/>
          <w:szCs w:val="30"/>
          <w:lang w:eastAsia="zh-CN"/>
        </w:rPr>
        <w:t>政府采购政策</w:t>
      </w:r>
    </w:p>
    <w:p w14:paraId="6E8F1D4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一、促进中小企业发展政策</w:t>
      </w:r>
    </w:p>
    <w:p w14:paraId="1061B5F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12D4334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财政部 工业和信息化部《政府采购促进中小企业发展管理办法》（财库﹝2020﹞46号）、财政部《关于进一步加大政府采购支持中小企业力度的通知》（财库﹝2022﹞19号）。</w:t>
      </w:r>
    </w:p>
    <w:p w14:paraId="2EC59B5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（二）中小企业的认定</w:t>
      </w:r>
    </w:p>
    <w:p w14:paraId="13AA64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1、在中华人民共和国境内依法设立，依据国务院批准的中小企业划分标准确定的中型企业、小型企业和微型企业，但与大企业的负责人为同一人，或者与大企业存在直接控股、管理关系的除外。</w:t>
      </w:r>
    </w:p>
    <w:p w14:paraId="0AE918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2、符合中小企业划分标准的个体工商户，在政府采购活动中视同中小企业。</w:t>
      </w:r>
    </w:p>
    <w:p w14:paraId="5C5E02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3、以联合体形式参加政府采购活动，联合体各方均为中小企业的，联合体视同中小企业。其中，联合体各方均为小微企业的，联合体视同小微企业。</w:t>
      </w:r>
    </w:p>
    <w:p w14:paraId="6AABEA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（三）中小企业需提供的证明材料</w:t>
      </w:r>
    </w:p>
    <w:p w14:paraId="55EAF2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中小企业参加政府采购活动，应当出具本采购文件规定的《中小企业声明函》，否则不得享受相关中小企业扶持政策。任何单位和个人不得要求供应商提供《中小企业声明函》之外的中小企业身份证明文件。</w:t>
      </w:r>
    </w:p>
    <w:p w14:paraId="541ADF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（四）中小企业扶持政策享受情形</w:t>
      </w:r>
    </w:p>
    <w:p w14:paraId="29A6645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在政府采购活动中，供应商提供的货物、工程或者服务符合下列情形的，享受相关中小企业扶持政策：</w:t>
      </w:r>
    </w:p>
    <w:p w14:paraId="17814A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1、在货物采购项目中，货物由中小企业制造，即货物由中小企业生产且使用该中小企业商号或者注册商标；</w:t>
      </w:r>
    </w:p>
    <w:p w14:paraId="730D7AD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2、在工程采购项目中，工程由中小企业承建，即工程施工单位为中小企业；</w:t>
      </w:r>
    </w:p>
    <w:p w14:paraId="066D75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3、在服务采购项目中，服务由中小企业承接，即提供服务的人员为中小企业依照《中华人民共和国劳动合同法》订立劳动合同的从业人员。</w:t>
      </w:r>
    </w:p>
    <w:p w14:paraId="067CBB1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在货物采购项目中，供应商提供的货物既有中小企业制造货物，也有大型企业制造货物的，不享受中小企业扶持政策。</w:t>
      </w:r>
    </w:p>
    <w:p w14:paraId="5796ECA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（五）中小企业扶持政策</w:t>
      </w:r>
    </w:p>
    <w:p w14:paraId="788F066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1、对于非专门面向中小企业采购的采购包，应当对符合本章规定的小微企业报价给予10%-20%（工程项目为3%</w:t>
      </w:r>
      <w:r>
        <w:rPr>
          <w:rFonts w:hint="eastAsia" w:ascii="宋体" w:hAnsi="宋体" w:cs="宋体"/>
          <w:color w:val="auto"/>
          <w:szCs w:val="21"/>
          <w:shd w:val="clear" w:color="auto" w:fill="FFFFFF"/>
          <w:lang w:val="en-US" w:eastAsia="zh-CN"/>
        </w:rPr>
        <w:t>-5%</w:t>
      </w:r>
      <w:r>
        <w:rPr>
          <w:rFonts w:hint="eastAsia" w:ascii="宋体" w:hAnsi="宋体" w:eastAsia="宋体" w:cs="宋体"/>
          <w:color w:val="auto"/>
          <w:szCs w:val="21"/>
          <w:shd w:val="clear" w:color="auto" w:fill="FFFFFF"/>
          <w:lang w:eastAsia="zh-CN"/>
        </w:rPr>
        <w:t>）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0C31D6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-6%（工程项目为1%</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eastAsia="zh-CN"/>
        </w:rPr>
        <w:t>）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BCC93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3、价格扣除比例或者价格分加分比例对小型企业和微型企业同等对待，不作区分。</w:t>
      </w:r>
    </w:p>
    <w:p w14:paraId="605A33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（六）合同分包要求</w:t>
      </w:r>
    </w:p>
    <w:p w14:paraId="271791E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1、享受扶持政策获得政府采购合同的，小微企业不得将合同分包给大中型企业，中型企业不得将合同分包给大型企业。</w:t>
      </w:r>
    </w:p>
    <w:p w14:paraId="223F06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11FB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（七）法律责任</w:t>
      </w:r>
    </w:p>
    <w:p w14:paraId="05BDC3C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供应商按照本采购文件规定提供声明函内容不实的，属于提供虚假材料谋取中标、成交，依照《中华人民共和国政府采购法》等国家有关规定追究相应责任。</w:t>
      </w:r>
    </w:p>
    <w:p w14:paraId="0C948EB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二、支持监狱企业发展政策</w:t>
      </w:r>
    </w:p>
    <w:p w14:paraId="2560B6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0CE4F0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财政部 司法部《关于政府采购支持监狱企业发展有关问题的通知》（财库〔2014〕68号）。</w:t>
      </w:r>
    </w:p>
    <w:p w14:paraId="11BAED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（二）监狱企业的认定</w:t>
      </w:r>
    </w:p>
    <w:p w14:paraId="30209B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936FD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（三）监狱企业需提供的证明材料</w:t>
      </w:r>
    </w:p>
    <w:p w14:paraId="20A8545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监狱企业参加政府采购活动时，应当提供由省级以上监狱管理局、戒毒管理局（含新疆生产建设兵团）出具的属于监狱企业的证明文件。</w:t>
      </w:r>
    </w:p>
    <w:p w14:paraId="3B0028F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（四）监狱企业支持政策</w:t>
      </w:r>
    </w:p>
    <w:p w14:paraId="55A3A39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FDB132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三、支持残疾人福利性单位发展政策</w:t>
      </w:r>
    </w:p>
    <w:p w14:paraId="43B4551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4C9F86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财政部 民政部 中国残疾人联合会《关于促进残疾人就业政府采购政策的通知》（财库[2017]141号）。</w:t>
      </w:r>
    </w:p>
    <w:p w14:paraId="15B8956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（二）残疾人福利性单位的认定</w:t>
      </w:r>
    </w:p>
    <w:p w14:paraId="41C230E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享受政府采购支持政策的残疾人福利性单位应当同时满足以下条件：</w:t>
      </w:r>
    </w:p>
    <w:p w14:paraId="54EEB1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1、安置的残疾人占本单位在职职工人数的比例不低于25%(含25%)，并且安置的残疾人人数不少于10人(含10人)；</w:t>
      </w:r>
    </w:p>
    <w:p w14:paraId="68BED4F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2、依法与安置的每位残疾人签订了一年以上(含一年)的劳动合同或服务协议；</w:t>
      </w:r>
    </w:p>
    <w:p w14:paraId="589932E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3、为安置的每位残疾人按月足额缴纳了基本养老保险、基本医疗保险、失业保险、工伤保险和生育保险等社会保险费；</w:t>
      </w:r>
    </w:p>
    <w:p w14:paraId="1EC6DE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4、通过银行等金融机构向安置的每位残疾人，按月支付了不低于单位所在区县适用的经省级人民政府批准的月最低工资标准的工资；</w:t>
      </w:r>
    </w:p>
    <w:p w14:paraId="0AAD37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5、提供本单位制造的货物、承担的工程或者服务(以下简称产品)，或者提供其他残疾人福利性单位制造的货物(不包括使用非残疾人福利性单位注册商标的货物)。</w:t>
      </w:r>
    </w:p>
    <w:p w14:paraId="3B32CB4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75F0E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（三）残疾人福利性单位需提供的证明材料</w:t>
      </w:r>
    </w:p>
    <w:p w14:paraId="71A5A46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符合条件的残疾人福利性单位在参加政府采购活动时，应当出具本采购文件规定的《残疾人福利性单位声明函》，并对声明的真实性负责。</w:t>
      </w:r>
    </w:p>
    <w:p w14:paraId="204ED57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（四）残疾人福利性单位支持政策</w:t>
      </w:r>
    </w:p>
    <w:p w14:paraId="25BA9C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59BA7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（五）法律责任</w:t>
      </w:r>
    </w:p>
    <w:p w14:paraId="0CEC86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供应商按照本采购文件规定提供声明函内容不实的，属于提供虚假材料谋取中标、成交，依照《中华人民共和国政府采购法》等国家有关规定追究相应责任。</w:t>
      </w:r>
    </w:p>
    <w:p w14:paraId="5239C1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四、强制、优先采购节能产品、环境标志产品政策</w:t>
      </w:r>
    </w:p>
    <w:p w14:paraId="001615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0CA90B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1、财政部 发展改革委 生态环境部 市场监管总局《关于调整优化节能产品、环境标志产品政府采购执行机制的通知》（财库〔2019〕9号）。</w:t>
      </w:r>
    </w:p>
    <w:p w14:paraId="683EAE7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2、财政部 生态环境部《关于印发环境标志产品政府采购品目清单的通知》（财库〔2019〕18号）。</w:t>
      </w:r>
    </w:p>
    <w:p w14:paraId="1697A9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3、财政部 发展改革委《关于印发节能产品政府采购品目清单的通知》（财库〔2019〕19号）。</w:t>
      </w:r>
    </w:p>
    <w:p w14:paraId="6F42021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（二）节能产品、环境标志产品的品目</w:t>
      </w:r>
    </w:p>
    <w:p w14:paraId="21243CF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政府采购节能产品、环境标志产品实施品目清单管理，详见《节能产品政府采购品目清单》、《环境标志产品政府采购品目清单》。</w:t>
      </w:r>
    </w:p>
    <w:p w14:paraId="4263732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（三）节能产品、环境标志产品需提供的证明材料</w:t>
      </w:r>
    </w:p>
    <w:p w14:paraId="480054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9F176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（四）节能产品、环境标志产品采购政策</w:t>
      </w:r>
    </w:p>
    <w:p w14:paraId="27AB6FE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人拟采购的产品属于品目清单范围，且属于强制采购品目的，实行强制采购。本采购文件要求具有强制采购认证证书的产品，供应商必须在《节能产品、环境标志产品强制采购认证证书一览表》中，填写所投产品获得的、有效的认证证书相关信息，并提供对应的认证证书扫描件，否则投标、响应无效。</w:t>
      </w:r>
    </w:p>
    <w:p w14:paraId="0904EB6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w:t>
      </w:r>
    </w:p>
    <w:p w14:paraId="436EC861">
      <w:pPr>
        <w:autoSpaceDE w:val="0"/>
        <w:autoSpaceDN w:val="0"/>
        <w:adjustRightInd w:val="0"/>
        <w:jc w:val="left"/>
        <w:rPr>
          <w:rFonts w:hint="eastAsia" w:ascii="宋体" w:hAnsi="宋体" w:eastAsia="宋体" w:cs="宋体"/>
          <w:b/>
          <w:color w:val="auto"/>
          <w:sz w:val="30"/>
          <w:szCs w:val="30"/>
          <w:lang w:eastAsia="zh-CN"/>
        </w:rPr>
      </w:pPr>
    </w:p>
    <w:p w14:paraId="63CD3717">
      <w:pPr>
        <w:pStyle w:val="2"/>
        <w:rPr>
          <w:rFonts w:hint="eastAsia" w:ascii="宋体" w:hAnsi="宋体" w:eastAsia="宋体" w:cs="宋体"/>
          <w:color w:val="auto"/>
          <w:lang w:eastAsia="zh-CN"/>
        </w:rPr>
        <w:sectPr>
          <w:footerReference r:id="rId9" w:type="first"/>
          <w:footerReference r:id="rId8" w:type="default"/>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p>
    <w:p w14:paraId="34A6E22C">
      <w:pPr>
        <w:pStyle w:val="2"/>
        <w:bidi w:val="0"/>
        <w:jc w:val="center"/>
        <w:rPr>
          <w:rFonts w:hint="eastAsia" w:ascii="宋体" w:hAnsi="宋体" w:eastAsia="宋体" w:cs="宋体"/>
          <w:color w:val="auto"/>
          <w:highlight w:val="none"/>
        </w:rPr>
      </w:pPr>
      <w:bookmarkStart w:id="114" w:name="_Toc359494610"/>
      <w:bookmarkStart w:id="115" w:name="_Toc8788"/>
      <w:bookmarkStart w:id="116" w:name="_Toc12031"/>
      <w:bookmarkStart w:id="117" w:name="_Toc29547242"/>
      <w:bookmarkStart w:id="118" w:name="_Toc2054"/>
      <w:r>
        <w:rPr>
          <w:rFonts w:hint="eastAsia" w:ascii="宋体" w:hAnsi="宋体" w:eastAsia="宋体" w:cs="宋体"/>
          <w:b/>
          <w:color w:val="auto"/>
          <w:kern w:val="44"/>
          <w:sz w:val="44"/>
          <w:szCs w:val="22"/>
          <w:highlight w:val="none"/>
          <w:lang w:val="en-US" w:eastAsia="zh-CN" w:bidi="ar-SA"/>
        </w:rPr>
        <w:t>第四章  合同条款及格式</w:t>
      </w:r>
      <w:bookmarkEnd w:id="114"/>
      <w:bookmarkEnd w:id="115"/>
      <w:bookmarkEnd w:id="116"/>
      <w:bookmarkEnd w:id="117"/>
      <w:bookmarkEnd w:id="118"/>
    </w:p>
    <w:p w14:paraId="30FA2390">
      <w:pPr>
        <w:pStyle w:val="26"/>
        <w:tabs>
          <w:tab w:val="left" w:pos="573"/>
          <w:tab w:val="clear" w:pos="1365"/>
        </w:tabs>
        <w:adjustRightInd w:val="0"/>
        <w:snapToGrid w:val="0"/>
        <w:ind w:firstLine="480" w:firstLineChars="200"/>
        <w:jc w:val="center"/>
        <w:rPr>
          <w:rFonts w:hint="eastAsia" w:ascii="宋体" w:hAnsi="宋体" w:eastAsia="宋体" w:cs="宋体"/>
          <w:color w:val="auto"/>
          <w:sz w:val="24"/>
          <w:szCs w:val="24"/>
          <w:highlight w:val="none"/>
        </w:rPr>
      </w:pPr>
      <w:bookmarkStart w:id="119" w:name="_Toc359494611"/>
      <w:r>
        <w:rPr>
          <w:rFonts w:hint="eastAsia" w:cs="宋体"/>
          <w:color w:val="auto"/>
          <w:sz w:val="24"/>
          <w:szCs w:val="24"/>
          <w:highlight w:val="none"/>
          <w:lang w:val="en-US" w:eastAsia="zh-CN"/>
        </w:rPr>
        <w:t>参考格式，</w:t>
      </w:r>
      <w:r>
        <w:rPr>
          <w:rFonts w:hint="eastAsia" w:ascii="宋体" w:hAnsi="宋体" w:eastAsia="宋体" w:cs="宋体"/>
          <w:color w:val="auto"/>
          <w:sz w:val="24"/>
          <w:szCs w:val="24"/>
          <w:highlight w:val="none"/>
        </w:rPr>
        <w:t>以最终签订合同为准。</w:t>
      </w:r>
    </w:p>
    <w:p w14:paraId="14F506DF">
      <w:pPr>
        <w:rPr>
          <w:color w:val="auto"/>
        </w:rPr>
      </w:pPr>
    </w:p>
    <w:p w14:paraId="4D401D1D">
      <w:pPr>
        <w:rPr>
          <w:color w:val="auto"/>
        </w:rPr>
      </w:pPr>
    </w:p>
    <w:p w14:paraId="1024D93D">
      <w:pPr>
        <w:rPr>
          <w:rFonts w:hAnsi="宋体" w:cs="宋体"/>
          <w:color w:val="auto"/>
          <w:sz w:val="24"/>
        </w:rPr>
      </w:pPr>
    </w:p>
    <w:p w14:paraId="4CF122B5">
      <w:pPr>
        <w:rPr>
          <w:rFonts w:hAnsi="宋体" w:cs="宋体"/>
          <w:color w:val="auto"/>
          <w:sz w:val="24"/>
        </w:rPr>
      </w:pPr>
    </w:p>
    <w:p w14:paraId="009FAC8F">
      <w:pPr>
        <w:rPr>
          <w:rFonts w:hAnsi="宋体" w:cs="宋体"/>
          <w:color w:val="auto"/>
          <w:sz w:val="24"/>
        </w:rPr>
      </w:pPr>
    </w:p>
    <w:p w14:paraId="3AB3B06B">
      <w:pPr>
        <w:rPr>
          <w:rFonts w:hAnsi="宋体" w:cs="宋体"/>
          <w:color w:val="auto"/>
          <w:sz w:val="24"/>
        </w:rPr>
      </w:pPr>
    </w:p>
    <w:p w14:paraId="2CEA5002">
      <w:pPr>
        <w:rPr>
          <w:rFonts w:hAnsi="宋体" w:cs="宋体"/>
          <w:color w:val="auto"/>
          <w:sz w:val="24"/>
        </w:rPr>
      </w:pPr>
    </w:p>
    <w:p w14:paraId="1C70D2F0">
      <w:pPr>
        <w:rPr>
          <w:rFonts w:hAnsi="宋体" w:cs="宋体"/>
          <w:color w:val="auto"/>
          <w:sz w:val="24"/>
        </w:rPr>
      </w:pPr>
    </w:p>
    <w:p w14:paraId="683C29AB">
      <w:pPr>
        <w:rPr>
          <w:color w:val="auto"/>
        </w:rPr>
      </w:pPr>
    </w:p>
    <w:p w14:paraId="52915BF3">
      <w:pPr>
        <w:rPr>
          <w:rFonts w:ascii="黑体" w:hAnsi="黑体" w:eastAsia="黑体" w:cs="黑体"/>
          <w:color w:val="auto"/>
          <w:sz w:val="32"/>
          <w:szCs w:val="32"/>
        </w:rPr>
      </w:pPr>
      <w:r>
        <w:rPr>
          <w:rFonts w:hint="eastAsia" w:ascii="黑体" w:hAnsi="黑体" w:eastAsia="黑体" w:cs="黑体"/>
          <w:color w:val="auto"/>
          <w:sz w:val="32"/>
          <w:szCs w:val="32"/>
        </w:rPr>
        <w:t xml:space="preserve">采购项目编号：                              </w:t>
      </w:r>
    </w:p>
    <w:p w14:paraId="35DA0951">
      <w:pPr>
        <w:rPr>
          <w:rFonts w:ascii="黑体" w:hAnsi="黑体" w:eastAsia="黑体" w:cs="黑体"/>
          <w:color w:val="auto"/>
          <w:sz w:val="32"/>
          <w:szCs w:val="32"/>
        </w:rPr>
      </w:pPr>
    </w:p>
    <w:p w14:paraId="65874659">
      <w:pPr>
        <w:rPr>
          <w:color w:val="auto"/>
        </w:rPr>
      </w:pPr>
      <w:r>
        <w:rPr>
          <w:rFonts w:hint="eastAsia" w:ascii="黑体" w:hAnsi="黑体" w:eastAsia="黑体" w:cs="黑体"/>
          <w:color w:val="auto"/>
          <w:sz w:val="32"/>
          <w:szCs w:val="32"/>
        </w:rPr>
        <w:t xml:space="preserve">采购项目名称：     </w:t>
      </w:r>
      <w:r>
        <w:rPr>
          <w:rFonts w:hint="eastAsia"/>
          <w:color w:val="auto"/>
        </w:rPr>
        <w:t xml:space="preserve">                             </w:t>
      </w:r>
    </w:p>
    <w:p w14:paraId="2CB824D8">
      <w:pPr>
        <w:rPr>
          <w:color w:val="auto"/>
        </w:rPr>
      </w:pPr>
    </w:p>
    <w:p w14:paraId="0C71A0CA">
      <w:pPr>
        <w:rPr>
          <w:color w:val="auto"/>
        </w:rPr>
      </w:pPr>
      <w:r>
        <w:rPr>
          <w:rFonts w:hint="eastAsia"/>
          <w:color w:val="auto"/>
        </w:rPr>
        <w:t xml:space="preserve">                              </w:t>
      </w:r>
    </w:p>
    <w:p w14:paraId="315C2E57">
      <w:pPr>
        <w:rPr>
          <w:color w:val="auto"/>
        </w:rPr>
      </w:pPr>
    </w:p>
    <w:p w14:paraId="23C7336D">
      <w:pPr>
        <w:rPr>
          <w:color w:val="auto"/>
        </w:rPr>
      </w:pPr>
    </w:p>
    <w:p w14:paraId="766CF6AF">
      <w:pPr>
        <w:rPr>
          <w:color w:val="auto"/>
        </w:rPr>
      </w:pPr>
    </w:p>
    <w:p w14:paraId="3FC74097">
      <w:pPr>
        <w:rPr>
          <w:color w:val="auto"/>
        </w:rPr>
      </w:pPr>
    </w:p>
    <w:p w14:paraId="6B6A764A">
      <w:pPr>
        <w:rPr>
          <w:color w:val="auto"/>
        </w:rPr>
      </w:pPr>
    </w:p>
    <w:p w14:paraId="6D21B498">
      <w:pPr>
        <w:rPr>
          <w:color w:val="auto"/>
        </w:rPr>
      </w:pPr>
    </w:p>
    <w:p w14:paraId="491CF15C">
      <w:pPr>
        <w:rPr>
          <w:color w:val="auto"/>
        </w:rPr>
      </w:pPr>
    </w:p>
    <w:p w14:paraId="0092B0E0">
      <w:pPr>
        <w:rPr>
          <w:color w:val="auto"/>
        </w:rPr>
      </w:pPr>
    </w:p>
    <w:p w14:paraId="5BF9B673">
      <w:pPr>
        <w:rPr>
          <w:color w:val="auto"/>
        </w:rPr>
      </w:pPr>
    </w:p>
    <w:p w14:paraId="1841A9F1">
      <w:pPr>
        <w:rPr>
          <w:rFonts w:ascii="黑体" w:hAnsi="黑体" w:eastAsia="黑体" w:cs="黑体"/>
          <w:color w:val="auto"/>
          <w:sz w:val="32"/>
          <w:szCs w:val="32"/>
        </w:rPr>
      </w:pPr>
      <w:r>
        <w:rPr>
          <w:rFonts w:hint="eastAsia" w:ascii="黑体" w:hAnsi="黑体" w:eastAsia="黑体" w:cs="黑体"/>
          <w:color w:val="auto"/>
          <w:sz w:val="32"/>
          <w:szCs w:val="32"/>
        </w:rPr>
        <w:t xml:space="preserve">买    方：                                 </w:t>
      </w:r>
    </w:p>
    <w:p w14:paraId="0E8BAFC3">
      <w:pPr>
        <w:rPr>
          <w:rFonts w:ascii="黑体" w:hAnsi="黑体" w:eastAsia="黑体" w:cs="黑体"/>
          <w:color w:val="auto"/>
          <w:sz w:val="32"/>
          <w:szCs w:val="32"/>
        </w:rPr>
      </w:pPr>
    </w:p>
    <w:p w14:paraId="15B3F9C5">
      <w:pPr>
        <w:rPr>
          <w:rFonts w:ascii="黑体" w:hAnsi="黑体" w:eastAsia="黑体" w:cs="黑体"/>
          <w:color w:val="auto"/>
          <w:sz w:val="32"/>
          <w:szCs w:val="32"/>
        </w:rPr>
      </w:pPr>
      <w:r>
        <w:rPr>
          <w:rFonts w:hint="eastAsia" w:ascii="黑体" w:hAnsi="黑体" w:eastAsia="黑体" w:cs="黑体"/>
          <w:color w:val="auto"/>
          <w:sz w:val="32"/>
          <w:szCs w:val="32"/>
        </w:rPr>
        <w:t xml:space="preserve">卖    方：                                 </w:t>
      </w:r>
    </w:p>
    <w:p w14:paraId="09C30020">
      <w:pPr>
        <w:rPr>
          <w:rFonts w:ascii="黑体" w:hAnsi="黑体" w:eastAsia="黑体" w:cs="黑体"/>
          <w:color w:val="auto"/>
          <w:sz w:val="32"/>
          <w:szCs w:val="32"/>
        </w:rPr>
      </w:pPr>
    </w:p>
    <w:p w14:paraId="56EBAAA7">
      <w:pPr>
        <w:rPr>
          <w:color w:val="auto"/>
        </w:rPr>
      </w:pPr>
      <w:r>
        <w:rPr>
          <w:rFonts w:hint="eastAsia" w:ascii="黑体" w:hAnsi="黑体" w:eastAsia="黑体" w:cs="黑体"/>
          <w:color w:val="auto"/>
          <w:sz w:val="32"/>
          <w:szCs w:val="32"/>
        </w:rPr>
        <w:t>签署日期：</w:t>
      </w:r>
      <w:r>
        <w:rPr>
          <w:rFonts w:hint="eastAsia"/>
          <w:color w:val="auto"/>
        </w:rPr>
        <w:t xml:space="preserve">                                 </w:t>
      </w:r>
    </w:p>
    <w:p w14:paraId="3D7AFA83">
      <w:pPr>
        <w:rPr>
          <w:color w:val="auto"/>
        </w:rPr>
      </w:pPr>
    </w:p>
    <w:p w14:paraId="2BCF69A9">
      <w:pPr>
        <w:jc w:val="center"/>
        <w:rPr>
          <w:b/>
          <w:bCs/>
          <w:color w:val="auto"/>
          <w:sz w:val="32"/>
          <w:szCs w:val="32"/>
        </w:rPr>
      </w:pPr>
      <w:r>
        <w:rPr>
          <w:rFonts w:hint="eastAsia"/>
          <w:b/>
          <w:bCs/>
          <w:color w:val="auto"/>
          <w:sz w:val="32"/>
          <w:szCs w:val="32"/>
        </w:rPr>
        <w:t>合同书（格式）</w:t>
      </w:r>
    </w:p>
    <w:p w14:paraId="06C10F77">
      <w:pPr>
        <w:rPr>
          <w:color w:val="auto"/>
        </w:rPr>
      </w:pPr>
    </w:p>
    <w:p w14:paraId="310A7082">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u w:val="single"/>
        </w:rPr>
        <w:t xml:space="preserve">       </w:t>
      </w:r>
      <w:r>
        <w:rPr>
          <w:rFonts w:hint="eastAsia"/>
          <w:color w:val="auto"/>
          <w:sz w:val="21"/>
          <w:szCs w:val="21"/>
        </w:rPr>
        <w:t>（以下简称买方）</w:t>
      </w:r>
      <w:r>
        <w:rPr>
          <w:rFonts w:hint="eastAsia"/>
          <w:color w:val="auto"/>
          <w:sz w:val="21"/>
          <w:szCs w:val="21"/>
          <w:u w:val="single"/>
        </w:rPr>
        <w:t xml:space="preserve">      </w:t>
      </w:r>
      <w:r>
        <w:rPr>
          <w:rFonts w:hint="eastAsia"/>
          <w:color w:val="auto"/>
          <w:sz w:val="21"/>
          <w:szCs w:val="21"/>
        </w:rPr>
        <w:t>（项目名称）项目中所需</w:t>
      </w:r>
      <w:r>
        <w:rPr>
          <w:rFonts w:hint="eastAsia"/>
          <w:color w:val="auto"/>
          <w:sz w:val="21"/>
          <w:szCs w:val="21"/>
          <w:u w:val="single"/>
        </w:rPr>
        <w:t xml:space="preserve">        </w:t>
      </w:r>
      <w:r>
        <w:rPr>
          <w:rFonts w:hint="eastAsia"/>
          <w:color w:val="auto"/>
          <w:sz w:val="21"/>
          <w:szCs w:val="21"/>
        </w:rPr>
        <w:t>（服务名称）经</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（采购项目编号）号采购文件实施政府采购。经评定，</w:t>
      </w:r>
      <w:r>
        <w:rPr>
          <w:rFonts w:hint="eastAsia"/>
          <w:color w:val="auto"/>
          <w:sz w:val="21"/>
          <w:szCs w:val="21"/>
          <w:u w:val="single"/>
        </w:rPr>
        <w:t xml:space="preserve">       （</w:t>
      </w:r>
      <w:r>
        <w:rPr>
          <w:rFonts w:hint="eastAsia"/>
          <w:color w:val="auto"/>
          <w:sz w:val="21"/>
          <w:szCs w:val="21"/>
        </w:rPr>
        <w:t>以下简称卖方）为中标供应商。鉴于买方为获得以下服务，依据《中华人民共和国</w:t>
      </w:r>
      <w:r>
        <w:rPr>
          <w:rFonts w:hint="eastAsia" w:ascii="宋体" w:hAnsi="宋体" w:cs="宋体"/>
          <w:color w:val="auto"/>
          <w:sz w:val="21"/>
          <w:szCs w:val="21"/>
          <w:highlight w:val="none"/>
          <w:lang w:eastAsia="zh-CN"/>
        </w:rPr>
        <w:t>民法典</w:t>
      </w:r>
      <w:r>
        <w:rPr>
          <w:rFonts w:hint="eastAsia"/>
          <w:color w:val="auto"/>
          <w:sz w:val="21"/>
          <w:szCs w:val="21"/>
        </w:rPr>
        <w:t>》《中华人民共和国政府采购法》及其有关规定，买卖双方同意按照下述的条款和条件，签署本合同。</w:t>
      </w:r>
    </w:p>
    <w:p w14:paraId="4C2148BD">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olor w:val="auto"/>
          <w:sz w:val="21"/>
          <w:szCs w:val="21"/>
        </w:rPr>
      </w:pPr>
      <w:r>
        <w:rPr>
          <w:rFonts w:hint="eastAsia" w:ascii="黑体" w:hAnsi="黑体" w:eastAsia="黑体"/>
          <w:color w:val="auto"/>
          <w:sz w:val="21"/>
          <w:szCs w:val="21"/>
        </w:rPr>
        <w:t>一、合同文件</w:t>
      </w:r>
    </w:p>
    <w:p w14:paraId="4ED3B81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下列文件是构成合同的组成部分，应该认为是一个整体。彼此相互解释、相互补充。如果合同文件之间存在矛盾或不一致之处，以下述文件的排列顺序在先者为准。组成合同的文件如下：</w:t>
      </w:r>
    </w:p>
    <w:p w14:paraId="4A859F9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1.本合同书</w:t>
      </w:r>
    </w:p>
    <w:p w14:paraId="1B2BFD8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2.中标通知书</w:t>
      </w:r>
    </w:p>
    <w:p w14:paraId="13359CB8">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3.合同修改协议</w:t>
      </w:r>
    </w:p>
    <w:p w14:paraId="09E8B9C7">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4.投标文件（含澄清文件）</w:t>
      </w:r>
    </w:p>
    <w:p w14:paraId="5A468C94">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5.招标文件（含补遗文件、修改文件）</w:t>
      </w:r>
    </w:p>
    <w:p w14:paraId="5161003C">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二、服务名称及数量</w:t>
      </w:r>
    </w:p>
    <w:p w14:paraId="6437D8F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本合同所提供的服务及数量详见招标文件的《项目招标需求》。</w:t>
      </w:r>
    </w:p>
    <w:p w14:paraId="28CEB8F4">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三、合同金额</w:t>
      </w:r>
    </w:p>
    <w:p w14:paraId="038C74A3">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本合同金额为(大写)                元人民币（￥：            元人民币）。</w:t>
      </w:r>
    </w:p>
    <w:p w14:paraId="0204286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合同金额应包含本招标内容全部工作所需的一切费用，包括各项成本、利润、税金等。</w:t>
      </w:r>
    </w:p>
    <w:p w14:paraId="41FDCD91">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四、资金支付</w:t>
      </w:r>
    </w:p>
    <w:p w14:paraId="042B053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color w:val="auto"/>
          <w:sz w:val="21"/>
          <w:szCs w:val="21"/>
        </w:rPr>
        <w:t>本合同的资金支付详见招标文件的《项目招标需求》。</w:t>
      </w:r>
      <w:r>
        <w:rPr>
          <w:rFonts w:hint="eastAsia" w:hAnsi="宋体" w:cs="宋体"/>
          <w:color w:val="auto"/>
          <w:sz w:val="21"/>
          <w:szCs w:val="21"/>
        </w:rPr>
        <w:t xml:space="preserve">  </w:t>
      </w:r>
    </w:p>
    <w:p w14:paraId="742355C9">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五、服务期限和服务地点</w:t>
      </w:r>
    </w:p>
    <w:p w14:paraId="3915BCA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本合同的服务期限和服务地点详见招标文件的《项目招标需求》。</w:t>
      </w:r>
    </w:p>
    <w:p w14:paraId="4E13052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六、质量保证和服务承诺</w:t>
      </w:r>
    </w:p>
    <w:p w14:paraId="336313C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本合同的质量保证和服务承诺：</w:t>
      </w:r>
    </w:p>
    <w:p w14:paraId="253578A0">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s="黑体"/>
          <w:color w:val="auto"/>
          <w:sz w:val="21"/>
          <w:szCs w:val="21"/>
        </w:rPr>
      </w:pPr>
      <w:r>
        <w:rPr>
          <w:rFonts w:hint="eastAsia" w:ascii="黑体" w:hAnsi="黑体" w:eastAsia="黑体" w:cs="黑体"/>
          <w:color w:val="auto"/>
          <w:sz w:val="21"/>
          <w:szCs w:val="21"/>
        </w:rPr>
        <w:t>七、买方的权利和义务</w:t>
      </w:r>
    </w:p>
    <w:p w14:paraId="3B2A36F1">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s="黑体"/>
          <w:color w:val="auto"/>
          <w:sz w:val="21"/>
          <w:szCs w:val="21"/>
        </w:rPr>
      </w:pPr>
      <w:r>
        <w:rPr>
          <w:rFonts w:hint="eastAsia" w:ascii="黑体" w:hAnsi="黑体" w:eastAsia="黑体" w:cs="黑体"/>
          <w:color w:val="auto"/>
          <w:sz w:val="21"/>
          <w:szCs w:val="21"/>
        </w:rPr>
        <w:t>八、卖方的权利和义务</w:t>
      </w:r>
    </w:p>
    <w:p w14:paraId="71F987CD">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九、验收标准和要求</w:t>
      </w:r>
    </w:p>
    <w:p w14:paraId="19FAFBE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 xml:space="preserve">本合同的验收标准和要求：                                </w:t>
      </w:r>
    </w:p>
    <w:p w14:paraId="2258CD6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十、知识产权与保密</w:t>
      </w:r>
    </w:p>
    <w:p w14:paraId="5A412DE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 xml:space="preserve">本合同的知识产权要求： </w:t>
      </w:r>
    </w:p>
    <w:p w14:paraId="73716C4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本合同的保密要求：</w:t>
      </w:r>
    </w:p>
    <w:p w14:paraId="1FA76271">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十一、履约保证金</w:t>
      </w:r>
    </w:p>
    <w:p w14:paraId="3875605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卖方应在中标结果确定后、签署本合同前按照招标文件的规定向</w:t>
      </w:r>
      <w:r>
        <w:rPr>
          <w:rFonts w:hint="eastAsia" w:hAnsi="宋体" w:cs="宋体"/>
          <w:color w:val="auto"/>
          <w:sz w:val="21"/>
          <w:szCs w:val="21"/>
          <w:u w:val="single"/>
        </w:rPr>
        <w:t xml:space="preserve">          </w:t>
      </w:r>
      <w:r>
        <w:rPr>
          <w:rFonts w:hint="eastAsia" w:hAnsi="宋体" w:cs="宋体"/>
          <w:color w:val="auto"/>
          <w:sz w:val="21"/>
          <w:szCs w:val="21"/>
        </w:rPr>
        <w:t>提交。</w:t>
      </w:r>
    </w:p>
    <w:p w14:paraId="22FBA64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履约保证金用于补偿买方因卖方不能履行合同义务而蒙受的损失。</w:t>
      </w:r>
    </w:p>
    <w:p w14:paraId="7B68876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履约保证金按政府采购有关规定返还。</w:t>
      </w:r>
    </w:p>
    <w:p w14:paraId="0A4D434C">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s="黑体"/>
          <w:color w:val="auto"/>
          <w:sz w:val="21"/>
          <w:szCs w:val="21"/>
        </w:rPr>
      </w:pPr>
      <w:r>
        <w:rPr>
          <w:rFonts w:hint="eastAsia" w:ascii="黑体" w:hAnsi="黑体" w:eastAsia="黑体" w:cs="黑体"/>
          <w:color w:val="auto"/>
          <w:sz w:val="21"/>
          <w:szCs w:val="21"/>
        </w:rPr>
        <w:t>十二、合同中止、解除</w:t>
      </w:r>
    </w:p>
    <w:p w14:paraId="7A994C8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1.因客观不可预见，致本合同不能履行，本合同可中止；待影响消除后，本合同继续履行；</w:t>
      </w:r>
    </w:p>
    <w:p w14:paraId="02C3E0C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2.遇不可抗力因素或国家政策变化，本合同可解除；</w:t>
      </w:r>
    </w:p>
    <w:p w14:paraId="30EA232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3.因一方违约，另一方可解除本合同；</w:t>
      </w:r>
    </w:p>
    <w:p w14:paraId="35A099C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4.其他约定：</w:t>
      </w:r>
    </w:p>
    <w:p w14:paraId="6DA9D912">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十三、违约责任</w:t>
      </w:r>
    </w:p>
    <w:p w14:paraId="2C8205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本合同的违约责任：</w:t>
      </w:r>
    </w:p>
    <w:p w14:paraId="5078AB8F">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十四、争议解决</w:t>
      </w:r>
    </w:p>
    <w:p w14:paraId="0B05A9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本合同发生争议，由双方协商或由政府采购监管部门调解解决，协商或调解不成时按以下第      种方式解决：</w:t>
      </w:r>
    </w:p>
    <w:p w14:paraId="42D32A9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1.通化仲裁委员会仲裁；</w:t>
      </w:r>
    </w:p>
    <w:p w14:paraId="20817E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2.向甲方所在地人民法院提起诉讼。</w:t>
      </w:r>
    </w:p>
    <w:p w14:paraId="788AD704">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十五、合同生效及其它</w:t>
      </w:r>
    </w:p>
    <w:p w14:paraId="6D026742">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47627E0">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本合同一式三份，具同等法律效力。买卖双方各执一份。</w:t>
      </w:r>
      <w:r>
        <w:rPr>
          <w:rFonts w:hint="eastAsia" w:hAnsi="宋体" w:cs="宋体"/>
          <w:color w:val="auto"/>
          <w:sz w:val="21"/>
          <w:szCs w:val="21"/>
          <w:u w:val="single"/>
        </w:rPr>
        <w:t xml:space="preserve">             </w:t>
      </w:r>
      <w:r>
        <w:rPr>
          <w:rFonts w:hint="eastAsia" w:hAnsi="宋体" w:cs="宋体"/>
          <w:color w:val="auto"/>
          <w:sz w:val="21"/>
          <w:szCs w:val="21"/>
        </w:rPr>
        <w:t>存档一份。</w:t>
      </w:r>
    </w:p>
    <w:p w14:paraId="318755C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十六、补充条款</w:t>
      </w:r>
    </w:p>
    <w:p w14:paraId="707A23F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如需修改或补充合同内容，经协商，双方可签署书面修改或补充协议，该协议将作为本合同的一个组成部分。</w:t>
      </w:r>
    </w:p>
    <w:p w14:paraId="0A00B00E">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ind w:firstLine="0"/>
        <w:textAlignment w:val="auto"/>
        <w:rPr>
          <w:rFonts w:ascii="Times New Roman"/>
          <w:color w:val="auto"/>
          <w:sz w:val="21"/>
          <w:szCs w:val="21"/>
        </w:rPr>
      </w:pPr>
    </w:p>
    <w:p w14:paraId="781C6D09">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买    方：     （盖章）              卖    方：     （盖章）      </w:t>
      </w:r>
    </w:p>
    <w:p w14:paraId="3A3A7A1B">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签约代表：                           签约代表：             </w:t>
      </w:r>
    </w:p>
    <w:p w14:paraId="1B0F7B3D">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地    址：                           地    址：            </w:t>
      </w:r>
    </w:p>
    <w:p w14:paraId="7E371241">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电    话：                           电    话：               </w:t>
      </w:r>
    </w:p>
    <w:p w14:paraId="7A1EB3BB">
      <w:pPr>
        <w:pStyle w:val="26"/>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传    真：                           传    真：               </w:t>
      </w:r>
    </w:p>
    <w:p w14:paraId="490DF20F">
      <w:pPr>
        <w:pStyle w:val="26"/>
        <w:tabs>
          <w:tab w:val="left" w:pos="573"/>
          <w:tab w:val="clear" w:pos="1365"/>
        </w:tabs>
        <w:adjustRightInd w:val="0"/>
        <w:snapToGrid w:val="0"/>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rPr>
        <w:t xml:space="preserve">签约日期：                           签约日期：               </w:t>
      </w:r>
    </w:p>
    <w:p w14:paraId="0A80C708">
      <w:pPr>
        <w:rPr>
          <w:rFonts w:hint="eastAsia" w:ascii="宋体" w:hAnsi="宋体" w:cs="宋体"/>
          <w:color w:val="auto"/>
          <w:highlight w:val="none"/>
          <w:lang w:eastAsia="zh-CN"/>
        </w:rPr>
      </w:pPr>
      <w:bookmarkStart w:id="120" w:name="_Toc29547243"/>
      <w:bookmarkStart w:id="121" w:name="_Toc18667"/>
      <w:r>
        <w:rPr>
          <w:rFonts w:hint="eastAsia" w:ascii="宋体" w:hAnsi="宋体" w:cs="宋体"/>
          <w:color w:val="auto"/>
          <w:highlight w:val="none"/>
          <w:lang w:eastAsia="zh-CN"/>
        </w:rPr>
        <w:br w:type="page"/>
      </w:r>
    </w:p>
    <w:bookmarkEnd w:id="119"/>
    <w:bookmarkEnd w:id="120"/>
    <w:p w14:paraId="1C28B6FE">
      <w:pPr>
        <w:pStyle w:val="2"/>
        <w:numPr>
          <w:ilvl w:val="0"/>
          <w:numId w:val="4"/>
        </w:numPr>
        <w:spacing w:before="0" w:after="0"/>
        <w:jc w:val="center"/>
        <w:rPr>
          <w:rFonts w:hint="eastAsia" w:ascii="宋体" w:hAnsi="宋体" w:cs="宋体"/>
          <w:color w:val="auto"/>
          <w:highlight w:val="none"/>
          <w:lang w:val="en-US" w:eastAsia="zh-CN"/>
        </w:rPr>
      </w:pPr>
      <w:bookmarkStart w:id="122" w:name="_Toc29547244"/>
      <w:bookmarkStart w:id="123" w:name="_Toc359494612"/>
      <w:r>
        <w:rPr>
          <w:rFonts w:hint="eastAsia" w:ascii="宋体" w:hAnsi="宋体" w:cs="宋体"/>
          <w:color w:val="auto"/>
          <w:highlight w:val="none"/>
          <w:lang w:val="en-US" w:eastAsia="zh-CN"/>
        </w:rPr>
        <w:t>采购需求</w:t>
      </w:r>
      <w:bookmarkEnd w:id="121"/>
    </w:p>
    <w:p w14:paraId="54183F79">
      <w:pPr>
        <w:jc w:val="center"/>
        <w:rPr>
          <w:rFonts w:hint="eastAsia" w:ascii="宋体" w:hAnsi="宋体" w:eastAsia="宋体" w:cs="宋体"/>
          <w:sz w:val="21"/>
          <w:szCs w:val="21"/>
          <w:lang w:val="en-US" w:eastAsia="zh-CN"/>
        </w:rPr>
      </w:pPr>
    </w:p>
    <w:p w14:paraId="3F81956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项目名称：国道漫临线（G612）分水（县界）至临江段工程林业勘察设计服务</w:t>
      </w:r>
      <w:r>
        <w:rPr>
          <w:rFonts w:hint="eastAsia" w:ascii="宋体" w:hAnsi="宋体" w:cs="宋体"/>
          <w:sz w:val="21"/>
          <w:szCs w:val="21"/>
          <w:lang w:val="en-US" w:eastAsia="zh-CN"/>
        </w:rPr>
        <w:t>。</w:t>
      </w:r>
    </w:p>
    <w:p w14:paraId="1E9BAE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项目概况：路线全长57.86公里，按照双向两车道二级公路标准建设，路基宽度 12 米。</w:t>
      </w:r>
    </w:p>
    <w:p w14:paraId="0D057C6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采购内容：编制使用林地可行性报告、编制国家重点保护野生植物采集（补植）方案、出具采伐调查设计资料。</w:t>
      </w:r>
    </w:p>
    <w:p w14:paraId="2A79D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工期：自委托协议签订之日起6个月内完成使用林地可行性报告编制；取得使用林地审核同意书后1个月内完成国家重点保护野生植物采集（补植）方案、采伐调查设计资料</w:t>
      </w:r>
      <w:r>
        <w:rPr>
          <w:rFonts w:hint="eastAsia" w:ascii="宋体" w:hAnsi="宋体" w:cs="宋体"/>
          <w:sz w:val="21"/>
          <w:szCs w:val="21"/>
          <w:lang w:val="en-US" w:eastAsia="zh-CN"/>
        </w:rPr>
        <w:t>。</w:t>
      </w:r>
    </w:p>
    <w:p w14:paraId="073125CB">
      <w:pPr>
        <w:pStyle w:val="53"/>
        <w:ind w:left="0" w:leftChars="0" w:firstLine="0" w:firstLineChars="0"/>
        <w:rPr>
          <w:rFonts w:hint="default"/>
          <w:color w:val="auto"/>
          <w:lang w:val="en-US" w:eastAsia="zh-CN"/>
        </w:rPr>
      </w:pPr>
    </w:p>
    <w:p w14:paraId="57CB4E35">
      <w:pPr>
        <w:bidi w:val="0"/>
        <w:rPr>
          <w:rFonts w:hint="eastAsia"/>
          <w:color w:val="auto"/>
          <w:lang w:val="en-GB" w:eastAsia="zh-CN"/>
        </w:rPr>
        <w:sectPr>
          <w:footerReference r:id="rId11" w:type="first"/>
          <w:footerReference r:id="rId10" w:type="default"/>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p>
    <w:p w14:paraId="44084AD2">
      <w:pPr>
        <w:pStyle w:val="2"/>
        <w:spacing w:before="0" w:after="0"/>
        <w:jc w:val="center"/>
        <w:rPr>
          <w:rFonts w:hint="eastAsia" w:ascii="宋体" w:hAnsi="宋体" w:eastAsia="宋体" w:cs="宋体"/>
          <w:color w:val="auto"/>
          <w:highlight w:val="none"/>
        </w:rPr>
      </w:pPr>
      <w:bookmarkStart w:id="124" w:name="_Toc30478"/>
      <w:bookmarkStart w:id="125" w:name="_Toc5522"/>
      <w:bookmarkStart w:id="126" w:name="_Toc13558"/>
      <w:r>
        <w:rPr>
          <w:rFonts w:hint="eastAsia" w:ascii="宋体" w:hAnsi="宋体" w:eastAsia="宋体" w:cs="宋体"/>
          <w:color w:val="auto"/>
          <w:highlight w:val="none"/>
        </w:rPr>
        <w:t xml:space="preserve">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构成、要求及格式</w:t>
      </w:r>
      <w:bookmarkEnd w:id="122"/>
      <w:bookmarkEnd w:id="123"/>
      <w:bookmarkEnd w:id="124"/>
      <w:bookmarkEnd w:id="125"/>
      <w:bookmarkEnd w:id="126"/>
    </w:p>
    <w:p w14:paraId="003D376D">
      <w:pPr>
        <w:autoSpaceDE w:val="0"/>
        <w:autoSpaceDN w:val="0"/>
        <w:adjustRightInd w:val="0"/>
        <w:jc w:val="center"/>
        <w:rPr>
          <w:rFonts w:hint="eastAsia" w:ascii="宋体" w:hAnsi="宋体" w:eastAsia="宋体" w:cs="宋体"/>
          <w:bCs/>
          <w:color w:val="auto"/>
          <w:szCs w:val="21"/>
          <w:highlight w:val="none"/>
          <w:lang w:val="zh-CN"/>
        </w:rPr>
      </w:pPr>
    </w:p>
    <w:p w14:paraId="269A1825">
      <w:pPr>
        <w:autoSpaceDE w:val="0"/>
        <w:autoSpaceDN w:val="0"/>
        <w:adjustRightInd w:val="0"/>
        <w:jc w:val="center"/>
        <w:rPr>
          <w:rFonts w:hint="eastAsia" w:ascii="宋体" w:hAnsi="宋体" w:eastAsia="宋体" w:cs="宋体"/>
          <w:bCs/>
          <w:color w:val="auto"/>
          <w:szCs w:val="21"/>
          <w:highlight w:val="none"/>
          <w:lang w:val="zh-CN"/>
        </w:rPr>
      </w:pPr>
    </w:p>
    <w:p w14:paraId="0C92F92B">
      <w:pPr>
        <w:autoSpaceDE w:val="0"/>
        <w:autoSpaceDN w:val="0"/>
        <w:adjustRightInd w:val="0"/>
        <w:rPr>
          <w:rFonts w:hint="eastAsia" w:ascii="宋体" w:hAnsi="宋体" w:eastAsia="宋体" w:cs="宋体"/>
          <w:b/>
          <w:bCs/>
          <w:color w:val="auto"/>
          <w:sz w:val="30"/>
          <w:szCs w:val="30"/>
          <w:highlight w:val="none"/>
          <w:lang w:val="zh-CN"/>
        </w:rPr>
      </w:pPr>
    </w:p>
    <w:p w14:paraId="20FC405C">
      <w:pPr>
        <w:tabs>
          <w:tab w:val="left" w:pos="5364"/>
        </w:tabs>
        <w:autoSpaceDE w:val="0"/>
        <w:autoSpaceDN w:val="0"/>
        <w:adjustRightInd w:val="0"/>
        <w:jc w:val="right"/>
        <w:rPr>
          <w:rFonts w:hint="eastAsia" w:ascii="宋体" w:hAnsi="宋体" w:eastAsia="宋体" w:cs="宋体"/>
          <w:bCs/>
          <w:color w:val="auto"/>
          <w:szCs w:val="21"/>
          <w:highlight w:val="none"/>
          <w:lang w:val="zh-CN"/>
        </w:rPr>
      </w:pPr>
      <w:r>
        <w:rPr>
          <w:rFonts w:hint="eastAsia" w:ascii="宋体" w:hAnsi="宋体" w:eastAsia="宋体" w:cs="宋体"/>
          <w:b/>
          <w:color w:val="auto"/>
          <w:sz w:val="44"/>
          <w:szCs w:val="44"/>
          <w:highlight w:val="none"/>
        </w:rPr>
        <w:br w:type="page"/>
      </w:r>
    </w:p>
    <w:p w14:paraId="6EC7F256">
      <w:pPr>
        <w:rPr>
          <w:rFonts w:hint="eastAsia" w:ascii="宋体" w:hAnsi="宋体" w:eastAsia="宋体" w:cs="宋体"/>
          <w:b/>
          <w:color w:val="auto"/>
          <w:sz w:val="36"/>
          <w:szCs w:val="36"/>
          <w:highlight w:val="none"/>
        </w:rPr>
      </w:pPr>
    </w:p>
    <w:p w14:paraId="384866DD">
      <w:pPr>
        <w:rPr>
          <w:rFonts w:hint="eastAsia" w:ascii="宋体" w:hAnsi="宋体" w:eastAsia="宋体" w:cs="宋体"/>
          <w:b/>
          <w:color w:val="auto"/>
          <w:sz w:val="36"/>
          <w:szCs w:val="36"/>
          <w:highlight w:val="none"/>
        </w:rPr>
      </w:pPr>
    </w:p>
    <w:p w14:paraId="69A31872">
      <w:pPr>
        <w:rPr>
          <w:rFonts w:hint="eastAsia" w:ascii="宋体" w:hAnsi="宋体" w:eastAsia="宋体" w:cs="宋体"/>
          <w:b/>
          <w:color w:val="auto"/>
          <w:sz w:val="36"/>
          <w:szCs w:val="36"/>
          <w:highlight w:val="none"/>
        </w:rPr>
      </w:pPr>
    </w:p>
    <w:p w14:paraId="4C02BD40">
      <w:pPr>
        <w:jc w:val="center"/>
        <w:rPr>
          <w:rFonts w:hint="eastAsia" w:ascii="宋体" w:hAnsi="宋体" w:eastAsia="宋体" w:cs="宋体"/>
          <w:b/>
          <w:color w:val="auto"/>
          <w:sz w:val="44"/>
          <w:szCs w:val="44"/>
          <w:highlight w:val="none"/>
          <w:u w:val="single"/>
          <w:lang w:eastAsia="zh-CN"/>
        </w:rPr>
      </w:pPr>
      <w:r>
        <w:rPr>
          <w:rFonts w:hint="eastAsia" w:ascii="宋体" w:hAnsi="宋体" w:cs="宋体"/>
          <w:b/>
          <w:color w:val="auto"/>
          <w:sz w:val="44"/>
          <w:szCs w:val="44"/>
          <w:highlight w:val="none"/>
          <w:u w:val="single"/>
          <w:lang w:eastAsia="zh-CN"/>
        </w:rPr>
        <w:t>（</w:t>
      </w:r>
      <w:r>
        <w:rPr>
          <w:rFonts w:hint="eastAsia" w:ascii="宋体" w:hAnsi="宋体" w:cs="宋体"/>
          <w:b/>
          <w:color w:val="auto"/>
          <w:sz w:val="44"/>
          <w:szCs w:val="44"/>
          <w:highlight w:val="none"/>
          <w:u w:val="single"/>
          <w:lang w:val="en-US" w:eastAsia="zh-CN"/>
        </w:rPr>
        <w:t>项目名称</w:t>
      </w:r>
      <w:r>
        <w:rPr>
          <w:rFonts w:hint="eastAsia" w:ascii="宋体" w:hAnsi="宋体" w:cs="宋体"/>
          <w:b/>
          <w:color w:val="auto"/>
          <w:sz w:val="44"/>
          <w:szCs w:val="44"/>
          <w:highlight w:val="none"/>
          <w:u w:val="single"/>
          <w:lang w:eastAsia="zh-CN"/>
        </w:rPr>
        <w:t>）</w:t>
      </w:r>
    </w:p>
    <w:p w14:paraId="0BCA5F5E">
      <w:pPr>
        <w:jc w:val="center"/>
        <w:rPr>
          <w:rFonts w:hint="eastAsia" w:ascii="宋体" w:hAnsi="宋体" w:eastAsia="宋体" w:cs="宋体"/>
          <w:b/>
          <w:color w:val="auto"/>
          <w:sz w:val="44"/>
          <w:szCs w:val="44"/>
          <w:highlight w:val="none"/>
        </w:rPr>
      </w:pPr>
    </w:p>
    <w:p w14:paraId="2A667E20">
      <w:pPr>
        <w:rPr>
          <w:rFonts w:hint="eastAsia" w:ascii="宋体" w:hAnsi="宋体" w:eastAsia="宋体" w:cs="宋体"/>
          <w:b/>
          <w:color w:val="auto"/>
          <w:sz w:val="84"/>
          <w:szCs w:val="84"/>
          <w:highlight w:val="none"/>
        </w:rPr>
      </w:pPr>
    </w:p>
    <w:p w14:paraId="409DE027">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eastAsia="zh-CN"/>
        </w:rPr>
        <w:t>响</w:t>
      </w: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eastAsia="zh-CN"/>
        </w:rPr>
        <w:t>应</w:t>
      </w:r>
      <w:r>
        <w:rPr>
          <w:rFonts w:hint="eastAsia" w:ascii="宋体" w:hAnsi="宋体" w:eastAsia="宋体" w:cs="宋体"/>
          <w:b/>
          <w:color w:val="auto"/>
          <w:sz w:val="72"/>
          <w:szCs w:val="72"/>
          <w:highlight w:val="none"/>
        </w:rPr>
        <w:t xml:space="preserve"> 文 件</w:t>
      </w:r>
    </w:p>
    <w:p w14:paraId="51098382">
      <w:pPr>
        <w:rPr>
          <w:rFonts w:hint="eastAsia" w:ascii="宋体" w:hAnsi="宋体" w:eastAsia="宋体" w:cs="宋体"/>
          <w:color w:val="auto"/>
          <w:sz w:val="36"/>
          <w:highlight w:val="none"/>
        </w:rPr>
      </w:pPr>
    </w:p>
    <w:p w14:paraId="4D29231B">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57133EF4">
      <w:pPr>
        <w:ind w:firstLine="320" w:firstLineChars="100"/>
        <w:jc w:val="center"/>
        <w:rPr>
          <w:rFonts w:hint="eastAsia" w:ascii="宋体" w:hAnsi="宋体" w:eastAsia="宋体" w:cs="宋体"/>
          <w:b/>
          <w:color w:val="auto"/>
          <w:sz w:val="32"/>
          <w:szCs w:val="32"/>
          <w:highlight w:val="none"/>
        </w:rPr>
      </w:pPr>
    </w:p>
    <w:p w14:paraId="44CE9E91">
      <w:pPr>
        <w:rPr>
          <w:rFonts w:hint="eastAsia" w:ascii="宋体" w:hAnsi="宋体" w:eastAsia="宋体" w:cs="宋体"/>
          <w:color w:val="auto"/>
          <w:sz w:val="30"/>
          <w:szCs w:val="30"/>
          <w:highlight w:val="none"/>
        </w:rPr>
      </w:pPr>
    </w:p>
    <w:p w14:paraId="26AE88CF">
      <w:pPr>
        <w:rPr>
          <w:rFonts w:hint="eastAsia" w:ascii="宋体" w:hAnsi="宋体" w:eastAsia="宋体" w:cs="宋体"/>
          <w:color w:val="auto"/>
          <w:sz w:val="30"/>
          <w:szCs w:val="30"/>
          <w:highlight w:val="none"/>
        </w:rPr>
      </w:pPr>
    </w:p>
    <w:p w14:paraId="6841FA4E">
      <w:pPr>
        <w:rPr>
          <w:rFonts w:hint="eastAsia" w:ascii="宋体" w:hAnsi="宋体" w:eastAsia="宋体" w:cs="宋体"/>
          <w:color w:val="auto"/>
          <w:sz w:val="32"/>
          <w:highlight w:val="none"/>
        </w:rPr>
      </w:pPr>
    </w:p>
    <w:p w14:paraId="56DD8F43">
      <w:pPr>
        <w:rPr>
          <w:rFonts w:hint="eastAsia" w:ascii="宋体" w:hAnsi="宋体" w:eastAsia="宋体" w:cs="宋体"/>
          <w:color w:val="auto"/>
          <w:sz w:val="32"/>
          <w:highlight w:val="none"/>
        </w:rPr>
      </w:pPr>
    </w:p>
    <w:p w14:paraId="1B87C9A7">
      <w:pPr>
        <w:ind w:firstLine="600"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cs="宋体"/>
          <w:b/>
          <w:color w:val="auto"/>
          <w:sz w:val="30"/>
          <w:szCs w:val="30"/>
          <w:highlight w:val="none"/>
          <w:lang w:val="en-US" w:eastAsia="zh-CN"/>
        </w:rPr>
        <w:t>名称</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（盖章）</w:t>
      </w:r>
    </w:p>
    <w:p w14:paraId="24D99C5D">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法定代表人或其委托代理人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（签字或盖章）</w:t>
      </w:r>
    </w:p>
    <w:p w14:paraId="356AF358">
      <w:pPr>
        <w:ind w:firstLine="600" w:firstLineChars="200"/>
        <w:jc w:val="center"/>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年       月      日</w:t>
      </w:r>
    </w:p>
    <w:p w14:paraId="5E56DB73">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u w:val="single"/>
        </w:rPr>
        <w:br w:type="page"/>
      </w:r>
      <w:r>
        <w:rPr>
          <w:rFonts w:hint="eastAsia" w:ascii="宋体" w:hAnsi="宋体" w:eastAsia="宋体" w:cs="宋体"/>
          <w:color w:val="auto"/>
          <w:sz w:val="32"/>
          <w:szCs w:val="32"/>
          <w:highlight w:val="none"/>
        </w:rPr>
        <w:t>目 录</w:t>
      </w:r>
    </w:p>
    <w:p w14:paraId="33B03DB1">
      <w:pPr>
        <w:numPr>
          <w:ilvl w:val="0"/>
          <w:numId w:val="0"/>
        </w:numPr>
        <w:ind w:leftChars="0"/>
        <w:jc w:val="center"/>
        <w:rPr>
          <w:rFonts w:hint="eastAsia" w:ascii="宋体" w:hAnsi="宋体" w:eastAsia="宋体" w:cs="宋体"/>
          <w:color w:val="auto"/>
          <w:sz w:val="32"/>
          <w:szCs w:val="32"/>
          <w:highlight w:val="none"/>
        </w:rPr>
      </w:pPr>
    </w:p>
    <w:p w14:paraId="176749FD">
      <w:pPr>
        <w:numPr>
          <w:ilvl w:val="0"/>
          <w:numId w:val="0"/>
        </w:numPr>
        <w:ind w:leftChars="0"/>
        <w:jc w:val="center"/>
        <w:rPr>
          <w:rFonts w:hint="eastAsia" w:ascii="宋体" w:hAnsi="宋体" w:eastAsia="宋体" w:cs="宋体"/>
          <w:color w:val="auto"/>
          <w:sz w:val="32"/>
          <w:szCs w:val="32"/>
          <w:highlight w:val="none"/>
        </w:rPr>
      </w:pPr>
    </w:p>
    <w:p w14:paraId="5BD4DF32">
      <w:pPr>
        <w:numPr>
          <w:ilvl w:val="0"/>
          <w:numId w:val="0"/>
        </w:numPr>
        <w:ind w:leftChars="0"/>
        <w:jc w:val="center"/>
        <w:rPr>
          <w:rFonts w:hint="default"/>
          <w:b/>
          <w:bCs/>
          <w:color w:val="auto"/>
          <w:sz w:val="18"/>
          <w:szCs w:val="16"/>
          <w:lang w:val="en-US" w:eastAsia="zh-CN"/>
        </w:rPr>
      </w:pPr>
      <w:r>
        <w:rPr>
          <w:rFonts w:hint="eastAsia" w:ascii="宋体" w:hAnsi="宋体" w:eastAsia="宋体" w:cs="宋体"/>
          <w:b/>
          <w:bCs/>
          <w:color w:val="auto"/>
          <w:sz w:val="24"/>
          <w:szCs w:val="24"/>
          <w:highlight w:val="none"/>
        </w:rPr>
        <w:t>自拟</w:t>
      </w:r>
    </w:p>
    <w:p w14:paraId="6B663AA1">
      <w:pPr>
        <w:bidi w:val="0"/>
        <w:rPr>
          <w:rFonts w:hint="default"/>
          <w:color w:val="auto"/>
          <w:lang w:val="en-US" w:eastAsia="zh-CN"/>
        </w:rPr>
      </w:pPr>
    </w:p>
    <w:p w14:paraId="239DDD6B">
      <w:pPr>
        <w:rPr>
          <w:rFonts w:hint="eastAsia"/>
          <w:color w:val="auto"/>
          <w:lang w:val="en-US" w:eastAsia="zh-CN"/>
        </w:rPr>
      </w:pPr>
    </w:p>
    <w:p w14:paraId="2A47FA96">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7F0AD699">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55146FCD">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455BB2D0">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29A715B2">
      <w:pPr>
        <w:pStyle w:val="18"/>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br w:type="page"/>
      </w:r>
    </w:p>
    <w:p w14:paraId="11B2CC95">
      <w:pPr>
        <w:autoSpaceDE w:val="0"/>
        <w:autoSpaceDN w:val="0"/>
        <w:adjustRightInd w:val="0"/>
        <w:spacing w:line="360" w:lineRule="auto"/>
        <w:ind w:firstLine="105" w:firstLineChars="50"/>
        <w:jc w:val="center"/>
        <w:rPr>
          <w:rFonts w:hint="eastAsia" w:ascii="宋体" w:hAnsi="宋体" w:eastAsia="宋体" w:cs="宋体"/>
          <w:b w:val="0"/>
          <w:bCs w:val="0"/>
          <w:color w:val="auto"/>
          <w:kern w:val="0"/>
          <w:sz w:val="21"/>
          <w:szCs w:val="21"/>
          <w:lang w:val="en-US" w:eastAsia="zh-CN" w:bidi="ar-SA"/>
        </w:rPr>
        <w:sectPr>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p>
    <w:p w14:paraId="6B342EC0">
      <w:pPr>
        <w:autoSpaceDE w:val="0"/>
        <w:autoSpaceDN w:val="0"/>
        <w:adjustRightInd w:val="0"/>
        <w:spacing w:line="360" w:lineRule="auto"/>
        <w:ind w:firstLine="160" w:firstLineChars="50"/>
        <w:jc w:val="center"/>
        <w:rPr>
          <w:rFonts w:hint="eastAsia" w:ascii="宋体" w:hAnsi="宋体" w:eastAsia="宋体" w:cs="宋体"/>
          <w:b/>
          <w:bCs/>
          <w:color w:val="auto"/>
          <w:kern w:val="0"/>
          <w:sz w:val="32"/>
          <w:szCs w:val="32"/>
        </w:rPr>
      </w:pPr>
      <w:r>
        <w:rPr>
          <w:rFonts w:hint="eastAsia" w:ascii="宋体" w:hAnsi="宋体" w:eastAsia="宋体" w:cs="宋体"/>
          <w:b/>
          <w:bCs/>
          <w:color w:val="auto"/>
          <w:sz w:val="32"/>
          <w:szCs w:val="32"/>
        </w:rPr>
        <w:t>一、</w:t>
      </w:r>
      <w:r>
        <w:rPr>
          <w:rFonts w:hint="eastAsia" w:ascii="宋体" w:hAnsi="宋体" w:cs="宋体"/>
          <w:b/>
          <w:bCs/>
          <w:color w:val="auto"/>
          <w:sz w:val="32"/>
          <w:szCs w:val="32"/>
          <w:lang w:val="en-US" w:eastAsia="zh-CN"/>
        </w:rPr>
        <w:t>报价</w:t>
      </w:r>
      <w:r>
        <w:rPr>
          <w:rFonts w:hint="eastAsia" w:ascii="宋体" w:hAnsi="宋体" w:eastAsia="宋体" w:cs="宋体"/>
          <w:b/>
          <w:bCs/>
          <w:color w:val="auto"/>
          <w:sz w:val="32"/>
          <w:szCs w:val="32"/>
        </w:rPr>
        <w:t>函</w:t>
      </w:r>
      <w:r>
        <w:rPr>
          <w:rFonts w:hint="eastAsia" w:ascii="宋体" w:hAnsi="宋体" w:eastAsia="宋体" w:cs="宋体"/>
          <w:b/>
          <w:bCs/>
          <w:color w:val="auto"/>
          <w:kern w:val="0"/>
          <w:sz w:val="32"/>
          <w:szCs w:val="32"/>
          <w:lang w:val="en-US" w:eastAsia="zh-CN"/>
        </w:rPr>
        <w:t>及</w:t>
      </w:r>
      <w:r>
        <w:rPr>
          <w:rFonts w:hint="eastAsia" w:ascii="宋体" w:hAnsi="宋体" w:cs="宋体"/>
          <w:b/>
          <w:bCs/>
          <w:color w:val="auto"/>
          <w:kern w:val="0"/>
          <w:sz w:val="32"/>
          <w:szCs w:val="32"/>
          <w:lang w:val="en-US" w:eastAsia="zh-CN" w:bidi="ar-SA"/>
        </w:rPr>
        <w:t>报价</w:t>
      </w:r>
      <w:r>
        <w:rPr>
          <w:rFonts w:hint="eastAsia" w:ascii="宋体" w:hAnsi="宋体" w:eastAsia="宋体" w:cs="宋体"/>
          <w:b/>
          <w:bCs/>
          <w:color w:val="auto"/>
          <w:kern w:val="0"/>
          <w:sz w:val="32"/>
          <w:szCs w:val="32"/>
        </w:rPr>
        <w:t>函附录</w:t>
      </w:r>
    </w:p>
    <w:p w14:paraId="7ED32527">
      <w:pPr>
        <w:autoSpaceDE w:val="0"/>
        <w:autoSpaceDN w:val="0"/>
        <w:adjustRightInd w:val="0"/>
        <w:spacing w:line="360" w:lineRule="auto"/>
        <w:ind w:firstLine="150" w:firstLineChars="50"/>
        <w:jc w:val="center"/>
        <w:rPr>
          <w:rFonts w:hint="eastAsia" w:ascii="宋体" w:hAnsi="宋体" w:eastAsia="宋体" w:cs="宋体"/>
          <w:color w:val="auto"/>
          <w:szCs w:val="21"/>
          <w:highlight w:val="none"/>
          <w:u w:val="single"/>
        </w:rPr>
      </w:pPr>
      <w:r>
        <w:rPr>
          <w:rFonts w:hint="eastAsia" w:ascii="宋体" w:hAnsi="宋体" w:eastAsia="宋体" w:cs="宋体"/>
          <w:b/>
          <w:bCs/>
          <w:color w:val="auto"/>
          <w:kern w:val="0"/>
          <w:sz w:val="30"/>
          <w:szCs w:val="30"/>
          <w:lang w:val="en-US" w:eastAsia="zh-CN" w:bidi="ar-SA"/>
        </w:rPr>
        <w:t>（一）</w:t>
      </w:r>
      <w:r>
        <w:rPr>
          <w:rFonts w:hint="eastAsia" w:ascii="宋体" w:hAnsi="宋体" w:cs="宋体"/>
          <w:b/>
          <w:bCs/>
          <w:color w:val="auto"/>
          <w:kern w:val="0"/>
          <w:sz w:val="30"/>
          <w:szCs w:val="30"/>
          <w:lang w:val="en-US" w:eastAsia="zh-CN" w:bidi="ar-SA"/>
        </w:rPr>
        <w:t>报价</w:t>
      </w:r>
      <w:r>
        <w:rPr>
          <w:rFonts w:hint="eastAsia" w:ascii="宋体" w:hAnsi="宋体" w:eastAsia="宋体" w:cs="宋体"/>
          <w:b/>
          <w:bCs/>
          <w:color w:val="auto"/>
          <w:kern w:val="0"/>
          <w:sz w:val="30"/>
          <w:szCs w:val="30"/>
          <w:lang w:val="en-US" w:eastAsia="zh-CN" w:bidi="ar-SA"/>
        </w:rPr>
        <w:t>函</w:t>
      </w:r>
    </w:p>
    <w:p w14:paraId="04E2CB57">
      <w:pPr>
        <w:keepNext w:val="0"/>
        <w:keepLines w:val="0"/>
        <w:pageBreakBefore w:val="0"/>
        <w:widowControl w:val="0"/>
        <w:kinsoku/>
        <w:wordWrap/>
        <w:overflowPunct/>
        <w:topLinePunct w:val="0"/>
        <w:autoSpaceDE w:val="0"/>
        <w:autoSpaceDN w:val="0"/>
        <w:bidi w:val="0"/>
        <w:adjustRightInd w:val="0"/>
        <w:snapToGrid/>
        <w:spacing w:line="360" w:lineRule="auto"/>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（采购人名称）           </w:t>
      </w:r>
      <w:r>
        <w:rPr>
          <w:rFonts w:hint="eastAsia" w:ascii="宋体" w:hAnsi="宋体" w:eastAsia="宋体" w:cs="宋体"/>
          <w:color w:val="auto"/>
          <w:szCs w:val="21"/>
          <w:highlight w:val="none"/>
        </w:rPr>
        <w:t>：</w:t>
      </w:r>
    </w:p>
    <w:p w14:paraId="489EF33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根据你方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项目的编号为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项目</w:t>
      </w:r>
      <w:r>
        <w:rPr>
          <w:rFonts w:hint="eastAsia" w:ascii="宋体" w:hAnsi="宋体" w:eastAsia="宋体" w:cs="宋体"/>
          <w:color w:val="auto"/>
          <w:szCs w:val="21"/>
          <w:highlight w:val="none"/>
          <w:u w:val="single"/>
        </w:rPr>
        <w:t xml:space="preserve">编号）     </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，我方正式授权的下述签字人</w:t>
      </w:r>
      <w:r>
        <w:rPr>
          <w:rFonts w:hint="eastAsia" w:ascii="宋体" w:hAnsi="宋体" w:eastAsia="宋体" w:cs="宋体"/>
          <w:color w:val="auto"/>
          <w:szCs w:val="21"/>
          <w:highlight w:val="none"/>
          <w:u w:val="single"/>
        </w:rPr>
        <w:t xml:space="preserve">  （姓名和职务）  </w:t>
      </w:r>
      <w:r>
        <w:rPr>
          <w:rFonts w:hint="eastAsia" w:ascii="宋体" w:hAnsi="宋体" w:eastAsia="宋体" w:cs="宋体"/>
          <w:color w:val="auto"/>
          <w:szCs w:val="21"/>
          <w:highlight w:val="none"/>
        </w:rPr>
        <w:t>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供应商</w:t>
      </w:r>
      <w:r>
        <w:rPr>
          <w:rFonts w:hint="eastAsia" w:ascii="宋体" w:hAnsi="宋体" w:eastAsia="宋体" w:cs="宋体"/>
          <w:color w:val="auto"/>
          <w:szCs w:val="21"/>
          <w:highlight w:val="none"/>
          <w:u w:val="single"/>
        </w:rPr>
        <w:t xml:space="preserve">的名称）  </w:t>
      </w:r>
      <w:r>
        <w:rPr>
          <w:rFonts w:hint="eastAsia" w:ascii="宋体" w:hAnsi="宋体" w:eastAsia="宋体" w:cs="宋体"/>
          <w:color w:val="auto"/>
          <w:szCs w:val="21"/>
          <w:highlight w:val="none"/>
        </w:rPr>
        <w:t>，按照你方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的规定，并保证所提供的全部文件是真实的、有效的和准确的。</w:t>
      </w:r>
    </w:p>
    <w:p w14:paraId="354C58D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据此函，签字人兹宣布同意如下：</w:t>
      </w:r>
    </w:p>
    <w:p w14:paraId="2D5701B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.如果我方</w:t>
      </w:r>
      <w:r>
        <w:rPr>
          <w:rFonts w:hint="eastAsia" w:ascii="宋体" w:hAnsi="宋体" w:cs="宋体"/>
          <w:b/>
          <w:color w:val="auto"/>
          <w:szCs w:val="21"/>
          <w:highlight w:val="none"/>
          <w:lang w:val="en-US" w:eastAsia="zh-CN"/>
        </w:rPr>
        <w:t>成为成交供应商</w:t>
      </w:r>
      <w:r>
        <w:rPr>
          <w:rFonts w:hint="eastAsia" w:ascii="宋体" w:hAnsi="宋体" w:eastAsia="宋体" w:cs="宋体"/>
          <w:b/>
          <w:color w:val="auto"/>
          <w:szCs w:val="21"/>
          <w:highlight w:val="none"/>
        </w:rPr>
        <w:t>，我们保证根据</w:t>
      </w:r>
      <w:r>
        <w:rPr>
          <w:rFonts w:hint="eastAsia" w:ascii="宋体" w:hAnsi="宋体" w:eastAsia="宋体" w:cs="宋体"/>
          <w:b/>
          <w:color w:val="auto"/>
          <w:szCs w:val="21"/>
          <w:highlight w:val="none"/>
          <w:lang w:eastAsia="zh-CN"/>
        </w:rPr>
        <w:t>竞争性磋商文件</w:t>
      </w:r>
      <w:r>
        <w:rPr>
          <w:rFonts w:hint="eastAsia" w:ascii="宋体" w:hAnsi="宋体" w:eastAsia="宋体" w:cs="宋体"/>
          <w:b/>
          <w:color w:val="auto"/>
          <w:szCs w:val="21"/>
          <w:highlight w:val="none"/>
        </w:rPr>
        <w:t>规定履行合同责任和义务。</w:t>
      </w:r>
    </w:p>
    <w:p w14:paraId="37C8F7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eastAsia="zh-CN"/>
        </w:rPr>
        <w:t>.愿意以</w:t>
      </w:r>
      <w:r>
        <w:rPr>
          <w:rFonts w:hint="eastAsia" w:ascii="宋体" w:hAnsi="宋体" w:cs="宋体"/>
          <w:b/>
          <w:bCs w:val="0"/>
          <w:szCs w:val="18"/>
          <w:highlight w:val="none"/>
          <w:lang w:val="zh-CN"/>
        </w:rPr>
        <w:t>人民币(大写)</w:t>
      </w:r>
      <w:r>
        <w:rPr>
          <w:rFonts w:hint="eastAsia" w:ascii="宋体" w:hAnsi="宋体" w:cs="宋体"/>
          <w:b/>
          <w:bCs w:val="0"/>
          <w:szCs w:val="18"/>
          <w:highlight w:val="none"/>
          <w:u w:val="single"/>
          <w:lang w:val="zh-CN"/>
        </w:rPr>
        <w:t xml:space="preserve">         </w:t>
      </w:r>
      <w:r>
        <w:rPr>
          <w:rFonts w:hint="eastAsia" w:ascii="宋体" w:hAnsi="宋体" w:cs="宋体"/>
          <w:b/>
          <w:bCs w:val="0"/>
          <w:szCs w:val="18"/>
          <w:highlight w:val="none"/>
          <w:lang w:val="zh-CN"/>
        </w:rPr>
        <w:t>元(￥</w:t>
      </w:r>
      <w:r>
        <w:rPr>
          <w:rFonts w:hint="eastAsia" w:ascii="宋体" w:hAnsi="宋体" w:cs="宋体"/>
          <w:b/>
          <w:bCs w:val="0"/>
          <w:szCs w:val="18"/>
          <w:highlight w:val="none"/>
          <w:u w:val="single"/>
          <w:lang w:val="zh-CN"/>
        </w:rPr>
        <w:t xml:space="preserve">           </w:t>
      </w:r>
      <w:r>
        <w:rPr>
          <w:rFonts w:hint="eastAsia" w:ascii="宋体" w:hAnsi="宋体" w:cs="宋体"/>
          <w:b/>
          <w:bCs w:val="0"/>
          <w:szCs w:val="18"/>
          <w:highlight w:val="none"/>
          <w:lang w:val="zh-CN"/>
        </w:rPr>
        <w:t>)的投标总报价</w:t>
      </w:r>
      <w:r>
        <w:rPr>
          <w:rFonts w:hint="eastAsia" w:ascii="宋体" w:hAnsi="宋体" w:eastAsia="宋体" w:cs="宋体"/>
          <w:b/>
          <w:color w:val="auto"/>
          <w:szCs w:val="21"/>
          <w:highlight w:val="none"/>
          <w:lang w:eastAsia="zh-CN"/>
        </w:rPr>
        <w:t>，按合同约定实施和完成本项目。</w:t>
      </w:r>
    </w:p>
    <w:p w14:paraId="2F0A0A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我方人民币</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元的</w:t>
      </w:r>
      <w:r>
        <w:rPr>
          <w:rFonts w:hint="eastAsia" w:ascii="宋体" w:hAnsi="宋体" w:eastAsia="宋体" w:cs="宋体"/>
          <w:b/>
          <w:color w:val="auto"/>
          <w:szCs w:val="21"/>
          <w:highlight w:val="none"/>
          <w:lang w:eastAsia="zh-CN"/>
        </w:rPr>
        <w:t>磋商保证金</w:t>
      </w:r>
      <w:r>
        <w:rPr>
          <w:rFonts w:hint="eastAsia" w:ascii="宋体" w:hAnsi="宋体" w:eastAsia="宋体" w:cs="宋体"/>
          <w:b/>
          <w:color w:val="auto"/>
          <w:szCs w:val="21"/>
          <w:highlight w:val="none"/>
        </w:rPr>
        <w:t>与本</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同时提交。</w:t>
      </w:r>
    </w:p>
    <w:p w14:paraId="7BCF356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4.磋商</w:t>
      </w:r>
      <w:r>
        <w:rPr>
          <w:rFonts w:hint="eastAsia" w:ascii="宋体" w:hAnsi="宋体" w:eastAsia="宋体" w:cs="宋体"/>
          <w:b/>
          <w:color w:val="auto"/>
          <w:szCs w:val="21"/>
          <w:highlight w:val="none"/>
        </w:rPr>
        <w:t>有效期自开标之日起</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天内有效。</w:t>
      </w:r>
    </w:p>
    <w:p w14:paraId="6D1785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如果我方</w:t>
      </w:r>
      <w:r>
        <w:rPr>
          <w:rFonts w:hint="eastAsia" w:ascii="宋体" w:hAnsi="宋体" w:eastAsia="宋体" w:cs="宋体"/>
          <w:color w:val="auto"/>
          <w:szCs w:val="21"/>
          <w:highlight w:val="none"/>
          <w:lang w:val="en-US" w:eastAsia="zh-CN"/>
        </w:rPr>
        <w:t>成为成交供应商</w:t>
      </w:r>
      <w:r>
        <w:rPr>
          <w:rFonts w:hint="eastAsia" w:ascii="宋体" w:hAnsi="宋体" w:eastAsia="宋体" w:cs="宋体"/>
          <w:color w:val="auto"/>
          <w:szCs w:val="21"/>
          <w:highlight w:val="none"/>
        </w:rPr>
        <w:t>，我方保证按照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规定提交履约保证金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，承担履约责任。</w:t>
      </w:r>
    </w:p>
    <w:p w14:paraId="2984DC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我们已详细阅读了全部</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的修改、补充文件、参考资料及有关的附件，我们接受</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的全部条款和条件，我们知道必须放弃提出含糊不清或误解的问题的权利。</w:t>
      </w:r>
    </w:p>
    <w:p w14:paraId="63745C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.我们对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关于时限、程序方面的规定没有异议，保证按照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规定的时限和程序参加投标活动。</w:t>
      </w:r>
    </w:p>
    <w:p w14:paraId="08A88B7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.我们同意在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须知规定的开标时间起遵循本投标书，并在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须知规定的投标有效期满之前均具有约束力，并有可能中标。</w:t>
      </w:r>
    </w:p>
    <w:p w14:paraId="3A83C60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我们如果在规定的投标有效期内撤回投标，则你方可不予退还我们的</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w:t>
      </w:r>
    </w:p>
    <w:p w14:paraId="19C524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.我们保证向你方提供你方可能要求的与本投标有关的任何证据或资料。</w:t>
      </w:r>
    </w:p>
    <w:p w14:paraId="085086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.我们完全理解你方不一定要接受最低报价的投标或收到的任何投标。</w:t>
      </w:r>
    </w:p>
    <w:p w14:paraId="20E36B9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.我方保证严格遵守《中华人民共和国政府采购法》的有关规定，若有下列情形之一的，我方将被处不予退还</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，列入不良行为记录名单，在一至三年内禁止参加政府采购活动，并予以公告：</w:t>
      </w:r>
    </w:p>
    <w:p w14:paraId="2248E8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6AA65D7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p>
    <w:p w14:paraId="77676B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、采购机构或者采购人或者其他有关人员恶意串通的；</w:t>
      </w:r>
    </w:p>
    <w:p w14:paraId="159CA4A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成员、采购机构或者采购人或者其他有关人员行贿或者提供其他不正当利益的；</w:t>
      </w:r>
    </w:p>
    <w:p w14:paraId="49A2C9B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（5）被评定中标后无正当理由不与采购人或者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订立合同，或者中标后不按</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和中标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订立合同，或者与采购人另行订立背离合同实质性内容的协议的；</w:t>
      </w:r>
    </w:p>
    <w:p w14:paraId="68F4C15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（6）将中标项目转让给他人或者将中标项目分包给他人的；</w:t>
      </w:r>
    </w:p>
    <w:p w14:paraId="61962E7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（7）签订合同后拒绝履行合同义务的；</w:t>
      </w:r>
    </w:p>
    <w:p w14:paraId="0DDCD1F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（8）拒绝有关部门监督检查或提供虚假情况的。</w:t>
      </w:r>
    </w:p>
    <w:p w14:paraId="0CDB196D">
      <w:pPr>
        <w:autoSpaceDE w:val="0"/>
        <w:autoSpaceDN w:val="0"/>
        <w:adjustRightInd w:val="0"/>
        <w:spacing w:line="360" w:lineRule="auto"/>
        <w:ind w:left="3360" w:leftChars="1600"/>
        <w:rPr>
          <w:rFonts w:hint="eastAsia" w:ascii="宋体" w:hAnsi="宋体" w:eastAsia="宋体" w:cs="宋体"/>
          <w:bCs/>
          <w:color w:val="auto"/>
          <w:szCs w:val="21"/>
          <w:highlight w:val="none"/>
          <w:lang w:eastAsia="zh-CN"/>
        </w:rPr>
      </w:pPr>
    </w:p>
    <w:p w14:paraId="4588ABAE">
      <w:pPr>
        <w:autoSpaceDE w:val="0"/>
        <w:autoSpaceDN w:val="0"/>
        <w:adjustRightInd w:val="0"/>
        <w:spacing w:line="360" w:lineRule="auto"/>
        <w:ind w:left="3360" w:leftChars="16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bCs/>
          <w:color w:val="auto"/>
          <w:szCs w:val="21"/>
          <w:highlight w:val="none"/>
          <w:u w:val="single"/>
        </w:rPr>
        <w:t xml:space="preserve">                      </w:t>
      </w:r>
    </w:p>
    <w:p w14:paraId="2AE04B25">
      <w:pPr>
        <w:autoSpaceDE w:val="0"/>
        <w:autoSpaceDN w:val="0"/>
        <w:adjustRightInd w:val="0"/>
        <w:spacing w:line="360" w:lineRule="auto"/>
        <w:ind w:left="2940" w:leftChars="1400" w:firstLine="4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7F4F31A6">
      <w:pPr>
        <w:autoSpaceDE w:val="0"/>
        <w:autoSpaceDN w:val="0"/>
        <w:adjustRightInd w:val="0"/>
        <w:spacing w:line="360" w:lineRule="auto"/>
        <w:ind w:left="2940" w:leftChars="1400"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single"/>
        </w:rPr>
        <w:t xml:space="preserve">                                     </w:t>
      </w:r>
    </w:p>
    <w:p w14:paraId="3A6C65CB">
      <w:pPr>
        <w:autoSpaceDE w:val="0"/>
        <w:autoSpaceDN w:val="0"/>
        <w:adjustRightInd w:val="0"/>
        <w:spacing w:line="360" w:lineRule="auto"/>
        <w:ind w:left="2940" w:leftChars="1400"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电话、传真或电传：    </w:t>
      </w:r>
      <w:r>
        <w:rPr>
          <w:rFonts w:hint="eastAsia" w:ascii="宋体" w:hAnsi="宋体" w:eastAsia="宋体" w:cs="宋体"/>
          <w:color w:val="auto"/>
          <w:szCs w:val="21"/>
          <w:highlight w:val="none"/>
          <w:u w:val="single"/>
        </w:rPr>
        <w:t xml:space="preserve">                       </w:t>
      </w:r>
    </w:p>
    <w:p w14:paraId="269A3A14">
      <w:pPr>
        <w:autoSpaceDE w:val="0"/>
        <w:autoSpaceDN w:val="0"/>
        <w:adjustRightInd w:val="0"/>
        <w:spacing w:line="360" w:lineRule="auto"/>
        <w:ind w:left="2940" w:leftChars="1400"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p>
    <w:p w14:paraId="1043AE43">
      <w:pPr>
        <w:autoSpaceDE w:val="0"/>
        <w:autoSpaceDN w:val="0"/>
        <w:adjustRightInd w:val="0"/>
        <w:spacing w:line="360" w:lineRule="auto"/>
        <w:ind w:left="2940" w:leftChars="140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6A50319">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48E80CCA">
      <w:pPr>
        <w:spacing w:before="240" w:beforeLines="100" w:after="120" w:afterLines="50" w:line="510" w:lineRule="exact"/>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w:t>
      </w:r>
      <w:r>
        <w:rPr>
          <w:rFonts w:hint="eastAsia" w:ascii="宋体" w:hAnsi="宋体" w:cs="宋体"/>
          <w:b/>
          <w:bCs/>
          <w:color w:val="auto"/>
          <w:kern w:val="0"/>
          <w:sz w:val="30"/>
          <w:szCs w:val="30"/>
          <w:highlight w:val="none"/>
          <w:lang w:val="en-US" w:eastAsia="zh-CN" w:bidi="ar-SA"/>
        </w:rPr>
        <w:t>报价</w:t>
      </w:r>
      <w:r>
        <w:rPr>
          <w:rFonts w:hint="eastAsia" w:ascii="宋体" w:hAnsi="宋体" w:eastAsia="宋体" w:cs="宋体"/>
          <w:b/>
          <w:bCs/>
          <w:color w:val="auto"/>
          <w:kern w:val="0"/>
          <w:sz w:val="30"/>
          <w:szCs w:val="30"/>
          <w:highlight w:val="none"/>
          <w:lang w:val="en-US" w:eastAsia="zh-CN" w:bidi="ar-SA"/>
        </w:rPr>
        <w:t>函附录</w:t>
      </w:r>
    </w:p>
    <w:tbl>
      <w:tblPr>
        <w:tblStyle w:val="3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797"/>
        <w:gridCol w:w="3612"/>
        <w:gridCol w:w="1543"/>
      </w:tblGrid>
      <w:tr w14:paraId="7B8A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6" w:type="dxa"/>
            <w:noWrap/>
            <w:vAlign w:val="center"/>
          </w:tcPr>
          <w:p w14:paraId="4F0478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797" w:type="dxa"/>
            <w:noWrap/>
            <w:vAlign w:val="center"/>
          </w:tcPr>
          <w:p w14:paraId="0BF5B1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3612" w:type="dxa"/>
            <w:noWrap/>
            <w:vAlign w:val="center"/>
          </w:tcPr>
          <w:p w14:paraId="5E760C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543" w:type="dxa"/>
            <w:noWrap/>
            <w:vAlign w:val="center"/>
          </w:tcPr>
          <w:p w14:paraId="22760D3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是否响应</w:t>
            </w:r>
          </w:p>
        </w:tc>
      </w:tr>
      <w:tr w14:paraId="4AE0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56" w:type="dxa"/>
            <w:noWrap/>
            <w:vAlign w:val="center"/>
          </w:tcPr>
          <w:p w14:paraId="10F428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97" w:type="dxa"/>
            <w:noWrap/>
            <w:vAlign w:val="center"/>
          </w:tcPr>
          <w:p w14:paraId="2865C7C8">
            <w:pPr>
              <w:jc w:val="left"/>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服务地点</w:t>
            </w:r>
          </w:p>
        </w:tc>
        <w:tc>
          <w:tcPr>
            <w:tcW w:w="3612" w:type="dxa"/>
            <w:noWrap/>
            <w:vAlign w:val="center"/>
          </w:tcPr>
          <w:p w14:paraId="34ACBFCD">
            <w:pPr>
              <w:rPr>
                <w:rFonts w:hint="eastAsia" w:ascii="宋体" w:hAnsi="宋体" w:eastAsia="宋体" w:cs="宋体"/>
                <w:color w:val="auto"/>
                <w:highlight w:val="none"/>
                <w:lang w:eastAsia="zh-CN"/>
              </w:rPr>
            </w:pPr>
            <w:r>
              <w:rPr>
                <w:rFonts w:hint="eastAsia" w:ascii="宋体" w:hAnsi="宋体" w:cs="宋体"/>
                <w:color w:val="auto"/>
                <w:kern w:val="0"/>
                <w:szCs w:val="21"/>
                <w:lang w:eastAsia="zh-CN" w:bidi="ar"/>
              </w:rPr>
              <w:t>临江市</w:t>
            </w:r>
          </w:p>
        </w:tc>
        <w:tc>
          <w:tcPr>
            <w:tcW w:w="1543" w:type="dxa"/>
            <w:noWrap/>
            <w:vAlign w:val="center"/>
          </w:tcPr>
          <w:p w14:paraId="3FE0F902">
            <w:pPr>
              <w:jc w:val="center"/>
              <w:rPr>
                <w:rFonts w:hint="eastAsia" w:ascii="宋体" w:hAnsi="宋体" w:eastAsia="宋体" w:cs="宋体"/>
                <w:color w:val="auto"/>
                <w:szCs w:val="21"/>
                <w:highlight w:val="none"/>
              </w:rPr>
            </w:pPr>
          </w:p>
        </w:tc>
      </w:tr>
      <w:tr w14:paraId="69A6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56" w:type="dxa"/>
            <w:noWrap/>
            <w:vAlign w:val="center"/>
          </w:tcPr>
          <w:p w14:paraId="3DD5B76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97" w:type="dxa"/>
            <w:noWrap/>
            <w:vAlign w:val="center"/>
          </w:tcPr>
          <w:p w14:paraId="69B5250B">
            <w:pPr>
              <w:jc w:val="left"/>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合同履约期限</w:t>
            </w:r>
          </w:p>
        </w:tc>
        <w:tc>
          <w:tcPr>
            <w:tcW w:w="3612" w:type="dxa"/>
            <w:noWrap/>
            <w:vAlign w:val="center"/>
          </w:tcPr>
          <w:p w14:paraId="34402FAD">
            <w:p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自委托协议签订之日起6个月内完成使用林地可行性报告编制；取得使用林地审核同意书后1个月内完成国家重点保护野生植物采集（补植）方案、采伐调查设计资料。</w:t>
            </w:r>
          </w:p>
        </w:tc>
        <w:tc>
          <w:tcPr>
            <w:tcW w:w="1543" w:type="dxa"/>
            <w:noWrap/>
            <w:vAlign w:val="center"/>
          </w:tcPr>
          <w:p w14:paraId="3D03C754">
            <w:pPr>
              <w:jc w:val="center"/>
              <w:rPr>
                <w:rFonts w:hint="eastAsia" w:ascii="宋体" w:hAnsi="宋体" w:eastAsia="宋体" w:cs="宋体"/>
                <w:color w:val="auto"/>
                <w:szCs w:val="21"/>
                <w:highlight w:val="none"/>
              </w:rPr>
            </w:pPr>
          </w:p>
        </w:tc>
      </w:tr>
      <w:tr w14:paraId="06F4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56" w:type="dxa"/>
            <w:noWrap/>
            <w:vAlign w:val="center"/>
          </w:tcPr>
          <w:p w14:paraId="483D18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97" w:type="dxa"/>
            <w:noWrap/>
            <w:vAlign w:val="center"/>
          </w:tcPr>
          <w:p w14:paraId="3400E05E">
            <w:pPr>
              <w:autoSpaceDE w:val="0"/>
              <w:autoSpaceDN w:val="0"/>
              <w:adjustRightInd w:val="0"/>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质量要求</w:t>
            </w:r>
          </w:p>
        </w:tc>
        <w:tc>
          <w:tcPr>
            <w:tcW w:w="3612" w:type="dxa"/>
            <w:noWrap/>
            <w:vAlign w:val="center"/>
          </w:tcPr>
          <w:p w14:paraId="4FD6C39F">
            <w:pPr>
              <w:autoSpaceDE w:val="0"/>
              <w:autoSpaceDN w:val="0"/>
              <w:adjustRightInd w:val="0"/>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符合国家现行相关规范合格标准</w:t>
            </w:r>
            <w:r>
              <w:rPr>
                <w:rFonts w:hint="eastAsia" w:ascii="宋体" w:hAnsi="宋体" w:cs="宋体"/>
                <w:color w:val="auto"/>
                <w:highlight w:val="none"/>
                <w:lang w:val="en-US" w:eastAsia="zh-CN"/>
              </w:rPr>
              <w:t>及采购人要求</w:t>
            </w:r>
          </w:p>
        </w:tc>
        <w:tc>
          <w:tcPr>
            <w:tcW w:w="1543" w:type="dxa"/>
            <w:noWrap/>
            <w:vAlign w:val="center"/>
          </w:tcPr>
          <w:p w14:paraId="0E231FE0">
            <w:pPr>
              <w:jc w:val="center"/>
              <w:rPr>
                <w:rFonts w:hint="eastAsia" w:ascii="宋体" w:hAnsi="宋体" w:eastAsia="宋体" w:cs="宋体"/>
                <w:color w:val="auto"/>
                <w:szCs w:val="21"/>
                <w:highlight w:val="none"/>
              </w:rPr>
            </w:pPr>
          </w:p>
        </w:tc>
      </w:tr>
      <w:tr w14:paraId="0DD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56" w:type="dxa"/>
            <w:noWrap/>
            <w:vAlign w:val="center"/>
          </w:tcPr>
          <w:p w14:paraId="32C1715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797" w:type="dxa"/>
            <w:noWrap/>
            <w:vAlign w:val="center"/>
          </w:tcPr>
          <w:p w14:paraId="5836514F">
            <w:pPr>
              <w:autoSpaceDE w:val="0"/>
              <w:autoSpaceDN w:val="0"/>
              <w:adjustRightInd w:val="0"/>
              <w:spacing w:line="32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kern w:val="0"/>
                <w:szCs w:val="21"/>
                <w:highlight w:val="none"/>
                <w:lang w:eastAsia="zh-CN"/>
              </w:rPr>
              <w:t>采购需求</w:t>
            </w:r>
          </w:p>
        </w:tc>
        <w:tc>
          <w:tcPr>
            <w:tcW w:w="3612" w:type="dxa"/>
            <w:noWrap/>
            <w:vAlign w:val="center"/>
          </w:tcPr>
          <w:p w14:paraId="672C5F9C">
            <w:pPr>
              <w:autoSpaceDE w:val="0"/>
              <w:autoSpaceDN w:val="0"/>
              <w:adjustRightInd w:val="0"/>
              <w:spacing w:line="32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Cs w:val="21"/>
                <w:highlight w:val="none"/>
                <w:lang w:eastAsia="zh-CN"/>
              </w:rPr>
              <w:t>不允许负偏离</w:t>
            </w:r>
            <w:r>
              <w:rPr>
                <w:rFonts w:hint="eastAsia" w:ascii="宋体" w:hAnsi="宋体" w:cs="宋体"/>
                <w:bCs/>
                <w:color w:val="auto"/>
                <w:kern w:val="0"/>
                <w:szCs w:val="21"/>
                <w:highlight w:val="none"/>
                <w:lang w:eastAsia="zh-CN"/>
              </w:rPr>
              <w:t>，满足“第五章</w:t>
            </w:r>
            <w:r>
              <w:rPr>
                <w:rFonts w:hint="eastAsia" w:ascii="宋体" w:hAnsi="宋体" w:cs="宋体"/>
                <w:bCs/>
                <w:color w:val="auto"/>
                <w:kern w:val="0"/>
                <w:szCs w:val="21"/>
                <w:highlight w:val="none"/>
                <w:lang w:val="en-US" w:eastAsia="zh-CN"/>
              </w:rPr>
              <w:t xml:space="preserve"> 采购需求</w:t>
            </w:r>
            <w:r>
              <w:rPr>
                <w:rFonts w:hint="eastAsia" w:ascii="宋体" w:hAnsi="宋体" w:cs="宋体"/>
                <w:bCs/>
                <w:color w:val="auto"/>
                <w:kern w:val="0"/>
                <w:szCs w:val="21"/>
                <w:highlight w:val="none"/>
                <w:lang w:eastAsia="zh-CN"/>
              </w:rPr>
              <w:t>”</w:t>
            </w:r>
          </w:p>
        </w:tc>
        <w:tc>
          <w:tcPr>
            <w:tcW w:w="1543" w:type="dxa"/>
            <w:noWrap/>
            <w:vAlign w:val="center"/>
          </w:tcPr>
          <w:p w14:paraId="32E6B942">
            <w:pPr>
              <w:jc w:val="center"/>
              <w:rPr>
                <w:rFonts w:hint="eastAsia" w:ascii="宋体" w:hAnsi="宋体" w:eastAsia="宋体" w:cs="宋体"/>
                <w:color w:val="auto"/>
                <w:szCs w:val="21"/>
                <w:highlight w:val="none"/>
              </w:rPr>
            </w:pPr>
          </w:p>
        </w:tc>
      </w:tr>
      <w:tr w14:paraId="2B0E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56" w:type="dxa"/>
            <w:shd w:val="clear" w:color="auto" w:fill="auto"/>
            <w:noWrap/>
            <w:vAlign w:val="center"/>
          </w:tcPr>
          <w:p w14:paraId="5B513A6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2797" w:type="dxa"/>
            <w:shd w:val="clear" w:color="auto" w:fill="auto"/>
            <w:noWrap/>
            <w:vAlign w:val="center"/>
          </w:tcPr>
          <w:p w14:paraId="52BDC18D">
            <w:pPr>
              <w:rPr>
                <w:rFonts w:hint="eastAsia" w:ascii="宋体" w:hAnsi="宋体" w:eastAsia="宋体" w:cs="宋体"/>
                <w:bCs/>
                <w:color w:val="auto"/>
                <w:kern w:val="0"/>
                <w:sz w:val="21"/>
                <w:szCs w:val="21"/>
                <w:highlight w:val="none"/>
                <w:lang w:val="en-US" w:eastAsia="zh-CN" w:bidi="ar-SA"/>
              </w:rPr>
            </w:pPr>
            <w:r>
              <w:rPr>
                <w:rFonts w:hint="eastAsia" w:ascii="宋体" w:hAnsi="宋体"/>
                <w:color w:val="auto"/>
                <w:szCs w:val="21"/>
                <w:highlight w:val="none"/>
              </w:rPr>
              <w:t>付款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w:t>
            </w:r>
            <w:r>
              <w:rPr>
                <w:rFonts w:hint="eastAsia" w:ascii="宋体" w:hAnsi="宋体"/>
                <w:color w:val="auto"/>
                <w:szCs w:val="21"/>
                <w:highlight w:val="none"/>
                <w:lang w:eastAsia="zh-CN"/>
              </w:rPr>
              <w:t>）</w:t>
            </w:r>
            <w:r>
              <w:rPr>
                <w:rFonts w:hint="eastAsia" w:ascii="宋体" w:hAnsi="宋体"/>
                <w:color w:val="auto"/>
                <w:szCs w:val="21"/>
                <w:highlight w:val="none"/>
              </w:rPr>
              <w:t>方式</w:t>
            </w:r>
          </w:p>
        </w:tc>
        <w:tc>
          <w:tcPr>
            <w:tcW w:w="3612" w:type="dxa"/>
            <w:shd w:val="clear" w:color="auto" w:fill="auto"/>
            <w:noWrap/>
            <w:vAlign w:val="center"/>
          </w:tcPr>
          <w:p w14:paraId="434F5D8E">
            <w:pPr>
              <w:jc w:val="left"/>
              <w:rPr>
                <w:rFonts w:hint="eastAsia" w:ascii="宋体" w:hAnsi="宋体" w:eastAsia="宋体" w:cs="宋体"/>
                <w:bCs/>
                <w:color w:val="auto"/>
                <w:kern w:val="0"/>
                <w:sz w:val="21"/>
                <w:szCs w:val="21"/>
                <w:highlight w:val="none"/>
                <w:lang w:val="en-US" w:eastAsia="zh-CN" w:bidi="ar-SA"/>
              </w:rPr>
            </w:pPr>
            <w:r>
              <w:rPr>
                <w:rFonts w:hint="eastAsia" w:ascii="宋体" w:hAnsi="宋体"/>
                <w:color w:val="auto"/>
                <w:sz w:val="21"/>
                <w:szCs w:val="21"/>
                <w:highlight w:val="none"/>
              </w:rPr>
              <w:t>以实际签订合同为准</w:t>
            </w:r>
          </w:p>
        </w:tc>
        <w:tc>
          <w:tcPr>
            <w:tcW w:w="1543" w:type="dxa"/>
            <w:shd w:val="clear" w:color="auto" w:fill="auto"/>
            <w:noWrap/>
            <w:vAlign w:val="center"/>
          </w:tcPr>
          <w:p w14:paraId="487FE712">
            <w:pPr>
              <w:jc w:val="center"/>
              <w:rPr>
                <w:rFonts w:hint="eastAsia" w:ascii="宋体" w:hAnsi="宋体" w:eastAsia="宋体" w:cs="宋体"/>
                <w:color w:val="auto"/>
                <w:kern w:val="2"/>
                <w:sz w:val="21"/>
                <w:szCs w:val="21"/>
                <w:highlight w:val="none"/>
                <w:lang w:val="en-US" w:eastAsia="zh-CN" w:bidi="ar-SA"/>
              </w:rPr>
            </w:pPr>
          </w:p>
        </w:tc>
      </w:tr>
      <w:tr w14:paraId="68D2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6" w:type="dxa"/>
            <w:noWrap/>
            <w:vAlign w:val="center"/>
          </w:tcPr>
          <w:p w14:paraId="1786E9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97" w:type="dxa"/>
            <w:noWrap/>
            <w:vAlign w:val="center"/>
          </w:tcPr>
          <w:p w14:paraId="2E4FDC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12" w:type="dxa"/>
            <w:noWrap/>
            <w:vAlign w:val="center"/>
          </w:tcPr>
          <w:p w14:paraId="5C2F190E">
            <w:pPr>
              <w:jc w:val="center"/>
              <w:rPr>
                <w:rFonts w:hint="eastAsia" w:ascii="宋体" w:hAnsi="宋体" w:eastAsia="宋体" w:cs="宋体"/>
                <w:color w:val="auto"/>
                <w:szCs w:val="21"/>
                <w:highlight w:val="none"/>
              </w:rPr>
            </w:pPr>
          </w:p>
        </w:tc>
        <w:tc>
          <w:tcPr>
            <w:tcW w:w="1543" w:type="dxa"/>
            <w:noWrap/>
            <w:vAlign w:val="center"/>
          </w:tcPr>
          <w:p w14:paraId="648E9C43">
            <w:pPr>
              <w:jc w:val="center"/>
              <w:rPr>
                <w:rFonts w:hint="eastAsia" w:ascii="宋体" w:hAnsi="宋体" w:eastAsia="宋体" w:cs="宋体"/>
                <w:color w:val="auto"/>
                <w:szCs w:val="21"/>
                <w:highlight w:val="none"/>
              </w:rPr>
            </w:pPr>
          </w:p>
        </w:tc>
      </w:tr>
    </w:tbl>
    <w:p w14:paraId="519F4DB9">
      <w:pPr>
        <w:spacing w:line="480" w:lineRule="auto"/>
        <w:ind w:right="960"/>
        <w:jc w:val="both"/>
        <w:rPr>
          <w:rFonts w:hint="eastAsia" w:ascii="宋体" w:hAnsi="宋体" w:eastAsia="宋体" w:cs="宋体"/>
          <w:color w:val="auto"/>
          <w:szCs w:val="21"/>
          <w:highlight w:val="none"/>
        </w:rPr>
      </w:pPr>
    </w:p>
    <w:p w14:paraId="773832C7">
      <w:pPr>
        <w:keepNext w:val="0"/>
        <w:keepLines w:val="0"/>
        <w:pageBreakBefore w:val="0"/>
        <w:widowControl w:val="0"/>
        <w:kinsoku/>
        <w:wordWrap/>
        <w:overflowPunct/>
        <w:topLinePunct w:val="0"/>
        <w:autoSpaceDE/>
        <w:autoSpaceDN/>
        <w:bidi w:val="0"/>
        <w:adjustRightInd/>
        <w:snapToGrid/>
        <w:spacing w:line="480" w:lineRule="auto"/>
        <w:ind w:right="960" w:firstLine="4200" w:firstLineChars="2000"/>
        <w:jc w:val="both"/>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A59B516">
      <w:pPr>
        <w:keepNext w:val="0"/>
        <w:keepLines w:val="0"/>
        <w:pageBreakBefore w:val="0"/>
        <w:widowControl w:val="0"/>
        <w:kinsoku/>
        <w:wordWrap/>
        <w:overflowPunct/>
        <w:topLinePunct w:val="0"/>
        <w:autoSpaceDE/>
        <w:autoSpaceDN/>
        <w:bidi w:val="0"/>
        <w:adjustRightInd/>
        <w:snapToGrid/>
        <w:spacing w:line="480" w:lineRule="auto"/>
        <w:ind w:firstLine="4200" w:firstLineChars="2000"/>
        <w:jc w:val="both"/>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法定代表人或其委托代理人（签字或盖章）</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u w:val="single"/>
        </w:rPr>
        <w:t xml:space="preserve">            </w:t>
      </w:r>
    </w:p>
    <w:p w14:paraId="5DD4B515">
      <w:pPr>
        <w:spacing w:line="6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3828B90">
      <w:pPr>
        <w:pStyle w:val="3"/>
        <w:keepNext/>
        <w:keepLines/>
        <w:pageBreakBefore w:val="0"/>
        <w:widowControl w:val="0"/>
        <w:kinsoku/>
        <w:wordWrap/>
        <w:overflowPunct/>
        <w:topLinePunct w:val="0"/>
        <w:autoSpaceDE/>
        <w:autoSpaceDN/>
        <w:bidi w:val="0"/>
        <w:adjustRightInd/>
        <w:snapToGrid/>
        <w:spacing w:before="0" w:line="416"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30"/>
          <w:szCs w:val="30"/>
          <w:highlight w:val="none"/>
        </w:rPr>
        <w:br w:type="page"/>
      </w:r>
      <w:bookmarkStart w:id="127" w:name="_Toc7316"/>
      <w:r>
        <w:rPr>
          <w:rFonts w:hint="eastAsia" w:ascii="宋体" w:hAnsi="宋体" w:eastAsia="宋体" w:cs="宋体"/>
          <w:b/>
          <w:bCs/>
          <w:color w:val="auto"/>
          <w:sz w:val="32"/>
          <w:szCs w:val="32"/>
          <w:highlight w:val="none"/>
        </w:rPr>
        <w:t>二、磋商保证金</w:t>
      </w:r>
      <w:bookmarkEnd w:id="127"/>
    </w:p>
    <w:p w14:paraId="47B37776">
      <w:pPr>
        <w:jc w:val="center"/>
        <w:rPr>
          <w:rFonts w:hint="eastAsia" w:ascii="宋体" w:hAnsi="宋体" w:eastAsia="宋体" w:cs="宋体"/>
          <w:color w:val="auto"/>
          <w:szCs w:val="21"/>
          <w:highlight w:val="none"/>
        </w:rPr>
      </w:pPr>
    </w:p>
    <w:p w14:paraId="1551C6CF">
      <w:pPr>
        <w:autoSpaceDE w:val="0"/>
        <w:autoSpaceDN w:val="0"/>
        <w:adjustRightIn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color w:val="auto"/>
          <w:szCs w:val="21"/>
          <w:highlight w:val="none"/>
        </w:rPr>
        <mc:AlternateContent>
          <mc:Choice Requires="wps">
            <w:drawing>
              <wp:inline distT="0" distB="0" distL="114300" distR="114300">
                <wp:extent cx="5684520" cy="3484245"/>
                <wp:effectExtent l="13970" t="13970" r="16510" b="26035"/>
                <wp:docPr id="5" name="文本框 1"/>
                <wp:cNvGraphicFramePr/>
                <a:graphic xmlns:a="http://schemas.openxmlformats.org/drawingml/2006/main">
                  <a:graphicData uri="http://schemas.microsoft.com/office/word/2010/wordprocessingShape">
                    <wps:wsp>
                      <wps:cNvSpPr txBox="1"/>
                      <wps:spPr>
                        <a:xfrm>
                          <a:off x="0" y="0"/>
                          <a:ext cx="5684520" cy="3484245"/>
                        </a:xfrm>
                        <a:prstGeom prst="rect">
                          <a:avLst/>
                        </a:prstGeom>
                        <a:solidFill>
                          <a:srgbClr val="FFFFFF"/>
                        </a:solidFill>
                        <a:ln w="28575" cap="flat" cmpd="sng">
                          <a:solidFill>
                            <a:srgbClr val="000000"/>
                          </a:solidFill>
                          <a:prstDash val="dash"/>
                          <a:miter/>
                          <a:headEnd type="none" w="med" len="med"/>
                          <a:tailEnd type="none" w="med" len="med"/>
                        </a:ln>
                        <a:effectLst/>
                      </wps:spPr>
                      <wps:txbx>
                        <w:txbxContent>
                          <w:p w14:paraId="3E7D0FFA"/>
                          <w:p w14:paraId="60161059"/>
                          <w:p w14:paraId="298D631F">
                            <w:pPr>
                              <w:jc w:val="center"/>
                              <w:rPr>
                                <w:rFonts w:ascii="宋体" w:hAnsi="宋体"/>
                                <w:szCs w:val="21"/>
                              </w:rPr>
                            </w:pPr>
                          </w:p>
                          <w:p w14:paraId="7ADB5A61">
                            <w:pPr>
                              <w:jc w:val="center"/>
                              <w:rPr>
                                <w:rFonts w:ascii="宋体" w:hAnsi="宋体"/>
                                <w:szCs w:val="21"/>
                              </w:rPr>
                            </w:pPr>
                          </w:p>
                          <w:p w14:paraId="46E9DA8E">
                            <w:pPr>
                              <w:jc w:val="center"/>
                              <w:rPr>
                                <w:rFonts w:hint="default" w:ascii="宋体" w:hAnsi="宋体" w:eastAsia="宋体"/>
                                <w:szCs w:val="21"/>
                                <w:lang w:val="en-US" w:eastAsia="zh-CN"/>
                              </w:rPr>
                            </w:pPr>
                            <w:r>
                              <w:rPr>
                                <w:rFonts w:hint="eastAsia" w:ascii="宋体" w:hAnsi="宋体"/>
                                <w:szCs w:val="21"/>
                              </w:rPr>
                              <w:t>此处贴转账支票、电汇业务委托书回单</w:t>
                            </w:r>
                            <w:r>
                              <w:rPr>
                                <w:rFonts w:hint="eastAsia" w:ascii="宋体" w:hAnsi="宋体"/>
                                <w:szCs w:val="21"/>
                                <w:lang w:val="en-US" w:eastAsia="zh-CN"/>
                              </w:rPr>
                              <w:t>或保函</w:t>
                            </w:r>
                          </w:p>
                          <w:p w14:paraId="0020595C">
                            <w:pPr>
                              <w:jc w:val="center"/>
                              <w:rPr>
                                <w:rFonts w:ascii="宋体" w:hAnsi="宋体"/>
                                <w:szCs w:val="21"/>
                              </w:rPr>
                            </w:pPr>
                            <w:r>
                              <w:rPr>
                                <w:rFonts w:hint="eastAsia" w:ascii="宋体" w:hAnsi="宋体"/>
                                <w:szCs w:val="21"/>
                              </w:rPr>
                              <w:t>的复印件加盖公章</w:t>
                            </w:r>
                          </w:p>
                        </w:txbxContent>
                      </wps:txbx>
                      <wps:bodyPr upright="1"/>
                    </wps:wsp>
                  </a:graphicData>
                </a:graphic>
              </wp:inline>
            </w:drawing>
          </mc:Choice>
          <mc:Fallback>
            <w:pict>
              <v:shape id="文本框 1" o:spid="_x0000_s1026" o:spt="202" type="#_x0000_t202" style="height:274.35pt;width:447.6pt;" fillcolor="#FFFFFF" filled="t" stroked="t" coordsize="21600,21600" o:gfxdata="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aUs9YAAAAFAQAADwAAAAAAAAAB&#10;ACAAAAAiAAAAZHJzL2Rvd25yZXYueG1sUEsBAhQAFAAAAAgAh07iQNbLZRASAgAARQQAAA4AAAAA&#10;AAAAAQAgAAAAJQEAAGRycy9lMm9Eb2MueG1sUEsFBgAAAAAGAAYAWQEAAKkFAAAAAA==&#10;">
                <v:fill on="t" focussize="0,0"/>
                <v:stroke weight="2.25pt" color="#000000" joinstyle="miter" dashstyle="dash"/>
                <v:imagedata o:title=""/>
                <o:lock v:ext="edit" aspectratio="f"/>
                <v:textbox>
                  <w:txbxContent>
                    <w:p w14:paraId="3E7D0FFA"/>
                    <w:p w14:paraId="60161059"/>
                    <w:p w14:paraId="298D631F">
                      <w:pPr>
                        <w:jc w:val="center"/>
                        <w:rPr>
                          <w:rFonts w:ascii="宋体" w:hAnsi="宋体"/>
                          <w:szCs w:val="21"/>
                        </w:rPr>
                      </w:pPr>
                    </w:p>
                    <w:p w14:paraId="7ADB5A61">
                      <w:pPr>
                        <w:jc w:val="center"/>
                        <w:rPr>
                          <w:rFonts w:ascii="宋体" w:hAnsi="宋体"/>
                          <w:szCs w:val="21"/>
                        </w:rPr>
                      </w:pPr>
                    </w:p>
                    <w:p w14:paraId="46E9DA8E">
                      <w:pPr>
                        <w:jc w:val="center"/>
                        <w:rPr>
                          <w:rFonts w:hint="default" w:ascii="宋体" w:hAnsi="宋体" w:eastAsia="宋体"/>
                          <w:szCs w:val="21"/>
                          <w:lang w:val="en-US" w:eastAsia="zh-CN"/>
                        </w:rPr>
                      </w:pPr>
                      <w:r>
                        <w:rPr>
                          <w:rFonts w:hint="eastAsia" w:ascii="宋体" w:hAnsi="宋体"/>
                          <w:szCs w:val="21"/>
                        </w:rPr>
                        <w:t>此处贴转账支票、电汇业务委托书回单</w:t>
                      </w:r>
                      <w:r>
                        <w:rPr>
                          <w:rFonts w:hint="eastAsia" w:ascii="宋体" w:hAnsi="宋体"/>
                          <w:szCs w:val="21"/>
                          <w:lang w:val="en-US" w:eastAsia="zh-CN"/>
                        </w:rPr>
                        <w:t>或保函</w:t>
                      </w:r>
                    </w:p>
                    <w:p w14:paraId="0020595C">
                      <w:pPr>
                        <w:jc w:val="center"/>
                        <w:rPr>
                          <w:rFonts w:ascii="宋体" w:hAnsi="宋体"/>
                          <w:szCs w:val="21"/>
                        </w:rPr>
                      </w:pPr>
                      <w:r>
                        <w:rPr>
                          <w:rFonts w:hint="eastAsia" w:ascii="宋体" w:hAnsi="宋体"/>
                          <w:szCs w:val="21"/>
                        </w:rPr>
                        <w:t>的复印件加盖公章</w:t>
                      </w:r>
                    </w:p>
                  </w:txbxContent>
                </v:textbox>
                <w10:wrap type="none"/>
                <w10:anchorlock/>
              </v:shape>
            </w:pict>
          </mc:Fallback>
        </mc:AlternateContent>
      </w:r>
    </w:p>
    <w:p w14:paraId="6084861B">
      <w:pPr>
        <w:pStyle w:val="30"/>
        <w:rPr>
          <w:rFonts w:hint="eastAsia" w:ascii="宋体" w:hAnsi="宋体" w:eastAsia="宋体" w:cs="宋体"/>
          <w:b/>
          <w:bCs/>
          <w:color w:val="auto"/>
          <w:sz w:val="30"/>
          <w:szCs w:val="30"/>
          <w:highlight w:val="none"/>
        </w:rPr>
      </w:pPr>
    </w:p>
    <w:p w14:paraId="1AE0C46A">
      <w:pPr>
        <w:ind w:firstLine="420" w:firstLineChars="200"/>
        <w:rPr>
          <w:rFonts w:hint="eastAsia" w:ascii="宋体" w:hAnsi="宋体" w:eastAsia="宋体" w:cs="宋体"/>
          <w:b/>
          <w:color w:val="auto"/>
          <w:szCs w:val="32"/>
          <w:highlight w:val="none"/>
          <w:lang w:eastAsia="zh-CN"/>
        </w:rPr>
      </w:pPr>
      <w:r>
        <w:rPr>
          <w:rFonts w:hint="eastAsia" w:ascii="宋体" w:hAnsi="宋体" w:eastAsia="宋体" w:cs="宋体"/>
          <w:b/>
          <w:color w:val="auto"/>
          <w:highlight w:val="none"/>
        </w:rPr>
        <w:t>后附：基本开户许可证</w:t>
      </w:r>
      <w:r>
        <w:rPr>
          <w:rFonts w:hint="eastAsia" w:ascii="宋体" w:hAnsi="宋体" w:eastAsia="宋体" w:cs="宋体"/>
          <w:b/>
          <w:color w:val="auto"/>
          <w:highlight w:val="none"/>
          <w:lang w:eastAsia="zh-CN"/>
        </w:rPr>
        <w:t>或基本存款账户信息</w:t>
      </w:r>
    </w:p>
    <w:p w14:paraId="4EA3DCFE">
      <w:pPr>
        <w:rPr>
          <w:rFonts w:hint="eastAsia" w:ascii="宋体" w:hAnsi="宋体" w:eastAsia="宋体" w:cs="宋体"/>
          <w:b/>
          <w:bCs/>
          <w:color w:val="auto"/>
          <w:sz w:val="30"/>
          <w:szCs w:val="30"/>
          <w:highlight w:val="none"/>
        </w:rPr>
      </w:pPr>
    </w:p>
    <w:p w14:paraId="7025B24B">
      <w:pPr>
        <w:pStyle w:val="30"/>
        <w:rPr>
          <w:rFonts w:hint="eastAsia" w:ascii="宋体" w:hAnsi="宋体" w:eastAsia="宋体" w:cs="宋体"/>
          <w:b/>
          <w:bCs/>
          <w:color w:val="auto"/>
          <w:sz w:val="30"/>
          <w:szCs w:val="30"/>
          <w:highlight w:val="none"/>
        </w:rPr>
      </w:pPr>
    </w:p>
    <w:p w14:paraId="0CE73B05">
      <w:pPr>
        <w:rPr>
          <w:rFonts w:hint="eastAsia" w:ascii="宋体" w:hAnsi="宋体" w:eastAsia="宋体" w:cs="宋体"/>
          <w:color w:val="auto"/>
          <w:highlight w:val="none"/>
        </w:rPr>
      </w:pPr>
    </w:p>
    <w:p w14:paraId="6A954789">
      <w:pPr>
        <w:autoSpaceDE w:val="0"/>
        <w:autoSpaceDN w:val="0"/>
        <w:adjustRightInd w:val="0"/>
        <w:spacing w:line="360" w:lineRule="auto"/>
        <w:ind w:left="3780" w:leftChars="1800" w:firstLine="1350" w:firstLineChars="450"/>
        <w:rPr>
          <w:rFonts w:hint="eastAsia" w:ascii="宋体" w:hAnsi="宋体" w:eastAsia="宋体" w:cs="宋体"/>
          <w:color w:val="auto"/>
          <w:szCs w:val="21"/>
          <w:highlight w:val="none"/>
        </w:rPr>
      </w:pPr>
      <w:r>
        <w:rPr>
          <w:rFonts w:hint="eastAsia" w:ascii="宋体" w:hAnsi="宋体" w:eastAsia="宋体" w:cs="宋体"/>
          <w:b/>
          <w:bCs/>
          <w:color w:val="auto"/>
          <w:sz w:val="30"/>
          <w:szCs w:val="30"/>
          <w:highlight w:val="none"/>
        </w:rPr>
        <w:br w:type="page"/>
      </w:r>
    </w:p>
    <w:p w14:paraId="40B933D4">
      <w:pPr>
        <w:pStyle w:val="3"/>
        <w:bidi w:val="0"/>
        <w:jc w:val="center"/>
        <w:rPr>
          <w:rFonts w:hint="eastAsia" w:ascii="宋体" w:hAnsi="宋体" w:eastAsia="宋体" w:cs="宋体"/>
          <w:b/>
          <w:bCs/>
          <w:color w:val="auto"/>
          <w:sz w:val="32"/>
          <w:szCs w:val="32"/>
          <w:highlight w:val="none"/>
        </w:rPr>
      </w:pPr>
      <w:bookmarkStart w:id="128" w:name="_Toc24768"/>
      <w:r>
        <w:rPr>
          <w:rFonts w:hint="eastAsia" w:ascii="宋体" w:hAnsi="宋体" w:eastAsia="宋体" w:cs="宋体"/>
          <w:color w:val="auto"/>
          <w:lang w:eastAsia="zh-CN"/>
        </w:rPr>
        <w:t>三</w:t>
      </w:r>
      <w:r>
        <w:rPr>
          <w:rFonts w:hint="eastAsia" w:ascii="宋体" w:hAnsi="宋体" w:eastAsia="宋体" w:cs="宋体"/>
          <w:color w:val="auto"/>
        </w:rPr>
        <w:t>、</w:t>
      </w:r>
      <w:bookmarkEnd w:id="128"/>
      <w:bookmarkStart w:id="129" w:name="_Toc25351"/>
      <w:r>
        <w:rPr>
          <w:rFonts w:hint="eastAsia" w:ascii="宋体" w:hAnsi="宋体" w:eastAsia="宋体" w:cs="宋体"/>
          <w:b/>
          <w:bCs/>
          <w:color w:val="auto"/>
          <w:sz w:val="32"/>
          <w:szCs w:val="32"/>
          <w:highlight w:val="none"/>
        </w:rPr>
        <w:t>商务条款</w:t>
      </w:r>
      <w:r>
        <w:rPr>
          <w:rFonts w:hint="eastAsia" w:ascii="宋体" w:hAnsi="宋体" w:eastAsia="宋体" w:cs="宋体"/>
          <w:color w:val="auto"/>
        </w:rPr>
        <w:t>偏离</w:t>
      </w:r>
      <w:r>
        <w:rPr>
          <w:rFonts w:hint="eastAsia" w:ascii="宋体" w:hAnsi="宋体" w:eastAsia="宋体" w:cs="宋体"/>
          <w:b/>
          <w:bCs/>
          <w:color w:val="auto"/>
          <w:sz w:val="32"/>
          <w:szCs w:val="32"/>
          <w:highlight w:val="none"/>
        </w:rPr>
        <w:t>表</w:t>
      </w:r>
      <w:bookmarkEnd w:id="129"/>
    </w:p>
    <w:p w14:paraId="620350B7">
      <w:pPr>
        <w:rPr>
          <w:rFonts w:hint="eastAsia" w:ascii="宋体" w:hAnsi="宋体" w:eastAsia="宋体" w:cs="宋体"/>
          <w:color w:val="auto"/>
          <w:szCs w:val="21"/>
          <w:highlight w:val="none"/>
        </w:rPr>
      </w:pPr>
    </w:p>
    <w:p w14:paraId="3990D42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项目名称： </w:t>
      </w:r>
      <w:r>
        <w:rPr>
          <w:rFonts w:hint="eastAsia" w:ascii="宋体" w:hAnsi="宋体" w:eastAsia="宋体" w:cs="宋体"/>
          <w:color w:val="auto"/>
          <w:szCs w:val="21"/>
          <w:highlight w:val="none"/>
          <w:u w:val="single"/>
        </w:rPr>
        <w:t xml:space="preserve">                       </w:t>
      </w:r>
    </w:p>
    <w:p w14:paraId="1B8263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tbl>
      <w:tblPr>
        <w:tblStyle w:val="34"/>
        <w:tblW w:w="9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7"/>
        <w:gridCol w:w="2098"/>
        <w:gridCol w:w="2240"/>
        <w:gridCol w:w="1559"/>
        <w:gridCol w:w="1559"/>
        <w:gridCol w:w="1559"/>
      </w:tblGrid>
      <w:tr w14:paraId="29DDA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33" w:hRule="atLeast"/>
          <w:jc w:val="center"/>
        </w:trPr>
        <w:tc>
          <w:tcPr>
            <w:tcW w:w="937" w:type="dxa"/>
            <w:tcBorders>
              <w:top w:val="single" w:color="auto" w:sz="12" w:space="0"/>
              <w:left w:val="single" w:color="auto" w:sz="12" w:space="0"/>
              <w:bottom w:val="single" w:color="auto" w:sz="6" w:space="0"/>
              <w:right w:val="single" w:color="auto" w:sz="6" w:space="0"/>
            </w:tcBorders>
            <w:tcMar>
              <w:top w:w="15" w:type="dxa"/>
              <w:left w:w="15" w:type="dxa"/>
              <w:bottom w:w="0" w:type="dxa"/>
              <w:right w:w="15" w:type="dxa"/>
            </w:tcMar>
            <w:vAlign w:val="center"/>
          </w:tcPr>
          <w:p w14:paraId="47F9E4C5">
            <w:pPr>
              <w:adjustRightInd w:val="0"/>
              <w:snapToGrid w:val="0"/>
              <w:spacing w:line="30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序号</w:t>
            </w:r>
          </w:p>
        </w:tc>
        <w:tc>
          <w:tcPr>
            <w:tcW w:w="2098"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7DBB4DD">
            <w:pPr>
              <w:adjustRightInd w:val="0"/>
              <w:snapToGrid w:val="0"/>
              <w:spacing w:line="300" w:lineRule="auto"/>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采购商务条款</w:t>
            </w:r>
          </w:p>
        </w:tc>
        <w:tc>
          <w:tcPr>
            <w:tcW w:w="2240"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06B1F7E">
            <w:pPr>
              <w:adjustRightInd w:val="0"/>
              <w:snapToGrid w:val="0"/>
              <w:spacing w:line="30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响应内容</w:t>
            </w:r>
          </w:p>
        </w:tc>
        <w:tc>
          <w:tcPr>
            <w:tcW w:w="1559" w:type="dxa"/>
            <w:tcBorders>
              <w:top w:val="single" w:color="auto" w:sz="12" w:space="0"/>
              <w:left w:val="single" w:color="auto" w:sz="6" w:space="0"/>
              <w:bottom w:val="single" w:color="auto" w:sz="6" w:space="0"/>
              <w:right w:val="single" w:color="auto" w:sz="6" w:space="0"/>
            </w:tcBorders>
            <w:vAlign w:val="center"/>
          </w:tcPr>
          <w:p w14:paraId="0FF356C8">
            <w:pPr>
              <w:spacing w:line="440" w:lineRule="atLeas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完全响应</w:t>
            </w:r>
          </w:p>
        </w:tc>
        <w:tc>
          <w:tcPr>
            <w:tcW w:w="1559" w:type="dxa"/>
            <w:tcBorders>
              <w:top w:val="single" w:color="auto" w:sz="12" w:space="0"/>
              <w:left w:val="single" w:color="auto" w:sz="6" w:space="0"/>
              <w:bottom w:val="single" w:color="auto" w:sz="6" w:space="0"/>
              <w:right w:val="single" w:color="auto" w:sz="6" w:space="0"/>
            </w:tcBorders>
            <w:vAlign w:val="center"/>
          </w:tcPr>
          <w:p w14:paraId="3F7F67F0">
            <w:pPr>
              <w:spacing w:line="440" w:lineRule="atLeas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有偏离</w:t>
            </w:r>
          </w:p>
        </w:tc>
        <w:tc>
          <w:tcPr>
            <w:tcW w:w="1559" w:type="dxa"/>
            <w:tcBorders>
              <w:top w:val="single" w:color="auto" w:sz="12" w:space="0"/>
              <w:left w:val="single" w:color="auto" w:sz="6" w:space="0"/>
              <w:bottom w:val="single" w:color="auto" w:sz="6" w:space="0"/>
              <w:right w:val="single" w:color="auto" w:sz="12" w:space="0"/>
            </w:tcBorders>
            <w:tcMar>
              <w:top w:w="15" w:type="dxa"/>
              <w:left w:w="15" w:type="dxa"/>
              <w:bottom w:w="0" w:type="dxa"/>
              <w:right w:w="15" w:type="dxa"/>
            </w:tcMar>
            <w:vAlign w:val="center"/>
          </w:tcPr>
          <w:p w14:paraId="23FFFBCD">
            <w:pPr>
              <w:spacing w:line="440" w:lineRule="atLeas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偏离描述</w:t>
            </w:r>
          </w:p>
        </w:tc>
      </w:tr>
      <w:tr w14:paraId="458FA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46"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148BD78">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57FF03A">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95FD58">
            <w:pPr>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56146AE2">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71D5F92">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76FA9232">
            <w:pPr>
              <w:adjustRightInd w:val="0"/>
              <w:snapToGrid w:val="0"/>
              <w:spacing w:line="300" w:lineRule="auto"/>
              <w:jc w:val="center"/>
              <w:rPr>
                <w:rFonts w:hint="eastAsia" w:ascii="宋体" w:hAnsi="宋体" w:eastAsia="宋体" w:cs="宋体"/>
                <w:color w:val="auto"/>
                <w:szCs w:val="21"/>
                <w:highlight w:val="none"/>
              </w:rPr>
            </w:pPr>
          </w:p>
        </w:tc>
      </w:tr>
      <w:tr w14:paraId="2F3B3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1F1E8DB4">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4FFE2F8">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4BE59B">
            <w:pPr>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3F0F07AA">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0FF1612B">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1011BC8A">
            <w:pPr>
              <w:adjustRightInd w:val="0"/>
              <w:snapToGrid w:val="0"/>
              <w:spacing w:line="300" w:lineRule="auto"/>
              <w:jc w:val="center"/>
              <w:rPr>
                <w:rFonts w:hint="eastAsia" w:ascii="宋体" w:hAnsi="宋体" w:eastAsia="宋体" w:cs="宋体"/>
                <w:color w:val="auto"/>
                <w:szCs w:val="21"/>
                <w:highlight w:val="none"/>
              </w:rPr>
            </w:pPr>
          </w:p>
        </w:tc>
      </w:tr>
      <w:tr w14:paraId="0E8E6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5921D3C3">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4D99359">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E495DFF">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0C85EDC8">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23ADACF0">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752C6445">
            <w:pPr>
              <w:adjustRightInd w:val="0"/>
              <w:snapToGrid w:val="0"/>
              <w:spacing w:line="300" w:lineRule="auto"/>
              <w:jc w:val="center"/>
              <w:rPr>
                <w:rFonts w:hint="eastAsia" w:ascii="宋体" w:hAnsi="宋体" w:eastAsia="宋体" w:cs="宋体"/>
                <w:color w:val="auto"/>
                <w:szCs w:val="21"/>
                <w:highlight w:val="none"/>
              </w:rPr>
            </w:pPr>
          </w:p>
        </w:tc>
      </w:tr>
      <w:tr w14:paraId="7879F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130F5690">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0E8F530">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1CEE1E6">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4E5EB1D1">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78ADD324">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2E584497">
            <w:pPr>
              <w:adjustRightInd w:val="0"/>
              <w:snapToGrid w:val="0"/>
              <w:spacing w:line="300" w:lineRule="auto"/>
              <w:jc w:val="center"/>
              <w:rPr>
                <w:rFonts w:hint="eastAsia" w:ascii="宋体" w:hAnsi="宋体" w:eastAsia="宋体" w:cs="宋体"/>
                <w:color w:val="auto"/>
                <w:szCs w:val="21"/>
                <w:highlight w:val="none"/>
              </w:rPr>
            </w:pPr>
          </w:p>
        </w:tc>
      </w:tr>
      <w:tr w14:paraId="43117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F470B83">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919407A">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C0E9E1">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431583B">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C4B13D7">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5E961C83">
            <w:pPr>
              <w:adjustRightInd w:val="0"/>
              <w:snapToGrid w:val="0"/>
              <w:spacing w:line="300" w:lineRule="auto"/>
              <w:jc w:val="center"/>
              <w:rPr>
                <w:rFonts w:hint="eastAsia" w:ascii="宋体" w:hAnsi="宋体" w:eastAsia="宋体" w:cs="宋体"/>
                <w:color w:val="auto"/>
                <w:szCs w:val="21"/>
                <w:highlight w:val="none"/>
              </w:rPr>
            </w:pPr>
          </w:p>
        </w:tc>
      </w:tr>
      <w:tr w14:paraId="3B194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29" w:hRule="atLeast"/>
          <w:jc w:val="center"/>
        </w:trPr>
        <w:tc>
          <w:tcPr>
            <w:tcW w:w="937" w:type="dxa"/>
            <w:tcBorders>
              <w:top w:val="single" w:color="auto" w:sz="6" w:space="0"/>
              <w:left w:val="single" w:color="auto" w:sz="12" w:space="0"/>
              <w:bottom w:val="single" w:color="auto" w:sz="12" w:space="0"/>
              <w:right w:val="single" w:color="auto" w:sz="6" w:space="0"/>
            </w:tcBorders>
            <w:tcMar>
              <w:top w:w="15" w:type="dxa"/>
              <w:left w:w="15" w:type="dxa"/>
              <w:bottom w:w="0" w:type="dxa"/>
              <w:right w:w="15" w:type="dxa"/>
            </w:tcMar>
            <w:vAlign w:val="center"/>
          </w:tcPr>
          <w:p w14:paraId="709EB1B1">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098"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350F0FD2">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52E75BCC">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12" w:space="0"/>
              <w:right w:val="single" w:color="auto" w:sz="6" w:space="0"/>
            </w:tcBorders>
          </w:tcPr>
          <w:p w14:paraId="501E5489">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12" w:space="0"/>
              <w:right w:val="single" w:color="auto" w:sz="6" w:space="0"/>
            </w:tcBorders>
          </w:tcPr>
          <w:p w14:paraId="343D33AD">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12" w:space="0"/>
              <w:right w:val="single" w:color="auto" w:sz="12" w:space="0"/>
            </w:tcBorders>
            <w:tcMar>
              <w:top w:w="15" w:type="dxa"/>
              <w:left w:w="15" w:type="dxa"/>
              <w:bottom w:w="0" w:type="dxa"/>
              <w:right w:w="15" w:type="dxa"/>
            </w:tcMar>
            <w:vAlign w:val="center"/>
          </w:tcPr>
          <w:p w14:paraId="4718EFAC">
            <w:pPr>
              <w:adjustRightInd w:val="0"/>
              <w:snapToGrid w:val="0"/>
              <w:spacing w:line="300" w:lineRule="auto"/>
              <w:jc w:val="center"/>
              <w:rPr>
                <w:rFonts w:hint="eastAsia" w:ascii="宋体" w:hAnsi="宋体" w:eastAsia="宋体" w:cs="宋体"/>
                <w:color w:val="auto"/>
                <w:szCs w:val="21"/>
                <w:highlight w:val="none"/>
              </w:rPr>
            </w:pPr>
          </w:p>
        </w:tc>
      </w:tr>
    </w:tbl>
    <w:p w14:paraId="3DE527A1">
      <w:pPr>
        <w:pStyle w:val="15"/>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2C2764C3">
      <w:pPr>
        <w:pStyle w:val="15"/>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根据本</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须知填写本表；</w:t>
      </w:r>
    </w:p>
    <w:p w14:paraId="61D8F17F">
      <w:pPr>
        <w:pStyle w:val="15"/>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14:paraId="37A6AFA2">
      <w:pPr>
        <w:pStyle w:val="15"/>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正偏离是指应答的条件高于</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要求，负偏离是指应答的条件低于</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要求。</w:t>
      </w:r>
    </w:p>
    <w:p w14:paraId="5E67D760">
      <w:pPr>
        <w:pStyle w:val="15"/>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须完整填写</w:t>
      </w:r>
      <w:r>
        <w:rPr>
          <w:rFonts w:hint="eastAsia" w:ascii="宋体" w:hAnsi="宋体" w:cs="宋体"/>
          <w:b/>
          <w:bCs/>
          <w:color w:val="auto"/>
          <w:szCs w:val="21"/>
          <w:highlight w:val="none"/>
          <w:lang w:eastAsia="zh-CN"/>
        </w:rPr>
        <w:t>本</w:t>
      </w:r>
      <w:r>
        <w:rPr>
          <w:rFonts w:hint="eastAsia" w:ascii="宋体" w:hAnsi="宋体" w:eastAsia="宋体" w:cs="宋体"/>
          <w:b/>
          <w:bCs/>
          <w:color w:val="auto"/>
          <w:szCs w:val="21"/>
          <w:highlight w:val="none"/>
        </w:rPr>
        <w:t>表。如果未完整填写本表的各项内容则视作</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已经对</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相关要求和内容完全理解并同意，其投标报价为在此基础上的完全价格。</w:t>
      </w:r>
    </w:p>
    <w:p w14:paraId="22CF324E">
      <w:pPr>
        <w:pStyle w:val="15"/>
        <w:spacing w:after="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tab/>
      </w:r>
      <w:r>
        <w:rPr>
          <w:rFonts w:hint="eastAsia" w:ascii="宋体" w:hAnsi="宋体" w:eastAsia="宋体" w:cs="宋体"/>
          <w:b/>
          <w:bCs/>
          <w:color w:val="auto"/>
          <w:szCs w:val="21"/>
          <w:highlight w:val="none"/>
        </w:rPr>
        <w:t>在买方与中标人签订合同时，如中标人未在</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中列出偏离说明，无论已发生或即将发生任何情形，均视为完全符合</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要求，并写入合同。若中标人在合同签订前，以上述事项为借口而不履行合同签订手续及执行合同，则视作拒绝与采购人签订合同。</w:t>
      </w:r>
    </w:p>
    <w:p w14:paraId="19419028">
      <w:pPr>
        <w:pStyle w:val="15"/>
        <w:adjustRightInd w:val="0"/>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p>
    <w:p w14:paraId="3A83BC16">
      <w:pPr>
        <w:pStyle w:val="15"/>
        <w:adjustRightInd w:val="0"/>
        <w:snapToGrid w:val="0"/>
        <w:spacing w:line="30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cs="宋体"/>
          <w:bCs/>
          <w:color w:val="auto"/>
          <w:szCs w:val="21"/>
          <w:highlight w:val="none"/>
          <w:lang w:eastAsia="zh-CN"/>
        </w:rPr>
        <w:t>：</w:t>
      </w:r>
    </w:p>
    <w:p w14:paraId="61439EF4">
      <w:pPr>
        <w:pStyle w:val="15"/>
        <w:adjustRightInd w:val="0"/>
        <w:snapToGrid w:val="0"/>
        <w:spacing w:line="300" w:lineRule="auto"/>
        <w:rPr>
          <w:rFonts w:hint="eastAsia" w:ascii="宋体" w:hAnsi="宋体" w:eastAsia="宋体" w:cs="宋体"/>
          <w:bCs/>
          <w:color w:val="auto"/>
          <w:sz w:val="21"/>
          <w:szCs w:val="21"/>
          <w:highlight w:val="none"/>
        </w:rPr>
      </w:pPr>
    </w:p>
    <w:p w14:paraId="76212FA4">
      <w:pPr>
        <w:pStyle w:val="15"/>
        <w:adjustRightInd w:val="0"/>
        <w:snapToGrid w:val="0"/>
        <w:spacing w:line="30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Cs w:val="21"/>
          <w:highlight w:val="none"/>
        </w:rPr>
        <w:t>法定代表人或其委托代理人（签字或盖章）</w:t>
      </w:r>
      <w:r>
        <w:rPr>
          <w:rFonts w:hint="eastAsia" w:ascii="宋体" w:hAnsi="宋体" w:cs="宋体"/>
          <w:bCs/>
          <w:color w:val="auto"/>
          <w:szCs w:val="21"/>
          <w:highlight w:val="none"/>
          <w:lang w:eastAsia="zh-CN"/>
        </w:rPr>
        <w:t>：</w:t>
      </w:r>
    </w:p>
    <w:p w14:paraId="797DDDD2">
      <w:pPr>
        <w:pStyle w:val="15"/>
        <w:adjustRightInd w:val="0"/>
        <w:snapToGrid w:val="0"/>
        <w:spacing w:line="300" w:lineRule="auto"/>
        <w:jc w:val="right"/>
        <w:rPr>
          <w:rFonts w:hint="eastAsia" w:ascii="宋体" w:hAnsi="宋体" w:eastAsia="宋体" w:cs="宋体"/>
          <w:bCs/>
          <w:color w:val="auto"/>
          <w:sz w:val="21"/>
          <w:szCs w:val="21"/>
          <w:highlight w:val="none"/>
        </w:rPr>
      </w:pPr>
    </w:p>
    <w:p w14:paraId="13A2618F">
      <w:pPr>
        <w:pStyle w:val="15"/>
        <w:adjustRightInd w:val="0"/>
        <w:snapToGrid w:val="0"/>
        <w:spacing w:line="30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年     月     日</w:t>
      </w:r>
    </w:p>
    <w:p w14:paraId="69679513">
      <w:pPr>
        <w:pStyle w:val="15"/>
        <w:adjustRightInd w:val="0"/>
        <w:snapToGrid w:val="0"/>
        <w:spacing w:line="3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C5E86D7">
      <w:pPr>
        <w:pStyle w:val="3"/>
        <w:jc w:val="center"/>
        <w:rPr>
          <w:rFonts w:hint="eastAsia" w:ascii="宋体" w:hAnsi="宋体" w:eastAsia="宋体" w:cs="宋体"/>
          <w:b w:val="0"/>
          <w:bCs w:val="0"/>
          <w:color w:val="auto"/>
          <w:sz w:val="24"/>
          <w:szCs w:val="24"/>
          <w:highlight w:val="none"/>
        </w:rPr>
        <w:sectPr>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r>
        <w:rPr>
          <w:rFonts w:hint="eastAsia" w:ascii="宋体" w:hAnsi="宋体" w:eastAsia="宋体" w:cs="宋体"/>
          <w:b w:val="0"/>
          <w:bCs w:val="0"/>
          <w:color w:val="auto"/>
          <w:sz w:val="24"/>
          <w:szCs w:val="24"/>
          <w:highlight w:val="none"/>
        </w:rPr>
        <w:br w:type="page"/>
      </w:r>
      <w:bookmarkStart w:id="130" w:name="_Toc29506"/>
    </w:p>
    <w:p w14:paraId="6416BE51">
      <w:pPr>
        <w:pStyle w:val="3"/>
        <w:jc w:val="center"/>
        <w:rPr>
          <w:rFonts w:ascii="宋体" w:hAnsi="宋体" w:eastAsia="宋体"/>
          <w:color w:val="auto"/>
          <w:sz w:val="30"/>
          <w:szCs w:val="30"/>
        </w:rPr>
      </w:pP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lang w:eastAsia="zh-CN"/>
        </w:rPr>
        <w:t>、</w:t>
      </w:r>
      <w:r>
        <w:rPr>
          <w:rFonts w:hint="eastAsia" w:ascii="宋体" w:hAnsi="宋体" w:eastAsia="宋体"/>
          <w:color w:val="auto"/>
          <w:sz w:val="32"/>
          <w:szCs w:val="32"/>
        </w:rPr>
        <w:t>类似项目完成情况表</w:t>
      </w:r>
    </w:p>
    <w:tbl>
      <w:tblPr>
        <w:tblStyle w:val="3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21"/>
        <w:gridCol w:w="3185"/>
        <w:gridCol w:w="1299"/>
        <w:gridCol w:w="1299"/>
        <w:gridCol w:w="1516"/>
        <w:gridCol w:w="1408"/>
      </w:tblGrid>
      <w:tr w14:paraId="1BF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vAlign w:val="center"/>
          </w:tcPr>
          <w:p w14:paraId="58D04D88">
            <w:pPr>
              <w:jc w:val="center"/>
              <w:rPr>
                <w:rFonts w:hint="eastAsia" w:ascii="宋体" w:hAnsi="宋体" w:eastAsia="宋体"/>
                <w:b/>
                <w:bCs/>
                <w:color w:val="auto"/>
                <w:lang w:val="en-US" w:eastAsia="zh-CN"/>
              </w:rPr>
            </w:pPr>
            <w:r>
              <w:rPr>
                <w:rFonts w:hint="eastAsia" w:ascii="宋体" w:hAnsi="宋体"/>
                <w:b/>
                <w:bCs/>
                <w:color w:val="auto"/>
                <w:lang w:val="en-US" w:eastAsia="zh-CN"/>
              </w:rPr>
              <w:t>序号</w:t>
            </w:r>
          </w:p>
        </w:tc>
        <w:tc>
          <w:tcPr>
            <w:tcW w:w="1653" w:type="pct"/>
            <w:tcBorders>
              <w:top w:val="single" w:color="000000" w:sz="6" w:space="0"/>
              <w:left w:val="single" w:color="000000" w:sz="6" w:space="0"/>
              <w:bottom w:val="single" w:color="000000" w:sz="6" w:space="0"/>
              <w:right w:val="single" w:color="000000" w:sz="6" w:space="0"/>
            </w:tcBorders>
            <w:vAlign w:val="center"/>
          </w:tcPr>
          <w:p w14:paraId="4AF076FF">
            <w:pPr>
              <w:jc w:val="center"/>
              <w:rPr>
                <w:rFonts w:ascii="宋体" w:hAnsi="宋体"/>
                <w:b/>
                <w:bCs/>
                <w:color w:val="auto"/>
              </w:rPr>
            </w:pPr>
            <w:r>
              <w:rPr>
                <w:rFonts w:hint="eastAsia" w:ascii="宋体" w:hAnsi="宋体"/>
                <w:b/>
                <w:bCs/>
                <w:color w:val="auto"/>
              </w:rPr>
              <w:t>项目名称</w:t>
            </w:r>
          </w:p>
        </w:tc>
        <w:tc>
          <w:tcPr>
            <w:tcW w:w="674" w:type="pct"/>
            <w:tcBorders>
              <w:top w:val="single" w:color="000000" w:sz="6" w:space="0"/>
              <w:left w:val="nil"/>
              <w:bottom w:val="single" w:color="000000" w:sz="6" w:space="0"/>
              <w:right w:val="single" w:color="000000" w:sz="6" w:space="0"/>
            </w:tcBorders>
            <w:vAlign w:val="center"/>
          </w:tcPr>
          <w:p w14:paraId="764318A3">
            <w:pPr>
              <w:jc w:val="center"/>
              <w:rPr>
                <w:rFonts w:ascii="宋体" w:hAnsi="宋体"/>
                <w:b/>
                <w:bCs/>
                <w:color w:val="auto"/>
                <w:szCs w:val="21"/>
              </w:rPr>
            </w:pPr>
            <w:r>
              <w:rPr>
                <w:rFonts w:hint="eastAsia" w:ascii="宋体" w:hAnsi="宋体"/>
                <w:b/>
                <w:bCs/>
                <w:color w:val="auto"/>
              </w:rPr>
              <w:t>联系电话</w:t>
            </w:r>
          </w:p>
        </w:tc>
        <w:tc>
          <w:tcPr>
            <w:tcW w:w="674" w:type="pct"/>
            <w:tcBorders>
              <w:top w:val="single" w:color="000000" w:sz="6" w:space="0"/>
              <w:left w:val="nil"/>
              <w:bottom w:val="single" w:color="000000" w:sz="6" w:space="0"/>
              <w:right w:val="single" w:color="000000" w:sz="6" w:space="0"/>
            </w:tcBorders>
            <w:vAlign w:val="center"/>
          </w:tcPr>
          <w:p w14:paraId="687717C1">
            <w:pPr>
              <w:jc w:val="center"/>
              <w:rPr>
                <w:rFonts w:ascii="宋体" w:hAnsi="宋体"/>
                <w:b/>
                <w:bCs/>
                <w:color w:val="auto"/>
                <w:szCs w:val="21"/>
              </w:rPr>
            </w:pPr>
            <w:r>
              <w:rPr>
                <w:rFonts w:hint="eastAsia" w:ascii="宋体" w:hAnsi="宋体"/>
                <w:b/>
                <w:bCs/>
                <w:color w:val="auto"/>
                <w:lang w:eastAsia="zh-CN"/>
              </w:rPr>
              <w:t>采购</w:t>
            </w:r>
            <w:r>
              <w:rPr>
                <w:rFonts w:hint="eastAsia" w:ascii="宋体" w:hAnsi="宋体"/>
                <w:b/>
                <w:bCs/>
                <w:color w:val="auto"/>
              </w:rPr>
              <w:t>人</w:t>
            </w:r>
          </w:p>
        </w:tc>
        <w:tc>
          <w:tcPr>
            <w:tcW w:w="787" w:type="pct"/>
            <w:tcBorders>
              <w:top w:val="single" w:color="000000" w:sz="6" w:space="0"/>
              <w:left w:val="nil"/>
              <w:bottom w:val="single" w:color="000000" w:sz="6" w:space="0"/>
              <w:right w:val="single" w:color="000000" w:sz="6" w:space="0"/>
            </w:tcBorders>
            <w:vAlign w:val="center"/>
          </w:tcPr>
          <w:p w14:paraId="0CBEA170">
            <w:pPr>
              <w:jc w:val="center"/>
              <w:rPr>
                <w:rFonts w:ascii="宋体" w:hAnsi="宋体"/>
                <w:b/>
                <w:bCs/>
                <w:color w:val="auto"/>
                <w:szCs w:val="21"/>
              </w:rPr>
            </w:pPr>
            <w:r>
              <w:rPr>
                <w:rFonts w:hint="eastAsia" w:ascii="宋体" w:hAnsi="宋体"/>
                <w:b/>
                <w:bCs/>
                <w:color w:val="auto"/>
              </w:rPr>
              <w:t>合同价格</w:t>
            </w:r>
          </w:p>
        </w:tc>
        <w:tc>
          <w:tcPr>
            <w:tcW w:w="731" w:type="pct"/>
            <w:tcBorders>
              <w:top w:val="single" w:color="000000" w:sz="6" w:space="0"/>
              <w:left w:val="nil"/>
              <w:bottom w:val="single" w:color="000000" w:sz="6" w:space="0"/>
              <w:right w:val="single" w:color="000000" w:sz="6" w:space="0"/>
            </w:tcBorders>
            <w:vAlign w:val="center"/>
          </w:tcPr>
          <w:p w14:paraId="108CA177">
            <w:pPr>
              <w:jc w:val="center"/>
              <w:rPr>
                <w:rFonts w:ascii="宋体" w:hAnsi="宋体"/>
                <w:b/>
                <w:bCs/>
                <w:color w:val="auto"/>
                <w:szCs w:val="21"/>
              </w:rPr>
            </w:pPr>
            <w:r>
              <w:rPr>
                <w:rFonts w:hint="eastAsia" w:ascii="宋体" w:hAnsi="宋体"/>
                <w:b/>
                <w:bCs/>
                <w:color w:val="auto"/>
              </w:rPr>
              <w:t>质量达到标准</w:t>
            </w:r>
          </w:p>
        </w:tc>
      </w:tr>
      <w:tr w14:paraId="28F5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2FE63638">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2554A05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6CE98E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1D4B972">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C1E6423">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AC27A22">
            <w:pPr>
              <w:spacing w:before="100" w:after="100"/>
              <w:jc w:val="center"/>
              <w:rPr>
                <w:rFonts w:ascii="宋体" w:hAnsi="宋体"/>
                <w:color w:val="auto"/>
                <w:szCs w:val="21"/>
              </w:rPr>
            </w:pPr>
          </w:p>
        </w:tc>
      </w:tr>
      <w:tr w14:paraId="526F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56744150">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01A45DDA">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91D11C9">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AF66F1E">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9C63364">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024AC8DA">
            <w:pPr>
              <w:spacing w:before="100" w:after="100"/>
              <w:jc w:val="center"/>
              <w:rPr>
                <w:rFonts w:ascii="宋体" w:hAnsi="宋体"/>
                <w:color w:val="auto"/>
                <w:szCs w:val="21"/>
              </w:rPr>
            </w:pPr>
          </w:p>
        </w:tc>
      </w:tr>
      <w:tr w14:paraId="5EE1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E405668">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2B5573D">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6F0D312E">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4B94F64">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7264E1E5">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01E2F087">
            <w:pPr>
              <w:spacing w:before="100" w:after="100"/>
              <w:jc w:val="center"/>
              <w:rPr>
                <w:rFonts w:ascii="宋体" w:hAnsi="宋体"/>
                <w:color w:val="auto"/>
                <w:szCs w:val="21"/>
              </w:rPr>
            </w:pPr>
          </w:p>
        </w:tc>
      </w:tr>
      <w:tr w14:paraId="61C3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76C4B9E2">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D8A49AE">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5735EDB">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94089CC">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6CB838F6">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32669C9F">
            <w:pPr>
              <w:spacing w:before="100" w:after="100"/>
              <w:jc w:val="center"/>
              <w:rPr>
                <w:rFonts w:ascii="宋体" w:hAnsi="宋体"/>
                <w:color w:val="auto"/>
                <w:szCs w:val="21"/>
              </w:rPr>
            </w:pPr>
          </w:p>
        </w:tc>
      </w:tr>
      <w:tr w14:paraId="68EC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5157356">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4964A8A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674B0F5">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0D15351">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1E6CF29B">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228E8205">
            <w:pPr>
              <w:spacing w:before="100" w:after="100"/>
              <w:jc w:val="center"/>
              <w:rPr>
                <w:rFonts w:ascii="宋体" w:hAnsi="宋体"/>
                <w:color w:val="auto"/>
                <w:szCs w:val="21"/>
              </w:rPr>
            </w:pPr>
          </w:p>
        </w:tc>
      </w:tr>
      <w:tr w14:paraId="387B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543DAAE0">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3EDEBE40">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066737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105F06D9">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417DB62D">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94B3D4A">
            <w:pPr>
              <w:spacing w:before="100" w:after="100"/>
              <w:jc w:val="center"/>
              <w:rPr>
                <w:rFonts w:ascii="宋体" w:hAnsi="宋体"/>
                <w:color w:val="auto"/>
                <w:szCs w:val="21"/>
              </w:rPr>
            </w:pPr>
          </w:p>
        </w:tc>
      </w:tr>
      <w:tr w14:paraId="6D1B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70D0BCF">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241EFED">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0B4E51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EE21FA5">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1A0FE4B0">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517B18D0">
            <w:pPr>
              <w:spacing w:before="100" w:after="100"/>
              <w:jc w:val="center"/>
              <w:rPr>
                <w:rFonts w:ascii="宋体" w:hAnsi="宋体"/>
                <w:color w:val="auto"/>
                <w:szCs w:val="21"/>
              </w:rPr>
            </w:pPr>
          </w:p>
        </w:tc>
      </w:tr>
      <w:tr w14:paraId="556B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398263F9">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7AE314E9">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25AD41B">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B8AFA33">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4A673BBE">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2B197353">
            <w:pPr>
              <w:spacing w:before="100" w:after="100"/>
              <w:jc w:val="center"/>
              <w:rPr>
                <w:rFonts w:ascii="宋体" w:hAnsi="宋体"/>
                <w:color w:val="auto"/>
                <w:szCs w:val="21"/>
              </w:rPr>
            </w:pPr>
          </w:p>
        </w:tc>
      </w:tr>
      <w:tr w14:paraId="1FD0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04FFF819">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7D4783B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1ACD11F">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62439C7">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A9D0AB2">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6029B8CE">
            <w:pPr>
              <w:spacing w:before="100" w:after="100"/>
              <w:jc w:val="center"/>
              <w:rPr>
                <w:rFonts w:ascii="宋体" w:hAnsi="宋体"/>
                <w:color w:val="auto"/>
                <w:szCs w:val="21"/>
              </w:rPr>
            </w:pPr>
          </w:p>
        </w:tc>
      </w:tr>
      <w:tr w14:paraId="42FA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4717172A">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E200BA7">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35F6CB0">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7318B77">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2B997BBA">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7ED2EBC">
            <w:pPr>
              <w:spacing w:before="100" w:after="100"/>
              <w:jc w:val="center"/>
              <w:rPr>
                <w:rFonts w:ascii="宋体" w:hAnsi="宋体"/>
                <w:color w:val="auto"/>
                <w:szCs w:val="21"/>
              </w:rPr>
            </w:pPr>
          </w:p>
        </w:tc>
      </w:tr>
      <w:tr w14:paraId="17AA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78D51FEA">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2555B74C">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8AF967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24F348C">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0D6697D7">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3034ED32">
            <w:pPr>
              <w:spacing w:before="100" w:after="100"/>
              <w:jc w:val="center"/>
              <w:rPr>
                <w:rFonts w:ascii="宋体" w:hAnsi="宋体"/>
                <w:color w:val="auto"/>
                <w:szCs w:val="21"/>
              </w:rPr>
            </w:pPr>
          </w:p>
        </w:tc>
      </w:tr>
    </w:tbl>
    <w:p w14:paraId="35053158">
      <w:pPr>
        <w:pStyle w:val="18"/>
        <w:spacing w:line="280" w:lineRule="exact"/>
        <w:rPr>
          <w:rFonts w:hint="eastAsia" w:hAnsi="宋体"/>
          <w:bCs/>
          <w:color w:val="auto"/>
          <w:szCs w:val="21"/>
        </w:rPr>
      </w:pPr>
    </w:p>
    <w:p w14:paraId="2FCB1E7D">
      <w:pPr>
        <w:pStyle w:val="18"/>
        <w:spacing w:line="280" w:lineRule="exact"/>
        <w:rPr>
          <w:rFonts w:hAnsi="宋体"/>
          <w:bCs/>
          <w:color w:val="auto"/>
          <w:szCs w:val="21"/>
        </w:rPr>
      </w:pPr>
      <w:r>
        <w:rPr>
          <w:rFonts w:hint="eastAsia" w:hAnsi="宋体"/>
          <w:bCs/>
          <w:color w:val="auto"/>
          <w:szCs w:val="21"/>
        </w:rPr>
        <w:t>注：表格可在原基础上自行扩充，但不可减少，填不了的用“</w:t>
      </w:r>
      <w:r>
        <w:rPr>
          <w:rFonts w:hint="eastAsia"/>
          <w:bCs/>
          <w:color w:val="auto"/>
          <w:szCs w:val="21"/>
        </w:rPr>
        <w:t>/</w:t>
      </w:r>
      <w:r>
        <w:rPr>
          <w:rFonts w:hint="eastAsia" w:hAnsi="宋体"/>
          <w:bCs/>
          <w:color w:val="auto"/>
          <w:szCs w:val="21"/>
        </w:rPr>
        <w:t>”代替。</w:t>
      </w:r>
    </w:p>
    <w:p w14:paraId="3AE5778B">
      <w:pPr>
        <w:pStyle w:val="18"/>
        <w:spacing w:line="280" w:lineRule="exact"/>
        <w:rPr>
          <w:rFonts w:hAnsi="宋体"/>
          <w:bCs/>
          <w:color w:val="auto"/>
          <w:szCs w:val="21"/>
        </w:rPr>
      </w:pPr>
      <w:r>
        <w:rPr>
          <w:rFonts w:hint="eastAsia" w:hAnsi="宋体"/>
          <w:bCs/>
          <w:color w:val="auto"/>
          <w:szCs w:val="21"/>
          <w:highlight w:val="none"/>
        </w:rPr>
        <w:t>后附：相对应的业绩证明资料（</w:t>
      </w:r>
      <w:r>
        <w:rPr>
          <w:rFonts w:hint="eastAsia" w:hAnsi="宋体"/>
          <w:bCs/>
          <w:color w:val="auto"/>
          <w:szCs w:val="21"/>
          <w:highlight w:val="none"/>
          <w:lang w:val="zh-CN"/>
        </w:rPr>
        <w:t>中标通知书或合同协议书</w:t>
      </w:r>
      <w:r>
        <w:rPr>
          <w:rFonts w:hint="eastAsia" w:hAnsi="宋体"/>
          <w:bCs/>
          <w:color w:val="auto"/>
          <w:szCs w:val="21"/>
          <w:highlight w:val="none"/>
        </w:rPr>
        <w:t>）复印件加盖单位公</w:t>
      </w:r>
      <w:r>
        <w:rPr>
          <w:rFonts w:hint="eastAsia" w:hAnsi="宋体"/>
          <w:bCs/>
          <w:color w:val="auto"/>
          <w:szCs w:val="21"/>
        </w:rPr>
        <w:t>章</w:t>
      </w:r>
      <w:r>
        <w:rPr>
          <w:rFonts w:hint="eastAsia" w:hAnsi="宋体"/>
          <w:bCs/>
          <w:color w:val="auto"/>
          <w:szCs w:val="21"/>
          <w:lang w:eastAsia="zh-CN"/>
        </w:rPr>
        <w:t>，并标明序号</w:t>
      </w:r>
      <w:r>
        <w:rPr>
          <w:rFonts w:hint="eastAsia" w:hAnsi="宋体"/>
          <w:bCs/>
          <w:color w:val="auto"/>
          <w:szCs w:val="21"/>
        </w:rPr>
        <w:t>。</w:t>
      </w:r>
    </w:p>
    <w:p w14:paraId="107924C5">
      <w:pPr>
        <w:pStyle w:val="15"/>
        <w:adjustRightInd w:val="0"/>
        <w:snapToGrid w:val="0"/>
        <w:spacing w:line="300" w:lineRule="auto"/>
        <w:jc w:val="center"/>
        <w:rPr>
          <w:rFonts w:ascii="宋体"/>
          <w:bCs/>
          <w:color w:val="auto"/>
          <w:sz w:val="21"/>
          <w:szCs w:val="21"/>
        </w:rPr>
      </w:pPr>
    </w:p>
    <w:p w14:paraId="5BE6EAB4">
      <w:pPr>
        <w:rPr>
          <w:rFonts w:hint="eastAsia"/>
          <w:color w:val="auto"/>
          <w:lang w:eastAsia="zh-CN"/>
        </w:rPr>
      </w:pPr>
    </w:p>
    <w:p w14:paraId="69B62802">
      <w:pPr>
        <w:rPr>
          <w:rFonts w:hint="eastAsia"/>
          <w:color w:val="auto"/>
          <w:lang w:eastAsia="zh-CN"/>
        </w:rPr>
        <w:sectPr>
          <w:pgSz w:w="11906" w:h="16838"/>
          <w:pgMar w:top="1440" w:right="1080" w:bottom="1440" w:left="1080" w:header="1134" w:footer="850" w:gutter="170"/>
          <w:pgBorders>
            <w:top w:val="none" w:sz="0" w:space="0"/>
            <w:left w:val="none" w:sz="0" w:space="0"/>
            <w:bottom w:val="none" w:sz="0" w:space="0"/>
            <w:right w:val="none" w:sz="0" w:space="0"/>
          </w:pgBorders>
          <w:pgNumType w:fmt="decimal"/>
          <w:cols w:space="0" w:num="1"/>
          <w:titlePg/>
          <w:rtlGutter w:val="0"/>
          <w:docGrid w:type="linesAndChars" w:linePitch="328" w:charSpace="0"/>
        </w:sectPr>
      </w:pPr>
    </w:p>
    <w:p w14:paraId="37CA0F55">
      <w:pPr>
        <w:pStyle w:val="3"/>
        <w:keepNext/>
        <w:keepLines/>
        <w:pageBreakBefore w:val="0"/>
        <w:widowControl w:val="0"/>
        <w:kinsoku/>
        <w:wordWrap/>
        <w:overflowPunct/>
        <w:topLinePunct w:val="0"/>
        <w:autoSpaceDE/>
        <w:autoSpaceDN/>
        <w:bidi w:val="0"/>
        <w:adjustRightInd/>
        <w:snapToGrid/>
        <w:spacing w:before="0" w:line="416"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w:t>
      </w:r>
      <w:bookmarkEnd w:id="130"/>
      <w:r>
        <w:rPr>
          <w:rFonts w:hint="eastAsia" w:ascii="宋体" w:hAnsi="宋体" w:eastAsia="宋体" w:cs="宋体"/>
          <w:color w:val="auto"/>
          <w:sz w:val="32"/>
          <w:szCs w:val="32"/>
          <w:highlight w:val="none"/>
        </w:rPr>
        <w:t>技术文件</w:t>
      </w:r>
    </w:p>
    <w:p w14:paraId="11E64D25">
      <w:pPr>
        <w:jc w:val="center"/>
        <w:rPr>
          <w:rFonts w:hint="eastAsia" w:ascii="宋体" w:hAnsi="宋体" w:cs="宋体"/>
          <w:b w:val="0"/>
          <w:bCs w:val="0"/>
          <w:color w:val="auto"/>
          <w:sz w:val="21"/>
          <w:szCs w:val="21"/>
          <w:highlight w:val="none"/>
          <w:lang w:val="en-US" w:eastAsia="zh-CN"/>
        </w:rPr>
      </w:pPr>
      <w:bookmarkStart w:id="131" w:name="_Toc16689"/>
      <w:r>
        <w:rPr>
          <w:rFonts w:hint="eastAsia" w:ascii="宋体" w:hAnsi="宋体" w:cs="宋体"/>
          <w:b w:val="0"/>
          <w:bCs w:val="0"/>
          <w:color w:val="auto"/>
          <w:sz w:val="21"/>
          <w:szCs w:val="21"/>
          <w:highlight w:val="none"/>
          <w:lang w:val="en-US" w:eastAsia="zh-CN"/>
        </w:rPr>
        <w:t>满足评标办法及采购需求要求，格式、内容自拟</w:t>
      </w:r>
    </w:p>
    <w:p w14:paraId="4437C4FB">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bookmarkEnd w:id="131"/>
    <w:p w14:paraId="280CADFE">
      <w:pPr>
        <w:pStyle w:val="3"/>
        <w:bidi w:val="0"/>
        <w:jc w:val="center"/>
        <w:rPr>
          <w:rFonts w:hint="eastAsia" w:ascii="宋体" w:hAnsi="宋体" w:eastAsia="宋体" w:cs="宋体"/>
          <w:b/>
          <w:bCs/>
          <w:color w:val="auto"/>
          <w:sz w:val="30"/>
          <w:szCs w:val="30"/>
          <w:highlight w:val="none"/>
        </w:rPr>
      </w:pPr>
      <w:bookmarkStart w:id="132" w:name="_Toc18182"/>
      <w:r>
        <w:rPr>
          <w:rFonts w:hint="eastAsia" w:ascii="宋体" w:hAnsi="宋体" w:eastAsia="宋体" w:cs="宋体"/>
          <w:color w:val="auto"/>
          <w:lang w:val="en-US" w:eastAsia="zh-CN"/>
        </w:rPr>
        <w:t>六</w:t>
      </w:r>
      <w:r>
        <w:rPr>
          <w:rFonts w:hint="eastAsia" w:ascii="宋体" w:hAnsi="宋体" w:eastAsia="宋体" w:cs="宋体"/>
          <w:color w:val="auto"/>
        </w:rPr>
        <w:t>、资格证明文件及相关资料</w:t>
      </w:r>
      <w:bookmarkEnd w:id="132"/>
      <w:r>
        <w:rPr>
          <w:rFonts w:hint="eastAsia" w:ascii="宋体" w:hAnsi="宋体" w:eastAsia="宋体" w:cs="宋体"/>
          <w:b/>
          <w:bCs/>
          <w:color w:val="auto"/>
          <w:sz w:val="30"/>
          <w:szCs w:val="30"/>
          <w:highlight w:val="none"/>
        </w:rPr>
        <w:t xml:space="preserve"> </w:t>
      </w:r>
    </w:p>
    <w:p w14:paraId="3FAE8E02">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color w:val="auto"/>
          <w:sz w:val="28"/>
          <w:szCs w:val="28"/>
          <w:highlight w:val="none"/>
        </w:rPr>
      </w:pPr>
      <w:bookmarkStart w:id="133" w:name="_Toc18442"/>
      <w:bookmarkStart w:id="134" w:name="_Toc15604"/>
      <w:bookmarkStart w:id="135" w:name="_Toc19881"/>
      <w:bookmarkStart w:id="136" w:name="_Toc10448"/>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情况表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9"/>
        <w:gridCol w:w="3480"/>
        <w:gridCol w:w="158"/>
        <w:gridCol w:w="1412"/>
        <w:gridCol w:w="226"/>
        <w:gridCol w:w="2717"/>
      </w:tblGrid>
      <w:tr w14:paraId="12B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66146E04">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企业名称</w:t>
            </w:r>
          </w:p>
        </w:tc>
        <w:tc>
          <w:tcPr>
            <w:tcW w:w="1865" w:type="pct"/>
            <w:gridSpan w:val="2"/>
            <w:vAlign w:val="center"/>
          </w:tcPr>
          <w:p w14:paraId="33ACE4A6">
            <w:pPr>
              <w:jc w:val="center"/>
              <w:rPr>
                <w:rFonts w:hint="eastAsia" w:ascii="宋体" w:hAnsi="宋体" w:eastAsia="宋体" w:cs="宋体"/>
                <w:color w:val="auto"/>
                <w:sz w:val="22"/>
                <w:szCs w:val="18"/>
                <w:highlight w:val="none"/>
              </w:rPr>
            </w:pPr>
          </w:p>
        </w:tc>
        <w:tc>
          <w:tcPr>
            <w:tcW w:w="840" w:type="pct"/>
            <w:gridSpan w:val="2"/>
            <w:vAlign w:val="center"/>
          </w:tcPr>
          <w:p w14:paraId="23E112DE">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成立日期</w:t>
            </w:r>
          </w:p>
        </w:tc>
        <w:tc>
          <w:tcPr>
            <w:tcW w:w="1390" w:type="pct"/>
            <w:vAlign w:val="center"/>
          </w:tcPr>
          <w:p w14:paraId="111781BC">
            <w:pPr>
              <w:jc w:val="center"/>
              <w:rPr>
                <w:rFonts w:hint="eastAsia" w:ascii="宋体" w:hAnsi="宋体" w:eastAsia="宋体" w:cs="宋体"/>
                <w:color w:val="auto"/>
                <w:sz w:val="22"/>
                <w:szCs w:val="18"/>
                <w:highlight w:val="none"/>
              </w:rPr>
            </w:pPr>
          </w:p>
        </w:tc>
      </w:tr>
      <w:tr w14:paraId="28C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293E1E8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注册资本</w:t>
            </w:r>
          </w:p>
        </w:tc>
        <w:tc>
          <w:tcPr>
            <w:tcW w:w="1865" w:type="pct"/>
            <w:gridSpan w:val="2"/>
            <w:vAlign w:val="center"/>
          </w:tcPr>
          <w:p w14:paraId="6401C470">
            <w:pPr>
              <w:jc w:val="center"/>
              <w:rPr>
                <w:rFonts w:hint="eastAsia" w:ascii="宋体" w:hAnsi="宋体" w:eastAsia="宋体" w:cs="宋体"/>
                <w:color w:val="auto"/>
                <w:sz w:val="22"/>
                <w:szCs w:val="18"/>
                <w:highlight w:val="none"/>
              </w:rPr>
            </w:pPr>
          </w:p>
        </w:tc>
        <w:tc>
          <w:tcPr>
            <w:tcW w:w="840" w:type="pct"/>
            <w:gridSpan w:val="2"/>
            <w:vAlign w:val="center"/>
          </w:tcPr>
          <w:p w14:paraId="2AF30E52">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企业类型</w:t>
            </w:r>
          </w:p>
        </w:tc>
        <w:tc>
          <w:tcPr>
            <w:tcW w:w="1390" w:type="pct"/>
            <w:vAlign w:val="center"/>
          </w:tcPr>
          <w:p w14:paraId="090B9A33">
            <w:pPr>
              <w:jc w:val="center"/>
              <w:rPr>
                <w:rFonts w:hint="eastAsia" w:ascii="宋体" w:hAnsi="宋体" w:eastAsia="宋体" w:cs="宋体"/>
                <w:color w:val="auto"/>
                <w:sz w:val="22"/>
                <w:szCs w:val="18"/>
                <w:highlight w:val="none"/>
              </w:rPr>
            </w:pPr>
          </w:p>
        </w:tc>
      </w:tr>
      <w:tr w14:paraId="5CBC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902" w:type="pct"/>
            <w:vAlign w:val="center"/>
          </w:tcPr>
          <w:p w14:paraId="0F7192D2">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批准登记机关</w:t>
            </w:r>
          </w:p>
        </w:tc>
        <w:tc>
          <w:tcPr>
            <w:tcW w:w="1865" w:type="pct"/>
            <w:gridSpan w:val="2"/>
            <w:vAlign w:val="center"/>
          </w:tcPr>
          <w:p w14:paraId="33994CCB">
            <w:pPr>
              <w:jc w:val="center"/>
              <w:rPr>
                <w:rFonts w:hint="eastAsia" w:ascii="宋体" w:hAnsi="宋体" w:eastAsia="宋体" w:cs="宋体"/>
                <w:color w:val="auto"/>
                <w:sz w:val="22"/>
                <w:szCs w:val="18"/>
                <w:highlight w:val="none"/>
              </w:rPr>
            </w:pPr>
          </w:p>
        </w:tc>
        <w:tc>
          <w:tcPr>
            <w:tcW w:w="840" w:type="pct"/>
            <w:gridSpan w:val="2"/>
            <w:vAlign w:val="center"/>
          </w:tcPr>
          <w:p w14:paraId="74D92A3E">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22"/>
                <w:highlight w:val="none"/>
              </w:rPr>
              <w:t>统一社会信用代码</w:t>
            </w:r>
          </w:p>
        </w:tc>
        <w:tc>
          <w:tcPr>
            <w:tcW w:w="1390" w:type="pct"/>
            <w:vAlign w:val="center"/>
          </w:tcPr>
          <w:p w14:paraId="03C1DC99">
            <w:pPr>
              <w:jc w:val="center"/>
              <w:rPr>
                <w:rFonts w:hint="eastAsia" w:ascii="宋体" w:hAnsi="宋体" w:eastAsia="宋体" w:cs="宋体"/>
                <w:color w:val="auto"/>
                <w:sz w:val="22"/>
                <w:szCs w:val="18"/>
                <w:highlight w:val="none"/>
              </w:rPr>
            </w:pPr>
          </w:p>
        </w:tc>
      </w:tr>
      <w:tr w14:paraId="124B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194383F5">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w:t>
            </w:r>
          </w:p>
        </w:tc>
        <w:tc>
          <w:tcPr>
            <w:tcW w:w="1865" w:type="pct"/>
            <w:gridSpan w:val="2"/>
            <w:vAlign w:val="center"/>
          </w:tcPr>
          <w:p w14:paraId="31E1B048">
            <w:pPr>
              <w:jc w:val="center"/>
              <w:rPr>
                <w:rFonts w:hint="eastAsia" w:ascii="宋体" w:hAnsi="宋体" w:eastAsia="宋体" w:cs="宋体"/>
                <w:color w:val="auto"/>
                <w:sz w:val="22"/>
                <w:szCs w:val="18"/>
                <w:highlight w:val="none"/>
              </w:rPr>
            </w:pPr>
          </w:p>
        </w:tc>
        <w:tc>
          <w:tcPr>
            <w:tcW w:w="840" w:type="pct"/>
            <w:gridSpan w:val="2"/>
            <w:vAlign w:val="center"/>
          </w:tcPr>
          <w:p w14:paraId="175322D8">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营业期限</w:t>
            </w:r>
          </w:p>
        </w:tc>
        <w:tc>
          <w:tcPr>
            <w:tcW w:w="1390" w:type="pct"/>
            <w:vAlign w:val="center"/>
          </w:tcPr>
          <w:p w14:paraId="08D0D8ED">
            <w:pPr>
              <w:jc w:val="center"/>
              <w:rPr>
                <w:rFonts w:hint="eastAsia" w:ascii="宋体" w:hAnsi="宋体" w:eastAsia="宋体" w:cs="宋体"/>
                <w:color w:val="auto"/>
                <w:sz w:val="22"/>
                <w:szCs w:val="18"/>
                <w:highlight w:val="none"/>
              </w:rPr>
            </w:pPr>
          </w:p>
        </w:tc>
      </w:tr>
      <w:tr w14:paraId="157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32D509E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主营业务</w:t>
            </w:r>
          </w:p>
        </w:tc>
        <w:tc>
          <w:tcPr>
            <w:tcW w:w="4097" w:type="pct"/>
            <w:gridSpan w:val="5"/>
            <w:vAlign w:val="center"/>
          </w:tcPr>
          <w:p w14:paraId="5E438C58">
            <w:pPr>
              <w:jc w:val="center"/>
              <w:rPr>
                <w:rFonts w:hint="eastAsia" w:ascii="宋体" w:hAnsi="宋体" w:eastAsia="宋体" w:cs="宋体"/>
                <w:color w:val="auto"/>
                <w:sz w:val="22"/>
                <w:szCs w:val="18"/>
                <w:highlight w:val="none"/>
              </w:rPr>
            </w:pPr>
          </w:p>
        </w:tc>
      </w:tr>
      <w:tr w14:paraId="075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2A73186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组织结构</w:t>
            </w:r>
          </w:p>
        </w:tc>
        <w:tc>
          <w:tcPr>
            <w:tcW w:w="4097" w:type="pct"/>
            <w:gridSpan w:val="5"/>
            <w:vAlign w:val="center"/>
          </w:tcPr>
          <w:p w14:paraId="20796964">
            <w:pPr>
              <w:jc w:val="center"/>
              <w:rPr>
                <w:rFonts w:hint="eastAsia" w:ascii="宋体" w:hAnsi="宋体" w:eastAsia="宋体" w:cs="宋体"/>
                <w:color w:val="auto"/>
                <w:sz w:val="22"/>
                <w:szCs w:val="18"/>
                <w:highlight w:val="none"/>
              </w:rPr>
            </w:pPr>
          </w:p>
        </w:tc>
      </w:tr>
      <w:tr w14:paraId="5DBA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0A92DA70">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地  址</w:t>
            </w:r>
          </w:p>
        </w:tc>
        <w:tc>
          <w:tcPr>
            <w:tcW w:w="4097" w:type="pct"/>
            <w:gridSpan w:val="5"/>
            <w:vAlign w:val="center"/>
          </w:tcPr>
          <w:p w14:paraId="5E59F1D6">
            <w:pPr>
              <w:jc w:val="center"/>
              <w:rPr>
                <w:rFonts w:hint="eastAsia" w:ascii="宋体" w:hAnsi="宋体" w:eastAsia="宋体" w:cs="宋体"/>
                <w:color w:val="auto"/>
                <w:sz w:val="22"/>
                <w:szCs w:val="18"/>
                <w:highlight w:val="none"/>
              </w:rPr>
            </w:pPr>
          </w:p>
        </w:tc>
      </w:tr>
      <w:tr w14:paraId="67B6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24AE7CE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开户银行</w:t>
            </w:r>
          </w:p>
        </w:tc>
        <w:tc>
          <w:tcPr>
            <w:tcW w:w="4097" w:type="pct"/>
            <w:gridSpan w:val="5"/>
            <w:vAlign w:val="center"/>
          </w:tcPr>
          <w:p w14:paraId="7846C156">
            <w:pPr>
              <w:jc w:val="center"/>
              <w:rPr>
                <w:rFonts w:hint="eastAsia" w:ascii="宋体" w:hAnsi="宋体" w:eastAsia="宋体" w:cs="宋体"/>
                <w:color w:val="auto"/>
                <w:sz w:val="22"/>
                <w:szCs w:val="18"/>
                <w:highlight w:val="none"/>
              </w:rPr>
            </w:pPr>
          </w:p>
        </w:tc>
      </w:tr>
      <w:tr w14:paraId="588D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902" w:type="pct"/>
            <w:vAlign w:val="center"/>
          </w:tcPr>
          <w:p w14:paraId="2355D225">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开户行号</w:t>
            </w:r>
          </w:p>
          <w:p w14:paraId="2171E527">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（如有）</w:t>
            </w:r>
          </w:p>
        </w:tc>
        <w:tc>
          <w:tcPr>
            <w:tcW w:w="4097" w:type="pct"/>
            <w:gridSpan w:val="5"/>
            <w:vAlign w:val="center"/>
          </w:tcPr>
          <w:p w14:paraId="6477C22E">
            <w:pPr>
              <w:jc w:val="center"/>
              <w:rPr>
                <w:rFonts w:hint="eastAsia" w:ascii="宋体" w:hAnsi="宋体" w:eastAsia="宋体" w:cs="宋体"/>
                <w:color w:val="auto"/>
                <w:sz w:val="22"/>
                <w:szCs w:val="18"/>
                <w:highlight w:val="none"/>
              </w:rPr>
            </w:pPr>
          </w:p>
        </w:tc>
      </w:tr>
      <w:tr w14:paraId="07D9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1294D87B">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银行账号</w:t>
            </w:r>
          </w:p>
        </w:tc>
        <w:tc>
          <w:tcPr>
            <w:tcW w:w="4097" w:type="pct"/>
            <w:gridSpan w:val="5"/>
            <w:vAlign w:val="center"/>
          </w:tcPr>
          <w:p w14:paraId="00DA5E41">
            <w:pPr>
              <w:jc w:val="center"/>
              <w:rPr>
                <w:rFonts w:hint="eastAsia" w:ascii="宋体" w:hAnsi="宋体" w:eastAsia="宋体" w:cs="宋体"/>
                <w:color w:val="auto"/>
                <w:sz w:val="22"/>
                <w:szCs w:val="18"/>
                <w:highlight w:val="none"/>
              </w:rPr>
            </w:pPr>
          </w:p>
        </w:tc>
      </w:tr>
      <w:tr w14:paraId="431B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5585FF74">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电  话</w:t>
            </w:r>
          </w:p>
        </w:tc>
        <w:tc>
          <w:tcPr>
            <w:tcW w:w="1784" w:type="pct"/>
            <w:vAlign w:val="center"/>
          </w:tcPr>
          <w:p w14:paraId="54E5A57A">
            <w:pPr>
              <w:jc w:val="center"/>
              <w:rPr>
                <w:rFonts w:hint="eastAsia" w:ascii="宋体" w:hAnsi="宋体" w:eastAsia="宋体" w:cs="宋体"/>
                <w:color w:val="auto"/>
                <w:sz w:val="22"/>
                <w:szCs w:val="18"/>
                <w:highlight w:val="none"/>
              </w:rPr>
            </w:pPr>
          </w:p>
        </w:tc>
        <w:tc>
          <w:tcPr>
            <w:tcW w:w="805" w:type="pct"/>
            <w:gridSpan w:val="2"/>
            <w:vAlign w:val="center"/>
          </w:tcPr>
          <w:p w14:paraId="364DB860">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传  真</w:t>
            </w:r>
          </w:p>
        </w:tc>
        <w:tc>
          <w:tcPr>
            <w:tcW w:w="1507" w:type="pct"/>
            <w:gridSpan w:val="2"/>
            <w:vAlign w:val="center"/>
          </w:tcPr>
          <w:p w14:paraId="272A6171">
            <w:pPr>
              <w:jc w:val="center"/>
              <w:rPr>
                <w:rFonts w:hint="eastAsia" w:ascii="宋体" w:hAnsi="宋体" w:eastAsia="宋体" w:cs="宋体"/>
                <w:color w:val="auto"/>
                <w:sz w:val="22"/>
                <w:szCs w:val="18"/>
                <w:highlight w:val="none"/>
              </w:rPr>
            </w:pPr>
          </w:p>
        </w:tc>
      </w:tr>
      <w:tr w14:paraId="3CF9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07264084">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邮  箱</w:t>
            </w:r>
          </w:p>
        </w:tc>
        <w:tc>
          <w:tcPr>
            <w:tcW w:w="1784" w:type="pct"/>
            <w:vAlign w:val="center"/>
          </w:tcPr>
          <w:p w14:paraId="4E50DADD">
            <w:pPr>
              <w:jc w:val="center"/>
              <w:rPr>
                <w:rFonts w:hint="eastAsia" w:ascii="宋体" w:hAnsi="宋体" w:eastAsia="宋体" w:cs="宋体"/>
                <w:color w:val="auto"/>
                <w:sz w:val="22"/>
                <w:szCs w:val="18"/>
                <w:highlight w:val="none"/>
              </w:rPr>
            </w:pPr>
          </w:p>
        </w:tc>
        <w:tc>
          <w:tcPr>
            <w:tcW w:w="805" w:type="pct"/>
            <w:gridSpan w:val="2"/>
            <w:vAlign w:val="center"/>
          </w:tcPr>
          <w:p w14:paraId="69089331">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邮  编</w:t>
            </w:r>
          </w:p>
        </w:tc>
        <w:tc>
          <w:tcPr>
            <w:tcW w:w="1507" w:type="pct"/>
            <w:gridSpan w:val="2"/>
            <w:vAlign w:val="center"/>
          </w:tcPr>
          <w:p w14:paraId="72D5553F">
            <w:pPr>
              <w:jc w:val="center"/>
              <w:rPr>
                <w:rFonts w:hint="eastAsia" w:ascii="宋体" w:hAnsi="宋体" w:eastAsia="宋体" w:cs="宋体"/>
                <w:color w:val="auto"/>
                <w:sz w:val="22"/>
                <w:szCs w:val="18"/>
                <w:highlight w:val="none"/>
              </w:rPr>
            </w:pPr>
          </w:p>
        </w:tc>
      </w:tr>
      <w:tr w14:paraId="7F2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0FAF65BF">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联系人</w:t>
            </w:r>
          </w:p>
        </w:tc>
        <w:tc>
          <w:tcPr>
            <w:tcW w:w="1784" w:type="pct"/>
            <w:vAlign w:val="center"/>
          </w:tcPr>
          <w:p w14:paraId="46B98AE3">
            <w:pPr>
              <w:jc w:val="center"/>
              <w:rPr>
                <w:rFonts w:hint="eastAsia" w:ascii="宋体" w:hAnsi="宋体" w:eastAsia="宋体" w:cs="宋体"/>
                <w:color w:val="auto"/>
                <w:sz w:val="22"/>
                <w:szCs w:val="18"/>
                <w:highlight w:val="none"/>
              </w:rPr>
            </w:pPr>
          </w:p>
        </w:tc>
        <w:tc>
          <w:tcPr>
            <w:tcW w:w="805" w:type="pct"/>
            <w:gridSpan w:val="2"/>
            <w:vAlign w:val="center"/>
          </w:tcPr>
          <w:p w14:paraId="4306EE01">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联系方式</w:t>
            </w:r>
          </w:p>
        </w:tc>
        <w:tc>
          <w:tcPr>
            <w:tcW w:w="1507" w:type="pct"/>
            <w:gridSpan w:val="2"/>
            <w:vAlign w:val="center"/>
          </w:tcPr>
          <w:p w14:paraId="3A67A7FC">
            <w:pPr>
              <w:jc w:val="center"/>
              <w:rPr>
                <w:rFonts w:hint="eastAsia" w:ascii="宋体" w:hAnsi="宋体" w:eastAsia="宋体" w:cs="宋体"/>
                <w:color w:val="auto"/>
                <w:sz w:val="22"/>
                <w:szCs w:val="18"/>
                <w:highlight w:val="none"/>
              </w:rPr>
            </w:pPr>
          </w:p>
        </w:tc>
      </w:tr>
      <w:tr w14:paraId="73E6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000" w:type="pct"/>
            <w:gridSpan w:val="6"/>
            <w:vAlign w:val="center"/>
          </w:tcPr>
          <w:p w14:paraId="3226E338">
            <w:pPr>
              <w:wordWrap w:val="0"/>
              <w:jc w:val="center"/>
              <w:rPr>
                <w:rFonts w:hint="eastAsia" w:ascii="宋体" w:hAnsi="宋体" w:eastAsia="宋体" w:cs="宋体"/>
                <w:color w:val="auto"/>
                <w:sz w:val="22"/>
                <w:szCs w:val="18"/>
                <w:highlight w:val="none"/>
                <w:u w:val="single"/>
                <w:lang w:val="en-US" w:eastAsia="zh-CN"/>
              </w:rPr>
            </w:pPr>
            <w:r>
              <w:rPr>
                <w:rFonts w:hint="eastAsia" w:ascii="宋体" w:hAnsi="宋体" w:cs="宋体"/>
                <w:color w:val="auto"/>
                <w:sz w:val="22"/>
                <w:szCs w:val="18"/>
                <w:highlight w:val="none"/>
                <w:u w:val="none"/>
                <w:lang w:val="en-US" w:eastAsia="zh-CN"/>
              </w:rPr>
              <w:t>备注</w:t>
            </w:r>
          </w:p>
        </w:tc>
      </w:tr>
    </w:tbl>
    <w:p w14:paraId="103E6D69">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兹声明上述信息是真实、正确的，并提供了全部能提供的资料和数据；如我方提供的证明材料有虚假情况，愿承担相应后果。</w:t>
      </w:r>
    </w:p>
    <w:p w14:paraId="6C289DF6">
      <w:pPr>
        <w:spacing w:line="360" w:lineRule="auto"/>
        <w:rPr>
          <w:rFonts w:hint="eastAsia" w:ascii="宋体" w:hAnsi="宋体" w:eastAsia="宋体" w:cs="宋体"/>
          <w:color w:val="auto"/>
          <w:sz w:val="24"/>
          <w:szCs w:val="24"/>
          <w:highlight w:val="none"/>
        </w:rPr>
      </w:pPr>
    </w:p>
    <w:p w14:paraId="694474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27CB24C">
      <w:pPr>
        <w:jc w:val="center"/>
        <w:outlineLvl w:val="2"/>
        <w:rPr>
          <w:rFonts w:hint="eastAsia" w:ascii="宋体" w:hAnsi="宋体" w:eastAsia="宋体" w:cs="宋体"/>
          <w:b/>
          <w:color w:val="auto"/>
          <w:sz w:val="28"/>
          <w:szCs w:val="28"/>
          <w:highlight w:val="none"/>
        </w:rPr>
      </w:pPr>
      <w:bookmarkStart w:id="137" w:name="_Toc12274"/>
      <w:r>
        <w:rPr>
          <w:rFonts w:hint="eastAsia" w:ascii="宋体" w:hAnsi="宋体" w:eastAsia="宋体" w:cs="宋体"/>
          <w:b/>
          <w:color w:val="auto"/>
          <w:sz w:val="28"/>
          <w:szCs w:val="28"/>
          <w:highlight w:val="none"/>
        </w:rPr>
        <w:t>营业执照</w:t>
      </w:r>
      <w:bookmarkEnd w:id="133"/>
      <w:bookmarkEnd w:id="134"/>
      <w:bookmarkEnd w:id="137"/>
    </w:p>
    <w:p w14:paraId="200D6AE2">
      <w:pPr>
        <w:jc w:val="left"/>
        <w:rPr>
          <w:rFonts w:hint="eastAsia" w:ascii="宋体" w:hAnsi="宋体" w:eastAsia="宋体" w:cs="宋体"/>
          <w:color w:val="auto"/>
          <w:sz w:val="24"/>
          <w:highlight w:val="none"/>
        </w:rPr>
      </w:pPr>
    </w:p>
    <w:p w14:paraId="48FC9CF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35"/>
    <w:bookmarkEnd w:id="136"/>
    <w:p w14:paraId="0F8C26E9">
      <w:pPr>
        <w:jc w:val="center"/>
        <w:rPr>
          <w:rFonts w:hint="default" w:ascii="宋体" w:hAnsi="宋体" w:eastAsia="宋体" w:cs="宋体"/>
          <w:b/>
          <w:color w:val="auto"/>
          <w:sz w:val="28"/>
          <w:szCs w:val="28"/>
          <w:highlight w:val="none"/>
          <w:lang w:val="en-US" w:eastAsia="zh-CN"/>
        </w:rPr>
      </w:pPr>
      <w:bookmarkStart w:id="138" w:name="_Toc8177"/>
      <w:r>
        <w:rPr>
          <w:rFonts w:hint="eastAsia" w:ascii="宋体" w:hAnsi="宋体" w:cs="宋体"/>
          <w:b/>
          <w:color w:val="auto"/>
          <w:sz w:val="28"/>
          <w:szCs w:val="28"/>
          <w:highlight w:val="none"/>
          <w:lang w:val="en-US" w:eastAsia="zh-CN"/>
        </w:rPr>
        <w:t>资质证书</w:t>
      </w:r>
    </w:p>
    <w:p w14:paraId="4752D6E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41C0105">
      <w:p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审计报告或资信证明</w:t>
      </w:r>
    </w:p>
    <w:p w14:paraId="2CB558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7E0ECBD">
      <w:p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依法缴纳税收和社会保障资金良好记录的证明文件</w:t>
      </w:r>
    </w:p>
    <w:p w14:paraId="38856E12">
      <w:pPr>
        <w:rPr>
          <w:rFonts w:hint="eastAsia" w:ascii="宋体" w:hAnsi="宋体" w:eastAsia="宋体" w:cs="宋体"/>
          <w:color w:val="auto"/>
          <w:sz w:val="24"/>
          <w:szCs w:val="24"/>
          <w:highlight w:val="none"/>
        </w:rPr>
        <w:sectPr>
          <w:head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EB41E9">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rPr>
      </w:pPr>
      <w:bookmarkStart w:id="139" w:name="_Toc31424"/>
      <w:r>
        <w:rPr>
          <w:rFonts w:hint="eastAsia" w:ascii="宋体" w:hAnsi="宋体" w:eastAsia="宋体" w:cs="宋体"/>
          <w:b/>
          <w:color w:val="auto"/>
          <w:sz w:val="28"/>
          <w:szCs w:val="28"/>
          <w:highlight w:val="none"/>
        </w:rPr>
        <w:t>具备履行合同所必需的设备和专业技术能力承诺书</w:t>
      </w:r>
      <w:bookmarkEnd w:id="139"/>
    </w:p>
    <w:p w14:paraId="673E89E6">
      <w:pPr>
        <w:ind w:firstLine="480"/>
        <w:rPr>
          <w:rFonts w:hint="eastAsia" w:ascii="宋体" w:hAnsi="宋体" w:eastAsia="宋体" w:cs="宋体"/>
          <w:color w:val="auto"/>
          <w:kern w:val="0"/>
          <w:sz w:val="24"/>
          <w:highlight w:val="none"/>
        </w:rPr>
      </w:pPr>
    </w:p>
    <w:p w14:paraId="1F81BCEF">
      <w:pPr>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p>
    <w:p w14:paraId="6D02169A">
      <w:pPr>
        <w:pStyle w:val="18"/>
        <w:autoSpaceDE w:val="0"/>
        <w:ind w:firstLine="420" w:firstLineChars="200"/>
        <w:rPr>
          <w:rFonts w:hint="eastAsia" w:ascii="宋体" w:hAnsi="宋体" w:eastAsia="宋体" w:cs="宋体"/>
          <w:color w:val="auto"/>
          <w:sz w:val="21"/>
          <w:szCs w:val="21"/>
          <w:highlight w:val="none"/>
        </w:rPr>
      </w:pPr>
    </w:p>
    <w:p w14:paraId="07CE1ED0">
      <w:pPr>
        <w:pStyle w:val="18"/>
        <w:autoSpaceDE w:val="0"/>
        <w:ind w:firstLine="420" w:firstLineChars="200"/>
        <w:rPr>
          <w:rFonts w:hint="eastAsia" w:ascii="宋体" w:hAnsi="宋体" w:eastAsia="宋体" w:cs="宋体"/>
          <w:color w:val="auto"/>
          <w:sz w:val="21"/>
          <w:szCs w:val="21"/>
          <w:highlight w:val="none"/>
        </w:rPr>
      </w:pPr>
    </w:p>
    <w:p w14:paraId="03940C53">
      <w:pPr>
        <w:pStyle w:val="18"/>
        <w:autoSpaceDE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single"/>
        </w:rPr>
        <w:t xml:space="preserve">      </w:t>
      </w:r>
    </w:p>
    <w:p w14:paraId="1AC109CC">
      <w:pPr>
        <w:pStyle w:val="18"/>
        <w:autoSpaceDE w:val="0"/>
        <w:ind w:firstLine="420" w:firstLineChars="200"/>
        <w:rPr>
          <w:rFonts w:hint="eastAsia" w:ascii="宋体" w:hAnsi="宋体" w:eastAsia="宋体" w:cs="宋体"/>
          <w:color w:val="auto"/>
          <w:sz w:val="21"/>
          <w:szCs w:val="21"/>
          <w:highlight w:val="none"/>
        </w:rPr>
      </w:pPr>
    </w:p>
    <w:p w14:paraId="6F0BB118">
      <w:pPr>
        <w:pStyle w:val="18"/>
        <w:autoSpaceDE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我公司承诺具备履行合同所必需的设备和专业技术能力。</w:t>
      </w:r>
    </w:p>
    <w:p w14:paraId="18769E87">
      <w:pPr>
        <w:pStyle w:val="18"/>
        <w:autoSpaceDE w:val="0"/>
        <w:ind w:firstLine="420" w:firstLineChars="200"/>
        <w:rPr>
          <w:rFonts w:hint="eastAsia" w:ascii="宋体" w:hAnsi="宋体" w:eastAsia="宋体" w:cs="宋体"/>
          <w:color w:val="auto"/>
          <w:sz w:val="21"/>
          <w:szCs w:val="21"/>
          <w:highlight w:val="none"/>
        </w:rPr>
      </w:pPr>
    </w:p>
    <w:p w14:paraId="78C8FC47">
      <w:pPr>
        <w:pStyle w:val="18"/>
        <w:autoSpaceDE w:val="0"/>
        <w:ind w:firstLine="420" w:firstLineChars="200"/>
        <w:rPr>
          <w:rFonts w:hint="eastAsia" w:ascii="宋体" w:hAnsi="宋体" w:eastAsia="宋体" w:cs="宋体"/>
          <w:color w:val="auto"/>
          <w:sz w:val="21"/>
          <w:szCs w:val="21"/>
          <w:highlight w:val="none"/>
        </w:rPr>
      </w:pPr>
    </w:p>
    <w:p w14:paraId="10097646">
      <w:pPr>
        <w:pStyle w:val="18"/>
        <w:autoSpaceDE w:val="0"/>
        <w:ind w:firstLine="420" w:firstLineChars="200"/>
        <w:rPr>
          <w:rFonts w:hint="eastAsia" w:ascii="宋体" w:hAnsi="宋体" w:eastAsia="宋体" w:cs="宋体"/>
          <w:color w:val="auto"/>
          <w:sz w:val="21"/>
          <w:szCs w:val="21"/>
          <w:highlight w:val="none"/>
        </w:rPr>
      </w:pPr>
    </w:p>
    <w:p w14:paraId="1191DC20">
      <w:pPr>
        <w:wordWrap w:val="0"/>
        <w:ind w:firstLine="5880" w:firstLineChars="2800"/>
        <w:jc w:val="both"/>
        <w:rPr>
          <w:rFonts w:hint="eastAsia" w:ascii="宋体" w:hAnsi="宋体" w:eastAsia="宋体" w:cs="宋体"/>
          <w:bCs/>
          <w:color w:val="auto"/>
          <w:szCs w:val="21"/>
          <w:highlight w:val="none"/>
          <w:lang w:eastAsia="zh-CN"/>
        </w:rPr>
      </w:pPr>
    </w:p>
    <w:p w14:paraId="657775D1">
      <w:pPr>
        <w:wordWrap w:val="0"/>
        <w:ind w:firstLine="5880" w:firstLineChars="2800"/>
        <w:jc w:val="both"/>
        <w:rPr>
          <w:rFonts w:hint="eastAsia" w:ascii="宋体" w:hAnsi="宋体" w:eastAsia="宋体" w:cs="宋体"/>
          <w:bCs/>
          <w:color w:val="auto"/>
          <w:szCs w:val="21"/>
          <w:highlight w:val="none"/>
          <w:lang w:eastAsia="zh-CN"/>
        </w:rPr>
      </w:pPr>
    </w:p>
    <w:p w14:paraId="39D0C590">
      <w:pPr>
        <w:wordWrap w:val="0"/>
        <w:ind w:firstLine="5880" w:firstLineChars="2800"/>
        <w:jc w:val="both"/>
        <w:rPr>
          <w:rFonts w:hint="eastAsia" w:ascii="宋体" w:hAnsi="宋体" w:eastAsia="宋体" w:cs="宋体"/>
          <w:bCs/>
          <w:color w:val="auto"/>
          <w:szCs w:val="21"/>
          <w:highlight w:val="none"/>
          <w:lang w:eastAsia="zh-CN"/>
        </w:rPr>
      </w:pPr>
    </w:p>
    <w:p w14:paraId="626420C5">
      <w:pPr>
        <w:wordWrap w:val="0"/>
        <w:ind w:firstLine="5880" w:firstLineChars="2800"/>
        <w:jc w:val="both"/>
        <w:rPr>
          <w:rFonts w:hint="eastAsia" w:ascii="宋体" w:hAnsi="宋体" w:eastAsia="宋体" w:cs="宋体"/>
          <w:bCs/>
          <w:color w:val="auto"/>
          <w:szCs w:val="21"/>
          <w:highlight w:val="none"/>
          <w:lang w:eastAsia="zh-CN"/>
        </w:rPr>
      </w:pPr>
    </w:p>
    <w:p w14:paraId="74AD3264">
      <w:pPr>
        <w:wordWrap w:val="0"/>
        <w:ind w:firstLine="5880" w:firstLineChars="2800"/>
        <w:jc w:val="both"/>
        <w:rPr>
          <w:rFonts w:hint="eastAsia" w:ascii="宋体" w:hAnsi="宋体" w:eastAsia="宋体" w:cs="宋体"/>
          <w:bCs/>
          <w:color w:val="auto"/>
          <w:szCs w:val="21"/>
          <w:highlight w:val="none"/>
          <w:lang w:eastAsia="zh-CN"/>
        </w:rPr>
      </w:pPr>
    </w:p>
    <w:p w14:paraId="366869ED">
      <w:pPr>
        <w:wordWrap w:val="0"/>
        <w:ind w:firstLine="5880" w:firstLineChars="2800"/>
        <w:jc w:val="both"/>
        <w:rPr>
          <w:rFonts w:hint="eastAsia" w:ascii="宋体" w:hAnsi="宋体" w:eastAsia="宋体" w:cs="宋体"/>
          <w:bCs/>
          <w:color w:val="auto"/>
          <w:szCs w:val="21"/>
          <w:highlight w:val="none"/>
          <w:lang w:eastAsia="zh-CN"/>
        </w:rPr>
      </w:pPr>
    </w:p>
    <w:p w14:paraId="73946685">
      <w:pPr>
        <w:wordWrap w:val="0"/>
        <w:ind w:firstLine="5880" w:firstLineChars="2800"/>
        <w:jc w:val="both"/>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6070CA8D">
      <w:pPr>
        <w:wordWrap w:val="0"/>
        <w:jc w:val="right"/>
        <w:rPr>
          <w:rFonts w:hint="eastAsia" w:ascii="宋体" w:hAnsi="宋体" w:eastAsia="宋体" w:cs="宋体"/>
          <w:bCs/>
          <w:color w:val="auto"/>
          <w:szCs w:val="21"/>
          <w:highlight w:val="none"/>
        </w:rPr>
      </w:pPr>
    </w:p>
    <w:p w14:paraId="1E138292">
      <w:pPr>
        <w:wordWrap w:val="0"/>
        <w:jc w:val="right"/>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2605AF82">
      <w:pPr>
        <w:ind w:left="2402" w:leftChars="1144" w:firstLine="210" w:firstLineChars="100"/>
        <w:jc w:val="right"/>
        <w:rPr>
          <w:rFonts w:hint="eastAsia" w:ascii="宋体" w:hAnsi="宋体" w:eastAsia="宋体" w:cs="宋体"/>
          <w:color w:val="auto"/>
          <w:szCs w:val="21"/>
          <w:highlight w:val="none"/>
        </w:rPr>
      </w:pPr>
    </w:p>
    <w:p w14:paraId="77AD8BC9">
      <w:pPr>
        <w:ind w:left="2402" w:leftChars="1144"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0DF7FE5">
      <w:pPr>
        <w:ind w:right="280"/>
        <w:rPr>
          <w:rFonts w:hint="eastAsia" w:ascii="宋体" w:hAnsi="宋体" w:eastAsia="宋体" w:cs="宋体"/>
          <w:color w:val="auto"/>
          <w:sz w:val="24"/>
          <w:highlight w:val="none"/>
        </w:rPr>
      </w:pPr>
    </w:p>
    <w:p w14:paraId="0991E176">
      <w:pPr>
        <w:widowControl/>
        <w:jc w:val="left"/>
        <w:rPr>
          <w:rFonts w:hint="eastAsia" w:ascii="宋体" w:hAnsi="宋体" w:eastAsia="宋体" w:cs="宋体"/>
          <w:color w:val="auto"/>
          <w:szCs w:val="21"/>
          <w:highlight w:val="none"/>
        </w:rPr>
      </w:pPr>
    </w:p>
    <w:p w14:paraId="3E90F05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212DDF9">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1989B2">
      <w:pPr>
        <w:pStyle w:val="3"/>
        <w:rPr>
          <w:rFonts w:hint="eastAsia"/>
          <w:color w:val="auto"/>
          <w:lang w:eastAsia="zh-CN"/>
        </w:rPr>
        <w:sectPr>
          <w:head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FD737EE">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360" w:lineRule="auto"/>
        <w:ind w:left="0" w:right="0" w:rightChars="0"/>
        <w:jc w:val="center"/>
        <w:textAlignment w:val="auto"/>
        <w:outlineLvl w:val="2"/>
        <w:rPr>
          <w:rFonts w:hint="eastAsia" w:ascii="宋体" w:hAnsi="宋体" w:eastAsia="宋体" w:cs="宋体"/>
          <w:b/>
          <w:color w:val="auto"/>
          <w:sz w:val="28"/>
          <w:szCs w:val="28"/>
          <w:highlight w:val="none"/>
        </w:rPr>
      </w:pPr>
      <w:bookmarkStart w:id="140" w:name="_Toc21290"/>
      <w:r>
        <w:rPr>
          <w:rFonts w:hint="eastAsia" w:ascii="宋体" w:hAnsi="宋体" w:eastAsia="宋体" w:cs="宋体"/>
          <w:b/>
          <w:color w:val="auto"/>
          <w:sz w:val="28"/>
          <w:szCs w:val="28"/>
          <w:highlight w:val="none"/>
        </w:rPr>
        <w:t>企业信誉承诺书</w:t>
      </w:r>
      <w:bookmarkEnd w:id="140"/>
    </w:p>
    <w:p w14:paraId="3B50BC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p>
    <w:p w14:paraId="4FA938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r>
        <w:rPr>
          <w:rFonts w:hint="eastAsia" w:ascii="宋体" w:hAnsi="宋体" w:cs="宋体"/>
          <w:color w:val="auto"/>
          <w:szCs w:val="21"/>
        </w:rPr>
        <w:t>本企业已详细阅读本项目</w:t>
      </w:r>
      <w:r>
        <w:rPr>
          <w:rFonts w:hint="eastAsia" w:ascii="宋体" w:hAnsi="宋体" w:cs="宋体"/>
          <w:color w:val="auto"/>
          <w:szCs w:val="21"/>
          <w:lang w:val="en-US" w:eastAsia="zh-CN"/>
        </w:rPr>
        <w:t>竞争性磋商</w:t>
      </w:r>
      <w:r>
        <w:rPr>
          <w:rFonts w:hint="eastAsia" w:ascii="宋体" w:hAnsi="宋体" w:cs="宋体"/>
          <w:color w:val="auto"/>
          <w:szCs w:val="21"/>
        </w:rPr>
        <w:t>文件，现自愿郑重作出承诺如下：</w:t>
      </w:r>
    </w:p>
    <w:p w14:paraId="7C585D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（一）将遵循公开、公平、公正和诚实信用的原则参加本次投标活动；</w:t>
      </w:r>
    </w:p>
    <w:p w14:paraId="131070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（二）所提供的一切材料都是真实、有效、合法的；</w:t>
      </w:r>
    </w:p>
    <w:p w14:paraId="03E2DB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三</w:t>
      </w:r>
      <w:r>
        <w:rPr>
          <w:rFonts w:ascii="宋体" w:hAnsi="宋体" w:cs="宋体"/>
          <w:color w:val="auto"/>
          <w:szCs w:val="21"/>
        </w:rPr>
        <w:t>）本企业具有良好的商业信誉和健全的财务会计制度</w:t>
      </w:r>
      <w:r>
        <w:rPr>
          <w:rFonts w:hint="eastAsia" w:ascii="宋体" w:hAnsi="宋体" w:cs="宋体"/>
          <w:color w:val="auto"/>
          <w:szCs w:val="21"/>
        </w:rPr>
        <w:t>，财务审计报告真实合理有效</w:t>
      </w:r>
      <w:r>
        <w:rPr>
          <w:rFonts w:ascii="宋体" w:hAnsi="宋体" w:cs="宋体"/>
          <w:color w:val="auto"/>
          <w:szCs w:val="21"/>
        </w:rPr>
        <w:t>；</w:t>
      </w:r>
    </w:p>
    <w:p w14:paraId="5581C0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四</w:t>
      </w:r>
      <w:r>
        <w:rPr>
          <w:rFonts w:ascii="宋体" w:hAnsi="宋体" w:cs="宋体"/>
          <w:color w:val="auto"/>
          <w:szCs w:val="21"/>
        </w:rPr>
        <w:t>）本企业具有履行合同所必需的专业技术能力；</w:t>
      </w:r>
    </w:p>
    <w:p w14:paraId="40EDC5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五</w:t>
      </w:r>
      <w:r>
        <w:rPr>
          <w:rFonts w:ascii="宋体" w:hAnsi="宋体" w:cs="宋体"/>
          <w:color w:val="auto"/>
          <w:szCs w:val="21"/>
        </w:rPr>
        <w:t>）</w:t>
      </w:r>
      <w:r>
        <w:rPr>
          <w:rFonts w:hint="eastAsia" w:ascii="宋体" w:hAnsi="宋体"/>
          <w:color w:val="auto"/>
        </w:rPr>
        <w:t>我公司郑重承诺在参加本项目政府采购活动前三年内，在经营活动中无重大违法记录。公司未受到刑事处罚或责令停业、吊销许可证（或执照）、较大数额罚款等行政处罚；未处于财产被接管、冻结、破产状况；</w:t>
      </w:r>
    </w:p>
    <w:p w14:paraId="33653D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bCs/>
          <w:color w:val="auto"/>
          <w:szCs w:val="21"/>
        </w:rPr>
      </w:pPr>
      <w:r>
        <w:rPr>
          <w:rFonts w:hint="eastAsia" w:ascii="宋体" w:hAnsi="宋体" w:cs="宋体"/>
          <w:color w:val="auto"/>
          <w:szCs w:val="21"/>
        </w:rPr>
        <w:t>（六）</w:t>
      </w:r>
      <w:r>
        <w:rPr>
          <w:rFonts w:hint="eastAsia" w:ascii="宋体" w:hAnsi="宋体" w:cs="宋体"/>
          <w:bCs/>
          <w:color w:val="auto"/>
          <w:szCs w:val="21"/>
        </w:rPr>
        <w:t>未被列入政府取消投标资格记录期间的企业</w:t>
      </w:r>
      <w:r>
        <w:rPr>
          <w:rFonts w:hint="eastAsia" w:ascii="宋体" w:hAnsi="宋体" w:cs="宋体"/>
          <w:bCs/>
          <w:color w:val="auto"/>
          <w:szCs w:val="21"/>
          <w:lang w:val="zh-CN"/>
        </w:rPr>
        <w:t>或个人投标</w:t>
      </w:r>
      <w:r>
        <w:rPr>
          <w:rFonts w:hint="eastAsia" w:ascii="宋体" w:hAnsi="宋体" w:cs="宋体"/>
          <w:bCs/>
          <w:color w:val="auto"/>
          <w:szCs w:val="21"/>
        </w:rPr>
        <w:t>；</w:t>
      </w:r>
    </w:p>
    <w:p w14:paraId="154E3D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Cs w:val="21"/>
          <w:lang w:eastAsia="zh-CN"/>
        </w:rPr>
      </w:pPr>
      <w:r>
        <w:rPr>
          <w:rFonts w:hint="eastAsia" w:ascii="宋体" w:hAnsi="宋体" w:cs="宋体"/>
          <w:bCs/>
          <w:color w:val="auto"/>
          <w:szCs w:val="21"/>
        </w:rPr>
        <w:t>（七）</w:t>
      </w:r>
      <w:r>
        <w:rPr>
          <w:rFonts w:hint="eastAsia" w:ascii="宋体" w:hAnsi="宋体" w:eastAsia="宋体" w:cs="宋体"/>
          <w:bCs/>
          <w:color w:val="auto"/>
          <w:szCs w:val="21"/>
        </w:rPr>
        <w:t>未被“中国政府采购网”列入政府采购严重违法失信行为记录名单；</w:t>
      </w:r>
      <w:r>
        <w:rPr>
          <w:rFonts w:hint="eastAsia" w:ascii="宋体" w:hAnsi="宋体" w:cs="宋体"/>
          <w:color w:val="auto"/>
          <w:kern w:val="0"/>
          <w:szCs w:val="21"/>
        </w:rPr>
        <w:t>本项目投标截止时间前未被“信用中国”网站中列入失信被执行人或重大税收违法失信主体</w:t>
      </w:r>
      <w:r>
        <w:rPr>
          <w:rFonts w:hint="eastAsia" w:ascii="宋体" w:hAnsi="宋体" w:cs="宋体"/>
          <w:color w:val="auto"/>
          <w:kern w:val="0"/>
          <w:szCs w:val="21"/>
          <w:lang w:eastAsia="zh-CN"/>
        </w:rPr>
        <w:t>；参加政府采购活动前三年内，在经营活动中没有重大违法记录；</w:t>
      </w:r>
    </w:p>
    <w:p w14:paraId="2FE1C5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Cs w:val="21"/>
          <w:lang w:eastAsia="zh-CN"/>
        </w:rPr>
      </w:pPr>
      <w:r>
        <w:rPr>
          <w:rFonts w:hint="eastAsia" w:ascii="宋体" w:hAnsi="宋体" w:cs="宋体"/>
          <w:color w:val="auto"/>
          <w:szCs w:val="21"/>
        </w:rPr>
        <w:t>（八）</w:t>
      </w:r>
      <w:r>
        <w:rPr>
          <w:rFonts w:hint="eastAsia" w:ascii="宋体" w:hAnsi="宋体" w:eastAsia="宋体" w:cs="宋体"/>
          <w:b w:val="0"/>
          <w:bCs w:val="0"/>
          <w:color w:val="auto"/>
          <w:szCs w:val="21"/>
        </w:rPr>
        <w:t>单位负责人为同一人或者存在直接控股、管理关系的不同</w:t>
      </w:r>
      <w:r>
        <w:rPr>
          <w:rFonts w:hint="eastAsia" w:ascii="宋体" w:hAnsi="宋体" w:cs="宋体"/>
          <w:b w:val="0"/>
          <w:bCs w:val="0"/>
          <w:color w:val="auto"/>
          <w:szCs w:val="21"/>
          <w:lang w:eastAsia="zh-CN"/>
        </w:rPr>
        <w:t>供应商</w:t>
      </w:r>
      <w:r>
        <w:rPr>
          <w:rFonts w:hint="eastAsia" w:ascii="宋体" w:hAnsi="宋体" w:eastAsia="宋体" w:cs="宋体"/>
          <w:b w:val="0"/>
          <w:bCs w:val="0"/>
          <w:color w:val="auto"/>
          <w:szCs w:val="21"/>
        </w:rPr>
        <w:t>，不得参加同一合同项下的政府采购活动</w:t>
      </w:r>
      <w:r>
        <w:rPr>
          <w:rFonts w:hint="eastAsia" w:ascii="宋体" w:hAnsi="宋体" w:cs="宋体"/>
          <w:b w:val="0"/>
          <w:bCs w:val="0"/>
          <w:color w:val="auto"/>
          <w:szCs w:val="21"/>
          <w:lang w:eastAsia="zh-CN"/>
        </w:rPr>
        <w:t>；</w:t>
      </w:r>
    </w:p>
    <w:p w14:paraId="612BCDB3">
      <w:pPr>
        <w:pStyle w:val="1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九</w:t>
      </w:r>
      <w:r>
        <w:rPr>
          <w:rFonts w:hint="eastAsia" w:ascii="宋体" w:hAnsi="宋体" w:eastAsia="宋体" w:cs="宋体"/>
          <w:color w:val="auto"/>
          <w:sz w:val="21"/>
          <w:szCs w:val="21"/>
          <w:lang w:bidi="ar"/>
        </w:rPr>
        <w:t>）不存在违反法律、法规的情况。</w:t>
      </w:r>
    </w:p>
    <w:p w14:paraId="5A187C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Cs w:val="21"/>
        </w:rPr>
      </w:pPr>
    </w:p>
    <w:p w14:paraId="19B49D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r>
        <w:rPr>
          <w:rFonts w:hint="eastAsia" w:ascii="宋体" w:hAnsi="宋体" w:cs="宋体"/>
          <w:color w:val="auto"/>
          <w:szCs w:val="21"/>
        </w:rPr>
        <w:t>上述承诺事项均为本企业真实意见表达，愿承担一切责任。若有任何弄虚作假、违反本承诺内容的行为，自愿接受取消投标资格、没收投标保证金等有关处理，并承担法律责任；如已中标的，自动放弃中标资格；给</w:t>
      </w:r>
      <w:r>
        <w:rPr>
          <w:rFonts w:hint="eastAsia" w:ascii="宋体" w:hAnsi="宋体" w:cs="宋体"/>
          <w:color w:val="auto"/>
          <w:szCs w:val="21"/>
          <w:lang w:eastAsia="zh-CN"/>
        </w:rPr>
        <w:t>采购</w:t>
      </w:r>
      <w:r>
        <w:rPr>
          <w:rFonts w:hint="eastAsia" w:ascii="宋体" w:hAnsi="宋体" w:cs="宋体"/>
          <w:color w:val="auto"/>
          <w:szCs w:val="21"/>
        </w:rPr>
        <w:t>人造成损失的，依法承担赔偿责任。</w:t>
      </w:r>
    </w:p>
    <w:p w14:paraId="7344F00E">
      <w:pPr>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eastAsia="宋体" w:cs="宋体"/>
          <w:color w:val="auto"/>
          <w:szCs w:val="21"/>
          <w:highlight w:val="none"/>
        </w:rPr>
      </w:pPr>
    </w:p>
    <w:p w14:paraId="0EA87A5C">
      <w:pPr>
        <w:wordWrap w:val="0"/>
        <w:ind w:firstLine="5880" w:firstLineChars="2800"/>
        <w:jc w:val="both"/>
        <w:rPr>
          <w:rFonts w:hint="eastAsia" w:ascii="宋体" w:hAnsi="宋体" w:eastAsia="宋体" w:cs="宋体"/>
          <w:bCs/>
          <w:color w:val="auto"/>
          <w:szCs w:val="21"/>
          <w:highlight w:val="none"/>
          <w:lang w:eastAsia="zh-CN"/>
        </w:rPr>
      </w:pPr>
    </w:p>
    <w:p w14:paraId="270DC047">
      <w:pPr>
        <w:wordWrap w:val="0"/>
        <w:ind w:firstLine="5880" w:firstLineChars="2800"/>
        <w:jc w:val="both"/>
        <w:rPr>
          <w:rFonts w:hint="eastAsia" w:ascii="宋体" w:hAnsi="宋体" w:eastAsia="宋体" w:cs="宋体"/>
          <w:bCs/>
          <w:color w:val="auto"/>
          <w:szCs w:val="21"/>
          <w:highlight w:val="none"/>
          <w:lang w:eastAsia="zh-CN"/>
        </w:rPr>
      </w:pPr>
    </w:p>
    <w:p w14:paraId="357AA8AA">
      <w:pPr>
        <w:wordWrap w:val="0"/>
        <w:ind w:firstLine="5880" w:firstLineChars="2800"/>
        <w:jc w:val="both"/>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3B93E54C">
      <w:pPr>
        <w:wordWrap w:val="0"/>
        <w:jc w:val="right"/>
        <w:rPr>
          <w:rFonts w:hint="eastAsia" w:ascii="宋体" w:hAnsi="宋体" w:eastAsia="宋体" w:cs="宋体"/>
          <w:bCs/>
          <w:color w:val="auto"/>
          <w:szCs w:val="21"/>
          <w:highlight w:val="none"/>
        </w:rPr>
      </w:pPr>
    </w:p>
    <w:p w14:paraId="6F603223">
      <w:pPr>
        <w:wordWrap w:val="0"/>
        <w:jc w:val="right"/>
        <w:rPr>
          <w:rFonts w:hint="eastAsia" w:ascii="宋体" w:hAnsi="宋体" w:eastAsia="宋体" w:cs="宋体"/>
          <w:bCs/>
          <w:color w:val="auto"/>
          <w:szCs w:val="21"/>
          <w:highlight w:val="none"/>
        </w:rPr>
      </w:pPr>
    </w:p>
    <w:p w14:paraId="624BA95F">
      <w:pPr>
        <w:wordWrap w:val="0"/>
        <w:jc w:val="right"/>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129432FE">
      <w:pPr>
        <w:ind w:left="2402" w:leftChars="1144" w:firstLine="210" w:firstLineChars="100"/>
        <w:jc w:val="right"/>
        <w:rPr>
          <w:rFonts w:hint="eastAsia" w:ascii="宋体" w:hAnsi="宋体" w:eastAsia="宋体" w:cs="宋体"/>
          <w:color w:val="auto"/>
          <w:szCs w:val="21"/>
          <w:highlight w:val="none"/>
        </w:rPr>
      </w:pPr>
    </w:p>
    <w:p w14:paraId="2464E964">
      <w:pPr>
        <w:ind w:left="2402" w:leftChars="1144"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BE2FE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Cs w:val="21"/>
          <w:highlight w:val="none"/>
        </w:rPr>
        <w:br w:type="page"/>
      </w:r>
      <w:bookmarkStart w:id="141" w:name="_Toc14366"/>
      <w:bookmarkStart w:id="142" w:name="_Toc27325"/>
    </w:p>
    <w:bookmarkEnd w:id="141"/>
    <w:bookmarkEnd w:id="142"/>
    <w:p w14:paraId="30FC7187">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法定代表人身份证明</w:t>
      </w:r>
      <w:bookmarkEnd w:id="138"/>
    </w:p>
    <w:p w14:paraId="0FFC082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B1D405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C2A7B8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8072CD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67F49D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D6DE0D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14:paraId="72D6F60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14:paraId="1ADBB23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628C43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0ACA38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211BE5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lang w:val="en-US" w:eastAsia="zh-CN"/>
        </w:rPr>
        <w:t xml:space="preserve"> </w:t>
      </w:r>
    </w:p>
    <w:p w14:paraId="6277148D">
      <w:pPr>
        <w:keepNext w:val="0"/>
        <w:keepLines w:val="0"/>
        <w:pageBreakBefore w:val="0"/>
        <w:widowControl w:val="0"/>
        <w:kinsoku/>
        <w:overflowPunct/>
        <w:topLinePunct w:val="0"/>
        <w:autoSpaceDE/>
        <w:autoSpaceDN/>
        <w:bidi w:val="0"/>
        <w:adjustRightInd/>
        <w:snapToGrid/>
        <w:spacing w:line="360" w:lineRule="auto"/>
        <w:ind w:firstLine="4515" w:firstLineChars="2150"/>
        <w:jc w:val="righ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49A519E">
      <w:pPr>
        <w:keepNext w:val="0"/>
        <w:keepLines w:val="0"/>
        <w:pageBreakBefore w:val="0"/>
        <w:widowControl w:val="0"/>
        <w:kinsoku/>
        <w:overflowPunct/>
        <w:topLinePunct w:val="0"/>
        <w:autoSpaceDE/>
        <w:autoSpaceDN/>
        <w:bidi w:val="0"/>
        <w:adjustRightInd/>
        <w:snapToGrid/>
        <w:spacing w:line="360" w:lineRule="auto"/>
        <w:ind w:right="1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9BB193A">
      <w:pPr>
        <w:widowControl/>
        <w:spacing w:line="48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p w14:paraId="1B46003C">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68FAE3A">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rPr>
      </w:pPr>
      <w:bookmarkStart w:id="143" w:name="_Toc1967"/>
      <w:r>
        <w:rPr>
          <w:rFonts w:hint="eastAsia" w:ascii="宋体" w:hAnsi="宋体" w:eastAsia="宋体" w:cs="宋体"/>
          <w:b/>
          <w:color w:val="auto"/>
          <w:sz w:val="28"/>
          <w:szCs w:val="28"/>
          <w:highlight w:val="none"/>
        </w:rPr>
        <w:t>法定代表人授权委托书</w:t>
      </w:r>
      <w:bookmarkEnd w:id="143"/>
    </w:p>
    <w:p w14:paraId="3F2948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358D436">
      <w:pPr>
        <w:pStyle w:val="18"/>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（姓名）为我方代理人。代理人根据授权，以我方名义签署、澄清、说明、补正、递交、撤回、修改贵方组织的</w:t>
      </w:r>
      <w:r>
        <w:rPr>
          <w:rFonts w:hint="eastAsia" w:ascii="宋体" w:hAnsi="宋体" w:eastAsia="宋体" w:cs="宋体"/>
          <w:color w:val="auto"/>
          <w:sz w:val="21"/>
          <w:szCs w:val="21"/>
          <w:highlight w:val="none"/>
          <w:u w:val="single"/>
        </w:rPr>
        <w:t xml:space="preserve">   （项目名称）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、签订合同和处理一切有关事宜，其法律后果由我方承担。</w:t>
      </w:r>
    </w:p>
    <w:p w14:paraId="5EDFD921">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本委托书自</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 xml:space="preserve"> 签字盖章之日起生效至投标有效期满止。</w:t>
      </w:r>
    </w:p>
    <w:p w14:paraId="0FE36223">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附：法定代表人及委托代理人有效期内的身份证正反面复印件</w:t>
      </w:r>
    </w:p>
    <w:p w14:paraId="763F18EA">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5E162BF8">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3633F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68B95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BCF6E4B">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cs="宋体"/>
          <w:bCs/>
          <w:color w:val="auto"/>
          <w:szCs w:val="21"/>
          <w:highlight w:val="none"/>
          <w:lang w:eastAsia="zh-CN"/>
        </w:rPr>
        <w:t>：</w:t>
      </w:r>
    </w:p>
    <w:p w14:paraId="21604A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FF70D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法定代表人（签字或盖章）</w:t>
      </w:r>
      <w:r>
        <w:rPr>
          <w:rFonts w:hint="eastAsia" w:ascii="宋体" w:hAnsi="宋体" w:cs="宋体"/>
          <w:color w:val="auto"/>
          <w:szCs w:val="21"/>
          <w:highlight w:val="none"/>
          <w:lang w:eastAsia="zh-CN"/>
        </w:rPr>
        <w:t>：</w:t>
      </w:r>
    </w:p>
    <w:p w14:paraId="35A63D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BEECAE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委托代理人（签字或盖章）</w:t>
      </w:r>
      <w:r>
        <w:rPr>
          <w:rFonts w:hint="eastAsia" w:ascii="宋体" w:hAnsi="宋体" w:cs="宋体"/>
          <w:color w:val="auto"/>
          <w:szCs w:val="21"/>
          <w:highlight w:val="none"/>
          <w:lang w:eastAsia="zh-CN"/>
        </w:rPr>
        <w:t>：</w:t>
      </w:r>
    </w:p>
    <w:p w14:paraId="37D356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D3171A3">
      <w:pPr>
        <w:ind w:left="1050" w:hanging="1050" w:hangingChars="5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7649E7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BF8712E">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lang w:val="en-US" w:eastAsia="zh-CN"/>
        </w:rPr>
      </w:pPr>
      <w:bookmarkStart w:id="144" w:name="_Toc3780"/>
      <w:bookmarkStart w:id="145" w:name="_Toc13395"/>
      <w:r>
        <w:rPr>
          <w:rFonts w:hint="eastAsia" w:ascii="宋体" w:hAnsi="宋体" w:eastAsia="宋体" w:cs="宋体"/>
          <w:b/>
          <w:color w:val="auto"/>
          <w:sz w:val="28"/>
          <w:szCs w:val="28"/>
          <w:highlight w:val="none"/>
          <w:lang w:val="en-US" w:eastAsia="zh-CN"/>
        </w:rPr>
        <w:t>项目负责人、管理及技术人员一览表</w:t>
      </w:r>
    </w:p>
    <w:p w14:paraId="608B1BFF">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4"/>
          <w:highlight w:val="none"/>
          <w:lang w:val="en-US" w:eastAsia="zh-CN"/>
        </w:rPr>
      </w:pPr>
    </w:p>
    <w:tbl>
      <w:tblPr>
        <w:tblStyle w:val="3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248"/>
        <w:gridCol w:w="793"/>
        <w:gridCol w:w="1015"/>
        <w:gridCol w:w="837"/>
        <w:gridCol w:w="1425"/>
        <w:gridCol w:w="931"/>
        <w:gridCol w:w="1032"/>
        <w:gridCol w:w="1649"/>
      </w:tblGrid>
      <w:tr w14:paraId="7C180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16" w:type="pct"/>
            <w:noWrap w:val="0"/>
            <w:vAlign w:val="center"/>
          </w:tcPr>
          <w:p w14:paraId="0348B94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626" w:type="pct"/>
            <w:noWrap w:val="0"/>
            <w:vAlign w:val="center"/>
          </w:tcPr>
          <w:p w14:paraId="2D98DE1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姓名</w:t>
            </w:r>
          </w:p>
        </w:tc>
        <w:tc>
          <w:tcPr>
            <w:tcW w:w="398" w:type="pct"/>
            <w:noWrap w:val="0"/>
            <w:vAlign w:val="center"/>
          </w:tcPr>
          <w:p w14:paraId="074F106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性别</w:t>
            </w:r>
          </w:p>
        </w:tc>
        <w:tc>
          <w:tcPr>
            <w:tcW w:w="509" w:type="pct"/>
            <w:noWrap w:val="0"/>
            <w:vAlign w:val="center"/>
          </w:tcPr>
          <w:p w14:paraId="0784B83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年龄</w:t>
            </w:r>
          </w:p>
        </w:tc>
        <w:tc>
          <w:tcPr>
            <w:tcW w:w="420" w:type="pct"/>
            <w:noWrap w:val="0"/>
            <w:vAlign w:val="center"/>
          </w:tcPr>
          <w:p w14:paraId="12448CD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学历</w:t>
            </w:r>
          </w:p>
        </w:tc>
        <w:tc>
          <w:tcPr>
            <w:tcW w:w="715" w:type="pct"/>
            <w:noWrap w:val="0"/>
            <w:vAlign w:val="center"/>
          </w:tcPr>
          <w:p w14:paraId="38B3446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职称/资格</w:t>
            </w:r>
          </w:p>
        </w:tc>
        <w:tc>
          <w:tcPr>
            <w:tcW w:w="467" w:type="pct"/>
            <w:noWrap w:val="0"/>
            <w:vAlign w:val="center"/>
          </w:tcPr>
          <w:p w14:paraId="4729F01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专业</w:t>
            </w:r>
          </w:p>
        </w:tc>
        <w:tc>
          <w:tcPr>
            <w:tcW w:w="518" w:type="pct"/>
            <w:noWrap w:val="0"/>
            <w:vAlign w:val="center"/>
          </w:tcPr>
          <w:p w14:paraId="5ADD47F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经验</w:t>
            </w:r>
          </w:p>
          <w:p w14:paraId="506D13B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年限</w:t>
            </w:r>
          </w:p>
        </w:tc>
        <w:tc>
          <w:tcPr>
            <w:tcW w:w="827" w:type="pct"/>
            <w:noWrap w:val="0"/>
            <w:vAlign w:val="center"/>
          </w:tcPr>
          <w:p w14:paraId="5DA5520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在本项目中担任职务</w:t>
            </w:r>
          </w:p>
        </w:tc>
      </w:tr>
      <w:tr w14:paraId="1F816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6" w:type="pct"/>
            <w:noWrap w:val="0"/>
            <w:vAlign w:val="center"/>
          </w:tcPr>
          <w:p w14:paraId="3E3700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26" w:type="pct"/>
            <w:noWrap w:val="0"/>
            <w:vAlign w:val="center"/>
          </w:tcPr>
          <w:p w14:paraId="5555262A">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949E70D">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3851368B">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59B181F0">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5B113A8">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44E59F20">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326CB19">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02C2E086">
            <w:pPr>
              <w:widowControl/>
              <w:jc w:val="left"/>
              <w:rPr>
                <w:rFonts w:hint="eastAsia" w:ascii="宋体" w:hAnsi="宋体" w:eastAsia="宋体" w:cs="宋体"/>
                <w:color w:val="auto"/>
                <w:kern w:val="0"/>
                <w:sz w:val="21"/>
                <w:szCs w:val="21"/>
                <w:highlight w:val="none"/>
              </w:rPr>
            </w:pPr>
          </w:p>
        </w:tc>
      </w:tr>
      <w:tr w14:paraId="5C024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6" w:type="pct"/>
            <w:noWrap w:val="0"/>
            <w:vAlign w:val="center"/>
          </w:tcPr>
          <w:p w14:paraId="53884D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26" w:type="pct"/>
            <w:noWrap w:val="0"/>
            <w:vAlign w:val="center"/>
          </w:tcPr>
          <w:p w14:paraId="4C2E8A19">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3D03BB27">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5AF9DB7B">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6F133E5E">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4A4FE96">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6C38A63E">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4A8E1CC">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75F463D9">
            <w:pPr>
              <w:widowControl/>
              <w:jc w:val="left"/>
              <w:rPr>
                <w:rFonts w:hint="eastAsia" w:ascii="宋体" w:hAnsi="宋体" w:eastAsia="宋体" w:cs="宋体"/>
                <w:color w:val="auto"/>
                <w:kern w:val="0"/>
                <w:sz w:val="21"/>
                <w:szCs w:val="21"/>
                <w:highlight w:val="none"/>
              </w:rPr>
            </w:pPr>
          </w:p>
        </w:tc>
      </w:tr>
      <w:tr w14:paraId="5626E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6" w:type="pct"/>
            <w:noWrap w:val="0"/>
            <w:vAlign w:val="center"/>
          </w:tcPr>
          <w:p w14:paraId="17D6D7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26" w:type="pct"/>
            <w:noWrap w:val="0"/>
            <w:vAlign w:val="center"/>
          </w:tcPr>
          <w:p w14:paraId="579C6DDC">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2599B3DF">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2A3904A6">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767D7D1A">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37B0D52D">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43F58548">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E067F6A">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78BA517">
            <w:pPr>
              <w:widowControl/>
              <w:jc w:val="left"/>
              <w:rPr>
                <w:rFonts w:hint="eastAsia" w:ascii="宋体" w:hAnsi="宋体" w:eastAsia="宋体" w:cs="宋体"/>
                <w:color w:val="auto"/>
                <w:kern w:val="0"/>
                <w:sz w:val="21"/>
                <w:szCs w:val="21"/>
                <w:highlight w:val="none"/>
              </w:rPr>
            </w:pPr>
          </w:p>
        </w:tc>
      </w:tr>
      <w:tr w14:paraId="06696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65BB49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26" w:type="pct"/>
            <w:noWrap w:val="0"/>
            <w:vAlign w:val="center"/>
          </w:tcPr>
          <w:p w14:paraId="759EF655">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58991EB">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55A09F8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9CC615D">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C80C7E0">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27167B6">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2EDA1E21">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4E47765F">
            <w:pPr>
              <w:widowControl/>
              <w:jc w:val="left"/>
              <w:rPr>
                <w:rFonts w:hint="eastAsia" w:ascii="宋体" w:hAnsi="宋体" w:eastAsia="宋体" w:cs="宋体"/>
                <w:color w:val="auto"/>
                <w:kern w:val="0"/>
                <w:sz w:val="21"/>
                <w:szCs w:val="21"/>
                <w:highlight w:val="none"/>
              </w:rPr>
            </w:pPr>
          </w:p>
        </w:tc>
      </w:tr>
      <w:tr w14:paraId="6E9C1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208720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26" w:type="pct"/>
            <w:noWrap w:val="0"/>
            <w:vAlign w:val="center"/>
          </w:tcPr>
          <w:p w14:paraId="72E19117">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4F1F439">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6E380A20">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E38F0AC">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F6C1D6F">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CFF252B">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6D0AC85">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917723B">
            <w:pPr>
              <w:widowControl/>
              <w:jc w:val="left"/>
              <w:rPr>
                <w:rFonts w:hint="eastAsia" w:ascii="宋体" w:hAnsi="宋体" w:eastAsia="宋体" w:cs="宋体"/>
                <w:color w:val="auto"/>
                <w:kern w:val="0"/>
                <w:sz w:val="21"/>
                <w:szCs w:val="21"/>
                <w:highlight w:val="none"/>
              </w:rPr>
            </w:pPr>
          </w:p>
        </w:tc>
      </w:tr>
      <w:tr w14:paraId="7C2E5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72D16E4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26" w:type="pct"/>
            <w:noWrap w:val="0"/>
            <w:vAlign w:val="center"/>
          </w:tcPr>
          <w:p w14:paraId="3E19428C">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93B3154">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3C4FF45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8C5BD7C">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D6737F0">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2DAC0F91">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5D7BEF5">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66ADB946">
            <w:pPr>
              <w:widowControl/>
              <w:jc w:val="left"/>
              <w:rPr>
                <w:rFonts w:hint="eastAsia" w:ascii="宋体" w:hAnsi="宋体" w:eastAsia="宋体" w:cs="宋体"/>
                <w:color w:val="auto"/>
                <w:kern w:val="0"/>
                <w:sz w:val="21"/>
                <w:szCs w:val="21"/>
                <w:highlight w:val="none"/>
              </w:rPr>
            </w:pPr>
          </w:p>
        </w:tc>
      </w:tr>
      <w:tr w14:paraId="0211A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1FB9C76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26" w:type="pct"/>
            <w:noWrap w:val="0"/>
            <w:vAlign w:val="center"/>
          </w:tcPr>
          <w:p w14:paraId="045ECB01">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0D200C2A">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155CFDFE">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346AE007">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41C0E503">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0B66BA3">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B61AAC8">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29237FB4">
            <w:pPr>
              <w:widowControl/>
              <w:jc w:val="left"/>
              <w:rPr>
                <w:rFonts w:hint="eastAsia" w:ascii="宋体" w:hAnsi="宋体" w:eastAsia="宋体" w:cs="宋体"/>
                <w:color w:val="auto"/>
                <w:kern w:val="0"/>
                <w:sz w:val="21"/>
                <w:szCs w:val="21"/>
                <w:highlight w:val="none"/>
              </w:rPr>
            </w:pPr>
          </w:p>
        </w:tc>
      </w:tr>
      <w:tr w14:paraId="5341E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38BE3E8F">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5DA53683">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15EB131B">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422D69F9">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05C8FC8">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0030415">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589DEEFC">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38C205E">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1CB34DE8">
            <w:pPr>
              <w:widowControl/>
              <w:jc w:val="left"/>
              <w:rPr>
                <w:rFonts w:hint="eastAsia" w:ascii="宋体" w:hAnsi="宋体" w:eastAsia="宋体" w:cs="宋体"/>
                <w:color w:val="auto"/>
                <w:kern w:val="0"/>
                <w:sz w:val="21"/>
                <w:szCs w:val="21"/>
                <w:highlight w:val="none"/>
              </w:rPr>
            </w:pPr>
          </w:p>
        </w:tc>
      </w:tr>
      <w:tr w14:paraId="5142E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641B976B">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3B6D9DE1">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86853B3">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00A3A2DE">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53715EB6">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7850AA58">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8304E61">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2DE79852">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B09FECB">
            <w:pPr>
              <w:widowControl/>
              <w:jc w:val="left"/>
              <w:rPr>
                <w:rFonts w:hint="eastAsia" w:ascii="宋体" w:hAnsi="宋体" w:eastAsia="宋体" w:cs="宋体"/>
                <w:color w:val="auto"/>
                <w:kern w:val="0"/>
                <w:sz w:val="21"/>
                <w:szCs w:val="21"/>
                <w:highlight w:val="none"/>
              </w:rPr>
            </w:pPr>
          </w:p>
        </w:tc>
      </w:tr>
      <w:tr w14:paraId="61E44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131E7E37">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664CC6BF">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2400E177">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7D02F82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3E19AC78">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3F4EF355">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315ED455">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3B012D43">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7CC73E32">
            <w:pPr>
              <w:widowControl/>
              <w:jc w:val="left"/>
              <w:rPr>
                <w:rFonts w:hint="eastAsia" w:ascii="宋体" w:hAnsi="宋体" w:eastAsia="宋体" w:cs="宋体"/>
                <w:color w:val="auto"/>
                <w:kern w:val="0"/>
                <w:sz w:val="21"/>
                <w:szCs w:val="21"/>
                <w:highlight w:val="none"/>
              </w:rPr>
            </w:pPr>
          </w:p>
        </w:tc>
      </w:tr>
      <w:tr w14:paraId="65072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5338185D">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50856640">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D382830">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0C1ED22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04F29D3F">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1425CD85">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6489FEF4">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0C6669B5">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AF74EF3">
            <w:pPr>
              <w:widowControl/>
              <w:jc w:val="left"/>
              <w:rPr>
                <w:rFonts w:hint="eastAsia" w:ascii="宋体" w:hAnsi="宋体" w:eastAsia="宋体" w:cs="宋体"/>
                <w:color w:val="auto"/>
                <w:kern w:val="0"/>
                <w:sz w:val="21"/>
                <w:szCs w:val="21"/>
                <w:highlight w:val="none"/>
              </w:rPr>
            </w:pPr>
          </w:p>
        </w:tc>
      </w:tr>
    </w:tbl>
    <w:p w14:paraId="4DA94749">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p>
    <w:p w14:paraId="3CFE9342">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3E6B0FBD">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1.上表列出的人员，需附其资格证书的扫描件。</w:t>
      </w:r>
    </w:p>
    <w:p w14:paraId="49362160">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2.竞争性磋商文件中要求提供上述人员在本单位服务的证明或其他材料的，应按要求在本表后提供。</w:t>
      </w:r>
    </w:p>
    <w:p w14:paraId="7CA77F2B">
      <w:pPr>
        <w:keepNext w:val="0"/>
        <w:keepLines w:val="0"/>
        <w:pageBreakBefore w:val="0"/>
        <w:kinsoku/>
        <w:wordWrap/>
        <w:overflowPunct/>
        <w:topLinePunct w:val="0"/>
        <w:autoSpaceDE w:val="0"/>
        <w:autoSpaceDN w:val="0"/>
        <w:bidi w:val="0"/>
        <w:adjustRightInd w:val="0"/>
        <w:spacing w:before="156" w:beforeLines="50" w:after="156" w:afterLines="50"/>
        <w:ind w:firstLine="420" w:firstLineChars="200"/>
        <w:jc w:val="center"/>
        <w:textAlignment w:val="auto"/>
        <w:rPr>
          <w:rFonts w:hint="eastAsia" w:asciiTheme="minorEastAsia" w:hAnsiTheme="minorEastAsia" w:eastAsiaTheme="minorEastAsia" w:cstheme="minorEastAsia"/>
          <w:color w:val="auto"/>
          <w:kern w:val="0"/>
          <w:sz w:val="21"/>
          <w:szCs w:val="21"/>
          <w:highlight w:val="none"/>
        </w:rPr>
      </w:pPr>
    </w:p>
    <w:p w14:paraId="7056F4D1">
      <w:pPr>
        <w:keepNext w:val="0"/>
        <w:keepLines w:val="0"/>
        <w:pageBreakBefore w:val="0"/>
        <w:kinsoku/>
        <w:wordWrap/>
        <w:overflowPunct/>
        <w:topLinePunct w:val="0"/>
        <w:bidi w:val="0"/>
        <w:adjustRightInd w:val="0"/>
        <w:snapToGrid w:val="0"/>
        <w:ind w:firstLine="480" w:firstLineChars="200"/>
        <w:textAlignment w:val="auto"/>
        <w:outlineLvl w:val="0"/>
        <w:rPr>
          <w:rFonts w:hint="eastAsia" w:asciiTheme="minorEastAsia" w:hAnsiTheme="minorEastAsia" w:eastAsiaTheme="minorEastAsia" w:cstheme="minorEastAsia"/>
          <w:color w:val="auto"/>
          <w:sz w:val="24"/>
          <w:szCs w:val="24"/>
          <w:highlight w:val="none"/>
        </w:rPr>
      </w:pPr>
    </w:p>
    <w:p w14:paraId="0142A492">
      <w:pPr>
        <w:numPr>
          <w:ilvl w:val="0"/>
          <w:numId w:val="0"/>
        </w:numPr>
        <w:jc w:val="center"/>
        <w:outlineLvl w:val="2"/>
        <w:rPr>
          <w:rFonts w:hint="eastAsia" w:ascii="Times New Roman" w:hAnsi="宋体" w:eastAsia="宋体" w:cs="Times New Roman"/>
          <w:b/>
          <w:bCs/>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582981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2"/>
        <w:rPr>
          <w:rFonts w:hint="eastAsia" w:ascii="Times New Roman" w:hAnsi="宋体" w:eastAsia="宋体" w:cs="Times New Roman"/>
          <w:b/>
          <w:bCs/>
          <w:color w:val="auto"/>
          <w:sz w:val="28"/>
          <w:szCs w:val="28"/>
          <w:highlight w:val="none"/>
        </w:rPr>
      </w:pPr>
      <w:r>
        <w:rPr>
          <w:rFonts w:hint="eastAsia" w:ascii="Times New Roman" w:hAnsi="宋体" w:eastAsia="宋体" w:cs="Times New Roman"/>
          <w:b/>
          <w:bCs/>
          <w:color w:val="auto"/>
          <w:sz w:val="28"/>
          <w:szCs w:val="28"/>
          <w:highlight w:val="none"/>
        </w:rPr>
        <w:t>中小企业声明函</w:t>
      </w:r>
    </w:p>
    <w:p w14:paraId="3A31ACD8">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Times New Roman" w:hAnsi="宋体" w:eastAsia="宋体" w:cs="Times New Roman"/>
          <w:color w:val="auto"/>
          <w:sz w:val="24"/>
          <w:szCs w:val="24"/>
        </w:rPr>
      </w:pPr>
      <w:bookmarkStart w:id="146" w:name="_Toc6491"/>
      <w:bookmarkStart w:id="147" w:name="_Toc23405"/>
      <w:bookmarkStart w:id="148" w:name="_Toc13936"/>
      <w:bookmarkStart w:id="149" w:name="_Toc28161"/>
      <w:bookmarkStart w:id="150" w:name="_Toc2876"/>
      <w:r>
        <w:rPr>
          <w:rFonts w:hint="eastAsia" w:ascii="宋体" w:hAnsi="宋体" w:cs="宋体"/>
          <w:color w:val="auto"/>
          <w:kern w:val="0"/>
          <w:sz w:val="22"/>
          <w:szCs w:val="22"/>
          <w:lang w:val="en-US" w:eastAsia="zh-CN" w:bidi="ar"/>
        </w:rPr>
        <w:t>（一）</w:t>
      </w:r>
      <w:r>
        <w:rPr>
          <w:rFonts w:hint="eastAsia" w:ascii="Times New Roman" w:hAnsi="宋体" w:eastAsia="宋体" w:cs="Times New Roman"/>
          <w:color w:val="auto"/>
          <w:sz w:val="24"/>
          <w:szCs w:val="24"/>
        </w:rPr>
        <w:t>中小企业声明函（工程、服务）</w:t>
      </w:r>
      <w:bookmarkEnd w:id="146"/>
      <w:bookmarkEnd w:id="147"/>
      <w:bookmarkEnd w:id="148"/>
      <w:bookmarkEnd w:id="149"/>
      <w:bookmarkEnd w:id="150"/>
    </w:p>
    <w:p w14:paraId="0968B281">
      <w:pPr>
        <w:spacing w:after="120" w:line="360" w:lineRule="auto"/>
        <w:ind w:right="415" w:firstLine="640"/>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431D9922">
      <w:pPr>
        <w:spacing w:after="120" w:line="360" w:lineRule="auto"/>
        <w:ind w:right="415"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ab/>
      </w:r>
      <w:r>
        <w:rPr>
          <w:rFonts w:hint="eastAsia" w:ascii="宋体" w:hAnsi="宋体" w:cs="宋体"/>
          <w:color w:val="auto"/>
          <w:szCs w:val="21"/>
        </w:rPr>
        <w:t>人，营业收入为</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ab/>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261E120F">
      <w:pPr>
        <w:tabs>
          <w:tab w:val="left" w:pos="1243"/>
          <w:tab w:val="left" w:pos="1806"/>
          <w:tab w:val="left" w:pos="5005"/>
          <w:tab w:val="left" w:pos="7213"/>
        </w:tabs>
        <w:spacing w:line="360" w:lineRule="auto"/>
        <w:ind w:right="258" w:firstLine="420" w:firstLineChars="200"/>
        <w:rPr>
          <w:rFonts w:ascii="宋体" w:hAnsi="宋体" w:cs="宋体"/>
          <w:color w:val="auto"/>
          <w:szCs w:val="21"/>
        </w:rPr>
      </w:pPr>
      <w:r>
        <w:rPr>
          <w:rFonts w:hint="eastAsia" w:ascii="宋体" w:hAnsi="宋体" w:cs="宋体"/>
          <w:color w:val="auto"/>
          <w:szCs w:val="21"/>
          <w:u w:val="single"/>
        </w:rPr>
        <w:t>2.（标的名称）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ab/>
      </w:r>
      <w:r>
        <w:rPr>
          <w:rFonts w:hint="eastAsia" w:ascii="宋体" w:hAnsi="宋体" w:cs="宋体"/>
          <w:color w:val="auto"/>
          <w:szCs w:val="21"/>
        </w:rPr>
        <w:t>人，营业收入为</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ab/>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7BBB321C">
      <w:pPr>
        <w:spacing w:before="11" w:after="120" w:line="360" w:lineRule="auto"/>
        <w:ind w:left="860"/>
        <w:rPr>
          <w:rFonts w:ascii="宋体" w:hAnsi="宋体" w:cs="宋体"/>
          <w:color w:val="auto"/>
          <w:szCs w:val="21"/>
        </w:rPr>
      </w:pPr>
      <w:r>
        <w:rPr>
          <w:rFonts w:hint="eastAsia" w:ascii="宋体" w:hAnsi="宋体" w:cs="宋体"/>
          <w:color w:val="auto"/>
          <w:szCs w:val="21"/>
        </w:rPr>
        <w:t>……</w:t>
      </w:r>
    </w:p>
    <w:p w14:paraId="5FBAA5AA">
      <w:pPr>
        <w:spacing w:before="108" w:after="120" w:line="360" w:lineRule="auto"/>
        <w:ind w:right="417" w:firstLine="645"/>
        <w:rPr>
          <w:rFonts w:ascii="宋体" w:hAnsi="宋体" w:cs="宋体"/>
          <w:color w:val="auto"/>
          <w:szCs w:val="21"/>
        </w:rPr>
      </w:pPr>
      <w:r>
        <w:rPr>
          <w:rFonts w:hint="eastAsia" w:ascii="宋体" w:hAnsi="宋体" w:cs="宋体"/>
          <w:color w:val="auto"/>
          <w:spacing w:val="-3"/>
          <w:szCs w:val="21"/>
        </w:rPr>
        <w:t>以上企业，不属于大企业的分支机构，不存在控股股东</w:t>
      </w:r>
      <w:r>
        <w:rPr>
          <w:rFonts w:hint="eastAsia" w:ascii="宋体" w:hAnsi="宋体" w:cs="宋体"/>
          <w:color w:val="auto"/>
          <w:spacing w:val="-5"/>
          <w:szCs w:val="21"/>
        </w:rPr>
        <w:t>为大企业的情形，也不存在与大企业的负责人为同一人的情形。</w:t>
      </w:r>
    </w:p>
    <w:p w14:paraId="6FE1BEF6">
      <w:pPr>
        <w:spacing w:after="120" w:line="360" w:lineRule="auto"/>
        <w:ind w:right="375" w:firstLine="64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73DBFBC5">
      <w:pPr>
        <w:adjustRightInd w:val="0"/>
        <w:snapToGrid w:val="0"/>
        <w:spacing w:line="300" w:lineRule="auto"/>
        <w:ind w:firstLine="5418" w:firstLineChars="2100"/>
        <w:rPr>
          <w:rFonts w:ascii="宋体" w:hAnsi="宋体" w:cs="宋体"/>
          <w:color w:val="auto"/>
          <w:spacing w:val="24"/>
          <w:szCs w:val="21"/>
        </w:rPr>
      </w:pPr>
      <w:r>
        <w:rPr>
          <w:rFonts w:hint="eastAsia" w:ascii="宋体" w:hAnsi="宋体" w:cs="宋体"/>
          <w:color w:val="auto"/>
          <w:spacing w:val="24"/>
          <w:szCs w:val="21"/>
        </w:rPr>
        <w:t>企业名称（盖章）：</w:t>
      </w:r>
    </w:p>
    <w:p w14:paraId="2D148147">
      <w:pPr>
        <w:adjustRightInd w:val="0"/>
        <w:snapToGrid w:val="0"/>
        <w:spacing w:line="300" w:lineRule="auto"/>
        <w:ind w:firstLine="516" w:firstLineChars="200"/>
        <w:rPr>
          <w:rFonts w:ascii="宋体" w:hAnsi="宋体" w:cs="宋体"/>
          <w:color w:val="auto"/>
          <w:spacing w:val="24"/>
          <w:szCs w:val="21"/>
        </w:rPr>
      </w:pPr>
    </w:p>
    <w:p w14:paraId="123A9035">
      <w:pPr>
        <w:spacing w:line="440" w:lineRule="exact"/>
        <w:ind w:firstLine="516" w:firstLineChars="20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pacing w:val="24"/>
          <w:szCs w:val="21"/>
          <w:lang w:val="en-US" w:eastAsia="zh-CN"/>
        </w:rPr>
        <w:t xml:space="preserve">                   </w:t>
      </w:r>
      <w:r>
        <w:rPr>
          <w:rFonts w:hint="eastAsia" w:ascii="宋体" w:hAnsi="宋体" w:cs="宋体"/>
          <w:color w:val="auto"/>
          <w:spacing w:val="24"/>
          <w:szCs w:val="21"/>
        </w:rPr>
        <w:t>日期：</w:t>
      </w:r>
    </w:p>
    <w:p w14:paraId="2DC236E7">
      <w:pPr>
        <w:keepNext w:val="0"/>
        <w:keepLines w:val="0"/>
        <w:pageBreakBefore w:val="0"/>
        <w:widowControl/>
        <w:kinsoku/>
        <w:wordWrap/>
        <w:overflowPunct/>
        <w:topLinePunct w:val="0"/>
        <w:autoSpaceDE/>
        <w:autoSpaceDN/>
        <w:bidi w:val="0"/>
        <w:adjustRightInd w:val="0"/>
        <w:snapToGrid w:val="0"/>
        <w:spacing w:line="360" w:lineRule="auto"/>
        <w:ind w:right="0"/>
        <w:jc w:val="both"/>
        <w:textAlignment w:val="auto"/>
        <w:rPr>
          <w:rFonts w:hint="eastAsia" w:hAnsi="宋体"/>
          <w:color w:val="auto"/>
          <w:sz w:val="16"/>
          <w:szCs w:val="16"/>
        </w:rPr>
      </w:pPr>
    </w:p>
    <w:p w14:paraId="68B91100">
      <w:pPr>
        <w:spacing w:line="440" w:lineRule="exact"/>
        <w:rPr>
          <w:rFonts w:hint="eastAsia" w:ascii="宋体" w:hAnsi="宋体" w:eastAsia="宋体" w:cs="宋体"/>
          <w:color w:val="auto"/>
          <w:highlight w:val="none"/>
          <w:lang w:val="en-US" w:eastAsia="zh-CN"/>
        </w:rPr>
      </w:pPr>
    </w:p>
    <w:p w14:paraId="5EB73116">
      <w:pPr>
        <w:spacing w:line="440" w:lineRule="exact"/>
        <w:rPr>
          <w:rFonts w:hint="eastAsia" w:ascii="宋体" w:hAnsi="宋体" w:eastAsia="宋体" w:cs="宋体"/>
          <w:color w:val="auto"/>
          <w:sz w:val="18"/>
          <w:szCs w:val="1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18"/>
          <w:szCs w:val="18"/>
          <w:highlight w:val="none"/>
          <w:lang w:val="en-US" w:eastAsia="zh-CN"/>
        </w:rPr>
        <w:t>1.从业人员、营业收入、资产总额填报上一年度数据，无上一年度数据的新成立企业可不填报。</w:t>
      </w:r>
    </w:p>
    <w:p w14:paraId="2FF304F2">
      <w:pPr>
        <w:keepNext w:val="0"/>
        <w:keepLines w:val="0"/>
        <w:pageBreakBefore w:val="0"/>
        <w:widowControl w:val="0"/>
        <w:kinsoku/>
        <w:wordWrap/>
        <w:overflowPunct/>
        <w:topLinePunct w:val="0"/>
        <w:autoSpaceDE/>
        <w:autoSpaceDN/>
        <w:bidi w:val="0"/>
        <w:adjustRightInd/>
        <w:snapToGrid/>
        <w:spacing w:line="360" w:lineRule="auto"/>
        <w:ind w:right="-65" w:rightChars="-31"/>
        <w:jc w:val="center"/>
        <w:textAlignment w:val="auto"/>
        <w:rPr>
          <w:rFonts w:ascii="宋体" w:hAnsi="宋体" w:cs="宋体"/>
          <w:b/>
          <w:color w:val="auto"/>
          <w:sz w:val="30"/>
          <w:szCs w:val="30"/>
        </w:rPr>
      </w:pPr>
      <w:r>
        <w:rPr>
          <w:rFonts w:hint="eastAsia" w:hAnsi="宋体"/>
          <w:color w:val="auto"/>
          <w:sz w:val="28"/>
          <w:szCs w:val="28"/>
        </w:rPr>
        <w:t>（二）中小企业划型标准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381"/>
        <w:gridCol w:w="713"/>
        <w:gridCol w:w="1134"/>
        <w:gridCol w:w="1717"/>
        <w:gridCol w:w="1438"/>
        <w:gridCol w:w="1000"/>
      </w:tblGrid>
      <w:tr w14:paraId="34B8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134" w:type="dxa"/>
            <w:vAlign w:val="center"/>
          </w:tcPr>
          <w:p w14:paraId="547859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21"/>
              </w:rPr>
            </w:pPr>
            <w:r>
              <w:rPr>
                <w:rFonts w:hint="eastAsia" w:ascii="宋体" w:hAnsi="宋体" w:cs="宋体"/>
                <w:color w:val="auto"/>
                <w:sz w:val="18"/>
                <w:szCs w:val="21"/>
              </w:rPr>
              <w:t>行业名称</w:t>
            </w:r>
          </w:p>
        </w:tc>
        <w:tc>
          <w:tcPr>
            <w:tcW w:w="1381" w:type="dxa"/>
            <w:vAlign w:val="center"/>
          </w:tcPr>
          <w:p w14:paraId="7A17D3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指标名称</w:t>
            </w:r>
          </w:p>
        </w:tc>
        <w:tc>
          <w:tcPr>
            <w:tcW w:w="713" w:type="dxa"/>
            <w:vAlign w:val="center"/>
          </w:tcPr>
          <w:p w14:paraId="2770F8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计量单位</w:t>
            </w:r>
          </w:p>
        </w:tc>
        <w:tc>
          <w:tcPr>
            <w:tcW w:w="1134" w:type="dxa"/>
            <w:vAlign w:val="center"/>
          </w:tcPr>
          <w:p w14:paraId="14DE7A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大型</w:t>
            </w:r>
          </w:p>
        </w:tc>
        <w:tc>
          <w:tcPr>
            <w:tcW w:w="1717" w:type="dxa"/>
            <w:vAlign w:val="center"/>
          </w:tcPr>
          <w:p w14:paraId="0E00592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中型</w:t>
            </w:r>
          </w:p>
        </w:tc>
        <w:tc>
          <w:tcPr>
            <w:tcW w:w="1438" w:type="dxa"/>
            <w:vAlign w:val="center"/>
          </w:tcPr>
          <w:p w14:paraId="5F8A4F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小型</w:t>
            </w:r>
          </w:p>
        </w:tc>
        <w:tc>
          <w:tcPr>
            <w:tcW w:w="1000" w:type="dxa"/>
            <w:vAlign w:val="center"/>
          </w:tcPr>
          <w:p w14:paraId="1D3EAF3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微型</w:t>
            </w:r>
          </w:p>
        </w:tc>
      </w:tr>
      <w:tr w14:paraId="1E9E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Align w:val="center"/>
          </w:tcPr>
          <w:p w14:paraId="38D05EF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农、林、牧、渔业</w:t>
            </w:r>
          </w:p>
        </w:tc>
        <w:tc>
          <w:tcPr>
            <w:tcW w:w="1381" w:type="dxa"/>
            <w:vAlign w:val="center"/>
          </w:tcPr>
          <w:p w14:paraId="00F582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548DD92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7780BC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Y≥20000</w:t>
            </w:r>
          </w:p>
        </w:tc>
        <w:tc>
          <w:tcPr>
            <w:tcW w:w="1717" w:type="dxa"/>
            <w:vAlign w:val="center"/>
          </w:tcPr>
          <w:p w14:paraId="5381595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500≤Y＜20000</w:t>
            </w:r>
          </w:p>
        </w:tc>
        <w:tc>
          <w:tcPr>
            <w:tcW w:w="1438" w:type="dxa"/>
            <w:vAlign w:val="center"/>
          </w:tcPr>
          <w:p w14:paraId="761B8BA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50≤Y＜500</w:t>
            </w:r>
          </w:p>
        </w:tc>
        <w:tc>
          <w:tcPr>
            <w:tcW w:w="1000" w:type="dxa"/>
            <w:vAlign w:val="center"/>
          </w:tcPr>
          <w:p w14:paraId="5B4E34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w:t>
            </w:r>
          </w:p>
        </w:tc>
      </w:tr>
      <w:tr w14:paraId="611F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7C7D959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工业 *</w:t>
            </w:r>
          </w:p>
        </w:tc>
        <w:tc>
          <w:tcPr>
            <w:tcW w:w="1381" w:type="dxa"/>
            <w:vAlign w:val="center"/>
          </w:tcPr>
          <w:p w14:paraId="0B04FE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30A73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17BB30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00A2542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71BA5FC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20≤X＜300</w:t>
            </w:r>
          </w:p>
        </w:tc>
        <w:tc>
          <w:tcPr>
            <w:tcW w:w="1000" w:type="dxa"/>
            <w:vAlign w:val="center"/>
          </w:tcPr>
          <w:p w14:paraId="49B6B7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4D01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0DDA2A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A814C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3A1B25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796E56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Y≥40000</w:t>
            </w:r>
          </w:p>
        </w:tc>
        <w:tc>
          <w:tcPr>
            <w:tcW w:w="1717" w:type="dxa"/>
            <w:vAlign w:val="center"/>
          </w:tcPr>
          <w:p w14:paraId="06D7C38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2000≤Y＜40000</w:t>
            </w:r>
          </w:p>
        </w:tc>
        <w:tc>
          <w:tcPr>
            <w:tcW w:w="1438" w:type="dxa"/>
            <w:vAlign w:val="center"/>
          </w:tcPr>
          <w:p w14:paraId="6E9502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300≤Y＜2000</w:t>
            </w:r>
          </w:p>
        </w:tc>
        <w:tc>
          <w:tcPr>
            <w:tcW w:w="1000" w:type="dxa"/>
            <w:vAlign w:val="center"/>
          </w:tcPr>
          <w:p w14:paraId="41C9EFA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w:t>
            </w:r>
          </w:p>
        </w:tc>
      </w:tr>
      <w:tr w14:paraId="7C0D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4698CB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建筑业</w:t>
            </w:r>
          </w:p>
        </w:tc>
        <w:tc>
          <w:tcPr>
            <w:tcW w:w="1381" w:type="dxa"/>
            <w:vAlign w:val="center"/>
          </w:tcPr>
          <w:p w14:paraId="02CAF5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0A681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686D7C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Y≥80000</w:t>
            </w:r>
          </w:p>
        </w:tc>
        <w:tc>
          <w:tcPr>
            <w:tcW w:w="1717" w:type="dxa"/>
            <w:vAlign w:val="center"/>
          </w:tcPr>
          <w:p w14:paraId="47EE00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6000≤Y＜80000</w:t>
            </w:r>
          </w:p>
        </w:tc>
        <w:tc>
          <w:tcPr>
            <w:tcW w:w="1438" w:type="dxa"/>
            <w:vAlign w:val="center"/>
          </w:tcPr>
          <w:p w14:paraId="4B9DC4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300≤Y＜6000</w:t>
            </w:r>
          </w:p>
        </w:tc>
        <w:tc>
          <w:tcPr>
            <w:tcW w:w="1000" w:type="dxa"/>
            <w:vAlign w:val="center"/>
          </w:tcPr>
          <w:p w14:paraId="706AE0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w:t>
            </w:r>
          </w:p>
        </w:tc>
      </w:tr>
      <w:tr w14:paraId="37AB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6A4014D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A8847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15A2E40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62CB15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Z≥80000</w:t>
            </w:r>
          </w:p>
        </w:tc>
        <w:tc>
          <w:tcPr>
            <w:tcW w:w="1717" w:type="dxa"/>
            <w:vAlign w:val="center"/>
          </w:tcPr>
          <w:p w14:paraId="49285A1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5000≤Z＜80000</w:t>
            </w:r>
          </w:p>
        </w:tc>
        <w:tc>
          <w:tcPr>
            <w:tcW w:w="1438" w:type="dxa"/>
            <w:vAlign w:val="center"/>
          </w:tcPr>
          <w:p w14:paraId="5E8B67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300≤Z＜5000</w:t>
            </w:r>
          </w:p>
        </w:tc>
        <w:tc>
          <w:tcPr>
            <w:tcW w:w="1000" w:type="dxa"/>
            <w:vAlign w:val="center"/>
          </w:tcPr>
          <w:p w14:paraId="5FA50F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Z＜300</w:t>
            </w:r>
          </w:p>
        </w:tc>
      </w:tr>
      <w:tr w14:paraId="42E2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5AA9ABD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批发业</w:t>
            </w:r>
          </w:p>
        </w:tc>
        <w:tc>
          <w:tcPr>
            <w:tcW w:w="1381" w:type="dxa"/>
            <w:vAlign w:val="center"/>
          </w:tcPr>
          <w:p w14:paraId="74DFD5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7844630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08C669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X≥200</w:t>
            </w:r>
          </w:p>
        </w:tc>
        <w:tc>
          <w:tcPr>
            <w:tcW w:w="1717" w:type="dxa"/>
            <w:vAlign w:val="center"/>
          </w:tcPr>
          <w:p w14:paraId="31F9D4F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20≤X＜200</w:t>
            </w:r>
          </w:p>
        </w:tc>
        <w:tc>
          <w:tcPr>
            <w:tcW w:w="1438" w:type="dxa"/>
            <w:vAlign w:val="center"/>
          </w:tcPr>
          <w:p w14:paraId="126D77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5≤X＜20</w:t>
            </w:r>
          </w:p>
        </w:tc>
        <w:tc>
          <w:tcPr>
            <w:tcW w:w="1000" w:type="dxa"/>
            <w:vAlign w:val="center"/>
          </w:tcPr>
          <w:p w14:paraId="5BF0D8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X＜5</w:t>
            </w:r>
          </w:p>
        </w:tc>
      </w:tr>
      <w:tr w14:paraId="5C92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515CA4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DAACA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391387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47F0EFC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Y≥40000</w:t>
            </w:r>
          </w:p>
        </w:tc>
        <w:tc>
          <w:tcPr>
            <w:tcW w:w="1717" w:type="dxa"/>
            <w:vAlign w:val="center"/>
          </w:tcPr>
          <w:p w14:paraId="4E2F8CB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5000≤Y＜40000</w:t>
            </w:r>
          </w:p>
        </w:tc>
        <w:tc>
          <w:tcPr>
            <w:tcW w:w="1438" w:type="dxa"/>
            <w:vAlign w:val="center"/>
          </w:tcPr>
          <w:p w14:paraId="42B713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1000≤Y＜5000</w:t>
            </w:r>
          </w:p>
        </w:tc>
        <w:tc>
          <w:tcPr>
            <w:tcW w:w="1000" w:type="dxa"/>
            <w:vAlign w:val="center"/>
          </w:tcPr>
          <w:p w14:paraId="041002D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w:t>
            </w:r>
          </w:p>
        </w:tc>
      </w:tr>
      <w:tr w14:paraId="4CA8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4F8241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零售业</w:t>
            </w:r>
          </w:p>
        </w:tc>
        <w:tc>
          <w:tcPr>
            <w:tcW w:w="1381" w:type="dxa"/>
            <w:vAlign w:val="center"/>
          </w:tcPr>
          <w:p w14:paraId="6336C2C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53CB37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1D3541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49E887D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50≤X＜300</w:t>
            </w:r>
          </w:p>
        </w:tc>
        <w:tc>
          <w:tcPr>
            <w:tcW w:w="1438" w:type="dxa"/>
            <w:vAlign w:val="center"/>
          </w:tcPr>
          <w:p w14:paraId="0255CA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10≤X＜50 </w:t>
            </w:r>
          </w:p>
        </w:tc>
        <w:tc>
          <w:tcPr>
            <w:tcW w:w="1000" w:type="dxa"/>
            <w:vAlign w:val="center"/>
          </w:tcPr>
          <w:p w14:paraId="33A4EC8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1FFA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192CE2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0E45750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94C463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2C72C46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Y≥20000</w:t>
            </w:r>
          </w:p>
        </w:tc>
        <w:tc>
          <w:tcPr>
            <w:tcW w:w="1717" w:type="dxa"/>
            <w:vAlign w:val="center"/>
          </w:tcPr>
          <w:p w14:paraId="67F22B6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500≤Y＜20000</w:t>
            </w:r>
          </w:p>
        </w:tc>
        <w:tc>
          <w:tcPr>
            <w:tcW w:w="1438" w:type="dxa"/>
            <w:vAlign w:val="center"/>
          </w:tcPr>
          <w:p w14:paraId="69B1A1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100≤Y＜500 </w:t>
            </w:r>
          </w:p>
        </w:tc>
        <w:tc>
          <w:tcPr>
            <w:tcW w:w="1000" w:type="dxa"/>
            <w:vAlign w:val="center"/>
          </w:tcPr>
          <w:p w14:paraId="0F1BF7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B86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236B338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交通运输业 *</w:t>
            </w:r>
          </w:p>
        </w:tc>
        <w:tc>
          <w:tcPr>
            <w:tcW w:w="1381" w:type="dxa"/>
            <w:vAlign w:val="center"/>
          </w:tcPr>
          <w:p w14:paraId="7C93DB1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04E95F9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3AF4D0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290C7B5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364F1F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20≤X＜300</w:t>
            </w:r>
          </w:p>
        </w:tc>
        <w:tc>
          <w:tcPr>
            <w:tcW w:w="1000" w:type="dxa"/>
            <w:vAlign w:val="center"/>
          </w:tcPr>
          <w:p w14:paraId="66CCFF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23A2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488B11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00BCFB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690AED5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42E435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Y≥30000</w:t>
            </w:r>
          </w:p>
        </w:tc>
        <w:tc>
          <w:tcPr>
            <w:tcW w:w="1717" w:type="dxa"/>
            <w:vAlign w:val="center"/>
          </w:tcPr>
          <w:p w14:paraId="704D785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3000≤Y＜30000</w:t>
            </w:r>
          </w:p>
        </w:tc>
        <w:tc>
          <w:tcPr>
            <w:tcW w:w="1438" w:type="dxa"/>
            <w:vAlign w:val="center"/>
          </w:tcPr>
          <w:p w14:paraId="2716CC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200≤Y＜3000</w:t>
            </w:r>
          </w:p>
        </w:tc>
        <w:tc>
          <w:tcPr>
            <w:tcW w:w="1000" w:type="dxa"/>
            <w:vAlign w:val="center"/>
          </w:tcPr>
          <w:p w14:paraId="3F946D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w:t>
            </w:r>
          </w:p>
        </w:tc>
      </w:tr>
      <w:tr w14:paraId="2BC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355F279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仓储业*</w:t>
            </w:r>
          </w:p>
        </w:tc>
        <w:tc>
          <w:tcPr>
            <w:tcW w:w="1381" w:type="dxa"/>
            <w:vAlign w:val="center"/>
          </w:tcPr>
          <w:p w14:paraId="37B741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47FEBF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5E0C6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X≥200</w:t>
            </w:r>
          </w:p>
        </w:tc>
        <w:tc>
          <w:tcPr>
            <w:tcW w:w="1717" w:type="dxa"/>
            <w:vAlign w:val="center"/>
          </w:tcPr>
          <w:p w14:paraId="123A81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100≤X＜200</w:t>
            </w:r>
          </w:p>
        </w:tc>
        <w:tc>
          <w:tcPr>
            <w:tcW w:w="1438" w:type="dxa"/>
            <w:vAlign w:val="center"/>
          </w:tcPr>
          <w:p w14:paraId="67C6299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20≤X＜100</w:t>
            </w:r>
          </w:p>
        </w:tc>
        <w:tc>
          <w:tcPr>
            <w:tcW w:w="1000" w:type="dxa"/>
            <w:vAlign w:val="center"/>
          </w:tcPr>
          <w:p w14:paraId="1CEBAB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74CB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3A8038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DBF6E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3A6F6B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503C413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Y≥30000</w:t>
            </w:r>
          </w:p>
        </w:tc>
        <w:tc>
          <w:tcPr>
            <w:tcW w:w="1717" w:type="dxa"/>
            <w:vAlign w:val="center"/>
          </w:tcPr>
          <w:p w14:paraId="630E05A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1000≤Y＜30000</w:t>
            </w:r>
          </w:p>
        </w:tc>
        <w:tc>
          <w:tcPr>
            <w:tcW w:w="1438" w:type="dxa"/>
            <w:vAlign w:val="center"/>
          </w:tcPr>
          <w:p w14:paraId="29EA9CA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100≤Y＜1000</w:t>
            </w:r>
          </w:p>
        </w:tc>
        <w:tc>
          <w:tcPr>
            <w:tcW w:w="1000" w:type="dxa"/>
            <w:vAlign w:val="center"/>
          </w:tcPr>
          <w:p w14:paraId="5AFFF29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7629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29575D8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邮政业</w:t>
            </w:r>
          </w:p>
        </w:tc>
        <w:tc>
          <w:tcPr>
            <w:tcW w:w="1381" w:type="dxa"/>
            <w:vAlign w:val="center"/>
          </w:tcPr>
          <w:p w14:paraId="4FEDB6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75840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303473E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461CA1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0FA4C98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20≤X＜300</w:t>
            </w:r>
          </w:p>
        </w:tc>
        <w:tc>
          <w:tcPr>
            <w:tcW w:w="1000" w:type="dxa"/>
            <w:vAlign w:val="center"/>
          </w:tcPr>
          <w:p w14:paraId="5F6E81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183D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2DE754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1C09F9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00933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3052E3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Y≥30000</w:t>
            </w:r>
          </w:p>
        </w:tc>
        <w:tc>
          <w:tcPr>
            <w:tcW w:w="1717" w:type="dxa"/>
            <w:vAlign w:val="center"/>
          </w:tcPr>
          <w:p w14:paraId="4465DC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2000≤Y＜30000</w:t>
            </w:r>
          </w:p>
        </w:tc>
        <w:tc>
          <w:tcPr>
            <w:tcW w:w="1438" w:type="dxa"/>
            <w:vAlign w:val="center"/>
          </w:tcPr>
          <w:p w14:paraId="5E5A97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100≤Y＜2000</w:t>
            </w:r>
          </w:p>
        </w:tc>
        <w:tc>
          <w:tcPr>
            <w:tcW w:w="1000" w:type="dxa"/>
            <w:vAlign w:val="center"/>
          </w:tcPr>
          <w:p w14:paraId="2C6BE1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B4A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261056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住宿业</w:t>
            </w:r>
          </w:p>
        </w:tc>
        <w:tc>
          <w:tcPr>
            <w:tcW w:w="1381" w:type="dxa"/>
            <w:vAlign w:val="center"/>
          </w:tcPr>
          <w:p w14:paraId="725F00C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995A4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EA375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5921DAB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0756CF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0F60A9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44ED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4ACE698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8D9AB6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6DED822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52D8CE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w:t>
            </w:r>
          </w:p>
        </w:tc>
        <w:tc>
          <w:tcPr>
            <w:tcW w:w="1717" w:type="dxa"/>
            <w:vAlign w:val="center"/>
          </w:tcPr>
          <w:p w14:paraId="4B7BAB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2000≤Y＜10000</w:t>
            </w:r>
          </w:p>
        </w:tc>
        <w:tc>
          <w:tcPr>
            <w:tcW w:w="1438" w:type="dxa"/>
            <w:vAlign w:val="center"/>
          </w:tcPr>
          <w:p w14:paraId="114015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100≤Y＜2000</w:t>
            </w:r>
          </w:p>
        </w:tc>
        <w:tc>
          <w:tcPr>
            <w:tcW w:w="1000" w:type="dxa"/>
            <w:vAlign w:val="center"/>
          </w:tcPr>
          <w:p w14:paraId="660D1EF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F8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06731C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餐饮业</w:t>
            </w:r>
          </w:p>
        </w:tc>
        <w:tc>
          <w:tcPr>
            <w:tcW w:w="1381" w:type="dxa"/>
            <w:vAlign w:val="center"/>
          </w:tcPr>
          <w:p w14:paraId="65B4957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72F1A0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34C4CE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628848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7B6AD4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31FC858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3967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345BB65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B0758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221490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0BC31F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w:t>
            </w:r>
          </w:p>
        </w:tc>
        <w:tc>
          <w:tcPr>
            <w:tcW w:w="1717" w:type="dxa"/>
            <w:vAlign w:val="center"/>
          </w:tcPr>
          <w:p w14:paraId="4929B50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2000≤Y＜10000</w:t>
            </w:r>
          </w:p>
        </w:tc>
        <w:tc>
          <w:tcPr>
            <w:tcW w:w="1438" w:type="dxa"/>
            <w:vAlign w:val="center"/>
          </w:tcPr>
          <w:p w14:paraId="6D51A8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100≤Y＜2000</w:t>
            </w:r>
          </w:p>
        </w:tc>
        <w:tc>
          <w:tcPr>
            <w:tcW w:w="1000" w:type="dxa"/>
            <w:vAlign w:val="center"/>
          </w:tcPr>
          <w:p w14:paraId="347BD8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0070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6097CD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信息传输业*</w:t>
            </w:r>
          </w:p>
        </w:tc>
        <w:tc>
          <w:tcPr>
            <w:tcW w:w="1381" w:type="dxa"/>
            <w:vAlign w:val="center"/>
          </w:tcPr>
          <w:p w14:paraId="4DC842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1B373D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4B51C1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X≥2000</w:t>
            </w:r>
          </w:p>
        </w:tc>
        <w:tc>
          <w:tcPr>
            <w:tcW w:w="1717" w:type="dxa"/>
            <w:vAlign w:val="center"/>
          </w:tcPr>
          <w:p w14:paraId="54B8C3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100≤X＜2000</w:t>
            </w:r>
          </w:p>
        </w:tc>
        <w:tc>
          <w:tcPr>
            <w:tcW w:w="1438" w:type="dxa"/>
            <w:vAlign w:val="center"/>
          </w:tcPr>
          <w:p w14:paraId="4AAD017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28F80FA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234E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49D76B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694975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8A93B9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17FB6A4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Y≥100000</w:t>
            </w:r>
          </w:p>
        </w:tc>
        <w:tc>
          <w:tcPr>
            <w:tcW w:w="1717" w:type="dxa"/>
            <w:vAlign w:val="center"/>
          </w:tcPr>
          <w:p w14:paraId="462605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1000≤Y＜100000</w:t>
            </w:r>
          </w:p>
        </w:tc>
        <w:tc>
          <w:tcPr>
            <w:tcW w:w="1438" w:type="dxa"/>
            <w:vAlign w:val="center"/>
          </w:tcPr>
          <w:p w14:paraId="7D2BA5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100≤Y＜1000</w:t>
            </w:r>
          </w:p>
        </w:tc>
        <w:tc>
          <w:tcPr>
            <w:tcW w:w="1000" w:type="dxa"/>
            <w:vAlign w:val="center"/>
          </w:tcPr>
          <w:p w14:paraId="2278B2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B3F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6C6BD8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pacing w:val="-12"/>
                <w:sz w:val="18"/>
                <w:szCs w:val="18"/>
              </w:rPr>
            </w:pPr>
            <w:r>
              <w:rPr>
                <w:rFonts w:hint="eastAsia" w:ascii="宋体" w:hAnsi="宋体" w:cs="宋体"/>
                <w:color w:val="auto"/>
                <w:spacing w:val="-12"/>
                <w:sz w:val="18"/>
                <w:szCs w:val="18"/>
              </w:rPr>
              <w:t>软件和信息技术服</w:t>
            </w:r>
            <w:r>
              <w:rPr>
                <w:rFonts w:hint="eastAsia" w:ascii="宋体" w:hAnsi="宋体" w:cs="宋体"/>
                <w:color w:val="auto"/>
                <w:sz w:val="18"/>
                <w:szCs w:val="18"/>
              </w:rPr>
              <w:t>务业</w:t>
            </w:r>
          </w:p>
        </w:tc>
        <w:tc>
          <w:tcPr>
            <w:tcW w:w="1381" w:type="dxa"/>
            <w:vAlign w:val="center"/>
          </w:tcPr>
          <w:p w14:paraId="5887EA9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C85AB2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640599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1A09DB0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16BBC42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06459B2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5FAF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29E49F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pacing w:val="-12"/>
                <w:sz w:val="18"/>
                <w:szCs w:val="18"/>
              </w:rPr>
            </w:pPr>
          </w:p>
        </w:tc>
        <w:tc>
          <w:tcPr>
            <w:tcW w:w="1381" w:type="dxa"/>
            <w:vAlign w:val="center"/>
          </w:tcPr>
          <w:p w14:paraId="46E79C0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4F3A6EE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0CB8329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w:t>
            </w:r>
          </w:p>
        </w:tc>
        <w:tc>
          <w:tcPr>
            <w:tcW w:w="1717" w:type="dxa"/>
            <w:vAlign w:val="center"/>
          </w:tcPr>
          <w:p w14:paraId="0B1085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1000≤Y＜10000</w:t>
            </w:r>
          </w:p>
        </w:tc>
        <w:tc>
          <w:tcPr>
            <w:tcW w:w="1438" w:type="dxa"/>
            <w:vAlign w:val="center"/>
          </w:tcPr>
          <w:p w14:paraId="0B17FD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50≤Y＜1000</w:t>
            </w:r>
          </w:p>
        </w:tc>
        <w:tc>
          <w:tcPr>
            <w:tcW w:w="1000" w:type="dxa"/>
            <w:vAlign w:val="center"/>
          </w:tcPr>
          <w:p w14:paraId="5B4F57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w:t>
            </w:r>
          </w:p>
        </w:tc>
      </w:tr>
      <w:tr w14:paraId="44E1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13A7E0C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房地产开发经营</w:t>
            </w:r>
          </w:p>
        </w:tc>
        <w:tc>
          <w:tcPr>
            <w:tcW w:w="1381" w:type="dxa"/>
            <w:vAlign w:val="center"/>
          </w:tcPr>
          <w:p w14:paraId="6C70C0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3542B1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38FE01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Y≥200000</w:t>
            </w:r>
          </w:p>
        </w:tc>
        <w:tc>
          <w:tcPr>
            <w:tcW w:w="1717" w:type="dxa"/>
            <w:vAlign w:val="center"/>
          </w:tcPr>
          <w:p w14:paraId="09EE61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1000≤Y＜200000</w:t>
            </w:r>
          </w:p>
        </w:tc>
        <w:tc>
          <w:tcPr>
            <w:tcW w:w="1438" w:type="dxa"/>
            <w:vAlign w:val="center"/>
          </w:tcPr>
          <w:p w14:paraId="05162EB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100≤Y＜1000</w:t>
            </w:r>
          </w:p>
        </w:tc>
        <w:tc>
          <w:tcPr>
            <w:tcW w:w="1000" w:type="dxa"/>
            <w:vAlign w:val="center"/>
          </w:tcPr>
          <w:p w14:paraId="74456D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DFF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0E9D8D3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8E901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016463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4445E65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Z≥10000</w:t>
            </w:r>
          </w:p>
        </w:tc>
        <w:tc>
          <w:tcPr>
            <w:tcW w:w="1717" w:type="dxa"/>
            <w:vAlign w:val="center"/>
          </w:tcPr>
          <w:p w14:paraId="4610BD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5000≤Z＜10000</w:t>
            </w:r>
          </w:p>
        </w:tc>
        <w:tc>
          <w:tcPr>
            <w:tcW w:w="1438" w:type="dxa"/>
            <w:vAlign w:val="center"/>
          </w:tcPr>
          <w:p w14:paraId="7E5006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2000≤Z＜5000   </w:t>
            </w:r>
          </w:p>
        </w:tc>
        <w:tc>
          <w:tcPr>
            <w:tcW w:w="1000" w:type="dxa"/>
            <w:vAlign w:val="center"/>
          </w:tcPr>
          <w:p w14:paraId="5D5D60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Z＜2000</w:t>
            </w:r>
          </w:p>
        </w:tc>
      </w:tr>
      <w:tr w14:paraId="77F3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5F53558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物业管理</w:t>
            </w:r>
          </w:p>
        </w:tc>
        <w:tc>
          <w:tcPr>
            <w:tcW w:w="1381" w:type="dxa"/>
            <w:vAlign w:val="center"/>
          </w:tcPr>
          <w:p w14:paraId="4241A7F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7371901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D1189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462651F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42E374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100≤X＜300 </w:t>
            </w:r>
          </w:p>
        </w:tc>
        <w:tc>
          <w:tcPr>
            <w:tcW w:w="1000" w:type="dxa"/>
            <w:vAlign w:val="center"/>
          </w:tcPr>
          <w:p w14:paraId="012961D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w:t>
            </w:r>
          </w:p>
        </w:tc>
      </w:tr>
      <w:tr w14:paraId="158B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13EE03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158F50C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EC016C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1344F27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Y≥5000</w:t>
            </w:r>
          </w:p>
        </w:tc>
        <w:tc>
          <w:tcPr>
            <w:tcW w:w="1717" w:type="dxa"/>
            <w:vAlign w:val="center"/>
          </w:tcPr>
          <w:p w14:paraId="1682FB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1000≤Y＜5000</w:t>
            </w:r>
          </w:p>
        </w:tc>
        <w:tc>
          <w:tcPr>
            <w:tcW w:w="1438" w:type="dxa"/>
            <w:vAlign w:val="center"/>
          </w:tcPr>
          <w:p w14:paraId="77EA83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500≤Y＜1000</w:t>
            </w:r>
          </w:p>
        </w:tc>
        <w:tc>
          <w:tcPr>
            <w:tcW w:w="1000" w:type="dxa"/>
            <w:vAlign w:val="center"/>
          </w:tcPr>
          <w:p w14:paraId="598AA30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Y＜500</w:t>
            </w:r>
          </w:p>
        </w:tc>
      </w:tr>
      <w:tr w14:paraId="4F85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43F015C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租赁和商务服务业</w:t>
            </w:r>
          </w:p>
        </w:tc>
        <w:tc>
          <w:tcPr>
            <w:tcW w:w="1381" w:type="dxa"/>
            <w:vAlign w:val="center"/>
          </w:tcPr>
          <w:p w14:paraId="7D52CE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6FD780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2501610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76D039C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7C76C8E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1AC1549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38D1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032DE7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0AC9AF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0A6CC78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6046CE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Z≥120000</w:t>
            </w:r>
          </w:p>
        </w:tc>
        <w:tc>
          <w:tcPr>
            <w:tcW w:w="1717" w:type="dxa"/>
            <w:vAlign w:val="center"/>
          </w:tcPr>
          <w:p w14:paraId="5958FC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8000≤Z＜120000</w:t>
            </w:r>
          </w:p>
        </w:tc>
        <w:tc>
          <w:tcPr>
            <w:tcW w:w="1438" w:type="dxa"/>
            <w:vAlign w:val="center"/>
          </w:tcPr>
          <w:p w14:paraId="577C59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100≤Z＜8000</w:t>
            </w:r>
          </w:p>
        </w:tc>
        <w:tc>
          <w:tcPr>
            <w:tcW w:w="1000" w:type="dxa"/>
            <w:vAlign w:val="center"/>
          </w:tcPr>
          <w:p w14:paraId="62D770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Z＜100</w:t>
            </w:r>
          </w:p>
        </w:tc>
      </w:tr>
      <w:tr w14:paraId="2944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4" w:type="dxa"/>
            <w:vAlign w:val="center"/>
          </w:tcPr>
          <w:p w14:paraId="69B7ED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20"/>
                <w:szCs w:val="21"/>
              </w:rPr>
            </w:pPr>
            <w:r>
              <w:rPr>
                <w:rFonts w:hint="eastAsia" w:ascii="宋体" w:hAnsi="宋体" w:cs="宋体"/>
                <w:color w:val="auto"/>
                <w:sz w:val="18"/>
                <w:szCs w:val="18"/>
              </w:rPr>
              <w:t>其他未列明行业*</w:t>
            </w:r>
          </w:p>
        </w:tc>
        <w:tc>
          <w:tcPr>
            <w:tcW w:w="1381" w:type="dxa"/>
            <w:vAlign w:val="center"/>
          </w:tcPr>
          <w:p w14:paraId="5F6CBB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498C377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119899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0FC46ED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565B631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513885C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bl>
    <w:p w14:paraId="5CED23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说明：</w:t>
      </w:r>
    </w:p>
    <w:p w14:paraId="5E072F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1.大型、中型和小型企业须同时满足所列指标的下限，否则下划一档；微型企业只须满足所列指标中的一项即可。</w:t>
      </w:r>
    </w:p>
    <w:p w14:paraId="7574ED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6F2118">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3.企业划分指标以现行统计制度为准。</w:t>
      </w:r>
    </w:p>
    <w:p w14:paraId="39C964B2">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（1）从业人员，是指期末从业人员数，没有期末从业人员数的，采用全年平均人员数代替。</w:t>
      </w:r>
    </w:p>
    <w:p w14:paraId="3177BAC6">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D0B7862">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（3）资产总额，采用资产总计代替。</w:t>
      </w:r>
    </w:p>
    <w:p w14:paraId="25B038A9">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sectPr>
          <w:pgSz w:w="11906" w:h="16838"/>
          <w:pgMar w:top="1440" w:right="1080" w:bottom="1440" w:left="1080" w:header="567" w:footer="737" w:gutter="0"/>
          <w:pgBorders>
            <w:top w:val="none" w:sz="0" w:space="0"/>
            <w:left w:val="none" w:sz="0" w:space="0"/>
            <w:bottom w:val="none" w:sz="0" w:space="0"/>
            <w:right w:val="none" w:sz="0" w:space="0"/>
          </w:pgBorders>
          <w:pgNumType w:fmt="decimal"/>
          <w:cols w:space="720" w:num="1"/>
          <w:titlePg/>
          <w:docGrid w:type="lines" w:linePitch="490" w:charSpace="0"/>
        </w:sectPr>
      </w:pPr>
    </w:p>
    <w:p w14:paraId="35A84A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2"/>
        <w:rPr>
          <w:rFonts w:hint="eastAsia" w:ascii="Times New Roman" w:hAnsi="宋体" w:eastAsia="宋体" w:cs="Times New Roman"/>
          <w:b/>
          <w:bCs/>
          <w:color w:val="auto"/>
          <w:sz w:val="28"/>
          <w:szCs w:val="28"/>
          <w:highlight w:val="none"/>
        </w:rPr>
      </w:pPr>
      <w:r>
        <w:rPr>
          <w:rFonts w:hint="eastAsia" w:ascii="Times New Roman" w:hAnsi="宋体" w:eastAsia="宋体" w:cs="Times New Roman"/>
          <w:b/>
          <w:bCs/>
          <w:color w:val="auto"/>
          <w:sz w:val="28"/>
          <w:szCs w:val="28"/>
          <w:highlight w:val="none"/>
        </w:rPr>
        <w:t>监狱企业证明</w:t>
      </w:r>
    </w:p>
    <w:p w14:paraId="6D78E6F6">
      <w:pPr>
        <w:jc w:val="center"/>
        <w:rPr>
          <w:color w:val="auto"/>
          <w:sz w:val="24"/>
        </w:rPr>
      </w:pPr>
      <w:r>
        <w:rPr>
          <w:rFonts w:hint="eastAsia"/>
          <w:color w:val="auto"/>
          <w:sz w:val="24"/>
        </w:rPr>
        <w:t>（注：符合条件的监狱企业请提供本函，不符合的不提供本函）</w:t>
      </w:r>
    </w:p>
    <w:p w14:paraId="333E18C3">
      <w:pPr>
        <w:pStyle w:val="153"/>
        <w:snapToGrid w:val="0"/>
        <w:spacing w:beforeLines="50"/>
        <w:rPr>
          <w:rFonts w:hAnsi="宋体" w:cs="宋体"/>
          <w:color w:val="auto"/>
          <w:sz w:val="24"/>
          <w:szCs w:val="24"/>
        </w:rPr>
      </w:pPr>
    </w:p>
    <w:p w14:paraId="14450462">
      <w:pPr>
        <w:pStyle w:val="153"/>
        <w:snapToGrid w:val="0"/>
        <w:spacing w:beforeLines="50"/>
        <w:ind w:firstLine="420" w:firstLineChars="200"/>
        <w:rPr>
          <w:rFonts w:hAnsi="宋体" w:cs="宋体"/>
          <w:color w:val="auto"/>
        </w:rPr>
      </w:pPr>
      <w:r>
        <w:rPr>
          <w:rFonts w:hint="eastAsia" w:hAnsi="宋体" w:cs="宋体"/>
          <w:color w:val="auto"/>
        </w:rPr>
        <w:t>省级以上监狱管理局、戒毒管理局（含新疆生产建设兵团）出具的属于监狱企业的证明文件。</w:t>
      </w:r>
    </w:p>
    <w:p w14:paraId="78C3C916">
      <w:pPr>
        <w:pStyle w:val="153"/>
        <w:snapToGrid w:val="0"/>
        <w:spacing w:beforeLines="50"/>
        <w:rPr>
          <w:rFonts w:hAnsi="宋体" w:cs="宋体"/>
          <w:color w:val="auto"/>
          <w:sz w:val="24"/>
          <w:szCs w:val="24"/>
        </w:rPr>
      </w:pPr>
    </w:p>
    <w:p w14:paraId="0DE327FA">
      <w:pPr>
        <w:widowControl/>
        <w:jc w:val="left"/>
        <w:rPr>
          <w:rFonts w:ascii="宋体" w:hAnsi="宋体"/>
          <w:b/>
          <w:color w:val="auto"/>
          <w:sz w:val="32"/>
          <w:szCs w:val="32"/>
          <w:u w:val="single"/>
        </w:rPr>
      </w:pPr>
      <w:r>
        <w:rPr>
          <w:rFonts w:ascii="宋体" w:hAnsi="宋体"/>
          <w:b/>
          <w:color w:val="auto"/>
          <w:sz w:val="32"/>
          <w:szCs w:val="32"/>
          <w:u w:val="single"/>
        </w:rPr>
        <w:br w:type="page"/>
      </w:r>
    </w:p>
    <w:p w14:paraId="53C015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2"/>
        <w:rPr>
          <w:rFonts w:hint="eastAsia" w:ascii="Times New Roman" w:hAnsi="宋体" w:eastAsia="宋体" w:cs="Times New Roman"/>
          <w:b/>
          <w:bCs/>
          <w:color w:val="auto"/>
          <w:sz w:val="28"/>
          <w:szCs w:val="28"/>
          <w:highlight w:val="none"/>
        </w:rPr>
      </w:pPr>
      <w:bookmarkStart w:id="151" w:name="_Toc10862"/>
      <w:bookmarkStart w:id="152" w:name="_Toc25672"/>
      <w:r>
        <w:rPr>
          <w:rFonts w:hint="eastAsia" w:ascii="Times New Roman" w:hAnsi="宋体" w:eastAsia="宋体" w:cs="Times New Roman"/>
          <w:b/>
          <w:bCs/>
          <w:color w:val="auto"/>
          <w:sz w:val="28"/>
          <w:szCs w:val="28"/>
          <w:highlight w:val="none"/>
        </w:rPr>
        <w:t>残疾人福利性单位声明函</w:t>
      </w:r>
      <w:bookmarkEnd w:id="151"/>
      <w:bookmarkEnd w:id="152"/>
    </w:p>
    <w:p w14:paraId="1A643C10">
      <w:pPr>
        <w:jc w:val="center"/>
        <w:rPr>
          <w:color w:val="auto"/>
          <w:sz w:val="24"/>
        </w:rPr>
      </w:pPr>
      <w:r>
        <w:rPr>
          <w:rFonts w:hint="eastAsia"/>
          <w:color w:val="auto"/>
          <w:sz w:val="24"/>
        </w:rPr>
        <w:t>（注：符合条件的残疾人福利性单位请提供本函，不符合的不提供本函）</w:t>
      </w:r>
    </w:p>
    <w:p w14:paraId="14334C35">
      <w:pPr>
        <w:rPr>
          <w:color w:val="auto"/>
          <w:sz w:val="24"/>
        </w:rPr>
      </w:pPr>
    </w:p>
    <w:p w14:paraId="4329BC85">
      <w:pPr>
        <w:rPr>
          <w:color w:val="auto"/>
          <w:sz w:val="24"/>
        </w:rPr>
      </w:pPr>
    </w:p>
    <w:p w14:paraId="29758C66">
      <w:pPr>
        <w:rPr>
          <w:color w:val="auto"/>
          <w:szCs w:val="21"/>
        </w:rPr>
      </w:pPr>
      <w:r>
        <w:rPr>
          <w:rFonts w:hint="eastAsia"/>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074B5D">
      <w:pPr>
        <w:rPr>
          <w:color w:val="auto"/>
          <w:szCs w:val="21"/>
        </w:rPr>
      </w:pPr>
    </w:p>
    <w:p w14:paraId="0DB755AB">
      <w:pPr>
        <w:rPr>
          <w:color w:val="auto"/>
          <w:szCs w:val="21"/>
        </w:rPr>
      </w:pPr>
      <w:r>
        <w:rPr>
          <w:rFonts w:hint="eastAsia"/>
          <w:color w:val="auto"/>
          <w:szCs w:val="21"/>
        </w:rPr>
        <w:t>本单位对上述声明的真实性负责。如有虚假，将依法承担相应责任。</w:t>
      </w:r>
    </w:p>
    <w:p w14:paraId="438BB281">
      <w:pPr>
        <w:rPr>
          <w:color w:val="auto"/>
          <w:szCs w:val="21"/>
        </w:rPr>
      </w:pPr>
    </w:p>
    <w:p w14:paraId="4BA2A602">
      <w:pPr>
        <w:rPr>
          <w:color w:val="auto"/>
          <w:szCs w:val="21"/>
        </w:rPr>
      </w:pPr>
    </w:p>
    <w:p w14:paraId="77B11DA0">
      <w:pPr>
        <w:rPr>
          <w:color w:val="auto"/>
          <w:szCs w:val="21"/>
        </w:rPr>
      </w:pPr>
    </w:p>
    <w:p w14:paraId="1F7EB187">
      <w:pPr>
        <w:rPr>
          <w:color w:val="auto"/>
          <w:szCs w:val="21"/>
        </w:rPr>
      </w:pPr>
    </w:p>
    <w:p w14:paraId="11285C9D">
      <w:pPr>
        <w:rPr>
          <w:color w:val="auto"/>
          <w:szCs w:val="21"/>
        </w:rPr>
      </w:pPr>
    </w:p>
    <w:p w14:paraId="5CDDEB6E">
      <w:pPr>
        <w:ind w:left="5250" w:leftChars="2500"/>
        <w:rPr>
          <w:color w:val="auto"/>
          <w:szCs w:val="21"/>
        </w:rPr>
      </w:pPr>
      <w:r>
        <w:rPr>
          <w:rFonts w:hint="eastAsia"/>
          <w:color w:val="auto"/>
          <w:szCs w:val="21"/>
        </w:rPr>
        <w:t>单位名称（盖章）：</w:t>
      </w:r>
    </w:p>
    <w:p w14:paraId="0EAF0B13">
      <w:pPr>
        <w:ind w:left="5250" w:leftChars="2500"/>
        <w:rPr>
          <w:color w:val="auto"/>
          <w:szCs w:val="21"/>
        </w:rPr>
      </w:pPr>
    </w:p>
    <w:p w14:paraId="5555D7C4">
      <w:pPr>
        <w:ind w:left="5250" w:leftChars="2500"/>
        <w:rPr>
          <w:color w:val="auto"/>
          <w:szCs w:val="21"/>
        </w:rPr>
      </w:pPr>
      <w:r>
        <w:rPr>
          <w:rFonts w:hint="eastAsia"/>
          <w:color w:val="auto"/>
          <w:szCs w:val="21"/>
        </w:rPr>
        <w:t>日  期：</w:t>
      </w:r>
    </w:p>
    <w:p w14:paraId="7EA0EE0C">
      <w:pPr>
        <w:rPr>
          <w:color w:val="auto"/>
          <w:szCs w:val="21"/>
        </w:rPr>
      </w:pPr>
    </w:p>
    <w:p w14:paraId="74247DA1">
      <w:pPr>
        <w:keepNext w:val="0"/>
        <w:keepLines w:val="0"/>
        <w:pageBreakBefore w:val="0"/>
        <w:widowControl w:val="0"/>
        <w:kinsoku/>
        <w:wordWrap/>
        <w:overflowPunct/>
        <w:topLinePunct w:val="0"/>
        <w:autoSpaceDE/>
        <w:autoSpaceDN/>
        <w:bidi w:val="0"/>
        <w:textAlignment w:val="auto"/>
        <w:rPr>
          <w:rFonts w:hint="eastAsia" w:ascii="宋体" w:hAnsi="宋体" w:cs="宋体"/>
          <w:color w:val="auto"/>
          <w:szCs w:val="21"/>
        </w:rPr>
      </w:pPr>
    </w:p>
    <w:p w14:paraId="3E8FF12D">
      <w:pPr>
        <w:keepNext w:val="0"/>
        <w:keepLines w:val="0"/>
        <w:pageBreakBefore w:val="0"/>
        <w:widowControl w:val="0"/>
        <w:kinsoku/>
        <w:wordWrap/>
        <w:overflowPunct/>
        <w:topLinePunct w:val="0"/>
        <w:autoSpaceDE/>
        <w:autoSpaceDN/>
        <w:bidi w:val="0"/>
        <w:textAlignment w:val="auto"/>
        <w:rPr>
          <w:rFonts w:hint="eastAsia" w:ascii="宋体" w:hAnsi="宋体" w:cs="宋体"/>
          <w:color w:val="auto"/>
          <w:szCs w:val="21"/>
        </w:rPr>
      </w:pPr>
    </w:p>
    <w:p w14:paraId="30E07157">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sectPr>
          <w:pgSz w:w="11906" w:h="16838"/>
          <w:pgMar w:top="1440" w:right="1080" w:bottom="1440" w:left="1080" w:header="567" w:footer="737" w:gutter="0"/>
          <w:pgBorders>
            <w:top w:val="none" w:sz="0" w:space="0"/>
            <w:left w:val="none" w:sz="0" w:space="0"/>
            <w:bottom w:val="none" w:sz="0" w:space="0"/>
            <w:right w:val="none" w:sz="0" w:space="0"/>
          </w:pgBorders>
          <w:pgNumType w:fmt="decimal"/>
          <w:cols w:space="720" w:num="1"/>
          <w:titlePg/>
          <w:docGrid w:type="lines" w:linePitch="490" w:charSpace="0"/>
        </w:sectPr>
      </w:pPr>
    </w:p>
    <w:bookmarkEnd w:id="144"/>
    <w:bookmarkEnd w:id="145"/>
    <w:p w14:paraId="65845868">
      <w:pPr>
        <w:pStyle w:val="3"/>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sz w:val="32"/>
          <w:szCs w:val="32"/>
          <w:highlight w:val="none"/>
          <w:lang w:eastAsia="zh-CN"/>
        </w:rPr>
      </w:pPr>
      <w:bookmarkStart w:id="153" w:name="_Toc32222"/>
      <w:bookmarkStart w:id="154" w:name="_Toc16962"/>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lang w:eastAsia="zh-CN"/>
        </w:rPr>
        <w:t>、</w:t>
      </w:r>
      <w:bookmarkEnd w:id="153"/>
      <w:r>
        <w:rPr>
          <w:rFonts w:hint="eastAsia" w:ascii="宋体" w:hAnsi="宋体" w:eastAsia="宋体" w:cs="宋体"/>
          <w:color w:val="auto"/>
          <w:sz w:val="32"/>
          <w:szCs w:val="32"/>
          <w:highlight w:val="none"/>
        </w:rPr>
        <w:t>其他</w:t>
      </w:r>
      <w:bookmarkEnd w:id="154"/>
      <w:r>
        <w:rPr>
          <w:rFonts w:hint="eastAsia" w:ascii="宋体" w:hAnsi="宋体" w:eastAsia="宋体" w:cs="宋体"/>
          <w:color w:val="auto"/>
          <w:sz w:val="32"/>
          <w:szCs w:val="32"/>
          <w:highlight w:val="none"/>
          <w:lang w:val="en-US" w:eastAsia="zh-CN"/>
        </w:rPr>
        <w:t>资料</w:t>
      </w:r>
    </w:p>
    <w:p w14:paraId="11EC2607">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rPr>
        <w:t>（</w:t>
      </w:r>
      <w:r>
        <w:rPr>
          <w:rFonts w:hint="eastAsia" w:ascii="宋体" w:hAnsi="宋体" w:cs="宋体"/>
          <w:b/>
          <w:bCs/>
          <w:color w:val="auto"/>
          <w:lang w:val="en-US" w:eastAsia="zh-CN"/>
        </w:rPr>
        <w:t>供应商</w:t>
      </w:r>
      <w:r>
        <w:rPr>
          <w:rFonts w:hint="eastAsia" w:ascii="宋体" w:hAnsi="宋体" w:cs="宋体"/>
          <w:b/>
          <w:bCs/>
          <w:color w:val="auto"/>
        </w:rPr>
        <w:t>认为对本次投标有</w:t>
      </w:r>
      <w:r>
        <w:rPr>
          <w:rFonts w:hint="eastAsia" w:ascii="宋体" w:hAnsi="宋体" w:cs="宋体"/>
          <w:b/>
          <w:bCs/>
          <w:color w:val="auto"/>
          <w:lang w:val="en-US" w:eastAsia="zh-CN"/>
        </w:rPr>
        <w:t>必要</w:t>
      </w:r>
      <w:r>
        <w:rPr>
          <w:rFonts w:hint="eastAsia" w:ascii="宋体" w:hAnsi="宋体" w:cs="宋体"/>
          <w:b/>
          <w:bCs/>
          <w:color w:val="auto"/>
        </w:rPr>
        <w:t>的证明材料等）</w:t>
      </w:r>
    </w:p>
    <w:sectPr>
      <w:pgSz w:w="11906" w:h="16838"/>
      <w:pgMar w:top="1440" w:right="1080" w:bottom="1440" w:left="1080" w:header="567" w:footer="737" w:gutter="0"/>
      <w:pgBorders>
        <w:top w:val="none" w:sz="0" w:space="0"/>
        <w:left w:val="none" w:sz="0" w:space="0"/>
        <w:bottom w:val="none" w:sz="0" w:space="0"/>
        <w:right w:val="none" w:sz="0" w:space="0"/>
      </w:pgBorders>
      <w:pgNumType w:fmt="decimal"/>
      <w:cols w:space="720" w:num="1"/>
      <w:titlePg/>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Courier New"/>
    <w:panose1 w:val="00000000000000000000"/>
    <w:charset w:val="00"/>
    <w:family w:val="auto"/>
    <w:pitch w:val="default"/>
    <w:sig w:usb0="00000000" w:usb1="00000000" w:usb2="00000000" w:usb3="00000000" w:csb0="00040001" w:csb1="00000000"/>
  </w:font>
  <w:font w:name="F5">
    <w:altName w:val="Segoe Print"/>
    <w:panose1 w:val="00000000000000000000"/>
    <w:charset w:val="00"/>
    <w:family w:val="auto"/>
    <w:pitch w:val="default"/>
    <w:sig w:usb0="00000000" w:usb1="00000000" w:usb2="00000000" w:usb3="00000000" w:csb0="00000001" w:csb1="00000000"/>
  </w:font>
  <w:font w:name="F11">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CA59">
    <w:pPr>
      <w:pStyle w:val="22"/>
      <w:tabs>
        <w:tab w:val="center" w:pos="4819"/>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4AB5">
    <w:pPr>
      <w:pStyle w:val="22"/>
      <w:framePr w:wrap="around" w:vAnchor="text" w:hAnchor="margin" w:xAlign="center" w:y="1"/>
      <w:rPr>
        <w:rStyle w:val="38"/>
      </w:rPr>
    </w:pPr>
    <w:r>
      <w:fldChar w:fldCharType="begin"/>
    </w:r>
    <w:r>
      <w:rPr>
        <w:rStyle w:val="38"/>
      </w:rPr>
      <w:instrText xml:space="preserve">PAGE  </w:instrText>
    </w:r>
    <w:r>
      <w:fldChar w:fldCharType="separate"/>
    </w:r>
    <w:r>
      <w:rPr>
        <w:rStyle w:val="38"/>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D47F">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02BD">
    <w:pPr>
      <w:pStyle w:val="22"/>
      <w:tabs>
        <w:tab w:val="center" w:pos="4819"/>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9016">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039016">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E9A0">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26AD1">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026AD1">
                    <w:pPr>
                      <w:pStyle w:val="2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2887980</wp:posOffset>
              </wp:positionH>
              <wp:positionV relativeFrom="paragraph">
                <wp:posOffset>-9525</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206038">
                          <w:pPr>
                            <w:pStyle w:val="22"/>
                          </w:pPr>
                        </w:p>
                      </w:txbxContent>
                    </wps:txbx>
                    <wps:bodyPr wrap="none" lIns="0" tIns="0" rIns="0" bIns="0" upright="1">
                      <a:spAutoFit/>
                    </wps:bodyPr>
                  </wps:wsp>
                </a:graphicData>
              </a:graphic>
            </wp:anchor>
          </w:drawing>
        </mc:Choice>
        <mc:Fallback>
          <w:pict>
            <v:shape id="文本框 7" o:spid="_x0000_s1026" o:spt="202" type="#_x0000_t202" style="position:absolute;left:0pt;margin-left:227.4pt;margin-top:-0.75pt;height:144pt;width:144pt;mso-position-horizontal-relative:margin;mso-wrap-style:none;z-index:251661312;mso-width-relative:page;mso-height-relative:page;" filled="f" stroked="f" coordsize="21600,21600" o:gfxdata="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9xz31wAAAAoBAAAPAAAAAAAAAAEAIAAAACIAAABkcnMvZG93&#10;bnJldi54bWxQSwECFAAUAAAACACHTuJAbChUUcgBAACaAwAADgAAAAAAAAABACAAAAAmAQAAZHJz&#10;L2Uyb0RvYy54bWxQSwUGAAAAAAYABgBZAQAAYAUAAAAA&#10;">
              <v:fill on="f" focussize="0,0"/>
              <v:stroke on="f"/>
              <v:imagedata o:title=""/>
              <o:lock v:ext="edit" aspectratio="f"/>
              <v:textbox inset="0mm,0mm,0mm,0mm" style="mso-fit-shape-to-text:t;">
                <w:txbxContent>
                  <w:p w14:paraId="3E206038">
                    <w:pPr>
                      <w:pStyle w:val="2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E3337"/>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02BE3337"/>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FDDC">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5F4E9">
                          <w:pPr>
                            <w:pStyle w:val="2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C5F4E9">
                    <w:pPr>
                      <w:pStyle w:val="2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50C3">
    <w:pPr>
      <w:pStyle w:val="22"/>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4E154">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84E154">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6FE0">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EE56E">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18EE56E">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2450">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62F7">
    <w:pPr>
      <w:pStyle w:val="23"/>
      <w:pBdr>
        <w:bottom w:val="none" w:color="auto" w:sz="0" w:space="1"/>
      </w:pBdr>
      <w:tabs>
        <w:tab w:val="left" w:pos="8742"/>
        <w:tab w:val="clear" w:pos="4153"/>
        <w:tab w:val="clear" w:pos="8306"/>
      </w:tabs>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3699">
    <w:pPr>
      <w:pStyle w:val="23"/>
      <w:pBdr>
        <w:bottom w:val="none" w:color="auto" w:sz="0" w:space="1"/>
      </w:pBdr>
      <w:tabs>
        <w:tab w:val="left" w:pos="8742"/>
        <w:tab w:val="clear" w:pos="4153"/>
        <w:tab w:val="clear" w:pos="8306"/>
      </w:tabs>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
    <w:nsid w:val="00000013"/>
    <w:multiLevelType w:val="multilevel"/>
    <w:tmpl w:val="00000013"/>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2">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3">
    <w:nsid w:val="4E85B502"/>
    <w:multiLevelType w:val="singleLevel"/>
    <w:tmpl w:val="4E85B502"/>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24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WFjMjg1MzA3OTRkYzU1ZGJhNTM2MTliZWRiMDMifQ=="/>
  </w:docVars>
  <w:rsids>
    <w:rsidRoot w:val="00172A27"/>
    <w:rsid w:val="00000118"/>
    <w:rsid w:val="00000AC8"/>
    <w:rsid w:val="00001B64"/>
    <w:rsid w:val="00002F16"/>
    <w:rsid w:val="0000447F"/>
    <w:rsid w:val="00005416"/>
    <w:rsid w:val="00006CA9"/>
    <w:rsid w:val="00010C41"/>
    <w:rsid w:val="00010D09"/>
    <w:rsid w:val="00012441"/>
    <w:rsid w:val="00012CF4"/>
    <w:rsid w:val="00015D95"/>
    <w:rsid w:val="00015E20"/>
    <w:rsid w:val="000220EE"/>
    <w:rsid w:val="00024826"/>
    <w:rsid w:val="0002668A"/>
    <w:rsid w:val="00026B0F"/>
    <w:rsid w:val="0002770B"/>
    <w:rsid w:val="00031879"/>
    <w:rsid w:val="0003256D"/>
    <w:rsid w:val="000352EA"/>
    <w:rsid w:val="00035766"/>
    <w:rsid w:val="00042408"/>
    <w:rsid w:val="0004258D"/>
    <w:rsid w:val="00043ACC"/>
    <w:rsid w:val="00044C16"/>
    <w:rsid w:val="00054B32"/>
    <w:rsid w:val="00060891"/>
    <w:rsid w:val="000639CC"/>
    <w:rsid w:val="000640E0"/>
    <w:rsid w:val="000655C2"/>
    <w:rsid w:val="00067091"/>
    <w:rsid w:val="0006787A"/>
    <w:rsid w:val="00071F02"/>
    <w:rsid w:val="00072812"/>
    <w:rsid w:val="00074A95"/>
    <w:rsid w:val="00074C87"/>
    <w:rsid w:val="00081396"/>
    <w:rsid w:val="00081F60"/>
    <w:rsid w:val="0008378C"/>
    <w:rsid w:val="00084789"/>
    <w:rsid w:val="000859EF"/>
    <w:rsid w:val="00087E1D"/>
    <w:rsid w:val="000906FE"/>
    <w:rsid w:val="0009659E"/>
    <w:rsid w:val="0009719E"/>
    <w:rsid w:val="000978E1"/>
    <w:rsid w:val="000A2CB2"/>
    <w:rsid w:val="000A484F"/>
    <w:rsid w:val="000A48F4"/>
    <w:rsid w:val="000A520D"/>
    <w:rsid w:val="000A55BB"/>
    <w:rsid w:val="000A7C8E"/>
    <w:rsid w:val="000B1BAC"/>
    <w:rsid w:val="000B40C9"/>
    <w:rsid w:val="000B4DC2"/>
    <w:rsid w:val="000B733C"/>
    <w:rsid w:val="000C1834"/>
    <w:rsid w:val="000C2402"/>
    <w:rsid w:val="000C38C4"/>
    <w:rsid w:val="000C4DEC"/>
    <w:rsid w:val="000C5184"/>
    <w:rsid w:val="000D055C"/>
    <w:rsid w:val="000D1BDD"/>
    <w:rsid w:val="000E0149"/>
    <w:rsid w:val="000E10E4"/>
    <w:rsid w:val="000E15CC"/>
    <w:rsid w:val="000E192A"/>
    <w:rsid w:val="000E260B"/>
    <w:rsid w:val="000E300E"/>
    <w:rsid w:val="000E324A"/>
    <w:rsid w:val="000E734E"/>
    <w:rsid w:val="000E7851"/>
    <w:rsid w:val="000F358A"/>
    <w:rsid w:val="000F7BB6"/>
    <w:rsid w:val="00102597"/>
    <w:rsid w:val="0010699F"/>
    <w:rsid w:val="00114A26"/>
    <w:rsid w:val="00116052"/>
    <w:rsid w:val="001207B3"/>
    <w:rsid w:val="00121277"/>
    <w:rsid w:val="00121EA2"/>
    <w:rsid w:val="001263A0"/>
    <w:rsid w:val="001269B0"/>
    <w:rsid w:val="001273E0"/>
    <w:rsid w:val="00130589"/>
    <w:rsid w:val="00132B25"/>
    <w:rsid w:val="00133935"/>
    <w:rsid w:val="00141586"/>
    <w:rsid w:val="001424AB"/>
    <w:rsid w:val="00144D53"/>
    <w:rsid w:val="00144DF2"/>
    <w:rsid w:val="00152501"/>
    <w:rsid w:val="00153759"/>
    <w:rsid w:val="00154F55"/>
    <w:rsid w:val="00155482"/>
    <w:rsid w:val="001571C1"/>
    <w:rsid w:val="00160167"/>
    <w:rsid w:val="0016469D"/>
    <w:rsid w:val="00165B0B"/>
    <w:rsid w:val="00167B27"/>
    <w:rsid w:val="001703FD"/>
    <w:rsid w:val="00170BF5"/>
    <w:rsid w:val="00172A27"/>
    <w:rsid w:val="00174ADB"/>
    <w:rsid w:val="0017554D"/>
    <w:rsid w:val="00176CF7"/>
    <w:rsid w:val="00180B99"/>
    <w:rsid w:val="001819BC"/>
    <w:rsid w:val="00182FE9"/>
    <w:rsid w:val="001834B1"/>
    <w:rsid w:val="0018381A"/>
    <w:rsid w:val="001850A6"/>
    <w:rsid w:val="00186F0C"/>
    <w:rsid w:val="00191EC7"/>
    <w:rsid w:val="00193BBF"/>
    <w:rsid w:val="00193D62"/>
    <w:rsid w:val="00194A33"/>
    <w:rsid w:val="00197100"/>
    <w:rsid w:val="001A055E"/>
    <w:rsid w:val="001A35BA"/>
    <w:rsid w:val="001A4114"/>
    <w:rsid w:val="001A5F91"/>
    <w:rsid w:val="001B03AE"/>
    <w:rsid w:val="001B14B9"/>
    <w:rsid w:val="001B20B9"/>
    <w:rsid w:val="001B293F"/>
    <w:rsid w:val="001B393F"/>
    <w:rsid w:val="001B5390"/>
    <w:rsid w:val="001B5CD4"/>
    <w:rsid w:val="001B5EBD"/>
    <w:rsid w:val="001B66F7"/>
    <w:rsid w:val="001C0C11"/>
    <w:rsid w:val="001C10A4"/>
    <w:rsid w:val="001C1208"/>
    <w:rsid w:val="001C4C1A"/>
    <w:rsid w:val="001C7859"/>
    <w:rsid w:val="001D206F"/>
    <w:rsid w:val="001D294B"/>
    <w:rsid w:val="001D30A4"/>
    <w:rsid w:val="001D4501"/>
    <w:rsid w:val="001D6C36"/>
    <w:rsid w:val="001D6C95"/>
    <w:rsid w:val="001D72C9"/>
    <w:rsid w:val="001D75B0"/>
    <w:rsid w:val="001E14E2"/>
    <w:rsid w:val="001E3E39"/>
    <w:rsid w:val="001E578A"/>
    <w:rsid w:val="001E7E56"/>
    <w:rsid w:val="001F14B5"/>
    <w:rsid w:val="001F16C6"/>
    <w:rsid w:val="001F4D6F"/>
    <w:rsid w:val="001F6AA6"/>
    <w:rsid w:val="0020264B"/>
    <w:rsid w:val="00203854"/>
    <w:rsid w:val="00204096"/>
    <w:rsid w:val="00204991"/>
    <w:rsid w:val="002075A0"/>
    <w:rsid w:val="00210F7A"/>
    <w:rsid w:val="002130BA"/>
    <w:rsid w:val="00213906"/>
    <w:rsid w:val="00213967"/>
    <w:rsid w:val="002163D3"/>
    <w:rsid w:val="002203B6"/>
    <w:rsid w:val="0022079B"/>
    <w:rsid w:val="00221499"/>
    <w:rsid w:val="00221EF8"/>
    <w:rsid w:val="0022272A"/>
    <w:rsid w:val="00223DEE"/>
    <w:rsid w:val="00225ED9"/>
    <w:rsid w:val="0023677D"/>
    <w:rsid w:val="0023776D"/>
    <w:rsid w:val="0024018D"/>
    <w:rsid w:val="00241817"/>
    <w:rsid w:val="00243BC5"/>
    <w:rsid w:val="00244ACC"/>
    <w:rsid w:val="002470B3"/>
    <w:rsid w:val="002476C9"/>
    <w:rsid w:val="0025166C"/>
    <w:rsid w:val="0025168D"/>
    <w:rsid w:val="00251B7D"/>
    <w:rsid w:val="002525FF"/>
    <w:rsid w:val="00253BCB"/>
    <w:rsid w:val="002560D9"/>
    <w:rsid w:val="0025641C"/>
    <w:rsid w:val="00256598"/>
    <w:rsid w:val="0026009E"/>
    <w:rsid w:val="00265A9D"/>
    <w:rsid w:val="00266747"/>
    <w:rsid w:val="0026712B"/>
    <w:rsid w:val="00270DCC"/>
    <w:rsid w:val="0027292C"/>
    <w:rsid w:val="00273F7C"/>
    <w:rsid w:val="00275CF4"/>
    <w:rsid w:val="00275D8C"/>
    <w:rsid w:val="0027690C"/>
    <w:rsid w:val="00277F3B"/>
    <w:rsid w:val="00281A5D"/>
    <w:rsid w:val="00282CE0"/>
    <w:rsid w:val="00286326"/>
    <w:rsid w:val="00286F0E"/>
    <w:rsid w:val="00292AAC"/>
    <w:rsid w:val="00295223"/>
    <w:rsid w:val="00296D93"/>
    <w:rsid w:val="002A33EA"/>
    <w:rsid w:val="002A45CB"/>
    <w:rsid w:val="002A7B2D"/>
    <w:rsid w:val="002B0136"/>
    <w:rsid w:val="002B06C4"/>
    <w:rsid w:val="002B456D"/>
    <w:rsid w:val="002B460B"/>
    <w:rsid w:val="002B4C9E"/>
    <w:rsid w:val="002B56A9"/>
    <w:rsid w:val="002C0530"/>
    <w:rsid w:val="002C0DB1"/>
    <w:rsid w:val="002C13C4"/>
    <w:rsid w:val="002C1D30"/>
    <w:rsid w:val="002C3D5B"/>
    <w:rsid w:val="002C4B5C"/>
    <w:rsid w:val="002C521B"/>
    <w:rsid w:val="002D06E5"/>
    <w:rsid w:val="002D13E8"/>
    <w:rsid w:val="002D4103"/>
    <w:rsid w:val="002D4194"/>
    <w:rsid w:val="002D587D"/>
    <w:rsid w:val="002D6281"/>
    <w:rsid w:val="002E7265"/>
    <w:rsid w:val="002F22E2"/>
    <w:rsid w:val="002F3F6B"/>
    <w:rsid w:val="002F42D9"/>
    <w:rsid w:val="002F45C4"/>
    <w:rsid w:val="00300F91"/>
    <w:rsid w:val="00303335"/>
    <w:rsid w:val="003062AB"/>
    <w:rsid w:val="00307074"/>
    <w:rsid w:val="00310272"/>
    <w:rsid w:val="003131C0"/>
    <w:rsid w:val="00322FCD"/>
    <w:rsid w:val="0032304E"/>
    <w:rsid w:val="00326A22"/>
    <w:rsid w:val="00330958"/>
    <w:rsid w:val="00334C93"/>
    <w:rsid w:val="0033612E"/>
    <w:rsid w:val="00337436"/>
    <w:rsid w:val="00337451"/>
    <w:rsid w:val="0034042A"/>
    <w:rsid w:val="00342A73"/>
    <w:rsid w:val="00342AC8"/>
    <w:rsid w:val="00346C82"/>
    <w:rsid w:val="00347B9E"/>
    <w:rsid w:val="00350777"/>
    <w:rsid w:val="00351AB1"/>
    <w:rsid w:val="00353939"/>
    <w:rsid w:val="00354684"/>
    <w:rsid w:val="00354CA4"/>
    <w:rsid w:val="00355D1F"/>
    <w:rsid w:val="003568B3"/>
    <w:rsid w:val="00356C34"/>
    <w:rsid w:val="003570A9"/>
    <w:rsid w:val="00361F52"/>
    <w:rsid w:val="00363079"/>
    <w:rsid w:val="00363EAD"/>
    <w:rsid w:val="00363F4C"/>
    <w:rsid w:val="0036501B"/>
    <w:rsid w:val="0036535A"/>
    <w:rsid w:val="00370097"/>
    <w:rsid w:val="00371BB7"/>
    <w:rsid w:val="003742F5"/>
    <w:rsid w:val="00374AC7"/>
    <w:rsid w:val="00374C89"/>
    <w:rsid w:val="00375A16"/>
    <w:rsid w:val="0037670C"/>
    <w:rsid w:val="00377495"/>
    <w:rsid w:val="0037752E"/>
    <w:rsid w:val="0038393F"/>
    <w:rsid w:val="00385B80"/>
    <w:rsid w:val="003916A6"/>
    <w:rsid w:val="00394745"/>
    <w:rsid w:val="0039628B"/>
    <w:rsid w:val="00397092"/>
    <w:rsid w:val="003A6DC2"/>
    <w:rsid w:val="003B22CA"/>
    <w:rsid w:val="003B3CF0"/>
    <w:rsid w:val="003B4676"/>
    <w:rsid w:val="003B6B15"/>
    <w:rsid w:val="003B72CB"/>
    <w:rsid w:val="003B7D02"/>
    <w:rsid w:val="003C02DF"/>
    <w:rsid w:val="003C2437"/>
    <w:rsid w:val="003C298F"/>
    <w:rsid w:val="003C3E31"/>
    <w:rsid w:val="003C5902"/>
    <w:rsid w:val="003C6294"/>
    <w:rsid w:val="003D0ACA"/>
    <w:rsid w:val="003D1C12"/>
    <w:rsid w:val="003D3CC5"/>
    <w:rsid w:val="003D499A"/>
    <w:rsid w:val="003E36AE"/>
    <w:rsid w:val="003E43DE"/>
    <w:rsid w:val="003F22DB"/>
    <w:rsid w:val="003F239C"/>
    <w:rsid w:val="003F4423"/>
    <w:rsid w:val="003F7360"/>
    <w:rsid w:val="00401108"/>
    <w:rsid w:val="0040258D"/>
    <w:rsid w:val="00403131"/>
    <w:rsid w:val="0040343B"/>
    <w:rsid w:val="00403A55"/>
    <w:rsid w:val="00403B4F"/>
    <w:rsid w:val="0040427B"/>
    <w:rsid w:val="00406DB4"/>
    <w:rsid w:val="00411D77"/>
    <w:rsid w:val="00412359"/>
    <w:rsid w:val="00413760"/>
    <w:rsid w:val="00414D78"/>
    <w:rsid w:val="00415C22"/>
    <w:rsid w:val="004171F5"/>
    <w:rsid w:val="00417E89"/>
    <w:rsid w:val="004216A2"/>
    <w:rsid w:val="00422134"/>
    <w:rsid w:val="00423EF7"/>
    <w:rsid w:val="00424434"/>
    <w:rsid w:val="0042474A"/>
    <w:rsid w:val="00424B8D"/>
    <w:rsid w:val="00425468"/>
    <w:rsid w:val="00427C84"/>
    <w:rsid w:val="00430A4C"/>
    <w:rsid w:val="004317F7"/>
    <w:rsid w:val="00431B59"/>
    <w:rsid w:val="00434BBC"/>
    <w:rsid w:val="004370C2"/>
    <w:rsid w:val="004441EE"/>
    <w:rsid w:val="00444BF1"/>
    <w:rsid w:val="00445FE6"/>
    <w:rsid w:val="00446B3E"/>
    <w:rsid w:val="004508B4"/>
    <w:rsid w:val="004530ED"/>
    <w:rsid w:val="00454182"/>
    <w:rsid w:val="00454E37"/>
    <w:rsid w:val="00462D47"/>
    <w:rsid w:val="0046341B"/>
    <w:rsid w:val="00465BCC"/>
    <w:rsid w:val="0046672B"/>
    <w:rsid w:val="004668B6"/>
    <w:rsid w:val="00470E2E"/>
    <w:rsid w:val="00471FDB"/>
    <w:rsid w:val="0047400B"/>
    <w:rsid w:val="0047548A"/>
    <w:rsid w:val="00475499"/>
    <w:rsid w:val="004821DD"/>
    <w:rsid w:val="004822EF"/>
    <w:rsid w:val="00482FB4"/>
    <w:rsid w:val="00484DFC"/>
    <w:rsid w:val="004854F3"/>
    <w:rsid w:val="00486537"/>
    <w:rsid w:val="00486F32"/>
    <w:rsid w:val="0049406F"/>
    <w:rsid w:val="004941D6"/>
    <w:rsid w:val="004955EC"/>
    <w:rsid w:val="00495ED7"/>
    <w:rsid w:val="00497F6D"/>
    <w:rsid w:val="004A0100"/>
    <w:rsid w:val="004A0500"/>
    <w:rsid w:val="004A0A26"/>
    <w:rsid w:val="004A22EA"/>
    <w:rsid w:val="004A3FF2"/>
    <w:rsid w:val="004A764E"/>
    <w:rsid w:val="004A79EB"/>
    <w:rsid w:val="004B009A"/>
    <w:rsid w:val="004B0366"/>
    <w:rsid w:val="004B32C1"/>
    <w:rsid w:val="004B49F4"/>
    <w:rsid w:val="004B5BC9"/>
    <w:rsid w:val="004B625C"/>
    <w:rsid w:val="004B6D85"/>
    <w:rsid w:val="004B799D"/>
    <w:rsid w:val="004C1115"/>
    <w:rsid w:val="004C111F"/>
    <w:rsid w:val="004C3FF5"/>
    <w:rsid w:val="004C40DA"/>
    <w:rsid w:val="004C4567"/>
    <w:rsid w:val="004C456E"/>
    <w:rsid w:val="004C57AB"/>
    <w:rsid w:val="004C586C"/>
    <w:rsid w:val="004C6107"/>
    <w:rsid w:val="004D0651"/>
    <w:rsid w:val="004D07B5"/>
    <w:rsid w:val="004D4DA2"/>
    <w:rsid w:val="004D7922"/>
    <w:rsid w:val="004E5EC4"/>
    <w:rsid w:val="004E60C0"/>
    <w:rsid w:val="004E67E2"/>
    <w:rsid w:val="004F10A3"/>
    <w:rsid w:val="004F193D"/>
    <w:rsid w:val="004F4444"/>
    <w:rsid w:val="004F51A5"/>
    <w:rsid w:val="00500479"/>
    <w:rsid w:val="005006FC"/>
    <w:rsid w:val="0050366C"/>
    <w:rsid w:val="00503764"/>
    <w:rsid w:val="00507F13"/>
    <w:rsid w:val="0051197D"/>
    <w:rsid w:val="00513907"/>
    <w:rsid w:val="00513BD6"/>
    <w:rsid w:val="00514397"/>
    <w:rsid w:val="005162D5"/>
    <w:rsid w:val="00522C2E"/>
    <w:rsid w:val="0052760F"/>
    <w:rsid w:val="00527956"/>
    <w:rsid w:val="005357DF"/>
    <w:rsid w:val="00536D14"/>
    <w:rsid w:val="00540DE8"/>
    <w:rsid w:val="005412E7"/>
    <w:rsid w:val="00541AE6"/>
    <w:rsid w:val="00542145"/>
    <w:rsid w:val="005422C2"/>
    <w:rsid w:val="005429F5"/>
    <w:rsid w:val="005436A3"/>
    <w:rsid w:val="00544CA3"/>
    <w:rsid w:val="00550E32"/>
    <w:rsid w:val="0055400C"/>
    <w:rsid w:val="00557C49"/>
    <w:rsid w:val="00560559"/>
    <w:rsid w:val="00560E50"/>
    <w:rsid w:val="00561A3B"/>
    <w:rsid w:val="00561C97"/>
    <w:rsid w:val="005640BC"/>
    <w:rsid w:val="00564B68"/>
    <w:rsid w:val="00567E91"/>
    <w:rsid w:val="0057214F"/>
    <w:rsid w:val="00572CB6"/>
    <w:rsid w:val="00572DDF"/>
    <w:rsid w:val="00573553"/>
    <w:rsid w:val="005745F6"/>
    <w:rsid w:val="0057671F"/>
    <w:rsid w:val="00577803"/>
    <w:rsid w:val="00577813"/>
    <w:rsid w:val="00580E82"/>
    <w:rsid w:val="0058416F"/>
    <w:rsid w:val="00584DDC"/>
    <w:rsid w:val="005855EF"/>
    <w:rsid w:val="0059380D"/>
    <w:rsid w:val="00593B9C"/>
    <w:rsid w:val="005942A4"/>
    <w:rsid w:val="005A01FE"/>
    <w:rsid w:val="005A2870"/>
    <w:rsid w:val="005A3730"/>
    <w:rsid w:val="005B4387"/>
    <w:rsid w:val="005B657E"/>
    <w:rsid w:val="005B7090"/>
    <w:rsid w:val="005C10C9"/>
    <w:rsid w:val="005C3E12"/>
    <w:rsid w:val="005C522C"/>
    <w:rsid w:val="005C5C55"/>
    <w:rsid w:val="005D090A"/>
    <w:rsid w:val="005D0C62"/>
    <w:rsid w:val="005D12B0"/>
    <w:rsid w:val="005D174B"/>
    <w:rsid w:val="005D19C8"/>
    <w:rsid w:val="005D32AB"/>
    <w:rsid w:val="005D4C93"/>
    <w:rsid w:val="005D7A1A"/>
    <w:rsid w:val="005D7A8E"/>
    <w:rsid w:val="005E1082"/>
    <w:rsid w:val="005E2C88"/>
    <w:rsid w:val="005E3861"/>
    <w:rsid w:val="005E51AC"/>
    <w:rsid w:val="005E54B6"/>
    <w:rsid w:val="005E7371"/>
    <w:rsid w:val="005F0BBB"/>
    <w:rsid w:val="006000FC"/>
    <w:rsid w:val="006021D7"/>
    <w:rsid w:val="006030FE"/>
    <w:rsid w:val="0060339E"/>
    <w:rsid w:val="0060359B"/>
    <w:rsid w:val="00604052"/>
    <w:rsid w:val="00606552"/>
    <w:rsid w:val="00614515"/>
    <w:rsid w:val="006162CF"/>
    <w:rsid w:val="0062162B"/>
    <w:rsid w:val="00625B76"/>
    <w:rsid w:val="00627EF7"/>
    <w:rsid w:val="00631914"/>
    <w:rsid w:val="0063298A"/>
    <w:rsid w:val="00633E19"/>
    <w:rsid w:val="00633FF1"/>
    <w:rsid w:val="006341BC"/>
    <w:rsid w:val="00636F1A"/>
    <w:rsid w:val="00641350"/>
    <w:rsid w:val="006415A7"/>
    <w:rsid w:val="00642E14"/>
    <w:rsid w:val="00643DD4"/>
    <w:rsid w:val="00647E2A"/>
    <w:rsid w:val="00650D0C"/>
    <w:rsid w:val="00652A17"/>
    <w:rsid w:val="00652DFD"/>
    <w:rsid w:val="00653FCF"/>
    <w:rsid w:val="00656B87"/>
    <w:rsid w:val="00656E58"/>
    <w:rsid w:val="006612B1"/>
    <w:rsid w:val="00661CAB"/>
    <w:rsid w:val="006622DC"/>
    <w:rsid w:val="00666487"/>
    <w:rsid w:val="00667DCD"/>
    <w:rsid w:val="00667E28"/>
    <w:rsid w:val="00670D65"/>
    <w:rsid w:val="00671FCE"/>
    <w:rsid w:val="006723BC"/>
    <w:rsid w:val="00673DA6"/>
    <w:rsid w:val="006744CE"/>
    <w:rsid w:val="0067542B"/>
    <w:rsid w:val="00675ABB"/>
    <w:rsid w:val="00677E7B"/>
    <w:rsid w:val="006824C3"/>
    <w:rsid w:val="00691494"/>
    <w:rsid w:val="0069284D"/>
    <w:rsid w:val="00696147"/>
    <w:rsid w:val="006966E5"/>
    <w:rsid w:val="00696DAE"/>
    <w:rsid w:val="006A0DF9"/>
    <w:rsid w:val="006A1416"/>
    <w:rsid w:val="006A1CA1"/>
    <w:rsid w:val="006A2624"/>
    <w:rsid w:val="006A50FE"/>
    <w:rsid w:val="006A5BEE"/>
    <w:rsid w:val="006A6F2E"/>
    <w:rsid w:val="006A756B"/>
    <w:rsid w:val="006B1331"/>
    <w:rsid w:val="006B179F"/>
    <w:rsid w:val="006B1B36"/>
    <w:rsid w:val="006B3658"/>
    <w:rsid w:val="006B471E"/>
    <w:rsid w:val="006B6C2A"/>
    <w:rsid w:val="006C05FF"/>
    <w:rsid w:val="006C088B"/>
    <w:rsid w:val="006C29E0"/>
    <w:rsid w:val="006C365E"/>
    <w:rsid w:val="006C687A"/>
    <w:rsid w:val="006D1CC7"/>
    <w:rsid w:val="006D31AD"/>
    <w:rsid w:val="006E05C7"/>
    <w:rsid w:val="006E1003"/>
    <w:rsid w:val="006E267D"/>
    <w:rsid w:val="006E3496"/>
    <w:rsid w:val="006E47DA"/>
    <w:rsid w:val="006E6083"/>
    <w:rsid w:val="006E62AE"/>
    <w:rsid w:val="006E78B0"/>
    <w:rsid w:val="006E7C42"/>
    <w:rsid w:val="006F4EC5"/>
    <w:rsid w:val="007023B3"/>
    <w:rsid w:val="00702578"/>
    <w:rsid w:val="00703ED8"/>
    <w:rsid w:val="00704990"/>
    <w:rsid w:val="00705FB9"/>
    <w:rsid w:val="00710D91"/>
    <w:rsid w:val="0071147A"/>
    <w:rsid w:val="007153C6"/>
    <w:rsid w:val="0071648B"/>
    <w:rsid w:val="00721592"/>
    <w:rsid w:val="007224F0"/>
    <w:rsid w:val="007254BF"/>
    <w:rsid w:val="00732E10"/>
    <w:rsid w:val="00733252"/>
    <w:rsid w:val="007362FA"/>
    <w:rsid w:val="0073740F"/>
    <w:rsid w:val="00741D86"/>
    <w:rsid w:val="00742F86"/>
    <w:rsid w:val="00745374"/>
    <w:rsid w:val="00746E49"/>
    <w:rsid w:val="00750236"/>
    <w:rsid w:val="0075043D"/>
    <w:rsid w:val="00751310"/>
    <w:rsid w:val="0075192C"/>
    <w:rsid w:val="007526ED"/>
    <w:rsid w:val="00752CDE"/>
    <w:rsid w:val="007531AC"/>
    <w:rsid w:val="0075745D"/>
    <w:rsid w:val="00760209"/>
    <w:rsid w:val="00760EAC"/>
    <w:rsid w:val="00763620"/>
    <w:rsid w:val="007639C3"/>
    <w:rsid w:val="00767CA3"/>
    <w:rsid w:val="00770173"/>
    <w:rsid w:val="00772444"/>
    <w:rsid w:val="00772971"/>
    <w:rsid w:val="00772AD5"/>
    <w:rsid w:val="00773A2E"/>
    <w:rsid w:val="0077463B"/>
    <w:rsid w:val="00776128"/>
    <w:rsid w:val="00777317"/>
    <w:rsid w:val="00780E29"/>
    <w:rsid w:val="007811D0"/>
    <w:rsid w:val="00783CEC"/>
    <w:rsid w:val="00785E49"/>
    <w:rsid w:val="00787CBD"/>
    <w:rsid w:val="00790996"/>
    <w:rsid w:val="00790FB7"/>
    <w:rsid w:val="00791984"/>
    <w:rsid w:val="00794159"/>
    <w:rsid w:val="007A0E62"/>
    <w:rsid w:val="007A1793"/>
    <w:rsid w:val="007A1D87"/>
    <w:rsid w:val="007A2B1A"/>
    <w:rsid w:val="007A5EA5"/>
    <w:rsid w:val="007A6FE2"/>
    <w:rsid w:val="007B2C6D"/>
    <w:rsid w:val="007B3233"/>
    <w:rsid w:val="007B378A"/>
    <w:rsid w:val="007B65FC"/>
    <w:rsid w:val="007C0B01"/>
    <w:rsid w:val="007C2713"/>
    <w:rsid w:val="007C39E4"/>
    <w:rsid w:val="007D114E"/>
    <w:rsid w:val="007D390D"/>
    <w:rsid w:val="007D46B1"/>
    <w:rsid w:val="007D4F3D"/>
    <w:rsid w:val="007D5792"/>
    <w:rsid w:val="007D5DEA"/>
    <w:rsid w:val="007D73EB"/>
    <w:rsid w:val="007E0FC9"/>
    <w:rsid w:val="007E33BA"/>
    <w:rsid w:val="007E401C"/>
    <w:rsid w:val="007E46A9"/>
    <w:rsid w:val="007E564F"/>
    <w:rsid w:val="007E5848"/>
    <w:rsid w:val="007E6BF0"/>
    <w:rsid w:val="007E7115"/>
    <w:rsid w:val="007E7307"/>
    <w:rsid w:val="007F0888"/>
    <w:rsid w:val="007F377A"/>
    <w:rsid w:val="007F3DA8"/>
    <w:rsid w:val="007F61CD"/>
    <w:rsid w:val="007F6B5A"/>
    <w:rsid w:val="00800D80"/>
    <w:rsid w:val="00803B46"/>
    <w:rsid w:val="00803E8E"/>
    <w:rsid w:val="00805AE3"/>
    <w:rsid w:val="0081211F"/>
    <w:rsid w:val="00816997"/>
    <w:rsid w:val="00817696"/>
    <w:rsid w:val="00817776"/>
    <w:rsid w:val="008229B4"/>
    <w:rsid w:val="008264AB"/>
    <w:rsid w:val="00827B24"/>
    <w:rsid w:val="00830E23"/>
    <w:rsid w:val="008347B3"/>
    <w:rsid w:val="008373FC"/>
    <w:rsid w:val="0084195C"/>
    <w:rsid w:val="00844623"/>
    <w:rsid w:val="00844F37"/>
    <w:rsid w:val="008466B5"/>
    <w:rsid w:val="008511A4"/>
    <w:rsid w:val="00852916"/>
    <w:rsid w:val="008575B4"/>
    <w:rsid w:val="00860E6C"/>
    <w:rsid w:val="00861AE1"/>
    <w:rsid w:val="00865C4D"/>
    <w:rsid w:val="00870A95"/>
    <w:rsid w:val="008735F9"/>
    <w:rsid w:val="00883CB1"/>
    <w:rsid w:val="008900AB"/>
    <w:rsid w:val="008914DE"/>
    <w:rsid w:val="008918F5"/>
    <w:rsid w:val="00892BBC"/>
    <w:rsid w:val="0089400E"/>
    <w:rsid w:val="00895296"/>
    <w:rsid w:val="008A054F"/>
    <w:rsid w:val="008A150E"/>
    <w:rsid w:val="008A1974"/>
    <w:rsid w:val="008A7153"/>
    <w:rsid w:val="008B1173"/>
    <w:rsid w:val="008B4EE5"/>
    <w:rsid w:val="008B4FFB"/>
    <w:rsid w:val="008B57EE"/>
    <w:rsid w:val="008B7BB7"/>
    <w:rsid w:val="008C2364"/>
    <w:rsid w:val="008C3DBE"/>
    <w:rsid w:val="008C57C9"/>
    <w:rsid w:val="008C6C5B"/>
    <w:rsid w:val="008C7718"/>
    <w:rsid w:val="008C7F06"/>
    <w:rsid w:val="008D149D"/>
    <w:rsid w:val="008D1B14"/>
    <w:rsid w:val="008D1BE9"/>
    <w:rsid w:val="008D1F9E"/>
    <w:rsid w:val="008D3D13"/>
    <w:rsid w:val="008D4119"/>
    <w:rsid w:val="008D590E"/>
    <w:rsid w:val="008D68C3"/>
    <w:rsid w:val="008D74DF"/>
    <w:rsid w:val="008D7C94"/>
    <w:rsid w:val="008E1E7C"/>
    <w:rsid w:val="008E3CE0"/>
    <w:rsid w:val="008E72C1"/>
    <w:rsid w:val="008F1783"/>
    <w:rsid w:val="00900874"/>
    <w:rsid w:val="009010D8"/>
    <w:rsid w:val="00901900"/>
    <w:rsid w:val="00903E9B"/>
    <w:rsid w:val="00903F2D"/>
    <w:rsid w:val="00903F9E"/>
    <w:rsid w:val="00904179"/>
    <w:rsid w:val="00904773"/>
    <w:rsid w:val="0090479D"/>
    <w:rsid w:val="009059A7"/>
    <w:rsid w:val="00905F9C"/>
    <w:rsid w:val="009068A0"/>
    <w:rsid w:val="00907B6D"/>
    <w:rsid w:val="00911EA0"/>
    <w:rsid w:val="0091603A"/>
    <w:rsid w:val="00916A13"/>
    <w:rsid w:val="00916F0C"/>
    <w:rsid w:val="009179EB"/>
    <w:rsid w:val="00920F21"/>
    <w:rsid w:val="00921159"/>
    <w:rsid w:val="009232E8"/>
    <w:rsid w:val="00925E45"/>
    <w:rsid w:val="0092679C"/>
    <w:rsid w:val="0093173B"/>
    <w:rsid w:val="00931D39"/>
    <w:rsid w:val="00931D62"/>
    <w:rsid w:val="00932CB4"/>
    <w:rsid w:val="00934C00"/>
    <w:rsid w:val="00935477"/>
    <w:rsid w:val="00936E49"/>
    <w:rsid w:val="0093772B"/>
    <w:rsid w:val="00937B52"/>
    <w:rsid w:val="00942422"/>
    <w:rsid w:val="00943CFA"/>
    <w:rsid w:val="00945783"/>
    <w:rsid w:val="00947CCC"/>
    <w:rsid w:val="009503BB"/>
    <w:rsid w:val="00950461"/>
    <w:rsid w:val="00950ECE"/>
    <w:rsid w:val="00952324"/>
    <w:rsid w:val="00956680"/>
    <w:rsid w:val="00960974"/>
    <w:rsid w:val="009671C7"/>
    <w:rsid w:val="00970F07"/>
    <w:rsid w:val="00973533"/>
    <w:rsid w:val="00974BEB"/>
    <w:rsid w:val="00974D32"/>
    <w:rsid w:val="0097626B"/>
    <w:rsid w:val="00977FB0"/>
    <w:rsid w:val="00982904"/>
    <w:rsid w:val="00982C21"/>
    <w:rsid w:val="0098324B"/>
    <w:rsid w:val="009867CB"/>
    <w:rsid w:val="00992D59"/>
    <w:rsid w:val="009948BD"/>
    <w:rsid w:val="00994E23"/>
    <w:rsid w:val="009953FE"/>
    <w:rsid w:val="009956CD"/>
    <w:rsid w:val="00997DC5"/>
    <w:rsid w:val="00997DE1"/>
    <w:rsid w:val="009A020C"/>
    <w:rsid w:val="009A056D"/>
    <w:rsid w:val="009A15B1"/>
    <w:rsid w:val="009A27F0"/>
    <w:rsid w:val="009A3324"/>
    <w:rsid w:val="009A7C19"/>
    <w:rsid w:val="009A7C52"/>
    <w:rsid w:val="009B016B"/>
    <w:rsid w:val="009B052F"/>
    <w:rsid w:val="009B409F"/>
    <w:rsid w:val="009B4CAB"/>
    <w:rsid w:val="009C035D"/>
    <w:rsid w:val="009C076E"/>
    <w:rsid w:val="009C1073"/>
    <w:rsid w:val="009C54B7"/>
    <w:rsid w:val="009D0193"/>
    <w:rsid w:val="009D1080"/>
    <w:rsid w:val="009D3DED"/>
    <w:rsid w:val="009D4810"/>
    <w:rsid w:val="009D7AB7"/>
    <w:rsid w:val="009E01AB"/>
    <w:rsid w:val="009E23CA"/>
    <w:rsid w:val="009E35D9"/>
    <w:rsid w:val="009E3AB2"/>
    <w:rsid w:val="009E3FBA"/>
    <w:rsid w:val="009E4266"/>
    <w:rsid w:val="009E73BD"/>
    <w:rsid w:val="009F2B33"/>
    <w:rsid w:val="009F2CA0"/>
    <w:rsid w:val="009F3B94"/>
    <w:rsid w:val="009F42E3"/>
    <w:rsid w:val="009F4EE8"/>
    <w:rsid w:val="009F517C"/>
    <w:rsid w:val="009F621E"/>
    <w:rsid w:val="00A00729"/>
    <w:rsid w:val="00A01059"/>
    <w:rsid w:val="00A017E8"/>
    <w:rsid w:val="00A059BD"/>
    <w:rsid w:val="00A11532"/>
    <w:rsid w:val="00A11779"/>
    <w:rsid w:val="00A14019"/>
    <w:rsid w:val="00A21BFA"/>
    <w:rsid w:val="00A23961"/>
    <w:rsid w:val="00A24BA4"/>
    <w:rsid w:val="00A25B59"/>
    <w:rsid w:val="00A27954"/>
    <w:rsid w:val="00A30E78"/>
    <w:rsid w:val="00A31BA9"/>
    <w:rsid w:val="00A31FA9"/>
    <w:rsid w:val="00A331BE"/>
    <w:rsid w:val="00A339B6"/>
    <w:rsid w:val="00A41A45"/>
    <w:rsid w:val="00A423C3"/>
    <w:rsid w:val="00A45F14"/>
    <w:rsid w:val="00A46594"/>
    <w:rsid w:val="00A47659"/>
    <w:rsid w:val="00A505DA"/>
    <w:rsid w:val="00A50CCE"/>
    <w:rsid w:val="00A53E17"/>
    <w:rsid w:val="00A56FFF"/>
    <w:rsid w:val="00A57BEB"/>
    <w:rsid w:val="00A601FA"/>
    <w:rsid w:val="00A6193D"/>
    <w:rsid w:val="00A6347D"/>
    <w:rsid w:val="00A6451B"/>
    <w:rsid w:val="00A67500"/>
    <w:rsid w:val="00A67CB1"/>
    <w:rsid w:val="00A73FFF"/>
    <w:rsid w:val="00A7620A"/>
    <w:rsid w:val="00A76A83"/>
    <w:rsid w:val="00A77425"/>
    <w:rsid w:val="00A82A17"/>
    <w:rsid w:val="00A82C58"/>
    <w:rsid w:val="00A86BB8"/>
    <w:rsid w:val="00A8788B"/>
    <w:rsid w:val="00A87D59"/>
    <w:rsid w:val="00A922E5"/>
    <w:rsid w:val="00A92B43"/>
    <w:rsid w:val="00A953FD"/>
    <w:rsid w:val="00A96457"/>
    <w:rsid w:val="00A96C7D"/>
    <w:rsid w:val="00A97952"/>
    <w:rsid w:val="00AA33AA"/>
    <w:rsid w:val="00AA4682"/>
    <w:rsid w:val="00AA6E7B"/>
    <w:rsid w:val="00AA6F32"/>
    <w:rsid w:val="00AA7083"/>
    <w:rsid w:val="00AB05DB"/>
    <w:rsid w:val="00AB1F33"/>
    <w:rsid w:val="00AB2242"/>
    <w:rsid w:val="00AC0565"/>
    <w:rsid w:val="00AC2616"/>
    <w:rsid w:val="00AC4AC2"/>
    <w:rsid w:val="00AC6DE1"/>
    <w:rsid w:val="00AC6F91"/>
    <w:rsid w:val="00AD437E"/>
    <w:rsid w:val="00AD4F04"/>
    <w:rsid w:val="00AE0B02"/>
    <w:rsid w:val="00AE10DD"/>
    <w:rsid w:val="00AE497B"/>
    <w:rsid w:val="00AE7A9F"/>
    <w:rsid w:val="00AF0856"/>
    <w:rsid w:val="00AF0B79"/>
    <w:rsid w:val="00AF296D"/>
    <w:rsid w:val="00AF2F1A"/>
    <w:rsid w:val="00AF5DA1"/>
    <w:rsid w:val="00AF6E38"/>
    <w:rsid w:val="00AF7121"/>
    <w:rsid w:val="00B00DD3"/>
    <w:rsid w:val="00B02124"/>
    <w:rsid w:val="00B02844"/>
    <w:rsid w:val="00B04A03"/>
    <w:rsid w:val="00B061A7"/>
    <w:rsid w:val="00B124B8"/>
    <w:rsid w:val="00B1279E"/>
    <w:rsid w:val="00B12CEA"/>
    <w:rsid w:val="00B1591A"/>
    <w:rsid w:val="00B16678"/>
    <w:rsid w:val="00B17728"/>
    <w:rsid w:val="00B247CF"/>
    <w:rsid w:val="00B31C07"/>
    <w:rsid w:val="00B32594"/>
    <w:rsid w:val="00B3350D"/>
    <w:rsid w:val="00B33CDB"/>
    <w:rsid w:val="00B3665F"/>
    <w:rsid w:val="00B4214C"/>
    <w:rsid w:val="00B43B9F"/>
    <w:rsid w:val="00B43CF7"/>
    <w:rsid w:val="00B44B26"/>
    <w:rsid w:val="00B462E2"/>
    <w:rsid w:val="00B46CC7"/>
    <w:rsid w:val="00B50DBD"/>
    <w:rsid w:val="00B514A5"/>
    <w:rsid w:val="00B53DC2"/>
    <w:rsid w:val="00B53E9C"/>
    <w:rsid w:val="00B578BE"/>
    <w:rsid w:val="00B57F05"/>
    <w:rsid w:val="00B61734"/>
    <w:rsid w:val="00B62E5E"/>
    <w:rsid w:val="00B63952"/>
    <w:rsid w:val="00B6411E"/>
    <w:rsid w:val="00B709B8"/>
    <w:rsid w:val="00B70DF1"/>
    <w:rsid w:val="00B70E75"/>
    <w:rsid w:val="00B721E2"/>
    <w:rsid w:val="00B725A2"/>
    <w:rsid w:val="00B7315F"/>
    <w:rsid w:val="00B75343"/>
    <w:rsid w:val="00B76D50"/>
    <w:rsid w:val="00B811EE"/>
    <w:rsid w:val="00B819B7"/>
    <w:rsid w:val="00B827A9"/>
    <w:rsid w:val="00B83C0D"/>
    <w:rsid w:val="00B84BE7"/>
    <w:rsid w:val="00B854C4"/>
    <w:rsid w:val="00B87260"/>
    <w:rsid w:val="00B877AB"/>
    <w:rsid w:val="00B91FB5"/>
    <w:rsid w:val="00B93382"/>
    <w:rsid w:val="00B9347E"/>
    <w:rsid w:val="00B9377D"/>
    <w:rsid w:val="00BA04DA"/>
    <w:rsid w:val="00BA0A60"/>
    <w:rsid w:val="00BA5498"/>
    <w:rsid w:val="00BA6506"/>
    <w:rsid w:val="00BA74AD"/>
    <w:rsid w:val="00BA7CA9"/>
    <w:rsid w:val="00BB045F"/>
    <w:rsid w:val="00BB25B6"/>
    <w:rsid w:val="00BB3796"/>
    <w:rsid w:val="00BB4049"/>
    <w:rsid w:val="00BB62AE"/>
    <w:rsid w:val="00BB65FA"/>
    <w:rsid w:val="00BC11CD"/>
    <w:rsid w:val="00BC2547"/>
    <w:rsid w:val="00BC306E"/>
    <w:rsid w:val="00BC35ED"/>
    <w:rsid w:val="00BC5B22"/>
    <w:rsid w:val="00BC6DCF"/>
    <w:rsid w:val="00BD15CA"/>
    <w:rsid w:val="00BD15FA"/>
    <w:rsid w:val="00BD24FA"/>
    <w:rsid w:val="00BD2C5C"/>
    <w:rsid w:val="00BD4542"/>
    <w:rsid w:val="00BD49AA"/>
    <w:rsid w:val="00BD53EC"/>
    <w:rsid w:val="00BD5BB9"/>
    <w:rsid w:val="00BD5D33"/>
    <w:rsid w:val="00BD7B13"/>
    <w:rsid w:val="00BE0191"/>
    <w:rsid w:val="00BE6620"/>
    <w:rsid w:val="00BE69E1"/>
    <w:rsid w:val="00BE7360"/>
    <w:rsid w:val="00BF0401"/>
    <w:rsid w:val="00BF1BAD"/>
    <w:rsid w:val="00BF1EBF"/>
    <w:rsid w:val="00BF252F"/>
    <w:rsid w:val="00BF488C"/>
    <w:rsid w:val="00BF6534"/>
    <w:rsid w:val="00BF6A72"/>
    <w:rsid w:val="00BF72EF"/>
    <w:rsid w:val="00C00426"/>
    <w:rsid w:val="00C01726"/>
    <w:rsid w:val="00C0294A"/>
    <w:rsid w:val="00C0494D"/>
    <w:rsid w:val="00C0735A"/>
    <w:rsid w:val="00C07686"/>
    <w:rsid w:val="00C078A7"/>
    <w:rsid w:val="00C109A4"/>
    <w:rsid w:val="00C143E7"/>
    <w:rsid w:val="00C16C2E"/>
    <w:rsid w:val="00C21BD0"/>
    <w:rsid w:val="00C254EB"/>
    <w:rsid w:val="00C25B2C"/>
    <w:rsid w:val="00C26BE2"/>
    <w:rsid w:val="00C35FF9"/>
    <w:rsid w:val="00C375EB"/>
    <w:rsid w:val="00C42B03"/>
    <w:rsid w:val="00C42B74"/>
    <w:rsid w:val="00C4356E"/>
    <w:rsid w:val="00C445F4"/>
    <w:rsid w:val="00C44C26"/>
    <w:rsid w:val="00C44E9C"/>
    <w:rsid w:val="00C45237"/>
    <w:rsid w:val="00C454A4"/>
    <w:rsid w:val="00C4655C"/>
    <w:rsid w:val="00C546A2"/>
    <w:rsid w:val="00C60289"/>
    <w:rsid w:val="00C642A3"/>
    <w:rsid w:val="00C6570C"/>
    <w:rsid w:val="00C65CE3"/>
    <w:rsid w:val="00C65E7F"/>
    <w:rsid w:val="00C66584"/>
    <w:rsid w:val="00C67A56"/>
    <w:rsid w:val="00C71439"/>
    <w:rsid w:val="00C757CC"/>
    <w:rsid w:val="00C7694A"/>
    <w:rsid w:val="00C81D5E"/>
    <w:rsid w:val="00C8637F"/>
    <w:rsid w:val="00C87076"/>
    <w:rsid w:val="00C877F2"/>
    <w:rsid w:val="00C918B3"/>
    <w:rsid w:val="00CA1034"/>
    <w:rsid w:val="00CA2DA8"/>
    <w:rsid w:val="00CA3C2F"/>
    <w:rsid w:val="00CA4096"/>
    <w:rsid w:val="00CA4C88"/>
    <w:rsid w:val="00CA5CA2"/>
    <w:rsid w:val="00CA75F5"/>
    <w:rsid w:val="00CB677A"/>
    <w:rsid w:val="00CB7CFA"/>
    <w:rsid w:val="00CC3701"/>
    <w:rsid w:val="00CC569F"/>
    <w:rsid w:val="00CC7554"/>
    <w:rsid w:val="00CD122C"/>
    <w:rsid w:val="00CD1DCD"/>
    <w:rsid w:val="00CD216B"/>
    <w:rsid w:val="00CD59DB"/>
    <w:rsid w:val="00CE2D00"/>
    <w:rsid w:val="00CE4338"/>
    <w:rsid w:val="00CE43F0"/>
    <w:rsid w:val="00CE4DAB"/>
    <w:rsid w:val="00CE5FB9"/>
    <w:rsid w:val="00CE6CBF"/>
    <w:rsid w:val="00CF0F73"/>
    <w:rsid w:val="00CF1526"/>
    <w:rsid w:val="00CF1585"/>
    <w:rsid w:val="00CF1857"/>
    <w:rsid w:val="00CF2D42"/>
    <w:rsid w:val="00CF4709"/>
    <w:rsid w:val="00CF5CF9"/>
    <w:rsid w:val="00CF6C69"/>
    <w:rsid w:val="00CF7041"/>
    <w:rsid w:val="00CF7AF1"/>
    <w:rsid w:val="00D02DA2"/>
    <w:rsid w:val="00D032D8"/>
    <w:rsid w:val="00D04860"/>
    <w:rsid w:val="00D06010"/>
    <w:rsid w:val="00D07BEB"/>
    <w:rsid w:val="00D11ABF"/>
    <w:rsid w:val="00D1240C"/>
    <w:rsid w:val="00D13B76"/>
    <w:rsid w:val="00D16845"/>
    <w:rsid w:val="00D16C96"/>
    <w:rsid w:val="00D23D0E"/>
    <w:rsid w:val="00D24588"/>
    <w:rsid w:val="00D24C75"/>
    <w:rsid w:val="00D265C1"/>
    <w:rsid w:val="00D3060F"/>
    <w:rsid w:val="00D35CEA"/>
    <w:rsid w:val="00D36294"/>
    <w:rsid w:val="00D40B21"/>
    <w:rsid w:val="00D417E5"/>
    <w:rsid w:val="00D42B52"/>
    <w:rsid w:val="00D4523D"/>
    <w:rsid w:val="00D45CC7"/>
    <w:rsid w:val="00D52322"/>
    <w:rsid w:val="00D53CCC"/>
    <w:rsid w:val="00D54B97"/>
    <w:rsid w:val="00D54D69"/>
    <w:rsid w:val="00D551DA"/>
    <w:rsid w:val="00D60D52"/>
    <w:rsid w:val="00D60F07"/>
    <w:rsid w:val="00D618C1"/>
    <w:rsid w:val="00D64B4F"/>
    <w:rsid w:val="00D656B7"/>
    <w:rsid w:val="00D7014A"/>
    <w:rsid w:val="00D746FE"/>
    <w:rsid w:val="00D834B5"/>
    <w:rsid w:val="00D83D3B"/>
    <w:rsid w:val="00D87413"/>
    <w:rsid w:val="00D901DE"/>
    <w:rsid w:val="00D904AF"/>
    <w:rsid w:val="00D91F52"/>
    <w:rsid w:val="00D92A68"/>
    <w:rsid w:val="00D93644"/>
    <w:rsid w:val="00DA0141"/>
    <w:rsid w:val="00DA018A"/>
    <w:rsid w:val="00DA028A"/>
    <w:rsid w:val="00DA1D84"/>
    <w:rsid w:val="00DA2697"/>
    <w:rsid w:val="00DA5F96"/>
    <w:rsid w:val="00DB043B"/>
    <w:rsid w:val="00DB21C2"/>
    <w:rsid w:val="00DB6E8F"/>
    <w:rsid w:val="00DB70DC"/>
    <w:rsid w:val="00DC132F"/>
    <w:rsid w:val="00DC4887"/>
    <w:rsid w:val="00DD115E"/>
    <w:rsid w:val="00DD1E11"/>
    <w:rsid w:val="00DD2453"/>
    <w:rsid w:val="00DD3444"/>
    <w:rsid w:val="00DD3466"/>
    <w:rsid w:val="00DD3EBC"/>
    <w:rsid w:val="00DD4917"/>
    <w:rsid w:val="00DD4C9A"/>
    <w:rsid w:val="00DD511D"/>
    <w:rsid w:val="00DD54EB"/>
    <w:rsid w:val="00DD6C77"/>
    <w:rsid w:val="00DD6DEC"/>
    <w:rsid w:val="00DE2953"/>
    <w:rsid w:val="00DE2C6E"/>
    <w:rsid w:val="00DE5089"/>
    <w:rsid w:val="00DE7541"/>
    <w:rsid w:val="00DF068C"/>
    <w:rsid w:val="00DF262E"/>
    <w:rsid w:val="00DF5463"/>
    <w:rsid w:val="00DF6B0B"/>
    <w:rsid w:val="00DF72A5"/>
    <w:rsid w:val="00DF778A"/>
    <w:rsid w:val="00E01D31"/>
    <w:rsid w:val="00E01D3D"/>
    <w:rsid w:val="00E026FF"/>
    <w:rsid w:val="00E04F75"/>
    <w:rsid w:val="00E06298"/>
    <w:rsid w:val="00E06A1E"/>
    <w:rsid w:val="00E0707C"/>
    <w:rsid w:val="00E11ED7"/>
    <w:rsid w:val="00E13B5F"/>
    <w:rsid w:val="00E150B4"/>
    <w:rsid w:val="00E15EE8"/>
    <w:rsid w:val="00E206FB"/>
    <w:rsid w:val="00E21AF6"/>
    <w:rsid w:val="00E247FF"/>
    <w:rsid w:val="00E26199"/>
    <w:rsid w:val="00E26314"/>
    <w:rsid w:val="00E31934"/>
    <w:rsid w:val="00E337DF"/>
    <w:rsid w:val="00E34A46"/>
    <w:rsid w:val="00E4267C"/>
    <w:rsid w:val="00E43A24"/>
    <w:rsid w:val="00E43FB7"/>
    <w:rsid w:val="00E441E4"/>
    <w:rsid w:val="00E45964"/>
    <w:rsid w:val="00E46BA5"/>
    <w:rsid w:val="00E472E0"/>
    <w:rsid w:val="00E500E7"/>
    <w:rsid w:val="00E50ADE"/>
    <w:rsid w:val="00E5208F"/>
    <w:rsid w:val="00E52A29"/>
    <w:rsid w:val="00E53153"/>
    <w:rsid w:val="00E568BA"/>
    <w:rsid w:val="00E60DE6"/>
    <w:rsid w:val="00E64F64"/>
    <w:rsid w:val="00E6550F"/>
    <w:rsid w:val="00E663DF"/>
    <w:rsid w:val="00E667F2"/>
    <w:rsid w:val="00E66E3D"/>
    <w:rsid w:val="00E674C2"/>
    <w:rsid w:val="00E677B8"/>
    <w:rsid w:val="00E70123"/>
    <w:rsid w:val="00E72CA7"/>
    <w:rsid w:val="00E73202"/>
    <w:rsid w:val="00E81F71"/>
    <w:rsid w:val="00E82661"/>
    <w:rsid w:val="00E8365C"/>
    <w:rsid w:val="00E84A4E"/>
    <w:rsid w:val="00E87014"/>
    <w:rsid w:val="00E8778E"/>
    <w:rsid w:val="00E91735"/>
    <w:rsid w:val="00E92F6F"/>
    <w:rsid w:val="00E943FD"/>
    <w:rsid w:val="00E9450E"/>
    <w:rsid w:val="00E95B63"/>
    <w:rsid w:val="00E96B69"/>
    <w:rsid w:val="00E97642"/>
    <w:rsid w:val="00E97C61"/>
    <w:rsid w:val="00EA0428"/>
    <w:rsid w:val="00EA1839"/>
    <w:rsid w:val="00EA525C"/>
    <w:rsid w:val="00EA743D"/>
    <w:rsid w:val="00EB1A3C"/>
    <w:rsid w:val="00EB2786"/>
    <w:rsid w:val="00EB2C50"/>
    <w:rsid w:val="00EB46D9"/>
    <w:rsid w:val="00EB5204"/>
    <w:rsid w:val="00EB6519"/>
    <w:rsid w:val="00EB6A80"/>
    <w:rsid w:val="00EB720F"/>
    <w:rsid w:val="00EC5736"/>
    <w:rsid w:val="00EC5CDB"/>
    <w:rsid w:val="00ED1935"/>
    <w:rsid w:val="00ED2768"/>
    <w:rsid w:val="00ED27A6"/>
    <w:rsid w:val="00EE1916"/>
    <w:rsid w:val="00EE1DD5"/>
    <w:rsid w:val="00EF08BE"/>
    <w:rsid w:val="00EF0DF5"/>
    <w:rsid w:val="00EF0F9D"/>
    <w:rsid w:val="00EF2511"/>
    <w:rsid w:val="00EF51FB"/>
    <w:rsid w:val="00EF53B1"/>
    <w:rsid w:val="00EF54F7"/>
    <w:rsid w:val="00EF6437"/>
    <w:rsid w:val="00EF7B3B"/>
    <w:rsid w:val="00EF7E9C"/>
    <w:rsid w:val="00F037B6"/>
    <w:rsid w:val="00F03D13"/>
    <w:rsid w:val="00F057B8"/>
    <w:rsid w:val="00F06F6A"/>
    <w:rsid w:val="00F156AA"/>
    <w:rsid w:val="00F16EF6"/>
    <w:rsid w:val="00F179E9"/>
    <w:rsid w:val="00F20681"/>
    <w:rsid w:val="00F20DC5"/>
    <w:rsid w:val="00F2447E"/>
    <w:rsid w:val="00F31E1A"/>
    <w:rsid w:val="00F32841"/>
    <w:rsid w:val="00F32907"/>
    <w:rsid w:val="00F3335E"/>
    <w:rsid w:val="00F35E77"/>
    <w:rsid w:val="00F41240"/>
    <w:rsid w:val="00F418D6"/>
    <w:rsid w:val="00F43903"/>
    <w:rsid w:val="00F4565A"/>
    <w:rsid w:val="00F4588A"/>
    <w:rsid w:val="00F46602"/>
    <w:rsid w:val="00F47901"/>
    <w:rsid w:val="00F52996"/>
    <w:rsid w:val="00F53412"/>
    <w:rsid w:val="00F53726"/>
    <w:rsid w:val="00F55ADF"/>
    <w:rsid w:val="00F5655B"/>
    <w:rsid w:val="00F578D2"/>
    <w:rsid w:val="00F619DB"/>
    <w:rsid w:val="00F63985"/>
    <w:rsid w:val="00F64919"/>
    <w:rsid w:val="00F64A9E"/>
    <w:rsid w:val="00F65C5D"/>
    <w:rsid w:val="00F65EB2"/>
    <w:rsid w:val="00F71140"/>
    <w:rsid w:val="00F711CA"/>
    <w:rsid w:val="00F728B9"/>
    <w:rsid w:val="00F73FE1"/>
    <w:rsid w:val="00F81266"/>
    <w:rsid w:val="00F837C5"/>
    <w:rsid w:val="00F8736B"/>
    <w:rsid w:val="00F87F40"/>
    <w:rsid w:val="00F87FBA"/>
    <w:rsid w:val="00F90994"/>
    <w:rsid w:val="00F90FC3"/>
    <w:rsid w:val="00F9175D"/>
    <w:rsid w:val="00F91C87"/>
    <w:rsid w:val="00F9576E"/>
    <w:rsid w:val="00F97172"/>
    <w:rsid w:val="00FA3AC1"/>
    <w:rsid w:val="00FA43AE"/>
    <w:rsid w:val="00FA597C"/>
    <w:rsid w:val="00FB2F1D"/>
    <w:rsid w:val="00FB667C"/>
    <w:rsid w:val="00FC5E06"/>
    <w:rsid w:val="00FC6504"/>
    <w:rsid w:val="00FD30B7"/>
    <w:rsid w:val="00FD68E7"/>
    <w:rsid w:val="00FD6A10"/>
    <w:rsid w:val="00FE22D7"/>
    <w:rsid w:val="00FE4272"/>
    <w:rsid w:val="00FE63E6"/>
    <w:rsid w:val="00FF14EB"/>
    <w:rsid w:val="00FF26D0"/>
    <w:rsid w:val="00FF3FE5"/>
    <w:rsid w:val="00FF4C81"/>
    <w:rsid w:val="00FF58B3"/>
    <w:rsid w:val="00FF5F91"/>
    <w:rsid w:val="010C17EA"/>
    <w:rsid w:val="01153B57"/>
    <w:rsid w:val="01256BE7"/>
    <w:rsid w:val="01967DCC"/>
    <w:rsid w:val="01EC20E2"/>
    <w:rsid w:val="02164FC6"/>
    <w:rsid w:val="02422369"/>
    <w:rsid w:val="0275478F"/>
    <w:rsid w:val="02863CFD"/>
    <w:rsid w:val="02A32060"/>
    <w:rsid w:val="02CB3ABB"/>
    <w:rsid w:val="02E80AFB"/>
    <w:rsid w:val="02F3758A"/>
    <w:rsid w:val="033F5C6F"/>
    <w:rsid w:val="037812F4"/>
    <w:rsid w:val="0406450A"/>
    <w:rsid w:val="04165736"/>
    <w:rsid w:val="04243DB5"/>
    <w:rsid w:val="042542DE"/>
    <w:rsid w:val="04520662"/>
    <w:rsid w:val="04842688"/>
    <w:rsid w:val="049A5E25"/>
    <w:rsid w:val="04BD1B14"/>
    <w:rsid w:val="05015DB0"/>
    <w:rsid w:val="05486C87"/>
    <w:rsid w:val="055C132D"/>
    <w:rsid w:val="055F4150"/>
    <w:rsid w:val="05B336F9"/>
    <w:rsid w:val="05B42D89"/>
    <w:rsid w:val="05F14D67"/>
    <w:rsid w:val="06077803"/>
    <w:rsid w:val="0609362E"/>
    <w:rsid w:val="062254F8"/>
    <w:rsid w:val="06625496"/>
    <w:rsid w:val="0689375E"/>
    <w:rsid w:val="068B7826"/>
    <w:rsid w:val="071E2D3E"/>
    <w:rsid w:val="07271AEB"/>
    <w:rsid w:val="073216FD"/>
    <w:rsid w:val="07840A97"/>
    <w:rsid w:val="07A171AB"/>
    <w:rsid w:val="07AE2C0E"/>
    <w:rsid w:val="07CE55F2"/>
    <w:rsid w:val="07DB42DB"/>
    <w:rsid w:val="07E10001"/>
    <w:rsid w:val="0807410A"/>
    <w:rsid w:val="0834624D"/>
    <w:rsid w:val="088176C6"/>
    <w:rsid w:val="088219AA"/>
    <w:rsid w:val="08B71FD9"/>
    <w:rsid w:val="090B72F2"/>
    <w:rsid w:val="099D5711"/>
    <w:rsid w:val="0A795802"/>
    <w:rsid w:val="0AB661D5"/>
    <w:rsid w:val="0AC0410C"/>
    <w:rsid w:val="0AC3328D"/>
    <w:rsid w:val="0ACF008A"/>
    <w:rsid w:val="0AE56ABA"/>
    <w:rsid w:val="0B4C2185"/>
    <w:rsid w:val="0B7727D1"/>
    <w:rsid w:val="0BA27BC8"/>
    <w:rsid w:val="0BA55DDA"/>
    <w:rsid w:val="0BCE595E"/>
    <w:rsid w:val="0C517711"/>
    <w:rsid w:val="0C727782"/>
    <w:rsid w:val="0CA227D1"/>
    <w:rsid w:val="0CAD246E"/>
    <w:rsid w:val="0D076AAD"/>
    <w:rsid w:val="0D2E4C17"/>
    <w:rsid w:val="0D6B035F"/>
    <w:rsid w:val="0D79395A"/>
    <w:rsid w:val="0DA73361"/>
    <w:rsid w:val="0DA74E85"/>
    <w:rsid w:val="0E257F4A"/>
    <w:rsid w:val="0E3E465C"/>
    <w:rsid w:val="0E811712"/>
    <w:rsid w:val="0F1253B8"/>
    <w:rsid w:val="0F145373"/>
    <w:rsid w:val="0F9242C9"/>
    <w:rsid w:val="0FB719A1"/>
    <w:rsid w:val="0FD75D43"/>
    <w:rsid w:val="0FDB43AD"/>
    <w:rsid w:val="10160A0B"/>
    <w:rsid w:val="101D3604"/>
    <w:rsid w:val="10594DE6"/>
    <w:rsid w:val="10686DD7"/>
    <w:rsid w:val="107E65FB"/>
    <w:rsid w:val="109113E4"/>
    <w:rsid w:val="109B4630"/>
    <w:rsid w:val="10E34881"/>
    <w:rsid w:val="111451B1"/>
    <w:rsid w:val="116F4D81"/>
    <w:rsid w:val="11AB2F95"/>
    <w:rsid w:val="120B0362"/>
    <w:rsid w:val="128A5555"/>
    <w:rsid w:val="129C5FF9"/>
    <w:rsid w:val="12C02CDB"/>
    <w:rsid w:val="12EF1D2E"/>
    <w:rsid w:val="131B23AD"/>
    <w:rsid w:val="132F22B6"/>
    <w:rsid w:val="13486DCB"/>
    <w:rsid w:val="13811D28"/>
    <w:rsid w:val="1399374C"/>
    <w:rsid w:val="13A23F75"/>
    <w:rsid w:val="13AC0C03"/>
    <w:rsid w:val="13E12BA1"/>
    <w:rsid w:val="13FB2E04"/>
    <w:rsid w:val="141C7EA6"/>
    <w:rsid w:val="1432607A"/>
    <w:rsid w:val="143B0866"/>
    <w:rsid w:val="145202AB"/>
    <w:rsid w:val="146546C8"/>
    <w:rsid w:val="1466148F"/>
    <w:rsid w:val="148443FC"/>
    <w:rsid w:val="148B578A"/>
    <w:rsid w:val="149C69C1"/>
    <w:rsid w:val="14C013EB"/>
    <w:rsid w:val="154D3DDA"/>
    <w:rsid w:val="15AA0A99"/>
    <w:rsid w:val="15C70701"/>
    <w:rsid w:val="15F43A69"/>
    <w:rsid w:val="15F630D7"/>
    <w:rsid w:val="167C0225"/>
    <w:rsid w:val="169D685A"/>
    <w:rsid w:val="16C42250"/>
    <w:rsid w:val="16CE2114"/>
    <w:rsid w:val="16E64EFA"/>
    <w:rsid w:val="17681DB3"/>
    <w:rsid w:val="1780041E"/>
    <w:rsid w:val="17C74D2B"/>
    <w:rsid w:val="17EC4792"/>
    <w:rsid w:val="18B038DF"/>
    <w:rsid w:val="18BC141D"/>
    <w:rsid w:val="190D249C"/>
    <w:rsid w:val="1928773F"/>
    <w:rsid w:val="1934019F"/>
    <w:rsid w:val="194128BC"/>
    <w:rsid w:val="194507A0"/>
    <w:rsid w:val="194E3EEF"/>
    <w:rsid w:val="198D6224"/>
    <w:rsid w:val="199A1848"/>
    <w:rsid w:val="19A35324"/>
    <w:rsid w:val="19C03EB7"/>
    <w:rsid w:val="19C5507B"/>
    <w:rsid w:val="19C95F2A"/>
    <w:rsid w:val="19EF40C6"/>
    <w:rsid w:val="19F41D96"/>
    <w:rsid w:val="1A0548AF"/>
    <w:rsid w:val="1A2900F4"/>
    <w:rsid w:val="1A2D426C"/>
    <w:rsid w:val="1A567094"/>
    <w:rsid w:val="1A7367AB"/>
    <w:rsid w:val="1A7D4672"/>
    <w:rsid w:val="1AA44EB0"/>
    <w:rsid w:val="1AAE326B"/>
    <w:rsid w:val="1AFC6A9A"/>
    <w:rsid w:val="1B5A2537"/>
    <w:rsid w:val="1B660E75"/>
    <w:rsid w:val="1B7C1AC6"/>
    <w:rsid w:val="1B8224A6"/>
    <w:rsid w:val="1B975B4C"/>
    <w:rsid w:val="1BD25A4D"/>
    <w:rsid w:val="1C3C141F"/>
    <w:rsid w:val="1C4622D6"/>
    <w:rsid w:val="1C5923E0"/>
    <w:rsid w:val="1C5B68BD"/>
    <w:rsid w:val="1C5D5C5E"/>
    <w:rsid w:val="1C620C12"/>
    <w:rsid w:val="1C8E7A48"/>
    <w:rsid w:val="1CB223F6"/>
    <w:rsid w:val="1CCA1678"/>
    <w:rsid w:val="1CE75528"/>
    <w:rsid w:val="1CEC2B3E"/>
    <w:rsid w:val="1CFE2121"/>
    <w:rsid w:val="1D6E6501"/>
    <w:rsid w:val="1D6E79F7"/>
    <w:rsid w:val="1D74259D"/>
    <w:rsid w:val="1DB35F7C"/>
    <w:rsid w:val="1E3B6102"/>
    <w:rsid w:val="1E6432D4"/>
    <w:rsid w:val="1E742E90"/>
    <w:rsid w:val="1EDA35C3"/>
    <w:rsid w:val="1F3D2198"/>
    <w:rsid w:val="1F4E3041"/>
    <w:rsid w:val="1F5477CE"/>
    <w:rsid w:val="202A40A9"/>
    <w:rsid w:val="205C62DB"/>
    <w:rsid w:val="209E23A2"/>
    <w:rsid w:val="20C637A5"/>
    <w:rsid w:val="20D0092B"/>
    <w:rsid w:val="20DA7A27"/>
    <w:rsid w:val="211B610E"/>
    <w:rsid w:val="211E5E44"/>
    <w:rsid w:val="21230DB2"/>
    <w:rsid w:val="212925B3"/>
    <w:rsid w:val="21510737"/>
    <w:rsid w:val="21667363"/>
    <w:rsid w:val="21884916"/>
    <w:rsid w:val="21902632"/>
    <w:rsid w:val="21A378B9"/>
    <w:rsid w:val="21BE3C5A"/>
    <w:rsid w:val="21D816CA"/>
    <w:rsid w:val="21F41AEF"/>
    <w:rsid w:val="222531C4"/>
    <w:rsid w:val="224372DE"/>
    <w:rsid w:val="228C3320"/>
    <w:rsid w:val="22934892"/>
    <w:rsid w:val="22964CB4"/>
    <w:rsid w:val="22E23ECE"/>
    <w:rsid w:val="23185789"/>
    <w:rsid w:val="237D2742"/>
    <w:rsid w:val="23953F30"/>
    <w:rsid w:val="23A9212A"/>
    <w:rsid w:val="23C36021"/>
    <w:rsid w:val="23C51742"/>
    <w:rsid w:val="23DA5DE6"/>
    <w:rsid w:val="23E40A13"/>
    <w:rsid w:val="23EF17C4"/>
    <w:rsid w:val="24017274"/>
    <w:rsid w:val="24121836"/>
    <w:rsid w:val="24310219"/>
    <w:rsid w:val="248F3363"/>
    <w:rsid w:val="24BA764A"/>
    <w:rsid w:val="24D50EFC"/>
    <w:rsid w:val="24E649E0"/>
    <w:rsid w:val="24EA4B39"/>
    <w:rsid w:val="25046B01"/>
    <w:rsid w:val="250550E5"/>
    <w:rsid w:val="25111C46"/>
    <w:rsid w:val="251B7A3F"/>
    <w:rsid w:val="253B0639"/>
    <w:rsid w:val="253F23A5"/>
    <w:rsid w:val="254B0802"/>
    <w:rsid w:val="259A3A19"/>
    <w:rsid w:val="259C15A5"/>
    <w:rsid w:val="25F17D6D"/>
    <w:rsid w:val="260E7BC2"/>
    <w:rsid w:val="26220D2B"/>
    <w:rsid w:val="263A0DB0"/>
    <w:rsid w:val="26EA4592"/>
    <w:rsid w:val="2707059A"/>
    <w:rsid w:val="274968C3"/>
    <w:rsid w:val="276264AD"/>
    <w:rsid w:val="2767668F"/>
    <w:rsid w:val="27951A8E"/>
    <w:rsid w:val="27C9064C"/>
    <w:rsid w:val="27DF53BB"/>
    <w:rsid w:val="27FA6A57"/>
    <w:rsid w:val="281C26A2"/>
    <w:rsid w:val="282C5587"/>
    <w:rsid w:val="286260CB"/>
    <w:rsid w:val="28757E8C"/>
    <w:rsid w:val="287E29B7"/>
    <w:rsid w:val="29363ABF"/>
    <w:rsid w:val="2950496F"/>
    <w:rsid w:val="295E29BA"/>
    <w:rsid w:val="2976430B"/>
    <w:rsid w:val="298A5C70"/>
    <w:rsid w:val="29946A38"/>
    <w:rsid w:val="29A62027"/>
    <w:rsid w:val="29D41132"/>
    <w:rsid w:val="29EA2E65"/>
    <w:rsid w:val="2A2329E3"/>
    <w:rsid w:val="2A257B11"/>
    <w:rsid w:val="2A433FDF"/>
    <w:rsid w:val="2A667E3C"/>
    <w:rsid w:val="2A7156E7"/>
    <w:rsid w:val="2A7317D3"/>
    <w:rsid w:val="2A9803F1"/>
    <w:rsid w:val="2AAA6513"/>
    <w:rsid w:val="2AC47F1A"/>
    <w:rsid w:val="2AE026A8"/>
    <w:rsid w:val="2AE04FF2"/>
    <w:rsid w:val="2B0D5E23"/>
    <w:rsid w:val="2B895054"/>
    <w:rsid w:val="2BD46333"/>
    <w:rsid w:val="2C2440A3"/>
    <w:rsid w:val="2C307C60"/>
    <w:rsid w:val="2C3927B1"/>
    <w:rsid w:val="2C545F44"/>
    <w:rsid w:val="2C5823B5"/>
    <w:rsid w:val="2C5E1C1D"/>
    <w:rsid w:val="2C736DD8"/>
    <w:rsid w:val="2C907A9F"/>
    <w:rsid w:val="2C9A2720"/>
    <w:rsid w:val="2CFB024B"/>
    <w:rsid w:val="2D430542"/>
    <w:rsid w:val="2D5806C4"/>
    <w:rsid w:val="2DAF3E40"/>
    <w:rsid w:val="2DDF5CC1"/>
    <w:rsid w:val="2EF2764D"/>
    <w:rsid w:val="2F275442"/>
    <w:rsid w:val="2F310C07"/>
    <w:rsid w:val="2F4B5DEA"/>
    <w:rsid w:val="2F866E8C"/>
    <w:rsid w:val="2FBC4F11"/>
    <w:rsid w:val="30026D12"/>
    <w:rsid w:val="300C37CC"/>
    <w:rsid w:val="301369BF"/>
    <w:rsid w:val="30527CE5"/>
    <w:rsid w:val="30636123"/>
    <w:rsid w:val="307971C3"/>
    <w:rsid w:val="30955FA1"/>
    <w:rsid w:val="30B8478C"/>
    <w:rsid w:val="30C333F5"/>
    <w:rsid w:val="30FD5F74"/>
    <w:rsid w:val="313E5696"/>
    <w:rsid w:val="316A6620"/>
    <w:rsid w:val="3195415B"/>
    <w:rsid w:val="319D3F94"/>
    <w:rsid w:val="31C20A7A"/>
    <w:rsid w:val="31F70515"/>
    <w:rsid w:val="31FD5DBF"/>
    <w:rsid w:val="320811E8"/>
    <w:rsid w:val="32A368F5"/>
    <w:rsid w:val="32D87995"/>
    <w:rsid w:val="32E30699"/>
    <w:rsid w:val="33146C10"/>
    <w:rsid w:val="33184DB7"/>
    <w:rsid w:val="33AC2261"/>
    <w:rsid w:val="33B51A84"/>
    <w:rsid w:val="33D4727D"/>
    <w:rsid w:val="34B561E0"/>
    <w:rsid w:val="34D14F32"/>
    <w:rsid w:val="34D776E7"/>
    <w:rsid w:val="34FE3911"/>
    <w:rsid w:val="350805A7"/>
    <w:rsid w:val="350B2C11"/>
    <w:rsid w:val="35424DB4"/>
    <w:rsid w:val="354C7B88"/>
    <w:rsid w:val="35642652"/>
    <w:rsid w:val="35AE12A1"/>
    <w:rsid w:val="360228BF"/>
    <w:rsid w:val="360C7CFD"/>
    <w:rsid w:val="365B1B86"/>
    <w:rsid w:val="366B28CE"/>
    <w:rsid w:val="367F41D2"/>
    <w:rsid w:val="36BE159D"/>
    <w:rsid w:val="36E24BC7"/>
    <w:rsid w:val="36EB6DC4"/>
    <w:rsid w:val="37293F4F"/>
    <w:rsid w:val="3773322A"/>
    <w:rsid w:val="37B03DA6"/>
    <w:rsid w:val="37D3533A"/>
    <w:rsid w:val="37EA2644"/>
    <w:rsid w:val="385A223F"/>
    <w:rsid w:val="389F72F3"/>
    <w:rsid w:val="38A800C7"/>
    <w:rsid w:val="38CE3ABD"/>
    <w:rsid w:val="38DC088D"/>
    <w:rsid w:val="38F109C3"/>
    <w:rsid w:val="39C85FA8"/>
    <w:rsid w:val="3A313BC8"/>
    <w:rsid w:val="3AAD1967"/>
    <w:rsid w:val="3AB31750"/>
    <w:rsid w:val="3AD12CC2"/>
    <w:rsid w:val="3B8C7800"/>
    <w:rsid w:val="3B9A7EDD"/>
    <w:rsid w:val="3BCC257D"/>
    <w:rsid w:val="3BD60B22"/>
    <w:rsid w:val="3C1375C5"/>
    <w:rsid w:val="3C476E07"/>
    <w:rsid w:val="3CE07F79"/>
    <w:rsid w:val="3D0F6763"/>
    <w:rsid w:val="3D1C1E9A"/>
    <w:rsid w:val="3D280A5B"/>
    <w:rsid w:val="3D2A34E3"/>
    <w:rsid w:val="3D5C16A1"/>
    <w:rsid w:val="3D7B5B5B"/>
    <w:rsid w:val="3DAB7747"/>
    <w:rsid w:val="3DBC3A8D"/>
    <w:rsid w:val="3DD27E02"/>
    <w:rsid w:val="3DF330D9"/>
    <w:rsid w:val="3E2D5039"/>
    <w:rsid w:val="3E4B6664"/>
    <w:rsid w:val="3E582A9C"/>
    <w:rsid w:val="3E7964D0"/>
    <w:rsid w:val="3EA30731"/>
    <w:rsid w:val="3EC977A1"/>
    <w:rsid w:val="3EE770D7"/>
    <w:rsid w:val="3EF0656C"/>
    <w:rsid w:val="3F4D34B9"/>
    <w:rsid w:val="3F5F6A35"/>
    <w:rsid w:val="3F726015"/>
    <w:rsid w:val="3FD77BAA"/>
    <w:rsid w:val="401D40FA"/>
    <w:rsid w:val="4098049D"/>
    <w:rsid w:val="40DF6392"/>
    <w:rsid w:val="40F6359C"/>
    <w:rsid w:val="410F6555"/>
    <w:rsid w:val="414F3518"/>
    <w:rsid w:val="41511AD5"/>
    <w:rsid w:val="41645E6E"/>
    <w:rsid w:val="41B83649"/>
    <w:rsid w:val="41D35EF7"/>
    <w:rsid w:val="41DF04EA"/>
    <w:rsid w:val="42086157"/>
    <w:rsid w:val="423142F0"/>
    <w:rsid w:val="42385148"/>
    <w:rsid w:val="424741EF"/>
    <w:rsid w:val="424A0157"/>
    <w:rsid w:val="425D2944"/>
    <w:rsid w:val="426209C8"/>
    <w:rsid w:val="42A258CA"/>
    <w:rsid w:val="43107350"/>
    <w:rsid w:val="432A412C"/>
    <w:rsid w:val="4330324F"/>
    <w:rsid w:val="43373254"/>
    <w:rsid w:val="433C0400"/>
    <w:rsid w:val="43882D11"/>
    <w:rsid w:val="43C200BF"/>
    <w:rsid w:val="43CC20DA"/>
    <w:rsid w:val="44163A79"/>
    <w:rsid w:val="44552337"/>
    <w:rsid w:val="44867E96"/>
    <w:rsid w:val="44BC1930"/>
    <w:rsid w:val="44BC2C73"/>
    <w:rsid w:val="44C91833"/>
    <w:rsid w:val="44D501D8"/>
    <w:rsid w:val="44E17945"/>
    <w:rsid w:val="45373785"/>
    <w:rsid w:val="456604E0"/>
    <w:rsid w:val="462D713C"/>
    <w:rsid w:val="46484638"/>
    <w:rsid w:val="46831C76"/>
    <w:rsid w:val="468A0822"/>
    <w:rsid w:val="468E4AE3"/>
    <w:rsid w:val="46B96933"/>
    <w:rsid w:val="46D52BC8"/>
    <w:rsid w:val="47065B76"/>
    <w:rsid w:val="47153DF3"/>
    <w:rsid w:val="472D3538"/>
    <w:rsid w:val="4736652B"/>
    <w:rsid w:val="47B362E4"/>
    <w:rsid w:val="47B801CA"/>
    <w:rsid w:val="47CC4257"/>
    <w:rsid w:val="47E17C5F"/>
    <w:rsid w:val="47E75C89"/>
    <w:rsid w:val="47F00E85"/>
    <w:rsid w:val="480F3A01"/>
    <w:rsid w:val="48353619"/>
    <w:rsid w:val="48414A85"/>
    <w:rsid w:val="485106FC"/>
    <w:rsid w:val="487D096B"/>
    <w:rsid w:val="48A31674"/>
    <w:rsid w:val="48A5058A"/>
    <w:rsid w:val="48B325DE"/>
    <w:rsid w:val="48C15350"/>
    <w:rsid w:val="49413E8D"/>
    <w:rsid w:val="496505A0"/>
    <w:rsid w:val="496F0BFB"/>
    <w:rsid w:val="49755AB1"/>
    <w:rsid w:val="49A026BD"/>
    <w:rsid w:val="49D23A49"/>
    <w:rsid w:val="49E96FDA"/>
    <w:rsid w:val="4A3035BB"/>
    <w:rsid w:val="4A4B09D9"/>
    <w:rsid w:val="4A5908C0"/>
    <w:rsid w:val="4A6C6EE9"/>
    <w:rsid w:val="4A782655"/>
    <w:rsid w:val="4B0C247A"/>
    <w:rsid w:val="4B1052B9"/>
    <w:rsid w:val="4B111CDC"/>
    <w:rsid w:val="4B4B2D21"/>
    <w:rsid w:val="4B717EF9"/>
    <w:rsid w:val="4BAE43B7"/>
    <w:rsid w:val="4BAF0E23"/>
    <w:rsid w:val="4BD21601"/>
    <w:rsid w:val="4BF80F85"/>
    <w:rsid w:val="4C3C0825"/>
    <w:rsid w:val="4C4E2360"/>
    <w:rsid w:val="4C703F50"/>
    <w:rsid w:val="4CC823D1"/>
    <w:rsid w:val="4CCD27B1"/>
    <w:rsid w:val="4CCF4EFA"/>
    <w:rsid w:val="4D1473F9"/>
    <w:rsid w:val="4D277082"/>
    <w:rsid w:val="4D4D4C94"/>
    <w:rsid w:val="4D5048A0"/>
    <w:rsid w:val="4D817439"/>
    <w:rsid w:val="4E166EC4"/>
    <w:rsid w:val="4E2B3DE0"/>
    <w:rsid w:val="4E600306"/>
    <w:rsid w:val="4E670940"/>
    <w:rsid w:val="4E941A56"/>
    <w:rsid w:val="4E980C89"/>
    <w:rsid w:val="4EBC27F9"/>
    <w:rsid w:val="4EE26AC4"/>
    <w:rsid w:val="4F071BF9"/>
    <w:rsid w:val="4F0E4A13"/>
    <w:rsid w:val="4F47584C"/>
    <w:rsid w:val="4F4C553B"/>
    <w:rsid w:val="4F557FA5"/>
    <w:rsid w:val="4F9323F3"/>
    <w:rsid w:val="4F9667B6"/>
    <w:rsid w:val="4FA74325"/>
    <w:rsid w:val="4FC13833"/>
    <w:rsid w:val="50342257"/>
    <w:rsid w:val="50821469"/>
    <w:rsid w:val="50D00E0E"/>
    <w:rsid w:val="510C5FB5"/>
    <w:rsid w:val="51830965"/>
    <w:rsid w:val="51BA020E"/>
    <w:rsid w:val="51C944B0"/>
    <w:rsid w:val="51F010D6"/>
    <w:rsid w:val="51F41470"/>
    <w:rsid w:val="520B242B"/>
    <w:rsid w:val="52622F8D"/>
    <w:rsid w:val="52C13669"/>
    <w:rsid w:val="52CC1BF6"/>
    <w:rsid w:val="52E369E5"/>
    <w:rsid w:val="53495210"/>
    <w:rsid w:val="53C422FB"/>
    <w:rsid w:val="53D376B8"/>
    <w:rsid w:val="53D564F3"/>
    <w:rsid w:val="53E30AC4"/>
    <w:rsid w:val="541145DC"/>
    <w:rsid w:val="54225FF3"/>
    <w:rsid w:val="542D6275"/>
    <w:rsid w:val="54310FFD"/>
    <w:rsid w:val="54317DB4"/>
    <w:rsid w:val="546565BE"/>
    <w:rsid w:val="54A22AA4"/>
    <w:rsid w:val="54D27AD9"/>
    <w:rsid w:val="54F27683"/>
    <w:rsid w:val="551810D9"/>
    <w:rsid w:val="55295B15"/>
    <w:rsid w:val="55391CB3"/>
    <w:rsid w:val="55545E8D"/>
    <w:rsid w:val="557A6DB8"/>
    <w:rsid w:val="55861C9E"/>
    <w:rsid w:val="55C510C6"/>
    <w:rsid w:val="56175063"/>
    <w:rsid w:val="56280B2E"/>
    <w:rsid w:val="564A20C5"/>
    <w:rsid w:val="56A874FB"/>
    <w:rsid w:val="570A4794"/>
    <w:rsid w:val="574C1253"/>
    <w:rsid w:val="57725C07"/>
    <w:rsid w:val="577F4436"/>
    <w:rsid w:val="577F7059"/>
    <w:rsid w:val="57D57251"/>
    <w:rsid w:val="57F724F1"/>
    <w:rsid w:val="580746F5"/>
    <w:rsid w:val="5814471C"/>
    <w:rsid w:val="585E23F0"/>
    <w:rsid w:val="586C27AA"/>
    <w:rsid w:val="58726012"/>
    <w:rsid w:val="589337FE"/>
    <w:rsid w:val="58C77477"/>
    <w:rsid w:val="58CC5572"/>
    <w:rsid w:val="58D9548B"/>
    <w:rsid w:val="58EA1343"/>
    <w:rsid w:val="58EE3C43"/>
    <w:rsid w:val="592D48F7"/>
    <w:rsid w:val="592E08A3"/>
    <w:rsid w:val="5948212E"/>
    <w:rsid w:val="59810B11"/>
    <w:rsid w:val="5A79536E"/>
    <w:rsid w:val="5AC16DDD"/>
    <w:rsid w:val="5AD41B5C"/>
    <w:rsid w:val="5AE605F2"/>
    <w:rsid w:val="5AFC776D"/>
    <w:rsid w:val="5B0C4F02"/>
    <w:rsid w:val="5B203B1A"/>
    <w:rsid w:val="5B386973"/>
    <w:rsid w:val="5B3A093D"/>
    <w:rsid w:val="5B777B7D"/>
    <w:rsid w:val="5BC85E2A"/>
    <w:rsid w:val="5BCB2A2E"/>
    <w:rsid w:val="5BDF231B"/>
    <w:rsid w:val="5C0827EA"/>
    <w:rsid w:val="5C2A29C1"/>
    <w:rsid w:val="5C335AB8"/>
    <w:rsid w:val="5C381899"/>
    <w:rsid w:val="5C521F55"/>
    <w:rsid w:val="5C587A75"/>
    <w:rsid w:val="5C711B98"/>
    <w:rsid w:val="5C96111B"/>
    <w:rsid w:val="5CC7109C"/>
    <w:rsid w:val="5CC93AA8"/>
    <w:rsid w:val="5CDC1CAC"/>
    <w:rsid w:val="5CF43F63"/>
    <w:rsid w:val="5CFB327D"/>
    <w:rsid w:val="5D0715E2"/>
    <w:rsid w:val="5D1A27D4"/>
    <w:rsid w:val="5D35760E"/>
    <w:rsid w:val="5D4B1566"/>
    <w:rsid w:val="5D56306C"/>
    <w:rsid w:val="5D7E30A1"/>
    <w:rsid w:val="5D9C58DF"/>
    <w:rsid w:val="5DCE3E14"/>
    <w:rsid w:val="5E021C74"/>
    <w:rsid w:val="5E0E35A3"/>
    <w:rsid w:val="5E153C6B"/>
    <w:rsid w:val="5E9B16F3"/>
    <w:rsid w:val="5EA467FA"/>
    <w:rsid w:val="5EEE5CC7"/>
    <w:rsid w:val="5EFB4BD5"/>
    <w:rsid w:val="5F4B456F"/>
    <w:rsid w:val="5F51216C"/>
    <w:rsid w:val="5F72458A"/>
    <w:rsid w:val="5FA350A0"/>
    <w:rsid w:val="5FC0084A"/>
    <w:rsid w:val="5FC42773"/>
    <w:rsid w:val="5FC56E5F"/>
    <w:rsid w:val="5FDA6506"/>
    <w:rsid w:val="5FEA18DA"/>
    <w:rsid w:val="603431CA"/>
    <w:rsid w:val="61161505"/>
    <w:rsid w:val="61166845"/>
    <w:rsid w:val="61521C1E"/>
    <w:rsid w:val="615A02C8"/>
    <w:rsid w:val="61760567"/>
    <w:rsid w:val="617E4632"/>
    <w:rsid w:val="62057497"/>
    <w:rsid w:val="62252F24"/>
    <w:rsid w:val="623E51B7"/>
    <w:rsid w:val="624D4041"/>
    <w:rsid w:val="6271733B"/>
    <w:rsid w:val="629B06A9"/>
    <w:rsid w:val="62BA532A"/>
    <w:rsid w:val="62C040D9"/>
    <w:rsid w:val="62E278F0"/>
    <w:rsid w:val="639923F3"/>
    <w:rsid w:val="63E3031A"/>
    <w:rsid w:val="63FF42BA"/>
    <w:rsid w:val="6407136E"/>
    <w:rsid w:val="644F4D38"/>
    <w:rsid w:val="64801AB7"/>
    <w:rsid w:val="648028B9"/>
    <w:rsid w:val="648C7EFE"/>
    <w:rsid w:val="64AC2EA2"/>
    <w:rsid w:val="64C74014"/>
    <w:rsid w:val="658560D0"/>
    <w:rsid w:val="65B57958"/>
    <w:rsid w:val="65E67470"/>
    <w:rsid w:val="6632293D"/>
    <w:rsid w:val="664F11C3"/>
    <w:rsid w:val="668B2F39"/>
    <w:rsid w:val="66B15F58"/>
    <w:rsid w:val="66B97468"/>
    <w:rsid w:val="66BE0104"/>
    <w:rsid w:val="66F3205B"/>
    <w:rsid w:val="671310F4"/>
    <w:rsid w:val="67800F27"/>
    <w:rsid w:val="678C183E"/>
    <w:rsid w:val="67A213C6"/>
    <w:rsid w:val="67C65A33"/>
    <w:rsid w:val="67CE79EB"/>
    <w:rsid w:val="67E10571"/>
    <w:rsid w:val="685E10D3"/>
    <w:rsid w:val="6888718C"/>
    <w:rsid w:val="68A0020A"/>
    <w:rsid w:val="68B80A62"/>
    <w:rsid w:val="690A5DF3"/>
    <w:rsid w:val="690A71E9"/>
    <w:rsid w:val="69636368"/>
    <w:rsid w:val="696A54A5"/>
    <w:rsid w:val="697E2AC3"/>
    <w:rsid w:val="699833FF"/>
    <w:rsid w:val="69E403F2"/>
    <w:rsid w:val="69EE7060"/>
    <w:rsid w:val="69FF6A31"/>
    <w:rsid w:val="6A1B7151"/>
    <w:rsid w:val="6A5C063B"/>
    <w:rsid w:val="6A665D7E"/>
    <w:rsid w:val="6A8179C5"/>
    <w:rsid w:val="6AB77D8E"/>
    <w:rsid w:val="6AC8491D"/>
    <w:rsid w:val="6B3B2FD6"/>
    <w:rsid w:val="6B4B6091"/>
    <w:rsid w:val="6B5D2E5A"/>
    <w:rsid w:val="6BA20565"/>
    <w:rsid w:val="6BA91D76"/>
    <w:rsid w:val="6BAA3A50"/>
    <w:rsid w:val="6BD335C5"/>
    <w:rsid w:val="6C1256EA"/>
    <w:rsid w:val="6C2824A4"/>
    <w:rsid w:val="6C340C59"/>
    <w:rsid w:val="6C7F08A6"/>
    <w:rsid w:val="6CBA18DE"/>
    <w:rsid w:val="6CCB3AEB"/>
    <w:rsid w:val="6D115728"/>
    <w:rsid w:val="6D4D62AE"/>
    <w:rsid w:val="6D9C76EB"/>
    <w:rsid w:val="6DB85E1E"/>
    <w:rsid w:val="6DB97DE8"/>
    <w:rsid w:val="6DD06017"/>
    <w:rsid w:val="6DFF5751"/>
    <w:rsid w:val="6E313E22"/>
    <w:rsid w:val="6E3F6DDD"/>
    <w:rsid w:val="6E557E31"/>
    <w:rsid w:val="6E751734"/>
    <w:rsid w:val="6E8B3411"/>
    <w:rsid w:val="6E912F4C"/>
    <w:rsid w:val="6E95112F"/>
    <w:rsid w:val="6EAB5982"/>
    <w:rsid w:val="6EAE15D9"/>
    <w:rsid w:val="6EB26D11"/>
    <w:rsid w:val="6EC270B2"/>
    <w:rsid w:val="6EC62CA9"/>
    <w:rsid w:val="6ECD3360"/>
    <w:rsid w:val="6ECD443F"/>
    <w:rsid w:val="6F0357BE"/>
    <w:rsid w:val="6F174F9E"/>
    <w:rsid w:val="6F214C5C"/>
    <w:rsid w:val="6F336070"/>
    <w:rsid w:val="6F380638"/>
    <w:rsid w:val="6F54383B"/>
    <w:rsid w:val="6F726F28"/>
    <w:rsid w:val="6F881FDE"/>
    <w:rsid w:val="6F942B83"/>
    <w:rsid w:val="6FCD1928"/>
    <w:rsid w:val="701D014B"/>
    <w:rsid w:val="70244222"/>
    <w:rsid w:val="70666086"/>
    <w:rsid w:val="70977057"/>
    <w:rsid w:val="709C5D76"/>
    <w:rsid w:val="70A84B24"/>
    <w:rsid w:val="70B01B82"/>
    <w:rsid w:val="70C366D8"/>
    <w:rsid w:val="70C841B1"/>
    <w:rsid w:val="70CD7E32"/>
    <w:rsid w:val="70E41417"/>
    <w:rsid w:val="70EE7DA8"/>
    <w:rsid w:val="7104588C"/>
    <w:rsid w:val="71157833"/>
    <w:rsid w:val="71360E34"/>
    <w:rsid w:val="714A3020"/>
    <w:rsid w:val="715421D7"/>
    <w:rsid w:val="7183399A"/>
    <w:rsid w:val="71B514B3"/>
    <w:rsid w:val="71BB4006"/>
    <w:rsid w:val="71BF2A27"/>
    <w:rsid w:val="71C50D4D"/>
    <w:rsid w:val="71E4090E"/>
    <w:rsid w:val="723815EF"/>
    <w:rsid w:val="7256290A"/>
    <w:rsid w:val="72693674"/>
    <w:rsid w:val="72897D89"/>
    <w:rsid w:val="72DA4267"/>
    <w:rsid w:val="73932D68"/>
    <w:rsid w:val="73B950DE"/>
    <w:rsid w:val="73BB1B84"/>
    <w:rsid w:val="73E511CB"/>
    <w:rsid w:val="73F50523"/>
    <w:rsid w:val="7407137E"/>
    <w:rsid w:val="745148D6"/>
    <w:rsid w:val="7491127E"/>
    <w:rsid w:val="74936EEF"/>
    <w:rsid w:val="74A534A0"/>
    <w:rsid w:val="74A55C41"/>
    <w:rsid w:val="750C791B"/>
    <w:rsid w:val="754A43CA"/>
    <w:rsid w:val="75550A0E"/>
    <w:rsid w:val="75745715"/>
    <w:rsid w:val="7591701C"/>
    <w:rsid w:val="75A110CB"/>
    <w:rsid w:val="75B2747D"/>
    <w:rsid w:val="75C64E50"/>
    <w:rsid w:val="763A2238"/>
    <w:rsid w:val="766F21F9"/>
    <w:rsid w:val="76761CAB"/>
    <w:rsid w:val="7682155A"/>
    <w:rsid w:val="76CF51FD"/>
    <w:rsid w:val="76F13ED0"/>
    <w:rsid w:val="76FB4CCB"/>
    <w:rsid w:val="77057BFA"/>
    <w:rsid w:val="770644E0"/>
    <w:rsid w:val="771F6F0D"/>
    <w:rsid w:val="773F062E"/>
    <w:rsid w:val="77572C70"/>
    <w:rsid w:val="77586705"/>
    <w:rsid w:val="77761F7E"/>
    <w:rsid w:val="777D55BC"/>
    <w:rsid w:val="77E95BED"/>
    <w:rsid w:val="77F56A69"/>
    <w:rsid w:val="78237073"/>
    <w:rsid w:val="78392A82"/>
    <w:rsid w:val="78450FBA"/>
    <w:rsid w:val="787C3549"/>
    <w:rsid w:val="78A05E2C"/>
    <w:rsid w:val="78BF72FD"/>
    <w:rsid w:val="78D14237"/>
    <w:rsid w:val="78D436C2"/>
    <w:rsid w:val="78E146E8"/>
    <w:rsid w:val="78F775E6"/>
    <w:rsid w:val="791D122B"/>
    <w:rsid w:val="796E1A86"/>
    <w:rsid w:val="79A34397"/>
    <w:rsid w:val="79EE1FAD"/>
    <w:rsid w:val="79F30B2D"/>
    <w:rsid w:val="7A391454"/>
    <w:rsid w:val="7A3D2FFA"/>
    <w:rsid w:val="7A4A42A1"/>
    <w:rsid w:val="7A8023D2"/>
    <w:rsid w:val="7AB7387C"/>
    <w:rsid w:val="7B1D1455"/>
    <w:rsid w:val="7B303D62"/>
    <w:rsid w:val="7B3960C4"/>
    <w:rsid w:val="7B5A6562"/>
    <w:rsid w:val="7B8E5564"/>
    <w:rsid w:val="7BC01F93"/>
    <w:rsid w:val="7BD32A15"/>
    <w:rsid w:val="7C482BC8"/>
    <w:rsid w:val="7C4C3713"/>
    <w:rsid w:val="7C4F0BF0"/>
    <w:rsid w:val="7C844BE2"/>
    <w:rsid w:val="7CA156F4"/>
    <w:rsid w:val="7CD30075"/>
    <w:rsid w:val="7CE65DD7"/>
    <w:rsid w:val="7D043DE5"/>
    <w:rsid w:val="7D065D0C"/>
    <w:rsid w:val="7D0C0A04"/>
    <w:rsid w:val="7D386E4D"/>
    <w:rsid w:val="7DC30555"/>
    <w:rsid w:val="7E6A79C6"/>
    <w:rsid w:val="7E6C64BC"/>
    <w:rsid w:val="7EC344FB"/>
    <w:rsid w:val="7EEB3B79"/>
    <w:rsid w:val="7F0B7DCF"/>
    <w:rsid w:val="7F22285E"/>
    <w:rsid w:val="7F69317D"/>
    <w:rsid w:val="7F870CE1"/>
    <w:rsid w:val="7F8D26E7"/>
    <w:rsid w:val="7F960417"/>
    <w:rsid w:val="7FA258C7"/>
    <w:rsid w:val="7FD8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7"/>
    <w:autoRedefine/>
    <w:qFormat/>
    <w:uiPriority w:val="0"/>
    <w:pPr>
      <w:keepNext/>
      <w:keepLines/>
      <w:spacing w:before="340" w:after="330" w:line="576" w:lineRule="auto"/>
      <w:outlineLvl w:val="0"/>
    </w:pPr>
    <w:rPr>
      <w:b/>
      <w:kern w:val="44"/>
      <w:sz w:val="44"/>
    </w:rPr>
  </w:style>
  <w:style w:type="paragraph" w:styleId="3">
    <w:name w:val="heading 2"/>
    <w:basedOn w:val="1"/>
    <w:next w:val="1"/>
    <w:link w:val="10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4"/>
    <w:autoRedefine/>
    <w:qFormat/>
    <w:uiPriority w:val="0"/>
    <w:pPr>
      <w:keepNext/>
      <w:keepLines/>
      <w:spacing w:before="260" w:after="260" w:line="413" w:lineRule="auto"/>
      <w:outlineLvl w:val="2"/>
    </w:pPr>
    <w:rPr>
      <w:b/>
      <w:kern w:val="0"/>
      <w:sz w:val="32"/>
    </w:rPr>
  </w:style>
  <w:style w:type="paragraph" w:styleId="5">
    <w:name w:val="heading 4"/>
    <w:basedOn w:val="1"/>
    <w:next w:val="1"/>
    <w:link w:val="9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9"/>
    <w:autoRedefine/>
    <w:qFormat/>
    <w:uiPriority w:val="0"/>
    <w:pPr>
      <w:keepNext/>
      <w:keepLines/>
      <w:spacing w:before="280" w:after="290" w:line="376" w:lineRule="auto"/>
      <w:outlineLvl w:val="4"/>
    </w:pPr>
    <w:rPr>
      <w:b/>
      <w:bCs/>
      <w:kern w:val="0"/>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72"/>
    <w:autoRedefine/>
    <w:qFormat/>
    <w:uiPriority w:val="0"/>
    <w:pPr>
      <w:ind w:firstLine="420"/>
    </w:pPr>
  </w:style>
  <w:style w:type="paragraph" w:styleId="8">
    <w:name w:val="index 5"/>
    <w:basedOn w:val="1"/>
    <w:next w:val="1"/>
    <w:autoRedefine/>
    <w:qFormat/>
    <w:uiPriority w:val="99"/>
    <w:pPr>
      <w:adjustRightInd w:val="0"/>
      <w:snapToGrid w:val="0"/>
      <w:spacing w:line="360" w:lineRule="auto"/>
      <w:jc w:val="center"/>
    </w:pPr>
    <w:rPr>
      <w:rFonts w:ascii="宋体" w:hAnsi="宋体" w:eastAsia="宋体" w:cs="宋体"/>
      <w:bCs/>
      <w:kern w:val="0"/>
      <w:sz w:val="21"/>
      <w:szCs w:val="21"/>
    </w:rPr>
  </w:style>
  <w:style w:type="paragraph" w:styleId="9">
    <w:name w:val="Document Map"/>
    <w:basedOn w:val="1"/>
    <w:link w:val="73"/>
    <w:autoRedefine/>
    <w:qFormat/>
    <w:uiPriority w:val="0"/>
    <w:pPr>
      <w:shd w:val="clear" w:color="auto" w:fill="000080"/>
    </w:pPr>
    <w:rPr>
      <w:kern w:val="0"/>
      <w:sz w:val="20"/>
    </w:rPr>
  </w:style>
  <w:style w:type="paragraph" w:styleId="10">
    <w:name w:val="annotation text"/>
    <w:basedOn w:val="11"/>
    <w:link w:val="105"/>
    <w:autoRedefine/>
    <w:unhideWhenUsed/>
    <w:qFormat/>
    <w:uiPriority w:val="0"/>
    <w:pPr>
      <w:jc w:val="left"/>
    </w:pPr>
  </w:style>
  <w:style w:type="paragraph" w:customStyle="1" w:styleId="1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Salutation"/>
    <w:basedOn w:val="1"/>
    <w:next w:val="1"/>
    <w:autoRedefine/>
    <w:unhideWhenUsed/>
    <w:qFormat/>
    <w:uiPriority w:val="0"/>
    <w:rPr>
      <w:sz w:val="24"/>
      <w:szCs w:val="20"/>
    </w:rPr>
  </w:style>
  <w:style w:type="paragraph" w:styleId="13">
    <w:name w:val="Body Text 3"/>
    <w:basedOn w:val="1"/>
    <w:link w:val="76"/>
    <w:autoRedefine/>
    <w:unhideWhenUsed/>
    <w:qFormat/>
    <w:uiPriority w:val="99"/>
    <w:pPr>
      <w:spacing w:after="120"/>
    </w:pPr>
    <w:rPr>
      <w:sz w:val="16"/>
      <w:szCs w:val="16"/>
    </w:rPr>
  </w:style>
  <w:style w:type="paragraph" w:styleId="14">
    <w:name w:val="Body Text"/>
    <w:basedOn w:val="1"/>
    <w:link w:val="101"/>
    <w:autoRedefine/>
    <w:qFormat/>
    <w:uiPriority w:val="0"/>
    <w:rPr>
      <w:rFonts w:eastAsia="楷体_GB2312"/>
      <w:kern w:val="0"/>
      <w:sz w:val="30"/>
    </w:rPr>
  </w:style>
  <w:style w:type="paragraph" w:styleId="15">
    <w:name w:val="Body Text Indent"/>
    <w:basedOn w:val="1"/>
    <w:next w:val="1"/>
    <w:link w:val="113"/>
    <w:autoRedefine/>
    <w:qFormat/>
    <w:uiPriority w:val="0"/>
    <w:pPr>
      <w:spacing w:after="120"/>
      <w:ind w:left="420" w:leftChars="200"/>
    </w:pPr>
    <w:rPr>
      <w:kern w:val="0"/>
      <w:sz w:val="20"/>
    </w:rPr>
  </w:style>
  <w:style w:type="paragraph" w:styleId="16">
    <w:name w:val="toc 5"/>
    <w:basedOn w:val="1"/>
    <w:next w:val="1"/>
    <w:autoRedefine/>
    <w:qFormat/>
    <w:uiPriority w:val="0"/>
    <w:pPr>
      <w:tabs>
        <w:tab w:val="right" w:leader="dot" w:pos="8296"/>
      </w:tabs>
      <w:ind w:leftChars="500"/>
    </w:pPr>
    <w:rPr>
      <w:rFonts w:ascii="Calibri" w:hAnsi="Calibri"/>
      <w:szCs w:val="22"/>
    </w:rPr>
  </w:style>
  <w:style w:type="paragraph" w:styleId="17">
    <w:name w:val="toc 3"/>
    <w:basedOn w:val="1"/>
    <w:next w:val="1"/>
    <w:autoRedefine/>
    <w:semiHidden/>
    <w:unhideWhenUsed/>
    <w:qFormat/>
    <w:uiPriority w:val="39"/>
    <w:pPr>
      <w:ind w:left="840" w:leftChars="400"/>
    </w:pPr>
  </w:style>
  <w:style w:type="paragraph" w:styleId="18">
    <w:name w:val="Plain Text"/>
    <w:basedOn w:val="1"/>
    <w:link w:val="112"/>
    <w:autoRedefine/>
    <w:qFormat/>
    <w:uiPriority w:val="99"/>
    <w:rPr>
      <w:rFonts w:ascii="宋体" w:hAnsi="Courier New"/>
      <w:kern w:val="0"/>
      <w:sz w:val="20"/>
    </w:rPr>
  </w:style>
  <w:style w:type="paragraph" w:styleId="19">
    <w:name w:val="Date"/>
    <w:basedOn w:val="1"/>
    <w:next w:val="1"/>
    <w:link w:val="67"/>
    <w:autoRedefine/>
    <w:qFormat/>
    <w:uiPriority w:val="0"/>
    <w:pPr>
      <w:ind w:left="100" w:leftChars="2500"/>
    </w:pPr>
    <w:rPr>
      <w:kern w:val="0"/>
      <w:sz w:val="36"/>
    </w:rPr>
  </w:style>
  <w:style w:type="paragraph" w:styleId="20">
    <w:name w:val="Body Text Indent 2"/>
    <w:basedOn w:val="1"/>
    <w:link w:val="66"/>
    <w:autoRedefine/>
    <w:qFormat/>
    <w:uiPriority w:val="0"/>
    <w:pPr>
      <w:spacing w:after="120" w:line="480" w:lineRule="auto"/>
      <w:ind w:left="420" w:leftChars="200"/>
    </w:pPr>
    <w:rPr>
      <w:kern w:val="0"/>
      <w:sz w:val="20"/>
    </w:rPr>
  </w:style>
  <w:style w:type="paragraph" w:styleId="21">
    <w:name w:val="Balloon Text"/>
    <w:basedOn w:val="1"/>
    <w:link w:val="59"/>
    <w:autoRedefine/>
    <w:qFormat/>
    <w:uiPriority w:val="0"/>
    <w:rPr>
      <w:kern w:val="0"/>
      <w:sz w:val="18"/>
    </w:rPr>
  </w:style>
  <w:style w:type="paragraph" w:styleId="22">
    <w:name w:val="footer"/>
    <w:basedOn w:val="1"/>
    <w:link w:val="100"/>
    <w:autoRedefine/>
    <w:unhideWhenUsed/>
    <w:qFormat/>
    <w:uiPriority w:val="99"/>
    <w:pPr>
      <w:tabs>
        <w:tab w:val="center" w:pos="4153"/>
        <w:tab w:val="right" w:pos="8306"/>
      </w:tabs>
      <w:snapToGrid w:val="0"/>
      <w:jc w:val="left"/>
    </w:pPr>
    <w:rPr>
      <w:kern w:val="0"/>
      <w:sz w:val="18"/>
      <w:szCs w:val="18"/>
    </w:rPr>
  </w:style>
  <w:style w:type="paragraph" w:styleId="23">
    <w:name w:val="header"/>
    <w:basedOn w:val="1"/>
    <w:link w:val="8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autoRedefine/>
    <w:qFormat/>
    <w:uiPriority w:val="39"/>
  </w:style>
  <w:style w:type="paragraph" w:styleId="25">
    <w:name w:val="toc 4"/>
    <w:basedOn w:val="1"/>
    <w:next w:val="1"/>
    <w:autoRedefine/>
    <w:qFormat/>
    <w:uiPriority w:val="0"/>
    <w:pPr>
      <w:tabs>
        <w:tab w:val="left" w:pos="1890"/>
        <w:tab w:val="right" w:leader="dot" w:pos="8296"/>
      </w:tabs>
      <w:ind w:leftChars="300"/>
    </w:pPr>
    <w:rPr>
      <w:rFonts w:ascii="Calibri" w:hAnsi="Calibri"/>
      <w:szCs w:val="22"/>
    </w:rPr>
  </w:style>
  <w:style w:type="paragraph" w:styleId="26">
    <w:name w:val="Body Text Indent 3"/>
    <w:basedOn w:val="1"/>
    <w:link w:val="108"/>
    <w:autoRedefine/>
    <w:qFormat/>
    <w:uiPriority w:val="0"/>
    <w:pPr>
      <w:tabs>
        <w:tab w:val="left" w:pos="1365"/>
      </w:tabs>
      <w:ind w:left="-4" w:leftChars="-2" w:firstLine="640" w:firstLineChars="200"/>
    </w:pPr>
    <w:rPr>
      <w:rFonts w:ascii="宋体" w:hAnsi="宋体"/>
      <w:kern w:val="0"/>
      <w:sz w:val="32"/>
    </w:rPr>
  </w:style>
  <w:style w:type="paragraph" w:styleId="27">
    <w:name w:val="toc 2"/>
    <w:basedOn w:val="1"/>
    <w:next w:val="1"/>
    <w:autoRedefine/>
    <w:semiHidden/>
    <w:unhideWhenUsed/>
    <w:qFormat/>
    <w:uiPriority w:val="39"/>
    <w:pPr>
      <w:ind w:left="420" w:leftChars="200"/>
    </w:pPr>
  </w:style>
  <w:style w:type="paragraph" w:styleId="28">
    <w:name w:val="HTML Preformatted"/>
    <w:basedOn w:val="1"/>
    <w:link w:val="1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Arial" w:hAnsi="Arial"/>
      <w:kern w:val="0"/>
      <w:sz w:val="15"/>
      <w:szCs w:val="15"/>
    </w:rPr>
  </w:style>
  <w:style w:type="paragraph" w:styleId="29">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0">
    <w:name w:val="Title"/>
    <w:basedOn w:val="1"/>
    <w:next w:val="1"/>
    <w:link w:val="155"/>
    <w:autoRedefine/>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31">
    <w:name w:val="annotation subject"/>
    <w:basedOn w:val="10"/>
    <w:next w:val="10"/>
    <w:link w:val="71"/>
    <w:autoRedefine/>
    <w:unhideWhenUsed/>
    <w:qFormat/>
    <w:uiPriority w:val="99"/>
    <w:rPr>
      <w:b/>
      <w:bCs/>
    </w:rPr>
  </w:style>
  <w:style w:type="paragraph" w:styleId="32">
    <w:name w:val="Body Text First Indent"/>
    <w:basedOn w:val="14"/>
    <w:link w:val="102"/>
    <w:autoRedefine/>
    <w:qFormat/>
    <w:uiPriority w:val="0"/>
    <w:pPr>
      <w:adjustRightInd w:val="0"/>
      <w:spacing w:after="120" w:line="360" w:lineRule="auto"/>
      <w:ind w:left="289" w:leftChars="1" w:firstLine="420" w:firstLineChars="100"/>
      <w:textAlignment w:val="baseline"/>
    </w:pPr>
    <w:rPr>
      <w:rFonts w:ascii="宋体" w:hAnsi="宋体" w:eastAsia="宋体"/>
      <w:b/>
      <w:bCs/>
      <w:sz w:val="20"/>
    </w:rPr>
  </w:style>
  <w:style w:type="paragraph" w:styleId="33">
    <w:name w:val="Body Text First Indent 2"/>
    <w:basedOn w:val="15"/>
    <w:next w:val="1"/>
    <w:autoRedefine/>
    <w:qFormat/>
    <w:uiPriority w:val="99"/>
    <w:pPr>
      <w:ind w:firstLine="624"/>
    </w:pPr>
    <w:rPr>
      <w:rFonts w:ascii="Calibri" w:hAnsi="Calibri"/>
    </w:rPr>
  </w:style>
  <w:style w:type="table" w:styleId="35">
    <w:name w:val="Table Grid"/>
    <w:basedOn w:val="3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FollowedHyperlink"/>
    <w:autoRedefine/>
    <w:unhideWhenUsed/>
    <w:qFormat/>
    <w:uiPriority w:val="99"/>
    <w:rPr>
      <w:color w:val="333333"/>
      <w:u w:val="none"/>
    </w:rPr>
  </w:style>
  <w:style w:type="character" w:styleId="40">
    <w:name w:val="Emphasis"/>
    <w:autoRedefine/>
    <w:qFormat/>
    <w:uiPriority w:val="0"/>
    <w:rPr>
      <w:i/>
      <w:iCs/>
    </w:rPr>
  </w:style>
  <w:style w:type="character" w:styleId="41">
    <w:name w:val="line number"/>
    <w:basedOn w:val="36"/>
    <w:autoRedefine/>
    <w:qFormat/>
    <w:uiPriority w:val="0"/>
  </w:style>
  <w:style w:type="character" w:styleId="42">
    <w:name w:val="HTML Definition"/>
    <w:basedOn w:val="36"/>
    <w:autoRedefine/>
    <w:semiHidden/>
    <w:unhideWhenUsed/>
    <w:qFormat/>
    <w:uiPriority w:val="99"/>
  </w:style>
  <w:style w:type="character" w:styleId="43">
    <w:name w:val="HTML Typewriter"/>
    <w:basedOn w:val="36"/>
    <w:autoRedefine/>
    <w:semiHidden/>
    <w:unhideWhenUsed/>
    <w:qFormat/>
    <w:uiPriority w:val="99"/>
    <w:rPr>
      <w:rFonts w:hint="default" w:ascii="monospace" w:hAnsi="monospace" w:eastAsia="monospace" w:cs="monospace"/>
      <w:sz w:val="20"/>
    </w:rPr>
  </w:style>
  <w:style w:type="character" w:styleId="44">
    <w:name w:val="HTML Acronym"/>
    <w:basedOn w:val="36"/>
    <w:autoRedefine/>
    <w:semiHidden/>
    <w:unhideWhenUsed/>
    <w:qFormat/>
    <w:uiPriority w:val="99"/>
    <w:rPr>
      <w:bdr w:val="single" w:color="D2D2D2" w:sz="2" w:space="0"/>
      <w:shd w:val="clear" w:fill="FFFFFF"/>
    </w:rPr>
  </w:style>
  <w:style w:type="character" w:styleId="45">
    <w:name w:val="HTML Variable"/>
    <w:basedOn w:val="36"/>
    <w:autoRedefine/>
    <w:semiHidden/>
    <w:unhideWhenUsed/>
    <w:qFormat/>
    <w:uiPriority w:val="99"/>
  </w:style>
  <w:style w:type="character" w:styleId="46">
    <w:name w:val="Hyperlink"/>
    <w:basedOn w:val="36"/>
    <w:autoRedefine/>
    <w:qFormat/>
    <w:uiPriority w:val="99"/>
    <w:rPr>
      <w:color w:val="0000FF"/>
      <w:u w:val="none"/>
    </w:rPr>
  </w:style>
  <w:style w:type="character" w:styleId="47">
    <w:name w:val="HTML Code"/>
    <w:basedOn w:val="36"/>
    <w:autoRedefine/>
    <w:semiHidden/>
    <w:unhideWhenUsed/>
    <w:qFormat/>
    <w:uiPriority w:val="99"/>
    <w:rPr>
      <w:rFonts w:ascii="monospace" w:hAnsi="monospace" w:eastAsia="monospace" w:cs="monospace"/>
      <w:sz w:val="20"/>
    </w:rPr>
  </w:style>
  <w:style w:type="character" w:styleId="48">
    <w:name w:val="annotation reference"/>
    <w:autoRedefine/>
    <w:unhideWhenUsed/>
    <w:qFormat/>
    <w:uiPriority w:val="99"/>
    <w:rPr>
      <w:sz w:val="21"/>
      <w:szCs w:val="21"/>
    </w:rPr>
  </w:style>
  <w:style w:type="character" w:styleId="49">
    <w:name w:val="HTML Cite"/>
    <w:basedOn w:val="36"/>
    <w:autoRedefine/>
    <w:semiHidden/>
    <w:unhideWhenUsed/>
    <w:qFormat/>
    <w:uiPriority w:val="99"/>
  </w:style>
  <w:style w:type="character" w:styleId="50">
    <w:name w:val="HTML Keyboard"/>
    <w:basedOn w:val="36"/>
    <w:autoRedefine/>
    <w:semiHidden/>
    <w:unhideWhenUsed/>
    <w:qFormat/>
    <w:uiPriority w:val="99"/>
    <w:rPr>
      <w:rFonts w:hint="default" w:ascii="monospace" w:hAnsi="monospace" w:eastAsia="monospace" w:cs="monospace"/>
      <w:sz w:val="20"/>
    </w:rPr>
  </w:style>
  <w:style w:type="character" w:styleId="51">
    <w:name w:val="HTML Sample"/>
    <w:basedOn w:val="36"/>
    <w:autoRedefine/>
    <w:semiHidden/>
    <w:unhideWhenUsed/>
    <w:qFormat/>
    <w:uiPriority w:val="99"/>
    <w:rPr>
      <w:rFonts w:hint="default" w:ascii="monospace" w:hAnsi="monospace" w:eastAsia="monospace" w:cs="monospace"/>
    </w:rPr>
  </w:style>
  <w:style w:type="paragraph" w:customStyle="1" w:styleId="52">
    <w:name w:val="Heading1"/>
    <w:basedOn w:val="1"/>
    <w:next w:val="1"/>
    <w:autoRedefine/>
    <w:qFormat/>
    <w:uiPriority w:val="0"/>
    <w:pPr>
      <w:keepNext/>
      <w:keepLines/>
      <w:spacing w:line="240" w:lineRule="auto"/>
      <w:jc w:val="center"/>
      <w:textAlignment w:val="baseline"/>
    </w:pPr>
    <w:rPr>
      <w:rFonts w:ascii="Calibri" w:hAnsi="Calibri" w:eastAsia="宋体"/>
      <w:b/>
      <w:spacing w:val="20"/>
      <w:kern w:val="44"/>
      <w:sz w:val="32"/>
      <w:szCs w:val="24"/>
      <w:lang w:val="en-US" w:eastAsia="zh-CN" w:bidi="ar-SA"/>
    </w:rPr>
  </w:style>
  <w:style w:type="paragraph" w:customStyle="1" w:styleId="53">
    <w:name w:val="列出段落1"/>
    <w:basedOn w:val="1"/>
    <w:autoRedefine/>
    <w:qFormat/>
    <w:uiPriority w:val="0"/>
    <w:pPr>
      <w:ind w:firstLine="420" w:firstLineChars="200"/>
    </w:pPr>
    <w:rPr>
      <w:rFonts w:ascii="Calibri" w:hAnsi="Calibri"/>
      <w:szCs w:val="22"/>
    </w:rPr>
  </w:style>
  <w:style w:type="paragraph" w:customStyle="1" w:styleId="54">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55">
    <w:name w:val="font61"/>
    <w:basedOn w:val="36"/>
    <w:autoRedefine/>
    <w:qFormat/>
    <w:uiPriority w:val="0"/>
    <w:rPr>
      <w:rFonts w:hint="eastAsia" w:ascii="宋体" w:hAnsi="宋体" w:eastAsia="宋体" w:cs="宋体"/>
      <w:color w:val="000000"/>
      <w:sz w:val="20"/>
      <w:szCs w:val="20"/>
      <w:u w:val="none"/>
    </w:rPr>
  </w:style>
  <w:style w:type="character" w:customStyle="1" w:styleId="56">
    <w:name w:val="g1481"/>
    <w:autoRedefine/>
    <w:qFormat/>
    <w:uiPriority w:val="0"/>
    <w:rPr>
      <w:color w:val="5F897B"/>
      <w:sz w:val="22"/>
    </w:rPr>
  </w:style>
  <w:style w:type="character" w:customStyle="1" w:styleId="57">
    <w:name w:val="ca-1"/>
    <w:basedOn w:val="36"/>
    <w:autoRedefine/>
    <w:qFormat/>
    <w:uiPriority w:val="0"/>
  </w:style>
  <w:style w:type="character" w:customStyle="1" w:styleId="58">
    <w:name w:val="p141"/>
    <w:autoRedefine/>
    <w:qFormat/>
    <w:uiPriority w:val="0"/>
    <w:rPr>
      <w:sz w:val="21"/>
      <w:szCs w:val="21"/>
    </w:rPr>
  </w:style>
  <w:style w:type="character" w:customStyle="1" w:styleId="59">
    <w:name w:val="批注框文本 字符"/>
    <w:link w:val="21"/>
    <w:autoRedefine/>
    <w:qFormat/>
    <w:uiPriority w:val="0"/>
    <w:rPr>
      <w:rFonts w:ascii="Times New Roman" w:hAnsi="Times New Roman" w:eastAsia="宋体" w:cs="Times New Roman"/>
      <w:sz w:val="18"/>
      <w:szCs w:val="20"/>
    </w:rPr>
  </w:style>
  <w:style w:type="character" w:customStyle="1" w:styleId="60">
    <w:name w:val="font01"/>
    <w:basedOn w:val="36"/>
    <w:autoRedefine/>
    <w:qFormat/>
    <w:uiPriority w:val="0"/>
    <w:rPr>
      <w:rFonts w:ascii="Arial" w:hAnsi="Arial" w:cs="Arial"/>
      <w:color w:val="000000"/>
      <w:sz w:val="20"/>
      <w:szCs w:val="20"/>
      <w:u w:val="none"/>
    </w:rPr>
  </w:style>
  <w:style w:type="character" w:customStyle="1" w:styleId="61">
    <w:name w:val="样式1 Char"/>
    <w:link w:val="62"/>
    <w:autoRedefine/>
    <w:qFormat/>
    <w:uiPriority w:val="0"/>
    <w:rPr>
      <w:rFonts w:ascii="Cambria" w:hAnsi="Cambria" w:eastAsia="黑体"/>
      <w:bCs/>
      <w:iCs/>
      <w:sz w:val="21"/>
      <w:szCs w:val="28"/>
      <w:lang w:eastAsia="en-US" w:bidi="en-US"/>
    </w:rPr>
  </w:style>
  <w:style w:type="paragraph" w:customStyle="1" w:styleId="62">
    <w:name w:val="样式1"/>
    <w:basedOn w:val="3"/>
    <w:link w:val="61"/>
    <w:autoRedefine/>
    <w:qFormat/>
    <w:uiPriority w:val="0"/>
    <w:pPr>
      <w:keepNext w:val="0"/>
      <w:keepLines w:val="0"/>
      <w:widowControl/>
      <w:spacing w:before="100" w:beforeAutospacing="1" w:after="100" w:afterAutospacing="1" w:line="240" w:lineRule="auto"/>
      <w:ind w:right="100" w:rightChars="100"/>
      <w:jc w:val="left"/>
    </w:pPr>
    <w:rPr>
      <w:rFonts w:ascii="Cambria" w:hAnsi="Cambria"/>
      <w:b w:val="0"/>
      <w:iCs/>
      <w:sz w:val="21"/>
      <w:szCs w:val="28"/>
      <w:lang w:eastAsia="en-US" w:bidi="en-US"/>
    </w:rPr>
  </w:style>
  <w:style w:type="character" w:customStyle="1" w:styleId="63">
    <w:name w:val="apple-converted-space"/>
    <w:basedOn w:val="36"/>
    <w:autoRedefine/>
    <w:qFormat/>
    <w:uiPriority w:val="0"/>
  </w:style>
  <w:style w:type="character" w:customStyle="1" w:styleId="64">
    <w:name w:val="标题 3 字符"/>
    <w:link w:val="4"/>
    <w:autoRedefine/>
    <w:qFormat/>
    <w:uiPriority w:val="0"/>
    <w:rPr>
      <w:rFonts w:ascii="Times New Roman" w:hAnsi="Times New Roman" w:eastAsia="宋体" w:cs="Times New Roman"/>
      <w:b/>
      <w:sz w:val="32"/>
      <w:szCs w:val="20"/>
    </w:rPr>
  </w:style>
  <w:style w:type="character" w:customStyle="1" w:styleId="65">
    <w:name w:val="正文首行缩进 Char1"/>
    <w:autoRedefine/>
    <w:semiHidden/>
    <w:qFormat/>
    <w:uiPriority w:val="99"/>
    <w:rPr>
      <w:rFonts w:ascii="Times New Roman" w:hAnsi="Times New Roman" w:eastAsia="楷体_GB2312" w:cs="Times New Roman"/>
      <w:kern w:val="2"/>
      <w:sz w:val="21"/>
      <w:szCs w:val="20"/>
    </w:rPr>
  </w:style>
  <w:style w:type="character" w:customStyle="1" w:styleId="66">
    <w:name w:val="正文文本缩进 2 字符"/>
    <w:link w:val="20"/>
    <w:autoRedefine/>
    <w:qFormat/>
    <w:uiPriority w:val="0"/>
    <w:rPr>
      <w:rFonts w:ascii="Times New Roman" w:hAnsi="Times New Roman" w:eastAsia="宋体" w:cs="Times New Roman"/>
      <w:szCs w:val="20"/>
    </w:rPr>
  </w:style>
  <w:style w:type="character" w:customStyle="1" w:styleId="67">
    <w:name w:val="日期 字符"/>
    <w:link w:val="19"/>
    <w:autoRedefine/>
    <w:qFormat/>
    <w:uiPriority w:val="0"/>
    <w:rPr>
      <w:rFonts w:ascii="Times New Roman" w:hAnsi="Times New Roman" w:eastAsia="宋体" w:cs="Times New Roman"/>
      <w:sz w:val="36"/>
      <w:szCs w:val="20"/>
    </w:rPr>
  </w:style>
  <w:style w:type="character" w:customStyle="1" w:styleId="68">
    <w:name w:val="font21"/>
    <w:autoRedefine/>
    <w:qFormat/>
    <w:uiPriority w:val="0"/>
    <w:rPr>
      <w:rFonts w:hint="default" w:ascii="Times New Roman" w:hAnsi="Times New Roman" w:cs="Times New Roman"/>
      <w:color w:val="000000"/>
      <w:sz w:val="20"/>
      <w:szCs w:val="20"/>
      <w:u w:val="none"/>
    </w:rPr>
  </w:style>
  <w:style w:type="character" w:customStyle="1" w:styleId="69">
    <w:name w:val="标题 5 字符"/>
    <w:link w:val="6"/>
    <w:autoRedefine/>
    <w:qFormat/>
    <w:uiPriority w:val="0"/>
    <w:rPr>
      <w:b/>
      <w:bCs/>
      <w:sz w:val="28"/>
      <w:szCs w:val="28"/>
    </w:rPr>
  </w:style>
  <w:style w:type="character" w:customStyle="1" w:styleId="70">
    <w:name w:val="纯文本 Char1"/>
    <w:autoRedefine/>
    <w:qFormat/>
    <w:uiPriority w:val="0"/>
    <w:rPr>
      <w:rFonts w:ascii="宋体" w:hAnsi="Courier New" w:eastAsia="宋体"/>
      <w:kern w:val="2"/>
      <w:sz w:val="21"/>
      <w:lang w:val="en-US" w:eastAsia="zh-CN" w:bidi="ar-SA"/>
    </w:rPr>
  </w:style>
  <w:style w:type="character" w:customStyle="1" w:styleId="71">
    <w:name w:val="批注主题 字符"/>
    <w:link w:val="31"/>
    <w:autoRedefine/>
    <w:qFormat/>
    <w:uiPriority w:val="99"/>
    <w:rPr>
      <w:b/>
      <w:bCs/>
      <w:kern w:val="2"/>
      <w:sz w:val="21"/>
    </w:rPr>
  </w:style>
  <w:style w:type="character" w:customStyle="1" w:styleId="72">
    <w:name w:val="正文缩进 字符"/>
    <w:link w:val="7"/>
    <w:autoRedefine/>
    <w:qFormat/>
    <w:uiPriority w:val="0"/>
    <w:rPr>
      <w:kern w:val="2"/>
      <w:sz w:val="21"/>
    </w:rPr>
  </w:style>
  <w:style w:type="character" w:customStyle="1" w:styleId="73">
    <w:name w:val="文档结构图 字符"/>
    <w:link w:val="9"/>
    <w:autoRedefine/>
    <w:semiHidden/>
    <w:qFormat/>
    <w:uiPriority w:val="0"/>
    <w:rPr>
      <w:shd w:val="clear" w:color="auto" w:fill="000080"/>
    </w:rPr>
  </w:style>
  <w:style w:type="character" w:customStyle="1" w:styleId="74">
    <w:name w:val="列表段落 字符"/>
    <w:link w:val="75"/>
    <w:autoRedefine/>
    <w:qFormat/>
    <w:locked/>
    <w:uiPriority w:val="99"/>
    <w:rPr>
      <w:kern w:val="2"/>
      <w:sz w:val="36"/>
    </w:rPr>
  </w:style>
  <w:style w:type="paragraph" w:styleId="75">
    <w:name w:val="List Paragraph"/>
    <w:basedOn w:val="1"/>
    <w:link w:val="74"/>
    <w:autoRedefine/>
    <w:qFormat/>
    <w:uiPriority w:val="99"/>
    <w:pPr>
      <w:ind w:firstLine="420" w:firstLineChars="200"/>
    </w:pPr>
    <w:rPr>
      <w:sz w:val="36"/>
    </w:rPr>
  </w:style>
  <w:style w:type="character" w:customStyle="1" w:styleId="76">
    <w:name w:val="正文文本 3 字符"/>
    <w:link w:val="13"/>
    <w:autoRedefine/>
    <w:qFormat/>
    <w:uiPriority w:val="99"/>
    <w:rPr>
      <w:kern w:val="2"/>
      <w:sz w:val="16"/>
      <w:szCs w:val="16"/>
    </w:rPr>
  </w:style>
  <w:style w:type="character" w:customStyle="1" w:styleId="77">
    <w:name w:val="apple-style-span"/>
    <w:basedOn w:val="36"/>
    <w:autoRedefine/>
    <w:qFormat/>
    <w:uiPriority w:val="0"/>
  </w:style>
  <w:style w:type="character" w:customStyle="1" w:styleId="78">
    <w:name w:val="批注主题 Char1"/>
    <w:autoRedefine/>
    <w:semiHidden/>
    <w:qFormat/>
    <w:uiPriority w:val="99"/>
    <w:rPr>
      <w:b/>
      <w:bCs/>
      <w:kern w:val="2"/>
      <w:sz w:val="21"/>
    </w:rPr>
  </w:style>
  <w:style w:type="character" w:customStyle="1" w:styleId="79">
    <w:name w:val="正文文本缩进 3 Char1"/>
    <w:autoRedefine/>
    <w:semiHidden/>
    <w:qFormat/>
    <w:uiPriority w:val="99"/>
    <w:rPr>
      <w:kern w:val="2"/>
      <w:sz w:val="16"/>
      <w:szCs w:val="16"/>
    </w:rPr>
  </w:style>
  <w:style w:type="character" w:customStyle="1" w:styleId="80">
    <w:name w:val="font31"/>
    <w:autoRedefine/>
    <w:qFormat/>
    <w:uiPriority w:val="0"/>
    <w:rPr>
      <w:rFonts w:hint="eastAsia" w:ascii="宋体" w:hAnsi="宋体" w:eastAsia="宋体" w:cs="宋体"/>
      <w:color w:val="000000"/>
      <w:sz w:val="20"/>
      <w:szCs w:val="20"/>
      <w:u w:val="none"/>
    </w:rPr>
  </w:style>
  <w:style w:type="character" w:customStyle="1" w:styleId="81">
    <w:name w:val="样式4 Char"/>
    <w:basedOn w:val="82"/>
    <w:link w:val="83"/>
    <w:autoRedefine/>
    <w:qFormat/>
    <w:uiPriority w:val="0"/>
    <w:rPr>
      <w:sz w:val="18"/>
      <w:szCs w:val="18"/>
    </w:rPr>
  </w:style>
  <w:style w:type="character" w:customStyle="1" w:styleId="82">
    <w:name w:val="页眉 字符"/>
    <w:link w:val="23"/>
    <w:autoRedefine/>
    <w:qFormat/>
    <w:uiPriority w:val="99"/>
    <w:rPr>
      <w:sz w:val="18"/>
      <w:szCs w:val="18"/>
    </w:rPr>
  </w:style>
  <w:style w:type="paragraph" w:customStyle="1" w:styleId="83">
    <w:name w:val="样式4"/>
    <w:basedOn w:val="23"/>
    <w:link w:val="81"/>
    <w:autoRedefine/>
    <w:qFormat/>
    <w:uiPriority w:val="0"/>
    <w:pPr>
      <w:pBdr>
        <w:bottom w:val="none" w:color="auto" w:sz="0" w:space="0"/>
      </w:pBdr>
      <w:jc w:val="both"/>
    </w:pPr>
  </w:style>
  <w:style w:type="character" w:customStyle="1" w:styleId="84">
    <w:name w:val="font11"/>
    <w:basedOn w:val="36"/>
    <w:autoRedefine/>
    <w:qFormat/>
    <w:uiPriority w:val="0"/>
    <w:rPr>
      <w:rFonts w:ascii="font-weight : 700" w:hAnsi="font-weight : 700" w:eastAsia="font-weight : 700" w:cs="font-weight : 700"/>
      <w:color w:val="000000"/>
      <w:sz w:val="20"/>
      <w:szCs w:val="20"/>
      <w:u w:val="none"/>
    </w:rPr>
  </w:style>
  <w:style w:type="character" w:customStyle="1" w:styleId="85">
    <w:name w:val="fontstyle01"/>
    <w:autoRedefine/>
    <w:qFormat/>
    <w:uiPriority w:val="99"/>
    <w:rPr>
      <w:rFonts w:ascii="F5" w:hAnsi="F5" w:eastAsia="Times New Roman" w:cs="F5"/>
      <w:color w:val="000000"/>
      <w:sz w:val="22"/>
      <w:szCs w:val="22"/>
    </w:rPr>
  </w:style>
  <w:style w:type="character" w:customStyle="1" w:styleId="86">
    <w:name w:val="文档结构图 Char1"/>
    <w:autoRedefine/>
    <w:semiHidden/>
    <w:qFormat/>
    <w:uiPriority w:val="99"/>
    <w:rPr>
      <w:rFonts w:ascii="宋体"/>
      <w:kern w:val="2"/>
      <w:sz w:val="18"/>
      <w:szCs w:val="18"/>
    </w:rPr>
  </w:style>
  <w:style w:type="character" w:customStyle="1" w:styleId="87">
    <w:name w:val="标题 1 字符"/>
    <w:link w:val="2"/>
    <w:autoRedefine/>
    <w:qFormat/>
    <w:uiPriority w:val="0"/>
    <w:rPr>
      <w:rFonts w:ascii="Times New Roman" w:hAnsi="Times New Roman" w:eastAsia="宋体" w:cs="Times New Roman"/>
      <w:b/>
      <w:kern w:val="44"/>
      <w:sz w:val="44"/>
      <w:szCs w:val="20"/>
    </w:rPr>
  </w:style>
  <w:style w:type="character" w:customStyle="1" w:styleId="88">
    <w:name w:val="fontstyle21"/>
    <w:autoRedefine/>
    <w:qFormat/>
    <w:uiPriority w:val="99"/>
    <w:rPr>
      <w:rFonts w:ascii="F11" w:hAnsi="F11" w:eastAsia="Times New Roman" w:cs="F11"/>
      <w:color w:val="000000"/>
      <w:sz w:val="22"/>
      <w:szCs w:val="22"/>
    </w:rPr>
  </w:style>
  <w:style w:type="character" w:customStyle="1" w:styleId="89">
    <w:name w:val="纯文本 Char2"/>
    <w:autoRedefine/>
    <w:semiHidden/>
    <w:qFormat/>
    <w:uiPriority w:val="99"/>
    <w:rPr>
      <w:rFonts w:ascii="宋体" w:hAnsi="Courier New" w:eastAsia="宋体" w:cs="Courier New"/>
      <w:szCs w:val="21"/>
    </w:rPr>
  </w:style>
  <w:style w:type="character" w:customStyle="1" w:styleId="90">
    <w:name w:val="ca-0"/>
    <w:basedOn w:val="36"/>
    <w:autoRedefine/>
    <w:qFormat/>
    <w:uiPriority w:val="0"/>
  </w:style>
  <w:style w:type="character" w:customStyle="1" w:styleId="91">
    <w:name w:val="标题 4 字符"/>
    <w:link w:val="5"/>
    <w:autoRedefine/>
    <w:qFormat/>
    <w:uiPriority w:val="0"/>
    <w:rPr>
      <w:rFonts w:ascii="Cambria" w:hAnsi="Cambria"/>
      <w:b/>
      <w:bCs/>
      <w:sz w:val="28"/>
      <w:szCs w:val="28"/>
    </w:rPr>
  </w:style>
  <w:style w:type="character" w:customStyle="1" w:styleId="92">
    <w:name w:val="样式2 Char"/>
    <w:basedOn w:val="82"/>
    <w:link w:val="93"/>
    <w:autoRedefine/>
    <w:qFormat/>
    <w:uiPriority w:val="0"/>
    <w:rPr>
      <w:sz w:val="18"/>
      <w:szCs w:val="18"/>
    </w:rPr>
  </w:style>
  <w:style w:type="paragraph" w:customStyle="1" w:styleId="93">
    <w:name w:val="样式2"/>
    <w:basedOn w:val="23"/>
    <w:link w:val="92"/>
    <w:autoRedefine/>
    <w:qFormat/>
    <w:uiPriority w:val="0"/>
    <w:pPr>
      <w:pBdr>
        <w:bottom w:val="none" w:color="auto" w:sz="0" w:space="0"/>
      </w:pBdr>
      <w:jc w:val="both"/>
    </w:pPr>
  </w:style>
  <w:style w:type="character" w:customStyle="1" w:styleId="94">
    <w:name w:val="样式5 Char"/>
    <w:basedOn w:val="82"/>
    <w:link w:val="95"/>
    <w:autoRedefine/>
    <w:qFormat/>
    <w:uiPriority w:val="0"/>
    <w:rPr>
      <w:sz w:val="18"/>
      <w:szCs w:val="18"/>
    </w:rPr>
  </w:style>
  <w:style w:type="paragraph" w:customStyle="1" w:styleId="95">
    <w:name w:val="样式5"/>
    <w:basedOn w:val="23"/>
    <w:link w:val="94"/>
    <w:autoRedefine/>
    <w:qFormat/>
    <w:uiPriority w:val="0"/>
    <w:pPr>
      <w:pBdr>
        <w:bottom w:val="none" w:color="auto" w:sz="0" w:space="0"/>
      </w:pBdr>
      <w:jc w:val="both"/>
    </w:pPr>
  </w:style>
  <w:style w:type="character" w:customStyle="1" w:styleId="96">
    <w:name w:val="样式6 Char"/>
    <w:basedOn w:val="82"/>
    <w:link w:val="97"/>
    <w:autoRedefine/>
    <w:qFormat/>
    <w:uiPriority w:val="0"/>
    <w:rPr>
      <w:sz w:val="18"/>
      <w:szCs w:val="18"/>
    </w:rPr>
  </w:style>
  <w:style w:type="paragraph" w:customStyle="1" w:styleId="97">
    <w:name w:val="样式6"/>
    <w:basedOn w:val="23"/>
    <w:link w:val="96"/>
    <w:autoRedefine/>
    <w:qFormat/>
    <w:uiPriority w:val="0"/>
    <w:pPr>
      <w:pBdr>
        <w:bottom w:val="none" w:color="auto" w:sz="0" w:space="0"/>
      </w:pBdr>
    </w:pPr>
  </w:style>
  <w:style w:type="character" w:customStyle="1" w:styleId="98">
    <w:name w:val="Char Char"/>
    <w:autoRedefine/>
    <w:qFormat/>
    <w:locked/>
    <w:uiPriority w:val="0"/>
    <w:rPr>
      <w:rFonts w:ascii="宋体" w:hAnsi="Courier New" w:eastAsia="宋体"/>
      <w:kern w:val="2"/>
      <w:sz w:val="21"/>
      <w:lang w:bidi="ar-SA"/>
    </w:rPr>
  </w:style>
  <w:style w:type="character" w:customStyle="1" w:styleId="99">
    <w:name w:val="HTML 预设格式 Char1"/>
    <w:autoRedefine/>
    <w:semiHidden/>
    <w:qFormat/>
    <w:uiPriority w:val="99"/>
    <w:rPr>
      <w:rFonts w:ascii="Courier New" w:hAnsi="Courier New" w:cs="Courier New"/>
      <w:kern w:val="2"/>
    </w:rPr>
  </w:style>
  <w:style w:type="character" w:customStyle="1" w:styleId="100">
    <w:name w:val="页脚 字符"/>
    <w:link w:val="22"/>
    <w:autoRedefine/>
    <w:qFormat/>
    <w:uiPriority w:val="99"/>
    <w:rPr>
      <w:sz w:val="18"/>
      <w:szCs w:val="18"/>
    </w:rPr>
  </w:style>
  <w:style w:type="character" w:customStyle="1" w:styleId="101">
    <w:name w:val="正文文本 字符"/>
    <w:link w:val="14"/>
    <w:autoRedefine/>
    <w:qFormat/>
    <w:uiPriority w:val="0"/>
    <w:rPr>
      <w:rFonts w:ascii="Times New Roman" w:hAnsi="Times New Roman" w:eastAsia="楷体_GB2312" w:cs="Times New Roman"/>
      <w:sz w:val="30"/>
      <w:szCs w:val="20"/>
    </w:rPr>
  </w:style>
  <w:style w:type="character" w:customStyle="1" w:styleId="102">
    <w:name w:val="正文文本首行缩进 字符"/>
    <w:link w:val="32"/>
    <w:autoRedefine/>
    <w:qFormat/>
    <w:uiPriority w:val="0"/>
    <w:rPr>
      <w:rFonts w:ascii="宋体" w:hAnsi="宋体" w:cs="宋体"/>
      <w:b/>
      <w:bCs/>
    </w:rPr>
  </w:style>
  <w:style w:type="character" w:customStyle="1" w:styleId="103">
    <w:name w:val="正文文本缩进 Char1"/>
    <w:autoRedefine/>
    <w:semiHidden/>
    <w:qFormat/>
    <w:uiPriority w:val="99"/>
    <w:rPr>
      <w:rFonts w:ascii="Times New Roman" w:hAnsi="Times New Roman" w:eastAsia="宋体" w:cs="Times New Roman"/>
      <w:szCs w:val="20"/>
    </w:rPr>
  </w:style>
  <w:style w:type="character" w:customStyle="1" w:styleId="104">
    <w:name w:val="ca-3"/>
    <w:basedOn w:val="36"/>
    <w:autoRedefine/>
    <w:qFormat/>
    <w:uiPriority w:val="0"/>
  </w:style>
  <w:style w:type="character" w:customStyle="1" w:styleId="105">
    <w:name w:val="批注文字 字符"/>
    <w:link w:val="10"/>
    <w:autoRedefine/>
    <w:qFormat/>
    <w:uiPriority w:val="0"/>
    <w:rPr>
      <w:kern w:val="2"/>
      <w:sz w:val="21"/>
    </w:rPr>
  </w:style>
  <w:style w:type="character" w:customStyle="1" w:styleId="106">
    <w:name w:val="HTML 预设格式 字符"/>
    <w:link w:val="28"/>
    <w:autoRedefine/>
    <w:qFormat/>
    <w:uiPriority w:val="0"/>
    <w:rPr>
      <w:rFonts w:ascii="Arial" w:hAnsi="Arial" w:cs="Arial"/>
      <w:sz w:val="15"/>
      <w:szCs w:val="15"/>
    </w:rPr>
  </w:style>
  <w:style w:type="character" w:customStyle="1" w:styleId="107">
    <w:name w:val="标题 2 字符"/>
    <w:link w:val="3"/>
    <w:autoRedefine/>
    <w:qFormat/>
    <w:uiPriority w:val="0"/>
    <w:rPr>
      <w:rFonts w:ascii="Arial" w:hAnsi="Arial" w:eastAsia="黑体" w:cs="Times New Roman"/>
      <w:b/>
      <w:bCs/>
      <w:sz w:val="32"/>
      <w:szCs w:val="32"/>
    </w:rPr>
  </w:style>
  <w:style w:type="character" w:customStyle="1" w:styleId="108">
    <w:name w:val="正文文本缩进 3 字符"/>
    <w:link w:val="26"/>
    <w:autoRedefine/>
    <w:qFormat/>
    <w:uiPriority w:val="0"/>
    <w:rPr>
      <w:rFonts w:ascii="宋体" w:hAnsi="宋体"/>
      <w:sz w:val="32"/>
    </w:rPr>
  </w:style>
  <w:style w:type="character" w:customStyle="1" w:styleId="109">
    <w:name w:val="font41"/>
    <w:autoRedefine/>
    <w:qFormat/>
    <w:uiPriority w:val="0"/>
    <w:rPr>
      <w:rFonts w:hint="eastAsia" w:ascii="宋体" w:hAnsi="宋体" w:eastAsia="宋体" w:cs="宋体"/>
      <w:color w:val="000000"/>
      <w:sz w:val="20"/>
      <w:szCs w:val="20"/>
      <w:u w:val="none"/>
    </w:rPr>
  </w:style>
  <w:style w:type="character" w:customStyle="1" w:styleId="110">
    <w:name w:val="页脚2 Char"/>
    <w:link w:val="111"/>
    <w:autoRedefine/>
    <w:qFormat/>
    <w:uiPriority w:val="0"/>
    <w:rPr>
      <w:rFonts w:ascii="宋体" w:hAnsi="宋体"/>
      <w:sz w:val="18"/>
      <w:szCs w:val="18"/>
    </w:rPr>
  </w:style>
  <w:style w:type="paragraph" w:customStyle="1" w:styleId="111">
    <w:name w:val="页脚2"/>
    <w:basedOn w:val="1"/>
    <w:link w:val="110"/>
    <w:autoRedefine/>
    <w:qFormat/>
    <w:uiPriority w:val="0"/>
    <w:pPr>
      <w:widowControl/>
      <w:pBdr>
        <w:top w:val="single" w:color="auto" w:sz="6" w:space="0"/>
      </w:pBdr>
      <w:jc w:val="right"/>
      <w:textAlignment w:val="center"/>
    </w:pPr>
    <w:rPr>
      <w:rFonts w:ascii="宋体" w:hAnsi="宋体"/>
      <w:kern w:val="0"/>
      <w:sz w:val="18"/>
      <w:szCs w:val="18"/>
    </w:rPr>
  </w:style>
  <w:style w:type="character" w:customStyle="1" w:styleId="112">
    <w:name w:val="纯文本 字符"/>
    <w:link w:val="18"/>
    <w:autoRedefine/>
    <w:qFormat/>
    <w:uiPriority w:val="0"/>
    <w:rPr>
      <w:rFonts w:ascii="宋体" w:hAnsi="Courier New" w:eastAsia="宋体"/>
    </w:rPr>
  </w:style>
  <w:style w:type="character" w:customStyle="1" w:styleId="113">
    <w:name w:val="正文文本缩进 字符"/>
    <w:link w:val="15"/>
    <w:autoRedefine/>
    <w:qFormat/>
    <w:uiPriority w:val="0"/>
    <w:rPr>
      <w:rFonts w:ascii="Times New Roman" w:hAnsi="Times New Roman" w:eastAsia="宋体" w:cs="Times New Roman"/>
      <w:szCs w:val="20"/>
    </w:rPr>
  </w:style>
  <w:style w:type="paragraph" w:customStyle="1" w:styleId="114">
    <w:name w:val="List Paragraph1"/>
    <w:basedOn w:val="1"/>
    <w:autoRedefine/>
    <w:qFormat/>
    <w:uiPriority w:val="0"/>
    <w:pPr>
      <w:ind w:firstLine="420" w:firstLineChars="200"/>
    </w:pPr>
    <w:rPr>
      <w:rFonts w:ascii="Calibri" w:hAnsi="Calibri"/>
      <w:szCs w:val="22"/>
    </w:rPr>
  </w:style>
  <w:style w:type="paragraph" w:customStyle="1" w:styleId="115">
    <w:name w:val="xl6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6">
    <w:name w:val="Style First line:  1.71 ch"/>
    <w:basedOn w:val="1"/>
    <w:autoRedefine/>
    <w:qFormat/>
    <w:uiPriority w:val="0"/>
    <w:pPr>
      <w:spacing w:line="360" w:lineRule="auto"/>
      <w:ind w:firstLine="359" w:firstLineChars="171"/>
    </w:pPr>
    <w:rPr>
      <w:rFonts w:cs="宋体"/>
      <w:sz w:val="24"/>
    </w:rPr>
  </w:style>
  <w:style w:type="paragraph" w:customStyle="1" w:styleId="117">
    <w:name w:val="Char Char Char Char"/>
    <w:basedOn w:val="1"/>
    <w:autoRedefine/>
    <w:qFormat/>
    <w:uiPriority w:val="0"/>
    <w:pPr>
      <w:spacing w:line="360" w:lineRule="auto"/>
      <w:ind w:firstLine="200" w:firstLineChars="200"/>
    </w:pPr>
  </w:style>
  <w:style w:type="paragraph" w:customStyle="1" w:styleId="118">
    <w:name w:val="默认段落字体 Para Char"/>
    <w:basedOn w:val="1"/>
    <w:autoRedefine/>
    <w:qFormat/>
    <w:uiPriority w:val="0"/>
    <w:rPr>
      <w:rFonts w:ascii="Tahoma" w:hAnsi="Tahoma"/>
      <w:sz w:val="24"/>
    </w:rPr>
  </w:style>
  <w:style w:type="paragraph" w:customStyle="1" w:styleId="119">
    <w:name w:val="_Style 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Char Char Char"/>
    <w:basedOn w:val="9"/>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121">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3">
    <w:name w:val="pa-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2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2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7">
    <w:name w:val="p0"/>
    <w:basedOn w:val="1"/>
    <w:autoRedefine/>
    <w:qFormat/>
    <w:uiPriority w:val="0"/>
    <w:pPr>
      <w:widowControl/>
    </w:pPr>
    <w:rPr>
      <w:kern w:val="0"/>
      <w:szCs w:val="21"/>
    </w:rPr>
  </w:style>
  <w:style w:type="paragraph" w:customStyle="1" w:styleId="128">
    <w:name w:val="样式 标题 2 + Times New Roman 四号 非加粗 段前: 5 磅 段后: 0 磅 行距: 固定值 20..."/>
    <w:basedOn w:val="3"/>
    <w:autoRedefine/>
    <w:qFormat/>
    <w:uiPriority w:val="0"/>
    <w:pPr>
      <w:autoSpaceDE w:val="0"/>
      <w:autoSpaceDN w:val="0"/>
      <w:spacing w:before="100" w:after="0" w:line="400" w:lineRule="exact"/>
    </w:pPr>
    <w:rPr>
      <w:rFonts w:ascii="Times New Roman" w:hAnsi="Times New Roman" w:eastAsia="宋体" w:cs="宋体"/>
      <w:b w:val="0"/>
      <w:bCs w:val="0"/>
      <w:caps/>
      <w:sz w:val="28"/>
      <w:szCs w:val="20"/>
    </w:rPr>
  </w:style>
  <w:style w:type="paragraph" w:customStyle="1" w:styleId="129">
    <w:name w:val="Char11"/>
    <w:basedOn w:val="1"/>
    <w:autoRedefine/>
    <w:qFormat/>
    <w:uiPriority w:val="0"/>
    <w:pPr>
      <w:adjustRightInd w:val="0"/>
      <w:spacing w:line="360" w:lineRule="auto"/>
    </w:pPr>
    <w:rPr>
      <w:kern w:val="0"/>
      <w:sz w:val="24"/>
    </w:rPr>
  </w:style>
  <w:style w:type="paragraph" w:customStyle="1" w:styleId="130">
    <w:name w:val="标题4"/>
    <w:basedOn w:val="5"/>
    <w:autoRedefine/>
    <w:qFormat/>
    <w:uiPriority w:val="0"/>
    <w:pPr>
      <w:keepNext w:val="0"/>
      <w:keepLines w:val="0"/>
      <w:adjustRightInd w:val="0"/>
      <w:spacing w:before="100" w:beforeAutospacing="1" w:after="100" w:afterAutospacing="1" w:line="320" w:lineRule="exact"/>
      <w:jc w:val="center"/>
      <w:textAlignment w:val="baseline"/>
    </w:pPr>
    <w:rPr>
      <w:rFonts w:ascii="幼圆" w:hAnsi="Arial" w:eastAsia="幼圆" w:cs="Arial"/>
      <w:szCs w:val="24"/>
    </w:rPr>
  </w:style>
  <w:style w:type="paragraph" w:customStyle="1" w:styleId="131">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3">
    <w:name w:val="Column Headings"/>
    <w:basedOn w:val="3"/>
    <w:autoRedefine/>
    <w:qFormat/>
    <w:uiPriority w:val="99"/>
    <w:pPr>
      <w:keepLines w:val="0"/>
      <w:widowControl/>
      <w:spacing w:before="20" w:after="0" w:line="240" w:lineRule="auto"/>
    </w:pPr>
    <w:rPr>
      <w:rFonts w:ascii="Microsoft Sans Serif" w:hAnsi="Microsoft Sans Serif"/>
      <w:bCs w:val="0"/>
      <w:color w:val="7F7F7F"/>
      <w:sz w:val="16"/>
      <w:szCs w:val="16"/>
      <w:lang w:eastAsia="en-US"/>
    </w:rPr>
  </w:style>
  <w:style w:type="paragraph" w:customStyle="1" w:styleId="134">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列出段落11"/>
    <w:basedOn w:val="1"/>
    <w:autoRedefine/>
    <w:qFormat/>
    <w:uiPriority w:val="0"/>
    <w:pPr>
      <w:widowControl/>
      <w:ind w:firstLine="420" w:firstLineChars="200"/>
      <w:jc w:val="left"/>
    </w:pPr>
    <w:rPr>
      <w:kern w:val="0"/>
      <w:sz w:val="24"/>
      <w:szCs w:val="24"/>
    </w:rPr>
  </w:style>
  <w:style w:type="paragraph" w:customStyle="1" w:styleId="136">
    <w:name w:val="Char1 Char Char Char Char Char Char"/>
    <w:basedOn w:val="1"/>
    <w:autoRedefine/>
    <w:qFormat/>
    <w:uiPriority w:val="0"/>
    <w:pPr>
      <w:ind w:left="289" w:leftChars="1" w:hanging="287" w:hangingChars="143"/>
    </w:pPr>
    <w:rPr>
      <w:rFonts w:ascii="Tahoma" w:hAnsi="Tahoma" w:cs="宋体"/>
      <w:sz w:val="20"/>
    </w:rPr>
  </w:style>
  <w:style w:type="paragraph" w:customStyle="1" w:styleId="13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样式3"/>
    <w:basedOn w:val="23"/>
    <w:autoRedefine/>
    <w:qFormat/>
    <w:uiPriority w:val="0"/>
    <w:pPr>
      <w:pBdr>
        <w:bottom w:val="none" w:color="auto" w:sz="0" w:space="0"/>
      </w:pBdr>
      <w:jc w:val="left"/>
    </w:pPr>
    <w:rPr>
      <w:rFonts w:ascii="仿宋_GB2312" w:hAnsi="宋体" w:eastAsia="仿宋_GB2312" w:cs="Lucida Sans Unicode"/>
      <w:sz w:val="24"/>
    </w:rPr>
  </w:style>
  <w:style w:type="paragraph" w:customStyle="1" w:styleId="139">
    <w:name w:val="表 靠左"/>
    <w:basedOn w:val="1"/>
    <w:next w:val="1"/>
    <w:autoRedefine/>
    <w:qFormat/>
    <w:uiPriority w:val="0"/>
    <w:pPr>
      <w:adjustRightInd w:val="0"/>
      <w:snapToGrid w:val="0"/>
      <w:ind w:left="420" w:hanging="420"/>
      <w:jc w:val="center"/>
    </w:pPr>
    <w:rPr>
      <w:rFonts w:ascii="宋体" w:hAnsi="宋体" w:cs="宋体"/>
      <w:kern w:val="0"/>
      <w:sz w:val="24"/>
      <w:szCs w:val="24"/>
    </w:rPr>
  </w:style>
  <w:style w:type="paragraph" w:customStyle="1" w:styleId="140">
    <w:name w:val="Char Char Char1"/>
    <w:basedOn w:val="1"/>
    <w:autoRedefine/>
    <w:qFormat/>
    <w:uiPriority w:val="0"/>
  </w:style>
  <w:style w:type="paragraph" w:customStyle="1" w:styleId="141">
    <w:name w:val="Char1"/>
    <w:basedOn w:val="1"/>
    <w:autoRedefine/>
    <w:qFormat/>
    <w:uiPriority w:val="0"/>
    <w:rPr>
      <w:rFonts w:ascii="Tahoma" w:hAnsi="Tahoma"/>
      <w:sz w:val="24"/>
    </w:rPr>
  </w:style>
  <w:style w:type="paragraph" w:customStyle="1" w:styleId="142">
    <w:name w:val="列出段落2"/>
    <w:basedOn w:val="1"/>
    <w:autoRedefine/>
    <w:qFormat/>
    <w:uiPriority w:val="0"/>
    <w:pPr>
      <w:ind w:firstLine="420" w:firstLineChars="200"/>
    </w:pPr>
  </w:style>
  <w:style w:type="paragraph" w:customStyle="1" w:styleId="143">
    <w:name w:val="列出段落111"/>
    <w:basedOn w:val="1"/>
    <w:autoRedefine/>
    <w:qFormat/>
    <w:uiPriority w:val="34"/>
    <w:pPr>
      <w:ind w:firstLine="420" w:firstLineChars="200"/>
    </w:pPr>
  </w:style>
  <w:style w:type="paragraph" w:customStyle="1" w:styleId="144">
    <w:name w:val="默认段落字体 Para Char Char Char Char"/>
    <w:basedOn w:val="1"/>
    <w:autoRedefine/>
    <w:qFormat/>
    <w:uiPriority w:val="0"/>
    <w:rPr>
      <w:szCs w:val="24"/>
    </w:rPr>
  </w:style>
  <w:style w:type="paragraph" w:customStyle="1" w:styleId="145">
    <w:name w:val="_Style 2"/>
    <w:basedOn w:val="1"/>
    <w:autoRedefine/>
    <w:qFormat/>
    <w:uiPriority w:val="99"/>
    <w:pPr>
      <w:ind w:left="720"/>
      <w:contextualSpacing/>
    </w:pPr>
  </w:style>
  <w:style w:type="paragraph" w:customStyle="1" w:styleId="146">
    <w:name w:val="_Style 3"/>
    <w:basedOn w:val="1"/>
    <w:autoRedefine/>
    <w:qFormat/>
    <w:uiPriority w:val="99"/>
    <w:pPr>
      <w:ind w:firstLine="420" w:firstLineChars="200"/>
    </w:pPr>
  </w:style>
  <w:style w:type="paragraph" w:customStyle="1" w:styleId="147">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14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Amount"/>
    <w:basedOn w:val="1"/>
    <w:autoRedefine/>
    <w:qFormat/>
    <w:uiPriority w:val="99"/>
    <w:pPr>
      <w:widowControl/>
      <w:jc w:val="right"/>
    </w:pPr>
    <w:rPr>
      <w:rFonts w:ascii="Microsoft Sans Serif" w:hAnsi="Microsoft Sans Serif" w:eastAsia="黑体"/>
      <w:kern w:val="0"/>
      <w:sz w:val="16"/>
      <w:szCs w:val="24"/>
      <w:lang w:eastAsia="en-US"/>
    </w:rPr>
  </w:style>
  <w:style w:type="paragraph" w:customStyle="1" w:styleId="150">
    <w:name w:val="_Style 7"/>
    <w:basedOn w:val="1"/>
    <w:autoRedefine/>
    <w:qFormat/>
    <w:uiPriority w:val="99"/>
    <w:pPr>
      <w:ind w:firstLine="420" w:firstLineChars="200"/>
    </w:pPr>
    <w:rPr>
      <w:rFonts w:ascii="Calibri" w:hAnsi="Calibri"/>
      <w:kern w:val="0"/>
      <w:sz w:val="20"/>
    </w:rPr>
  </w:style>
  <w:style w:type="paragraph" w:customStyle="1" w:styleId="151">
    <w:name w:val="p16"/>
    <w:basedOn w:val="1"/>
    <w:autoRedefine/>
    <w:qFormat/>
    <w:uiPriority w:val="99"/>
    <w:pPr>
      <w:widowControl/>
      <w:ind w:firstLine="420"/>
    </w:pPr>
    <w:rPr>
      <w:rFonts w:ascii="Calibri" w:hAnsi="Calibri" w:cs="宋体"/>
      <w:kern w:val="0"/>
      <w:szCs w:val="21"/>
    </w:rPr>
  </w:style>
  <w:style w:type="paragraph" w:customStyle="1" w:styleId="152">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纯文本1"/>
    <w:basedOn w:val="1"/>
    <w:autoRedefine/>
    <w:qFormat/>
    <w:uiPriority w:val="0"/>
    <w:rPr>
      <w:rFonts w:ascii="宋体" w:hAnsi="Courier New" w:cs="Courier New"/>
      <w:szCs w:val="21"/>
    </w:rPr>
  </w:style>
  <w:style w:type="character" w:customStyle="1" w:styleId="154">
    <w:name w:val="标题 Char"/>
    <w:basedOn w:val="36"/>
    <w:autoRedefine/>
    <w:qFormat/>
    <w:uiPriority w:val="0"/>
    <w:rPr>
      <w:rFonts w:ascii="Arial" w:hAnsi="Arial" w:cs="Arial"/>
      <w:b/>
      <w:sz w:val="32"/>
    </w:rPr>
  </w:style>
  <w:style w:type="character" w:customStyle="1" w:styleId="155">
    <w:name w:val="标题 字符"/>
    <w:basedOn w:val="36"/>
    <w:link w:val="30"/>
    <w:autoRedefine/>
    <w:qFormat/>
    <w:uiPriority w:val="10"/>
    <w:rPr>
      <w:rFonts w:asciiTheme="majorHAnsi" w:hAnsiTheme="majorHAnsi" w:cstheme="majorBidi"/>
      <w:b/>
      <w:bCs/>
      <w:kern w:val="2"/>
      <w:sz w:val="32"/>
      <w:szCs w:val="32"/>
    </w:rPr>
  </w:style>
  <w:style w:type="character" w:customStyle="1" w:styleId="156">
    <w:name w:val="layui-layer-tabnow"/>
    <w:basedOn w:val="36"/>
    <w:autoRedefine/>
    <w:qFormat/>
    <w:uiPriority w:val="0"/>
    <w:rPr>
      <w:bdr w:val="single" w:color="CCCCCC" w:sz="6" w:space="0"/>
      <w:shd w:val="clear" w:color="auto" w:fill="FFFFFF"/>
    </w:rPr>
  </w:style>
  <w:style w:type="character" w:customStyle="1" w:styleId="157">
    <w:name w:val="first-child"/>
    <w:basedOn w:val="36"/>
    <w:autoRedefine/>
    <w:qFormat/>
    <w:uiPriority w:val="0"/>
  </w:style>
  <w:style w:type="paragraph" w:customStyle="1" w:styleId="158">
    <w:name w:val="列出段落"/>
    <w:basedOn w:val="1"/>
    <w:autoRedefine/>
    <w:qFormat/>
    <w:uiPriority w:val="34"/>
    <w:pPr>
      <w:ind w:firstLine="420" w:firstLineChars="200"/>
    </w:pPr>
  </w:style>
  <w:style w:type="paragraph" w:customStyle="1" w:styleId="159">
    <w:name w:val="10 f"/>
    <w:basedOn w:val="1"/>
    <w:autoRedefine/>
    <w:qFormat/>
    <w:uiPriority w:val="0"/>
    <w:pPr>
      <w:tabs>
        <w:tab w:val="left" w:pos="2835"/>
        <w:tab w:val="left" w:pos="3119"/>
        <w:tab w:val="left" w:pos="3402"/>
        <w:tab w:val="left" w:pos="3686"/>
        <w:tab w:val="left" w:pos="3969"/>
        <w:tab w:val="left" w:pos="4253"/>
      </w:tabs>
    </w:pPr>
    <w:rPr>
      <w:b/>
    </w:rPr>
  </w:style>
  <w:style w:type="character" w:customStyle="1" w:styleId="160">
    <w:name w:val="s1"/>
    <w:autoRedefine/>
    <w:qFormat/>
    <w:uiPriority w:val="99"/>
    <w:rPr>
      <w:sz w:val="20"/>
    </w:rPr>
  </w:style>
  <w:style w:type="paragraph" w:customStyle="1" w:styleId="161">
    <w:name w:val="列表段落1"/>
    <w:basedOn w:val="1"/>
    <w:autoRedefine/>
    <w:qFormat/>
    <w:uiPriority w:val="34"/>
    <w:pPr>
      <w:ind w:firstLine="420" w:firstLineChars="200"/>
    </w:pPr>
  </w:style>
  <w:style w:type="character" w:customStyle="1" w:styleId="162">
    <w:name w:val="NormalCharacter"/>
    <w:link w:val="1"/>
    <w:autoRedefine/>
    <w:semiHidden/>
    <w:qFormat/>
    <w:uiPriority w:val="0"/>
    <w:rPr>
      <w:rFonts w:ascii="Times New Roman" w:hAnsi="Times New Roman" w:eastAsia="宋体" w:cs="Times New Roman"/>
      <w:kern w:val="2"/>
      <w:sz w:val="21"/>
      <w:lang w:val="en-US" w:eastAsia="zh-CN" w:bidi="ar-SA"/>
    </w:rPr>
  </w:style>
  <w:style w:type="paragraph" w:customStyle="1" w:styleId="163">
    <w:name w:val="表格文字"/>
    <w:basedOn w:val="1"/>
    <w:autoRedefine/>
    <w:qFormat/>
    <w:uiPriority w:val="0"/>
    <w:pPr>
      <w:spacing w:before="25" w:after="25"/>
      <w:jc w:val="left"/>
    </w:pPr>
    <w:rPr>
      <w:rFonts w:ascii="Calibri" w:hAnsi="Calibri" w:eastAsia="宋体" w:cs="Times New Roman"/>
      <w:bCs/>
      <w:spacing w:val="10"/>
      <w:kern w:val="0"/>
      <w:sz w:val="24"/>
      <w:szCs w:val="24"/>
    </w:rPr>
  </w:style>
  <w:style w:type="paragraph" w:customStyle="1" w:styleId="164">
    <w:name w:val="样式 标题 1 + 宋体 居中 段前: 17 磅 段后: 16.5 磅"/>
    <w:basedOn w:val="2"/>
    <w:autoRedefine/>
    <w:qFormat/>
    <w:uiPriority w:val="0"/>
    <w:pPr>
      <w:keepLines/>
      <w:widowControl/>
      <w:tabs>
        <w:tab w:val="left" w:pos="840"/>
      </w:tabs>
      <w:adjustRightInd/>
      <w:snapToGrid w:val="0"/>
      <w:spacing w:before="0" w:line="360" w:lineRule="auto"/>
      <w:ind w:left="840" w:hanging="420"/>
    </w:pPr>
    <w:rPr>
      <w:rFonts w:ascii="华文中宋" w:hAnsi="华文中宋" w:eastAsia="华文中宋" w:cs="宋体"/>
      <w:b w:val="0"/>
      <w:kern w:val="44"/>
      <w:sz w:val="28"/>
      <w:lang w:val="en-US"/>
    </w:rPr>
  </w:style>
  <w:style w:type="paragraph" w:customStyle="1" w:styleId="165">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customStyle="1" w:styleId="166">
    <w:name w:val="标题 2_0"/>
    <w:basedOn w:val="11"/>
    <w:next w:val="1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67">
    <w:name w:val="普通(网站)_0"/>
    <w:basedOn w:val="11"/>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8">
    <w:name w:val="Normal_0_1_1"/>
    <w:autoRedefine/>
    <w:qFormat/>
    <w:uiPriority w:val="0"/>
    <w:rPr>
      <w:rFonts w:ascii="Times New Roman" w:hAnsi="Times New Roman" w:eastAsia="Times New Roman" w:cs="Times New Roman"/>
      <w:sz w:val="24"/>
      <w:szCs w:val="24"/>
    </w:rPr>
  </w:style>
  <w:style w:type="character" w:customStyle="1" w:styleId="169">
    <w:name w:val="bsharetext"/>
    <w:basedOn w:val="36"/>
    <w:autoRedefine/>
    <w:qFormat/>
    <w:uiPriority w:val="0"/>
  </w:style>
  <w:style w:type="character" w:customStyle="1" w:styleId="170">
    <w:name w:val="layui-laypage-curr"/>
    <w:basedOn w:val="36"/>
    <w:autoRedefine/>
    <w:qFormat/>
    <w:uiPriority w:val="0"/>
  </w:style>
  <w:style w:type="table" w:customStyle="1" w:styleId="171">
    <w:name w:val="网格型111"/>
    <w:basedOn w:val="34"/>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2">
    <w:name w:val="_Style 6"/>
    <w:basedOn w:val="2"/>
    <w:next w:val="1"/>
    <w:autoRedefine/>
    <w:qFormat/>
    <w:uiPriority w:val="0"/>
    <w:pPr>
      <w:outlineLvl w:val="9"/>
    </w:pPr>
  </w:style>
  <w:style w:type="paragraph" w:customStyle="1" w:styleId="173">
    <w:name w:val="合同-正文"/>
    <w:basedOn w:val="1"/>
    <w:autoRedefine/>
    <w:qFormat/>
    <w:uiPriority w:val="0"/>
    <w:pPr>
      <w:spacing w:before="240" w:after="60"/>
      <w:ind w:firstLine="723" w:firstLineChars="200"/>
      <w:jc w:val="left"/>
      <w:outlineLvl w:val="0"/>
    </w:pPr>
    <w:rPr>
      <w:rFonts w:eastAsia="宋体"/>
      <w:sz w:val="24"/>
    </w:rPr>
  </w:style>
  <w:style w:type="character" w:customStyle="1" w:styleId="174">
    <w:name w:val="正文头部订立方 Char"/>
    <w:link w:val="175"/>
    <w:autoRedefine/>
    <w:qFormat/>
    <w:uiPriority w:val="0"/>
    <w:rPr>
      <w:rFonts w:eastAsia="黑体"/>
      <w:b/>
      <w:sz w:val="28"/>
    </w:rPr>
  </w:style>
  <w:style w:type="paragraph" w:customStyle="1" w:styleId="175">
    <w:name w:val="头部订立方"/>
    <w:basedOn w:val="1"/>
    <w:link w:val="174"/>
    <w:autoRedefine/>
    <w:qFormat/>
    <w:uiPriority w:val="0"/>
    <w:pPr>
      <w:jc w:val="left"/>
      <w:outlineLvl w:val="0"/>
    </w:pPr>
    <w:rPr>
      <w:rFonts w:eastAsia="黑体"/>
      <w:b/>
      <w:sz w:val="28"/>
    </w:rPr>
  </w:style>
  <w:style w:type="paragraph" w:customStyle="1" w:styleId="176">
    <w:name w:val="条款标题"/>
    <w:basedOn w:val="1"/>
    <w:autoRedefine/>
    <w:qFormat/>
    <w:uiPriority w:val="0"/>
    <w:pPr>
      <w:spacing w:before="240" w:after="60"/>
      <w:ind w:firstLine="723" w:firstLineChars="200"/>
      <w:jc w:val="left"/>
      <w:outlineLvl w:val="0"/>
    </w:pPr>
    <w:rPr>
      <w:rFonts w:eastAsia="宋体"/>
      <w:b/>
      <w:sz w:val="24"/>
    </w:rPr>
  </w:style>
  <w:style w:type="paragraph" w:customStyle="1" w:styleId="177">
    <w:name w:val="TOC Heading"/>
    <w:basedOn w:val="2"/>
    <w:next w:val="1"/>
    <w:autoRedefine/>
    <w:unhideWhenUsed/>
    <w:qFormat/>
    <w:uiPriority w:val="39"/>
    <w:pPr>
      <w:pageBreakBefore w:val="0"/>
      <w:widowControl/>
      <w:numPr>
        <w:ilvl w:val="0"/>
        <w:numId w:val="0"/>
      </w:numPr>
      <w:adjustRightInd/>
      <w:spacing w:before="240" w:after="0" w:line="259" w:lineRule="auto"/>
      <w:jc w:val="left"/>
      <w:textAlignment w:val="auto"/>
      <w:outlineLvl w:val="9"/>
    </w:pPr>
    <w:rPr>
      <w:rFonts w:asciiTheme="majorHAnsi" w:hAnsiTheme="majorHAnsi" w:eastAsiaTheme="majorEastAsia" w:cstheme="majorBidi"/>
      <w:b w:val="0"/>
      <w:color w:val="376092" w:themeColor="accent1" w:themeShade="BF"/>
      <w:kern w:val="0"/>
      <w:sz w:val="32"/>
      <w:szCs w:val="32"/>
    </w:rPr>
  </w:style>
  <w:style w:type="character" w:customStyle="1" w:styleId="178">
    <w:name w:val="last-child"/>
    <w:basedOn w:val="36"/>
    <w:autoRedefine/>
    <w:qFormat/>
    <w:uiPriority w:val="0"/>
  </w:style>
  <w:style w:type="paragraph" w:customStyle="1" w:styleId="179">
    <w:name w:val="Table Paragraph"/>
    <w:basedOn w:val="180"/>
    <w:autoRedefine/>
    <w:qFormat/>
    <w:uiPriority w:val="0"/>
    <w:rPr>
      <w:rFonts w:ascii="宋体" w:hAnsi="宋体" w:eastAsia="宋体" w:cs="宋体"/>
      <w:lang w:val="zh-CN" w:eastAsia="zh-CN" w:bidi="zh-CN"/>
    </w:rPr>
  </w:style>
  <w:style w:type="paragraph" w:customStyle="1" w:styleId="180">
    <w:name w:val="msonormal"/>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1">
    <w:name w:val="正文-公1"/>
    <w:basedOn w:val="1"/>
    <w:next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15650</Words>
  <Characters>16626</Characters>
  <Lines>371</Lines>
  <Paragraphs>104</Paragraphs>
  <TotalTime>6</TotalTime>
  <ScaleCrop>false</ScaleCrop>
  <LinksUpToDate>false</LinksUpToDate>
  <CharactersWithSpaces>17327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2019-06-06T01:18:00Z</dcterms:created>
  <dc:creator>微软用户</dc:creator>
  <cp:lastModifiedBy>Administrator</cp:lastModifiedBy>
  <cp:lastPrinted>2023-05-09T08:38:00Z</cp:lastPrinted>
  <dcterms:modified xsi:type="dcterms:W3CDTF">2025-07-07T09:20:48Z</dcterms:modified>
  <dc:title>目  录</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7E6C5438D774432AB004AD98886C9045_13</vt:lpwstr>
  </property>
  <property fmtid="{D5CDD505-2E9C-101B-9397-08002B2CF9AE}" pid="4" name="KSOTemplateDocerSaveRecord">
    <vt:lpwstr>eyJoZGlkIjoiNmM0YWFjMjg1MzA3OTRkYzU1ZGJhNTM2MTliZWRiMDMiLCJ1c2VySWQiOiIyNTM3MzE3NjgifQ==</vt:lpwstr>
  </property>
</Properties>
</file>