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hint="eastAsia" w:ascii="楷体" w:hAnsi="楷体" w:eastAsia="楷体"/>
          <w:b/>
          <w:bCs/>
          <w:spacing w:val="120"/>
          <w:sz w:val="72"/>
          <w:szCs w:val="72"/>
        </w:rPr>
      </w:pPr>
      <w:bookmarkStart w:id="222" w:name="_GoBack"/>
      <w:bookmarkEnd w:id="222"/>
    </w:p>
    <w:p>
      <w:pPr>
        <w:jc w:val="center"/>
        <w:rPr>
          <w:rFonts w:hint="eastAsia" w:ascii="楷体" w:hAnsi="楷体" w:eastAsia="楷体" w:cs="楷体_GB2312"/>
          <w:sz w:val="72"/>
          <w:szCs w:val="72"/>
        </w:rPr>
      </w:pPr>
      <w:r>
        <w:rPr>
          <w:rFonts w:hint="eastAsia" w:ascii="楷体" w:hAnsi="楷体" w:eastAsia="楷体" w:cs="楷体_GB2312"/>
          <w:sz w:val="72"/>
          <w:szCs w:val="72"/>
        </w:rPr>
        <w:t>温州市鹿城区政府分散采购</w:t>
      </w:r>
    </w:p>
    <w:p>
      <w:pPr>
        <w:autoSpaceDE w:val="0"/>
        <w:autoSpaceDN w:val="0"/>
        <w:spacing w:line="500" w:lineRule="atLeast"/>
        <w:jc w:val="center"/>
        <w:textAlignment w:val="bottom"/>
        <w:rPr>
          <w:rFonts w:hint="eastAsia" w:ascii="楷体" w:hAnsi="楷体" w:eastAsia="楷体"/>
          <w:bCs/>
          <w:sz w:val="72"/>
          <w:szCs w:val="72"/>
        </w:rPr>
      </w:pPr>
    </w:p>
    <w:p>
      <w:pPr>
        <w:spacing w:line="400" w:lineRule="atLeast"/>
        <w:jc w:val="center"/>
        <w:rPr>
          <w:rFonts w:hint="eastAsia" w:ascii="楷体" w:hAnsi="楷体" w:eastAsia="楷体"/>
          <w:b/>
          <w:sz w:val="52"/>
        </w:rPr>
      </w:pPr>
    </w:p>
    <w:p>
      <w:pPr>
        <w:spacing w:line="400" w:lineRule="atLeast"/>
        <w:rPr>
          <w:rFonts w:hint="eastAsia" w:ascii="楷体" w:hAnsi="楷体" w:eastAsia="楷体"/>
          <w:b/>
          <w:sz w:val="52"/>
        </w:rPr>
      </w:pPr>
    </w:p>
    <w:p>
      <w:pPr>
        <w:spacing w:line="400" w:lineRule="atLeast"/>
        <w:jc w:val="center"/>
        <w:rPr>
          <w:rFonts w:hint="eastAsia" w:ascii="楷体" w:hAnsi="楷体" w:eastAsia="楷体"/>
          <w:b/>
          <w:sz w:val="52"/>
        </w:rPr>
      </w:pPr>
    </w:p>
    <w:p>
      <w:pPr>
        <w:autoSpaceDE w:val="0"/>
        <w:autoSpaceDN w:val="0"/>
        <w:spacing w:line="500" w:lineRule="atLeast"/>
        <w:jc w:val="center"/>
        <w:textAlignment w:val="bottom"/>
        <w:rPr>
          <w:rFonts w:hint="eastAsia" w:ascii="楷体" w:hAnsi="楷体" w:eastAsia="楷体"/>
          <w:sz w:val="72"/>
          <w:szCs w:val="72"/>
        </w:rPr>
      </w:pPr>
      <w:r>
        <w:rPr>
          <w:rFonts w:hint="eastAsia" w:ascii="楷体" w:hAnsi="楷体" w:eastAsia="楷体"/>
          <w:sz w:val="72"/>
          <w:szCs w:val="72"/>
        </w:rPr>
        <w:t>招 标 文 件</w:t>
      </w:r>
    </w:p>
    <w:p>
      <w:pPr>
        <w:spacing w:line="400" w:lineRule="atLeast"/>
        <w:jc w:val="center"/>
        <w:rPr>
          <w:rFonts w:hint="eastAsia" w:ascii="楷体" w:hAnsi="楷体" w:eastAsia="楷体"/>
          <w:b/>
          <w:sz w:val="32"/>
        </w:rPr>
      </w:pPr>
      <w:r>
        <w:rPr>
          <w:rFonts w:hint="eastAsia" w:ascii="楷体" w:hAnsi="楷体" w:eastAsia="楷体"/>
          <w:b/>
          <w:sz w:val="32"/>
        </w:rPr>
        <w:t xml:space="preserve"> </w:t>
      </w:r>
    </w:p>
    <w:p>
      <w:pPr>
        <w:spacing w:line="400" w:lineRule="exact"/>
        <w:jc w:val="center"/>
        <w:rPr>
          <w:rFonts w:hint="eastAsia" w:ascii="楷体" w:hAnsi="楷体" w:eastAsia="楷体"/>
          <w:b/>
          <w:bCs/>
          <w:sz w:val="32"/>
          <w:szCs w:val="32"/>
        </w:rPr>
      </w:pPr>
    </w:p>
    <w:p>
      <w:pPr>
        <w:jc w:val="center"/>
        <w:rPr>
          <w:rFonts w:hint="eastAsia" w:ascii="楷体" w:hAnsi="楷体" w:eastAsia="楷体"/>
          <w:b/>
          <w:bCs/>
          <w:sz w:val="24"/>
        </w:rPr>
      </w:pPr>
    </w:p>
    <w:p>
      <w:pPr>
        <w:jc w:val="center"/>
        <w:rPr>
          <w:rFonts w:hint="eastAsia" w:ascii="楷体" w:hAnsi="楷体" w:eastAsia="楷体"/>
          <w:b/>
          <w:bCs/>
          <w:sz w:val="24"/>
        </w:rPr>
      </w:pPr>
    </w:p>
    <w:p>
      <w:pPr>
        <w:jc w:val="center"/>
        <w:rPr>
          <w:rFonts w:hint="eastAsia" w:ascii="楷体" w:hAnsi="楷体" w:eastAsia="楷体"/>
          <w:b/>
          <w:bCs/>
          <w:sz w:val="24"/>
        </w:rPr>
      </w:pPr>
    </w:p>
    <w:p>
      <w:pPr>
        <w:jc w:val="center"/>
        <w:rPr>
          <w:rFonts w:hint="eastAsia" w:ascii="楷体" w:hAnsi="楷体" w:eastAsia="楷体"/>
          <w:b/>
          <w:bCs/>
          <w:sz w:val="24"/>
        </w:rPr>
      </w:pPr>
    </w:p>
    <w:p>
      <w:pPr>
        <w:tabs>
          <w:tab w:val="left" w:pos="4860"/>
        </w:tabs>
        <w:spacing w:line="600" w:lineRule="exact"/>
        <w:ind w:right="1143"/>
        <w:jc w:val="left"/>
        <w:rPr>
          <w:rFonts w:hint="eastAsia" w:ascii="楷体" w:hAnsi="楷体" w:eastAsia="楷体"/>
          <w:bCs/>
          <w:sz w:val="30"/>
          <w:szCs w:val="30"/>
        </w:rPr>
      </w:pPr>
      <w:r>
        <w:rPr>
          <w:rFonts w:hint="eastAsia" w:ascii="楷体" w:hAnsi="楷体" w:eastAsia="楷体"/>
          <w:b/>
          <w:spacing w:val="40"/>
          <w:sz w:val="30"/>
          <w:szCs w:val="30"/>
        </w:rPr>
        <w:t xml:space="preserve">      </w:t>
      </w:r>
      <w:r>
        <w:rPr>
          <w:rFonts w:hint="eastAsia" w:ascii="楷体" w:hAnsi="楷体" w:eastAsia="楷体"/>
          <w:bCs/>
          <w:spacing w:val="40"/>
          <w:sz w:val="30"/>
          <w:szCs w:val="30"/>
        </w:rPr>
        <w:t>招 标 编 号</w:t>
      </w:r>
      <w:r>
        <w:rPr>
          <w:rFonts w:hint="eastAsia" w:ascii="楷体" w:hAnsi="楷体" w:eastAsia="楷体"/>
          <w:bCs/>
          <w:sz w:val="30"/>
          <w:szCs w:val="30"/>
        </w:rPr>
        <w:t xml:space="preserve">： </w:t>
      </w:r>
      <w:r>
        <w:rPr>
          <w:rFonts w:hint="eastAsia" w:ascii="微软雅黑" w:hAnsi="微软雅黑" w:eastAsia="微软雅黑"/>
          <w:color w:val="606060"/>
          <w:shd w:val="clear" w:color="auto" w:fill="FFFFFF"/>
        </w:rPr>
        <w:t>ZJMY-bjcg20190121</w:t>
      </w:r>
    </w:p>
    <w:p>
      <w:pPr>
        <w:tabs>
          <w:tab w:val="left" w:pos="4860"/>
        </w:tabs>
        <w:spacing w:line="600" w:lineRule="exact"/>
        <w:ind w:right="98"/>
        <w:jc w:val="left"/>
        <w:rPr>
          <w:rFonts w:hint="eastAsia" w:ascii="楷体" w:hAnsi="楷体" w:eastAsia="楷体"/>
          <w:bCs/>
          <w:sz w:val="30"/>
          <w:szCs w:val="30"/>
        </w:rPr>
      </w:pPr>
      <w:r>
        <w:rPr>
          <w:rFonts w:hint="eastAsia" w:ascii="楷体" w:hAnsi="楷体" w:eastAsia="楷体"/>
          <w:bCs/>
          <w:spacing w:val="40"/>
          <w:sz w:val="30"/>
          <w:szCs w:val="30"/>
        </w:rPr>
        <w:t xml:space="preserve">      招 标 项 目：</w:t>
      </w:r>
      <w:r>
        <w:rPr>
          <w:rFonts w:hint="eastAsia" w:ascii="楷体" w:hAnsi="楷体" w:eastAsia="楷体"/>
          <w:bCs/>
          <w:sz w:val="30"/>
          <w:szCs w:val="30"/>
        </w:rPr>
        <w:t>温州市鹿城区人民政府五马街道办事处</w:t>
      </w:r>
    </w:p>
    <w:p>
      <w:pPr>
        <w:tabs>
          <w:tab w:val="left" w:pos="4860"/>
        </w:tabs>
        <w:spacing w:line="600" w:lineRule="exact"/>
        <w:ind w:right="98"/>
        <w:jc w:val="left"/>
        <w:rPr>
          <w:rFonts w:hint="eastAsia" w:ascii="楷体" w:hAnsi="楷体" w:eastAsia="楷体"/>
          <w:bCs/>
          <w:spacing w:val="40"/>
          <w:sz w:val="30"/>
          <w:szCs w:val="30"/>
        </w:rPr>
      </w:pPr>
      <w:r>
        <w:rPr>
          <w:rFonts w:hint="eastAsia" w:ascii="楷体" w:hAnsi="楷体" w:eastAsia="楷体"/>
          <w:bCs/>
          <w:sz w:val="30"/>
          <w:szCs w:val="30"/>
        </w:rPr>
        <w:t xml:space="preserve">                          道路及楼道清扫保洁</w:t>
      </w:r>
    </w:p>
    <w:p>
      <w:pPr>
        <w:tabs>
          <w:tab w:val="left" w:pos="4860"/>
        </w:tabs>
        <w:spacing w:line="600" w:lineRule="exact"/>
        <w:ind w:right="1143"/>
        <w:jc w:val="left"/>
        <w:rPr>
          <w:rFonts w:hint="eastAsia" w:ascii="楷体" w:hAnsi="楷体" w:eastAsia="楷体"/>
          <w:bCs/>
          <w:spacing w:val="40"/>
          <w:sz w:val="30"/>
          <w:szCs w:val="30"/>
        </w:rPr>
      </w:pPr>
      <w:r>
        <w:rPr>
          <w:rFonts w:hint="eastAsia" w:ascii="楷体" w:hAnsi="楷体" w:eastAsia="楷体"/>
          <w:bCs/>
          <w:spacing w:val="40"/>
          <w:sz w:val="30"/>
          <w:szCs w:val="30"/>
        </w:rPr>
        <w:t xml:space="preserve">      招 标 方 式</w:t>
      </w:r>
      <w:r>
        <w:rPr>
          <w:rFonts w:hint="eastAsia" w:ascii="楷体" w:hAnsi="楷体" w:eastAsia="楷体"/>
          <w:bCs/>
          <w:sz w:val="30"/>
          <w:szCs w:val="30"/>
        </w:rPr>
        <w:t>：公 开 招 标</w:t>
      </w:r>
    </w:p>
    <w:p>
      <w:pPr>
        <w:jc w:val="center"/>
        <w:rPr>
          <w:rFonts w:hint="eastAsia" w:ascii="楷体" w:hAnsi="楷体" w:eastAsia="楷体"/>
          <w:bCs/>
          <w:sz w:val="24"/>
        </w:rPr>
      </w:pPr>
    </w:p>
    <w:p>
      <w:pPr>
        <w:jc w:val="center"/>
        <w:rPr>
          <w:rFonts w:hint="eastAsia" w:ascii="楷体" w:hAnsi="楷体" w:eastAsia="楷体"/>
          <w:bCs/>
          <w:sz w:val="24"/>
        </w:rPr>
      </w:pPr>
    </w:p>
    <w:p>
      <w:pPr>
        <w:jc w:val="center"/>
        <w:rPr>
          <w:rFonts w:hint="eastAsia" w:ascii="楷体" w:hAnsi="楷体" w:eastAsia="楷体"/>
          <w:bCs/>
          <w:sz w:val="24"/>
        </w:rPr>
      </w:pPr>
    </w:p>
    <w:p>
      <w:pPr>
        <w:rPr>
          <w:rFonts w:hint="eastAsia" w:ascii="楷体" w:hAnsi="楷体" w:eastAsia="楷体"/>
          <w:bCs/>
          <w:sz w:val="24"/>
        </w:rPr>
      </w:pPr>
    </w:p>
    <w:p>
      <w:pPr>
        <w:jc w:val="center"/>
        <w:rPr>
          <w:rFonts w:hint="eastAsia" w:ascii="楷体" w:hAnsi="楷体" w:eastAsia="楷体"/>
          <w:bCs/>
          <w:sz w:val="24"/>
        </w:rPr>
      </w:pPr>
    </w:p>
    <w:p>
      <w:pPr>
        <w:spacing w:line="600" w:lineRule="exact"/>
        <w:ind w:firstLine="1434" w:firstLineChars="478"/>
        <w:rPr>
          <w:rFonts w:hint="eastAsia" w:ascii="楷体" w:hAnsi="楷体" w:eastAsia="楷体"/>
          <w:bCs/>
          <w:sz w:val="30"/>
          <w:szCs w:val="30"/>
        </w:rPr>
      </w:pPr>
      <w:r>
        <w:rPr>
          <w:rFonts w:hint="eastAsia" w:ascii="楷体" w:hAnsi="楷体" w:eastAsia="楷体"/>
          <w:bCs/>
          <w:sz w:val="30"/>
          <w:szCs w:val="30"/>
        </w:rPr>
        <w:t>招  标  人：温州市鹿城区人民政府五马街道办事处</w:t>
      </w:r>
    </w:p>
    <w:p>
      <w:pPr>
        <w:spacing w:line="600" w:lineRule="exact"/>
        <w:ind w:firstLine="1432" w:firstLineChars="377"/>
        <w:rPr>
          <w:rFonts w:hint="eastAsia" w:ascii="楷体" w:hAnsi="楷体" w:eastAsia="楷体"/>
          <w:bCs/>
          <w:spacing w:val="40"/>
          <w:sz w:val="30"/>
          <w:szCs w:val="30"/>
        </w:rPr>
      </w:pPr>
      <w:r>
        <w:rPr>
          <w:rFonts w:hint="eastAsia" w:ascii="楷体" w:hAnsi="楷体" w:eastAsia="楷体"/>
          <w:bCs/>
          <w:spacing w:val="40"/>
          <w:sz w:val="30"/>
          <w:szCs w:val="30"/>
        </w:rPr>
        <w:t>招标代理</w:t>
      </w:r>
      <w:r>
        <w:rPr>
          <w:rFonts w:hint="eastAsia" w:ascii="楷体" w:hAnsi="楷体" w:eastAsia="楷体"/>
          <w:bCs/>
          <w:sz w:val="30"/>
          <w:szCs w:val="30"/>
        </w:rPr>
        <w:t>：</w:t>
      </w:r>
      <w:r>
        <w:rPr>
          <w:rFonts w:hint="eastAsia" w:ascii="楷体" w:hAnsi="楷体" w:eastAsia="楷体"/>
          <w:bCs/>
          <w:spacing w:val="12"/>
          <w:sz w:val="30"/>
          <w:szCs w:val="30"/>
        </w:rPr>
        <w:t>浙江明业项目管理有限公司</w:t>
      </w:r>
    </w:p>
    <w:p>
      <w:pPr>
        <w:spacing w:line="600" w:lineRule="exact"/>
        <w:jc w:val="center"/>
        <w:rPr>
          <w:rFonts w:hint="eastAsia" w:ascii="楷体" w:hAnsi="楷体" w:eastAsia="楷体"/>
          <w:bCs/>
          <w:spacing w:val="40"/>
          <w:sz w:val="30"/>
          <w:szCs w:val="30"/>
        </w:rPr>
      </w:pPr>
      <w:r>
        <w:rPr>
          <w:rFonts w:hint="eastAsia" w:ascii="楷体" w:hAnsi="楷体" w:eastAsia="楷体"/>
          <w:bCs/>
          <w:spacing w:val="40"/>
          <w:sz w:val="30"/>
          <w:szCs w:val="30"/>
        </w:rPr>
        <w:t>二〇一九年八月</w:t>
      </w:r>
    </w:p>
    <w:p>
      <w:pPr>
        <w:spacing w:line="600" w:lineRule="exact"/>
        <w:jc w:val="center"/>
        <w:rPr>
          <w:rFonts w:hint="eastAsia" w:ascii="楷体" w:hAnsi="楷体" w:eastAsia="楷体"/>
          <w:b/>
          <w:bCs/>
          <w:sz w:val="32"/>
          <w:szCs w:val="32"/>
        </w:rPr>
      </w:pPr>
      <w:r>
        <w:rPr>
          <w:rFonts w:hint="eastAsia" w:ascii="楷体" w:hAnsi="楷体" w:eastAsia="楷体"/>
          <w:spacing w:val="40"/>
          <w:sz w:val="30"/>
          <w:szCs w:val="30"/>
        </w:rPr>
        <w:br w:type="page"/>
      </w:r>
      <w:r>
        <w:rPr>
          <w:rFonts w:hint="eastAsia" w:ascii="楷体" w:hAnsi="楷体" w:eastAsia="楷体"/>
          <w:b/>
          <w:bCs/>
          <w:sz w:val="32"/>
          <w:szCs w:val="32"/>
        </w:rPr>
        <w:t>目    录</w:t>
      </w:r>
    </w:p>
    <w:p>
      <w:pPr>
        <w:pStyle w:val="19"/>
        <w:tabs>
          <w:tab w:val="right" w:leader="dot" w:pos="9638"/>
          <w:tab w:val="clear" w:pos="9628"/>
        </w:tabs>
        <w:rPr>
          <w:rFonts w:ascii="楷体" w:hAnsi="楷体" w:eastAsia="楷体"/>
          <w:lang/>
        </w:rPr>
      </w:pPr>
      <w:r>
        <w:rPr>
          <w:rFonts w:hint="eastAsia" w:ascii="楷体" w:hAnsi="楷体" w:eastAsia="楷体" w:cs="Times New Roman"/>
          <w:b/>
          <w:bCs w:val="0"/>
        </w:rPr>
        <w:fldChar w:fldCharType="begin"/>
      </w:r>
      <w:r>
        <w:rPr>
          <w:rFonts w:hint="eastAsia" w:ascii="楷体" w:hAnsi="楷体" w:eastAsia="楷体" w:cs="Times New Roman"/>
          <w:b/>
          <w:bCs w:val="0"/>
        </w:rPr>
        <w:instrText xml:space="preserve"> TOC \o "1-3" \h \z \u </w:instrText>
      </w:r>
      <w:r>
        <w:rPr>
          <w:rFonts w:hint="eastAsia" w:ascii="楷体" w:hAnsi="楷体" w:eastAsia="楷体" w:cs="Times New Roman"/>
          <w:b/>
          <w:bCs w:val="0"/>
        </w:rPr>
        <w:fldChar w:fldCharType="separate"/>
      </w:r>
      <w:r>
        <w:rPr>
          <w:rFonts w:hint="eastAsia" w:ascii="楷体" w:hAnsi="楷体" w:eastAsia="楷体" w:cs="Times New Roman"/>
          <w:b/>
          <w:bCs w:val="0"/>
          <w:lang/>
        </w:rPr>
        <w:fldChar w:fldCharType="begin"/>
      </w:r>
      <w:r>
        <w:rPr>
          <w:rFonts w:hint="eastAsia" w:ascii="楷体" w:hAnsi="楷体" w:eastAsia="楷体" w:cs="Times New Roman"/>
          <w:b/>
          <w:bCs w:val="0"/>
          <w:lang/>
        </w:rPr>
        <w:instrText xml:space="preserve"> HYPERLINK \l _Toc4352 </w:instrText>
      </w:r>
      <w:r>
        <w:rPr>
          <w:rFonts w:hint="eastAsia" w:ascii="楷体" w:hAnsi="楷体" w:eastAsia="楷体" w:cs="Times New Roman"/>
          <w:b/>
          <w:bCs w:val="0"/>
          <w:lang/>
        </w:rPr>
        <w:fldChar w:fldCharType="separate"/>
      </w:r>
      <w:r>
        <w:rPr>
          <w:rFonts w:hint="eastAsia" w:ascii="楷体" w:hAnsi="楷体" w:eastAsia="楷体"/>
          <w:szCs w:val="36"/>
          <w:lang/>
        </w:rPr>
        <w:t>温州市政府采购（分散）招标公告</w:t>
      </w:r>
      <w:r>
        <w:rPr>
          <w:rFonts w:ascii="楷体" w:hAnsi="楷体" w:eastAsia="楷体"/>
          <w:lang/>
        </w:rPr>
        <w:tab/>
      </w:r>
      <w:r>
        <w:rPr>
          <w:rFonts w:ascii="楷体" w:hAnsi="楷体" w:eastAsia="楷体"/>
          <w:lang/>
        </w:rPr>
        <w:fldChar w:fldCharType="begin"/>
      </w:r>
      <w:r>
        <w:rPr>
          <w:rFonts w:ascii="楷体" w:hAnsi="楷体" w:eastAsia="楷体"/>
          <w:lang/>
        </w:rPr>
        <w:instrText xml:space="preserve"> PAGEREF _Toc4352 </w:instrText>
      </w:r>
      <w:r>
        <w:rPr>
          <w:rFonts w:ascii="楷体" w:hAnsi="楷体" w:eastAsia="楷体"/>
          <w:lang/>
        </w:rPr>
        <w:fldChar w:fldCharType="separate"/>
      </w:r>
      <w:r>
        <w:rPr>
          <w:rFonts w:ascii="楷体" w:hAnsi="楷体" w:eastAsia="楷体"/>
          <w:lang/>
        </w:rPr>
        <w:t>2</w:t>
      </w:r>
      <w:r>
        <w:rPr>
          <w:rFonts w:ascii="楷体" w:hAnsi="楷体" w:eastAsia="楷体"/>
          <w:lang/>
        </w:rPr>
        <w:fldChar w:fldCharType="end"/>
      </w:r>
      <w:r>
        <w:rPr>
          <w:rFonts w:hint="eastAsia" w:ascii="楷体" w:hAnsi="楷体" w:eastAsia="楷体" w:cs="Times New Roman"/>
          <w:b/>
          <w:bCs w:val="0"/>
          <w:lang/>
        </w:rPr>
        <w:fldChar w:fldCharType="end"/>
      </w:r>
    </w:p>
    <w:p>
      <w:pPr>
        <w:pStyle w:val="19"/>
        <w:tabs>
          <w:tab w:val="right" w:leader="dot" w:pos="9638"/>
          <w:tab w:val="clear" w:pos="9628"/>
        </w:tabs>
        <w:rPr>
          <w:rFonts w:ascii="楷体" w:hAnsi="楷体" w:eastAsia="楷体"/>
          <w:lang/>
        </w:rPr>
      </w:pPr>
      <w:r>
        <w:rPr>
          <w:rFonts w:hint="eastAsia" w:ascii="楷体" w:hAnsi="楷体" w:eastAsia="楷体"/>
          <w:bCs w:val="0"/>
          <w:lang/>
        </w:rPr>
        <w:fldChar w:fldCharType="begin"/>
      </w:r>
      <w:r>
        <w:rPr>
          <w:rFonts w:hint="eastAsia" w:ascii="楷体" w:hAnsi="楷体" w:eastAsia="楷体"/>
          <w:bCs w:val="0"/>
          <w:lang/>
        </w:rPr>
        <w:instrText xml:space="preserve"> HYPERLINK \l _Toc5895 </w:instrText>
      </w:r>
      <w:r>
        <w:rPr>
          <w:rFonts w:hint="eastAsia" w:ascii="楷体" w:hAnsi="楷体" w:eastAsia="楷体"/>
          <w:bCs w:val="0"/>
          <w:lang/>
        </w:rPr>
        <w:fldChar w:fldCharType="separate"/>
      </w:r>
      <w:r>
        <w:rPr>
          <w:rFonts w:hint="eastAsia" w:ascii="楷体" w:hAnsi="楷体" w:eastAsia="楷体"/>
          <w:szCs w:val="36"/>
          <w:lang/>
        </w:rPr>
        <w:t>投标邀请函</w:t>
      </w:r>
      <w:r>
        <w:rPr>
          <w:rFonts w:ascii="楷体" w:hAnsi="楷体" w:eastAsia="楷体"/>
          <w:lang/>
        </w:rPr>
        <w:tab/>
      </w:r>
      <w:r>
        <w:rPr>
          <w:rFonts w:ascii="楷体" w:hAnsi="楷体" w:eastAsia="楷体"/>
          <w:lang/>
        </w:rPr>
        <w:fldChar w:fldCharType="begin"/>
      </w:r>
      <w:r>
        <w:rPr>
          <w:rFonts w:ascii="楷体" w:hAnsi="楷体" w:eastAsia="楷体"/>
          <w:lang/>
        </w:rPr>
        <w:instrText xml:space="preserve"> PAGEREF _Toc5895 </w:instrText>
      </w:r>
      <w:r>
        <w:rPr>
          <w:rFonts w:ascii="楷体" w:hAnsi="楷体" w:eastAsia="楷体"/>
          <w:lang/>
        </w:rPr>
        <w:fldChar w:fldCharType="separate"/>
      </w:r>
      <w:r>
        <w:rPr>
          <w:rFonts w:ascii="楷体" w:hAnsi="楷体" w:eastAsia="楷体"/>
          <w:lang/>
        </w:rPr>
        <w:t>4</w:t>
      </w:r>
      <w:r>
        <w:rPr>
          <w:rFonts w:ascii="楷体" w:hAnsi="楷体" w:eastAsia="楷体"/>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lang/>
        </w:rPr>
      </w:pPr>
      <w:r>
        <w:rPr>
          <w:rFonts w:hint="eastAsia" w:ascii="楷体" w:hAnsi="楷体" w:eastAsia="楷体"/>
          <w:bCs w:val="0"/>
          <w:lang/>
        </w:rPr>
        <w:fldChar w:fldCharType="begin"/>
      </w:r>
      <w:r>
        <w:rPr>
          <w:rFonts w:hint="eastAsia" w:ascii="楷体" w:hAnsi="楷体" w:eastAsia="楷体"/>
          <w:bCs w:val="0"/>
          <w:lang/>
        </w:rPr>
        <w:instrText xml:space="preserve"> HYPERLINK \l _Toc27756 </w:instrText>
      </w:r>
      <w:r>
        <w:rPr>
          <w:rFonts w:hint="eastAsia" w:ascii="楷体" w:hAnsi="楷体" w:eastAsia="楷体"/>
          <w:bCs w:val="0"/>
          <w:lang/>
        </w:rPr>
        <w:fldChar w:fldCharType="separate"/>
      </w:r>
      <w:r>
        <w:rPr>
          <w:rFonts w:hint="eastAsia" w:ascii="楷体" w:hAnsi="楷体" w:eastAsia="楷体"/>
          <w:szCs w:val="36"/>
          <w:lang/>
        </w:rPr>
        <w:t>第一部分    投标人须知</w:t>
      </w:r>
      <w:r>
        <w:rPr>
          <w:rFonts w:ascii="楷体" w:hAnsi="楷体" w:eastAsia="楷体"/>
          <w:lang/>
        </w:rPr>
        <w:tab/>
      </w:r>
      <w:r>
        <w:rPr>
          <w:rFonts w:ascii="楷体" w:hAnsi="楷体" w:eastAsia="楷体"/>
          <w:lang/>
        </w:rPr>
        <w:fldChar w:fldCharType="begin"/>
      </w:r>
      <w:r>
        <w:rPr>
          <w:rFonts w:ascii="楷体" w:hAnsi="楷体" w:eastAsia="楷体"/>
          <w:lang/>
        </w:rPr>
        <w:instrText xml:space="preserve"> PAGEREF _Toc27756 </w:instrText>
      </w:r>
      <w:r>
        <w:rPr>
          <w:rFonts w:ascii="楷体" w:hAnsi="楷体" w:eastAsia="楷体"/>
          <w:lang/>
        </w:rPr>
        <w:fldChar w:fldCharType="separate"/>
      </w:r>
      <w:r>
        <w:rPr>
          <w:rFonts w:ascii="楷体" w:hAnsi="楷体" w:eastAsia="楷体"/>
          <w:lang/>
        </w:rPr>
        <w:t>6</w:t>
      </w:r>
      <w:r>
        <w:rPr>
          <w:rFonts w:ascii="楷体" w:hAnsi="楷体" w:eastAsia="楷体"/>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_Toc7617 </w:instrText>
      </w:r>
      <w:r>
        <w:rPr>
          <w:rFonts w:hint="eastAsia" w:ascii="楷体" w:hAnsi="楷体" w:eastAsia="楷体"/>
          <w:bCs w:val="0"/>
          <w:lang/>
        </w:rPr>
        <w:fldChar w:fldCharType="separate"/>
      </w:r>
      <w:r>
        <w:rPr>
          <w:rFonts w:hint="eastAsia" w:ascii="楷体" w:hAnsi="楷体" w:eastAsia="楷体"/>
          <w:bCs w:val="0"/>
          <w:lang/>
        </w:rPr>
        <w:t xml:space="preserve">一、  </w:t>
      </w:r>
      <w:bookmarkStart w:id="0" w:name="_Hlt16513791"/>
      <w:bookmarkStart w:id="1" w:name="_Hlt16513790"/>
      <w:r>
        <w:rPr>
          <w:rFonts w:hint="eastAsia" w:ascii="楷体" w:hAnsi="楷体" w:eastAsia="楷体"/>
          <w:bCs w:val="0"/>
          <w:lang/>
        </w:rPr>
        <w:t>说</w:t>
      </w:r>
      <w:bookmarkEnd w:id="0"/>
      <w:bookmarkEnd w:id="1"/>
      <w:r>
        <w:rPr>
          <w:rFonts w:hint="eastAsia" w:ascii="楷体" w:hAnsi="楷体" w:eastAsia="楷体"/>
          <w:bCs w:val="0"/>
          <w:lang/>
        </w:rPr>
        <w:t>明</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_Toc7617 </w:instrText>
      </w:r>
      <w:r>
        <w:rPr>
          <w:rFonts w:ascii="楷体" w:hAnsi="楷体" w:eastAsia="楷体"/>
          <w:bCs w:val="0"/>
          <w:lang/>
        </w:rPr>
        <w:fldChar w:fldCharType="separate"/>
      </w:r>
      <w:r>
        <w:rPr>
          <w:rFonts w:ascii="楷体" w:hAnsi="楷体" w:eastAsia="楷体"/>
          <w:bCs w:val="0"/>
          <w:lang/>
        </w:rPr>
        <w:t>6</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_Toc32101 </w:instrText>
      </w:r>
      <w:r>
        <w:rPr>
          <w:rFonts w:hint="eastAsia" w:ascii="楷体" w:hAnsi="楷体" w:eastAsia="楷体"/>
          <w:bCs w:val="0"/>
          <w:lang/>
        </w:rPr>
        <w:fldChar w:fldCharType="separate"/>
      </w:r>
      <w:r>
        <w:rPr>
          <w:rFonts w:hint="eastAsia" w:ascii="楷体" w:hAnsi="楷体" w:eastAsia="楷体"/>
          <w:bCs w:val="0"/>
          <w:lang/>
        </w:rPr>
        <w:t>二、 招标文件</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_Toc32101 </w:instrText>
      </w:r>
      <w:r>
        <w:rPr>
          <w:rFonts w:ascii="楷体" w:hAnsi="楷体" w:eastAsia="楷体"/>
          <w:bCs w:val="0"/>
          <w:lang/>
        </w:rPr>
        <w:fldChar w:fldCharType="separate"/>
      </w:r>
      <w:r>
        <w:rPr>
          <w:rFonts w:ascii="楷体" w:hAnsi="楷体" w:eastAsia="楷体"/>
          <w:bCs w:val="0"/>
          <w:lang/>
        </w:rPr>
        <w:t>6</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_Toc11007 </w:instrText>
      </w:r>
      <w:r>
        <w:rPr>
          <w:rFonts w:hint="eastAsia" w:ascii="楷体" w:hAnsi="楷体" w:eastAsia="楷体"/>
          <w:bCs w:val="0"/>
          <w:lang/>
        </w:rPr>
        <w:fldChar w:fldCharType="separate"/>
      </w:r>
      <w:r>
        <w:rPr>
          <w:rFonts w:hint="eastAsia" w:ascii="楷体" w:hAnsi="楷体" w:eastAsia="楷体"/>
          <w:bCs w:val="0"/>
          <w:lang/>
        </w:rPr>
        <w:t>三、 投标文件的编制</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_Toc11007 </w:instrText>
      </w:r>
      <w:r>
        <w:rPr>
          <w:rFonts w:ascii="楷体" w:hAnsi="楷体" w:eastAsia="楷体"/>
          <w:bCs w:val="0"/>
          <w:lang/>
        </w:rPr>
        <w:fldChar w:fldCharType="separate"/>
      </w:r>
      <w:r>
        <w:rPr>
          <w:rFonts w:ascii="楷体" w:hAnsi="楷体" w:eastAsia="楷体"/>
          <w:bCs w:val="0"/>
          <w:lang/>
        </w:rPr>
        <w:t>7</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_Toc1613 </w:instrText>
      </w:r>
      <w:r>
        <w:rPr>
          <w:rFonts w:hint="eastAsia" w:ascii="楷体" w:hAnsi="楷体" w:eastAsia="楷体"/>
          <w:bCs w:val="0"/>
          <w:lang/>
        </w:rPr>
        <w:fldChar w:fldCharType="separate"/>
      </w:r>
      <w:r>
        <w:rPr>
          <w:rFonts w:hint="eastAsia" w:ascii="楷体" w:hAnsi="楷体" w:eastAsia="楷体"/>
          <w:bCs w:val="0"/>
          <w:lang/>
        </w:rPr>
        <w:t>四、 投标</w:t>
      </w:r>
      <w:bookmarkStart w:id="2" w:name="_Hlt16513798"/>
      <w:r>
        <w:rPr>
          <w:rFonts w:hint="eastAsia" w:ascii="楷体" w:hAnsi="楷体" w:eastAsia="楷体"/>
          <w:bCs w:val="0"/>
          <w:lang/>
        </w:rPr>
        <w:t>文</w:t>
      </w:r>
      <w:bookmarkEnd w:id="2"/>
      <w:r>
        <w:rPr>
          <w:rFonts w:hint="eastAsia" w:ascii="楷体" w:hAnsi="楷体" w:eastAsia="楷体"/>
          <w:bCs w:val="0"/>
          <w:lang/>
        </w:rPr>
        <w:t>件的递交</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_Toc1613 </w:instrText>
      </w:r>
      <w:r>
        <w:rPr>
          <w:rFonts w:ascii="楷体" w:hAnsi="楷体" w:eastAsia="楷体"/>
          <w:bCs w:val="0"/>
          <w:lang/>
        </w:rPr>
        <w:fldChar w:fldCharType="separate"/>
      </w:r>
      <w:r>
        <w:rPr>
          <w:rFonts w:ascii="楷体" w:hAnsi="楷体" w:eastAsia="楷体"/>
          <w:bCs w:val="0"/>
          <w:lang/>
        </w:rPr>
        <w:t>10</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_Toc12357 </w:instrText>
      </w:r>
      <w:r>
        <w:rPr>
          <w:rFonts w:hint="eastAsia" w:ascii="楷体" w:hAnsi="楷体" w:eastAsia="楷体"/>
          <w:bCs w:val="0"/>
          <w:lang/>
        </w:rPr>
        <w:fldChar w:fldCharType="separate"/>
      </w:r>
      <w:r>
        <w:rPr>
          <w:rFonts w:hint="eastAsia" w:ascii="楷体" w:hAnsi="楷体" w:eastAsia="楷体"/>
          <w:bCs w:val="0"/>
          <w:lang/>
        </w:rPr>
        <w:t>五、 开标和</w:t>
      </w:r>
      <w:bookmarkStart w:id="3" w:name="_Hlt16513835"/>
      <w:r>
        <w:rPr>
          <w:rFonts w:hint="eastAsia" w:ascii="楷体" w:hAnsi="楷体" w:eastAsia="楷体"/>
          <w:bCs w:val="0"/>
          <w:lang/>
        </w:rPr>
        <w:t>评</w:t>
      </w:r>
      <w:bookmarkEnd w:id="3"/>
      <w:r>
        <w:rPr>
          <w:rFonts w:hint="eastAsia" w:ascii="楷体" w:hAnsi="楷体" w:eastAsia="楷体"/>
          <w:bCs w:val="0"/>
          <w:lang/>
        </w:rPr>
        <w:t>标</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_Toc12357 </w:instrText>
      </w:r>
      <w:r>
        <w:rPr>
          <w:rFonts w:ascii="楷体" w:hAnsi="楷体" w:eastAsia="楷体"/>
          <w:bCs w:val="0"/>
          <w:lang/>
        </w:rPr>
        <w:fldChar w:fldCharType="separate"/>
      </w:r>
      <w:r>
        <w:rPr>
          <w:rFonts w:ascii="楷体" w:hAnsi="楷体" w:eastAsia="楷体"/>
          <w:bCs w:val="0"/>
          <w:lang/>
        </w:rPr>
        <w:t>11</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hint="eastAsia"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_Toc16592 </w:instrText>
      </w:r>
      <w:r>
        <w:rPr>
          <w:rFonts w:hint="eastAsia" w:ascii="楷体" w:hAnsi="楷体" w:eastAsia="楷体"/>
          <w:bCs w:val="0"/>
          <w:lang/>
        </w:rPr>
        <w:fldChar w:fldCharType="separate"/>
      </w:r>
      <w:r>
        <w:rPr>
          <w:rFonts w:hint="eastAsia" w:ascii="楷体" w:hAnsi="楷体" w:eastAsia="楷体"/>
          <w:bCs w:val="0"/>
          <w:lang/>
        </w:rPr>
        <w:t>六、</w:t>
      </w:r>
      <w:r>
        <w:rPr>
          <w:rFonts w:ascii="楷体" w:hAnsi="楷体" w:eastAsia="楷体"/>
          <w:bCs w:val="0"/>
          <w:lang/>
        </w:rPr>
        <w:t>政府</w:t>
      </w:r>
      <w:bookmarkStart w:id="4" w:name="_Hlt16513935"/>
      <w:r>
        <w:rPr>
          <w:rFonts w:ascii="楷体" w:hAnsi="楷体" w:eastAsia="楷体"/>
          <w:bCs w:val="0"/>
          <w:lang/>
        </w:rPr>
        <w:t>采</w:t>
      </w:r>
      <w:bookmarkEnd w:id="4"/>
      <w:r>
        <w:rPr>
          <w:rFonts w:ascii="楷体" w:hAnsi="楷体" w:eastAsia="楷体"/>
          <w:bCs w:val="0"/>
          <w:lang/>
        </w:rPr>
        <w:t>购</w:t>
      </w:r>
      <w:bookmarkStart w:id="5" w:name="_Hlt16513977"/>
      <w:r>
        <w:rPr>
          <w:rFonts w:ascii="楷体" w:hAnsi="楷体" w:eastAsia="楷体"/>
          <w:bCs w:val="0"/>
          <w:lang/>
        </w:rPr>
        <w:t>政</w:t>
      </w:r>
      <w:bookmarkEnd w:id="5"/>
      <w:r>
        <w:rPr>
          <w:rFonts w:ascii="楷体" w:hAnsi="楷体" w:eastAsia="楷体"/>
          <w:bCs w:val="0"/>
          <w:lang/>
        </w:rPr>
        <w:t>策</w:t>
      </w:r>
      <w:r>
        <w:rPr>
          <w:rFonts w:ascii="楷体" w:hAnsi="楷体" w:eastAsia="楷体"/>
          <w:bCs w:val="0"/>
          <w:lang/>
        </w:rPr>
        <w:tab/>
      </w:r>
      <w:bookmarkStart w:id="6" w:name="_Hlt16513917"/>
      <w:r>
        <w:rPr>
          <w:rFonts w:ascii="楷体" w:hAnsi="楷体" w:eastAsia="楷体"/>
          <w:bCs w:val="0"/>
          <w:lang/>
        </w:rPr>
        <w:fldChar w:fldCharType="begin"/>
      </w:r>
      <w:r>
        <w:rPr>
          <w:rFonts w:ascii="楷体" w:hAnsi="楷体" w:eastAsia="楷体"/>
          <w:bCs w:val="0"/>
          <w:lang/>
        </w:rPr>
        <w:instrText xml:space="preserve"> PAGEREF _Toc16592 </w:instrText>
      </w:r>
      <w:r>
        <w:rPr>
          <w:rFonts w:ascii="楷体" w:hAnsi="楷体" w:eastAsia="楷体"/>
          <w:bCs w:val="0"/>
          <w:lang/>
        </w:rPr>
        <w:fldChar w:fldCharType="separate"/>
      </w:r>
      <w:r>
        <w:rPr>
          <w:rFonts w:ascii="楷体" w:hAnsi="楷体" w:eastAsia="楷体"/>
          <w:bCs w:val="0"/>
          <w:lang/>
        </w:rPr>
        <w:t>16</w:t>
      </w:r>
      <w:r>
        <w:rPr>
          <w:rFonts w:ascii="楷体" w:hAnsi="楷体" w:eastAsia="楷体"/>
          <w:bCs w:val="0"/>
          <w:lang/>
        </w:rPr>
        <w:fldChar w:fldCharType="end"/>
      </w:r>
      <w:bookmarkEnd w:id="6"/>
      <w:r>
        <w:rPr>
          <w:rFonts w:hint="eastAsia" w:ascii="楷体" w:hAnsi="楷体" w:eastAsia="楷体"/>
          <w:bCs w:val="0"/>
          <w:lang/>
        </w:rPr>
        <w:fldChar w:fldCharType="end"/>
      </w:r>
    </w:p>
    <w:p>
      <w:pPr>
        <w:pStyle w:val="19"/>
        <w:rPr>
          <w:rFonts w:ascii="楷体" w:hAnsi="楷体" w:eastAsia="楷体"/>
          <w:bCs w:val="0"/>
          <w:lang/>
        </w:rPr>
      </w:pPr>
      <w:r>
        <w:rPr>
          <w:rFonts w:hint="eastAsia" w:ascii="楷体" w:hAnsi="楷体" w:eastAsia="楷体"/>
          <w:bCs w:val="0"/>
          <w:lang/>
        </w:rPr>
        <w:t>七、授予合同</w:t>
      </w:r>
      <w:r>
        <w:rPr>
          <w:rFonts w:ascii="楷体" w:hAnsi="楷体" w:eastAsia="楷体"/>
          <w:bCs w:val="0"/>
          <w:lang/>
        </w:rPr>
        <w:tab/>
      </w:r>
      <w:r>
        <w:rPr>
          <w:rFonts w:hint="eastAsia" w:ascii="楷体" w:hAnsi="楷体" w:eastAsia="楷体"/>
          <w:bCs w:val="0"/>
          <w:lang/>
        </w:rPr>
        <w:t>18</w:t>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_Toc32457 </w:instrText>
      </w:r>
      <w:r>
        <w:rPr>
          <w:rFonts w:hint="eastAsia" w:ascii="楷体" w:hAnsi="楷体" w:eastAsia="楷体"/>
          <w:bCs w:val="0"/>
          <w:lang/>
        </w:rPr>
        <w:fldChar w:fldCharType="separate"/>
      </w:r>
      <w:r>
        <w:rPr>
          <w:rFonts w:hint="eastAsia" w:ascii="楷体" w:hAnsi="楷体" w:eastAsia="楷体"/>
          <w:bCs w:val="0"/>
          <w:lang/>
        </w:rPr>
        <w:t>第二部分   合同主要条款</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_Toc32457 </w:instrText>
      </w:r>
      <w:r>
        <w:rPr>
          <w:rFonts w:ascii="楷体" w:hAnsi="楷体" w:eastAsia="楷体"/>
          <w:bCs w:val="0"/>
          <w:lang/>
        </w:rPr>
        <w:fldChar w:fldCharType="separate"/>
      </w:r>
      <w:r>
        <w:rPr>
          <w:rFonts w:ascii="楷体" w:hAnsi="楷体" w:eastAsia="楷体"/>
          <w:bCs w:val="0"/>
          <w:lang/>
        </w:rPr>
        <w:t>18</w:t>
      </w:r>
      <w:r>
        <w:rPr>
          <w:rFonts w:ascii="楷体" w:hAnsi="楷体" w:eastAsia="楷体"/>
          <w:bCs w:val="0"/>
          <w:lang/>
        </w:rPr>
        <w:fldChar w:fldCharType="end"/>
      </w:r>
      <w:r>
        <w:rPr>
          <w:rFonts w:hint="eastAsia" w:ascii="楷体" w:hAnsi="楷体" w:eastAsia="楷体"/>
          <w:bCs w:val="0"/>
          <w:lang/>
        </w:rPr>
        <w:fldChar w:fldCharType="end"/>
      </w:r>
    </w:p>
    <w:p>
      <w:pPr>
        <w:pStyle w:val="19"/>
        <w:tabs>
          <w:tab w:val="right" w:leader="dot" w:pos="9638"/>
          <w:tab w:val="clear" w:pos="9628"/>
        </w:tabs>
        <w:rPr>
          <w:rFonts w:hint="eastAsia"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_Toc17406 </w:instrText>
      </w:r>
      <w:r>
        <w:rPr>
          <w:rFonts w:hint="eastAsia" w:ascii="楷体" w:hAnsi="楷体" w:eastAsia="楷体"/>
          <w:bCs w:val="0"/>
          <w:lang/>
        </w:rPr>
        <w:fldChar w:fldCharType="separate"/>
      </w:r>
      <w:r>
        <w:rPr>
          <w:rFonts w:hint="eastAsia" w:ascii="楷体" w:hAnsi="楷体" w:eastAsia="楷体"/>
          <w:bCs w:val="0"/>
          <w:lang/>
        </w:rPr>
        <w:t>第三部分   附件</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_Toc17406 </w:instrText>
      </w:r>
      <w:r>
        <w:rPr>
          <w:rFonts w:ascii="楷体" w:hAnsi="楷体" w:eastAsia="楷体"/>
          <w:bCs w:val="0"/>
          <w:lang/>
        </w:rPr>
        <w:fldChar w:fldCharType="separate"/>
      </w:r>
      <w:r>
        <w:rPr>
          <w:rFonts w:ascii="楷体" w:hAnsi="楷体" w:eastAsia="楷体"/>
          <w:bCs w:val="0"/>
          <w:lang/>
        </w:rPr>
        <w:t>23</w:t>
      </w:r>
      <w:r>
        <w:rPr>
          <w:rFonts w:ascii="楷体" w:hAnsi="楷体" w:eastAsia="楷体"/>
          <w:bCs w:val="0"/>
          <w:lang/>
        </w:rPr>
        <w:fldChar w:fldCharType="end"/>
      </w:r>
      <w:r>
        <w:rPr>
          <w:rFonts w:hint="eastAsia" w:ascii="楷体" w:hAnsi="楷体" w:eastAsia="楷体"/>
          <w:bCs w:val="0"/>
          <w:lang/>
        </w:rPr>
        <w:fldChar w:fldCharType="end"/>
      </w:r>
    </w:p>
    <w:p>
      <w:pPr>
        <w:pStyle w:val="19"/>
        <w:rPr>
          <w:rFonts w:ascii="楷体" w:hAnsi="楷体" w:eastAsia="楷体"/>
          <w:bCs w:val="0"/>
          <w:lang/>
        </w:rPr>
      </w:pPr>
      <w:r>
        <w:rPr>
          <w:rFonts w:hint="eastAsia" w:ascii="楷体" w:hAnsi="楷体" w:eastAsia="楷体"/>
          <w:bCs w:val="0"/>
          <w:lang/>
        </w:rPr>
        <w:t>第四部分   招标内容及要求....................................................43</w:t>
      </w:r>
      <w:r>
        <w:rPr>
          <w:rFonts w:hint="eastAsia" w:ascii="楷体" w:hAnsi="楷体" w:eastAsia="楷体"/>
          <w:bCs w:val="0"/>
          <w:lang/>
        </w:rPr>
        <w:tab/>
      </w:r>
    </w:p>
    <w:p>
      <w:pPr>
        <w:pStyle w:val="19"/>
        <w:tabs>
          <w:tab w:val="right" w:leader="dot" w:pos="9638"/>
          <w:tab w:val="clear" w:pos="9628"/>
        </w:tabs>
        <w:rPr>
          <w:rFonts w:ascii="楷体" w:hAnsi="楷体" w:eastAsia="楷体"/>
          <w:bCs w:val="0"/>
          <w:lang/>
        </w:rPr>
      </w:pPr>
      <w:r>
        <w:rPr>
          <w:rFonts w:hint="eastAsia" w:ascii="楷体" w:hAnsi="楷体" w:eastAsia="楷体"/>
          <w:bCs w:val="0"/>
          <w:lang/>
        </w:rPr>
        <w:fldChar w:fldCharType="begin"/>
      </w:r>
      <w:r>
        <w:rPr>
          <w:rFonts w:hint="eastAsia" w:ascii="楷体" w:hAnsi="楷体" w:eastAsia="楷体"/>
          <w:bCs w:val="0"/>
          <w:lang/>
        </w:rPr>
        <w:instrText xml:space="preserve"> HYPERLINK \l _Toc19759 </w:instrText>
      </w:r>
      <w:r>
        <w:rPr>
          <w:rFonts w:hint="eastAsia" w:ascii="楷体" w:hAnsi="楷体" w:eastAsia="楷体"/>
          <w:bCs w:val="0"/>
          <w:lang/>
        </w:rPr>
        <w:fldChar w:fldCharType="separate"/>
      </w:r>
      <w:r>
        <w:rPr>
          <w:rFonts w:hint="eastAsia" w:ascii="楷体" w:hAnsi="楷体" w:eastAsia="楷体"/>
          <w:bCs w:val="0"/>
          <w:lang/>
        </w:rPr>
        <w:t>第五部分   评标原则及方法</w:t>
      </w:r>
      <w:r>
        <w:rPr>
          <w:rFonts w:ascii="楷体" w:hAnsi="楷体" w:eastAsia="楷体"/>
          <w:bCs w:val="0"/>
          <w:lang/>
        </w:rPr>
        <w:tab/>
      </w:r>
      <w:r>
        <w:rPr>
          <w:rFonts w:ascii="楷体" w:hAnsi="楷体" w:eastAsia="楷体"/>
          <w:bCs w:val="0"/>
          <w:lang/>
        </w:rPr>
        <w:fldChar w:fldCharType="begin"/>
      </w:r>
      <w:r>
        <w:rPr>
          <w:rFonts w:ascii="楷体" w:hAnsi="楷体" w:eastAsia="楷体"/>
          <w:bCs w:val="0"/>
          <w:lang/>
        </w:rPr>
        <w:instrText xml:space="preserve"> PAGEREF _Toc19759 </w:instrText>
      </w:r>
      <w:r>
        <w:rPr>
          <w:rFonts w:ascii="楷体" w:hAnsi="楷体" w:eastAsia="楷体"/>
          <w:bCs w:val="0"/>
          <w:lang/>
        </w:rPr>
        <w:fldChar w:fldCharType="separate"/>
      </w:r>
      <w:r>
        <w:rPr>
          <w:rFonts w:ascii="楷体" w:hAnsi="楷体" w:eastAsia="楷体"/>
          <w:bCs w:val="0"/>
          <w:lang/>
        </w:rPr>
        <w:t>63</w:t>
      </w:r>
      <w:r>
        <w:rPr>
          <w:rFonts w:ascii="楷体" w:hAnsi="楷体" w:eastAsia="楷体"/>
          <w:bCs w:val="0"/>
          <w:lang/>
        </w:rPr>
        <w:fldChar w:fldCharType="end"/>
      </w:r>
      <w:r>
        <w:rPr>
          <w:rFonts w:hint="eastAsia" w:ascii="楷体" w:hAnsi="楷体" w:eastAsia="楷体"/>
          <w:bCs w:val="0"/>
          <w:lang/>
        </w:rPr>
        <w:fldChar w:fldCharType="end"/>
      </w:r>
    </w:p>
    <w:p>
      <w:pPr>
        <w:spacing w:line="480" w:lineRule="auto"/>
        <w:rPr>
          <w:rFonts w:hint="eastAsia" w:ascii="楷体" w:hAnsi="楷体" w:eastAsia="楷体"/>
          <w:b/>
          <w:bCs/>
          <w:sz w:val="22"/>
          <w:szCs w:val="22"/>
        </w:rPr>
      </w:pPr>
      <w:r>
        <w:rPr>
          <w:rFonts w:hint="eastAsia" w:ascii="楷体" w:hAnsi="楷体" w:eastAsia="楷体"/>
          <w:bCs/>
        </w:rPr>
        <w:fldChar w:fldCharType="end"/>
      </w:r>
    </w:p>
    <w:p>
      <w:pPr>
        <w:spacing w:line="560" w:lineRule="exact"/>
        <w:rPr>
          <w:rFonts w:hint="eastAsia" w:ascii="楷体" w:hAnsi="楷体" w:eastAsia="楷体"/>
          <w:b/>
          <w:bCs/>
          <w:sz w:val="22"/>
          <w:szCs w:val="22"/>
        </w:rPr>
      </w:pPr>
      <w:r>
        <w:rPr>
          <w:rFonts w:hint="eastAsia" w:ascii="楷体" w:hAnsi="楷体" w:eastAsia="楷体"/>
          <w:b/>
          <w:bCs/>
          <w:sz w:val="22"/>
          <w:szCs w:val="22"/>
        </w:rPr>
        <w:t>注：招标文件中部分</w:t>
      </w:r>
      <w:r>
        <w:rPr>
          <w:rFonts w:hint="eastAsia" w:ascii="楷体" w:hAnsi="楷体" w:eastAsia="楷体"/>
          <w:b/>
          <w:bCs/>
          <w:szCs w:val="21"/>
        </w:rPr>
        <w:t>加“▲”、加下划线</w:t>
      </w:r>
      <w:r>
        <w:rPr>
          <w:rFonts w:hint="eastAsia" w:ascii="楷体" w:hAnsi="楷体" w:eastAsia="楷体"/>
          <w:b/>
          <w:bCs/>
          <w:sz w:val="22"/>
          <w:szCs w:val="22"/>
        </w:rPr>
        <w:t>的条款，为招标的实质性要求和条件，着重提醒各投标人注意，并认真查看招标文件中的每一个条款及要求，因误读招标文件而造成的后果，招标人概不负责。</w:t>
      </w:r>
    </w:p>
    <w:p>
      <w:pPr>
        <w:spacing w:line="560" w:lineRule="exact"/>
        <w:rPr>
          <w:rFonts w:hint="eastAsia" w:ascii="楷体" w:hAnsi="楷体" w:eastAsia="楷体"/>
          <w:b/>
          <w:bCs/>
          <w:sz w:val="22"/>
          <w:szCs w:val="22"/>
        </w:rPr>
      </w:pPr>
    </w:p>
    <w:p>
      <w:pPr>
        <w:spacing w:line="240" w:lineRule="atLeast"/>
        <w:jc w:val="center"/>
        <w:rPr>
          <w:rFonts w:hint="eastAsia" w:ascii="楷体" w:hAnsi="楷体" w:eastAsia="楷体"/>
          <w:b/>
          <w:sz w:val="22"/>
          <w:szCs w:val="22"/>
        </w:rPr>
      </w:pPr>
      <w:r>
        <w:rPr>
          <w:rFonts w:hint="eastAsia" w:ascii="楷体" w:hAnsi="楷体" w:eastAsia="楷体"/>
          <w:b/>
          <w:bCs/>
          <w:sz w:val="22"/>
          <w:szCs w:val="22"/>
          <w:highlight w:val="yellow"/>
        </w:rPr>
        <w:br w:type="page"/>
      </w:r>
      <w:bookmarkStart w:id="7" w:name="_Toc4352"/>
      <w:bookmarkStart w:id="8" w:name="_Toc245191309"/>
      <w:bookmarkStart w:id="9" w:name="_Toc223715993"/>
      <w:bookmarkStart w:id="10" w:name="_Toc239145349"/>
      <w:bookmarkStart w:id="11" w:name="_Toc245722276"/>
      <w:bookmarkStart w:id="12" w:name="_Toc262105498"/>
      <w:bookmarkStart w:id="13" w:name="_Toc221423614"/>
      <w:bookmarkStart w:id="14" w:name="_Toc262049413"/>
      <w:bookmarkStart w:id="15" w:name="_Toc221356946"/>
      <w:bookmarkStart w:id="16" w:name="_Toc241404197"/>
      <w:bookmarkStart w:id="17" w:name="_Toc221356881"/>
      <w:bookmarkStart w:id="18" w:name="_Toc221374621"/>
      <w:bookmarkStart w:id="19" w:name="_Toc222114874"/>
      <w:bookmarkStart w:id="20" w:name="_Toc249758707"/>
      <w:bookmarkStart w:id="21" w:name="_Toc246261260"/>
      <w:bookmarkStart w:id="22" w:name="_Toc249758859"/>
      <w:r>
        <w:rPr>
          <w:rFonts w:hint="eastAsia" w:ascii="楷体" w:hAnsi="楷体" w:eastAsia="楷体"/>
          <w:sz w:val="36"/>
          <w:szCs w:val="36"/>
        </w:rPr>
        <w:t>温州市政府采购（分散）招标公告</w:t>
      </w:r>
      <w:bookmarkEnd w:id="7"/>
    </w:p>
    <w:p>
      <w:pPr>
        <w:spacing w:line="320" w:lineRule="exact"/>
        <w:jc w:val="center"/>
        <w:rPr>
          <w:rFonts w:hint="eastAsia" w:ascii="楷体" w:hAnsi="楷体" w:eastAsia="楷体"/>
          <w:b/>
          <w:bCs/>
          <w:sz w:val="22"/>
          <w:szCs w:val="22"/>
        </w:rPr>
      </w:pPr>
      <w:r>
        <w:rPr>
          <w:rFonts w:hint="eastAsia" w:ascii="楷体" w:hAnsi="楷体" w:eastAsia="楷体"/>
          <w:b/>
          <w:bCs/>
          <w:sz w:val="22"/>
          <w:szCs w:val="22"/>
        </w:rPr>
        <w:t>编号： ZJMY-bjcg20190121</w:t>
      </w:r>
    </w:p>
    <w:p>
      <w:pPr>
        <w:widowControl/>
        <w:spacing w:line="500" w:lineRule="exact"/>
        <w:ind w:firstLine="440" w:firstLineChars="200"/>
        <w:jc w:val="left"/>
        <w:rPr>
          <w:rFonts w:hint="eastAsia" w:ascii="楷体" w:hAnsi="楷体" w:eastAsia="楷体" w:cs="宋体"/>
          <w:kern w:val="0"/>
          <w:sz w:val="22"/>
          <w:szCs w:val="22"/>
        </w:rPr>
      </w:pPr>
      <w:r>
        <w:rPr>
          <w:rFonts w:hint="eastAsia" w:ascii="楷体" w:hAnsi="楷体" w:eastAsia="楷体" w:cs="宋体"/>
          <w:kern w:val="0"/>
          <w:sz w:val="22"/>
          <w:szCs w:val="22"/>
        </w:rPr>
        <w:t>根据《中华人民共和国政府采购法》等有关规定，浙江明业项目管理有限公司受温州市鹿城区人民政府五马街道办事处委托，就温州市鹿城区人民政府五马街道办事处道路及楼道清扫保洁进行公开招标方式政府分散采购，欢迎国内合格的供应商前来投标。</w:t>
      </w:r>
    </w:p>
    <w:p>
      <w:pPr>
        <w:widowControl/>
        <w:spacing w:line="500" w:lineRule="exact"/>
        <w:jc w:val="left"/>
        <w:rPr>
          <w:rFonts w:hint="eastAsia" w:ascii="楷体" w:hAnsi="楷体" w:eastAsia="楷体" w:cs="宋体"/>
          <w:kern w:val="0"/>
          <w:sz w:val="22"/>
          <w:szCs w:val="22"/>
        </w:rPr>
      </w:pPr>
      <w:r>
        <w:rPr>
          <w:rFonts w:hint="eastAsia" w:ascii="楷体" w:hAnsi="楷体" w:eastAsia="楷体" w:cs="宋体"/>
          <w:b/>
          <w:bCs/>
          <w:kern w:val="0"/>
          <w:sz w:val="22"/>
          <w:szCs w:val="22"/>
        </w:rPr>
        <w:t>一、采购内容（以招标文件为准）：</w:t>
      </w:r>
      <w:r>
        <w:rPr>
          <w:rFonts w:hint="eastAsia" w:ascii="楷体" w:hAnsi="楷体" w:eastAsia="楷体" w:cs="宋体"/>
          <w:kern w:val="0"/>
          <w:sz w:val="22"/>
          <w:szCs w:val="22"/>
        </w:rPr>
        <w:t>（详见招标文件第四部分）</w:t>
      </w:r>
    </w:p>
    <w:p>
      <w:pPr>
        <w:widowControl/>
        <w:spacing w:line="500" w:lineRule="exact"/>
        <w:jc w:val="left"/>
        <w:rPr>
          <w:rFonts w:hint="eastAsia" w:ascii="楷体" w:hAnsi="楷体" w:eastAsia="楷体" w:cs="宋体"/>
          <w:kern w:val="0"/>
          <w:sz w:val="22"/>
          <w:szCs w:val="22"/>
        </w:rPr>
      </w:pPr>
      <w:r>
        <w:rPr>
          <w:rFonts w:hint="eastAsia" w:ascii="宋体" w:hAnsi="宋体" w:cs="宋体"/>
          <w:kern w:val="0"/>
          <w:sz w:val="22"/>
          <w:szCs w:val="22"/>
        </w:rPr>
        <w:t>  </w:t>
      </w:r>
      <w:r>
        <w:rPr>
          <w:rFonts w:hint="eastAsia" w:ascii="楷体" w:hAnsi="楷体" w:eastAsia="楷体" w:cs="宋体"/>
          <w:kern w:val="0"/>
          <w:sz w:val="22"/>
          <w:szCs w:val="22"/>
        </w:rPr>
        <w:t>温州市鹿城区人民政府五马街道办事处道路及楼道清扫保洁；</w:t>
      </w:r>
      <w:r>
        <w:rPr>
          <w:rFonts w:hint="eastAsia" w:ascii="楷体" w:hAnsi="楷体" w:eastAsia="楷体" w:cs="宋体"/>
          <w:b/>
          <w:kern w:val="0"/>
          <w:sz w:val="22"/>
          <w:szCs w:val="22"/>
          <w:u w:val="single"/>
        </w:rPr>
        <w:t>采购预算金额为10806136元</w:t>
      </w:r>
      <w:r>
        <w:rPr>
          <w:rFonts w:hint="eastAsia" w:ascii="楷体" w:hAnsi="楷体" w:eastAsia="楷体" w:cs="宋体"/>
          <w:b/>
          <w:kern w:val="0"/>
          <w:sz w:val="22"/>
          <w:szCs w:val="22"/>
        </w:rPr>
        <w:t>。</w:t>
      </w:r>
    </w:p>
    <w:p>
      <w:pPr>
        <w:widowControl/>
        <w:spacing w:line="500" w:lineRule="exact"/>
        <w:jc w:val="left"/>
        <w:rPr>
          <w:rFonts w:hint="eastAsia" w:ascii="楷体" w:hAnsi="楷体" w:eastAsia="楷体" w:cs="宋体"/>
          <w:kern w:val="0"/>
          <w:sz w:val="22"/>
          <w:szCs w:val="22"/>
        </w:rPr>
      </w:pPr>
      <w:r>
        <w:rPr>
          <w:rFonts w:hint="eastAsia" w:ascii="楷体" w:hAnsi="楷体" w:eastAsia="楷体" w:cs="宋体"/>
          <w:b/>
          <w:bCs/>
          <w:kern w:val="0"/>
          <w:sz w:val="22"/>
          <w:szCs w:val="22"/>
        </w:rPr>
        <w:t>二、投标供应商资格要求：</w:t>
      </w:r>
    </w:p>
    <w:p>
      <w:pPr>
        <w:widowControl/>
        <w:spacing w:line="50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1、符合《中华人民共和国政府采购法》第22条规定的投标人资格条件；</w:t>
      </w:r>
    </w:p>
    <w:p>
      <w:pPr>
        <w:widowControl/>
        <w:spacing w:line="50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2、以营业执照为准，</w:t>
      </w:r>
      <w:r>
        <w:rPr>
          <w:rFonts w:ascii="楷体" w:hAnsi="楷体" w:eastAsia="楷体" w:cs="宋体"/>
          <w:kern w:val="0"/>
          <w:sz w:val="22"/>
          <w:szCs w:val="22"/>
        </w:rPr>
        <w:t>营业执照必须具有道路清扫保洁相应的经营范围</w:t>
      </w:r>
      <w:r>
        <w:rPr>
          <w:rFonts w:hint="eastAsia" w:ascii="楷体" w:hAnsi="楷体" w:eastAsia="楷体" w:cs="宋体"/>
          <w:kern w:val="0"/>
          <w:sz w:val="22"/>
          <w:szCs w:val="22"/>
        </w:rPr>
        <w:t>；</w:t>
      </w:r>
    </w:p>
    <w:p>
      <w:pPr>
        <w:widowControl/>
        <w:spacing w:line="500" w:lineRule="exact"/>
        <w:ind w:left="425"/>
        <w:jc w:val="left"/>
        <w:rPr>
          <w:rFonts w:ascii="楷体" w:hAnsi="楷体" w:eastAsia="楷体" w:cs="宋体"/>
          <w:kern w:val="0"/>
          <w:sz w:val="22"/>
          <w:szCs w:val="22"/>
        </w:rPr>
      </w:pPr>
      <w:r>
        <w:rPr>
          <w:rFonts w:hint="eastAsia" w:ascii="楷体" w:hAnsi="楷体" w:eastAsia="楷体" w:cs="宋体"/>
          <w:kern w:val="0"/>
          <w:sz w:val="22"/>
          <w:szCs w:val="22"/>
        </w:rPr>
        <w:t>3、至本项目投标截止前未被列入“信用中国”网站(www.creditchina.gov.cn)“记录失信被执行人或重大税收违法案件当事人名单”记录名单。</w:t>
      </w:r>
    </w:p>
    <w:p>
      <w:pPr>
        <w:widowControl/>
        <w:spacing w:line="500" w:lineRule="exact"/>
        <w:ind w:left="425"/>
        <w:jc w:val="left"/>
        <w:rPr>
          <w:rFonts w:ascii="楷体" w:hAnsi="楷体" w:eastAsia="楷体" w:cs="宋体"/>
          <w:kern w:val="0"/>
          <w:sz w:val="22"/>
          <w:szCs w:val="22"/>
        </w:rPr>
      </w:pPr>
      <w:r>
        <w:rPr>
          <w:rFonts w:hint="eastAsia" w:ascii="楷体" w:hAnsi="楷体" w:eastAsia="楷体" w:cs="宋体"/>
          <w:kern w:val="0"/>
          <w:sz w:val="22"/>
          <w:szCs w:val="22"/>
        </w:rPr>
        <w:t>4、至本项目投标截止前不处于中国政府采购网(www.ccgp.gov.cn)“政府采购严重违法失信行为信息记录”中的禁止参加政府采购活动期间。</w:t>
      </w:r>
    </w:p>
    <w:p>
      <w:pPr>
        <w:widowControl/>
        <w:spacing w:line="50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5、至本项目投标截止前未被“浙江政府采购网”（www.zjzfcg.gov.cn）曝光台中曝光处在禁止参加政府采购活动有效期内的。</w:t>
      </w:r>
    </w:p>
    <w:p>
      <w:pPr>
        <w:widowControl/>
        <w:spacing w:line="50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6、</w:t>
      </w:r>
      <w:r>
        <w:rPr>
          <w:rFonts w:ascii="楷体" w:hAnsi="楷体" w:eastAsia="楷体" w:cs="宋体"/>
          <w:kern w:val="0"/>
          <w:sz w:val="22"/>
          <w:szCs w:val="22"/>
        </w:rPr>
        <w:t>本项目谢绝联合体形式投标</w:t>
      </w:r>
    </w:p>
    <w:p>
      <w:pPr>
        <w:widowControl/>
        <w:spacing w:line="500" w:lineRule="exact"/>
        <w:jc w:val="left"/>
        <w:rPr>
          <w:rFonts w:hint="eastAsia" w:ascii="楷体" w:hAnsi="楷体" w:eastAsia="楷体" w:cs="宋体"/>
          <w:kern w:val="0"/>
          <w:sz w:val="22"/>
          <w:szCs w:val="22"/>
        </w:rPr>
      </w:pPr>
      <w:r>
        <w:rPr>
          <w:rFonts w:hint="eastAsia" w:ascii="楷体" w:hAnsi="楷体" w:eastAsia="楷体" w:cs="宋体"/>
          <w:b/>
          <w:bCs/>
          <w:kern w:val="0"/>
          <w:sz w:val="22"/>
          <w:szCs w:val="22"/>
        </w:rPr>
        <w:t>三、</w:t>
      </w:r>
      <w:r>
        <w:rPr>
          <w:rFonts w:ascii="楷体" w:hAnsi="楷体" w:eastAsia="楷体" w:cs="宋体"/>
          <w:b/>
          <w:bCs/>
          <w:kern w:val="0"/>
          <w:sz w:val="22"/>
          <w:szCs w:val="22"/>
        </w:rPr>
        <w:t>报名</w:t>
      </w:r>
      <w:r>
        <w:rPr>
          <w:rFonts w:hint="eastAsia" w:ascii="楷体" w:hAnsi="楷体" w:eastAsia="楷体" w:cs="宋体"/>
          <w:b/>
          <w:bCs/>
          <w:kern w:val="0"/>
          <w:sz w:val="22"/>
          <w:szCs w:val="22"/>
        </w:rPr>
        <w:t>方式</w:t>
      </w:r>
      <w:r>
        <w:rPr>
          <w:rFonts w:ascii="楷体" w:hAnsi="楷体" w:eastAsia="楷体" w:cs="宋体"/>
          <w:b/>
          <w:bCs/>
          <w:kern w:val="0"/>
          <w:sz w:val="22"/>
          <w:szCs w:val="22"/>
        </w:rPr>
        <w:t>、</w:t>
      </w:r>
      <w:r>
        <w:rPr>
          <w:rFonts w:hint="eastAsia" w:ascii="楷体" w:hAnsi="楷体" w:eastAsia="楷体" w:cs="宋体"/>
          <w:b/>
          <w:bCs/>
          <w:kern w:val="0"/>
          <w:sz w:val="22"/>
          <w:szCs w:val="22"/>
        </w:rPr>
        <w:t>地点及时间</w:t>
      </w:r>
    </w:p>
    <w:p>
      <w:pPr>
        <w:widowControl/>
        <w:spacing w:line="500" w:lineRule="exact"/>
        <w:ind w:left="439" w:leftChars="209"/>
        <w:jc w:val="left"/>
        <w:rPr>
          <w:rFonts w:ascii="楷体" w:hAnsi="楷体" w:eastAsia="楷体" w:cs="宋体"/>
          <w:kern w:val="0"/>
          <w:sz w:val="22"/>
          <w:szCs w:val="22"/>
        </w:rPr>
      </w:pPr>
      <w:r>
        <w:rPr>
          <w:rFonts w:hint="eastAsia" w:ascii="楷体" w:hAnsi="楷体" w:eastAsia="楷体" w:cs="宋体"/>
          <w:kern w:val="0"/>
          <w:sz w:val="22"/>
          <w:szCs w:val="22"/>
        </w:rPr>
        <w:t>1</w:t>
      </w:r>
      <w:r>
        <w:rPr>
          <w:rFonts w:ascii="楷体" w:hAnsi="楷体" w:eastAsia="楷体" w:cs="宋体"/>
          <w:kern w:val="0"/>
          <w:sz w:val="22"/>
          <w:szCs w:val="22"/>
        </w:rPr>
        <w:t>、</w:t>
      </w:r>
      <w:r>
        <w:rPr>
          <w:rFonts w:hint="eastAsia" w:ascii="楷体" w:hAnsi="楷体" w:eastAsia="楷体" w:cs="宋体"/>
          <w:kern w:val="0"/>
          <w:sz w:val="22"/>
          <w:szCs w:val="22"/>
        </w:rPr>
        <w:t>报名方式：供应商在“政采云”（http://www.zjzfcg.gov.cn）上自主报名（未注册政采云账户的供应商请尽早办理）；</w:t>
      </w:r>
    </w:p>
    <w:p>
      <w:pPr>
        <w:widowControl/>
        <w:spacing w:line="500" w:lineRule="exact"/>
        <w:ind w:left="439" w:leftChars="209"/>
        <w:jc w:val="left"/>
        <w:rPr>
          <w:rFonts w:ascii="楷体" w:hAnsi="楷体" w:eastAsia="楷体" w:cs="宋体"/>
          <w:kern w:val="0"/>
          <w:sz w:val="22"/>
          <w:szCs w:val="22"/>
        </w:rPr>
      </w:pPr>
      <w:r>
        <w:rPr>
          <w:rFonts w:ascii="楷体" w:hAnsi="楷体" w:eastAsia="楷体" w:cs="宋体"/>
          <w:kern w:val="0"/>
          <w:sz w:val="22"/>
          <w:szCs w:val="22"/>
        </w:rPr>
        <w:t>2、</w:t>
      </w:r>
      <w:r>
        <w:rPr>
          <w:rFonts w:hint="eastAsia" w:ascii="楷体" w:hAnsi="楷体" w:eastAsia="楷体" w:cs="宋体"/>
          <w:kern w:val="0"/>
          <w:sz w:val="22"/>
          <w:szCs w:val="22"/>
        </w:rPr>
        <w:t>报名时间：公告发布之日起投标文件递交截止时间前；</w:t>
      </w:r>
    </w:p>
    <w:p>
      <w:pPr>
        <w:widowControl/>
        <w:spacing w:line="500" w:lineRule="exact"/>
        <w:ind w:left="439" w:leftChars="209"/>
        <w:jc w:val="left"/>
        <w:rPr>
          <w:rFonts w:ascii="楷体" w:hAnsi="楷体" w:eastAsia="楷体" w:cs="宋体"/>
          <w:kern w:val="0"/>
          <w:sz w:val="22"/>
          <w:szCs w:val="22"/>
        </w:rPr>
      </w:pPr>
      <w:r>
        <w:rPr>
          <w:rFonts w:hint="eastAsia" w:ascii="楷体" w:hAnsi="楷体" w:eastAsia="楷体" w:cs="宋体"/>
          <w:kern w:val="0"/>
          <w:sz w:val="22"/>
          <w:szCs w:val="22"/>
        </w:rPr>
        <w:t>3、供应商网上报名成功后，直接下载本项目的招标文件；</w:t>
      </w:r>
    </w:p>
    <w:p>
      <w:pPr>
        <w:widowControl/>
        <w:spacing w:line="500" w:lineRule="exact"/>
        <w:ind w:left="439" w:leftChars="209"/>
        <w:jc w:val="left"/>
        <w:rPr>
          <w:rFonts w:hint="eastAsia" w:ascii="楷体" w:hAnsi="楷体" w:eastAsia="楷体" w:cs="宋体"/>
          <w:kern w:val="0"/>
          <w:sz w:val="22"/>
          <w:szCs w:val="22"/>
        </w:rPr>
      </w:pPr>
      <w:r>
        <w:rPr>
          <w:rFonts w:hint="eastAsia" w:ascii="楷体" w:hAnsi="楷体" w:eastAsia="楷体" w:cs="宋体"/>
          <w:kern w:val="0"/>
          <w:sz w:val="22"/>
          <w:szCs w:val="22"/>
        </w:rPr>
        <w:t>4、招标文件售价：人民币500元整(在递交投标文件时提交给代理单位)。</w:t>
      </w:r>
    </w:p>
    <w:p>
      <w:pPr>
        <w:widowControl/>
        <w:spacing w:line="500" w:lineRule="exact"/>
        <w:jc w:val="left"/>
        <w:rPr>
          <w:rFonts w:hint="eastAsia" w:ascii="楷体" w:hAnsi="楷体" w:eastAsia="楷体" w:cs="宋体"/>
          <w:b/>
          <w:bCs/>
          <w:kern w:val="0"/>
          <w:sz w:val="22"/>
          <w:szCs w:val="22"/>
        </w:rPr>
      </w:pPr>
      <w:r>
        <w:rPr>
          <w:rFonts w:hint="eastAsia" w:ascii="楷体" w:hAnsi="楷体" w:eastAsia="楷体" w:cs="宋体"/>
          <w:b/>
          <w:bCs/>
          <w:kern w:val="0"/>
          <w:sz w:val="22"/>
          <w:szCs w:val="22"/>
        </w:rPr>
        <w:t>五、投标文件递交截止时间</w:t>
      </w:r>
      <w:r>
        <w:rPr>
          <w:rFonts w:ascii="楷体" w:hAnsi="楷体" w:eastAsia="楷体" w:cs="宋体"/>
          <w:b/>
          <w:bCs/>
          <w:kern w:val="0"/>
          <w:sz w:val="22"/>
          <w:szCs w:val="22"/>
        </w:rPr>
        <w:t>、开标时间及地点</w:t>
      </w:r>
    </w:p>
    <w:p>
      <w:pPr>
        <w:widowControl/>
        <w:spacing w:line="500" w:lineRule="exact"/>
        <w:ind w:left="439" w:leftChars="209"/>
        <w:jc w:val="left"/>
        <w:rPr>
          <w:rFonts w:ascii="楷体" w:hAnsi="楷体" w:eastAsia="楷体" w:cs="宋体"/>
          <w:kern w:val="0"/>
          <w:sz w:val="22"/>
          <w:szCs w:val="22"/>
        </w:rPr>
      </w:pPr>
      <w:r>
        <w:rPr>
          <w:rFonts w:hint="eastAsia" w:ascii="楷体" w:hAnsi="楷体" w:eastAsia="楷体" w:cs="宋体"/>
          <w:kern w:val="0"/>
          <w:sz w:val="22"/>
          <w:szCs w:val="22"/>
        </w:rPr>
        <w:t>1</w:t>
      </w:r>
      <w:r>
        <w:rPr>
          <w:rFonts w:ascii="楷体" w:hAnsi="楷体" w:eastAsia="楷体" w:cs="宋体"/>
          <w:kern w:val="0"/>
          <w:sz w:val="22"/>
          <w:szCs w:val="22"/>
        </w:rPr>
        <w:t>、</w:t>
      </w:r>
      <w:r>
        <w:rPr>
          <w:rFonts w:hint="eastAsia" w:ascii="楷体" w:hAnsi="楷体" w:eastAsia="楷体" w:cs="宋体"/>
          <w:kern w:val="0"/>
          <w:sz w:val="22"/>
          <w:szCs w:val="22"/>
        </w:rPr>
        <w:t>投标文件递交截止时间</w:t>
      </w:r>
      <w:r>
        <w:rPr>
          <w:rFonts w:ascii="楷体" w:hAnsi="楷体" w:eastAsia="楷体" w:cs="宋体"/>
          <w:kern w:val="0"/>
          <w:sz w:val="22"/>
          <w:szCs w:val="22"/>
        </w:rPr>
        <w:t>：</w:t>
      </w:r>
      <w:r>
        <w:rPr>
          <w:rFonts w:hint="eastAsia" w:ascii="楷体" w:hAnsi="楷体" w:eastAsia="楷体" w:cs="宋体"/>
          <w:b/>
          <w:kern w:val="0"/>
          <w:sz w:val="22"/>
          <w:szCs w:val="22"/>
        </w:rPr>
        <w:t>2019年09月09日</w:t>
      </w:r>
      <w:r>
        <w:rPr>
          <w:rFonts w:ascii="楷体" w:hAnsi="楷体" w:eastAsia="楷体" w:cs="宋体"/>
          <w:b/>
          <w:kern w:val="0"/>
          <w:sz w:val="22"/>
          <w:szCs w:val="22"/>
        </w:rPr>
        <w:t>09</w:t>
      </w:r>
      <w:r>
        <w:rPr>
          <w:rFonts w:hint="eastAsia" w:ascii="楷体" w:hAnsi="楷体" w:eastAsia="楷体" w:cs="宋体"/>
          <w:b/>
          <w:kern w:val="0"/>
          <w:sz w:val="22"/>
          <w:szCs w:val="22"/>
        </w:rPr>
        <w:t>:30</w:t>
      </w:r>
    </w:p>
    <w:p>
      <w:pPr>
        <w:widowControl/>
        <w:spacing w:line="500" w:lineRule="exact"/>
        <w:ind w:left="439" w:leftChars="209"/>
        <w:jc w:val="left"/>
        <w:rPr>
          <w:rFonts w:ascii="楷体" w:hAnsi="楷体" w:eastAsia="楷体" w:cs="宋体"/>
          <w:kern w:val="0"/>
          <w:sz w:val="22"/>
          <w:szCs w:val="22"/>
        </w:rPr>
      </w:pPr>
      <w:r>
        <w:rPr>
          <w:rFonts w:hint="eastAsia" w:ascii="楷体" w:hAnsi="楷体" w:eastAsia="楷体" w:cs="宋体"/>
          <w:kern w:val="0"/>
          <w:sz w:val="22"/>
          <w:szCs w:val="22"/>
        </w:rPr>
        <w:t>递交地点：</w:t>
      </w:r>
      <w:r>
        <w:rPr>
          <w:rFonts w:ascii="楷体" w:hAnsi="楷体" w:eastAsia="楷体" w:cs="宋体"/>
          <w:kern w:val="0"/>
          <w:sz w:val="22"/>
          <w:szCs w:val="22"/>
        </w:rPr>
        <w:t>温州市公共资源交易中心鹿城分中心收标区（一楼）（温州市宽带路18号）</w:t>
      </w:r>
    </w:p>
    <w:p>
      <w:pPr>
        <w:widowControl/>
        <w:spacing w:line="500" w:lineRule="exact"/>
        <w:ind w:left="439" w:leftChars="209"/>
        <w:jc w:val="left"/>
        <w:rPr>
          <w:rFonts w:ascii="楷体" w:hAnsi="楷体" w:eastAsia="楷体" w:cs="宋体"/>
          <w:kern w:val="0"/>
          <w:sz w:val="22"/>
          <w:szCs w:val="22"/>
        </w:rPr>
      </w:pPr>
      <w:r>
        <w:rPr>
          <w:rFonts w:hint="eastAsia" w:ascii="楷体" w:hAnsi="楷体" w:eastAsia="楷体" w:cs="宋体"/>
          <w:kern w:val="0"/>
          <w:sz w:val="22"/>
          <w:szCs w:val="22"/>
        </w:rPr>
        <w:t>2</w:t>
      </w:r>
      <w:r>
        <w:rPr>
          <w:rFonts w:ascii="楷体" w:hAnsi="楷体" w:eastAsia="楷体" w:cs="宋体"/>
          <w:kern w:val="0"/>
          <w:sz w:val="22"/>
          <w:szCs w:val="22"/>
        </w:rPr>
        <w:t>、开标时间：</w:t>
      </w:r>
      <w:r>
        <w:rPr>
          <w:rFonts w:hint="eastAsia" w:ascii="楷体" w:hAnsi="楷体" w:eastAsia="楷体" w:cs="宋体"/>
          <w:b/>
          <w:kern w:val="0"/>
          <w:sz w:val="22"/>
          <w:szCs w:val="22"/>
        </w:rPr>
        <w:t>2019年09月09日</w:t>
      </w:r>
      <w:r>
        <w:rPr>
          <w:rFonts w:ascii="楷体" w:hAnsi="楷体" w:eastAsia="楷体" w:cs="宋体"/>
          <w:b/>
          <w:kern w:val="0"/>
          <w:sz w:val="22"/>
          <w:szCs w:val="22"/>
        </w:rPr>
        <w:t>09</w:t>
      </w:r>
      <w:r>
        <w:rPr>
          <w:rFonts w:hint="eastAsia" w:ascii="楷体" w:hAnsi="楷体" w:eastAsia="楷体" w:cs="宋体"/>
          <w:b/>
          <w:kern w:val="0"/>
          <w:sz w:val="22"/>
          <w:szCs w:val="22"/>
        </w:rPr>
        <w:t>:30</w:t>
      </w:r>
    </w:p>
    <w:p>
      <w:pPr>
        <w:widowControl/>
        <w:spacing w:line="500" w:lineRule="exact"/>
        <w:ind w:left="439" w:leftChars="209"/>
        <w:jc w:val="left"/>
        <w:rPr>
          <w:rFonts w:hint="eastAsia" w:ascii="楷体" w:hAnsi="楷体" w:eastAsia="楷体" w:cs="宋体"/>
          <w:kern w:val="0"/>
          <w:sz w:val="22"/>
          <w:szCs w:val="22"/>
        </w:rPr>
      </w:pPr>
      <w:r>
        <w:rPr>
          <w:rFonts w:ascii="楷体" w:hAnsi="楷体" w:eastAsia="楷体" w:cs="宋体"/>
          <w:kern w:val="0"/>
          <w:sz w:val="22"/>
          <w:szCs w:val="22"/>
        </w:rPr>
        <w:t>开标地点：温州市公共资源交易中心鹿城分中心开标室（温州市宽带路18号）</w:t>
      </w:r>
    </w:p>
    <w:p>
      <w:pPr>
        <w:widowControl/>
        <w:spacing w:line="500" w:lineRule="exact"/>
        <w:jc w:val="left"/>
        <w:rPr>
          <w:rFonts w:hint="eastAsia" w:ascii="楷体" w:hAnsi="楷体" w:eastAsia="楷体" w:cs="宋体"/>
          <w:kern w:val="0"/>
          <w:sz w:val="22"/>
          <w:szCs w:val="22"/>
        </w:rPr>
      </w:pPr>
      <w:r>
        <w:rPr>
          <w:rFonts w:hint="eastAsia" w:ascii="楷体" w:hAnsi="楷体" w:eastAsia="楷体" w:cs="宋体"/>
          <w:b/>
          <w:bCs/>
          <w:kern w:val="0"/>
          <w:sz w:val="22"/>
          <w:szCs w:val="22"/>
        </w:rPr>
        <w:t>六、联系人及联系电话</w:t>
      </w:r>
    </w:p>
    <w:p>
      <w:pPr>
        <w:widowControl/>
        <w:spacing w:line="500" w:lineRule="exact"/>
        <w:ind w:firstLine="440" w:firstLineChars="200"/>
        <w:jc w:val="left"/>
        <w:rPr>
          <w:rFonts w:hint="eastAsia" w:ascii="楷体" w:hAnsi="楷体" w:eastAsia="楷体" w:cs="宋体"/>
          <w:kern w:val="0"/>
          <w:sz w:val="22"/>
          <w:szCs w:val="22"/>
        </w:rPr>
      </w:pPr>
      <w:r>
        <w:rPr>
          <w:rFonts w:hint="eastAsia" w:ascii="楷体" w:hAnsi="楷体" w:eastAsia="楷体" w:cs="宋体"/>
          <w:kern w:val="0"/>
          <w:sz w:val="22"/>
          <w:szCs w:val="22"/>
        </w:rPr>
        <w:t>采购单位：温州市鹿城区人民政府五马街道办事处</w:t>
      </w:r>
    </w:p>
    <w:p>
      <w:pPr>
        <w:widowControl/>
        <w:spacing w:line="500" w:lineRule="exact"/>
        <w:ind w:firstLine="440" w:firstLineChars="200"/>
        <w:jc w:val="left"/>
        <w:rPr>
          <w:rFonts w:hint="eastAsia" w:ascii="楷体" w:hAnsi="楷体" w:eastAsia="楷体"/>
          <w:spacing w:val="6"/>
          <w:sz w:val="22"/>
          <w:szCs w:val="22"/>
        </w:rPr>
      </w:pPr>
      <w:r>
        <w:rPr>
          <w:rFonts w:hint="eastAsia" w:ascii="楷体" w:hAnsi="楷体" w:eastAsia="楷体" w:cs="宋体"/>
          <w:kern w:val="0"/>
          <w:sz w:val="22"/>
          <w:szCs w:val="22"/>
        </w:rPr>
        <w:t>联系人：</w:t>
      </w:r>
      <w:r>
        <w:rPr>
          <w:rFonts w:hint="eastAsia" w:ascii="楷体" w:hAnsi="楷体" w:eastAsia="楷体"/>
          <w:kern w:val="0"/>
          <w:sz w:val="22"/>
          <w:szCs w:val="22"/>
        </w:rPr>
        <w:t xml:space="preserve">蒋女士 </w:t>
      </w:r>
      <w:r>
        <w:rPr>
          <w:rFonts w:hint="eastAsia" w:ascii="楷体" w:hAnsi="楷体" w:eastAsia="楷体" w:cs="宋体"/>
          <w:kern w:val="0"/>
          <w:sz w:val="22"/>
          <w:szCs w:val="22"/>
        </w:rPr>
        <w:t xml:space="preserve">电话： </w:t>
      </w:r>
      <w:r>
        <w:rPr>
          <w:rFonts w:hint="eastAsia" w:ascii="楷体" w:hAnsi="楷体" w:eastAsia="楷体"/>
          <w:kern w:val="0"/>
          <w:sz w:val="22"/>
          <w:szCs w:val="22"/>
        </w:rPr>
        <w:t>0577-88185126</w:t>
      </w:r>
    </w:p>
    <w:p>
      <w:pPr>
        <w:widowControl/>
        <w:spacing w:line="500" w:lineRule="exact"/>
        <w:ind w:firstLine="440" w:firstLineChars="200"/>
        <w:jc w:val="left"/>
        <w:rPr>
          <w:rFonts w:hint="eastAsia" w:ascii="楷体" w:hAnsi="楷体" w:eastAsia="楷体" w:cs="宋体"/>
          <w:kern w:val="0"/>
          <w:sz w:val="22"/>
          <w:szCs w:val="22"/>
        </w:rPr>
      </w:pPr>
      <w:r>
        <w:rPr>
          <w:rFonts w:hint="eastAsia" w:ascii="楷体" w:hAnsi="楷体" w:eastAsia="楷体" w:cs="宋体"/>
          <w:kern w:val="0"/>
          <w:sz w:val="22"/>
          <w:szCs w:val="22"/>
        </w:rPr>
        <w:t>采购代理机构名称：浙江明业项目管理有限公司</w:t>
      </w:r>
    </w:p>
    <w:p>
      <w:pPr>
        <w:widowControl/>
        <w:spacing w:line="500" w:lineRule="exact"/>
        <w:ind w:firstLine="440" w:firstLineChars="200"/>
        <w:jc w:val="left"/>
        <w:rPr>
          <w:rFonts w:hint="eastAsia" w:ascii="楷体" w:hAnsi="楷体" w:eastAsia="楷体" w:cs="宋体"/>
          <w:kern w:val="0"/>
          <w:sz w:val="22"/>
          <w:szCs w:val="22"/>
        </w:rPr>
      </w:pPr>
      <w:r>
        <w:rPr>
          <w:rFonts w:hint="eastAsia" w:ascii="楷体" w:hAnsi="楷体" w:eastAsia="楷体" w:cs="宋体"/>
          <w:kern w:val="0"/>
          <w:sz w:val="22"/>
          <w:szCs w:val="22"/>
        </w:rPr>
        <w:t>地</w:t>
      </w:r>
      <w:r>
        <w:rPr>
          <w:rFonts w:hint="eastAsia" w:ascii="宋体" w:hAnsi="宋体" w:cs="宋体"/>
          <w:kern w:val="0"/>
          <w:sz w:val="22"/>
          <w:szCs w:val="22"/>
        </w:rPr>
        <w:t> </w:t>
      </w:r>
      <w:r>
        <w:rPr>
          <w:rFonts w:hint="eastAsia" w:ascii="楷体" w:hAnsi="楷体" w:eastAsia="楷体" w:cs="宋体"/>
          <w:kern w:val="0"/>
          <w:sz w:val="22"/>
          <w:szCs w:val="22"/>
        </w:rPr>
        <w:t xml:space="preserve"> 址：温州市瓯海区新桥金达路33号2楼</w:t>
      </w:r>
    </w:p>
    <w:p>
      <w:pPr>
        <w:widowControl/>
        <w:spacing w:line="500" w:lineRule="exact"/>
        <w:ind w:firstLine="440" w:firstLineChars="200"/>
        <w:jc w:val="left"/>
        <w:rPr>
          <w:rFonts w:hint="eastAsia" w:ascii="楷体" w:hAnsi="楷体" w:eastAsia="楷体" w:cs="宋体"/>
          <w:kern w:val="0"/>
          <w:sz w:val="22"/>
          <w:szCs w:val="22"/>
        </w:rPr>
      </w:pPr>
      <w:r>
        <w:rPr>
          <w:rFonts w:hint="eastAsia" w:ascii="楷体" w:hAnsi="楷体" w:eastAsia="楷体" w:cs="宋体"/>
          <w:kern w:val="0"/>
          <w:sz w:val="22"/>
          <w:szCs w:val="22"/>
        </w:rPr>
        <w:t>联系人：翁先生</w:t>
      </w:r>
      <w:r>
        <w:rPr>
          <w:rFonts w:hint="eastAsia" w:ascii="宋体" w:hAnsi="宋体" w:cs="宋体"/>
          <w:kern w:val="0"/>
          <w:sz w:val="22"/>
          <w:szCs w:val="22"/>
        </w:rPr>
        <w:t>  </w:t>
      </w:r>
      <w:r>
        <w:rPr>
          <w:rFonts w:hint="eastAsia" w:ascii="楷体" w:hAnsi="楷体" w:eastAsia="楷体" w:cs="宋体"/>
          <w:kern w:val="0"/>
          <w:sz w:val="22"/>
          <w:szCs w:val="22"/>
        </w:rPr>
        <w:t xml:space="preserve"> 电话：0577-88419488/13868880319  传真： 0577-88598229</w:t>
      </w:r>
    </w:p>
    <w:p>
      <w:pPr>
        <w:widowControl/>
        <w:spacing w:line="500" w:lineRule="exact"/>
        <w:jc w:val="right"/>
        <w:rPr>
          <w:rFonts w:hint="eastAsia" w:ascii="楷体" w:hAnsi="楷体" w:eastAsia="楷体" w:cs="宋体"/>
          <w:kern w:val="0"/>
          <w:sz w:val="22"/>
          <w:szCs w:val="22"/>
        </w:rPr>
      </w:pPr>
      <w:r>
        <w:rPr>
          <w:rFonts w:hint="eastAsia" w:ascii="宋体" w:hAnsi="宋体" w:cs="宋体"/>
          <w:kern w:val="0"/>
          <w:sz w:val="22"/>
          <w:szCs w:val="22"/>
        </w:rPr>
        <w:t> </w:t>
      </w:r>
    </w:p>
    <w:p>
      <w:pPr>
        <w:widowControl/>
        <w:spacing w:line="500" w:lineRule="exact"/>
        <w:jc w:val="right"/>
        <w:rPr>
          <w:rFonts w:hint="eastAsia" w:ascii="楷体" w:hAnsi="楷体" w:eastAsia="楷体" w:cs="宋体"/>
          <w:kern w:val="0"/>
          <w:sz w:val="22"/>
          <w:szCs w:val="22"/>
        </w:rPr>
      </w:pPr>
      <w:r>
        <w:rPr>
          <w:rFonts w:hint="eastAsia" w:ascii="楷体" w:hAnsi="楷体" w:eastAsia="楷体" w:cs="宋体"/>
          <w:kern w:val="0"/>
          <w:sz w:val="22"/>
          <w:szCs w:val="22"/>
        </w:rPr>
        <w:t>温州市鹿城区人民政府五马街道办事处</w:t>
      </w:r>
    </w:p>
    <w:p>
      <w:pPr>
        <w:widowControl/>
        <w:spacing w:line="500" w:lineRule="exact"/>
        <w:jc w:val="right"/>
        <w:rPr>
          <w:rFonts w:hint="eastAsia" w:ascii="楷体" w:hAnsi="楷体" w:eastAsia="楷体" w:cs="宋体"/>
          <w:kern w:val="0"/>
          <w:sz w:val="22"/>
          <w:szCs w:val="22"/>
        </w:rPr>
      </w:pPr>
      <w:r>
        <w:rPr>
          <w:rFonts w:hint="eastAsia" w:ascii="楷体" w:hAnsi="楷体" w:eastAsia="楷体" w:cs="宋体"/>
          <w:kern w:val="0"/>
          <w:sz w:val="22"/>
          <w:szCs w:val="22"/>
        </w:rPr>
        <w:t>浙江明业项目管理有限公司</w:t>
      </w:r>
    </w:p>
    <w:p>
      <w:pPr>
        <w:widowControl/>
        <w:spacing w:line="500" w:lineRule="exact"/>
        <w:jc w:val="right"/>
        <w:rPr>
          <w:rFonts w:hint="eastAsia" w:ascii="楷体" w:hAnsi="楷体" w:eastAsia="楷体" w:cs="宋体"/>
          <w:kern w:val="0"/>
          <w:sz w:val="22"/>
          <w:szCs w:val="22"/>
        </w:rPr>
      </w:pPr>
      <w:r>
        <w:rPr>
          <w:rFonts w:hint="eastAsia" w:ascii="楷体" w:hAnsi="楷体" w:eastAsia="楷体" w:cs="宋体"/>
          <w:kern w:val="0"/>
          <w:sz w:val="22"/>
          <w:szCs w:val="22"/>
        </w:rPr>
        <w:t xml:space="preserve">2019年8月 </w:t>
      </w:r>
    </w:p>
    <w:p>
      <w:pPr>
        <w:widowControl/>
        <w:wordWrap w:val="0"/>
        <w:spacing w:line="500" w:lineRule="exact"/>
        <w:jc w:val="right"/>
        <w:rPr>
          <w:rFonts w:hint="eastAsia" w:ascii="楷体" w:hAnsi="楷体" w:eastAsia="楷体" w:cs="宋体"/>
          <w:kern w:val="0"/>
          <w:sz w:val="22"/>
          <w:szCs w:val="22"/>
        </w:rPr>
      </w:pPr>
    </w:p>
    <w:p>
      <w:pPr>
        <w:widowControl/>
        <w:spacing w:line="500" w:lineRule="exact"/>
        <w:rPr>
          <w:rFonts w:hint="eastAsia" w:ascii="楷体" w:hAnsi="楷体" w:eastAsia="楷体" w:cs="宋体"/>
          <w:kern w:val="0"/>
          <w:sz w:val="22"/>
          <w:szCs w:val="22"/>
        </w:rPr>
      </w:pPr>
      <w:r>
        <w:rPr>
          <w:rFonts w:ascii="楷体" w:hAnsi="楷体" w:eastAsia="楷体" w:cs="宋体"/>
          <w:kern w:val="0"/>
          <w:sz w:val="22"/>
          <w:szCs w:val="22"/>
        </w:rPr>
        <w:br w:type="page"/>
      </w:r>
    </w:p>
    <w:p>
      <w:pPr>
        <w:pStyle w:val="2"/>
        <w:rPr>
          <w:rFonts w:hint="eastAsia" w:ascii="楷体" w:hAnsi="楷体" w:eastAsia="楷体"/>
          <w:sz w:val="36"/>
          <w:szCs w:val="36"/>
        </w:rPr>
      </w:pPr>
      <w:bookmarkStart w:id="23" w:name="_Toc5895"/>
      <w:r>
        <w:rPr>
          <w:rFonts w:hint="eastAsia" w:ascii="楷体" w:hAnsi="楷体" w:eastAsia="楷体"/>
          <w:sz w:val="36"/>
          <w:szCs w:val="36"/>
        </w:rPr>
        <w:t>投标邀请函</w:t>
      </w:r>
      <w:bookmarkEnd w:id="23"/>
    </w:p>
    <w:p>
      <w:pPr>
        <w:spacing w:line="460" w:lineRule="exact"/>
        <w:ind w:firstLine="536" w:firstLineChars="244"/>
        <w:rPr>
          <w:rFonts w:hint="eastAsia" w:ascii="楷体" w:hAnsi="楷体" w:eastAsia="楷体"/>
          <w:sz w:val="22"/>
          <w:szCs w:val="22"/>
        </w:rPr>
      </w:pPr>
      <w:r>
        <w:rPr>
          <w:rFonts w:hint="eastAsia" w:ascii="楷体" w:hAnsi="楷体" w:eastAsia="楷体"/>
          <w:sz w:val="22"/>
          <w:szCs w:val="22"/>
        </w:rPr>
        <w:t>浙江明业项目管理有限公司受温州市鹿城区人民政府五马街道办事处委托，就所需</w:t>
      </w:r>
      <w:r>
        <w:rPr>
          <w:rFonts w:hint="eastAsia" w:ascii="楷体" w:hAnsi="楷体" w:eastAsia="楷体"/>
          <w:sz w:val="22"/>
          <w:szCs w:val="22"/>
          <w:u w:val="single"/>
        </w:rPr>
        <w:t>温州市鹿城区人民政府五马街道办事处道路及楼道清扫保洁</w:t>
      </w:r>
      <w:r>
        <w:rPr>
          <w:rFonts w:hint="eastAsia" w:ascii="楷体" w:hAnsi="楷体" w:eastAsia="楷体"/>
          <w:sz w:val="22"/>
          <w:szCs w:val="22"/>
        </w:rPr>
        <w:t>以公开招标方式进行分散政府采购，特邀请贵单位参加投标，请按招标文件的要求认真准备按时前来投标。</w:t>
      </w:r>
    </w:p>
    <w:tbl>
      <w:tblPr>
        <w:tblStyle w:val="26"/>
        <w:tblW w:w="10031" w:type="dxa"/>
        <w:tblInd w:w="0" w:type="dxa"/>
        <w:tblLayout w:type="fixed"/>
        <w:tblCellMar>
          <w:top w:w="0" w:type="dxa"/>
          <w:left w:w="108" w:type="dxa"/>
          <w:bottom w:w="0" w:type="dxa"/>
          <w:right w:w="108" w:type="dxa"/>
        </w:tblCellMar>
      </w:tblPr>
      <w:tblGrid>
        <w:gridCol w:w="675"/>
        <w:gridCol w:w="1843"/>
        <w:gridCol w:w="7513"/>
      </w:tblGrid>
      <w:tr>
        <w:tblPrEx>
          <w:tblCellMar>
            <w:top w:w="0" w:type="dxa"/>
            <w:left w:w="108" w:type="dxa"/>
            <w:bottom w:w="0" w:type="dxa"/>
            <w:right w:w="108" w:type="dxa"/>
          </w:tblCellMar>
        </w:tblPrEx>
        <w:trPr>
          <w:wBefore w:w="0" w:type="dxa"/>
          <w:wAfter w:w="0" w:type="dxa"/>
          <w:trHeight w:val="567"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条款名称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编列内容</w:t>
            </w:r>
          </w:p>
        </w:tc>
      </w:tr>
      <w:tr>
        <w:tblPrEx>
          <w:tblCellMar>
            <w:top w:w="0" w:type="dxa"/>
            <w:left w:w="108" w:type="dxa"/>
            <w:bottom w:w="0" w:type="dxa"/>
            <w:right w:w="108" w:type="dxa"/>
          </w:tblCellMar>
        </w:tblPrEx>
        <w:trPr>
          <w:wBefore w:w="0" w:type="dxa"/>
          <w:wAfter w:w="0" w:type="dxa"/>
          <w:trHeight w:val="12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招标人</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sz w:val="22"/>
                <w:szCs w:val="22"/>
              </w:rPr>
            </w:pPr>
            <w:r>
              <w:rPr>
                <w:rFonts w:hint="eastAsia" w:ascii="楷体" w:hAnsi="楷体" w:eastAsia="楷体"/>
                <w:sz w:val="22"/>
                <w:szCs w:val="22"/>
              </w:rPr>
              <w:t>招标人名称：温州市鹿城区人民政府五马街道办事处</w:t>
            </w:r>
          </w:p>
          <w:p>
            <w:pPr>
              <w:spacing w:line="300" w:lineRule="exact"/>
              <w:rPr>
                <w:rFonts w:hint="eastAsia" w:ascii="楷体" w:hAnsi="楷体" w:eastAsia="楷体"/>
                <w:sz w:val="22"/>
                <w:szCs w:val="22"/>
              </w:rPr>
            </w:pPr>
            <w:r>
              <w:rPr>
                <w:rFonts w:hint="eastAsia" w:ascii="楷体" w:hAnsi="楷体" w:eastAsia="楷体"/>
                <w:sz w:val="22"/>
                <w:szCs w:val="22"/>
              </w:rPr>
              <w:t>招标人地址：温州市后垟巷89号</w:t>
            </w:r>
          </w:p>
          <w:p>
            <w:pPr>
              <w:spacing w:line="300" w:lineRule="exact"/>
              <w:rPr>
                <w:rFonts w:hint="eastAsia" w:ascii="楷体" w:hAnsi="楷体" w:eastAsia="楷体"/>
                <w:sz w:val="22"/>
                <w:szCs w:val="22"/>
              </w:rPr>
            </w:pPr>
            <w:r>
              <w:rPr>
                <w:rFonts w:hint="eastAsia" w:ascii="楷体" w:hAnsi="楷体" w:eastAsia="楷体"/>
                <w:sz w:val="22"/>
                <w:szCs w:val="22"/>
              </w:rPr>
              <w:t>联系人：蒋女士</w:t>
            </w:r>
          </w:p>
          <w:p>
            <w:pPr>
              <w:spacing w:line="300" w:lineRule="exact"/>
              <w:rPr>
                <w:rFonts w:hint="eastAsia" w:ascii="楷体" w:hAnsi="楷体" w:eastAsia="楷体"/>
                <w:sz w:val="22"/>
                <w:szCs w:val="22"/>
              </w:rPr>
            </w:pPr>
            <w:r>
              <w:rPr>
                <w:rFonts w:hint="eastAsia" w:ascii="楷体" w:hAnsi="楷体" w:eastAsia="楷体"/>
                <w:sz w:val="22"/>
                <w:szCs w:val="22"/>
              </w:rPr>
              <w:t>电话：0577-88185126</w:t>
            </w:r>
          </w:p>
        </w:tc>
      </w:tr>
      <w:tr>
        <w:tblPrEx>
          <w:tblCellMar>
            <w:top w:w="0" w:type="dxa"/>
            <w:left w:w="108" w:type="dxa"/>
            <w:bottom w:w="0" w:type="dxa"/>
            <w:right w:w="108" w:type="dxa"/>
          </w:tblCellMar>
        </w:tblPrEx>
        <w:trPr>
          <w:wBefore w:w="0" w:type="dxa"/>
          <w:wAfter w:w="0" w:type="dxa"/>
          <w:trHeight w:val="12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招标代理机构</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sz w:val="22"/>
                <w:szCs w:val="22"/>
              </w:rPr>
            </w:pPr>
            <w:r>
              <w:rPr>
                <w:rFonts w:hint="eastAsia" w:ascii="楷体" w:hAnsi="楷体" w:eastAsia="楷体"/>
                <w:sz w:val="22"/>
                <w:szCs w:val="22"/>
              </w:rPr>
              <w:t>代理机构名称：浙江明业项目管理有限公司</w:t>
            </w:r>
          </w:p>
          <w:p>
            <w:pPr>
              <w:spacing w:line="300" w:lineRule="exact"/>
              <w:rPr>
                <w:rFonts w:hint="eastAsia" w:ascii="楷体" w:hAnsi="楷体" w:eastAsia="楷体"/>
                <w:sz w:val="22"/>
                <w:szCs w:val="22"/>
              </w:rPr>
            </w:pPr>
            <w:r>
              <w:rPr>
                <w:rFonts w:hint="eastAsia" w:ascii="楷体" w:hAnsi="楷体" w:eastAsia="楷体"/>
                <w:sz w:val="22"/>
                <w:szCs w:val="22"/>
              </w:rPr>
              <w:t>代理机构地址：温州市瓯海区新桥金达路33号2楼</w:t>
            </w:r>
          </w:p>
          <w:p>
            <w:pPr>
              <w:spacing w:line="300" w:lineRule="exact"/>
              <w:rPr>
                <w:rFonts w:hint="eastAsia" w:ascii="楷体" w:hAnsi="楷体" w:eastAsia="楷体"/>
                <w:sz w:val="22"/>
                <w:szCs w:val="22"/>
              </w:rPr>
            </w:pPr>
            <w:r>
              <w:rPr>
                <w:rFonts w:hint="eastAsia" w:ascii="楷体" w:hAnsi="楷体" w:eastAsia="楷体"/>
                <w:sz w:val="22"/>
                <w:szCs w:val="22"/>
              </w:rPr>
              <w:t>联系人：翁先生</w:t>
            </w:r>
          </w:p>
          <w:p>
            <w:pPr>
              <w:spacing w:line="300" w:lineRule="exact"/>
              <w:rPr>
                <w:rFonts w:hint="eastAsia" w:ascii="楷体" w:hAnsi="楷体" w:eastAsia="楷体"/>
                <w:sz w:val="22"/>
                <w:szCs w:val="22"/>
              </w:rPr>
            </w:pPr>
            <w:r>
              <w:rPr>
                <w:rFonts w:hint="eastAsia" w:ascii="楷体" w:hAnsi="楷体" w:eastAsia="楷体"/>
                <w:sz w:val="22"/>
                <w:szCs w:val="22"/>
              </w:rPr>
              <w:t>电  话：0577-88419488  13868880319</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项目名称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cs="宋体"/>
                <w:kern w:val="0"/>
                <w:sz w:val="22"/>
                <w:szCs w:val="22"/>
              </w:rPr>
            </w:pPr>
            <w:r>
              <w:rPr>
                <w:rFonts w:hint="eastAsia" w:ascii="楷体" w:hAnsi="楷体" w:eastAsia="楷体"/>
                <w:sz w:val="22"/>
                <w:szCs w:val="22"/>
              </w:rPr>
              <w:t>温州市鹿城区人民政府五马街道办事处道路及楼道清扫保洁</w:t>
            </w:r>
          </w:p>
          <w:p>
            <w:pPr>
              <w:spacing w:line="300" w:lineRule="exact"/>
              <w:rPr>
                <w:rFonts w:hint="eastAsia" w:ascii="楷体" w:hAnsi="楷体" w:eastAsia="楷体"/>
                <w:kern w:val="0"/>
                <w:sz w:val="22"/>
                <w:szCs w:val="22"/>
              </w:rPr>
            </w:pPr>
            <w:r>
              <w:rPr>
                <w:rFonts w:hint="eastAsia" w:ascii="楷体" w:hAnsi="楷体" w:eastAsia="楷体"/>
                <w:spacing w:val="40"/>
                <w:sz w:val="22"/>
                <w:szCs w:val="22"/>
              </w:rPr>
              <w:t>招</w:t>
            </w:r>
            <w:r>
              <w:rPr>
                <w:rFonts w:hint="eastAsia" w:ascii="楷体" w:hAnsi="楷体" w:eastAsia="楷体"/>
                <w:sz w:val="22"/>
                <w:szCs w:val="22"/>
              </w:rPr>
              <w:t>标编号：ZJMY-bjcg20190121</w:t>
            </w:r>
          </w:p>
        </w:tc>
      </w:tr>
      <w:tr>
        <w:tblPrEx>
          <w:tblCellMar>
            <w:top w:w="0" w:type="dxa"/>
            <w:left w:w="108" w:type="dxa"/>
            <w:bottom w:w="0" w:type="dxa"/>
            <w:right w:w="108" w:type="dxa"/>
          </w:tblCellMar>
        </w:tblPrEx>
        <w:trPr>
          <w:wBefore w:w="0" w:type="dxa"/>
          <w:wAfter w:w="0" w:type="dxa"/>
          <w:trHeight w:val="78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招标内容</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cs="宋体"/>
                <w:kern w:val="0"/>
                <w:sz w:val="22"/>
                <w:szCs w:val="22"/>
              </w:rPr>
            </w:pPr>
            <w:r>
              <w:rPr>
                <w:rFonts w:hint="eastAsia" w:ascii="楷体" w:hAnsi="楷体" w:eastAsia="楷体" w:cs="宋体"/>
                <w:kern w:val="0"/>
                <w:sz w:val="22"/>
                <w:szCs w:val="22"/>
              </w:rPr>
              <w:t>道路及楼道清扫保洁（详见招标文件第四部分）</w:t>
            </w:r>
          </w:p>
        </w:tc>
      </w:tr>
      <w:tr>
        <w:tblPrEx>
          <w:tblCellMar>
            <w:top w:w="0" w:type="dxa"/>
            <w:left w:w="108" w:type="dxa"/>
            <w:bottom w:w="0" w:type="dxa"/>
            <w:right w:w="108" w:type="dxa"/>
          </w:tblCellMar>
        </w:tblPrEx>
        <w:trPr>
          <w:wBefore w:w="0" w:type="dxa"/>
          <w:wAfter w:w="0" w:type="dxa"/>
          <w:trHeight w:val="66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承包期限</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cs="Arial"/>
                <w:sz w:val="22"/>
                <w:szCs w:val="22"/>
              </w:rPr>
              <w:t>本次招标合同期为一年，合同期满后，</w:t>
            </w:r>
            <w:r>
              <w:rPr>
                <w:rFonts w:hint="eastAsia" w:ascii="楷体" w:hAnsi="楷体" w:eastAsia="楷体"/>
                <w:kern w:val="0"/>
                <w:sz w:val="22"/>
                <w:szCs w:val="22"/>
              </w:rPr>
              <w:t>若招标人对承包单位的考核结果为合格，并经财政部门同意后，可以与承包单位续签一年合同（1+1模式）。</w:t>
            </w:r>
          </w:p>
        </w:tc>
      </w:tr>
      <w:tr>
        <w:tblPrEx>
          <w:tblCellMar>
            <w:top w:w="0" w:type="dxa"/>
            <w:left w:w="108" w:type="dxa"/>
            <w:bottom w:w="0" w:type="dxa"/>
            <w:right w:w="108" w:type="dxa"/>
          </w:tblCellMar>
        </w:tblPrEx>
        <w:trPr>
          <w:wBefore w:w="0" w:type="dxa"/>
          <w:wAfter w:w="0" w:type="dxa"/>
          <w:trHeight w:val="116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投标人资质格要求</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1、符合《中华人民共和国政府采购法》第22条规定的投标人资格条件；</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2、以营业执照为准，</w:t>
            </w:r>
            <w:r>
              <w:rPr>
                <w:rFonts w:ascii="楷体" w:hAnsi="楷体" w:eastAsia="楷体"/>
                <w:kern w:val="0"/>
                <w:sz w:val="22"/>
                <w:szCs w:val="22"/>
              </w:rPr>
              <w:t>营业执照必须具有道路清扫保洁相应的经营范围</w:t>
            </w:r>
            <w:r>
              <w:rPr>
                <w:rFonts w:hint="eastAsia" w:ascii="楷体" w:hAnsi="楷体" w:eastAsia="楷体"/>
                <w:kern w:val="0"/>
                <w:sz w:val="22"/>
                <w:szCs w:val="22"/>
              </w:rPr>
              <w:t>；</w:t>
            </w:r>
          </w:p>
          <w:p>
            <w:pPr>
              <w:spacing w:line="300" w:lineRule="exact"/>
              <w:rPr>
                <w:rFonts w:ascii="楷体" w:hAnsi="楷体" w:eastAsia="楷体"/>
                <w:kern w:val="0"/>
                <w:sz w:val="22"/>
                <w:szCs w:val="22"/>
              </w:rPr>
            </w:pPr>
            <w:r>
              <w:rPr>
                <w:rFonts w:hint="eastAsia" w:ascii="楷体" w:hAnsi="楷体" w:eastAsia="楷体"/>
                <w:kern w:val="0"/>
                <w:sz w:val="22"/>
                <w:szCs w:val="22"/>
              </w:rPr>
              <w:t>3、至本项目投标截止前未被列入“信用中国”网站(www.creditchina.gov.cn)“记录失信被执行人或重大税收违法案件当事人名单”记录名单。</w:t>
            </w:r>
          </w:p>
          <w:p>
            <w:pPr>
              <w:spacing w:line="300" w:lineRule="exact"/>
              <w:rPr>
                <w:rFonts w:ascii="楷体" w:hAnsi="楷体" w:eastAsia="楷体"/>
                <w:kern w:val="0"/>
                <w:sz w:val="22"/>
                <w:szCs w:val="22"/>
              </w:rPr>
            </w:pPr>
            <w:r>
              <w:rPr>
                <w:rFonts w:hint="eastAsia" w:ascii="楷体" w:hAnsi="楷体" w:eastAsia="楷体"/>
                <w:kern w:val="0"/>
                <w:sz w:val="22"/>
                <w:szCs w:val="22"/>
              </w:rPr>
              <w:t>4、至本项目投标截止前不处于中国政府采购网(www.ccgp.gov.cn)“政府采购严重违法失信行为信息记录”中的禁止参加政府采购活动期间。</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5、至本项目投标截止前未被“浙江政府采购网”（www.zjzfcg.gov.cn）曝光台中曝光处在禁止参加政府采购活动有效期内的。</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6、</w:t>
            </w:r>
            <w:r>
              <w:rPr>
                <w:rFonts w:ascii="楷体" w:hAnsi="楷体" w:eastAsia="楷体"/>
                <w:kern w:val="0"/>
                <w:sz w:val="22"/>
                <w:szCs w:val="22"/>
              </w:rPr>
              <w:t>本项目谢绝联合体形式投标</w:t>
            </w:r>
          </w:p>
        </w:tc>
      </w:tr>
      <w:tr>
        <w:tblPrEx>
          <w:tblCellMar>
            <w:top w:w="0" w:type="dxa"/>
            <w:left w:w="108" w:type="dxa"/>
            <w:bottom w:w="0" w:type="dxa"/>
            <w:right w:w="108" w:type="dxa"/>
          </w:tblCellMar>
        </w:tblPrEx>
        <w:trPr>
          <w:wBefore w:w="0" w:type="dxa"/>
          <w:wAfter w:w="0" w:type="dxa"/>
          <w:trHeight w:val="73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是否接受联合体投标</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ascii="楷体" w:hAnsi="楷体" w:eastAsia="楷体"/>
                <w:snapToGrid w:val="0"/>
                <w:sz w:val="22"/>
                <w:szCs w:val="22"/>
              </w:rPr>
              <w:sym w:font="Wingdings" w:char="F0FE"/>
            </w:r>
            <w:r>
              <w:rPr>
                <w:rFonts w:hint="eastAsia" w:ascii="楷体" w:hAnsi="楷体" w:eastAsia="楷体"/>
                <w:kern w:val="0"/>
                <w:sz w:val="22"/>
                <w:szCs w:val="22"/>
              </w:rPr>
              <w:t>不接受</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□接受，应满足下列要求：</w:t>
            </w:r>
          </w:p>
        </w:tc>
      </w:tr>
      <w:tr>
        <w:tblPrEx>
          <w:tblCellMar>
            <w:top w:w="0" w:type="dxa"/>
            <w:left w:w="108" w:type="dxa"/>
            <w:bottom w:w="0" w:type="dxa"/>
            <w:right w:w="108" w:type="dxa"/>
          </w:tblCellMar>
        </w:tblPrEx>
        <w:trPr>
          <w:wBefore w:w="0" w:type="dxa"/>
          <w:wAfter w:w="0" w:type="dxa"/>
          <w:trHeight w:val="4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踏勘现场</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□组织</w:t>
            </w:r>
          </w:p>
          <w:p>
            <w:pPr>
              <w:spacing w:line="300" w:lineRule="exact"/>
              <w:rPr>
                <w:rFonts w:hint="eastAsia" w:ascii="楷体" w:hAnsi="楷体" w:eastAsia="楷体"/>
                <w:kern w:val="0"/>
                <w:sz w:val="22"/>
                <w:szCs w:val="22"/>
              </w:rPr>
            </w:pPr>
            <w:r>
              <w:rPr>
                <w:rFonts w:ascii="楷体" w:hAnsi="楷体" w:eastAsia="楷体"/>
                <w:snapToGrid w:val="0"/>
                <w:sz w:val="22"/>
                <w:szCs w:val="22"/>
              </w:rPr>
              <w:sym w:font="Wingdings" w:char="F0FE"/>
            </w:r>
            <w:r>
              <w:rPr>
                <w:rFonts w:hint="eastAsia" w:ascii="楷体" w:hAnsi="楷体" w:eastAsia="楷体"/>
                <w:kern w:val="0"/>
                <w:sz w:val="22"/>
                <w:szCs w:val="22"/>
              </w:rPr>
              <w:t>不组织</w:t>
            </w:r>
          </w:p>
        </w:tc>
      </w:tr>
      <w:tr>
        <w:tblPrEx>
          <w:tblCellMar>
            <w:top w:w="0" w:type="dxa"/>
            <w:left w:w="108" w:type="dxa"/>
            <w:bottom w:w="0" w:type="dxa"/>
            <w:right w:w="108" w:type="dxa"/>
          </w:tblCellMar>
        </w:tblPrEx>
        <w:trPr>
          <w:wBefore w:w="0" w:type="dxa"/>
          <w:wAfter w:w="0" w:type="dxa"/>
          <w:trHeight w:val="5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投标预备会</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□召开</w:t>
            </w:r>
          </w:p>
          <w:p>
            <w:pPr>
              <w:spacing w:line="300" w:lineRule="exact"/>
              <w:rPr>
                <w:rFonts w:hint="eastAsia" w:ascii="楷体" w:hAnsi="楷体" w:eastAsia="楷体"/>
                <w:kern w:val="0"/>
                <w:sz w:val="22"/>
                <w:szCs w:val="22"/>
              </w:rPr>
            </w:pPr>
            <w:r>
              <w:rPr>
                <w:rFonts w:ascii="楷体" w:hAnsi="楷体" w:eastAsia="楷体"/>
                <w:snapToGrid w:val="0"/>
                <w:sz w:val="22"/>
                <w:szCs w:val="22"/>
              </w:rPr>
              <w:sym w:font="Wingdings" w:char="F0FE"/>
            </w:r>
            <w:r>
              <w:rPr>
                <w:rFonts w:hint="eastAsia" w:ascii="楷体" w:hAnsi="楷体" w:eastAsia="楷体"/>
                <w:kern w:val="0"/>
                <w:sz w:val="22"/>
                <w:szCs w:val="22"/>
              </w:rPr>
              <w:t>不召开</w:t>
            </w:r>
          </w:p>
        </w:tc>
      </w:tr>
      <w:tr>
        <w:tblPrEx>
          <w:tblCellMar>
            <w:top w:w="0" w:type="dxa"/>
            <w:left w:w="108" w:type="dxa"/>
            <w:bottom w:w="0" w:type="dxa"/>
            <w:right w:w="108" w:type="dxa"/>
          </w:tblCellMar>
        </w:tblPrEx>
        <w:trPr>
          <w:wBefore w:w="0" w:type="dxa"/>
          <w:wAfter w:w="0" w:type="dxa"/>
          <w:trHeight w:val="5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投标截止时间</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2019年09月09日09时30分整</w:t>
            </w:r>
          </w:p>
        </w:tc>
      </w:tr>
      <w:tr>
        <w:tblPrEx>
          <w:tblCellMar>
            <w:top w:w="0" w:type="dxa"/>
            <w:left w:w="108" w:type="dxa"/>
            <w:bottom w:w="0" w:type="dxa"/>
            <w:right w:w="108" w:type="dxa"/>
          </w:tblCellMar>
        </w:tblPrEx>
        <w:trPr>
          <w:wBefore w:w="0" w:type="dxa"/>
          <w:wAfter w:w="0" w:type="dxa"/>
          <w:trHeight w:val="6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分包</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□允许</w:t>
            </w:r>
          </w:p>
          <w:p>
            <w:pPr>
              <w:spacing w:line="300" w:lineRule="exact"/>
              <w:rPr>
                <w:rFonts w:hint="eastAsia" w:ascii="楷体" w:hAnsi="楷体" w:eastAsia="楷体"/>
                <w:kern w:val="0"/>
                <w:sz w:val="22"/>
                <w:szCs w:val="22"/>
              </w:rPr>
            </w:pPr>
            <w:r>
              <w:rPr>
                <w:rFonts w:ascii="楷体" w:hAnsi="楷体" w:eastAsia="楷体"/>
                <w:snapToGrid w:val="0"/>
                <w:sz w:val="22"/>
                <w:szCs w:val="22"/>
              </w:rPr>
              <w:sym w:font="Wingdings" w:char="F0FE"/>
            </w:r>
            <w:r>
              <w:rPr>
                <w:rFonts w:hint="eastAsia" w:ascii="楷体" w:hAnsi="楷体" w:eastAsia="楷体"/>
                <w:kern w:val="0"/>
                <w:sz w:val="22"/>
                <w:szCs w:val="22"/>
              </w:rPr>
              <w:t>不允许</w:t>
            </w:r>
          </w:p>
        </w:tc>
      </w:tr>
      <w:tr>
        <w:tblPrEx>
          <w:tblCellMar>
            <w:top w:w="0" w:type="dxa"/>
            <w:left w:w="108" w:type="dxa"/>
            <w:bottom w:w="0" w:type="dxa"/>
            <w:right w:w="108" w:type="dxa"/>
          </w:tblCellMar>
        </w:tblPrEx>
        <w:trPr>
          <w:wBefore w:w="0" w:type="dxa"/>
          <w:wAfter w:w="0" w:type="dxa"/>
          <w:trHeight w:val="9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偏离</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CellMar>
            <w:top w:w="0" w:type="dxa"/>
            <w:left w:w="108" w:type="dxa"/>
            <w:bottom w:w="0" w:type="dxa"/>
            <w:right w:w="108" w:type="dxa"/>
          </w:tblCellMar>
        </w:tblPrEx>
        <w:trPr>
          <w:wBefore w:w="0" w:type="dxa"/>
          <w:wAfter w:w="0" w:type="dxa"/>
          <w:trHeight w:val="462"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投标有效期</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投标文件自投标截止时间起生效，有效期90天。</w:t>
            </w:r>
          </w:p>
        </w:tc>
      </w:tr>
      <w:tr>
        <w:tblPrEx>
          <w:tblCellMar>
            <w:top w:w="0" w:type="dxa"/>
            <w:left w:w="108" w:type="dxa"/>
            <w:bottom w:w="0" w:type="dxa"/>
            <w:right w:w="108" w:type="dxa"/>
          </w:tblCellMar>
        </w:tblPrEx>
        <w:trPr>
          <w:wBefore w:w="0" w:type="dxa"/>
          <w:wAfter w:w="0" w:type="dxa"/>
          <w:trHeight w:val="4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投标保证金</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无要求</w:t>
            </w:r>
          </w:p>
        </w:tc>
      </w:tr>
      <w:tr>
        <w:tblPrEx>
          <w:tblCellMar>
            <w:top w:w="0" w:type="dxa"/>
            <w:left w:w="108" w:type="dxa"/>
            <w:bottom w:w="0" w:type="dxa"/>
            <w:right w:w="108" w:type="dxa"/>
          </w:tblCellMar>
        </w:tblPrEx>
        <w:trPr>
          <w:wBefore w:w="0" w:type="dxa"/>
          <w:wAfter w:w="0" w:type="dxa"/>
          <w:trHeight w:val="611"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ascii="楷体" w:hAnsi="楷体" w:eastAsia="楷体"/>
                <w:kern w:val="0"/>
                <w:sz w:val="22"/>
                <w:szCs w:val="22"/>
              </w:rPr>
              <w:t>投标文件份数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技术资信标一式八份，正本 1份，副本 7 份</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商务标一式八份，正本 1份，副本 7 份</w:t>
            </w:r>
          </w:p>
        </w:tc>
      </w:tr>
      <w:tr>
        <w:tblPrEx>
          <w:tblCellMar>
            <w:top w:w="0" w:type="dxa"/>
            <w:left w:w="108" w:type="dxa"/>
            <w:bottom w:w="0" w:type="dxa"/>
            <w:right w:w="108" w:type="dxa"/>
          </w:tblCellMar>
        </w:tblPrEx>
        <w:trPr>
          <w:wBefore w:w="0" w:type="dxa"/>
          <w:wAfter w:w="0" w:type="dxa"/>
          <w:trHeight w:val="79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包装要求</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投标文件的技术资信标、商务（报价）标、（证照、证件、证明文件原件）如有、分别密封于包封袋中，</w:t>
            </w:r>
            <w:r>
              <w:rPr>
                <w:rFonts w:ascii="楷体" w:hAnsi="楷体" w:eastAsia="楷体"/>
                <w:kern w:val="0"/>
                <w:sz w:val="22"/>
                <w:szCs w:val="22"/>
              </w:rPr>
              <w:t>且在各自的密封袋上标明“技术资信标”、“商务标”和“证照、证件、证明文件原件”字样</w:t>
            </w:r>
            <w:r>
              <w:rPr>
                <w:rFonts w:hint="eastAsia" w:ascii="楷体" w:hAnsi="楷体" w:eastAsia="楷体"/>
                <w:kern w:val="0"/>
                <w:sz w:val="22"/>
                <w:szCs w:val="22"/>
              </w:rPr>
              <w:t>并在封套的封口处加盖投标人单位章，并由法定代表人或其授权代表签字。</w:t>
            </w:r>
          </w:p>
        </w:tc>
      </w:tr>
      <w:tr>
        <w:tblPrEx>
          <w:tblCellMar>
            <w:top w:w="0" w:type="dxa"/>
            <w:left w:w="108" w:type="dxa"/>
            <w:bottom w:w="0" w:type="dxa"/>
            <w:right w:w="108" w:type="dxa"/>
          </w:tblCellMar>
        </w:tblPrEx>
        <w:trPr>
          <w:wBefore w:w="0" w:type="dxa"/>
          <w:wAfter w:w="0" w:type="dxa"/>
          <w:trHeight w:val="62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递交投标</w:t>
            </w:r>
          </w:p>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文件地点</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ascii="楷体" w:hAnsi="楷体" w:eastAsia="楷体" w:cs="宋体"/>
                <w:kern w:val="0"/>
                <w:sz w:val="22"/>
                <w:szCs w:val="22"/>
              </w:rPr>
              <w:t>温州市公共资源交易中心鹿城分中心收标区（一楼）（温州市宽带路18号）</w:t>
            </w:r>
          </w:p>
        </w:tc>
      </w:tr>
      <w:tr>
        <w:tblPrEx>
          <w:tblCellMar>
            <w:top w:w="0" w:type="dxa"/>
            <w:left w:w="108" w:type="dxa"/>
            <w:bottom w:w="0" w:type="dxa"/>
            <w:right w:w="108" w:type="dxa"/>
          </w:tblCellMar>
        </w:tblPrEx>
        <w:trPr>
          <w:wBefore w:w="0" w:type="dxa"/>
          <w:wAfter w:w="0" w:type="dxa"/>
          <w:trHeight w:val="79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开标时间</w:t>
            </w:r>
          </w:p>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和地点</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开标时间：同投标截止时间</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开标地点：</w:t>
            </w:r>
            <w:r>
              <w:rPr>
                <w:rFonts w:ascii="楷体" w:hAnsi="楷体" w:eastAsia="楷体" w:cs="宋体"/>
                <w:kern w:val="0"/>
                <w:sz w:val="22"/>
                <w:szCs w:val="22"/>
              </w:rPr>
              <w:t>温州市公共资源交易中心鹿城分中心开标室（温州市宽带路18号）</w:t>
            </w:r>
          </w:p>
        </w:tc>
      </w:tr>
      <w:tr>
        <w:tblPrEx>
          <w:tblCellMar>
            <w:top w:w="0" w:type="dxa"/>
            <w:left w:w="108" w:type="dxa"/>
            <w:bottom w:w="0" w:type="dxa"/>
            <w:right w:w="108" w:type="dxa"/>
          </w:tblCellMar>
        </w:tblPrEx>
        <w:trPr>
          <w:wBefore w:w="0" w:type="dxa"/>
          <w:wAfter w:w="0" w:type="dxa"/>
          <w:trHeight w:val="4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19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开评标程序</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密封情况检查</w:t>
            </w:r>
            <w:r>
              <w:rPr>
                <w:rFonts w:ascii="楷体" w:hAnsi="楷体" w:eastAsia="楷体"/>
                <w:kern w:val="0"/>
                <w:sz w:val="22"/>
                <w:szCs w:val="22"/>
              </w:rPr>
              <w:sym w:font="Wingdings" w:char="F0E8"/>
            </w:r>
            <w:r>
              <w:rPr>
                <w:rFonts w:hint="eastAsia" w:ascii="楷体" w:hAnsi="楷体" w:eastAsia="楷体"/>
                <w:kern w:val="0"/>
                <w:sz w:val="22"/>
                <w:szCs w:val="22"/>
              </w:rPr>
              <w:t>同时开启商务标、技术资信标</w:t>
            </w:r>
            <w:r>
              <w:rPr>
                <w:rFonts w:ascii="楷体" w:hAnsi="楷体" w:eastAsia="楷体"/>
                <w:kern w:val="0"/>
                <w:sz w:val="22"/>
                <w:szCs w:val="22"/>
              </w:rPr>
              <w:sym w:font="Wingdings" w:char="F0E8"/>
            </w:r>
            <w:r>
              <w:rPr>
                <w:rFonts w:hint="eastAsia" w:ascii="楷体" w:hAnsi="楷体" w:eastAsia="楷体"/>
                <w:kern w:val="0"/>
                <w:sz w:val="22"/>
                <w:szCs w:val="22"/>
              </w:rPr>
              <w:t>资格性审查</w:t>
            </w:r>
            <w:r>
              <w:rPr>
                <w:rFonts w:ascii="楷体" w:hAnsi="楷体" w:eastAsia="楷体"/>
                <w:kern w:val="0"/>
                <w:sz w:val="22"/>
                <w:szCs w:val="22"/>
              </w:rPr>
              <w:sym w:font="Wingdings" w:char="F0E8"/>
            </w:r>
            <w:r>
              <w:rPr>
                <w:rFonts w:hint="eastAsia" w:ascii="楷体" w:hAnsi="楷体" w:eastAsia="楷体"/>
                <w:kern w:val="0"/>
                <w:sz w:val="22"/>
                <w:szCs w:val="22"/>
              </w:rPr>
              <w:t>技术资信标评审</w:t>
            </w:r>
            <w:r>
              <w:rPr>
                <w:rFonts w:ascii="楷体" w:hAnsi="楷体" w:eastAsia="楷体"/>
                <w:kern w:val="0"/>
                <w:sz w:val="22"/>
                <w:szCs w:val="22"/>
              </w:rPr>
              <w:sym w:font="Wingdings" w:char="F0E8"/>
            </w:r>
            <w:r>
              <w:rPr>
                <w:rFonts w:hint="eastAsia" w:ascii="楷体" w:hAnsi="楷体" w:eastAsia="楷体"/>
                <w:kern w:val="0"/>
                <w:sz w:val="22"/>
                <w:szCs w:val="22"/>
              </w:rPr>
              <w:t>商务标评审</w:t>
            </w:r>
          </w:p>
        </w:tc>
      </w:tr>
      <w:tr>
        <w:tblPrEx>
          <w:tblCellMar>
            <w:top w:w="0" w:type="dxa"/>
            <w:left w:w="108" w:type="dxa"/>
            <w:bottom w:w="0" w:type="dxa"/>
            <w:right w:w="108" w:type="dxa"/>
          </w:tblCellMar>
        </w:tblPrEx>
        <w:trPr>
          <w:wBefore w:w="0" w:type="dxa"/>
          <w:wAfter w:w="0" w:type="dxa"/>
          <w:trHeight w:val="979"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20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评标委员会</w:t>
            </w:r>
          </w:p>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的组建</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评标委员会成员由采购人代表和有关技术、经济等方面的专家组成，有关技术、经济等方面的专家成员人数为7人及以上单数，除采购人代表外的专家将</w:t>
            </w:r>
            <w:r>
              <w:rPr>
                <w:rFonts w:ascii="楷体" w:hAnsi="楷体" w:eastAsia="楷体"/>
                <w:kern w:val="0"/>
                <w:sz w:val="22"/>
                <w:szCs w:val="22"/>
              </w:rPr>
              <w:t>在</w:t>
            </w:r>
            <w:r>
              <w:rPr>
                <w:rFonts w:hint="eastAsia" w:ascii="楷体" w:hAnsi="楷体" w:eastAsia="楷体"/>
                <w:kern w:val="0"/>
                <w:sz w:val="22"/>
                <w:szCs w:val="22"/>
              </w:rPr>
              <w:t>政府规定部门的评标专家库中随机抽取产生。</w:t>
            </w:r>
          </w:p>
        </w:tc>
      </w:tr>
      <w:tr>
        <w:tblPrEx>
          <w:tblCellMar>
            <w:top w:w="0" w:type="dxa"/>
            <w:left w:w="108" w:type="dxa"/>
            <w:bottom w:w="0" w:type="dxa"/>
            <w:right w:w="108" w:type="dxa"/>
          </w:tblCellMar>
        </w:tblPrEx>
        <w:trPr>
          <w:wBefore w:w="0" w:type="dxa"/>
          <w:wAfter w:w="0" w:type="dxa"/>
          <w:trHeight w:val="1282"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履约担保</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履约担保的金额：合同价的10%</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中标人在接到中标通知书后的7日内须向招标人提交履约担保，并且要保证履约担保在合同履行期间的有效性。</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购车履约保证金：详细要求见《投标人须知》第30.4条</w:t>
            </w:r>
          </w:p>
        </w:tc>
      </w:tr>
      <w:tr>
        <w:tblPrEx>
          <w:tblCellMar>
            <w:top w:w="0" w:type="dxa"/>
            <w:left w:w="108" w:type="dxa"/>
            <w:bottom w:w="0" w:type="dxa"/>
            <w:right w:w="108" w:type="dxa"/>
          </w:tblCellMar>
        </w:tblPrEx>
        <w:trPr>
          <w:wBefore w:w="0" w:type="dxa"/>
          <w:wAfter w:w="0" w:type="dxa"/>
          <w:trHeight w:val="609" w:hRule="exac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22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原 件</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ascii="楷体" w:hAnsi="楷体" w:eastAsia="楷体"/>
                <w:snapToGrid w:val="0"/>
                <w:sz w:val="22"/>
                <w:szCs w:val="22"/>
              </w:rPr>
              <w:sym w:font="Wingdings" w:char="F0FE"/>
            </w:r>
            <w:r>
              <w:rPr>
                <w:rFonts w:hint="eastAsia" w:ascii="楷体" w:hAnsi="楷体" w:eastAsia="楷体"/>
                <w:kern w:val="0"/>
                <w:sz w:val="22"/>
                <w:szCs w:val="22"/>
              </w:rPr>
              <w:t>提交</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□不提交</w:t>
            </w:r>
          </w:p>
        </w:tc>
      </w:tr>
      <w:tr>
        <w:tblPrEx>
          <w:tblCellMar>
            <w:top w:w="0" w:type="dxa"/>
            <w:left w:w="108" w:type="dxa"/>
            <w:bottom w:w="0" w:type="dxa"/>
            <w:right w:w="108" w:type="dxa"/>
          </w:tblCellMar>
        </w:tblPrEx>
        <w:trPr>
          <w:wBefore w:w="0" w:type="dxa"/>
          <w:wAfter w:w="0" w:type="dxa"/>
          <w:trHeight w:val="48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23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楷体" w:hAnsi="楷体" w:eastAsia="楷体"/>
                <w:kern w:val="0"/>
                <w:sz w:val="22"/>
                <w:szCs w:val="22"/>
              </w:rPr>
            </w:pPr>
            <w:r>
              <w:rPr>
                <w:rFonts w:hint="eastAsia" w:ascii="楷体" w:hAnsi="楷体" w:eastAsia="楷体"/>
                <w:kern w:val="0"/>
                <w:sz w:val="22"/>
                <w:szCs w:val="22"/>
              </w:rPr>
              <w:t>注意事项</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楷体" w:hAnsi="楷体" w:eastAsia="楷体"/>
                <w:kern w:val="0"/>
                <w:sz w:val="22"/>
                <w:szCs w:val="22"/>
              </w:rPr>
            </w:pPr>
            <w:r>
              <w:rPr>
                <w:rFonts w:hint="eastAsia" w:ascii="楷体" w:hAnsi="楷体" w:eastAsia="楷体"/>
                <w:kern w:val="0"/>
                <w:sz w:val="22"/>
                <w:szCs w:val="22"/>
              </w:rPr>
              <w:t>1）本招标文件中有关时间安排如有不一致的，一律以本“投标邀请函”为准；</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2）本招标文件涉及的时间为“北京时间”；</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3）本招标文件涉及的货币为“人民币”；</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4）招标文件资料费用：500元/份（售后不退）；</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5）本招标文件的解释权属于采购人；</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6）排名第一的中标候选人必须按《浙江省政府采购供应商注册及诚信管理暂行办法》的规定在中标（成交）通知书发出前进行注册申请，否则，采购人可以拒绝向其发出中标（成交）通知书，并直接推荐排名次之的中标候选人为中标人，依次类推。</w:t>
            </w:r>
          </w:p>
          <w:p>
            <w:pPr>
              <w:spacing w:line="300" w:lineRule="exact"/>
              <w:rPr>
                <w:rFonts w:hint="eastAsia" w:ascii="楷体" w:hAnsi="楷体" w:eastAsia="楷体"/>
                <w:kern w:val="0"/>
                <w:sz w:val="22"/>
                <w:szCs w:val="22"/>
              </w:rPr>
            </w:pPr>
            <w:r>
              <w:rPr>
                <w:rFonts w:hint="eastAsia" w:ascii="楷体" w:hAnsi="楷体" w:eastAsia="楷体"/>
                <w:kern w:val="0"/>
                <w:sz w:val="22"/>
                <w:szCs w:val="22"/>
              </w:rPr>
              <w:t>7）</w:t>
            </w:r>
            <w:r>
              <w:rPr>
                <w:rFonts w:ascii="楷体" w:hAnsi="楷体" w:eastAsia="楷体"/>
                <w:kern w:val="0"/>
                <w:sz w:val="22"/>
                <w:szCs w:val="22"/>
              </w:rPr>
              <w:t>同级监督部门：温州市鹿城区财政局  联系电话：0577-88359173</w:t>
            </w:r>
          </w:p>
        </w:tc>
      </w:tr>
    </w:tbl>
    <w:p>
      <w:pPr>
        <w:widowControl/>
        <w:spacing w:line="300" w:lineRule="exact"/>
        <w:ind w:right="440"/>
        <w:rPr>
          <w:rFonts w:ascii="楷体" w:hAnsi="楷体" w:eastAsia="楷体" w:cs="宋体"/>
          <w:kern w:val="0"/>
          <w:sz w:val="22"/>
          <w:szCs w:val="22"/>
        </w:rPr>
      </w:pPr>
    </w:p>
    <w:p>
      <w:pPr>
        <w:widowControl/>
        <w:spacing w:line="300" w:lineRule="exact"/>
        <w:ind w:right="440"/>
        <w:rPr>
          <w:rFonts w:hint="eastAsia" w:ascii="楷体" w:hAnsi="楷体" w:eastAsia="楷体" w:cs="宋体"/>
          <w:kern w:val="0"/>
          <w:sz w:val="22"/>
          <w:szCs w:val="22"/>
        </w:rPr>
      </w:pPr>
      <w:r>
        <w:rPr>
          <w:rFonts w:ascii="楷体" w:hAnsi="楷体" w:eastAsia="楷体" w:cs="宋体"/>
          <w:kern w:val="0"/>
          <w:sz w:val="22"/>
          <w:szCs w:val="22"/>
        </w:rPr>
        <w:br w:type="page"/>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pStyle w:val="2"/>
        <w:rPr>
          <w:rFonts w:hint="eastAsia" w:ascii="楷体" w:hAnsi="楷体" w:eastAsia="楷体"/>
          <w:sz w:val="36"/>
          <w:szCs w:val="36"/>
        </w:rPr>
      </w:pPr>
      <w:bookmarkStart w:id="24" w:name="_Toc221356882"/>
      <w:bookmarkStart w:id="25" w:name="_Toc245191310"/>
      <w:bookmarkStart w:id="26" w:name="_Toc221356947"/>
      <w:bookmarkStart w:id="27" w:name="_Toc222114875"/>
      <w:bookmarkStart w:id="28" w:name="_Toc239145350"/>
      <w:bookmarkStart w:id="29" w:name="_Toc249758708"/>
      <w:bookmarkStart w:id="30" w:name="_Toc249758860"/>
      <w:bookmarkStart w:id="31" w:name="_Toc221423615"/>
      <w:bookmarkStart w:id="32" w:name="_Toc221374622"/>
      <w:bookmarkStart w:id="33" w:name="_Toc245722277"/>
      <w:bookmarkStart w:id="34" w:name="_Toc262105499"/>
      <w:bookmarkStart w:id="35" w:name="_Toc262049414"/>
      <w:bookmarkStart w:id="36" w:name="_Toc27756"/>
      <w:bookmarkStart w:id="37" w:name="_Toc223715994"/>
      <w:bookmarkStart w:id="38" w:name="_Toc241404198"/>
      <w:bookmarkStart w:id="39" w:name="_Toc246261261"/>
      <w:r>
        <w:rPr>
          <w:rFonts w:hint="eastAsia" w:ascii="楷体" w:hAnsi="楷体" w:eastAsia="楷体"/>
          <w:sz w:val="36"/>
          <w:szCs w:val="36"/>
        </w:rPr>
        <w:t>第一部分    投标人须知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100" w:beforeAutospacing="1" w:after="100" w:afterAutospacing="1" w:line="360" w:lineRule="exact"/>
        <w:jc w:val="center"/>
        <w:outlineLvl w:val="0"/>
        <w:rPr>
          <w:rFonts w:hint="eastAsia" w:ascii="楷体" w:hAnsi="楷体" w:eastAsia="楷体"/>
          <w:b/>
          <w:bCs/>
          <w:sz w:val="26"/>
          <w:szCs w:val="26"/>
        </w:rPr>
      </w:pPr>
      <w:bookmarkStart w:id="40" w:name="_Toc239145351"/>
      <w:bookmarkStart w:id="41" w:name="_Toc7617"/>
      <w:bookmarkStart w:id="42" w:name="_Toc223715995"/>
      <w:bookmarkStart w:id="43" w:name="_Toc245722278"/>
      <w:bookmarkStart w:id="44" w:name="_Toc262049415"/>
      <w:bookmarkStart w:id="45" w:name="_Toc221423616"/>
      <w:bookmarkStart w:id="46" w:name="_Toc249758709"/>
      <w:bookmarkStart w:id="47" w:name="_Toc222114876"/>
      <w:bookmarkStart w:id="48" w:name="_Toc221356948"/>
      <w:bookmarkStart w:id="49" w:name="_Toc221374623"/>
      <w:bookmarkStart w:id="50" w:name="_Toc241404199"/>
      <w:bookmarkStart w:id="51" w:name="_Toc245191311"/>
      <w:bookmarkStart w:id="52" w:name="_Toc249758861"/>
      <w:bookmarkStart w:id="53" w:name="_Toc221356883"/>
      <w:bookmarkStart w:id="54" w:name="_Toc246261262"/>
      <w:bookmarkStart w:id="55" w:name="_Toc262105500"/>
      <w:r>
        <w:rPr>
          <w:rFonts w:hint="eastAsia" w:ascii="楷体" w:hAnsi="楷体" w:eastAsia="楷体"/>
          <w:b/>
          <w:bCs/>
          <w:sz w:val="26"/>
          <w:szCs w:val="26"/>
        </w:rPr>
        <w:t>一、  说明</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numPr>
          <w:ilvl w:val="0"/>
          <w:numId w:val="2"/>
        </w:numPr>
        <w:tabs>
          <w:tab w:val="left" w:pos="540"/>
          <w:tab w:val="left" w:pos="90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本次招标是按照《中华人民共和国政府采购法》、《中华人民共和国政府采购法实施条例》、《政府采购货物和服务招标投标管理办法》和《关于进一步规范政府采购活动的若干意见》等法律及有关法规组织和实施的。</w:t>
      </w:r>
    </w:p>
    <w:p>
      <w:pPr>
        <w:numPr>
          <w:ilvl w:val="0"/>
          <w:numId w:val="2"/>
        </w:numPr>
        <w:tabs>
          <w:tab w:val="left" w:pos="540"/>
          <w:tab w:val="left" w:pos="90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合格投标人</w:t>
      </w:r>
    </w:p>
    <w:p>
      <w:pPr>
        <w:widowControl/>
        <w:spacing w:line="36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2.1 符合《中华人民共和国政府采购法》第22条规定的投标人资格条件；</w:t>
      </w:r>
    </w:p>
    <w:p>
      <w:pPr>
        <w:widowControl/>
        <w:spacing w:line="36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2.2 以营业执照为准，</w:t>
      </w:r>
      <w:r>
        <w:rPr>
          <w:rFonts w:ascii="楷体" w:hAnsi="楷体" w:eastAsia="楷体" w:cs="宋体"/>
          <w:kern w:val="0"/>
          <w:sz w:val="22"/>
          <w:szCs w:val="22"/>
        </w:rPr>
        <w:t>营业执照必须具有道路清扫保洁相应的经营范围</w:t>
      </w:r>
      <w:r>
        <w:rPr>
          <w:rFonts w:hint="eastAsia" w:ascii="楷体" w:hAnsi="楷体" w:eastAsia="楷体" w:cs="宋体"/>
          <w:kern w:val="0"/>
          <w:sz w:val="22"/>
          <w:szCs w:val="22"/>
        </w:rPr>
        <w:t>；</w:t>
      </w:r>
    </w:p>
    <w:p>
      <w:pPr>
        <w:widowControl/>
        <w:spacing w:line="360" w:lineRule="exact"/>
        <w:ind w:left="425"/>
        <w:jc w:val="left"/>
        <w:rPr>
          <w:rFonts w:ascii="楷体" w:hAnsi="楷体" w:eastAsia="楷体" w:cs="宋体"/>
          <w:kern w:val="0"/>
          <w:sz w:val="22"/>
          <w:szCs w:val="22"/>
        </w:rPr>
      </w:pPr>
      <w:r>
        <w:rPr>
          <w:rFonts w:hint="eastAsia" w:ascii="楷体" w:hAnsi="楷体" w:eastAsia="楷体" w:cs="宋体"/>
          <w:kern w:val="0"/>
          <w:sz w:val="22"/>
          <w:szCs w:val="22"/>
        </w:rPr>
        <w:t>2.3至本项目投标截止前未被列入“信用中国”网站(www.creditchina.gov.cn)“记录失信被执行人或重大税收违法案件当事人名单”记录名单；</w:t>
      </w:r>
    </w:p>
    <w:p>
      <w:pPr>
        <w:widowControl/>
        <w:spacing w:line="360" w:lineRule="exact"/>
        <w:ind w:left="425"/>
        <w:jc w:val="left"/>
        <w:rPr>
          <w:rFonts w:ascii="楷体" w:hAnsi="楷体" w:eastAsia="楷体" w:cs="宋体"/>
          <w:kern w:val="0"/>
          <w:sz w:val="22"/>
          <w:szCs w:val="22"/>
        </w:rPr>
      </w:pPr>
      <w:r>
        <w:rPr>
          <w:rFonts w:hint="eastAsia" w:ascii="楷体" w:hAnsi="楷体" w:eastAsia="楷体" w:cs="宋体"/>
          <w:kern w:val="0"/>
          <w:sz w:val="22"/>
          <w:szCs w:val="22"/>
        </w:rPr>
        <w:t>2.4至本项目投标截止前不处于中国政府采购网(www.ccgp.gov.cn)“政府采购严重违法失信行为信息记录”中的禁止参加政府采购活动期间；</w:t>
      </w:r>
    </w:p>
    <w:p>
      <w:pPr>
        <w:widowControl/>
        <w:spacing w:line="36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2.5至本项目投标截止前未被“浙江政府采购网”（www.zjzfcg.gov.cn）曝光台中曝光处在禁止参加政府采购活动有效期内的；</w:t>
      </w:r>
    </w:p>
    <w:p>
      <w:pPr>
        <w:widowControl/>
        <w:spacing w:line="360" w:lineRule="exact"/>
        <w:ind w:left="425"/>
        <w:jc w:val="left"/>
        <w:rPr>
          <w:rFonts w:hint="eastAsia" w:ascii="楷体" w:hAnsi="楷体" w:eastAsia="楷体" w:cs="宋体"/>
          <w:kern w:val="0"/>
          <w:sz w:val="22"/>
          <w:szCs w:val="22"/>
        </w:rPr>
      </w:pPr>
      <w:r>
        <w:rPr>
          <w:rFonts w:hint="eastAsia" w:ascii="楷体" w:hAnsi="楷体" w:eastAsia="楷体" w:cs="宋体"/>
          <w:kern w:val="0"/>
          <w:sz w:val="22"/>
          <w:szCs w:val="22"/>
        </w:rPr>
        <w:t>2.6</w:t>
      </w:r>
      <w:r>
        <w:rPr>
          <w:rFonts w:ascii="楷体" w:hAnsi="楷体" w:eastAsia="楷体" w:cs="宋体"/>
          <w:kern w:val="0"/>
          <w:sz w:val="22"/>
          <w:szCs w:val="22"/>
        </w:rPr>
        <w:t>本项目谢绝联合体形式投标</w:t>
      </w:r>
      <w:r>
        <w:rPr>
          <w:rFonts w:hint="eastAsia" w:ascii="楷体" w:hAnsi="楷体" w:eastAsia="楷体" w:cs="宋体"/>
          <w:kern w:val="0"/>
          <w:sz w:val="22"/>
          <w:szCs w:val="22"/>
        </w:rPr>
        <w:t>。</w:t>
      </w:r>
    </w:p>
    <w:p>
      <w:pPr>
        <w:numPr>
          <w:ilvl w:val="0"/>
          <w:numId w:val="2"/>
        </w:numPr>
        <w:tabs>
          <w:tab w:val="left" w:pos="540"/>
          <w:tab w:val="left" w:pos="90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投标人代表</w:t>
      </w:r>
    </w:p>
    <w:p>
      <w:pPr>
        <w:spacing w:line="360" w:lineRule="exact"/>
        <w:ind w:left="538" w:leftChars="256"/>
        <w:rPr>
          <w:rFonts w:hint="eastAsia" w:ascii="楷体" w:hAnsi="楷体" w:eastAsia="楷体"/>
          <w:sz w:val="22"/>
          <w:szCs w:val="22"/>
        </w:rPr>
      </w:pPr>
      <w:r>
        <w:rPr>
          <w:rFonts w:hint="eastAsia" w:ascii="楷体" w:hAnsi="楷体" w:eastAsia="楷体"/>
          <w:sz w:val="22"/>
          <w:szCs w:val="22"/>
        </w:rPr>
        <w:t>指全权代表投标人参加投标活动并签署投标文件的人。如果投标人代表不是法定代表人，须持有《法定代表人授权书》。</w:t>
      </w:r>
    </w:p>
    <w:p>
      <w:pPr>
        <w:numPr>
          <w:ilvl w:val="0"/>
          <w:numId w:val="2"/>
        </w:numPr>
        <w:tabs>
          <w:tab w:val="left" w:pos="540"/>
          <w:tab w:val="left" w:pos="90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投标费用</w:t>
      </w:r>
    </w:p>
    <w:p>
      <w:pPr>
        <w:spacing w:line="360" w:lineRule="exact"/>
        <w:ind w:left="538" w:leftChars="256"/>
        <w:rPr>
          <w:rFonts w:hint="eastAsia" w:ascii="楷体" w:hAnsi="楷体" w:eastAsia="楷体"/>
          <w:sz w:val="22"/>
          <w:szCs w:val="22"/>
        </w:rPr>
      </w:pPr>
      <w:r>
        <w:rPr>
          <w:rFonts w:hint="eastAsia" w:ascii="楷体" w:hAnsi="楷体" w:eastAsia="楷体"/>
          <w:sz w:val="22"/>
          <w:szCs w:val="22"/>
        </w:rPr>
        <w:t>投标人应承担所有与准备和参加投标有关费用，不论投标的结果如何，招标人和招标代理机构均无义务和责任承担这些费用。</w:t>
      </w:r>
    </w:p>
    <w:p>
      <w:pPr>
        <w:spacing w:before="100" w:beforeAutospacing="1" w:after="100" w:afterAutospacing="1" w:line="360" w:lineRule="exact"/>
        <w:jc w:val="center"/>
        <w:outlineLvl w:val="0"/>
        <w:rPr>
          <w:rFonts w:hint="eastAsia" w:ascii="楷体" w:hAnsi="楷体" w:eastAsia="楷体"/>
          <w:b/>
          <w:bCs/>
          <w:sz w:val="26"/>
          <w:szCs w:val="26"/>
        </w:rPr>
      </w:pPr>
      <w:bookmarkStart w:id="56" w:name="_Toc221423617"/>
      <w:bookmarkStart w:id="57" w:name="_Toc221356884"/>
      <w:bookmarkStart w:id="58" w:name="_Toc249758710"/>
      <w:bookmarkStart w:id="59" w:name="_Toc262049416"/>
      <w:bookmarkStart w:id="60" w:name="_Toc245191312"/>
      <w:bookmarkStart w:id="61" w:name="_Toc262105501"/>
      <w:bookmarkStart w:id="62" w:name="_Toc249758862"/>
      <w:bookmarkStart w:id="63" w:name="_Toc32101"/>
      <w:bookmarkStart w:id="64" w:name="_Toc223715996"/>
      <w:bookmarkStart w:id="65" w:name="_Toc245722279"/>
      <w:bookmarkStart w:id="66" w:name="_Toc246261263"/>
      <w:bookmarkStart w:id="67" w:name="_Toc221374624"/>
      <w:bookmarkStart w:id="68" w:name="_Toc241404200"/>
      <w:bookmarkStart w:id="69" w:name="_Toc239145352"/>
      <w:bookmarkStart w:id="70" w:name="_Toc221356949"/>
      <w:bookmarkStart w:id="71" w:name="_Toc222114877"/>
      <w:r>
        <w:rPr>
          <w:rFonts w:hint="eastAsia" w:ascii="楷体" w:hAnsi="楷体" w:eastAsia="楷体"/>
          <w:b/>
          <w:bCs/>
          <w:sz w:val="26"/>
          <w:szCs w:val="26"/>
        </w:rPr>
        <w:t>二、 招标文件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numPr>
          <w:ilvl w:val="0"/>
          <w:numId w:val="3"/>
        </w:numPr>
        <w:tabs>
          <w:tab w:val="left" w:pos="540"/>
        </w:tabs>
        <w:spacing w:line="360" w:lineRule="exact"/>
        <w:rPr>
          <w:rFonts w:hint="eastAsia" w:ascii="楷体" w:hAnsi="楷体" w:eastAsia="楷体"/>
          <w:sz w:val="22"/>
          <w:szCs w:val="22"/>
        </w:rPr>
      </w:pPr>
      <w:r>
        <w:rPr>
          <w:rFonts w:hint="eastAsia" w:ascii="楷体" w:hAnsi="楷体" w:eastAsia="楷体"/>
          <w:sz w:val="22"/>
          <w:szCs w:val="22"/>
        </w:rPr>
        <w:t>招标文件由招标文件目录所列内容及相关资料组成。</w:t>
      </w:r>
    </w:p>
    <w:p>
      <w:pPr>
        <w:numPr>
          <w:ilvl w:val="0"/>
          <w:numId w:val="3"/>
        </w:numPr>
        <w:tabs>
          <w:tab w:val="left" w:pos="54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招标文件的澄清</w:t>
      </w:r>
    </w:p>
    <w:p>
      <w:pPr>
        <w:tabs>
          <w:tab w:val="left" w:pos="540"/>
        </w:tabs>
        <w:spacing w:line="360" w:lineRule="exact"/>
        <w:rPr>
          <w:rFonts w:hint="eastAsia" w:ascii="楷体" w:hAnsi="楷体" w:eastAsia="楷体"/>
          <w:spacing w:val="6"/>
          <w:sz w:val="22"/>
          <w:szCs w:val="22"/>
        </w:rPr>
      </w:pPr>
      <w:r>
        <w:rPr>
          <w:rFonts w:hint="eastAsia" w:ascii="楷体" w:hAnsi="楷体" w:eastAsia="楷体"/>
          <w:spacing w:val="6"/>
          <w:sz w:val="22"/>
          <w:szCs w:val="22"/>
        </w:rPr>
        <w:t>6.1供应商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tabs>
          <w:tab w:val="left" w:pos="540"/>
        </w:tabs>
        <w:spacing w:line="360" w:lineRule="exact"/>
        <w:rPr>
          <w:rFonts w:hint="eastAsia" w:ascii="楷体" w:hAnsi="楷体" w:eastAsia="楷体"/>
          <w:spacing w:val="6"/>
          <w:sz w:val="22"/>
          <w:szCs w:val="22"/>
        </w:rPr>
      </w:pPr>
      <w:r>
        <w:rPr>
          <w:rFonts w:hint="eastAsia" w:ascii="楷体" w:hAnsi="楷体" w:eastAsia="楷体"/>
          <w:spacing w:val="6"/>
          <w:sz w:val="22"/>
          <w:szCs w:val="22"/>
        </w:rPr>
        <w:t>6.2 招标文件发售截止时间之后潜在供应商仍然可以购买招标文件，但该供应商如对招标文件有疑问应按招标文件规定的询疑截止时间前提出，逾期提出的，采购组织机构可以不予受理、答复。</w:t>
      </w:r>
    </w:p>
    <w:p>
      <w:pPr>
        <w:numPr>
          <w:ilvl w:val="0"/>
          <w:numId w:val="3"/>
        </w:numPr>
        <w:tabs>
          <w:tab w:val="left" w:pos="540"/>
          <w:tab w:val="clear" w:pos="420"/>
        </w:tabs>
        <w:spacing w:line="360" w:lineRule="exact"/>
        <w:ind w:left="540" w:hanging="540"/>
        <w:rPr>
          <w:rFonts w:hint="eastAsia" w:ascii="楷体" w:hAnsi="楷体" w:eastAsia="楷体"/>
          <w:sz w:val="22"/>
          <w:szCs w:val="22"/>
        </w:rPr>
      </w:pPr>
      <w:r>
        <w:rPr>
          <w:rFonts w:hint="eastAsia" w:ascii="楷体" w:hAnsi="楷体" w:eastAsia="楷体"/>
          <w:sz w:val="22"/>
          <w:szCs w:val="22"/>
        </w:rPr>
        <w:t>招标文件的修改</w:t>
      </w:r>
    </w:p>
    <w:p>
      <w:pPr>
        <w:numPr>
          <w:ilvl w:val="1"/>
          <w:numId w:val="4"/>
        </w:numPr>
        <w:spacing w:line="360" w:lineRule="exact"/>
        <w:rPr>
          <w:rFonts w:hint="eastAsia" w:ascii="楷体" w:hAnsi="楷体" w:eastAsia="楷体"/>
          <w:sz w:val="22"/>
          <w:szCs w:val="22"/>
        </w:rPr>
      </w:pPr>
      <w:r>
        <w:rPr>
          <w:rFonts w:hint="eastAsia" w:ascii="楷体" w:hAnsi="楷体" w:eastAsia="楷体"/>
          <w:sz w:val="22"/>
          <w:szCs w:val="22"/>
        </w:rPr>
        <w:t xml:space="preserve"> 在投标截止期十五天前，招标人无论是出于何种原因，均可对招标文件用补充文件的方式进行修改，并</w:t>
      </w:r>
      <w:r>
        <w:rPr>
          <w:rFonts w:ascii="楷体" w:hAnsi="楷体" w:eastAsia="楷体"/>
          <w:sz w:val="22"/>
          <w:szCs w:val="22"/>
        </w:rPr>
        <w:t>在政府采购指定信息发布媒体</w:t>
      </w:r>
      <w:r>
        <w:rPr>
          <w:rFonts w:hint="eastAsia" w:ascii="楷体" w:hAnsi="楷体" w:eastAsia="楷体"/>
          <w:sz w:val="22"/>
          <w:szCs w:val="22"/>
        </w:rPr>
        <w:t>（浙江政府采购网）</w:t>
      </w:r>
      <w:r>
        <w:rPr>
          <w:rFonts w:ascii="楷体" w:hAnsi="楷体" w:eastAsia="楷体"/>
          <w:sz w:val="22"/>
          <w:szCs w:val="22"/>
        </w:rPr>
        <w:t>上</w:t>
      </w:r>
      <w:r>
        <w:rPr>
          <w:rFonts w:hint="eastAsia" w:ascii="楷体" w:hAnsi="楷体" w:eastAsia="楷体"/>
          <w:sz w:val="22"/>
          <w:szCs w:val="22"/>
        </w:rPr>
        <w:t>发布更正公告。该澄清和修改的内容为招标文件的组成部分。招标人可以视采购具体情况在招标文件要求提交截止时间三天前，作出延长投标截止时间和开标时间的决定，并将变更时间书面通知所有招标文件收受人，并</w:t>
      </w:r>
      <w:r>
        <w:rPr>
          <w:rFonts w:ascii="楷体" w:hAnsi="楷体" w:eastAsia="楷体"/>
          <w:sz w:val="22"/>
          <w:szCs w:val="22"/>
        </w:rPr>
        <w:t>在政府采购</w:t>
      </w:r>
      <w:r>
        <w:rPr>
          <w:rFonts w:hint="eastAsia" w:ascii="楷体" w:hAnsi="楷体" w:eastAsia="楷体"/>
          <w:sz w:val="22"/>
          <w:szCs w:val="22"/>
        </w:rPr>
        <w:t>（浙江政府采购网）</w:t>
      </w:r>
      <w:r>
        <w:rPr>
          <w:rFonts w:ascii="楷体" w:hAnsi="楷体" w:eastAsia="楷体"/>
          <w:sz w:val="22"/>
          <w:szCs w:val="22"/>
        </w:rPr>
        <w:t>指定信息发布媒体上</w:t>
      </w:r>
      <w:r>
        <w:rPr>
          <w:rFonts w:hint="eastAsia" w:ascii="楷体" w:hAnsi="楷体" w:eastAsia="楷体"/>
          <w:sz w:val="22"/>
          <w:szCs w:val="22"/>
        </w:rPr>
        <w:t>发布变更公告。</w:t>
      </w:r>
    </w:p>
    <w:p>
      <w:pPr>
        <w:numPr>
          <w:ilvl w:val="1"/>
          <w:numId w:val="5"/>
        </w:numPr>
        <w:spacing w:line="360" w:lineRule="exact"/>
        <w:rPr>
          <w:rFonts w:hint="eastAsia" w:ascii="楷体" w:hAnsi="楷体" w:eastAsia="楷体"/>
          <w:sz w:val="22"/>
          <w:szCs w:val="22"/>
        </w:rPr>
      </w:pPr>
      <w:r>
        <w:rPr>
          <w:rFonts w:hint="eastAsia" w:ascii="楷体" w:hAnsi="楷体" w:eastAsia="楷体"/>
          <w:sz w:val="22"/>
          <w:szCs w:val="22"/>
        </w:rPr>
        <w:t xml:space="preserve"> 投标人收到澄清和修改的补充文件，应立即以书面形式回复确认已收到补充文件。</w:t>
      </w:r>
    </w:p>
    <w:p>
      <w:pPr>
        <w:spacing w:before="100" w:beforeAutospacing="1" w:after="100" w:afterAutospacing="1" w:line="360" w:lineRule="exact"/>
        <w:jc w:val="center"/>
        <w:outlineLvl w:val="0"/>
        <w:rPr>
          <w:rFonts w:hint="eastAsia" w:ascii="楷体" w:hAnsi="楷体" w:eastAsia="楷体"/>
          <w:b/>
          <w:bCs/>
          <w:sz w:val="26"/>
          <w:szCs w:val="26"/>
        </w:rPr>
      </w:pPr>
      <w:bookmarkStart w:id="72" w:name="_Toc221356885"/>
      <w:bookmarkStart w:id="73" w:name="_Toc221423618"/>
      <w:bookmarkStart w:id="74" w:name="_Toc222114878"/>
      <w:bookmarkStart w:id="75" w:name="_Toc239145353"/>
      <w:bookmarkStart w:id="76" w:name="_Toc241404201"/>
      <w:bookmarkStart w:id="77" w:name="_Toc245191313"/>
      <w:bookmarkStart w:id="78" w:name="_Toc223715997"/>
      <w:bookmarkStart w:id="79" w:name="_Toc221356950"/>
      <w:bookmarkStart w:id="80" w:name="_Toc221374625"/>
      <w:bookmarkStart w:id="81" w:name="_Toc245722280"/>
      <w:bookmarkStart w:id="82" w:name="_Toc262049417"/>
      <w:bookmarkStart w:id="83" w:name="_Toc246261264"/>
      <w:bookmarkStart w:id="84" w:name="_Toc262105502"/>
      <w:bookmarkStart w:id="85" w:name="_Toc249758863"/>
      <w:bookmarkStart w:id="86" w:name="_Toc11007"/>
      <w:bookmarkStart w:id="87" w:name="_Toc249758711"/>
      <w:r>
        <w:rPr>
          <w:rFonts w:hint="eastAsia" w:ascii="楷体" w:hAnsi="楷体" w:eastAsia="楷体"/>
          <w:b/>
          <w:bCs/>
          <w:sz w:val="26"/>
          <w:szCs w:val="26"/>
        </w:rPr>
        <w:t>三、 投标文件的编制</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numPr>
          <w:ilvl w:val="0"/>
          <w:numId w:val="6"/>
        </w:numPr>
        <w:tabs>
          <w:tab w:val="left" w:pos="540"/>
        </w:tabs>
        <w:spacing w:line="360" w:lineRule="exact"/>
        <w:ind w:left="440" w:hanging="440" w:hangingChars="200"/>
        <w:rPr>
          <w:rFonts w:hint="eastAsia" w:ascii="楷体" w:hAnsi="楷体" w:eastAsia="楷体"/>
          <w:sz w:val="22"/>
          <w:szCs w:val="22"/>
        </w:rPr>
      </w:pPr>
      <w:r>
        <w:rPr>
          <w:rFonts w:hint="eastAsia" w:ascii="楷体" w:hAnsi="楷体" w:eastAsia="楷体"/>
          <w:sz w:val="22"/>
          <w:szCs w:val="22"/>
        </w:rPr>
        <w:t>投标人应认真阅读招标文件中所有事项格式、条款和技术规范等。投标人没有按照招标文件要求提交全部资料，或者没有对招标文件各个方面做出实质性响应，导致投标被拒绝的风险由投标人自行承担。</w:t>
      </w:r>
    </w:p>
    <w:p>
      <w:pPr>
        <w:numPr>
          <w:ilvl w:val="0"/>
          <w:numId w:val="6"/>
        </w:numPr>
        <w:tabs>
          <w:tab w:val="left" w:pos="540"/>
        </w:tabs>
        <w:spacing w:line="360" w:lineRule="exact"/>
        <w:ind w:left="440" w:hanging="440" w:hangingChars="200"/>
        <w:rPr>
          <w:rFonts w:hint="eastAsia" w:ascii="楷体" w:hAnsi="楷体" w:eastAsia="楷体"/>
          <w:sz w:val="22"/>
          <w:szCs w:val="22"/>
        </w:rPr>
      </w:pPr>
      <w:r>
        <w:rPr>
          <w:rFonts w:hint="eastAsia" w:ascii="楷体" w:hAnsi="楷体" w:eastAsia="楷体"/>
          <w:sz w:val="22"/>
          <w:szCs w:val="22"/>
        </w:rPr>
        <w:t>投标人应保证所提供文件资料的真实性，所有文件资料必须是针对本次投标的。如发现投标人提供了虚假文件资料，其投标将被拒绝，并自行承担相应的法律责任。</w:t>
      </w:r>
    </w:p>
    <w:p>
      <w:pPr>
        <w:numPr>
          <w:ilvl w:val="0"/>
          <w:numId w:val="6"/>
        </w:numPr>
        <w:tabs>
          <w:tab w:val="left" w:pos="540"/>
        </w:tabs>
        <w:spacing w:line="360" w:lineRule="exact"/>
        <w:ind w:left="440" w:hanging="440" w:hangingChars="200"/>
        <w:rPr>
          <w:rFonts w:hint="eastAsia" w:ascii="楷体" w:hAnsi="楷体" w:eastAsia="楷体"/>
          <w:sz w:val="22"/>
          <w:szCs w:val="22"/>
        </w:rPr>
      </w:pPr>
      <w:r>
        <w:rPr>
          <w:rFonts w:hint="eastAsia" w:ascii="楷体" w:hAnsi="楷体" w:eastAsia="楷体"/>
          <w:sz w:val="22"/>
          <w:szCs w:val="22"/>
        </w:rPr>
        <w:t>投标文件的构成：</w:t>
      </w:r>
    </w:p>
    <w:p>
      <w:pPr>
        <w:numPr>
          <w:ilvl w:val="1"/>
          <w:numId w:val="7"/>
        </w:numPr>
        <w:tabs>
          <w:tab w:val="left" w:pos="360"/>
          <w:tab w:val="clear" w:pos="992"/>
        </w:tabs>
        <w:spacing w:line="360" w:lineRule="exact"/>
        <w:ind w:left="360" w:hanging="360"/>
        <w:rPr>
          <w:rFonts w:hint="eastAsia" w:ascii="楷体" w:hAnsi="楷体" w:eastAsia="楷体"/>
          <w:sz w:val="22"/>
          <w:szCs w:val="22"/>
        </w:rPr>
      </w:pPr>
      <w:r>
        <w:rPr>
          <w:rFonts w:hint="eastAsia" w:ascii="楷体" w:hAnsi="楷体" w:eastAsia="楷体"/>
          <w:sz w:val="22"/>
          <w:szCs w:val="22"/>
        </w:rPr>
        <w:t>投标文件由技术资信标、商务标和证书原件三部分构成：</w:t>
      </w:r>
    </w:p>
    <w:p>
      <w:pPr>
        <w:numPr>
          <w:ilvl w:val="0"/>
          <w:numId w:val="8"/>
        </w:numPr>
        <w:spacing w:line="360" w:lineRule="exact"/>
        <w:rPr>
          <w:rFonts w:hint="eastAsia" w:ascii="楷体" w:hAnsi="楷体" w:eastAsia="楷体"/>
          <w:b/>
          <w:sz w:val="22"/>
          <w:szCs w:val="22"/>
        </w:rPr>
      </w:pPr>
      <w:r>
        <w:rPr>
          <w:rFonts w:hint="eastAsia" w:ascii="楷体" w:hAnsi="楷体" w:eastAsia="楷体"/>
          <w:b/>
          <w:sz w:val="22"/>
          <w:szCs w:val="22"/>
        </w:rPr>
        <w:t>技术资信标</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803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序号</w:t>
            </w:r>
          </w:p>
        </w:tc>
        <w:tc>
          <w:tcPr>
            <w:tcW w:w="8031"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内容</w:t>
            </w:r>
          </w:p>
        </w:tc>
        <w:tc>
          <w:tcPr>
            <w:tcW w:w="1106"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1)</w:t>
            </w:r>
          </w:p>
        </w:tc>
        <w:tc>
          <w:tcPr>
            <w:tcW w:w="8031"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投标函</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2）</w:t>
            </w:r>
          </w:p>
        </w:tc>
        <w:tc>
          <w:tcPr>
            <w:tcW w:w="8031"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技术规格、商务条款偏离表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3）</w:t>
            </w:r>
          </w:p>
        </w:tc>
        <w:tc>
          <w:tcPr>
            <w:tcW w:w="8031" w:type="dxa"/>
            <w:noWrap w:val="0"/>
            <w:vAlign w:val="center"/>
          </w:tcPr>
          <w:p>
            <w:pPr>
              <w:tabs>
                <w:tab w:val="left" w:pos="780"/>
                <w:tab w:val="left" w:pos="5355"/>
              </w:tabs>
              <w:spacing w:line="360" w:lineRule="exact"/>
              <w:rPr>
                <w:rFonts w:hint="eastAsia" w:ascii="楷体" w:hAnsi="楷体" w:eastAsia="楷体"/>
                <w:sz w:val="22"/>
                <w:szCs w:val="22"/>
              </w:rPr>
            </w:pPr>
            <w:r>
              <w:rPr>
                <w:rFonts w:hint="eastAsia" w:ascii="楷体" w:hAnsi="楷体" w:eastAsia="楷体"/>
                <w:b/>
                <w:bCs/>
                <w:sz w:val="22"/>
                <w:szCs w:val="22"/>
              </w:rPr>
              <w:t>▲</w:t>
            </w:r>
            <w:r>
              <w:rPr>
                <w:rFonts w:hint="eastAsia" w:ascii="楷体" w:hAnsi="楷体" w:eastAsia="楷体"/>
                <w:b/>
                <w:sz w:val="22"/>
                <w:szCs w:val="22"/>
              </w:rPr>
              <w:t>资格证明文件（本部分为投标人资格审查内容，为实质性要求）</w:t>
            </w:r>
            <w:r>
              <w:rPr>
                <w:rFonts w:hint="eastAsia" w:ascii="楷体" w:hAnsi="楷体" w:eastAsia="楷体"/>
                <w:sz w:val="22"/>
                <w:szCs w:val="22"/>
              </w:rPr>
              <w:t>：</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a)</w:t>
            </w:r>
          </w:p>
        </w:tc>
        <w:tc>
          <w:tcPr>
            <w:tcW w:w="8031" w:type="dxa"/>
            <w:noWrap w:val="0"/>
            <w:vAlign w:val="center"/>
          </w:tcPr>
          <w:p>
            <w:pPr>
              <w:tabs>
                <w:tab w:val="left" w:pos="780"/>
                <w:tab w:val="left" w:pos="5355"/>
              </w:tabs>
              <w:spacing w:line="360" w:lineRule="exact"/>
              <w:rPr>
                <w:rFonts w:hint="eastAsia" w:ascii="楷体" w:hAnsi="楷体" w:eastAsia="楷体"/>
                <w:b/>
                <w:sz w:val="22"/>
                <w:szCs w:val="22"/>
              </w:rPr>
            </w:pPr>
            <w:r>
              <w:rPr>
                <w:rFonts w:hint="eastAsia" w:ascii="楷体" w:hAnsi="楷体" w:eastAsia="楷体"/>
                <w:b/>
                <w:sz w:val="22"/>
                <w:szCs w:val="22"/>
              </w:rPr>
              <w:t xml:space="preserve">法定代表人授权书  </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b)</w:t>
            </w:r>
          </w:p>
        </w:tc>
        <w:tc>
          <w:tcPr>
            <w:tcW w:w="8031" w:type="dxa"/>
            <w:noWrap w:val="0"/>
            <w:vAlign w:val="center"/>
          </w:tcPr>
          <w:p>
            <w:pPr>
              <w:tabs>
                <w:tab w:val="left" w:pos="780"/>
                <w:tab w:val="left" w:pos="5355"/>
              </w:tabs>
              <w:spacing w:line="360" w:lineRule="exact"/>
              <w:rPr>
                <w:rFonts w:hint="eastAsia" w:ascii="楷体" w:hAnsi="楷体" w:eastAsia="楷体"/>
                <w:b/>
                <w:sz w:val="22"/>
                <w:szCs w:val="22"/>
              </w:rPr>
            </w:pPr>
            <w:r>
              <w:rPr>
                <w:rFonts w:hint="eastAsia" w:ascii="楷体" w:hAnsi="楷体" w:eastAsia="楷体"/>
                <w:b/>
                <w:sz w:val="22"/>
                <w:szCs w:val="22"/>
              </w:rPr>
              <w:t>投标人资格声明</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c)</w:t>
            </w:r>
          </w:p>
        </w:tc>
        <w:tc>
          <w:tcPr>
            <w:tcW w:w="8031" w:type="dxa"/>
            <w:noWrap w:val="0"/>
            <w:vAlign w:val="center"/>
          </w:tcPr>
          <w:p>
            <w:pPr>
              <w:tabs>
                <w:tab w:val="left" w:pos="780"/>
                <w:tab w:val="left" w:pos="5355"/>
              </w:tabs>
              <w:spacing w:line="360" w:lineRule="exact"/>
              <w:rPr>
                <w:rFonts w:hint="eastAsia" w:ascii="楷体" w:hAnsi="楷体" w:eastAsia="楷体"/>
                <w:b/>
                <w:sz w:val="22"/>
                <w:szCs w:val="22"/>
              </w:rPr>
            </w:pPr>
            <w:r>
              <w:rPr>
                <w:rFonts w:hint="eastAsia" w:ascii="楷体" w:hAnsi="楷体" w:eastAsia="楷体"/>
                <w:b/>
                <w:sz w:val="22"/>
                <w:szCs w:val="22"/>
              </w:rPr>
              <w:t>投标人有效的营业执照副本、税务登记证</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 xml:space="preserve"> d）</w:t>
            </w:r>
          </w:p>
        </w:tc>
        <w:tc>
          <w:tcPr>
            <w:tcW w:w="8031" w:type="dxa"/>
            <w:noWrap w:val="0"/>
            <w:vAlign w:val="center"/>
          </w:tcPr>
          <w:p>
            <w:pPr>
              <w:tabs>
                <w:tab w:val="left" w:pos="780"/>
                <w:tab w:val="left" w:pos="5355"/>
              </w:tabs>
              <w:spacing w:line="360" w:lineRule="exact"/>
              <w:rPr>
                <w:rFonts w:hint="eastAsia" w:ascii="楷体" w:hAnsi="楷体" w:eastAsia="楷体"/>
                <w:b/>
                <w:sz w:val="22"/>
                <w:szCs w:val="22"/>
              </w:rPr>
            </w:pPr>
            <w:r>
              <w:rPr>
                <w:rFonts w:ascii="楷体" w:hAnsi="楷体" w:eastAsia="楷体"/>
                <w:b/>
                <w:sz w:val="22"/>
                <w:szCs w:val="22"/>
              </w:rPr>
              <w:t>信用记录查询结果</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4）</w:t>
            </w:r>
          </w:p>
        </w:tc>
        <w:tc>
          <w:tcPr>
            <w:tcW w:w="8031" w:type="dxa"/>
            <w:noWrap w:val="0"/>
            <w:vAlign w:val="center"/>
          </w:tcPr>
          <w:p>
            <w:pPr>
              <w:tabs>
                <w:tab w:val="left" w:pos="5355"/>
              </w:tabs>
              <w:spacing w:line="360" w:lineRule="exact"/>
              <w:rPr>
                <w:rFonts w:hint="eastAsia" w:ascii="楷体" w:hAnsi="楷体" w:eastAsia="楷体"/>
                <w:sz w:val="22"/>
                <w:szCs w:val="22"/>
              </w:rPr>
            </w:pPr>
            <w:r>
              <w:rPr>
                <w:rFonts w:hint="eastAsia" w:ascii="楷体" w:hAnsi="楷体" w:eastAsia="楷体"/>
                <w:sz w:val="22"/>
                <w:szCs w:val="22"/>
              </w:rPr>
              <w:t>资信证明文件（本部分为技术资信评分内容，投标人根据自身实际情况提供）</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b)</w:t>
            </w:r>
          </w:p>
        </w:tc>
        <w:tc>
          <w:tcPr>
            <w:tcW w:w="8031" w:type="dxa"/>
            <w:noWrap w:val="0"/>
            <w:vAlign w:val="center"/>
          </w:tcPr>
          <w:p>
            <w:pPr>
              <w:tabs>
                <w:tab w:val="left" w:pos="5355"/>
              </w:tabs>
              <w:spacing w:line="360" w:lineRule="exact"/>
              <w:rPr>
                <w:rFonts w:ascii="楷体" w:hAnsi="楷体" w:eastAsia="楷体"/>
                <w:sz w:val="22"/>
                <w:szCs w:val="22"/>
              </w:rPr>
            </w:pPr>
            <w:r>
              <w:rPr>
                <w:rFonts w:hint="eastAsia" w:ascii="楷体" w:hAnsi="楷体" w:eastAsia="楷体"/>
                <w:sz w:val="22"/>
                <w:szCs w:val="22"/>
              </w:rPr>
              <w:t>诚信投标承诺书</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c)</w:t>
            </w:r>
          </w:p>
        </w:tc>
        <w:tc>
          <w:tcPr>
            <w:tcW w:w="8031" w:type="dxa"/>
            <w:noWrap w:val="0"/>
            <w:vAlign w:val="center"/>
          </w:tcPr>
          <w:p>
            <w:pPr>
              <w:tabs>
                <w:tab w:val="left" w:pos="5355"/>
              </w:tabs>
              <w:spacing w:line="360" w:lineRule="exact"/>
              <w:rPr>
                <w:rFonts w:hint="eastAsia" w:ascii="楷体" w:hAnsi="楷体" w:eastAsia="楷体"/>
                <w:sz w:val="22"/>
                <w:szCs w:val="22"/>
              </w:rPr>
            </w:pPr>
            <w:r>
              <w:rPr>
                <w:rFonts w:hint="eastAsia" w:ascii="楷体" w:hAnsi="楷体" w:eastAsia="楷体"/>
                <w:sz w:val="22"/>
                <w:szCs w:val="22"/>
              </w:rPr>
              <w:t>投标人近三年内（2016年6月1日至今）道路保洁服务业绩表(如有)</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5）</w:t>
            </w:r>
          </w:p>
        </w:tc>
        <w:tc>
          <w:tcPr>
            <w:tcW w:w="8031" w:type="dxa"/>
            <w:noWrap w:val="0"/>
            <w:vAlign w:val="center"/>
          </w:tcPr>
          <w:p>
            <w:pPr>
              <w:tabs>
                <w:tab w:val="left" w:pos="5355"/>
              </w:tabs>
              <w:spacing w:line="360" w:lineRule="exact"/>
              <w:rPr>
                <w:rFonts w:hint="eastAsia" w:ascii="楷体" w:hAnsi="楷体" w:eastAsia="楷体"/>
                <w:sz w:val="22"/>
                <w:szCs w:val="22"/>
              </w:rPr>
            </w:pPr>
            <w:r>
              <w:rPr>
                <w:rFonts w:hint="eastAsia" w:ascii="楷体" w:hAnsi="楷体" w:eastAsia="楷体"/>
                <w:sz w:val="22"/>
                <w:szCs w:val="22"/>
              </w:rPr>
              <w:t>针对本次道路及楼道清扫保洁和小广告清理服务组织实施方案，包含并不仅限以下内容：</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a)</w:t>
            </w:r>
          </w:p>
        </w:tc>
        <w:tc>
          <w:tcPr>
            <w:tcW w:w="8031" w:type="dxa"/>
            <w:noWrap w:val="0"/>
            <w:vAlign w:val="center"/>
          </w:tcPr>
          <w:p>
            <w:pPr>
              <w:tabs>
                <w:tab w:val="left" w:pos="5355"/>
              </w:tabs>
              <w:spacing w:line="360" w:lineRule="exact"/>
              <w:rPr>
                <w:rFonts w:hint="eastAsia" w:ascii="楷体" w:hAnsi="楷体" w:eastAsia="楷体"/>
                <w:color w:val="FF0000"/>
                <w:sz w:val="22"/>
                <w:szCs w:val="22"/>
              </w:rPr>
            </w:pPr>
            <w:r>
              <w:rPr>
                <w:rFonts w:hint="eastAsia" w:ascii="楷体" w:hAnsi="楷体" w:eastAsia="楷体"/>
                <w:color w:val="FF0000"/>
                <w:sz w:val="22"/>
                <w:szCs w:val="22"/>
              </w:rPr>
              <w:t>拟派项目负责人简历表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附件六-1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ascii="楷体" w:hAnsi="楷体" w:eastAsia="楷体"/>
                <w:sz w:val="22"/>
                <w:szCs w:val="22"/>
              </w:rPr>
              <w:t>b)</w:t>
            </w:r>
          </w:p>
        </w:tc>
        <w:tc>
          <w:tcPr>
            <w:tcW w:w="8031" w:type="dxa"/>
            <w:noWrap w:val="0"/>
            <w:vAlign w:val="center"/>
          </w:tcPr>
          <w:p>
            <w:pPr>
              <w:tabs>
                <w:tab w:val="left" w:pos="5355"/>
              </w:tabs>
              <w:spacing w:line="360" w:lineRule="exact"/>
              <w:rPr>
                <w:rFonts w:hint="eastAsia" w:ascii="楷体" w:hAnsi="楷体" w:eastAsia="楷体"/>
                <w:color w:val="FF0000"/>
                <w:sz w:val="22"/>
                <w:szCs w:val="22"/>
              </w:rPr>
            </w:pPr>
            <w:r>
              <w:rPr>
                <w:rFonts w:ascii="楷体" w:hAnsi="楷体" w:eastAsia="楷体"/>
                <w:color w:val="FF0000"/>
                <w:sz w:val="22"/>
                <w:szCs w:val="22"/>
              </w:rPr>
              <w:t>拟派项目服务人员汇总表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附件六-2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c)</w:t>
            </w:r>
          </w:p>
        </w:tc>
        <w:tc>
          <w:tcPr>
            <w:tcW w:w="8031" w:type="dxa"/>
            <w:noWrap w:val="0"/>
            <w:vAlign w:val="center"/>
          </w:tcPr>
          <w:p>
            <w:pPr>
              <w:tabs>
                <w:tab w:val="left" w:pos="5355"/>
              </w:tabs>
              <w:spacing w:line="360" w:lineRule="exact"/>
              <w:rPr>
                <w:rFonts w:hint="eastAsia" w:ascii="楷体" w:hAnsi="楷体" w:eastAsia="楷体"/>
                <w:color w:val="FF0000"/>
                <w:sz w:val="22"/>
                <w:szCs w:val="22"/>
              </w:rPr>
            </w:pPr>
            <w:r>
              <w:rPr>
                <w:rFonts w:hint="eastAsia" w:ascii="楷体" w:hAnsi="楷体" w:eastAsia="楷体"/>
                <w:color w:val="FF0000"/>
                <w:sz w:val="22"/>
                <w:szCs w:val="22"/>
              </w:rPr>
              <w:t>对本项目道路清扫保洁工作的现状调查与问题剖析</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d)</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保洁质量安全、组织管理体系、监管考核配合方案</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e)</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参与投标的单位与现有清扫保洁服务单位对接(过渡)方案</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f)</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清扫保洁具体实施计划和方案及保洁作业力量</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g)</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五马历史文化商业街区道路保洁方案</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h)</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应对突发事情的响应及处理方案</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i)</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拟设立的各项管理规章制度及档案资料的建立管理</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j）</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微信管理方案</w:t>
            </w:r>
          </w:p>
        </w:tc>
        <w:tc>
          <w:tcPr>
            <w:tcW w:w="1106"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 xml:space="preserve"> 6）</w:t>
            </w:r>
          </w:p>
        </w:tc>
        <w:tc>
          <w:tcPr>
            <w:tcW w:w="8031" w:type="dxa"/>
            <w:noWrap w:val="0"/>
            <w:vAlign w:val="center"/>
          </w:tcPr>
          <w:p>
            <w:pPr>
              <w:tabs>
                <w:tab w:val="left" w:pos="5355"/>
              </w:tabs>
              <w:spacing w:line="360" w:lineRule="exact"/>
              <w:rPr>
                <w:rFonts w:hint="eastAsia" w:ascii="楷体" w:hAnsi="楷体" w:eastAsia="楷体"/>
                <w:color w:val="FF0000"/>
                <w:sz w:val="22"/>
                <w:szCs w:val="22"/>
                <w:lang w:bidi="ar"/>
              </w:rPr>
            </w:pPr>
            <w:r>
              <w:rPr>
                <w:rFonts w:hint="eastAsia" w:ascii="楷体" w:hAnsi="楷体" w:eastAsia="楷体"/>
                <w:color w:val="FF0000"/>
                <w:sz w:val="22"/>
                <w:szCs w:val="22"/>
                <w:lang w:bidi="ar"/>
              </w:rPr>
              <w:t>拟投入已有自有设备工具一览表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7)</w:t>
            </w:r>
          </w:p>
        </w:tc>
        <w:tc>
          <w:tcPr>
            <w:tcW w:w="8031" w:type="dxa"/>
            <w:noWrap w:val="0"/>
            <w:vAlign w:val="center"/>
          </w:tcPr>
          <w:p>
            <w:pPr>
              <w:tabs>
                <w:tab w:val="left" w:pos="5355"/>
              </w:tabs>
              <w:spacing w:line="360" w:lineRule="exact"/>
              <w:rPr>
                <w:rFonts w:hint="eastAsia" w:ascii="楷体" w:hAnsi="楷体" w:eastAsia="楷体"/>
                <w:color w:val="FF0000"/>
                <w:sz w:val="22"/>
                <w:szCs w:val="22"/>
              </w:rPr>
            </w:pPr>
            <w:r>
              <w:rPr>
                <w:rFonts w:hint="eastAsia" w:ascii="楷体" w:hAnsi="楷体" w:eastAsia="楷体"/>
                <w:color w:val="FF0000"/>
                <w:sz w:val="22"/>
                <w:szCs w:val="22"/>
              </w:rPr>
              <w:t>拟投入中标后承诺购买的设备工具一览表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8）</w:t>
            </w:r>
          </w:p>
        </w:tc>
        <w:tc>
          <w:tcPr>
            <w:tcW w:w="8031" w:type="dxa"/>
            <w:noWrap w:val="0"/>
            <w:vAlign w:val="center"/>
          </w:tcPr>
          <w:p>
            <w:pPr>
              <w:tabs>
                <w:tab w:val="left" w:pos="5355"/>
              </w:tabs>
              <w:spacing w:line="360" w:lineRule="exact"/>
              <w:rPr>
                <w:rFonts w:hint="eastAsia" w:ascii="楷体" w:hAnsi="楷体" w:eastAsia="楷体"/>
                <w:color w:val="FF0000"/>
                <w:sz w:val="22"/>
                <w:szCs w:val="22"/>
              </w:rPr>
            </w:pPr>
            <w:r>
              <w:rPr>
                <w:rFonts w:hint="eastAsia" w:ascii="楷体" w:hAnsi="楷体" w:eastAsia="楷体"/>
                <w:color w:val="FF0000"/>
                <w:sz w:val="22"/>
                <w:szCs w:val="22"/>
              </w:rPr>
              <w:t>拟投入消耗品一览表</w:t>
            </w:r>
          </w:p>
        </w:tc>
        <w:tc>
          <w:tcPr>
            <w:tcW w:w="1106"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附件八</w:t>
            </w:r>
          </w:p>
        </w:tc>
      </w:tr>
    </w:tbl>
    <w:p>
      <w:pPr>
        <w:tabs>
          <w:tab w:val="left" w:pos="360"/>
        </w:tabs>
        <w:spacing w:line="360" w:lineRule="exact"/>
        <w:rPr>
          <w:rFonts w:hint="eastAsia" w:ascii="楷体" w:hAnsi="楷体" w:eastAsia="楷体"/>
          <w:b/>
          <w:sz w:val="22"/>
          <w:szCs w:val="22"/>
        </w:rPr>
      </w:pPr>
      <w:r>
        <w:rPr>
          <w:rFonts w:hint="eastAsia" w:ascii="楷体" w:hAnsi="楷体" w:eastAsia="楷体"/>
          <w:b/>
          <w:sz w:val="22"/>
          <w:szCs w:val="22"/>
        </w:rPr>
        <w:t>说明：</w:t>
      </w:r>
    </w:p>
    <w:p>
      <w:pPr>
        <w:spacing w:line="360" w:lineRule="exact"/>
        <w:rPr>
          <w:rFonts w:hint="eastAsia" w:ascii="楷体" w:hAnsi="楷体" w:eastAsia="楷体" w:cs="仿宋_GB2312"/>
          <w:sz w:val="22"/>
          <w:szCs w:val="22"/>
        </w:rPr>
      </w:pPr>
      <w:r>
        <w:rPr>
          <w:rFonts w:hint="eastAsia" w:ascii="楷体" w:hAnsi="楷体" w:eastAsia="楷体" w:cs="仿宋_GB2312"/>
          <w:sz w:val="22"/>
          <w:szCs w:val="22"/>
        </w:rPr>
        <w:t>1）投标人可在投标文件中对招标货物/服务的技术规格和要求选用替代标准，但这些替代标准必须相等于或优于招标文件中提出的相应要求，并使招标人满意，同时在技术偏离表中作出详细说明。</w:t>
      </w:r>
    </w:p>
    <w:p>
      <w:pPr>
        <w:spacing w:line="360" w:lineRule="exact"/>
        <w:rPr>
          <w:rFonts w:hint="eastAsia" w:ascii="楷体" w:hAnsi="楷体" w:eastAsia="楷体" w:cs="仿宋_GB2312"/>
          <w:sz w:val="22"/>
          <w:szCs w:val="22"/>
        </w:rPr>
      </w:pPr>
      <w:r>
        <w:rPr>
          <w:rFonts w:hint="eastAsia" w:ascii="楷体" w:hAnsi="楷体" w:eastAsia="楷体" w:cs="仿宋_GB2312"/>
          <w:sz w:val="22"/>
          <w:szCs w:val="22"/>
        </w:rPr>
        <w:t>2）技术资信标所提供的各种证书、证件、证明、执照等文件的复印件须加盖投标人有效的公章。</w:t>
      </w:r>
    </w:p>
    <w:p>
      <w:pPr>
        <w:spacing w:line="360" w:lineRule="exact"/>
        <w:rPr>
          <w:rFonts w:hint="eastAsia" w:ascii="楷体" w:hAnsi="楷体" w:eastAsia="楷体" w:cs="仿宋_GB2312"/>
          <w:sz w:val="22"/>
          <w:szCs w:val="22"/>
        </w:rPr>
      </w:pPr>
      <w:r>
        <w:rPr>
          <w:rFonts w:hint="eastAsia" w:ascii="楷体" w:hAnsi="楷体" w:eastAsia="楷体" w:cs="仿宋_GB2312"/>
          <w:sz w:val="22"/>
          <w:szCs w:val="22"/>
        </w:rPr>
        <w:t>3）投标人可按评分细则的顺序编制技术资信标，可根据招标文件中的技术资信评分表，提供投标人认为需要提供的文件和资料。</w:t>
      </w:r>
    </w:p>
    <w:p>
      <w:pPr>
        <w:spacing w:line="360" w:lineRule="exact"/>
        <w:rPr>
          <w:rFonts w:hint="eastAsia" w:ascii="楷体" w:hAnsi="楷体" w:eastAsia="楷体"/>
          <w:b/>
          <w:sz w:val="22"/>
          <w:szCs w:val="22"/>
        </w:rPr>
      </w:pPr>
      <w:r>
        <w:rPr>
          <w:rFonts w:hint="eastAsia" w:ascii="楷体" w:hAnsi="楷体" w:eastAsia="楷体"/>
          <w:b/>
          <w:sz w:val="22"/>
          <w:szCs w:val="22"/>
        </w:rPr>
        <w:t>（2）商务（报价）标</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61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序号</w:t>
            </w:r>
          </w:p>
        </w:tc>
        <w:tc>
          <w:tcPr>
            <w:tcW w:w="7613"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内容</w:t>
            </w:r>
          </w:p>
        </w:tc>
        <w:tc>
          <w:tcPr>
            <w:tcW w:w="1524"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1）</w:t>
            </w:r>
          </w:p>
        </w:tc>
        <w:tc>
          <w:tcPr>
            <w:tcW w:w="7613"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开标一览表</w:t>
            </w:r>
          </w:p>
        </w:tc>
        <w:tc>
          <w:tcPr>
            <w:tcW w:w="1524"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2）</w:t>
            </w:r>
          </w:p>
        </w:tc>
        <w:tc>
          <w:tcPr>
            <w:tcW w:w="7613"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投标报价明细表</w:t>
            </w:r>
          </w:p>
        </w:tc>
        <w:tc>
          <w:tcPr>
            <w:tcW w:w="1524"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17"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3）</w:t>
            </w:r>
          </w:p>
        </w:tc>
        <w:tc>
          <w:tcPr>
            <w:tcW w:w="7613" w:type="dxa"/>
            <w:noWrap w:val="0"/>
            <w:vAlign w:val="center"/>
          </w:tcPr>
          <w:p>
            <w:pPr>
              <w:spacing w:line="360" w:lineRule="exact"/>
              <w:rPr>
                <w:rFonts w:hint="eastAsia" w:ascii="楷体" w:hAnsi="楷体" w:eastAsia="楷体"/>
                <w:sz w:val="22"/>
                <w:szCs w:val="22"/>
              </w:rPr>
            </w:pPr>
            <w:r>
              <w:rPr>
                <w:rFonts w:ascii="楷体" w:hAnsi="楷体" w:eastAsia="楷体"/>
                <w:sz w:val="22"/>
                <w:szCs w:val="22"/>
              </w:rPr>
              <w:t>小型、微型企业产品等价格扣除证明材料（若有）</w:t>
            </w:r>
          </w:p>
        </w:tc>
        <w:tc>
          <w:tcPr>
            <w:tcW w:w="1524"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附件（如有）</w:t>
            </w:r>
          </w:p>
        </w:tc>
      </w:tr>
    </w:tbl>
    <w:p>
      <w:pPr>
        <w:spacing w:line="360" w:lineRule="exact"/>
        <w:rPr>
          <w:rFonts w:hint="eastAsia" w:ascii="楷体" w:hAnsi="楷体" w:eastAsia="楷体"/>
          <w:b/>
          <w:sz w:val="22"/>
          <w:szCs w:val="22"/>
        </w:rPr>
      </w:pPr>
      <w:r>
        <w:rPr>
          <w:rFonts w:hint="eastAsia" w:ascii="楷体" w:hAnsi="楷体" w:eastAsia="楷体"/>
          <w:b/>
          <w:sz w:val="22"/>
          <w:szCs w:val="22"/>
        </w:rPr>
        <w:t>（3）</w:t>
      </w:r>
      <w:r>
        <w:rPr>
          <w:rFonts w:ascii="楷体" w:hAnsi="楷体" w:eastAsia="楷体"/>
          <w:b/>
          <w:sz w:val="22"/>
          <w:szCs w:val="22"/>
        </w:rPr>
        <w:t>证照、证件和证明文件原件</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58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49"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序号</w:t>
            </w:r>
          </w:p>
        </w:tc>
        <w:tc>
          <w:tcPr>
            <w:tcW w:w="7581"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内容</w:t>
            </w:r>
          </w:p>
        </w:tc>
        <w:tc>
          <w:tcPr>
            <w:tcW w:w="1524" w:type="dxa"/>
            <w:noWrap w:val="0"/>
            <w:vAlign w:val="center"/>
          </w:tcPr>
          <w:p>
            <w:pPr>
              <w:spacing w:line="360" w:lineRule="exact"/>
              <w:jc w:val="center"/>
              <w:rPr>
                <w:rFonts w:hint="eastAsia" w:ascii="楷体" w:hAnsi="楷体" w:eastAsia="楷体"/>
                <w:b/>
                <w:sz w:val="22"/>
                <w:szCs w:val="22"/>
              </w:rPr>
            </w:pPr>
            <w:r>
              <w:rPr>
                <w:rFonts w:hint="eastAsia" w:ascii="楷体" w:hAnsi="楷体" w:eastAsia="楷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749"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1)</w:t>
            </w:r>
          </w:p>
        </w:tc>
        <w:tc>
          <w:tcPr>
            <w:tcW w:w="7581"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投标人近三年内（2016年6月1日至今）道路保洁服务业绩证明原件（如有，提供合同文本、中标通知书，否则不予认可）</w:t>
            </w:r>
          </w:p>
        </w:tc>
        <w:tc>
          <w:tcPr>
            <w:tcW w:w="1524" w:type="dxa"/>
            <w:noWrap w:val="0"/>
            <w:vAlign w:val="center"/>
          </w:tcPr>
          <w:p>
            <w:pPr>
              <w:spacing w:line="360" w:lineRule="exact"/>
              <w:jc w:val="center"/>
              <w:rPr>
                <w:rFonts w:hint="eastAsia" w:ascii="楷体" w:hAnsi="楷体" w:eastAsia="楷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49"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2）</w:t>
            </w:r>
          </w:p>
        </w:tc>
        <w:tc>
          <w:tcPr>
            <w:tcW w:w="7581"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投标人自有的保洁作业车辆（小型快速保洁车</w:t>
            </w:r>
            <w:r>
              <w:rPr>
                <w:rFonts w:ascii="楷体" w:hAnsi="楷体" w:eastAsia="楷体"/>
                <w:sz w:val="22"/>
                <w:szCs w:val="22"/>
              </w:rPr>
              <w:t>、</w:t>
            </w:r>
            <w:r>
              <w:rPr>
                <w:rFonts w:hint="eastAsia" w:ascii="楷体" w:hAnsi="楷体" w:eastAsia="楷体"/>
                <w:sz w:val="22"/>
                <w:szCs w:val="22"/>
              </w:rPr>
              <w:t>多功能高压清洗车、保洁作业手推车、垃圾运输车等）购车发票原件（如有）或提供购买新车承诺书（附件七-3）</w:t>
            </w:r>
          </w:p>
        </w:tc>
        <w:tc>
          <w:tcPr>
            <w:tcW w:w="1524" w:type="dxa"/>
            <w:noWrap w:val="0"/>
            <w:vAlign w:val="center"/>
          </w:tcPr>
          <w:p>
            <w:pPr>
              <w:spacing w:line="360" w:lineRule="exact"/>
              <w:jc w:val="center"/>
              <w:rPr>
                <w:rFonts w:hint="eastAsia" w:ascii="楷体" w:hAnsi="楷体" w:eastAsia="楷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749"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3）</w:t>
            </w:r>
          </w:p>
        </w:tc>
        <w:tc>
          <w:tcPr>
            <w:tcW w:w="7581" w:type="dxa"/>
            <w:noWrap w:val="0"/>
            <w:vAlign w:val="center"/>
          </w:tcPr>
          <w:p>
            <w:pPr>
              <w:spacing w:line="360" w:lineRule="exact"/>
              <w:rPr>
                <w:rFonts w:hint="eastAsia" w:ascii="楷体" w:hAnsi="楷体" w:eastAsia="楷体"/>
                <w:sz w:val="22"/>
                <w:szCs w:val="22"/>
              </w:rPr>
            </w:pPr>
            <w:r>
              <w:rPr>
                <w:rFonts w:hint="eastAsia" w:ascii="楷体" w:hAnsi="楷体" w:eastAsia="楷体"/>
                <w:sz w:val="22"/>
                <w:szCs w:val="22"/>
              </w:rPr>
              <w:t>技术资信标要求提供的原件材料及投标人认为还需提供的原件材料（如有）</w:t>
            </w:r>
          </w:p>
        </w:tc>
        <w:tc>
          <w:tcPr>
            <w:tcW w:w="1524" w:type="dxa"/>
            <w:noWrap w:val="0"/>
            <w:vAlign w:val="center"/>
          </w:tcPr>
          <w:p>
            <w:pPr>
              <w:spacing w:line="360" w:lineRule="exact"/>
              <w:jc w:val="center"/>
              <w:rPr>
                <w:rFonts w:hint="eastAsia" w:ascii="楷体" w:hAnsi="楷体" w:eastAsia="楷体"/>
                <w:b/>
                <w:sz w:val="22"/>
                <w:szCs w:val="22"/>
              </w:rPr>
            </w:pPr>
          </w:p>
        </w:tc>
      </w:tr>
    </w:tbl>
    <w:p>
      <w:pPr>
        <w:tabs>
          <w:tab w:val="left" w:pos="360"/>
        </w:tabs>
        <w:spacing w:line="360" w:lineRule="exact"/>
        <w:rPr>
          <w:rFonts w:hint="eastAsia" w:ascii="楷体" w:hAnsi="楷体" w:eastAsia="楷体"/>
          <w:b/>
          <w:sz w:val="22"/>
          <w:szCs w:val="22"/>
        </w:rPr>
      </w:pPr>
      <w:bookmarkStart w:id="88" w:name="_Toc221356886"/>
      <w:r>
        <w:rPr>
          <w:rFonts w:hint="eastAsia" w:ascii="楷体" w:hAnsi="楷体" w:eastAsia="楷体"/>
          <w:b/>
          <w:sz w:val="22"/>
          <w:szCs w:val="22"/>
        </w:rPr>
        <w:t>说明：</w:t>
      </w:r>
    </w:p>
    <w:bookmarkEnd w:id="88"/>
    <w:p>
      <w:pPr>
        <w:numPr>
          <w:ilvl w:val="0"/>
          <w:numId w:val="9"/>
        </w:numPr>
        <w:spacing w:line="360" w:lineRule="exact"/>
        <w:rPr>
          <w:rFonts w:hint="eastAsia" w:ascii="楷体" w:hAnsi="楷体" w:eastAsia="楷体" w:cs="仿宋_GB2312"/>
          <w:color w:val="FF0000"/>
          <w:sz w:val="22"/>
          <w:szCs w:val="22"/>
        </w:rPr>
      </w:pPr>
      <w:r>
        <w:rPr>
          <w:rFonts w:hint="eastAsia" w:ascii="楷体" w:hAnsi="楷体" w:eastAsia="楷体" w:cs="仿宋_GB2312"/>
          <w:color w:val="FF0000"/>
          <w:sz w:val="22"/>
          <w:szCs w:val="22"/>
        </w:rPr>
        <w:t>投标人近三年内（2016年6月1日至今）道路保洁服务业绩须同时满足以下所有条件方为有效业绩，否则评分时不予认可：</w:t>
      </w:r>
    </w:p>
    <w:p>
      <w:pPr>
        <w:spacing w:line="360" w:lineRule="exact"/>
        <w:ind w:firstLine="358" w:firstLineChars="163"/>
        <w:rPr>
          <w:rFonts w:hint="eastAsia" w:ascii="楷体" w:hAnsi="楷体" w:eastAsia="楷体" w:cs="仿宋_GB2312"/>
          <w:color w:val="FF0000"/>
          <w:sz w:val="22"/>
          <w:szCs w:val="22"/>
        </w:rPr>
      </w:pPr>
      <w:r>
        <w:rPr>
          <w:rFonts w:hint="eastAsia" w:ascii="楷体" w:hAnsi="楷体" w:eastAsia="楷体" w:cs="仿宋_GB2312"/>
          <w:color w:val="FF0000"/>
          <w:sz w:val="22"/>
          <w:szCs w:val="22"/>
        </w:rPr>
        <w:t>a) 业绩合同要求道路保洁清扫面积须在10万平方米及以上；</w:t>
      </w:r>
    </w:p>
    <w:p>
      <w:pPr>
        <w:spacing w:line="360" w:lineRule="exact"/>
        <w:ind w:left="719" w:leftChars="171" w:hanging="360" w:hangingChars="164"/>
        <w:rPr>
          <w:rFonts w:hint="eastAsia" w:ascii="楷体" w:hAnsi="楷体" w:eastAsia="楷体" w:cs="仿宋_GB2312"/>
          <w:color w:val="FF0000"/>
          <w:sz w:val="22"/>
          <w:szCs w:val="22"/>
        </w:rPr>
      </w:pPr>
      <w:r>
        <w:rPr>
          <w:rFonts w:hint="eastAsia" w:ascii="楷体" w:hAnsi="楷体" w:eastAsia="楷体" w:cs="仿宋_GB2312"/>
          <w:color w:val="FF0000"/>
          <w:sz w:val="22"/>
          <w:szCs w:val="22"/>
        </w:rPr>
        <w:t>b） 每一业绩须提供合同文本、中标通知书，二者缺一不可，合同文本、中标通知书中须明确清扫保洁面积。</w:t>
      </w:r>
    </w:p>
    <w:p>
      <w:pPr>
        <w:numPr>
          <w:ilvl w:val="0"/>
          <w:numId w:val="9"/>
        </w:numPr>
        <w:spacing w:line="360" w:lineRule="exact"/>
        <w:rPr>
          <w:rFonts w:hint="eastAsia" w:ascii="楷体" w:hAnsi="楷体" w:eastAsia="楷体" w:cs="仿宋_GB2312"/>
          <w:sz w:val="22"/>
          <w:szCs w:val="22"/>
        </w:rPr>
      </w:pPr>
      <w:r>
        <w:rPr>
          <w:rFonts w:ascii="楷体" w:hAnsi="楷体" w:eastAsia="楷体" w:cs="仿宋_GB2312"/>
          <w:sz w:val="22"/>
          <w:szCs w:val="22"/>
        </w:rPr>
        <w:t>证明文件原件须装入密封袋中进行密封，</w:t>
      </w:r>
      <w:r>
        <w:rPr>
          <w:rFonts w:hint="eastAsia" w:ascii="楷体" w:hAnsi="楷体" w:eastAsia="楷体" w:cs="仿宋_GB2312"/>
          <w:sz w:val="22"/>
          <w:szCs w:val="22"/>
        </w:rPr>
        <w:t>外封面上按顺序编制目录列明材料清单、单位名称、采购项目名称等信息，</w:t>
      </w:r>
      <w:r>
        <w:rPr>
          <w:rFonts w:ascii="楷体" w:hAnsi="楷体" w:eastAsia="楷体" w:cs="仿宋_GB2312"/>
          <w:sz w:val="22"/>
          <w:szCs w:val="22"/>
        </w:rPr>
        <w:t>并和投标文件一同递交，以供评委会备查</w:t>
      </w:r>
      <w:r>
        <w:rPr>
          <w:rFonts w:hint="eastAsia" w:ascii="楷体" w:hAnsi="楷体" w:eastAsia="楷体" w:cs="仿宋_GB2312"/>
          <w:sz w:val="22"/>
          <w:szCs w:val="22"/>
        </w:rPr>
        <w:t>。</w:t>
      </w:r>
    </w:p>
    <w:p>
      <w:pPr>
        <w:numPr>
          <w:ilvl w:val="0"/>
          <w:numId w:val="9"/>
        </w:numPr>
        <w:spacing w:line="360" w:lineRule="exact"/>
        <w:rPr>
          <w:rFonts w:hint="eastAsia" w:ascii="楷体" w:hAnsi="楷体" w:eastAsia="楷体" w:cs="仿宋_GB2312"/>
          <w:sz w:val="22"/>
          <w:szCs w:val="22"/>
        </w:rPr>
      </w:pPr>
      <w:r>
        <w:rPr>
          <w:rFonts w:ascii="楷体" w:hAnsi="楷体" w:eastAsia="楷体" w:cs="仿宋_GB2312"/>
          <w:sz w:val="22"/>
          <w:szCs w:val="22"/>
        </w:rPr>
        <w:t>证明文件原件</w:t>
      </w:r>
      <w:r>
        <w:rPr>
          <w:rFonts w:hint="eastAsia" w:ascii="楷体" w:hAnsi="楷体" w:eastAsia="楷体" w:cs="仿宋_GB2312"/>
          <w:sz w:val="22"/>
          <w:szCs w:val="22"/>
        </w:rPr>
        <w:t>按规定递送后，不能再对其进行补充或删减。评分细则中有关加分项以提供的原件为准，原件按照招标文件要求密封提交，不提供原件的评分时不予认可。</w:t>
      </w:r>
    </w:p>
    <w:p>
      <w:pPr>
        <w:numPr>
          <w:ilvl w:val="1"/>
          <w:numId w:val="7"/>
        </w:numPr>
        <w:tabs>
          <w:tab w:val="left" w:pos="360"/>
          <w:tab w:val="clear" w:pos="992"/>
        </w:tabs>
        <w:spacing w:line="360" w:lineRule="exact"/>
        <w:ind w:left="360" w:hanging="360"/>
        <w:rPr>
          <w:rFonts w:hint="eastAsia" w:ascii="楷体" w:hAnsi="楷体" w:eastAsia="楷体"/>
          <w:b/>
          <w:sz w:val="22"/>
          <w:szCs w:val="22"/>
        </w:rPr>
      </w:pPr>
      <w:r>
        <w:rPr>
          <w:rFonts w:hint="eastAsia" w:ascii="楷体" w:hAnsi="楷体" w:eastAsia="楷体"/>
          <w:b/>
          <w:sz w:val="22"/>
          <w:szCs w:val="22"/>
        </w:rPr>
        <w:t>投标文件格式</w:t>
      </w:r>
    </w:p>
    <w:p>
      <w:pPr>
        <w:numPr>
          <w:ilvl w:val="0"/>
          <w:numId w:val="10"/>
        </w:numPr>
        <w:tabs>
          <w:tab w:val="left" w:pos="540"/>
          <w:tab w:val="clear" w:pos="898"/>
        </w:tabs>
        <w:spacing w:line="360" w:lineRule="exact"/>
        <w:ind w:left="900" w:hanging="900"/>
        <w:rPr>
          <w:rFonts w:hint="eastAsia" w:ascii="楷体" w:hAnsi="楷体" w:eastAsia="楷体"/>
          <w:sz w:val="22"/>
          <w:szCs w:val="22"/>
        </w:rPr>
      </w:pPr>
      <w:r>
        <w:rPr>
          <w:rFonts w:hint="eastAsia" w:ascii="楷体" w:hAnsi="楷体" w:eastAsia="楷体"/>
          <w:sz w:val="22"/>
          <w:szCs w:val="22"/>
        </w:rPr>
        <w:t>投标人应根据招标文件中所提供的格式，内容按顺序填写并装订成册，不允许以活页夹形式装订投标文件；</w:t>
      </w:r>
    </w:p>
    <w:p>
      <w:pPr>
        <w:numPr>
          <w:ilvl w:val="0"/>
          <w:numId w:val="10"/>
        </w:numPr>
        <w:tabs>
          <w:tab w:val="left" w:pos="180"/>
          <w:tab w:val="left" w:pos="210"/>
          <w:tab w:val="clear" w:pos="898"/>
        </w:tabs>
        <w:spacing w:line="360" w:lineRule="exact"/>
        <w:ind w:left="180" w:hanging="180"/>
        <w:rPr>
          <w:rFonts w:hint="eastAsia" w:ascii="楷体" w:hAnsi="楷体" w:eastAsia="楷体"/>
          <w:sz w:val="22"/>
          <w:szCs w:val="22"/>
        </w:rPr>
      </w:pPr>
      <w:r>
        <w:rPr>
          <w:rFonts w:hint="eastAsia" w:ascii="楷体" w:hAnsi="楷体" w:eastAsia="楷体"/>
          <w:sz w:val="22"/>
          <w:szCs w:val="22"/>
        </w:rPr>
        <w:t>投标文件应有目录以及页码，以便评委检索；</w:t>
      </w:r>
    </w:p>
    <w:p>
      <w:pPr>
        <w:numPr>
          <w:ilvl w:val="0"/>
          <w:numId w:val="10"/>
        </w:numPr>
        <w:tabs>
          <w:tab w:val="left" w:pos="180"/>
          <w:tab w:val="left" w:pos="210"/>
          <w:tab w:val="clear" w:pos="898"/>
        </w:tabs>
        <w:spacing w:line="360" w:lineRule="exact"/>
        <w:ind w:left="180" w:hanging="180"/>
        <w:rPr>
          <w:rFonts w:hint="eastAsia" w:ascii="楷体" w:hAnsi="楷体" w:eastAsia="楷体"/>
          <w:sz w:val="22"/>
          <w:szCs w:val="22"/>
        </w:rPr>
      </w:pPr>
      <w:r>
        <w:rPr>
          <w:rFonts w:hint="eastAsia" w:ascii="楷体" w:hAnsi="楷体" w:eastAsia="楷体"/>
          <w:sz w:val="22"/>
          <w:szCs w:val="22"/>
        </w:rPr>
        <w:t>技术资信标与商务标分别包装于各自标函袋中，标函袋不做统一要求。</w:t>
      </w:r>
    </w:p>
    <w:p>
      <w:pPr>
        <w:numPr>
          <w:ilvl w:val="0"/>
          <w:numId w:val="11"/>
        </w:numPr>
        <w:tabs>
          <w:tab w:val="left" w:pos="540"/>
        </w:tabs>
        <w:spacing w:line="360" w:lineRule="exact"/>
        <w:rPr>
          <w:rFonts w:hint="eastAsia" w:ascii="楷体" w:hAnsi="楷体" w:eastAsia="楷体"/>
          <w:sz w:val="22"/>
          <w:szCs w:val="22"/>
        </w:rPr>
      </w:pPr>
      <w:r>
        <w:rPr>
          <w:rFonts w:hint="eastAsia" w:ascii="楷体" w:hAnsi="楷体" w:eastAsia="楷体"/>
          <w:bCs/>
          <w:sz w:val="22"/>
          <w:szCs w:val="22"/>
        </w:rPr>
        <w:t>投标报价</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本项目投标报价为期限</w:t>
      </w:r>
      <w:r>
        <w:rPr>
          <w:rFonts w:hint="eastAsia" w:ascii="楷体" w:hAnsi="楷体" w:eastAsia="楷体"/>
          <w:sz w:val="22"/>
          <w:szCs w:val="22"/>
          <w:u w:val="single"/>
        </w:rPr>
        <w:t>壹年（12个月）</w:t>
      </w:r>
      <w:r>
        <w:rPr>
          <w:rFonts w:hint="eastAsia" w:ascii="楷体" w:hAnsi="楷体" w:eastAsia="楷体"/>
          <w:sz w:val="22"/>
          <w:szCs w:val="22"/>
        </w:rPr>
        <w:t>的承包费的报价。承包总价必须</w:t>
      </w:r>
      <w:r>
        <w:rPr>
          <w:rFonts w:ascii="楷体" w:hAnsi="楷体" w:eastAsia="楷体"/>
          <w:sz w:val="22"/>
          <w:szCs w:val="22"/>
        </w:rPr>
        <w:t>包括在承包区域内提供清扫、保洁服务所需的人工费（包括环卫工人工资、奖金、房补、劳保福利、社保、工伤费、教育培训费、暂住费及处理一切伤亡事故等费用）及</w:t>
      </w:r>
      <w:r>
        <w:rPr>
          <w:rFonts w:hint="eastAsia" w:ascii="楷体" w:hAnsi="楷体" w:eastAsia="楷体"/>
          <w:sz w:val="22"/>
          <w:szCs w:val="22"/>
        </w:rPr>
        <w:t>保洁车辆</w:t>
      </w:r>
      <w:r>
        <w:rPr>
          <w:rFonts w:ascii="楷体" w:hAnsi="楷体" w:eastAsia="楷体"/>
          <w:sz w:val="22"/>
          <w:szCs w:val="22"/>
        </w:rPr>
        <w:t>、</w:t>
      </w:r>
      <w:r>
        <w:rPr>
          <w:rFonts w:hint="eastAsia" w:ascii="楷体" w:hAnsi="楷体" w:eastAsia="楷体"/>
          <w:sz w:val="22"/>
          <w:szCs w:val="22"/>
        </w:rPr>
        <w:t>环卫作业GPS设备费流量费等全部费用、</w:t>
      </w:r>
      <w:r>
        <w:rPr>
          <w:rFonts w:ascii="楷体" w:hAnsi="楷体" w:eastAsia="楷体"/>
          <w:sz w:val="22"/>
          <w:szCs w:val="22"/>
        </w:rPr>
        <w:t>水电费、工具材料费、垃圾清运费</w:t>
      </w:r>
      <w:r>
        <w:rPr>
          <w:rFonts w:hint="eastAsia" w:ascii="楷体" w:hAnsi="楷体" w:eastAsia="楷体"/>
          <w:sz w:val="22"/>
          <w:szCs w:val="22"/>
        </w:rPr>
        <w:t>（含辖区内无主装潢垃圾及大件垃圾清运）</w:t>
      </w:r>
      <w:r>
        <w:rPr>
          <w:rFonts w:ascii="楷体" w:hAnsi="楷体" w:eastAsia="楷体"/>
          <w:sz w:val="22"/>
          <w:szCs w:val="22"/>
        </w:rPr>
        <w:t>、安全文明生产装备费【包括环卫工人春、夏、秋、冬各季节工作服（含帽、衣、裤、鞋、雨衣、雨裤，雨鞋）并带有警示反光标记等】、</w:t>
      </w:r>
      <w:r>
        <w:rPr>
          <w:rFonts w:hint="eastAsia" w:ascii="楷体" w:hAnsi="楷体" w:eastAsia="楷体"/>
          <w:sz w:val="22"/>
          <w:szCs w:val="22"/>
        </w:rPr>
        <w:t>项目管理费、</w:t>
      </w:r>
      <w:r>
        <w:rPr>
          <w:rFonts w:ascii="楷体" w:hAnsi="楷体" w:eastAsia="楷体"/>
          <w:sz w:val="22"/>
          <w:szCs w:val="22"/>
        </w:rPr>
        <w:t>企业应缴税金和应得利润、突发应急及上级布置的专项任务、物价因素、</w:t>
      </w:r>
      <w:r>
        <w:rPr>
          <w:rFonts w:hint="eastAsia" w:ascii="楷体" w:hAnsi="楷体" w:eastAsia="楷体"/>
          <w:sz w:val="22"/>
          <w:szCs w:val="22"/>
        </w:rPr>
        <w:t>最低工资变动、</w:t>
      </w:r>
      <w:r>
        <w:rPr>
          <w:rFonts w:ascii="楷体" w:hAnsi="楷体" w:eastAsia="楷体"/>
          <w:sz w:val="22"/>
          <w:szCs w:val="22"/>
        </w:rPr>
        <w:t>招标代理服务费等完成合同所需的一切本身和不可或缺的所有工作开支、政策性文件规定及合同包含的所有风险、责任等各项全部费用并承担一切风险责任。</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投标人必须按第三部分附件的开标一览表（统一格式）、投标报价明细表（统一格式）的内容填写单价、总计价及其他事项，并由法定代表人或授权代表签署。</w:t>
      </w:r>
    </w:p>
    <w:p>
      <w:pPr>
        <w:numPr>
          <w:ilvl w:val="1"/>
          <w:numId w:val="12"/>
        </w:numPr>
        <w:tabs>
          <w:tab w:val="left" w:pos="540"/>
        </w:tabs>
        <w:spacing w:line="360" w:lineRule="exact"/>
        <w:ind w:left="540" w:hanging="540"/>
        <w:rPr>
          <w:rFonts w:hint="eastAsia" w:ascii="楷体" w:hAnsi="楷体" w:eastAsia="楷体"/>
          <w:b/>
          <w:sz w:val="22"/>
          <w:szCs w:val="22"/>
        </w:rPr>
      </w:pPr>
      <w:r>
        <w:rPr>
          <w:rFonts w:hint="eastAsia" w:ascii="楷体" w:hAnsi="楷体" w:eastAsia="楷体"/>
          <w:sz w:val="22"/>
          <w:szCs w:val="22"/>
        </w:rPr>
        <w:t>所有投标均以人民币报价。</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招标人不接受任何选择报价，对每一项服务只允许一个报价。</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招标人要求分类报价是为了方便评标，但在任何情况下不限制招标人以其认为最合适的条款、条件签订合同的权利。</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投标人所报的投标价在合同执行过程中是固定不变的，不得以任何理由予以变更。任何包含价格调整的要求，将被认为是非实质性响应投标而予以拒绝。</w:t>
      </w:r>
    </w:p>
    <w:p>
      <w:pPr>
        <w:numPr>
          <w:ilvl w:val="1"/>
          <w:numId w:val="12"/>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最低报价不能作为中标的保证。</w:t>
      </w:r>
    </w:p>
    <w:p>
      <w:pPr>
        <w:numPr>
          <w:ilvl w:val="0"/>
          <w:numId w:val="11"/>
        </w:numPr>
        <w:tabs>
          <w:tab w:val="left" w:pos="540"/>
        </w:tabs>
        <w:spacing w:line="360" w:lineRule="exact"/>
        <w:ind w:left="540" w:hanging="540"/>
        <w:rPr>
          <w:rFonts w:hint="eastAsia" w:ascii="楷体" w:hAnsi="楷体" w:eastAsia="楷体"/>
          <w:b/>
          <w:sz w:val="22"/>
          <w:szCs w:val="22"/>
        </w:rPr>
      </w:pPr>
      <w:r>
        <w:rPr>
          <w:rFonts w:hint="eastAsia" w:ascii="楷体" w:hAnsi="楷体" w:eastAsia="楷体"/>
          <w:bCs/>
          <w:sz w:val="22"/>
          <w:szCs w:val="22"/>
        </w:rPr>
        <w:t>投标有效期</w:t>
      </w:r>
    </w:p>
    <w:p>
      <w:pPr>
        <w:numPr>
          <w:ilvl w:val="1"/>
          <w:numId w:val="13"/>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自开标之日起 90天内投标应保持有效。投标有效期短于这个规定期限的投标将视为非响应性投标而予以拒绝。</w:t>
      </w:r>
    </w:p>
    <w:p>
      <w:pPr>
        <w:numPr>
          <w:ilvl w:val="0"/>
          <w:numId w:val="11"/>
        </w:numPr>
        <w:tabs>
          <w:tab w:val="left" w:pos="540"/>
        </w:tabs>
        <w:spacing w:line="360" w:lineRule="exact"/>
        <w:ind w:left="540" w:hanging="540"/>
        <w:rPr>
          <w:rFonts w:hint="eastAsia" w:ascii="楷体" w:hAnsi="楷体" w:eastAsia="楷体"/>
          <w:sz w:val="22"/>
          <w:szCs w:val="22"/>
        </w:rPr>
      </w:pPr>
      <w:r>
        <w:rPr>
          <w:rFonts w:hint="eastAsia" w:ascii="楷体" w:hAnsi="楷体" w:eastAsia="楷体"/>
          <w:bCs/>
          <w:sz w:val="22"/>
          <w:szCs w:val="22"/>
        </w:rPr>
        <w:t>投标文件的签署和规定</w:t>
      </w:r>
    </w:p>
    <w:p>
      <w:pPr>
        <w:numPr>
          <w:ilvl w:val="1"/>
          <w:numId w:val="14"/>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▲投标人应提供技术资信标、商务标各</w:t>
      </w:r>
      <w:r>
        <w:rPr>
          <w:rFonts w:hint="eastAsia" w:ascii="楷体" w:hAnsi="楷体" w:eastAsia="楷体"/>
          <w:b/>
          <w:sz w:val="22"/>
          <w:szCs w:val="22"/>
        </w:rPr>
        <w:t>一式八份</w:t>
      </w:r>
      <w:r>
        <w:rPr>
          <w:rFonts w:hint="eastAsia" w:ascii="楷体" w:hAnsi="楷体" w:eastAsia="楷体"/>
          <w:sz w:val="22"/>
          <w:szCs w:val="22"/>
        </w:rPr>
        <w:t>的投标文件，分别装订成册。其中</w:t>
      </w:r>
      <w:r>
        <w:rPr>
          <w:rFonts w:hint="eastAsia" w:ascii="楷体" w:hAnsi="楷体" w:eastAsia="楷体"/>
          <w:b/>
          <w:sz w:val="22"/>
          <w:szCs w:val="22"/>
        </w:rPr>
        <w:t>正本一份、副本七份</w:t>
      </w:r>
      <w:r>
        <w:rPr>
          <w:rFonts w:hint="eastAsia" w:ascii="楷体" w:hAnsi="楷体" w:eastAsia="楷体"/>
          <w:sz w:val="22"/>
          <w:szCs w:val="22"/>
        </w:rPr>
        <w:t>，每套投标文件的封面应清楚标明“正本”或“副本”字样，若“正本”与“副本”不符，以“正本”为准。</w:t>
      </w:r>
    </w:p>
    <w:p>
      <w:pPr>
        <w:numPr>
          <w:ilvl w:val="1"/>
          <w:numId w:val="14"/>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投标文件的正本必须打印或用不褪色的墨水书写，并由法定代表人或其授权代表签署，副本可用正本的复印。</w:t>
      </w:r>
    </w:p>
    <w:p>
      <w:pPr>
        <w:numPr>
          <w:ilvl w:val="1"/>
          <w:numId w:val="14"/>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投标文件如有修改和增删必须由投标文件签字人在修改和增删处旁签署或盖章，方才有效。</w:t>
      </w:r>
    </w:p>
    <w:p>
      <w:pPr>
        <w:numPr>
          <w:ilvl w:val="1"/>
          <w:numId w:val="14"/>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投标文件字迹模糊或在关键的技术、商务条款上表述不清楚，将可能导致其投标被拒绝。</w:t>
      </w:r>
    </w:p>
    <w:p>
      <w:pPr>
        <w:numPr>
          <w:ilvl w:val="0"/>
          <w:numId w:val="11"/>
        </w:numPr>
        <w:tabs>
          <w:tab w:val="left" w:pos="540"/>
        </w:tabs>
        <w:spacing w:line="360" w:lineRule="exact"/>
        <w:ind w:left="540" w:hanging="540"/>
        <w:rPr>
          <w:rFonts w:hint="eastAsia" w:ascii="楷体" w:hAnsi="楷体" w:eastAsia="楷体"/>
          <w:sz w:val="22"/>
          <w:szCs w:val="22"/>
        </w:rPr>
      </w:pPr>
      <w:r>
        <w:rPr>
          <w:rFonts w:hint="eastAsia" w:ascii="楷体" w:hAnsi="楷体" w:eastAsia="楷体"/>
          <w:bCs/>
          <w:sz w:val="22"/>
          <w:szCs w:val="22"/>
        </w:rPr>
        <w:t>投标文件的密封及标记</w:t>
      </w:r>
    </w:p>
    <w:p>
      <w:pPr>
        <w:numPr>
          <w:ilvl w:val="1"/>
          <w:numId w:val="15"/>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投标人必须将投标文件的“技术资信标”“商务标”“</w:t>
      </w:r>
      <w:r>
        <w:rPr>
          <w:rFonts w:ascii="楷体" w:hAnsi="楷体" w:eastAsia="楷体"/>
          <w:sz w:val="22"/>
          <w:szCs w:val="22"/>
        </w:rPr>
        <w:t>证照、证件、证明文件原件</w:t>
      </w:r>
      <w:r>
        <w:rPr>
          <w:rFonts w:hint="eastAsia" w:ascii="楷体" w:hAnsi="楷体" w:eastAsia="楷体"/>
          <w:sz w:val="22"/>
          <w:szCs w:val="22"/>
        </w:rPr>
        <w:t>”分别单独密封，且在各自的密封袋上标明“技术资信标”和“商务标”字样。封口处贴上封条，启封处加盖投标单位公章并由法定代表人或其授权代表签字。封皮上写明投标项目名称、招标编号并注明“开标时启封”字样。</w:t>
      </w:r>
    </w:p>
    <w:p>
      <w:pPr>
        <w:numPr>
          <w:ilvl w:val="1"/>
          <w:numId w:val="15"/>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如果投标人未按上述要求密封及加写标记，招标人对投标文件的误投和提前启封不负责任。</w:t>
      </w:r>
    </w:p>
    <w:p>
      <w:pPr>
        <w:spacing w:before="100" w:beforeAutospacing="1" w:after="100" w:afterAutospacing="1" w:line="360" w:lineRule="exact"/>
        <w:ind w:left="783" w:hanging="783" w:hangingChars="300"/>
        <w:jc w:val="center"/>
        <w:outlineLvl w:val="0"/>
        <w:rPr>
          <w:rFonts w:hint="eastAsia" w:ascii="楷体" w:hAnsi="楷体" w:eastAsia="楷体"/>
          <w:sz w:val="22"/>
          <w:szCs w:val="22"/>
        </w:rPr>
      </w:pPr>
      <w:bookmarkStart w:id="89" w:name="_Toc241404202"/>
      <w:bookmarkStart w:id="90" w:name="_Toc221356951"/>
      <w:bookmarkStart w:id="91" w:name="_Toc221374626"/>
      <w:bookmarkStart w:id="92" w:name="_Toc262049418"/>
      <w:bookmarkStart w:id="93" w:name="_Toc1613"/>
      <w:bookmarkStart w:id="94" w:name="_Toc249758712"/>
      <w:bookmarkStart w:id="95" w:name="_Toc221356887"/>
      <w:bookmarkStart w:id="96" w:name="_Toc245722281"/>
      <w:bookmarkStart w:id="97" w:name="_Toc239145354"/>
      <w:bookmarkStart w:id="98" w:name="_Toc262105503"/>
      <w:bookmarkStart w:id="99" w:name="_Toc222114879"/>
      <w:bookmarkStart w:id="100" w:name="_Toc221423619"/>
      <w:bookmarkStart w:id="101" w:name="_Toc246261265"/>
      <w:bookmarkStart w:id="102" w:name="_Toc245191314"/>
      <w:bookmarkStart w:id="103" w:name="_Toc249758864"/>
      <w:bookmarkStart w:id="104" w:name="_Toc223715998"/>
      <w:r>
        <w:rPr>
          <w:rFonts w:hint="eastAsia" w:ascii="楷体" w:hAnsi="楷体" w:eastAsia="楷体"/>
          <w:b/>
          <w:bCs/>
          <w:sz w:val="26"/>
          <w:szCs w:val="26"/>
        </w:rPr>
        <w:t>四、 投标文件的递交</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numPr>
          <w:ilvl w:val="0"/>
          <w:numId w:val="16"/>
        </w:numPr>
        <w:tabs>
          <w:tab w:val="left" w:pos="540"/>
        </w:tabs>
        <w:spacing w:line="360" w:lineRule="exact"/>
        <w:rPr>
          <w:rFonts w:hint="eastAsia" w:ascii="楷体" w:hAnsi="楷体" w:eastAsia="楷体"/>
          <w:b/>
          <w:sz w:val="22"/>
          <w:szCs w:val="22"/>
        </w:rPr>
      </w:pPr>
      <w:r>
        <w:rPr>
          <w:rFonts w:hint="eastAsia" w:ascii="楷体" w:hAnsi="楷体" w:eastAsia="楷体"/>
          <w:bCs/>
          <w:sz w:val="22"/>
          <w:szCs w:val="22"/>
        </w:rPr>
        <w:t>投标文件的递交</w:t>
      </w:r>
    </w:p>
    <w:p>
      <w:pPr>
        <w:numPr>
          <w:ilvl w:val="1"/>
          <w:numId w:val="17"/>
        </w:numPr>
        <w:tabs>
          <w:tab w:val="left" w:pos="540"/>
          <w:tab w:val="clear" w:pos="992"/>
        </w:tabs>
        <w:spacing w:line="360" w:lineRule="exact"/>
        <w:ind w:left="540" w:hanging="540"/>
        <w:rPr>
          <w:rFonts w:hint="eastAsia" w:ascii="楷体" w:hAnsi="楷体" w:eastAsia="楷体"/>
          <w:b/>
          <w:sz w:val="22"/>
          <w:szCs w:val="22"/>
        </w:rPr>
      </w:pPr>
      <w:r>
        <w:rPr>
          <w:rFonts w:hint="eastAsia" w:ascii="楷体" w:hAnsi="楷体" w:eastAsia="楷体"/>
          <w:b/>
          <w:sz w:val="22"/>
          <w:szCs w:val="22"/>
        </w:rPr>
        <w:t>投标文件必须在招标文件规定的投标截止时间前送达到指定的收标地点；</w:t>
      </w:r>
    </w:p>
    <w:p>
      <w:pPr>
        <w:numPr>
          <w:ilvl w:val="1"/>
          <w:numId w:val="17"/>
        </w:numPr>
        <w:tabs>
          <w:tab w:val="left" w:pos="540"/>
          <w:tab w:val="clear" w:pos="992"/>
        </w:tabs>
        <w:spacing w:line="360" w:lineRule="exact"/>
        <w:ind w:left="540" w:hanging="540"/>
        <w:rPr>
          <w:rFonts w:hint="eastAsia" w:ascii="楷体" w:hAnsi="楷体" w:eastAsia="楷体"/>
          <w:b/>
          <w:sz w:val="22"/>
          <w:szCs w:val="22"/>
        </w:rPr>
      </w:pPr>
      <w:r>
        <w:rPr>
          <w:rFonts w:hint="eastAsia" w:ascii="楷体" w:hAnsi="楷体" w:eastAsia="楷体"/>
          <w:b/>
          <w:sz w:val="22"/>
          <w:szCs w:val="22"/>
        </w:rPr>
        <w:t>▲投标人如是法定代表人参加投标的，同时递交法定代表人有效身份证明（原件），企业法人营业执照复印件（加盖公章），由评标委员会确认投标资格；</w:t>
      </w:r>
    </w:p>
    <w:p>
      <w:pPr>
        <w:numPr>
          <w:ilvl w:val="1"/>
          <w:numId w:val="17"/>
        </w:numPr>
        <w:tabs>
          <w:tab w:val="left" w:pos="540"/>
          <w:tab w:val="left" w:pos="2700"/>
          <w:tab w:val="clear" w:pos="992"/>
        </w:tabs>
        <w:spacing w:line="360" w:lineRule="exact"/>
        <w:ind w:left="540" w:hanging="540"/>
        <w:rPr>
          <w:rFonts w:hint="eastAsia" w:ascii="楷体" w:hAnsi="楷体" w:eastAsia="楷体"/>
          <w:b/>
          <w:sz w:val="22"/>
          <w:szCs w:val="22"/>
        </w:rPr>
      </w:pPr>
      <w:r>
        <w:rPr>
          <w:rFonts w:hint="eastAsia" w:ascii="楷体" w:hAnsi="楷体" w:eastAsia="楷体"/>
          <w:b/>
          <w:sz w:val="22"/>
          <w:szCs w:val="22"/>
        </w:rPr>
        <w:t>▲投标人如是授权代表参加投标的，同时递交法定代表人授权书（原件）、授权代表有效身份证明（原件），企业法人营业执照复印件（加盖公章），由评标委员会确认投标资格。</w:t>
      </w:r>
    </w:p>
    <w:p>
      <w:pPr>
        <w:numPr>
          <w:ilvl w:val="0"/>
          <w:numId w:val="16"/>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投标文件的修改和撤回</w:t>
      </w:r>
    </w:p>
    <w:p>
      <w:pPr>
        <w:numPr>
          <w:ilvl w:val="1"/>
          <w:numId w:val="18"/>
        </w:numPr>
        <w:tabs>
          <w:tab w:val="left" w:pos="540"/>
        </w:tabs>
        <w:spacing w:line="360" w:lineRule="exact"/>
        <w:ind w:left="540" w:hanging="540"/>
        <w:rPr>
          <w:rFonts w:hint="eastAsia" w:ascii="楷体" w:hAnsi="楷体" w:eastAsia="楷体"/>
          <w:bCs/>
          <w:sz w:val="22"/>
          <w:szCs w:val="22"/>
        </w:rPr>
      </w:pPr>
      <w:r>
        <w:rPr>
          <w:rFonts w:hint="eastAsia" w:ascii="楷体" w:hAnsi="楷体" w:eastAsia="楷体"/>
          <w:sz w:val="22"/>
          <w:szCs w:val="22"/>
        </w:rPr>
        <w:t>在投标截止时间前，投标人可以用书面形式提出修改或撤回其投标并送达到招标人，但不得影响开标活动的正常进行。</w:t>
      </w:r>
    </w:p>
    <w:p>
      <w:pPr>
        <w:numPr>
          <w:ilvl w:val="1"/>
          <w:numId w:val="18"/>
        </w:numPr>
        <w:tabs>
          <w:tab w:val="left" w:pos="540"/>
        </w:tabs>
        <w:spacing w:line="360" w:lineRule="exact"/>
        <w:ind w:left="540" w:hanging="540"/>
        <w:rPr>
          <w:rFonts w:hint="eastAsia" w:ascii="楷体" w:hAnsi="楷体" w:eastAsia="楷体"/>
          <w:sz w:val="22"/>
          <w:szCs w:val="22"/>
        </w:rPr>
      </w:pPr>
      <w:r>
        <w:rPr>
          <w:rFonts w:hint="eastAsia" w:ascii="楷体" w:hAnsi="楷体" w:eastAsia="楷体"/>
          <w:bCs/>
          <w:sz w:val="22"/>
          <w:szCs w:val="22"/>
        </w:rPr>
        <w:t>“投标文件修改”或“投标文件撤回通知”都应密封并在密封袋上写明投标项目名称、编号、投标单位名称，并注明“投标文件修改”或“投标文件撤回通知”字样。</w:t>
      </w:r>
    </w:p>
    <w:p>
      <w:pPr>
        <w:numPr>
          <w:ilvl w:val="0"/>
          <w:numId w:val="16"/>
        </w:numPr>
        <w:tabs>
          <w:tab w:val="left" w:pos="540"/>
        </w:tabs>
        <w:spacing w:line="360" w:lineRule="exact"/>
        <w:rPr>
          <w:rFonts w:hint="eastAsia" w:ascii="楷体" w:hAnsi="楷体" w:eastAsia="楷体"/>
          <w:b/>
          <w:sz w:val="22"/>
          <w:szCs w:val="22"/>
        </w:rPr>
      </w:pPr>
      <w:r>
        <w:rPr>
          <w:rFonts w:hint="eastAsia" w:ascii="楷体" w:hAnsi="楷体" w:eastAsia="楷体"/>
          <w:b/>
          <w:bCs/>
          <w:sz w:val="22"/>
          <w:szCs w:val="22"/>
        </w:rPr>
        <w:t>▲发生下列情况之一的投标文件将拒收</w:t>
      </w:r>
      <w:r>
        <w:rPr>
          <w:rFonts w:hint="eastAsia" w:ascii="楷体" w:hAnsi="楷体" w:eastAsia="楷体"/>
          <w:bCs/>
          <w:sz w:val="22"/>
          <w:szCs w:val="22"/>
        </w:rPr>
        <w:t>：</w:t>
      </w:r>
    </w:p>
    <w:p>
      <w:pPr>
        <w:numPr>
          <w:ilvl w:val="1"/>
          <w:numId w:val="19"/>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bCs/>
          <w:sz w:val="22"/>
          <w:szCs w:val="22"/>
        </w:rPr>
        <w:t>在投标截止时间以后送达的投标文件；</w:t>
      </w:r>
    </w:p>
    <w:p>
      <w:pPr>
        <w:numPr>
          <w:ilvl w:val="1"/>
          <w:numId w:val="19"/>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bCs/>
          <w:sz w:val="22"/>
          <w:szCs w:val="22"/>
        </w:rPr>
        <w:t>未购买招标文件；</w:t>
      </w:r>
    </w:p>
    <w:p>
      <w:pPr>
        <w:numPr>
          <w:ilvl w:val="1"/>
          <w:numId w:val="19"/>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未密封或未装订的投标文件及由于包装不妥在送达途中严重破损或失散的投标文件；</w:t>
      </w:r>
    </w:p>
    <w:p>
      <w:pPr>
        <w:numPr>
          <w:ilvl w:val="1"/>
          <w:numId w:val="19"/>
        </w:numPr>
        <w:tabs>
          <w:tab w:val="left" w:pos="540"/>
          <w:tab w:val="clear" w:pos="992"/>
        </w:tabs>
        <w:spacing w:line="360" w:lineRule="exact"/>
        <w:ind w:left="540" w:hanging="540"/>
        <w:rPr>
          <w:rFonts w:hint="eastAsia" w:ascii="楷体" w:hAnsi="楷体" w:eastAsia="楷体"/>
          <w:sz w:val="22"/>
          <w:szCs w:val="22"/>
        </w:rPr>
      </w:pPr>
      <w:r>
        <w:rPr>
          <w:rFonts w:ascii="楷体" w:hAnsi="楷体" w:eastAsia="楷体"/>
          <w:sz w:val="22"/>
          <w:szCs w:val="22"/>
        </w:rPr>
        <w:t>提交的投标文件中缺少</w:t>
      </w:r>
      <w:r>
        <w:rPr>
          <w:rFonts w:hint="eastAsia" w:ascii="楷体" w:hAnsi="楷体" w:eastAsia="楷体"/>
          <w:sz w:val="22"/>
          <w:szCs w:val="22"/>
        </w:rPr>
        <w:t>经密封包装的“</w:t>
      </w:r>
      <w:r>
        <w:rPr>
          <w:rFonts w:ascii="楷体" w:hAnsi="楷体" w:eastAsia="楷体"/>
          <w:sz w:val="22"/>
          <w:szCs w:val="22"/>
        </w:rPr>
        <w:t>技术资信标</w:t>
      </w:r>
      <w:r>
        <w:rPr>
          <w:rFonts w:hint="eastAsia" w:ascii="楷体" w:hAnsi="楷体" w:eastAsia="楷体"/>
          <w:sz w:val="22"/>
          <w:szCs w:val="22"/>
        </w:rPr>
        <w:t>”</w:t>
      </w:r>
      <w:r>
        <w:rPr>
          <w:rFonts w:ascii="楷体" w:hAnsi="楷体" w:eastAsia="楷体"/>
          <w:sz w:val="22"/>
          <w:szCs w:val="22"/>
        </w:rPr>
        <w:t>、</w:t>
      </w:r>
      <w:r>
        <w:rPr>
          <w:rFonts w:hint="eastAsia" w:ascii="楷体" w:hAnsi="楷体" w:eastAsia="楷体"/>
          <w:sz w:val="22"/>
          <w:szCs w:val="22"/>
        </w:rPr>
        <w:t>“</w:t>
      </w:r>
      <w:r>
        <w:rPr>
          <w:rFonts w:ascii="楷体" w:hAnsi="楷体" w:eastAsia="楷体"/>
          <w:sz w:val="22"/>
          <w:szCs w:val="22"/>
        </w:rPr>
        <w:t xml:space="preserve"> 商务标</w:t>
      </w:r>
      <w:r>
        <w:rPr>
          <w:rFonts w:hint="eastAsia" w:ascii="楷体" w:hAnsi="楷体" w:eastAsia="楷体"/>
          <w:sz w:val="22"/>
          <w:szCs w:val="22"/>
        </w:rPr>
        <w:t>”</w:t>
      </w:r>
      <w:r>
        <w:rPr>
          <w:rFonts w:ascii="楷体" w:hAnsi="楷体" w:eastAsia="楷体"/>
          <w:sz w:val="22"/>
          <w:szCs w:val="22"/>
        </w:rPr>
        <w:t>、</w:t>
      </w:r>
      <w:r>
        <w:rPr>
          <w:rFonts w:hint="eastAsia" w:ascii="楷体" w:hAnsi="楷体" w:eastAsia="楷体"/>
          <w:sz w:val="22"/>
          <w:szCs w:val="22"/>
        </w:rPr>
        <w:t>“</w:t>
      </w:r>
      <w:r>
        <w:rPr>
          <w:rFonts w:ascii="楷体" w:hAnsi="楷体" w:eastAsia="楷体"/>
          <w:sz w:val="22"/>
          <w:szCs w:val="22"/>
        </w:rPr>
        <w:t xml:space="preserve"> 证照、证件、证明文件原件</w:t>
      </w:r>
      <w:r>
        <w:rPr>
          <w:rFonts w:hint="eastAsia" w:ascii="楷体" w:hAnsi="楷体" w:eastAsia="楷体"/>
          <w:sz w:val="22"/>
          <w:szCs w:val="22"/>
        </w:rPr>
        <w:t>”</w:t>
      </w:r>
      <w:r>
        <w:rPr>
          <w:rFonts w:ascii="楷体" w:hAnsi="楷体" w:eastAsia="楷体"/>
          <w:sz w:val="22"/>
          <w:szCs w:val="22"/>
        </w:rPr>
        <w:t>之一的；</w:t>
      </w:r>
    </w:p>
    <w:p>
      <w:pPr>
        <w:numPr>
          <w:ilvl w:val="1"/>
          <w:numId w:val="19"/>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以电讯形式递交的投标文件。</w:t>
      </w:r>
    </w:p>
    <w:p>
      <w:pPr>
        <w:spacing w:before="100" w:beforeAutospacing="1" w:after="100" w:afterAutospacing="1" w:line="360" w:lineRule="exact"/>
        <w:ind w:left="783" w:hanging="783" w:hangingChars="300"/>
        <w:jc w:val="center"/>
        <w:outlineLvl w:val="0"/>
        <w:rPr>
          <w:rFonts w:hint="eastAsia" w:ascii="楷体" w:hAnsi="楷体" w:eastAsia="楷体"/>
          <w:b/>
          <w:bCs/>
          <w:sz w:val="26"/>
          <w:szCs w:val="26"/>
        </w:rPr>
      </w:pPr>
      <w:bookmarkStart w:id="105" w:name="_Toc223715999"/>
      <w:bookmarkStart w:id="106" w:name="_Toc245722282"/>
      <w:bookmarkStart w:id="107" w:name="_Toc246261266"/>
      <w:bookmarkStart w:id="108" w:name="_Toc249758713"/>
      <w:bookmarkStart w:id="109" w:name="_Toc221356888"/>
      <w:bookmarkStart w:id="110" w:name="_Toc221356952"/>
      <w:bookmarkStart w:id="111" w:name="_Toc221374627"/>
      <w:bookmarkStart w:id="112" w:name="_Toc221423620"/>
      <w:bookmarkStart w:id="113" w:name="_Toc222114880"/>
      <w:bookmarkStart w:id="114" w:name="_Toc239145355"/>
      <w:bookmarkStart w:id="115" w:name="_Toc241404203"/>
      <w:bookmarkStart w:id="116" w:name="_Toc245191315"/>
      <w:bookmarkStart w:id="117" w:name="_Toc262049419"/>
      <w:bookmarkStart w:id="118" w:name="_Toc249758865"/>
      <w:bookmarkStart w:id="119" w:name="_Toc262105504"/>
      <w:bookmarkStart w:id="120" w:name="_Toc12357"/>
      <w:r>
        <w:rPr>
          <w:rFonts w:hint="eastAsia" w:ascii="楷体" w:hAnsi="楷体" w:eastAsia="楷体"/>
          <w:b/>
          <w:bCs/>
          <w:sz w:val="26"/>
          <w:szCs w:val="26"/>
        </w:rPr>
        <w:t>五、 开标和评标</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numPr>
          <w:ilvl w:val="0"/>
          <w:numId w:val="16"/>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评标委员会</w:t>
      </w:r>
    </w:p>
    <w:p>
      <w:pPr>
        <w:numPr>
          <w:ilvl w:val="1"/>
          <w:numId w:val="20"/>
        </w:numPr>
        <w:tabs>
          <w:tab w:val="left" w:pos="540"/>
          <w:tab w:val="clear"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招标人按照《中华人民共和国政府采购法》等有关法律、法规的规定组建评标委员会，评标委员会成员由采购人代表和有关技术、经济等方面的专家组成，有关技术、经济等方面的专家成员人数为7人及以上单数，</w:t>
      </w:r>
      <w:r>
        <w:rPr>
          <w:rFonts w:hint="eastAsia" w:ascii="楷体" w:hAnsi="楷体" w:eastAsia="楷体"/>
          <w:bCs/>
          <w:sz w:val="22"/>
          <w:szCs w:val="22"/>
        </w:rPr>
        <w:t>除采购人代表外的专家将</w:t>
      </w:r>
      <w:r>
        <w:rPr>
          <w:rFonts w:ascii="楷体" w:hAnsi="楷体" w:eastAsia="楷体"/>
          <w:bCs/>
          <w:sz w:val="22"/>
          <w:szCs w:val="22"/>
        </w:rPr>
        <w:t>在</w:t>
      </w:r>
      <w:r>
        <w:rPr>
          <w:rFonts w:hint="eastAsia" w:ascii="楷体" w:hAnsi="楷体" w:eastAsia="楷体"/>
          <w:bCs/>
          <w:sz w:val="22"/>
          <w:szCs w:val="22"/>
        </w:rPr>
        <w:t>政府规定部门的评标专家库中随机抽取产生。</w:t>
      </w:r>
    </w:p>
    <w:p>
      <w:pPr>
        <w:numPr>
          <w:ilvl w:val="0"/>
          <w:numId w:val="16"/>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评标过程的保密性</w:t>
      </w:r>
    </w:p>
    <w:p>
      <w:pPr>
        <w:spacing w:line="360" w:lineRule="exact"/>
        <w:ind w:left="540" w:leftChars="257"/>
        <w:rPr>
          <w:rFonts w:hint="eastAsia" w:ascii="楷体" w:hAnsi="楷体" w:eastAsia="楷体"/>
          <w:b/>
          <w:bCs/>
          <w:sz w:val="22"/>
          <w:szCs w:val="22"/>
        </w:rPr>
      </w:pPr>
      <w:r>
        <w:rPr>
          <w:rFonts w:hint="eastAsia" w:ascii="楷体" w:hAnsi="楷体" w:eastAsia="楷体"/>
          <w:b/>
          <w:bCs/>
          <w:sz w:val="22"/>
          <w:szCs w:val="22"/>
        </w:rPr>
        <w:t>▲开标后直至向中标人授予合同时止，凡与评审有关的资料均不得向投标人及与评标无关人员透露。如果投标人在评标过程中试图向招标人、招标代理机构及评标委员会施加影响，其投标将被拒绝。</w:t>
      </w:r>
    </w:p>
    <w:p>
      <w:pPr>
        <w:numPr>
          <w:ilvl w:val="0"/>
          <w:numId w:val="16"/>
        </w:numPr>
        <w:tabs>
          <w:tab w:val="left" w:pos="540"/>
        </w:tabs>
        <w:spacing w:line="360" w:lineRule="exact"/>
        <w:rPr>
          <w:rFonts w:hint="eastAsia" w:ascii="楷体" w:hAnsi="楷体" w:eastAsia="楷体"/>
          <w:b/>
          <w:bCs/>
          <w:sz w:val="22"/>
          <w:szCs w:val="22"/>
        </w:rPr>
      </w:pPr>
      <w:r>
        <w:rPr>
          <w:rFonts w:hint="eastAsia" w:ascii="楷体" w:hAnsi="楷体" w:eastAsia="楷体"/>
          <w:bCs/>
          <w:sz w:val="22"/>
          <w:szCs w:val="22"/>
        </w:rPr>
        <w:t>开标、评标</w:t>
      </w:r>
    </w:p>
    <w:p>
      <w:pPr>
        <w:numPr>
          <w:ilvl w:val="1"/>
          <w:numId w:val="21"/>
        </w:numPr>
        <w:tabs>
          <w:tab w:val="left" w:pos="540"/>
          <w:tab w:val="clear" w:pos="992"/>
        </w:tabs>
        <w:spacing w:line="360" w:lineRule="exact"/>
        <w:ind w:left="540" w:hanging="540"/>
        <w:rPr>
          <w:rFonts w:hint="eastAsia" w:ascii="楷体" w:hAnsi="楷体" w:eastAsia="楷体"/>
          <w:b/>
          <w:bCs/>
          <w:sz w:val="22"/>
          <w:szCs w:val="22"/>
        </w:rPr>
      </w:pPr>
      <w:r>
        <w:rPr>
          <w:rFonts w:hint="eastAsia" w:ascii="楷体" w:hAnsi="楷体" w:eastAsia="楷体" w:cs="楷体_GB2312"/>
          <w:bCs/>
          <w:sz w:val="22"/>
          <w:szCs w:val="22"/>
        </w:rPr>
        <w:t>投标截止后，招标采购单位按招标文件规定的时间、地点开启“</w:t>
      </w:r>
      <w:r>
        <w:rPr>
          <w:rFonts w:ascii="楷体" w:hAnsi="楷体" w:eastAsia="楷体" w:cs="楷体_GB2312"/>
          <w:bCs/>
          <w:sz w:val="22"/>
          <w:szCs w:val="22"/>
        </w:rPr>
        <w:t>技术资信标、商务标</w:t>
      </w:r>
      <w:r>
        <w:rPr>
          <w:rFonts w:hint="eastAsia" w:ascii="楷体" w:hAnsi="楷体" w:eastAsia="楷体" w:cs="楷体_GB2312"/>
          <w:bCs/>
          <w:sz w:val="22"/>
          <w:szCs w:val="22"/>
        </w:rPr>
        <w:t>”。投标人的法定代表人或其授权代表应准时参加开标会议并配合招标采购单位核验其身份信息，否则视同未派代表参加开标大会，事后不得对采购相关人员、开标过程和开标结果提出异议。②参加开标大会的投标人代表应签署不存在影响公平竞争的《政府采购活动现场确认声明书》。投标人代表因故未参加开标、评审活动或拒绝签字确认的，不影响开标、评审程序继续进行，事后不得要求补办相关现场确认手续，也不得要求相关工作人员还原或重复履行相关工作义务，但被确定为中标（成交）供应商的，应补签《政府采购活动现场确认声明书》”。③开标时，首先由供应商代表或公证人员检查技术资信标的密封情况，确认无误后按供应商提交采购响应文件的先后顺序当众拆封技术资信标并清点投标文件正本、副本数量，然后送评标室评审；对不符合装订要求的采购响应文件，由现场工作人员退还供应商代表。</w:t>
      </w:r>
    </w:p>
    <w:p>
      <w:pPr>
        <w:numPr>
          <w:ilvl w:val="1"/>
          <w:numId w:val="21"/>
        </w:numPr>
        <w:tabs>
          <w:tab w:val="left" w:pos="540"/>
          <w:tab w:val="clear" w:pos="992"/>
        </w:tabs>
        <w:spacing w:line="360" w:lineRule="exact"/>
        <w:ind w:left="540" w:hanging="540"/>
        <w:rPr>
          <w:rFonts w:hint="eastAsia" w:ascii="楷体" w:hAnsi="楷体" w:eastAsia="楷体"/>
          <w:b/>
          <w:bCs/>
          <w:sz w:val="22"/>
          <w:szCs w:val="22"/>
        </w:rPr>
      </w:pPr>
      <w:r>
        <w:rPr>
          <w:rFonts w:hint="eastAsia" w:ascii="楷体" w:hAnsi="楷体" w:eastAsia="楷体"/>
          <w:bCs/>
          <w:sz w:val="22"/>
          <w:szCs w:val="22"/>
        </w:rPr>
        <w:t>投标文件的初审。初审分为资格性审查和符合性检查。</w:t>
      </w:r>
    </w:p>
    <w:p>
      <w:pPr>
        <w:numPr>
          <w:ilvl w:val="0"/>
          <w:numId w:val="22"/>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资格性审查。依据法律、法规和采购文件的规定，代理机构或业主对各投标人进行资格性审查，资格性审查内容包括但不仅限于随投标文件一同提交的法定代表人授权书（原件）、投标代表人有效身份证件（原件）、企业法人营业执照复印件及税务登记证，以及投标文件所提交证明材料是否能证明符合本项目对合格投标人的实质性要求。通过资格性审查视作具备投标资格，审查不合格的投标文件将不予接受。投标人提交的资料若有缺失，或无法证明符合本项目对合格投标人的实质性要求，经评标委员会认定为资格性审查不通过，其投标文件将不进入后续详细评审程序。</w:t>
      </w:r>
    </w:p>
    <w:p>
      <w:pPr>
        <w:numPr>
          <w:ilvl w:val="0"/>
          <w:numId w:val="22"/>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符合性检查。依据招标文件的规定，从投标文件中的有效性、完整性和对招标文件的响应程度进行审查，以确定是否对招标文件的实质性要求作出响应。</w:t>
      </w:r>
    </w:p>
    <w:p>
      <w:pPr>
        <w:numPr>
          <w:ilvl w:val="1"/>
          <w:numId w:val="21"/>
        </w:numPr>
        <w:tabs>
          <w:tab w:val="left" w:pos="540"/>
          <w:tab w:val="clear" w:pos="992"/>
        </w:tabs>
        <w:spacing w:line="360" w:lineRule="exact"/>
        <w:ind w:left="540" w:hanging="540"/>
        <w:rPr>
          <w:rFonts w:hint="eastAsia" w:ascii="楷体" w:hAnsi="楷体" w:eastAsia="楷体"/>
          <w:b/>
          <w:bCs/>
          <w:sz w:val="22"/>
          <w:szCs w:val="22"/>
        </w:rPr>
      </w:pPr>
      <w:r>
        <w:rPr>
          <w:rFonts w:hint="eastAsia" w:ascii="楷体" w:hAnsi="楷体" w:eastAsia="楷体"/>
          <w:b/>
          <w:bCs/>
          <w:sz w:val="22"/>
          <w:szCs w:val="22"/>
        </w:rPr>
        <w:t>▲在对各投标人的投标文件进行综合评审时，投标文件有下列情况之一的，经评标委员会认定后按无效标处理：</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投标文件未加盖单位公章、无法定代表人签字或其授权代表签字的；</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明显不符合招标文件中主要技术规格、技术资信标准的；</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投标文件内容不全或关键字迹模糊无法辨认的；</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在技术资信标中出现投标报价的；</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投标文件附有招标人不能接受的条件；</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授权代表没有法定代表人合法、有效委托的；</w:t>
      </w:r>
    </w:p>
    <w:p>
      <w:pPr>
        <w:numPr>
          <w:ilvl w:val="0"/>
          <w:numId w:val="23"/>
        </w:numPr>
        <w:spacing w:line="360" w:lineRule="exact"/>
        <w:ind w:firstLine="115"/>
        <w:rPr>
          <w:rFonts w:hint="eastAsia" w:ascii="楷体" w:hAnsi="楷体" w:eastAsia="楷体"/>
          <w:sz w:val="22"/>
          <w:szCs w:val="22"/>
        </w:rPr>
      </w:pPr>
      <w:r>
        <w:rPr>
          <w:rFonts w:hint="eastAsia" w:ascii="楷体" w:hAnsi="楷体" w:eastAsia="楷体"/>
          <w:sz w:val="22"/>
          <w:szCs w:val="22"/>
        </w:rPr>
        <w:t>评标委员会认定不符合法律、法规和招标文件中规定的其他实质性要求的；</w:t>
      </w:r>
    </w:p>
    <w:p>
      <w:pPr>
        <w:numPr>
          <w:ilvl w:val="1"/>
          <w:numId w:val="21"/>
        </w:numPr>
        <w:tabs>
          <w:tab w:val="left" w:pos="540"/>
          <w:tab w:val="clear" w:pos="992"/>
        </w:tabs>
        <w:spacing w:line="360" w:lineRule="exact"/>
        <w:ind w:left="540" w:hanging="540"/>
        <w:rPr>
          <w:rFonts w:hint="eastAsia" w:ascii="楷体" w:hAnsi="楷体" w:eastAsia="楷体"/>
          <w:b/>
          <w:bCs/>
          <w:sz w:val="22"/>
          <w:szCs w:val="22"/>
        </w:rPr>
      </w:pPr>
      <w:r>
        <w:rPr>
          <w:rFonts w:hint="eastAsia" w:ascii="楷体" w:hAnsi="楷体" w:eastAsia="楷体"/>
          <w:b/>
          <w:bCs/>
          <w:sz w:val="22"/>
          <w:szCs w:val="22"/>
        </w:rPr>
        <w:t>开启商务标</w:t>
      </w:r>
    </w:p>
    <w:p>
      <w:pPr>
        <w:numPr>
          <w:ilvl w:val="0"/>
          <w:numId w:val="24"/>
        </w:numPr>
        <w:tabs>
          <w:tab w:val="left" w:pos="900"/>
          <w:tab w:val="clear" w:pos="425"/>
        </w:tabs>
        <w:spacing w:line="360" w:lineRule="exact"/>
        <w:ind w:left="900" w:hanging="360"/>
        <w:rPr>
          <w:rFonts w:hint="eastAsia" w:ascii="楷体" w:hAnsi="楷体" w:eastAsia="楷体"/>
          <w:sz w:val="22"/>
          <w:szCs w:val="22"/>
        </w:rPr>
      </w:pPr>
      <w:r>
        <w:rPr>
          <w:rFonts w:hint="eastAsia" w:ascii="楷体" w:hAnsi="楷体" w:eastAsia="楷体"/>
          <w:sz w:val="22"/>
          <w:szCs w:val="22"/>
        </w:rPr>
        <w:t>开商务（报价）标时邀请所有投标人代表参加，参加开标的代表应准时出席并签名报到以证明其出席。投标人代表未参加开标会的，事后不得对开标过程和开标结果提出异议。</w:t>
      </w:r>
    </w:p>
    <w:p>
      <w:pPr>
        <w:numPr>
          <w:ilvl w:val="0"/>
          <w:numId w:val="24"/>
        </w:numPr>
        <w:tabs>
          <w:tab w:val="left" w:pos="900"/>
          <w:tab w:val="clear" w:pos="425"/>
        </w:tabs>
        <w:spacing w:line="360" w:lineRule="exact"/>
        <w:ind w:left="900" w:hanging="360"/>
        <w:rPr>
          <w:rFonts w:hint="eastAsia" w:ascii="楷体" w:hAnsi="楷体" w:eastAsia="楷体"/>
          <w:sz w:val="22"/>
          <w:szCs w:val="22"/>
        </w:rPr>
      </w:pPr>
      <w:r>
        <w:rPr>
          <w:rFonts w:hint="eastAsia" w:ascii="楷体" w:hAnsi="楷体" w:eastAsia="楷体"/>
          <w:sz w:val="22"/>
          <w:szCs w:val="22"/>
        </w:rPr>
        <w:t>检查有效投标人“商务（报价）标”的密封情况，确认无误后开启“商务（报价）标”，宣读“开标一览表”全部内容。唱读结束后，投标人代表应对宣读内容及记录结果当场进行校核和签字确认，如有异议应当场提出，否则视为默许同意。</w:t>
      </w:r>
    </w:p>
    <w:p>
      <w:pPr>
        <w:numPr>
          <w:ilvl w:val="1"/>
          <w:numId w:val="21"/>
        </w:numPr>
        <w:tabs>
          <w:tab w:val="left" w:pos="540"/>
          <w:tab w:val="clear" w:pos="992"/>
        </w:tabs>
        <w:spacing w:line="360" w:lineRule="exact"/>
        <w:ind w:left="540" w:hanging="540"/>
        <w:rPr>
          <w:rFonts w:hint="eastAsia" w:ascii="楷体" w:hAnsi="楷体" w:eastAsia="楷体"/>
          <w:bCs/>
          <w:sz w:val="22"/>
          <w:szCs w:val="22"/>
        </w:rPr>
      </w:pPr>
      <w:r>
        <w:rPr>
          <w:rFonts w:hint="eastAsia" w:ascii="楷体" w:hAnsi="楷体" w:eastAsia="楷体"/>
          <w:bCs/>
          <w:sz w:val="22"/>
          <w:szCs w:val="22"/>
        </w:rPr>
        <w:t>商务标开启后，由评标委员会对各投标人的商务报价进行核查，核查时发现投标报价内容不清楚可要求投标人书面澄清，计算上的错误，可按下面方法修正：</w:t>
      </w:r>
    </w:p>
    <w:p>
      <w:pPr>
        <w:tabs>
          <w:tab w:val="left" w:pos="420"/>
          <w:tab w:val="left" w:pos="720"/>
        </w:tabs>
        <w:spacing w:line="360" w:lineRule="exact"/>
        <w:ind w:left="736" w:leftChars="300" w:hanging="106" w:hangingChars="50"/>
        <w:rPr>
          <w:rFonts w:hint="eastAsia" w:ascii="楷体" w:hAnsi="楷体" w:eastAsia="楷体"/>
          <w:spacing w:val="-4"/>
          <w:sz w:val="22"/>
          <w:szCs w:val="22"/>
        </w:rPr>
      </w:pPr>
      <w:r>
        <w:rPr>
          <w:rFonts w:hint="eastAsia" w:ascii="楷体" w:hAnsi="楷体" w:eastAsia="楷体"/>
          <w:spacing w:val="-4"/>
          <w:sz w:val="22"/>
          <w:szCs w:val="22"/>
        </w:rPr>
        <w:t>1) 投标文件的大写金额与小写金额不一致时以大写金额为准。总价金额与按单价汇总金额不一致的，以单价金额计算结果为准，单价金额小数点有明显错位的，应以总价为准，并修正单价。</w:t>
      </w:r>
    </w:p>
    <w:p>
      <w:pPr>
        <w:tabs>
          <w:tab w:val="left" w:pos="420"/>
          <w:tab w:val="left" w:pos="720"/>
        </w:tabs>
        <w:spacing w:line="360" w:lineRule="exact"/>
        <w:ind w:left="416" w:leftChars="198" w:firstLine="220" w:firstLineChars="100"/>
        <w:rPr>
          <w:rFonts w:hint="eastAsia" w:ascii="楷体" w:hAnsi="楷体" w:eastAsia="楷体"/>
          <w:sz w:val="22"/>
          <w:szCs w:val="22"/>
        </w:rPr>
      </w:pPr>
      <w:r>
        <w:rPr>
          <w:rFonts w:hint="eastAsia" w:ascii="楷体" w:hAnsi="楷体" w:eastAsia="楷体"/>
          <w:sz w:val="22"/>
          <w:szCs w:val="22"/>
        </w:rPr>
        <w:t>2)如果投标人不接受对其价格错误进行修正，其投标将被拒绝。</w:t>
      </w:r>
    </w:p>
    <w:p>
      <w:pPr>
        <w:tabs>
          <w:tab w:val="left" w:pos="420"/>
          <w:tab w:val="left" w:pos="720"/>
        </w:tabs>
        <w:spacing w:line="360" w:lineRule="exact"/>
        <w:ind w:left="416" w:leftChars="198" w:firstLine="220" w:firstLineChars="100"/>
        <w:rPr>
          <w:rFonts w:hint="eastAsia" w:ascii="楷体" w:hAnsi="楷体" w:eastAsia="楷体"/>
          <w:sz w:val="22"/>
          <w:szCs w:val="22"/>
        </w:rPr>
      </w:pPr>
      <w:r>
        <w:rPr>
          <w:rFonts w:hint="eastAsia" w:ascii="楷体" w:hAnsi="楷体" w:eastAsia="楷体"/>
          <w:sz w:val="22"/>
          <w:szCs w:val="22"/>
        </w:rPr>
        <w:t>3）</w:t>
      </w:r>
      <w:r>
        <w:rPr>
          <w:rFonts w:hint="eastAsia" w:ascii="楷体" w:hAnsi="楷体" w:eastAsia="楷体"/>
          <w:b/>
          <w:bCs/>
          <w:szCs w:val="21"/>
          <w:u w:val="single"/>
        </w:rPr>
        <w:t>▲</w:t>
      </w:r>
      <w:r>
        <w:rPr>
          <w:rFonts w:hint="eastAsia" w:ascii="楷体" w:hAnsi="楷体" w:eastAsia="楷体"/>
          <w:b/>
          <w:sz w:val="22"/>
          <w:szCs w:val="22"/>
          <w:u w:val="single"/>
        </w:rPr>
        <w:t>评审时如发现①商务标中人员（或保洁车辆）等数量（或功能）描述和技术资信标中描述不一致，其投标文件可以做无效标处理。②投标人的报价明显低于成本价的，有权要求投标人书面说明并提供相关证明材料。投标人不能合理说明原因并提供证明材料的，投标文件有可能做无效标处理</w:t>
      </w:r>
      <w:r>
        <w:rPr>
          <w:rFonts w:hint="eastAsia" w:ascii="楷体" w:hAnsi="楷体" w:eastAsia="楷体"/>
          <w:b/>
          <w:bCs/>
          <w:sz w:val="22"/>
          <w:szCs w:val="22"/>
        </w:rPr>
        <w:t>。</w:t>
      </w:r>
    </w:p>
    <w:p>
      <w:pPr>
        <w:numPr>
          <w:ilvl w:val="1"/>
          <w:numId w:val="21"/>
        </w:numPr>
        <w:tabs>
          <w:tab w:val="left" w:pos="540"/>
          <w:tab w:val="clear" w:pos="992"/>
        </w:tabs>
        <w:spacing w:line="360" w:lineRule="exact"/>
        <w:ind w:left="540" w:hanging="540"/>
        <w:rPr>
          <w:rFonts w:hint="eastAsia" w:ascii="楷体" w:hAnsi="楷体" w:eastAsia="楷体"/>
          <w:bCs/>
          <w:sz w:val="22"/>
          <w:szCs w:val="22"/>
        </w:rPr>
      </w:pPr>
      <w:r>
        <w:rPr>
          <w:rFonts w:hint="eastAsia" w:ascii="楷体" w:hAnsi="楷体" w:eastAsia="楷体"/>
          <w:bCs/>
          <w:sz w:val="22"/>
          <w:szCs w:val="22"/>
        </w:rPr>
        <w:t>在详细评标之前，评标委员会要审查每份投标文件是否实质上响应了招标文件的要求。实质上响应的投标应该是与招标文件要求的全部条款、条件和规格基本相符。没有重大偏离。</w:t>
      </w:r>
      <w:r>
        <w:rPr>
          <w:rFonts w:hint="eastAsia" w:ascii="楷体" w:hAnsi="楷体" w:eastAsia="楷体"/>
          <w:b/>
          <w:bCs/>
          <w:sz w:val="22"/>
          <w:szCs w:val="22"/>
        </w:rPr>
        <w:t>评标委员会决定投标的响应性只根据投标文件本身的内容，而不寻求外部的证据。</w:t>
      </w:r>
    </w:p>
    <w:p>
      <w:pPr>
        <w:numPr>
          <w:ilvl w:val="1"/>
          <w:numId w:val="21"/>
        </w:numPr>
        <w:tabs>
          <w:tab w:val="left" w:pos="540"/>
          <w:tab w:val="clear" w:pos="992"/>
        </w:tabs>
        <w:spacing w:line="360" w:lineRule="exact"/>
        <w:ind w:left="540" w:hanging="540"/>
        <w:rPr>
          <w:rFonts w:hint="eastAsia" w:ascii="楷体" w:hAnsi="楷体" w:eastAsia="楷体"/>
          <w:bCs/>
          <w:sz w:val="22"/>
          <w:szCs w:val="22"/>
        </w:rPr>
      </w:pPr>
      <w:r>
        <w:rPr>
          <w:rFonts w:hint="eastAsia" w:ascii="楷体" w:hAnsi="楷体" w:eastAsia="楷体"/>
          <w:bCs/>
          <w:sz w:val="22"/>
          <w:szCs w:val="22"/>
        </w:rPr>
        <w:t>实质上没有响应招标文件要求的投标将被拒绝，投标人不得通过修正或撤消不合要求的偏离或保留从而使其投标成为实质上响应的投标。</w:t>
      </w:r>
    </w:p>
    <w:p>
      <w:pPr>
        <w:numPr>
          <w:ilvl w:val="1"/>
          <w:numId w:val="21"/>
        </w:numPr>
        <w:tabs>
          <w:tab w:val="left" w:pos="540"/>
          <w:tab w:val="clear" w:pos="992"/>
        </w:tabs>
        <w:spacing w:line="360" w:lineRule="exact"/>
        <w:ind w:left="540" w:hanging="540"/>
        <w:rPr>
          <w:rFonts w:hint="eastAsia" w:ascii="楷体" w:hAnsi="楷体" w:eastAsia="楷体"/>
          <w:bCs/>
          <w:sz w:val="22"/>
          <w:szCs w:val="22"/>
        </w:rPr>
      </w:pPr>
      <w:r>
        <w:rPr>
          <w:rFonts w:hint="eastAsia" w:ascii="楷体" w:hAnsi="楷体" w:eastAsia="楷体"/>
          <w:bCs/>
          <w:sz w:val="22"/>
          <w:szCs w:val="22"/>
        </w:rPr>
        <w:t>评标委员会对审查合格的投标文件按照招标文件中制订的评标方法进行综合评定打分。</w:t>
      </w:r>
    </w:p>
    <w:p>
      <w:pPr>
        <w:numPr>
          <w:ilvl w:val="1"/>
          <w:numId w:val="21"/>
        </w:numPr>
        <w:tabs>
          <w:tab w:val="left" w:pos="540"/>
          <w:tab w:val="clear" w:pos="992"/>
        </w:tabs>
        <w:spacing w:line="360" w:lineRule="exact"/>
        <w:ind w:left="540" w:hanging="540"/>
        <w:rPr>
          <w:rFonts w:hint="eastAsia" w:ascii="楷体" w:hAnsi="楷体" w:eastAsia="楷体"/>
          <w:bCs/>
          <w:sz w:val="22"/>
          <w:szCs w:val="22"/>
        </w:rPr>
      </w:pPr>
      <w:r>
        <w:rPr>
          <w:rFonts w:hint="eastAsia" w:ascii="楷体" w:hAnsi="楷体" w:eastAsia="楷体"/>
          <w:bCs/>
          <w:sz w:val="22"/>
          <w:szCs w:val="22"/>
        </w:rPr>
        <w:t>评标过程中遇到特殊情况，由评标委员会遵循公开、公正原则，采取投票方式按照少数服从多数原则决定。</w:t>
      </w:r>
    </w:p>
    <w:p>
      <w:pPr>
        <w:numPr>
          <w:ilvl w:val="1"/>
          <w:numId w:val="21"/>
        </w:numPr>
        <w:tabs>
          <w:tab w:val="left" w:pos="0"/>
          <w:tab w:val="left" w:pos="540"/>
          <w:tab w:val="clear" w:pos="992"/>
        </w:tabs>
        <w:overflowPunct w:val="0"/>
        <w:spacing w:line="360" w:lineRule="exact"/>
        <w:ind w:left="540"/>
        <w:rPr>
          <w:rFonts w:hint="eastAsia" w:ascii="楷体" w:hAnsi="楷体" w:eastAsia="楷体"/>
          <w:b/>
          <w:bCs/>
          <w:sz w:val="22"/>
          <w:szCs w:val="22"/>
        </w:rPr>
      </w:pPr>
      <w:r>
        <w:rPr>
          <w:rFonts w:hint="eastAsia" w:ascii="楷体" w:hAnsi="楷体" w:eastAsia="楷体"/>
          <w:b/>
          <w:bCs/>
          <w:sz w:val="22"/>
          <w:szCs w:val="22"/>
        </w:rPr>
        <w:t>采购响应截止时间止及评审期间有效投标人少于3家的处理情况：</w:t>
      </w:r>
    </w:p>
    <w:p>
      <w:pPr>
        <w:tabs>
          <w:tab w:val="left" w:pos="540"/>
        </w:tabs>
        <w:overflowPunct w:val="0"/>
        <w:spacing w:line="360" w:lineRule="exact"/>
        <w:ind w:left="773" w:hanging="773" w:hangingChars="350"/>
        <w:rPr>
          <w:rFonts w:hint="eastAsia" w:ascii="楷体" w:hAnsi="楷体" w:eastAsia="楷体"/>
          <w:b/>
          <w:bCs/>
          <w:sz w:val="22"/>
          <w:szCs w:val="22"/>
        </w:rPr>
      </w:pPr>
      <w:r>
        <w:rPr>
          <w:rFonts w:hint="eastAsia" w:ascii="楷体" w:hAnsi="楷体" w:eastAsia="楷体"/>
          <w:b/>
          <w:bCs/>
          <w:sz w:val="22"/>
          <w:szCs w:val="22"/>
        </w:rPr>
        <w:t>21.10.1投标截止时间止及评审期间，如出现有效供应商＜3家时，本项目废标，并重新组织招标。</w:t>
      </w:r>
    </w:p>
    <w:p>
      <w:pPr>
        <w:numPr>
          <w:ilvl w:val="0"/>
          <w:numId w:val="16"/>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投标文件的澄清</w:t>
      </w:r>
    </w:p>
    <w:p>
      <w:pPr>
        <w:numPr>
          <w:ilvl w:val="1"/>
          <w:numId w:val="25"/>
        </w:numPr>
        <w:tabs>
          <w:tab w:val="left" w:pos="540"/>
        </w:tabs>
        <w:spacing w:line="360" w:lineRule="exact"/>
        <w:ind w:left="540" w:hanging="540"/>
        <w:rPr>
          <w:rFonts w:hint="eastAsia" w:ascii="楷体" w:hAnsi="楷体" w:eastAsia="楷体"/>
          <w:sz w:val="22"/>
          <w:szCs w:val="22"/>
        </w:rPr>
      </w:pPr>
      <w:r>
        <w:rPr>
          <w:rFonts w:hint="eastAsia" w:ascii="楷体" w:hAnsi="楷体" w:eastAsia="楷体"/>
          <w:bCs/>
          <w:sz w:val="22"/>
          <w:szCs w:val="22"/>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numPr>
          <w:ilvl w:val="1"/>
          <w:numId w:val="25"/>
        </w:numPr>
        <w:tabs>
          <w:tab w:val="left" w:pos="540"/>
        </w:tabs>
        <w:spacing w:line="360" w:lineRule="exact"/>
        <w:ind w:left="540" w:hanging="540"/>
        <w:rPr>
          <w:rFonts w:hint="eastAsia" w:ascii="楷体" w:hAnsi="楷体" w:eastAsia="楷体"/>
          <w:sz w:val="22"/>
          <w:szCs w:val="22"/>
        </w:rPr>
      </w:pPr>
      <w:r>
        <w:rPr>
          <w:rFonts w:hint="eastAsia" w:ascii="楷体" w:hAnsi="楷体" w:eastAsia="楷体"/>
          <w:sz w:val="22"/>
          <w:szCs w:val="22"/>
        </w:rPr>
        <w:t>经澄清后，若偏差仍存在，且不可接受，投标人则被认为是“没有实质性响应招标文件要求”，其投标不进入下一步评审。</w:t>
      </w:r>
    </w:p>
    <w:p>
      <w:pPr>
        <w:numPr>
          <w:ilvl w:val="0"/>
          <w:numId w:val="16"/>
        </w:numPr>
        <w:tabs>
          <w:tab w:val="left" w:pos="540"/>
        </w:tabs>
        <w:spacing w:line="360" w:lineRule="exact"/>
        <w:rPr>
          <w:rFonts w:hint="eastAsia" w:ascii="楷体" w:hAnsi="楷体" w:eastAsia="楷体"/>
          <w:sz w:val="22"/>
          <w:szCs w:val="22"/>
        </w:rPr>
      </w:pPr>
      <w:r>
        <w:rPr>
          <w:rFonts w:hint="eastAsia" w:ascii="楷体" w:hAnsi="楷体" w:eastAsia="楷体"/>
          <w:bCs/>
          <w:sz w:val="22"/>
          <w:szCs w:val="22"/>
        </w:rPr>
        <w:t>确定中标候选人</w:t>
      </w:r>
    </w:p>
    <w:p>
      <w:pPr>
        <w:tabs>
          <w:tab w:val="left" w:pos="540"/>
          <w:tab w:val="left" w:pos="840"/>
        </w:tabs>
        <w:spacing w:line="360" w:lineRule="exact"/>
        <w:ind w:left="540" w:hanging="540"/>
        <w:rPr>
          <w:rFonts w:hint="eastAsia" w:ascii="楷体" w:hAnsi="楷体" w:eastAsia="楷体"/>
          <w:sz w:val="22"/>
          <w:szCs w:val="22"/>
        </w:rPr>
      </w:pPr>
      <w:r>
        <w:rPr>
          <w:rFonts w:hint="eastAsia" w:ascii="楷体" w:hAnsi="楷体" w:eastAsia="楷体"/>
          <w:sz w:val="22"/>
          <w:szCs w:val="22"/>
        </w:rPr>
        <w:t>23.1 本次招标由评标委员会推荐中标候选人，招标人根据评标委员会的推荐结果进行最终确认。</w:t>
      </w:r>
    </w:p>
    <w:p>
      <w:pPr>
        <w:tabs>
          <w:tab w:val="left" w:pos="540"/>
          <w:tab w:val="left" w:pos="840"/>
        </w:tabs>
        <w:spacing w:line="360" w:lineRule="exact"/>
        <w:ind w:left="540" w:hanging="540"/>
        <w:rPr>
          <w:rFonts w:hint="eastAsia" w:ascii="楷体" w:hAnsi="楷体" w:eastAsia="楷体"/>
          <w:sz w:val="22"/>
          <w:szCs w:val="22"/>
        </w:rPr>
      </w:pPr>
      <w:r>
        <w:rPr>
          <w:rFonts w:hint="eastAsia" w:ascii="楷体" w:hAnsi="楷体" w:eastAsia="楷体"/>
          <w:sz w:val="22"/>
          <w:szCs w:val="22"/>
        </w:rPr>
        <w:t>23.2评标委员会按得分高低顺序排列，综合得分前两名投标人依次作为第一中标候选人和第二中标候选人向招标人推荐，并提交评标报告。出现得分相同的情况，按投标报价由低到高顺序排列；得分且投标报价相同的，按技术部分得分由高到底顺序排列。技术标得分也相同，则抽签决定名次。</w:t>
      </w:r>
    </w:p>
    <w:p>
      <w:pPr>
        <w:tabs>
          <w:tab w:val="left" w:pos="540"/>
          <w:tab w:val="left" w:pos="840"/>
        </w:tabs>
        <w:spacing w:line="360" w:lineRule="exact"/>
        <w:ind w:left="540" w:hanging="540"/>
        <w:rPr>
          <w:rFonts w:hint="eastAsia" w:ascii="楷体" w:hAnsi="楷体" w:eastAsia="楷体"/>
          <w:sz w:val="22"/>
          <w:szCs w:val="22"/>
        </w:rPr>
      </w:pPr>
      <w:r>
        <w:rPr>
          <w:rFonts w:hint="eastAsia" w:ascii="楷体" w:hAnsi="楷体" w:eastAsia="楷体"/>
          <w:sz w:val="22"/>
          <w:szCs w:val="22"/>
        </w:rPr>
        <w:t>23.3如有放弃中标；因不可抗力提出不能履行合同；或者招标文件规定应当提交履约保证金而在规定的期限内未能提交的；或未能在规定时间内与采购单位签订合同的；或者经质疑，招标人审查后，确因中标候选人在本次采购活动中存在违法违规行为或其他原因使质疑成立的，招标人可视具体情况确定是否由第二中标候选人递补为中标人。如第二中标候选人因前款规定的同样原因不能签订合同的，本次招标失败，重新组织招标。</w:t>
      </w:r>
    </w:p>
    <w:p>
      <w:pPr>
        <w:tabs>
          <w:tab w:val="left" w:pos="540"/>
          <w:tab w:val="left" w:pos="840"/>
        </w:tabs>
        <w:spacing w:line="360" w:lineRule="exact"/>
        <w:ind w:left="540" w:hanging="540"/>
        <w:rPr>
          <w:rFonts w:hint="eastAsia" w:ascii="楷体" w:hAnsi="楷体" w:eastAsia="楷体"/>
          <w:sz w:val="22"/>
          <w:szCs w:val="22"/>
        </w:rPr>
      </w:pPr>
      <w:r>
        <w:rPr>
          <w:rFonts w:hint="eastAsia" w:ascii="楷体" w:hAnsi="楷体" w:eastAsia="楷体"/>
          <w:sz w:val="22"/>
          <w:szCs w:val="22"/>
        </w:rPr>
        <w:t>23.4招标人对决标结果不做任何解释，也不保证最低价中标。</w:t>
      </w:r>
    </w:p>
    <w:p>
      <w:pPr>
        <w:numPr>
          <w:ilvl w:val="0"/>
          <w:numId w:val="16"/>
        </w:num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评标细则详见“评标原则及方法”。</w:t>
      </w:r>
    </w:p>
    <w:p>
      <w:pPr>
        <w:pStyle w:val="23"/>
        <w:spacing w:line="360" w:lineRule="exact"/>
        <w:rPr>
          <w:rFonts w:hint="eastAsia" w:ascii="楷体" w:hAnsi="楷体" w:eastAsia="楷体"/>
          <w:sz w:val="26"/>
        </w:rPr>
      </w:pPr>
      <w:bookmarkStart w:id="121" w:name="_Toc6228"/>
      <w:bookmarkStart w:id="122" w:name="_Toc221356889"/>
      <w:bookmarkStart w:id="123" w:name="_Toc221356953"/>
      <w:bookmarkStart w:id="124" w:name="_Toc249758714"/>
      <w:bookmarkStart w:id="125" w:name="_Toc221423621"/>
      <w:bookmarkStart w:id="126" w:name="_Toc245722283"/>
      <w:bookmarkStart w:id="127" w:name="_Toc262049420"/>
      <w:bookmarkStart w:id="128" w:name="_Toc262105505"/>
      <w:bookmarkStart w:id="129" w:name="_Toc249758866"/>
      <w:bookmarkStart w:id="130" w:name="_Toc223716000"/>
      <w:bookmarkStart w:id="131" w:name="_Toc221374628"/>
      <w:bookmarkStart w:id="132" w:name="_Toc241404204"/>
      <w:bookmarkStart w:id="133" w:name="_Toc246261267"/>
      <w:bookmarkStart w:id="134" w:name="_Toc239145356"/>
      <w:bookmarkStart w:id="135" w:name="_Toc245191316"/>
      <w:bookmarkStart w:id="136" w:name="_Toc222114881"/>
      <w:r>
        <w:rPr>
          <w:rFonts w:ascii="楷体" w:hAnsi="楷体" w:eastAsia="楷体"/>
          <w:sz w:val="26"/>
        </w:rPr>
        <w:t>六、 政府采购政策</w:t>
      </w:r>
      <w:bookmarkEnd w:id="121"/>
    </w:p>
    <w:p>
      <w:pPr>
        <w:spacing w:line="360" w:lineRule="exact"/>
        <w:rPr>
          <w:rFonts w:hint="eastAsia" w:ascii="楷体" w:hAnsi="楷体" w:eastAsia="楷体"/>
          <w:sz w:val="22"/>
          <w:szCs w:val="22"/>
        </w:rPr>
      </w:pPr>
      <w:r>
        <w:rPr>
          <w:rFonts w:ascii="楷体" w:hAnsi="楷体" w:eastAsia="楷体"/>
          <w:sz w:val="22"/>
          <w:szCs w:val="22"/>
        </w:rPr>
        <w:t>25.政府采购政策由财政部根据国家的经济和社会发展政策并会同国家有关部委制定，包括但不限于下列具体政策要求：</w:t>
      </w:r>
    </w:p>
    <w:p>
      <w:pPr>
        <w:spacing w:line="360" w:lineRule="exact"/>
        <w:ind w:firstLine="440" w:firstLineChars="200"/>
        <w:rPr>
          <w:rFonts w:hint="eastAsia" w:ascii="楷体" w:hAnsi="楷体" w:eastAsia="楷体"/>
          <w:sz w:val="22"/>
          <w:szCs w:val="22"/>
        </w:rPr>
      </w:pPr>
      <w:r>
        <w:rPr>
          <w:rFonts w:ascii="楷体" w:hAnsi="楷体" w:eastAsia="楷体"/>
          <w:sz w:val="22"/>
          <w:szCs w:val="22"/>
        </w:rPr>
        <w:t>25.1符合财政部、工信部文件（财库[2011]181号）规定的小型、微型企业可享受扶持政策（评审中价格扣除）。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spacing w:line="360" w:lineRule="exact"/>
        <w:ind w:firstLine="440" w:firstLineChars="200"/>
        <w:rPr>
          <w:rFonts w:hint="eastAsia" w:ascii="楷体" w:hAnsi="楷体" w:eastAsia="楷体"/>
          <w:sz w:val="22"/>
          <w:szCs w:val="22"/>
        </w:rPr>
      </w:pPr>
      <w:r>
        <w:rPr>
          <w:rFonts w:ascii="楷体" w:hAnsi="楷体" w:eastAsia="楷体"/>
          <w:sz w:val="22"/>
          <w:szCs w:val="22"/>
        </w:rPr>
        <w:t>（1）中小企业指同时符合下列条件的中型、小型、微型企业：</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①</w:t>
      </w:r>
      <w:r>
        <w:rPr>
          <w:rFonts w:ascii="楷体" w:hAnsi="楷体" w:eastAsia="楷体"/>
          <w:sz w:val="22"/>
          <w:szCs w:val="22"/>
        </w:rPr>
        <w:t>符合《工业和信息化部、国家统计局、国家发展和改革委员会、财政部关于印发中小企业划型标准规定的通知》（工信部联企业[2011]300号）规定的划分标准；</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②</w:t>
      </w:r>
      <w:r>
        <w:rPr>
          <w:rFonts w:ascii="楷体" w:hAnsi="楷体" w:eastAsia="楷体"/>
          <w:sz w:val="22"/>
          <w:szCs w:val="22"/>
        </w:rPr>
        <w:t>提供本企业制造的货物、承担的工程或服务，或提供其他中小企业制造的货物。本项所称货物不包括使用大型企业注册商标的货物。小型、微型企业提供中型企业制造的货物，视同中型企业。</w:t>
      </w:r>
    </w:p>
    <w:p>
      <w:pPr>
        <w:spacing w:line="360" w:lineRule="exact"/>
        <w:ind w:firstLine="440" w:firstLineChars="200"/>
        <w:rPr>
          <w:rFonts w:hint="eastAsia" w:ascii="楷体" w:hAnsi="楷体" w:eastAsia="楷体"/>
          <w:sz w:val="22"/>
          <w:szCs w:val="22"/>
        </w:rPr>
      </w:pPr>
      <w:r>
        <w:rPr>
          <w:rFonts w:ascii="楷体" w:hAnsi="楷体" w:eastAsia="楷体"/>
          <w:sz w:val="22"/>
          <w:szCs w:val="22"/>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①</w:t>
      </w:r>
      <w:r>
        <w:rPr>
          <w:rFonts w:ascii="楷体" w:hAnsi="楷体" w:eastAsia="楷体"/>
          <w:sz w:val="22"/>
          <w:szCs w:val="22"/>
        </w:rPr>
        <w:t>监狱企业参加采购活动时，应提供由省级以上监狱管理局、戒毒管理局（含新疆生产建设兵团）出具的属于监狱企业的证明文件。</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②</w:t>
      </w:r>
      <w:r>
        <w:rPr>
          <w:rFonts w:ascii="楷体" w:hAnsi="楷体" w:eastAsia="楷体"/>
          <w:sz w:val="22"/>
          <w:szCs w:val="22"/>
        </w:rPr>
        <w:t>监狱企业视同小型、微型企业。</w:t>
      </w:r>
    </w:p>
    <w:p>
      <w:pPr>
        <w:spacing w:line="360" w:lineRule="exact"/>
        <w:ind w:firstLine="440" w:firstLineChars="200"/>
        <w:rPr>
          <w:rFonts w:hint="eastAsia" w:ascii="楷体" w:hAnsi="楷体" w:eastAsia="楷体"/>
          <w:sz w:val="22"/>
          <w:szCs w:val="22"/>
        </w:rPr>
      </w:pPr>
      <w:r>
        <w:rPr>
          <w:rFonts w:ascii="楷体" w:hAnsi="楷体" w:eastAsia="楷体"/>
          <w:sz w:val="22"/>
          <w:szCs w:val="22"/>
        </w:rPr>
        <w:t>（3）残疾人福利性单位指同时符合下列条件的单位：</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①</w:t>
      </w:r>
      <w:r>
        <w:rPr>
          <w:rFonts w:ascii="楷体" w:hAnsi="楷体" w:eastAsia="楷体"/>
          <w:sz w:val="22"/>
          <w:szCs w:val="22"/>
        </w:rPr>
        <w:t>安置的残疾人占本单位在职职工人数的比例不低于25%（含25%），并且安置的残疾人人数不少于10人（含10人）；</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②</w:t>
      </w:r>
      <w:r>
        <w:rPr>
          <w:rFonts w:ascii="楷体" w:hAnsi="楷体" w:eastAsia="楷体"/>
          <w:sz w:val="22"/>
          <w:szCs w:val="22"/>
        </w:rPr>
        <w:t>依法与安置的每位残疾人签订了一年以上（含一年）的劳动合同或服务协议；</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③</w:t>
      </w:r>
      <w:r>
        <w:rPr>
          <w:rFonts w:ascii="楷体" w:hAnsi="楷体" w:eastAsia="楷体"/>
          <w:sz w:val="22"/>
          <w:szCs w:val="22"/>
        </w:rPr>
        <w:t>为安置的每位残疾人按月足额缴纳了基本养老保险、基本医疗保险、失业保险、工伤保险和生育保险等社会保险费；</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④</w:t>
      </w:r>
      <w:r>
        <w:rPr>
          <w:rFonts w:ascii="楷体" w:hAnsi="楷体" w:eastAsia="楷体"/>
          <w:sz w:val="22"/>
          <w:szCs w:val="22"/>
        </w:rPr>
        <w:t>通过银行等金融机构向安置的每位残疾人，按月支付了不低于单位所在区县适用的经省级人民政府批准的月最低工资标准的工资；</w:t>
      </w:r>
    </w:p>
    <w:p>
      <w:pPr>
        <w:spacing w:line="360" w:lineRule="exact"/>
        <w:ind w:firstLine="660" w:firstLineChars="300"/>
        <w:rPr>
          <w:rFonts w:hint="eastAsia" w:ascii="楷体" w:hAnsi="楷体" w:eastAsia="楷体"/>
          <w:sz w:val="22"/>
          <w:szCs w:val="22"/>
        </w:rPr>
      </w:pPr>
      <w:r>
        <w:rPr>
          <w:rFonts w:hint="eastAsia" w:ascii="楷体" w:hAnsi="楷体" w:eastAsia="楷体" w:cs="宋体"/>
          <w:sz w:val="22"/>
          <w:szCs w:val="22"/>
        </w:rPr>
        <w:t>⑤</w:t>
      </w:r>
      <w:r>
        <w:rPr>
          <w:rFonts w:ascii="楷体" w:hAnsi="楷体" w:eastAsia="楷体"/>
          <w:sz w:val="22"/>
          <w:szCs w:val="22"/>
        </w:rPr>
        <w:t>提供本单位制造的货物、承担的工程或服务，或提供其他残疾人福利性单位制造的货物（不包括使用非残疾人福利性单位注册商标的货物）。</w:t>
      </w:r>
    </w:p>
    <w:p>
      <w:pPr>
        <w:spacing w:line="360" w:lineRule="exact"/>
        <w:ind w:firstLine="660" w:firstLineChars="300"/>
        <w:rPr>
          <w:rFonts w:hint="eastAsia" w:ascii="楷体" w:hAnsi="楷体" w:eastAsia="楷体"/>
          <w:sz w:val="22"/>
          <w:szCs w:val="22"/>
        </w:rPr>
      </w:pPr>
      <w:r>
        <w:rPr>
          <w:rFonts w:ascii="楷体" w:hAnsi="楷体" w:eastAsia="楷体"/>
          <w:sz w:val="22"/>
          <w:szCs w:val="22"/>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spacing w:line="360" w:lineRule="exact"/>
        <w:ind w:firstLine="663" w:firstLineChars="300"/>
        <w:rPr>
          <w:rFonts w:hint="eastAsia" w:ascii="楷体" w:hAnsi="楷体" w:eastAsia="楷体"/>
          <w:b/>
          <w:bCs/>
          <w:sz w:val="22"/>
          <w:szCs w:val="22"/>
        </w:rPr>
      </w:pPr>
      <w:r>
        <w:rPr>
          <w:rFonts w:hint="eastAsia" w:ascii="楷体" w:hAnsi="楷体" w:eastAsia="楷体" w:cs="宋体"/>
          <w:b/>
          <w:bCs/>
          <w:sz w:val="22"/>
          <w:szCs w:val="22"/>
        </w:rPr>
        <w:t>※</w:t>
      </w:r>
      <w:r>
        <w:rPr>
          <w:rFonts w:ascii="楷体" w:hAnsi="楷体" w:eastAsia="楷体"/>
          <w:b/>
          <w:bCs/>
          <w:sz w:val="22"/>
          <w:szCs w:val="22"/>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25.</w:t>
      </w:r>
      <w:r>
        <w:rPr>
          <w:rFonts w:hint="eastAsia" w:ascii="楷体" w:hAnsi="楷体" w:eastAsia="楷体"/>
          <w:b/>
          <w:bCs/>
          <w:sz w:val="22"/>
          <w:szCs w:val="22"/>
        </w:rPr>
        <w:t>3</w:t>
      </w:r>
      <w:r>
        <w:rPr>
          <w:rFonts w:ascii="楷体" w:hAnsi="楷体" w:eastAsia="楷体"/>
          <w:b/>
          <w:bCs/>
          <w:sz w:val="22"/>
          <w:szCs w:val="22"/>
          <w:u w:val="single"/>
        </w:rPr>
        <w:t>享受小微企业价格折扣应提供以下证明材料（投标文件资信标中，缺一不可）</w:t>
      </w:r>
      <w:r>
        <w:rPr>
          <w:rFonts w:ascii="楷体" w:hAnsi="楷体" w:eastAsia="楷体"/>
          <w:b/>
          <w:bCs/>
          <w:sz w:val="22"/>
          <w:szCs w:val="22"/>
        </w:rPr>
        <w:t>：</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（1）通过浙江政府采购网申请注册加入政府采购供应商库（不包括公示期内，提供浙江省政府采购网页面截图或其它入库证明材料，加盖供应商公章）</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（2）《中小企业声明函》（原件，加盖供应商公章，格式见招标文件第三部分附件</w:t>
      </w:r>
      <w:r>
        <w:rPr>
          <w:rFonts w:hint="eastAsia" w:ascii="楷体" w:hAnsi="楷体" w:eastAsia="楷体"/>
          <w:b/>
          <w:bCs/>
          <w:sz w:val="22"/>
          <w:szCs w:val="22"/>
        </w:rPr>
        <w:t>（如有）</w:t>
      </w:r>
      <w:r>
        <w:rPr>
          <w:rFonts w:ascii="楷体" w:hAnsi="楷体" w:eastAsia="楷体"/>
          <w:b/>
          <w:bCs/>
          <w:sz w:val="22"/>
          <w:szCs w:val="22"/>
        </w:rPr>
        <w:t>）</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（3）“国家企业信用信息公示系统---小微企业名录”页面查询结果（查询时间应为本项目招标公告发布时间之后）（页面打印加盖供应商公章，格式见招标文件第三部分附件</w:t>
      </w:r>
      <w:r>
        <w:rPr>
          <w:rFonts w:hint="eastAsia" w:ascii="楷体" w:hAnsi="楷体" w:eastAsia="楷体"/>
          <w:b/>
          <w:bCs/>
          <w:sz w:val="22"/>
          <w:szCs w:val="22"/>
        </w:rPr>
        <w:t>（如有）</w:t>
      </w:r>
      <w:r>
        <w:rPr>
          <w:rFonts w:ascii="楷体" w:hAnsi="楷体" w:eastAsia="楷体"/>
          <w:b/>
          <w:bCs/>
          <w:sz w:val="22"/>
          <w:szCs w:val="22"/>
        </w:rPr>
        <w:t>）；不在小微企业名录内的，不享受价格折扣。</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25.</w:t>
      </w:r>
      <w:r>
        <w:rPr>
          <w:rFonts w:hint="eastAsia" w:ascii="楷体" w:hAnsi="楷体" w:eastAsia="楷体"/>
          <w:b/>
          <w:bCs/>
          <w:sz w:val="22"/>
          <w:szCs w:val="22"/>
        </w:rPr>
        <w:t>4</w:t>
      </w:r>
      <w:r>
        <w:rPr>
          <w:rFonts w:ascii="楷体" w:hAnsi="楷体" w:eastAsia="楷体"/>
          <w:b/>
          <w:bCs/>
          <w:sz w:val="22"/>
          <w:szCs w:val="22"/>
        </w:rPr>
        <w:t xml:space="preserve"> </w:t>
      </w:r>
      <w:r>
        <w:rPr>
          <w:rFonts w:ascii="楷体" w:hAnsi="楷体" w:eastAsia="楷体"/>
          <w:b/>
          <w:bCs/>
          <w:sz w:val="22"/>
          <w:szCs w:val="22"/>
          <w:u w:val="single"/>
        </w:rPr>
        <w:t>享受监狱企业6%价格折扣应提供以下证明材料（投标文件资信标中，不提供的不享受价格折扣）</w:t>
      </w:r>
      <w:r>
        <w:rPr>
          <w:rFonts w:ascii="楷体" w:hAnsi="楷体" w:eastAsia="楷体"/>
          <w:b/>
          <w:bCs/>
          <w:sz w:val="22"/>
          <w:szCs w:val="22"/>
        </w:rPr>
        <w:t>：</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360" w:lineRule="exact"/>
        <w:ind w:firstLine="442" w:firstLineChars="200"/>
        <w:jc w:val="left"/>
        <w:rPr>
          <w:rFonts w:hint="eastAsia" w:ascii="楷体" w:hAnsi="楷体" w:eastAsia="楷体"/>
          <w:b/>
          <w:bCs/>
          <w:sz w:val="22"/>
          <w:szCs w:val="22"/>
        </w:rPr>
      </w:pPr>
      <w:r>
        <w:rPr>
          <w:rFonts w:ascii="楷体" w:hAnsi="楷体" w:eastAsia="楷体"/>
          <w:b/>
          <w:bCs/>
          <w:sz w:val="22"/>
          <w:szCs w:val="22"/>
        </w:rPr>
        <w:t>25.</w:t>
      </w:r>
      <w:r>
        <w:rPr>
          <w:rFonts w:hint="eastAsia" w:ascii="楷体" w:hAnsi="楷体" w:eastAsia="楷体"/>
          <w:b/>
          <w:bCs/>
          <w:sz w:val="22"/>
          <w:szCs w:val="22"/>
        </w:rPr>
        <w:t>5</w:t>
      </w:r>
      <w:r>
        <w:rPr>
          <w:rFonts w:ascii="楷体" w:hAnsi="楷体" w:eastAsia="楷体"/>
          <w:b/>
          <w:bCs/>
          <w:sz w:val="22"/>
          <w:szCs w:val="22"/>
        </w:rPr>
        <w:t xml:space="preserve"> </w:t>
      </w:r>
      <w:r>
        <w:rPr>
          <w:rFonts w:ascii="楷体" w:hAnsi="楷体" w:eastAsia="楷体"/>
          <w:b/>
          <w:bCs/>
          <w:sz w:val="22"/>
          <w:szCs w:val="22"/>
          <w:u w:val="single"/>
        </w:rPr>
        <w:t>享受残疾人福利性单位6%格折扣应提供以下证明材料（投标文件资信标中，不提供的不享受价格折扣）</w:t>
      </w:r>
      <w:r>
        <w:rPr>
          <w:rFonts w:ascii="楷体" w:hAnsi="楷体" w:eastAsia="楷体"/>
          <w:b/>
          <w:bCs/>
          <w:sz w:val="22"/>
          <w:szCs w:val="22"/>
        </w:rPr>
        <w:t>：（1）残疾人福利性单位声明函，格式见招标文件第三部分附件</w:t>
      </w:r>
      <w:r>
        <w:rPr>
          <w:rFonts w:hint="eastAsia" w:ascii="楷体" w:hAnsi="楷体" w:eastAsia="楷体"/>
          <w:b/>
          <w:bCs/>
          <w:sz w:val="22"/>
          <w:szCs w:val="22"/>
        </w:rPr>
        <w:t>（如有）</w:t>
      </w:r>
      <w:r>
        <w:rPr>
          <w:rFonts w:ascii="楷体" w:hAnsi="楷体" w:eastAsia="楷体"/>
          <w:b/>
          <w:bCs/>
          <w:sz w:val="22"/>
          <w:szCs w:val="22"/>
        </w:rPr>
        <w:t>。</w:t>
      </w:r>
    </w:p>
    <w:p>
      <w:pPr>
        <w:spacing w:before="100" w:beforeAutospacing="1" w:after="100" w:afterAutospacing="1" w:line="360" w:lineRule="exact"/>
        <w:ind w:left="783" w:hanging="783" w:hangingChars="300"/>
        <w:jc w:val="center"/>
        <w:outlineLvl w:val="0"/>
        <w:rPr>
          <w:rFonts w:hint="eastAsia" w:ascii="楷体" w:hAnsi="楷体" w:eastAsia="楷体"/>
          <w:b/>
          <w:bCs/>
          <w:sz w:val="26"/>
          <w:szCs w:val="26"/>
        </w:rPr>
      </w:pPr>
      <w:bookmarkStart w:id="137" w:name="_Toc16592"/>
      <w:r>
        <w:rPr>
          <w:rFonts w:hint="eastAsia" w:ascii="楷体" w:hAnsi="楷体" w:eastAsia="楷体"/>
          <w:b/>
          <w:bCs/>
          <w:sz w:val="26"/>
          <w:szCs w:val="26"/>
        </w:rPr>
        <w:t xml:space="preserve"> 七、授予合同</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26评标委员会推荐的中标候选人经招标人确认后</w:t>
      </w:r>
      <w:r>
        <w:rPr>
          <w:rFonts w:ascii="楷体" w:hAnsi="楷体" w:eastAsia="楷体"/>
          <w:bCs/>
          <w:sz w:val="22"/>
          <w:szCs w:val="22"/>
        </w:rPr>
        <w:t>在政府采购指定信息发布媒体</w:t>
      </w:r>
      <w:r>
        <w:rPr>
          <w:rFonts w:hint="eastAsia" w:ascii="楷体" w:hAnsi="楷体" w:eastAsia="楷体"/>
          <w:sz w:val="22"/>
          <w:szCs w:val="22"/>
        </w:rPr>
        <w:t>（浙江政府采购网）</w:t>
      </w:r>
      <w:r>
        <w:rPr>
          <w:rFonts w:ascii="楷体" w:hAnsi="楷体" w:eastAsia="楷体"/>
          <w:bCs/>
          <w:sz w:val="22"/>
          <w:szCs w:val="22"/>
        </w:rPr>
        <w:t>上</w:t>
      </w:r>
      <w:r>
        <w:rPr>
          <w:rFonts w:hint="eastAsia" w:ascii="楷体" w:hAnsi="楷体" w:eastAsia="楷体"/>
          <w:bCs/>
          <w:sz w:val="22"/>
          <w:szCs w:val="22"/>
        </w:rPr>
        <w:t>公示，各投标人对评标结果如有异议，可在规定时间内以书面形式向招标人进行署名投诉或提出质疑，但需对投诉或质疑内容的真实性承担法律责任。</w:t>
      </w:r>
      <w:r>
        <w:rPr>
          <w:rFonts w:hint="eastAsia" w:ascii="楷体" w:hAnsi="楷体" w:eastAsia="楷体"/>
          <w:b/>
          <w:sz w:val="22"/>
          <w:szCs w:val="22"/>
        </w:rPr>
        <w:t>根据《政府采购法实施条例》，投标人捏造事实、提供虚假材料或者以非法手段取得证明材料进行投诉的，由财政部门列入不良行为记录名单，禁止其1至3年内参加政府采购活动。因恶意质疑、投诉导致项目实施延期的，采购人可以向投标人索赔，投标人应按延期天数每日伍仟元的标准对采购人予以赔偿。</w:t>
      </w:r>
    </w:p>
    <w:p>
      <w:p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27中标通知书</w:t>
      </w:r>
    </w:p>
    <w:p>
      <w:pPr>
        <w:tabs>
          <w:tab w:val="left" w:pos="540"/>
          <w:tab w:val="left" w:pos="992"/>
        </w:tabs>
        <w:spacing w:line="360" w:lineRule="exact"/>
        <w:ind w:left="540" w:hanging="540"/>
        <w:rPr>
          <w:rFonts w:hint="eastAsia" w:ascii="楷体" w:hAnsi="楷体" w:eastAsia="楷体"/>
          <w:sz w:val="22"/>
          <w:szCs w:val="22"/>
        </w:rPr>
      </w:pPr>
      <w:r>
        <w:rPr>
          <w:rFonts w:hint="eastAsia" w:ascii="楷体" w:hAnsi="楷体" w:eastAsia="楷体"/>
          <w:bCs/>
          <w:sz w:val="22"/>
          <w:szCs w:val="22"/>
        </w:rPr>
        <w:t xml:space="preserve">27.1公示期结束后，招标人将向中标人发出中标通知书。 </w:t>
      </w:r>
    </w:p>
    <w:p>
      <w:pPr>
        <w:tabs>
          <w:tab w:val="left" w:pos="540"/>
          <w:tab w:val="left"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27.2中标通知书是合同的一个组成部分,对招标人和中标人均具有同等法律效力。</w:t>
      </w:r>
    </w:p>
    <w:p>
      <w:pPr>
        <w:tabs>
          <w:tab w:val="left" w:pos="540"/>
          <w:tab w:val="left"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28签订合同</w:t>
      </w:r>
    </w:p>
    <w:p>
      <w:pPr>
        <w:tabs>
          <w:tab w:val="left" w:pos="540"/>
          <w:tab w:val="left" w:pos="992"/>
        </w:tabs>
        <w:spacing w:line="360" w:lineRule="exact"/>
        <w:ind w:left="540" w:hanging="540"/>
        <w:rPr>
          <w:rFonts w:hint="eastAsia" w:ascii="楷体" w:hAnsi="楷体" w:eastAsia="楷体"/>
          <w:b/>
          <w:spacing w:val="6"/>
          <w:sz w:val="22"/>
          <w:szCs w:val="22"/>
        </w:rPr>
      </w:pPr>
      <w:r>
        <w:rPr>
          <w:rFonts w:hint="eastAsia" w:ascii="楷体" w:hAnsi="楷体" w:eastAsia="楷体"/>
          <w:sz w:val="22"/>
          <w:szCs w:val="22"/>
        </w:rPr>
        <w:t>28.1中标人应按中标通知书规定的时间、地点与招标人签订合同，在合同签订前须按招标文件规定的时间内提交合同金额10%的履约保证金及购车履约保证金。</w:t>
      </w:r>
    </w:p>
    <w:p>
      <w:pPr>
        <w:tabs>
          <w:tab w:val="left" w:pos="540"/>
          <w:tab w:val="left" w:pos="992"/>
        </w:tabs>
        <w:spacing w:line="360" w:lineRule="exact"/>
        <w:ind w:left="540" w:hanging="540"/>
        <w:rPr>
          <w:rFonts w:hint="eastAsia" w:ascii="楷体" w:hAnsi="楷体" w:eastAsia="楷体"/>
          <w:sz w:val="22"/>
          <w:szCs w:val="22"/>
        </w:rPr>
      </w:pPr>
      <w:r>
        <w:rPr>
          <w:rFonts w:hint="eastAsia" w:ascii="楷体" w:hAnsi="楷体" w:eastAsia="楷体"/>
          <w:spacing w:val="6"/>
          <w:sz w:val="22"/>
          <w:szCs w:val="22"/>
        </w:rPr>
        <w:t>28.2</w:t>
      </w:r>
      <w:r>
        <w:rPr>
          <w:rFonts w:hint="eastAsia" w:ascii="楷体" w:hAnsi="楷体" w:eastAsia="楷体"/>
          <w:b/>
          <w:spacing w:val="6"/>
          <w:sz w:val="22"/>
          <w:szCs w:val="22"/>
          <w:u w:val="single"/>
        </w:rPr>
        <w:t>在签订合同前，招标人有权在中标总价不变的前提下要求中标人对商务报价中的不平衡报价和缺漏项进行调整，如果中标人无合理理由拒绝调整，其中标资格将被取消，且将导致其它进一步的赔偿和处罚</w:t>
      </w:r>
      <w:r>
        <w:rPr>
          <w:rFonts w:hint="eastAsia" w:ascii="楷体" w:hAnsi="楷体" w:eastAsia="楷体"/>
          <w:spacing w:val="6"/>
          <w:sz w:val="22"/>
          <w:szCs w:val="22"/>
        </w:rPr>
        <w:t>。中标人因不可抗力或自身原因不能履行采购合同的，招标人可以与排位在中标人之后的第一位的中标候选人签订政府采购合同。</w:t>
      </w:r>
    </w:p>
    <w:p>
      <w:pPr>
        <w:tabs>
          <w:tab w:val="left" w:pos="540"/>
          <w:tab w:val="left" w:pos="992"/>
        </w:tabs>
        <w:spacing w:line="360" w:lineRule="exact"/>
        <w:ind w:left="540" w:hanging="540"/>
        <w:rPr>
          <w:rFonts w:hint="eastAsia" w:ascii="楷体" w:hAnsi="楷体" w:eastAsia="楷体"/>
          <w:sz w:val="22"/>
          <w:szCs w:val="22"/>
        </w:rPr>
      </w:pPr>
      <w:r>
        <w:rPr>
          <w:rFonts w:hint="eastAsia" w:ascii="楷体" w:hAnsi="楷体" w:eastAsia="楷体"/>
          <w:sz w:val="22"/>
          <w:szCs w:val="22"/>
        </w:rPr>
        <w:t>28.3招标文件、中标人的投标文件、投标修改文件、评标过程中有关澄清文件及经投标人和评委双方签字的询标纪要和中标通知书均作为合同附件。</w:t>
      </w:r>
    </w:p>
    <w:p>
      <w:p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29拒签合同的违约责任</w:t>
      </w:r>
    </w:p>
    <w:p>
      <w:pPr>
        <w:spacing w:line="360" w:lineRule="exact"/>
        <w:ind w:left="440" w:hanging="440" w:hangingChars="200"/>
        <w:rPr>
          <w:rFonts w:hint="eastAsia" w:ascii="楷体" w:hAnsi="楷体" w:eastAsia="楷体"/>
          <w:bCs/>
          <w:sz w:val="22"/>
          <w:szCs w:val="22"/>
        </w:rPr>
      </w:pPr>
      <w:r>
        <w:rPr>
          <w:rFonts w:hint="eastAsia" w:ascii="楷体" w:hAnsi="楷体" w:eastAsia="楷体"/>
          <w:bCs/>
          <w:sz w:val="22"/>
          <w:szCs w:val="22"/>
        </w:rPr>
        <w:t>29.1</w:t>
      </w:r>
      <w:r>
        <w:rPr>
          <w:rFonts w:ascii="楷体" w:hAnsi="楷体" w:eastAsia="楷体"/>
          <w:bCs/>
          <w:sz w:val="22"/>
          <w:szCs w:val="22"/>
        </w:rPr>
        <w:t>中标人接到中标通知书后，在规定的时间内因自身原因拒绝提交履约保证金或</w:t>
      </w:r>
      <w:r>
        <w:rPr>
          <w:rFonts w:hint="eastAsia" w:ascii="楷体" w:hAnsi="楷体" w:eastAsia="楷体"/>
          <w:sz w:val="22"/>
          <w:szCs w:val="22"/>
        </w:rPr>
        <w:t>车辆到位履约保证金</w:t>
      </w:r>
      <w:r>
        <w:rPr>
          <w:rFonts w:ascii="楷体" w:hAnsi="楷体" w:eastAsia="楷体"/>
          <w:bCs/>
          <w:sz w:val="22"/>
          <w:szCs w:val="22"/>
        </w:rPr>
        <w:t>（指符合</w:t>
      </w:r>
      <w:r>
        <w:rPr>
          <w:rFonts w:hint="eastAsia" w:ascii="楷体" w:hAnsi="楷体" w:eastAsia="楷体"/>
          <w:bCs/>
          <w:sz w:val="22"/>
          <w:szCs w:val="22"/>
        </w:rPr>
        <w:t>30.4</w:t>
      </w:r>
      <w:r>
        <w:rPr>
          <w:rFonts w:ascii="楷体" w:hAnsi="楷体" w:eastAsia="楷体"/>
          <w:bCs/>
          <w:sz w:val="22"/>
          <w:szCs w:val="22"/>
        </w:rPr>
        <w:t>点规定的）的或拒签合同的，或在规定时间内借故否认已经承诺的条件而拒签合同的，按自动弃标处理。如已签合同却拒绝按合同约定履行，以违约处理，采购单位可单方终止合同，并没收全额履约保证金。</w:t>
      </w:r>
    </w:p>
    <w:p>
      <w:pPr>
        <w:numPr>
          <w:ilvl w:val="1"/>
          <w:numId w:val="26"/>
        </w:numPr>
        <w:spacing w:line="360" w:lineRule="exact"/>
        <w:rPr>
          <w:rFonts w:hint="eastAsia" w:ascii="楷体" w:hAnsi="楷体" w:eastAsia="楷体"/>
          <w:bCs/>
          <w:sz w:val="22"/>
          <w:szCs w:val="22"/>
        </w:rPr>
      </w:pPr>
      <w:r>
        <w:rPr>
          <w:rFonts w:hint="eastAsia" w:ascii="楷体" w:hAnsi="楷体" w:eastAsia="楷体"/>
          <w:b/>
          <w:sz w:val="22"/>
          <w:szCs w:val="22"/>
          <w:u w:val="single"/>
        </w:rPr>
        <w:t>▲中标供应商应在合同签订后五个工作日内提交一份合同文本原件报招标代理机构备案</w:t>
      </w:r>
      <w:r>
        <w:rPr>
          <w:rFonts w:hint="eastAsia" w:ascii="楷体" w:hAnsi="楷体" w:eastAsia="楷体"/>
          <w:sz w:val="22"/>
          <w:szCs w:val="22"/>
        </w:rPr>
        <w:t>。</w:t>
      </w:r>
    </w:p>
    <w:p>
      <w:pPr>
        <w:numPr>
          <w:ilvl w:val="0"/>
          <w:numId w:val="26"/>
        </w:numPr>
        <w:tabs>
          <w:tab w:val="left" w:pos="540"/>
        </w:tabs>
        <w:spacing w:line="360" w:lineRule="exact"/>
        <w:rPr>
          <w:rFonts w:hint="eastAsia" w:ascii="楷体" w:hAnsi="楷体" w:eastAsia="楷体"/>
          <w:spacing w:val="6"/>
          <w:sz w:val="22"/>
          <w:szCs w:val="22"/>
        </w:rPr>
      </w:pPr>
      <w:r>
        <w:rPr>
          <w:rFonts w:hint="eastAsia" w:ascii="楷体" w:hAnsi="楷体" w:eastAsia="楷体"/>
          <w:bCs/>
          <w:sz w:val="22"/>
          <w:szCs w:val="22"/>
        </w:rPr>
        <w:t>履约保证金</w:t>
      </w:r>
    </w:p>
    <w:p>
      <w:pPr>
        <w:tabs>
          <w:tab w:val="left" w:pos="540"/>
        </w:tabs>
        <w:spacing w:line="360" w:lineRule="exact"/>
        <w:rPr>
          <w:rFonts w:hint="eastAsia" w:ascii="楷体" w:hAnsi="楷体" w:eastAsia="楷体"/>
          <w:spacing w:val="6"/>
          <w:sz w:val="22"/>
          <w:szCs w:val="22"/>
        </w:rPr>
      </w:pPr>
      <w:r>
        <w:rPr>
          <w:rFonts w:hint="eastAsia" w:ascii="楷体" w:hAnsi="楷体" w:eastAsia="楷体"/>
          <w:spacing w:val="6"/>
          <w:sz w:val="22"/>
          <w:szCs w:val="22"/>
        </w:rPr>
        <w:t>30.1中标人在收到中标通知书后，签订合同前须向委托方提交合同金额10%的履约保证金。</w:t>
      </w:r>
    </w:p>
    <w:p>
      <w:pPr>
        <w:numPr>
          <w:ilvl w:val="1"/>
          <w:numId w:val="26"/>
        </w:numPr>
        <w:tabs>
          <w:tab w:val="left" w:pos="540"/>
        </w:tabs>
        <w:spacing w:line="360" w:lineRule="exact"/>
        <w:ind w:left="540" w:hanging="540"/>
        <w:rPr>
          <w:rFonts w:hint="eastAsia" w:ascii="楷体" w:hAnsi="楷体" w:eastAsia="楷体"/>
          <w:spacing w:val="6"/>
          <w:sz w:val="22"/>
          <w:szCs w:val="22"/>
        </w:rPr>
      </w:pPr>
      <w:r>
        <w:rPr>
          <w:rFonts w:hint="eastAsia" w:ascii="楷体" w:hAnsi="楷体" w:eastAsia="楷体"/>
          <w:spacing w:val="6"/>
          <w:sz w:val="22"/>
          <w:szCs w:val="22"/>
        </w:rPr>
        <w:t>履约保证金用于补偿委托方因顾问方不能完成其合同义务而蒙受的损失。</w:t>
      </w:r>
    </w:p>
    <w:p>
      <w:pPr>
        <w:numPr>
          <w:ilvl w:val="1"/>
          <w:numId w:val="26"/>
        </w:numPr>
        <w:tabs>
          <w:tab w:val="left" w:pos="540"/>
        </w:tabs>
        <w:spacing w:line="360" w:lineRule="exact"/>
        <w:ind w:left="540" w:hanging="540"/>
        <w:rPr>
          <w:rFonts w:hint="eastAsia" w:ascii="楷体" w:hAnsi="楷体" w:eastAsia="楷体"/>
          <w:spacing w:val="6"/>
          <w:sz w:val="22"/>
          <w:szCs w:val="22"/>
        </w:rPr>
      </w:pPr>
      <w:r>
        <w:rPr>
          <w:rFonts w:hint="eastAsia" w:ascii="楷体" w:hAnsi="楷体" w:eastAsia="楷体"/>
          <w:spacing w:val="6"/>
          <w:sz w:val="22"/>
          <w:szCs w:val="22"/>
        </w:rPr>
        <w:t>履约保证金自承包任务完成并验收移交采购单位后十个工作日内，采购单位无息退还中标人合同履约保证金；</w:t>
      </w:r>
    </w:p>
    <w:p>
      <w:pPr>
        <w:numPr>
          <w:ilvl w:val="1"/>
          <w:numId w:val="26"/>
        </w:numPr>
        <w:tabs>
          <w:tab w:val="left" w:pos="540"/>
        </w:tabs>
        <w:spacing w:line="360" w:lineRule="exact"/>
        <w:ind w:left="540" w:hanging="540"/>
        <w:rPr>
          <w:rFonts w:hint="eastAsia" w:ascii="楷体" w:hAnsi="楷体" w:eastAsia="楷体"/>
          <w:spacing w:val="6"/>
          <w:sz w:val="22"/>
          <w:szCs w:val="22"/>
        </w:rPr>
      </w:pPr>
      <w:r>
        <w:rPr>
          <w:rFonts w:hint="eastAsia" w:ascii="楷体" w:hAnsi="楷体" w:eastAsia="楷体"/>
          <w:spacing w:val="6"/>
          <w:sz w:val="22"/>
          <w:szCs w:val="22"/>
        </w:rPr>
        <w:t>中标人承诺购买新车投入本项目作业的，应在中标通知书发出之日起（以中标通知书落款日期为准）3个日历天内采购单位提交相应的保证金，且须在15个工作日内按要求时间到位投入清扫工作。待车辆现场到位投入清扫工作后，返还（无息）中标人</w:t>
      </w:r>
      <w:r>
        <w:rPr>
          <w:rFonts w:hint="eastAsia" w:ascii="楷体" w:hAnsi="楷体" w:eastAsia="楷体"/>
          <w:sz w:val="22"/>
          <w:szCs w:val="22"/>
        </w:rPr>
        <w:t>车辆到位</w:t>
      </w:r>
      <w:r>
        <w:rPr>
          <w:rFonts w:hint="eastAsia" w:ascii="楷体" w:hAnsi="楷体" w:eastAsia="楷体"/>
          <w:spacing w:val="6"/>
          <w:sz w:val="22"/>
          <w:szCs w:val="22"/>
        </w:rPr>
        <w:t>履约保证金；若中标人在中标通知书发出之日起（以中标通知书落款日期为准）未按规定时间提交</w:t>
      </w:r>
      <w:r>
        <w:rPr>
          <w:rFonts w:hint="eastAsia" w:ascii="楷体" w:hAnsi="楷体" w:eastAsia="楷体"/>
          <w:sz w:val="22"/>
          <w:szCs w:val="22"/>
        </w:rPr>
        <w:t>车辆到位履约保证金，采购人有权取消其中标资格；</w:t>
      </w:r>
      <w:r>
        <w:rPr>
          <w:rFonts w:hint="eastAsia" w:ascii="楷体" w:hAnsi="楷体" w:eastAsia="楷体"/>
          <w:spacing w:val="6"/>
          <w:sz w:val="22"/>
          <w:szCs w:val="22"/>
        </w:rPr>
        <w:t>若中标人在中标通知书发出之日起（以中标通知书落款日期为准）未按规定时间将车辆投入清扫工作的，采购人有权没收</w:t>
      </w:r>
      <w:r>
        <w:rPr>
          <w:rFonts w:hint="eastAsia" w:ascii="楷体" w:hAnsi="楷体" w:eastAsia="楷体"/>
          <w:sz w:val="22"/>
          <w:szCs w:val="22"/>
        </w:rPr>
        <w:t>车辆到位履约</w:t>
      </w:r>
      <w:r>
        <w:rPr>
          <w:rFonts w:hint="eastAsia" w:ascii="楷体" w:hAnsi="楷体" w:eastAsia="楷体"/>
          <w:spacing w:val="6"/>
          <w:sz w:val="22"/>
          <w:szCs w:val="22"/>
        </w:rPr>
        <w:t>保证金（如无</w:t>
      </w:r>
      <w:r>
        <w:rPr>
          <w:rFonts w:hint="eastAsia" w:ascii="楷体" w:hAnsi="楷体" w:eastAsia="楷体"/>
          <w:sz w:val="22"/>
          <w:szCs w:val="22"/>
        </w:rPr>
        <w:t>车辆到位履约</w:t>
      </w:r>
      <w:r>
        <w:rPr>
          <w:rFonts w:hint="eastAsia" w:ascii="楷体" w:hAnsi="楷体" w:eastAsia="楷体"/>
          <w:spacing w:val="6"/>
          <w:sz w:val="22"/>
          <w:szCs w:val="22"/>
        </w:rPr>
        <w:t>保证金的，则中标单位须赔偿中标价10%的金额给采购人），且采购人有权取消其中标资格。</w:t>
      </w:r>
    </w:p>
    <w:p>
      <w:pPr>
        <w:tabs>
          <w:tab w:val="left" w:pos="540"/>
        </w:tabs>
        <w:spacing w:line="360" w:lineRule="exact"/>
        <w:ind w:left="540"/>
        <w:jc w:val="center"/>
        <w:rPr>
          <w:rFonts w:hint="eastAsia" w:ascii="楷体" w:hAnsi="楷体" w:eastAsia="楷体"/>
          <w:b/>
          <w:spacing w:val="6"/>
          <w:sz w:val="22"/>
          <w:szCs w:val="22"/>
        </w:rPr>
      </w:pPr>
      <w:r>
        <w:rPr>
          <w:rFonts w:hint="eastAsia" w:ascii="楷体" w:hAnsi="楷体" w:eastAsia="楷体"/>
          <w:b/>
          <w:spacing w:val="6"/>
          <w:sz w:val="22"/>
          <w:szCs w:val="22"/>
        </w:rPr>
        <w:t>车辆到位履约保证金表</w:t>
      </w:r>
    </w:p>
    <w:tbl>
      <w:tblPr>
        <w:tblStyle w:val="26"/>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84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7" w:hRule="atLeast"/>
        </w:trPr>
        <w:tc>
          <w:tcPr>
            <w:tcW w:w="1380" w:type="dxa"/>
            <w:noWrap w:val="0"/>
            <w:vAlign w:val="center"/>
          </w:tcPr>
          <w:p>
            <w:pPr>
              <w:spacing w:line="360" w:lineRule="exact"/>
              <w:ind w:left="315" w:hanging="314" w:hangingChars="143"/>
              <w:jc w:val="center"/>
              <w:rPr>
                <w:rFonts w:hint="eastAsia" w:ascii="楷体" w:hAnsi="楷体" w:eastAsia="楷体" w:cs="Arial"/>
                <w:sz w:val="22"/>
                <w:szCs w:val="22"/>
              </w:rPr>
            </w:pPr>
            <w:r>
              <w:rPr>
                <w:rFonts w:hint="eastAsia" w:ascii="楷体" w:hAnsi="楷体" w:eastAsia="楷体" w:cs="Arial"/>
                <w:sz w:val="22"/>
                <w:szCs w:val="22"/>
              </w:rPr>
              <w:t>序号</w:t>
            </w:r>
          </w:p>
        </w:tc>
        <w:tc>
          <w:tcPr>
            <w:tcW w:w="8474" w:type="dxa"/>
            <w:noWrap w:val="0"/>
            <w:vAlign w:val="center"/>
          </w:tcPr>
          <w:p>
            <w:pPr>
              <w:spacing w:line="360" w:lineRule="exact"/>
              <w:ind w:left="315" w:hanging="314" w:hangingChars="143"/>
              <w:jc w:val="center"/>
              <w:rPr>
                <w:rFonts w:hint="eastAsia" w:ascii="楷体" w:hAnsi="楷体" w:eastAsia="楷体" w:cs="Arial"/>
                <w:sz w:val="22"/>
                <w:szCs w:val="22"/>
              </w:rPr>
            </w:pPr>
            <w:r>
              <w:rPr>
                <w:rFonts w:hint="eastAsia" w:ascii="楷体" w:hAnsi="楷体" w:eastAsia="楷体" w:cs="Arial"/>
                <w:sz w:val="22"/>
                <w:szCs w:val="22"/>
              </w:rPr>
              <w:t>购车履约保证金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7" w:hRule="atLeast"/>
        </w:trPr>
        <w:tc>
          <w:tcPr>
            <w:tcW w:w="1380" w:type="dxa"/>
            <w:noWrap w:val="0"/>
            <w:vAlign w:val="center"/>
          </w:tcPr>
          <w:p>
            <w:pPr>
              <w:spacing w:line="360" w:lineRule="exact"/>
              <w:ind w:left="315" w:hanging="314" w:hangingChars="143"/>
              <w:jc w:val="center"/>
              <w:rPr>
                <w:rFonts w:hint="eastAsia" w:ascii="楷体" w:hAnsi="楷体" w:eastAsia="楷体" w:cs="Arial"/>
                <w:sz w:val="22"/>
                <w:szCs w:val="22"/>
              </w:rPr>
            </w:pPr>
            <w:r>
              <w:rPr>
                <w:rFonts w:hint="eastAsia" w:ascii="楷体" w:hAnsi="楷体" w:eastAsia="楷体" w:cs="Arial"/>
                <w:sz w:val="22"/>
                <w:szCs w:val="22"/>
              </w:rPr>
              <w:t>1</w:t>
            </w:r>
          </w:p>
        </w:tc>
        <w:tc>
          <w:tcPr>
            <w:tcW w:w="8474" w:type="dxa"/>
            <w:noWrap w:val="0"/>
            <w:vAlign w:val="center"/>
          </w:tcPr>
          <w:p>
            <w:pPr>
              <w:spacing w:line="360" w:lineRule="exact"/>
              <w:ind w:left="315" w:hanging="314" w:hangingChars="143"/>
              <w:jc w:val="center"/>
              <w:rPr>
                <w:rFonts w:hint="eastAsia" w:ascii="楷体" w:hAnsi="楷体" w:eastAsia="楷体" w:cs="Arial"/>
                <w:sz w:val="22"/>
                <w:szCs w:val="22"/>
              </w:rPr>
            </w:pPr>
            <w:r>
              <w:rPr>
                <w:rFonts w:hint="eastAsia" w:ascii="楷体" w:hAnsi="楷体" w:eastAsia="楷体" w:cs="Arial"/>
                <w:sz w:val="22"/>
                <w:szCs w:val="22"/>
              </w:rPr>
              <w:t>20万</w:t>
            </w:r>
          </w:p>
        </w:tc>
      </w:tr>
    </w:tbl>
    <w:p>
      <w:pPr>
        <w:tabs>
          <w:tab w:val="left" w:pos="540"/>
        </w:tabs>
        <w:spacing w:line="360" w:lineRule="exact"/>
        <w:rPr>
          <w:rFonts w:hint="eastAsia" w:ascii="楷体" w:hAnsi="楷体" w:eastAsia="楷体"/>
          <w:bCs/>
          <w:sz w:val="22"/>
          <w:szCs w:val="22"/>
        </w:rPr>
      </w:pPr>
      <w:bookmarkStart w:id="138" w:name="_Toc241404205"/>
      <w:bookmarkStart w:id="139" w:name="_Toc245191317"/>
      <w:bookmarkStart w:id="140" w:name="_Toc222114882"/>
      <w:bookmarkStart w:id="141" w:name="_Toc221423622"/>
      <w:bookmarkStart w:id="142" w:name="_Toc223716001"/>
      <w:bookmarkStart w:id="143" w:name="_Toc239145357"/>
      <w:bookmarkStart w:id="144" w:name="_Toc221356954"/>
      <w:bookmarkStart w:id="145" w:name="_Toc221356890"/>
      <w:bookmarkStart w:id="146" w:name="_Toc221374629"/>
      <w:bookmarkStart w:id="147" w:name="_Toc262105506"/>
      <w:bookmarkStart w:id="148" w:name="_Toc245722284"/>
      <w:bookmarkStart w:id="149" w:name="_Toc246261268"/>
      <w:bookmarkStart w:id="150" w:name="_Toc262049421"/>
      <w:bookmarkStart w:id="151" w:name="_Toc249758715"/>
      <w:bookmarkStart w:id="152" w:name="_Toc249758867"/>
      <w:r>
        <w:rPr>
          <w:rFonts w:hint="eastAsia" w:ascii="楷体" w:hAnsi="楷体" w:eastAsia="楷体"/>
          <w:bCs/>
          <w:sz w:val="22"/>
          <w:szCs w:val="22"/>
        </w:rPr>
        <w:t xml:space="preserve">31.  </w:t>
      </w:r>
      <w:r>
        <w:rPr>
          <w:rFonts w:hint="eastAsia" w:ascii="楷体" w:hAnsi="楷体" w:eastAsia="楷体"/>
          <w:bCs/>
          <w:sz w:val="22"/>
          <w:szCs w:val="22"/>
          <w:u w:val="single"/>
        </w:rPr>
        <w:t>采购代理服务费</w:t>
      </w:r>
    </w:p>
    <w:p>
      <w:p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31.1 本次招标，采购代理服务费</w:t>
      </w:r>
      <w:bookmarkStart w:id="153" w:name="OLE_LINK4"/>
      <w:r>
        <w:rPr>
          <w:rFonts w:hint="eastAsia" w:ascii="楷体" w:hAnsi="楷体" w:eastAsia="楷体"/>
          <w:bCs/>
          <w:sz w:val="22"/>
          <w:szCs w:val="22"/>
        </w:rPr>
        <w:t>按国家计委计价格[2002]1980号规定的服务类标准下浮20%向中标单位收取</w:t>
      </w:r>
      <w:bookmarkEnd w:id="153"/>
      <w:r>
        <w:rPr>
          <w:rFonts w:hint="eastAsia" w:ascii="楷体" w:hAnsi="楷体" w:eastAsia="楷体"/>
          <w:bCs/>
          <w:sz w:val="22"/>
          <w:szCs w:val="22"/>
        </w:rPr>
        <w:t>，由中标单位在领取中标通知书之前将采购代理服务费支付给招标代理机构。</w:t>
      </w:r>
    </w:p>
    <w:p>
      <w:pPr>
        <w:tabs>
          <w:tab w:val="left" w:pos="540"/>
        </w:tabs>
        <w:spacing w:line="360" w:lineRule="exact"/>
        <w:rPr>
          <w:rFonts w:hint="eastAsia" w:ascii="楷体" w:hAnsi="楷体" w:eastAsia="楷体"/>
          <w:bCs/>
          <w:sz w:val="22"/>
          <w:szCs w:val="22"/>
        </w:rPr>
      </w:pPr>
      <w:r>
        <w:rPr>
          <w:rFonts w:hint="eastAsia" w:ascii="楷体" w:hAnsi="楷体" w:eastAsia="楷体"/>
          <w:bCs/>
          <w:sz w:val="22"/>
          <w:szCs w:val="22"/>
        </w:rPr>
        <w:t>30.2 采购代理服务费可以是现金或银行转账。</w:t>
      </w:r>
    </w:p>
    <w:p>
      <w:pPr>
        <w:spacing w:line="360" w:lineRule="exact"/>
        <w:jc w:val="center"/>
        <w:rPr>
          <w:rFonts w:hint="eastAsia" w:ascii="楷体" w:hAnsi="楷体" w:eastAsia="楷体" w:cs="楷体_GB2312"/>
          <w:b/>
          <w:bCs/>
          <w:color w:val="000000"/>
          <w:sz w:val="22"/>
          <w:szCs w:val="22"/>
        </w:rPr>
      </w:pPr>
      <w:r>
        <w:rPr>
          <w:rFonts w:hint="eastAsia" w:ascii="楷体" w:hAnsi="楷体" w:eastAsia="楷体" w:cs="楷体_GB2312"/>
          <w:b/>
          <w:bCs/>
          <w:color w:val="000000"/>
          <w:sz w:val="22"/>
          <w:szCs w:val="22"/>
        </w:rPr>
        <w:t>采购代理服务收费标准</w:t>
      </w:r>
    </w:p>
    <w:tbl>
      <w:tblPr>
        <w:tblStyle w:val="26"/>
        <w:tblW w:w="0" w:type="auto"/>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854"/>
        <w:gridCol w:w="48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90" w:hRule="atLeast"/>
          <w:tblCellSpacing w:w="15" w:type="dxa"/>
        </w:trPr>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sz w:val="22"/>
                <w:szCs w:val="22"/>
              </w:rPr>
              <w:t xml:space="preserve">     </w:t>
            </w:r>
            <w:r>
              <w:rPr>
                <w:rFonts w:hint="eastAsia" w:ascii="楷体" w:hAnsi="楷体" w:eastAsia="楷体" w:cs="楷体_GB2312"/>
                <w:color w:val="000000"/>
                <w:kern w:val="0"/>
                <w:sz w:val="22"/>
                <w:szCs w:val="22"/>
              </w:rPr>
              <w:t>金额（万元）</w:t>
            </w:r>
          </w:p>
        </w:tc>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服务招标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90" w:hRule="atLeast"/>
          <w:tblCellSpacing w:w="15" w:type="dxa"/>
        </w:trPr>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100以下</w:t>
            </w:r>
          </w:p>
        </w:tc>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90" w:hRule="atLeast"/>
          <w:tblCellSpacing w:w="15" w:type="dxa"/>
        </w:trPr>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100-500</w:t>
            </w:r>
          </w:p>
        </w:tc>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0.8</w:t>
            </w:r>
            <w:bookmarkStart w:id="154" w:name="OLE_LINK3"/>
            <w:r>
              <w:rPr>
                <w:rFonts w:hint="eastAsia" w:ascii="楷体" w:hAnsi="楷体" w:eastAsia="楷体" w:cs="楷体_GB2312"/>
                <w:color w:val="000000"/>
                <w:kern w:val="0"/>
                <w:sz w:val="22"/>
                <w:szCs w:val="22"/>
              </w:rPr>
              <w:t>%</w:t>
            </w:r>
            <w:bookmarkEnd w:id="15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90" w:hRule="atLeast"/>
          <w:tblCellSpacing w:w="15" w:type="dxa"/>
        </w:trPr>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500-1000</w:t>
            </w:r>
          </w:p>
        </w:tc>
        <w:tc>
          <w:tcPr>
            <w:tcW w:w="4809" w:type="dxa"/>
            <w:noWrap w:val="0"/>
            <w:vAlign w:val="center"/>
          </w:tcPr>
          <w:p>
            <w:pPr>
              <w:widowControl/>
              <w:spacing w:line="360" w:lineRule="exact"/>
              <w:jc w:val="center"/>
              <w:rPr>
                <w:rFonts w:hint="eastAsia" w:ascii="楷体" w:hAnsi="楷体" w:eastAsia="楷体" w:cs="楷体_GB2312"/>
                <w:color w:val="000000"/>
                <w:kern w:val="0"/>
                <w:sz w:val="22"/>
                <w:szCs w:val="22"/>
              </w:rPr>
            </w:pPr>
            <w:r>
              <w:rPr>
                <w:rFonts w:hint="eastAsia" w:ascii="楷体" w:hAnsi="楷体" w:eastAsia="楷体" w:cs="楷体_GB2312"/>
                <w:color w:val="000000"/>
                <w:kern w:val="0"/>
                <w:sz w:val="22"/>
                <w:szCs w:val="22"/>
              </w:rPr>
              <w:t>0.45%</w:t>
            </w:r>
          </w:p>
        </w:tc>
      </w:tr>
    </w:tbl>
    <w:p>
      <w:pPr>
        <w:spacing w:line="360" w:lineRule="exact"/>
        <w:ind w:firstLine="660" w:firstLineChars="300"/>
        <w:rPr>
          <w:rFonts w:hint="eastAsia" w:ascii="楷体" w:hAnsi="楷体" w:eastAsia="楷体" w:cs="楷体_GB2312"/>
          <w:color w:val="000000"/>
          <w:sz w:val="22"/>
          <w:szCs w:val="22"/>
        </w:rPr>
      </w:pPr>
      <w:r>
        <w:rPr>
          <w:rFonts w:hint="eastAsia" w:ascii="楷体" w:hAnsi="楷体" w:eastAsia="楷体" w:cs="楷体_GB2312"/>
          <w:color w:val="000000"/>
          <w:sz w:val="22"/>
          <w:szCs w:val="22"/>
        </w:rPr>
        <w:t>例：某服务项目成交金额为700万元，采购代理服务费按服务类标准下浮20%计取，计算招标代理服务收费额如下：</w:t>
      </w:r>
    </w:p>
    <w:p>
      <w:pPr>
        <w:spacing w:line="360" w:lineRule="exact"/>
        <w:ind w:firstLine="1100" w:firstLineChars="500"/>
        <w:rPr>
          <w:rFonts w:hint="eastAsia" w:ascii="楷体" w:hAnsi="楷体" w:eastAsia="楷体" w:cs="楷体_GB2312"/>
          <w:color w:val="000000"/>
          <w:sz w:val="22"/>
          <w:szCs w:val="22"/>
        </w:rPr>
      </w:pPr>
      <w:r>
        <w:rPr>
          <w:rFonts w:hint="eastAsia" w:ascii="楷体" w:hAnsi="楷体" w:eastAsia="楷体" w:cs="楷体_GB2312"/>
          <w:color w:val="000000"/>
          <w:sz w:val="22"/>
          <w:szCs w:val="22"/>
        </w:rPr>
        <w:t>100万元×1.5%＝1.5万元</w:t>
      </w:r>
    </w:p>
    <w:p>
      <w:pPr>
        <w:spacing w:line="360" w:lineRule="exact"/>
        <w:ind w:firstLine="1100" w:firstLineChars="500"/>
        <w:rPr>
          <w:rFonts w:hint="eastAsia" w:ascii="楷体" w:hAnsi="楷体" w:eastAsia="楷体" w:cs="楷体_GB2312"/>
          <w:color w:val="000000"/>
          <w:sz w:val="22"/>
          <w:szCs w:val="22"/>
        </w:rPr>
      </w:pPr>
      <w:r>
        <w:rPr>
          <w:rFonts w:hint="eastAsia" w:ascii="楷体" w:hAnsi="楷体" w:eastAsia="楷体" w:cs="楷体_GB2312"/>
          <w:color w:val="000000"/>
          <w:sz w:val="22"/>
          <w:szCs w:val="22"/>
        </w:rPr>
        <w:t>（500－100）万元×0.8%＝3.2万元</w:t>
      </w:r>
    </w:p>
    <w:p>
      <w:pPr>
        <w:spacing w:line="360" w:lineRule="exact"/>
        <w:ind w:firstLine="1100" w:firstLineChars="500"/>
        <w:rPr>
          <w:rFonts w:hint="eastAsia" w:ascii="楷体" w:hAnsi="楷体" w:eastAsia="楷体" w:cs="楷体_GB2312"/>
          <w:color w:val="000000"/>
          <w:sz w:val="22"/>
          <w:szCs w:val="22"/>
        </w:rPr>
      </w:pPr>
      <w:r>
        <w:rPr>
          <w:rFonts w:hint="eastAsia" w:ascii="楷体" w:hAnsi="楷体" w:eastAsia="楷体" w:cs="楷体_GB2312"/>
          <w:color w:val="000000"/>
          <w:sz w:val="22"/>
          <w:szCs w:val="22"/>
        </w:rPr>
        <w:t>（700-500）万元×0.45%＝0.9万元</w:t>
      </w:r>
    </w:p>
    <w:p>
      <w:pPr>
        <w:spacing w:line="360" w:lineRule="exact"/>
        <w:ind w:firstLine="1100" w:firstLineChars="500"/>
        <w:rPr>
          <w:rFonts w:hint="eastAsia" w:ascii="楷体" w:hAnsi="楷体" w:eastAsia="楷体" w:cs="楷体_GB2312"/>
          <w:color w:val="000000"/>
          <w:sz w:val="22"/>
          <w:szCs w:val="22"/>
        </w:rPr>
      </w:pPr>
      <w:r>
        <w:rPr>
          <w:rFonts w:hint="eastAsia" w:ascii="楷体" w:hAnsi="楷体" w:eastAsia="楷体" w:cs="楷体_GB2312"/>
          <w:color w:val="000000"/>
          <w:sz w:val="22"/>
          <w:szCs w:val="22"/>
        </w:rPr>
        <w:t>标准收费=1.5+3.2+0.9＝5.6（万元）</w:t>
      </w:r>
    </w:p>
    <w:p>
      <w:pPr>
        <w:spacing w:line="360" w:lineRule="exact"/>
        <w:ind w:firstLine="1100" w:firstLineChars="500"/>
        <w:rPr>
          <w:rFonts w:hint="eastAsia" w:ascii="楷体" w:hAnsi="楷体" w:eastAsia="楷体" w:cs="楷体_GB2312"/>
          <w:color w:val="000000"/>
          <w:sz w:val="22"/>
          <w:szCs w:val="22"/>
        </w:rPr>
      </w:pPr>
      <w:r>
        <w:rPr>
          <w:rFonts w:hint="eastAsia" w:ascii="楷体" w:hAnsi="楷体" w:eastAsia="楷体" w:cs="楷体_GB2312"/>
          <w:color w:val="000000"/>
          <w:sz w:val="22"/>
          <w:szCs w:val="22"/>
        </w:rPr>
        <w:t>最终按标准下浮20%=5.6万元×（1-20%）=4.48万元</w:t>
      </w:r>
    </w:p>
    <w:p>
      <w:pPr>
        <w:pStyle w:val="2"/>
        <w:spacing w:line="360" w:lineRule="exact"/>
        <w:rPr>
          <w:rFonts w:hint="eastAsia" w:ascii="楷体" w:hAnsi="楷体" w:eastAsia="楷体"/>
          <w:sz w:val="36"/>
          <w:szCs w:val="36"/>
        </w:rPr>
      </w:pPr>
      <w:r>
        <w:rPr>
          <w:rFonts w:ascii="楷体" w:hAnsi="楷体" w:eastAsia="楷体"/>
          <w:b w:val="0"/>
          <w:bCs w:val="0"/>
          <w:sz w:val="36"/>
          <w:szCs w:val="36"/>
        </w:rPr>
        <w:br w:type="page"/>
      </w:r>
      <w:bookmarkStart w:id="155" w:name="_Toc32457"/>
      <w:r>
        <w:rPr>
          <w:rFonts w:hint="eastAsia" w:ascii="楷体" w:hAnsi="楷体" w:eastAsia="楷体"/>
          <w:sz w:val="36"/>
          <w:szCs w:val="36"/>
        </w:rPr>
        <w:t>第二部分   合同主要条款</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p>
    <w:p>
      <w:pPr>
        <w:spacing w:line="360" w:lineRule="exact"/>
        <w:rPr>
          <w:rFonts w:hint="eastAsia" w:ascii="楷体" w:hAnsi="楷体" w:eastAsia="楷体"/>
          <w:b/>
          <w:bCs/>
          <w:sz w:val="22"/>
          <w:szCs w:val="22"/>
        </w:rPr>
      </w:pPr>
    </w:p>
    <w:p>
      <w:pPr>
        <w:spacing w:line="360" w:lineRule="exact"/>
        <w:rPr>
          <w:rFonts w:hint="eastAsia" w:ascii="楷体" w:hAnsi="楷体" w:eastAsia="楷体"/>
        </w:rPr>
      </w:pPr>
    </w:p>
    <w:p>
      <w:pPr>
        <w:pStyle w:val="14"/>
        <w:spacing w:line="360" w:lineRule="exact"/>
        <w:ind w:leftChars="0"/>
        <w:rPr>
          <w:rFonts w:hint="eastAsia" w:ascii="楷体" w:hAnsi="楷体" w:eastAsia="楷体" w:cs="Arial"/>
          <w:sz w:val="22"/>
          <w:szCs w:val="22"/>
        </w:rPr>
      </w:pPr>
      <w:bookmarkStart w:id="156" w:name="_Toc223716003"/>
      <w:bookmarkStart w:id="157" w:name="_Toc239145359"/>
      <w:bookmarkStart w:id="158" w:name="_Toc249758870"/>
      <w:bookmarkStart w:id="159" w:name="_Toc221356892"/>
      <w:bookmarkStart w:id="160" w:name="_Toc245191319"/>
      <w:bookmarkStart w:id="161" w:name="_Toc222114884"/>
      <w:bookmarkStart w:id="162" w:name="_Toc249758718"/>
      <w:bookmarkStart w:id="163" w:name="_Toc249758719"/>
      <w:bookmarkStart w:id="164" w:name="_Toc241404207"/>
      <w:bookmarkStart w:id="165" w:name="_Toc262049424"/>
      <w:bookmarkStart w:id="166" w:name="_Toc221374631"/>
      <w:bookmarkStart w:id="167" w:name="_Toc245722286"/>
      <w:bookmarkStart w:id="168" w:name="_Toc262105509"/>
      <w:bookmarkStart w:id="169" w:name="_Toc246261270"/>
      <w:bookmarkStart w:id="170" w:name="_Toc221423624"/>
      <w:bookmarkStart w:id="171" w:name="_Toc221356956"/>
      <w:r>
        <w:rPr>
          <w:rFonts w:hint="eastAsia" w:ascii="楷体" w:hAnsi="楷体" w:eastAsia="楷体" w:cs="Arial"/>
          <w:sz w:val="22"/>
          <w:szCs w:val="22"/>
        </w:rPr>
        <w:t>发包方(采购单位)：                         （以下简称甲方）</w:t>
      </w:r>
    </w:p>
    <w:p>
      <w:pPr>
        <w:spacing w:line="360" w:lineRule="exact"/>
        <w:ind w:firstLine="110" w:firstLineChars="50"/>
        <w:rPr>
          <w:rFonts w:hint="eastAsia" w:ascii="楷体" w:hAnsi="楷体" w:eastAsia="楷体" w:cs="Arial"/>
          <w:sz w:val="22"/>
          <w:szCs w:val="22"/>
        </w:rPr>
      </w:pPr>
      <w:r>
        <w:rPr>
          <w:rFonts w:hint="eastAsia" w:ascii="楷体" w:hAnsi="楷体" w:eastAsia="楷体" w:cs="Arial"/>
          <w:sz w:val="22"/>
          <w:szCs w:val="22"/>
        </w:rPr>
        <w:t>承包方(中标人)：                           （以下简称乙方）</w:t>
      </w:r>
    </w:p>
    <w:p>
      <w:pPr>
        <w:spacing w:line="360" w:lineRule="exact"/>
        <w:rPr>
          <w:rFonts w:hint="eastAsia" w:ascii="楷体" w:hAnsi="楷体" w:eastAsia="楷体" w:cs="Arial"/>
          <w:sz w:val="22"/>
          <w:szCs w:val="22"/>
        </w:rPr>
      </w:pPr>
    </w:p>
    <w:p>
      <w:pPr>
        <w:spacing w:line="360" w:lineRule="exact"/>
        <w:ind w:firstLine="570"/>
        <w:rPr>
          <w:rFonts w:hint="eastAsia" w:ascii="楷体" w:hAnsi="楷体" w:eastAsia="楷体" w:cs="Arial"/>
          <w:sz w:val="22"/>
          <w:szCs w:val="22"/>
        </w:rPr>
      </w:pPr>
      <w:r>
        <w:rPr>
          <w:rFonts w:hint="eastAsia" w:ascii="楷体" w:hAnsi="楷体" w:eastAsia="楷体" w:cs="Arial"/>
          <w:sz w:val="22"/>
          <w:szCs w:val="22"/>
        </w:rPr>
        <w:t>根据《温州市鹿城区人民政府五马街道办事处道路及楼道清扫保洁》的中标通知书，甲方将中标范围内道路清扫保洁业务承包给乙方，为了明确甲、乙双方的权利和义务，履行各自的职责，高效优质地完成道路及楼道清扫保洁、小广告清理业务，按照《中华人民共和国合同法》的有关规定，经甲乙双方在平等、自愿的基础上共同协商一致，现签订道路清扫保洁业务承包合同。</w:t>
      </w:r>
    </w:p>
    <w:p>
      <w:pPr>
        <w:spacing w:line="360" w:lineRule="exact"/>
        <w:rPr>
          <w:rFonts w:hint="eastAsia" w:ascii="楷体" w:hAnsi="楷体" w:eastAsia="楷体" w:cs="Arial"/>
          <w:sz w:val="22"/>
          <w:szCs w:val="22"/>
        </w:rPr>
      </w:pPr>
      <w:r>
        <w:rPr>
          <w:rFonts w:hint="eastAsia" w:ascii="楷体" w:hAnsi="楷体" w:eastAsia="楷体" w:cs="Arial"/>
          <w:sz w:val="22"/>
          <w:szCs w:val="22"/>
        </w:rPr>
        <w:t>名称</w:t>
      </w:r>
    </w:p>
    <w:p>
      <w:pPr>
        <w:spacing w:line="360" w:lineRule="exact"/>
        <w:rPr>
          <w:rFonts w:hint="eastAsia" w:ascii="楷体" w:hAnsi="楷体" w:eastAsia="楷体" w:cs="Arial"/>
          <w:sz w:val="22"/>
          <w:szCs w:val="22"/>
        </w:rPr>
      </w:pPr>
      <w:r>
        <w:rPr>
          <w:rFonts w:hint="eastAsia" w:ascii="楷体" w:hAnsi="楷体" w:eastAsia="楷体" w:cs="Arial"/>
          <w:sz w:val="22"/>
          <w:szCs w:val="22"/>
        </w:rPr>
        <w:t xml:space="preserve">   温州市鹿城区人民政府五马街道办事处道路及楼道清扫保洁承包合同</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第一条 承包内容</w:t>
      </w:r>
    </w:p>
    <w:p>
      <w:pPr>
        <w:spacing w:line="360" w:lineRule="exact"/>
        <w:ind w:firstLine="770" w:firstLineChars="350"/>
        <w:rPr>
          <w:rFonts w:hint="eastAsia" w:ascii="楷体" w:hAnsi="楷体" w:eastAsia="楷体" w:cs="Arial"/>
          <w:sz w:val="22"/>
          <w:szCs w:val="22"/>
        </w:rPr>
      </w:pPr>
      <w:r>
        <w:rPr>
          <w:rFonts w:hint="eastAsia" w:ascii="楷体" w:hAnsi="楷体" w:eastAsia="楷体" w:cs="Arial"/>
          <w:bCs/>
          <w:sz w:val="22"/>
          <w:szCs w:val="22"/>
        </w:rPr>
        <w:t>五马街道范围内所覆盖的所有道路：</w:t>
      </w:r>
      <w:r>
        <w:rPr>
          <w:rFonts w:hint="eastAsia" w:ascii="楷体" w:hAnsi="楷体" w:eastAsia="楷体" w:cs="Arial"/>
          <w:sz w:val="22"/>
          <w:szCs w:val="22"/>
        </w:rPr>
        <w:t>将_________道路（含楼道及小广告清理），共计 _________平方米的清扫保洁；</w:t>
      </w:r>
    </w:p>
    <w:p>
      <w:pPr>
        <w:spacing w:line="360" w:lineRule="exact"/>
        <w:ind w:firstLine="770" w:firstLineChars="350"/>
        <w:rPr>
          <w:rFonts w:hint="eastAsia" w:ascii="楷体" w:hAnsi="楷体" w:eastAsia="楷体" w:cs="Arial"/>
          <w:sz w:val="22"/>
          <w:szCs w:val="22"/>
        </w:rPr>
      </w:pPr>
      <w:r>
        <w:rPr>
          <w:rFonts w:hint="eastAsia" w:ascii="楷体" w:hAnsi="楷体" w:eastAsia="楷体" w:cs="Arial"/>
          <w:bCs/>
          <w:sz w:val="22"/>
          <w:szCs w:val="22"/>
        </w:rPr>
        <w:t>五马历史文化商业街区道路：</w:t>
      </w:r>
      <w:r>
        <w:rPr>
          <w:rFonts w:hint="eastAsia" w:ascii="楷体" w:hAnsi="楷体" w:eastAsia="楷体" w:cs="Arial"/>
          <w:sz w:val="22"/>
          <w:szCs w:val="22"/>
        </w:rPr>
        <w:t>将_________道路（含楼道及小广告清理），共计 _________平方米的清扫保洁；</w:t>
      </w:r>
    </w:p>
    <w:p>
      <w:pPr>
        <w:spacing w:line="360" w:lineRule="exact"/>
        <w:ind w:firstLine="773" w:firstLineChars="350"/>
        <w:rPr>
          <w:rFonts w:hint="eastAsia" w:ascii="楷体" w:hAnsi="楷体" w:eastAsia="楷体" w:cs="Arial"/>
          <w:sz w:val="22"/>
          <w:szCs w:val="22"/>
        </w:rPr>
      </w:pPr>
      <w:r>
        <w:rPr>
          <w:rFonts w:hint="eastAsia" w:ascii="楷体" w:hAnsi="楷体" w:eastAsia="楷体" w:cs="Arial"/>
          <w:b/>
          <w:bCs/>
          <w:sz w:val="22"/>
          <w:szCs w:val="22"/>
        </w:rPr>
        <w:t>范围：除封闭式小区外，本次道路清扫保洁承包范围包含五马街道范围内所覆盖的所有道路及五马历史文化商业街区道路。</w:t>
      </w:r>
    </w:p>
    <w:p>
      <w:pPr>
        <w:spacing w:line="360" w:lineRule="exact"/>
        <w:rPr>
          <w:rFonts w:hint="eastAsia" w:ascii="楷体" w:hAnsi="楷体" w:eastAsia="楷体" w:cs="Arial"/>
          <w:sz w:val="22"/>
          <w:szCs w:val="22"/>
        </w:rPr>
      </w:pPr>
      <w:r>
        <w:rPr>
          <w:rFonts w:hint="eastAsia" w:ascii="楷体" w:hAnsi="楷体" w:eastAsia="楷体" w:cs="Arial"/>
          <w:sz w:val="22"/>
          <w:szCs w:val="22"/>
        </w:rPr>
        <w:t>第二条 在合同期内，因市政建设需要征用、临时占用需要调整乙方清扫保洁面积时，乙方须无条件服从。</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第三条 承包期限</w:t>
      </w:r>
    </w:p>
    <w:p>
      <w:pPr>
        <w:spacing w:line="360" w:lineRule="exact"/>
        <w:ind w:firstLine="645"/>
        <w:rPr>
          <w:rFonts w:hint="eastAsia" w:ascii="楷体" w:hAnsi="楷体" w:eastAsia="楷体" w:cs="Arial"/>
          <w:sz w:val="22"/>
          <w:szCs w:val="22"/>
        </w:rPr>
      </w:pPr>
      <w:r>
        <w:rPr>
          <w:rFonts w:hint="eastAsia" w:ascii="楷体" w:hAnsi="楷体" w:eastAsia="楷体" w:cs="Arial"/>
          <w:sz w:val="22"/>
          <w:szCs w:val="22"/>
        </w:rPr>
        <w:t>本合同承包期限：从清扫保洁业务交接完毕之日起至      年  月  日止。</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第四条  承包经费</w:t>
      </w:r>
    </w:p>
    <w:p>
      <w:pPr>
        <w:spacing w:line="360" w:lineRule="exact"/>
        <w:rPr>
          <w:rFonts w:hint="eastAsia" w:ascii="楷体" w:hAnsi="楷体" w:eastAsia="楷体" w:cs="Arial"/>
          <w:sz w:val="22"/>
          <w:szCs w:val="22"/>
        </w:rPr>
      </w:pPr>
      <w:r>
        <w:rPr>
          <w:rFonts w:hint="eastAsia" w:ascii="楷体" w:hAnsi="楷体" w:eastAsia="楷体" w:cs="Arial"/>
          <w:sz w:val="22"/>
          <w:szCs w:val="22"/>
        </w:rPr>
        <w:t>（一）承包经费：      元（人民币大写：  佰  拾  万  仟  佰  拾  元  角  分）。</w:t>
      </w:r>
    </w:p>
    <w:p>
      <w:pPr>
        <w:spacing w:line="360" w:lineRule="exact"/>
        <w:ind w:left="660" w:hanging="660" w:hangingChars="300"/>
        <w:rPr>
          <w:rFonts w:hint="eastAsia" w:ascii="楷体" w:hAnsi="楷体" w:eastAsia="楷体" w:cs="Arial"/>
          <w:sz w:val="22"/>
          <w:szCs w:val="22"/>
        </w:rPr>
      </w:pPr>
      <w:r>
        <w:rPr>
          <w:rFonts w:hint="eastAsia" w:ascii="楷体" w:hAnsi="楷体" w:eastAsia="楷体" w:cs="Arial"/>
          <w:sz w:val="22"/>
          <w:szCs w:val="22"/>
        </w:rPr>
        <w:t>（二）承包经费由人工费【包括在承包区域内提供清扫、保洁服务所需的人工费（包括环卫工人工资、奖金、房补、劳保福利、社保、工伤费、教育培训费、暂住费及处理一切伤亡事故等费用）及保洁车辆、</w:t>
      </w:r>
      <w:r>
        <w:rPr>
          <w:rFonts w:hint="eastAsia" w:ascii="楷体" w:hAnsi="楷体" w:eastAsia="楷体"/>
          <w:sz w:val="22"/>
          <w:szCs w:val="22"/>
        </w:rPr>
        <w:t>环卫作业GPS设备费流量费等全部费用、</w:t>
      </w:r>
      <w:r>
        <w:rPr>
          <w:rFonts w:hint="eastAsia" w:ascii="楷体" w:hAnsi="楷体" w:eastAsia="楷体" w:cs="Arial"/>
          <w:sz w:val="22"/>
          <w:szCs w:val="22"/>
        </w:rPr>
        <w:t>水电费、工具材料费、垃圾清运费（含辖区内无主装潢垃圾及大件垃圾清运）、安全文明生产装备费【包括环卫工人春、夏、秋、冬各季节工作服（含帽、衣、裤、鞋、雨衣、雨裤，雨鞋）并带有警示反光标记等】、项目管理费、企业应缴税金和应得利润、突发应急及上级布置的专项任务、物价因素、最低工资变动等完成合同所需的一切本身和不可或缺的所有工作开支、政策性文件规定及合同包含的所有风险、责任等各项全部费用并承担一切风险责任。</w:t>
      </w:r>
    </w:p>
    <w:p>
      <w:pPr>
        <w:spacing w:line="360" w:lineRule="exact"/>
        <w:ind w:left="660" w:hanging="660" w:hangingChars="300"/>
        <w:rPr>
          <w:rFonts w:hint="eastAsia" w:ascii="楷体" w:hAnsi="楷体" w:eastAsia="楷体" w:cs="Arial"/>
          <w:sz w:val="22"/>
          <w:szCs w:val="22"/>
        </w:rPr>
      </w:pPr>
      <w:r>
        <w:rPr>
          <w:rFonts w:hint="eastAsia" w:ascii="楷体" w:hAnsi="楷体" w:eastAsia="楷体" w:cs="Arial"/>
          <w:sz w:val="22"/>
          <w:szCs w:val="22"/>
        </w:rPr>
        <w:t>（三）承包经费按项目进度、检查验收结果和资金到账情况分次核拨，由乙方按甲方业务要求支配使用。</w:t>
      </w:r>
    </w:p>
    <w:p>
      <w:pPr>
        <w:spacing w:line="360" w:lineRule="exact"/>
        <w:rPr>
          <w:rFonts w:hint="eastAsia" w:ascii="楷体" w:hAnsi="楷体" w:eastAsia="楷体" w:cs="Arial"/>
          <w:sz w:val="22"/>
          <w:szCs w:val="22"/>
        </w:rPr>
      </w:pPr>
      <w:r>
        <w:rPr>
          <w:rFonts w:hint="eastAsia" w:ascii="楷体" w:hAnsi="楷体" w:eastAsia="楷体" w:cs="Arial"/>
          <w:sz w:val="22"/>
          <w:szCs w:val="22"/>
        </w:rPr>
        <w:t>（四）承包经费最终结算价依据中标通知书、投标文件、验收考核等要求计算。</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（五）付款方式</w:t>
      </w:r>
    </w:p>
    <w:p>
      <w:pPr>
        <w:spacing w:line="360" w:lineRule="exact"/>
        <w:ind w:left="559" w:leftChars="266"/>
        <w:rPr>
          <w:rFonts w:hint="eastAsia" w:ascii="楷体" w:hAnsi="楷体" w:eastAsia="楷体" w:cs="Arial"/>
          <w:b/>
          <w:sz w:val="22"/>
          <w:szCs w:val="22"/>
        </w:rPr>
      </w:pPr>
      <w:r>
        <w:rPr>
          <w:rFonts w:hint="eastAsia" w:ascii="楷体" w:hAnsi="楷体" w:eastAsia="楷体" w:cs="Arial"/>
          <w:b/>
          <w:sz w:val="22"/>
          <w:szCs w:val="22"/>
        </w:rPr>
        <w:t>付款方式为先做后结,每月支付总金额=质量结算金额。</w:t>
      </w:r>
    </w:p>
    <w:p>
      <w:pPr>
        <w:spacing w:line="360" w:lineRule="exact"/>
        <w:ind w:left="560" w:leftChars="257" w:hanging="20" w:hangingChars="9"/>
        <w:rPr>
          <w:rFonts w:hint="eastAsia" w:ascii="楷体" w:hAnsi="楷体" w:eastAsia="楷体" w:cs="Arial"/>
          <w:b/>
          <w:sz w:val="22"/>
          <w:szCs w:val="22"/>
        </w:rPr>
      </w:pPr>
      <w:r>
        <w:rPr>
          <w:rFonts w:hint="eastAsia" w:ascii="楷体" w:hAnsi="楷体" w:eastAsia="楷体" w:cs="Arial"/>
          <w:b/>
          <w:sz w:val="22"/>
          <w:szCs w:val="22"/>
        </w:rPr>
        <w:t>1）质量结算金额基数=投标人投标总价/12。</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 xml:space="preserve">     2）质量结算金额=质量结算金额基数*90%，由采购单位根据前一个月的考核结果支付，每月的25日结前一个月的承包经费（遇节假日顺延）, 处罚金按月扣除，每月25日为支付日（遇节假日顺延），中标单位出具有效收据。（每月剩余的10%做为质量保证金，第1年合同期满10日内根据考核结果进行结算，第2年合同期满且新的公司进场后10日内根据考核结果进行结算）</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第五条  承包方式</w:t>
      </w:r>
    </w:p>
    <w:p>
      <w:pPr>
        <w:spacing w:line="360" w:lineRule="exact"/>
        <w:ind w:left="441" w:leftChars="210"/>
        <w:rPr>
          <w:rFonts w:hint="eastAsia" w:ascii="楷体" w:hAnsi="楷体" w:eastAsia="楷体" w:cs="Arial"/>
          <w:sz w:val="22"/>
          <w:szCs w:val="22"/>
        </w:rPr>
      </w:pPr>
      <w:r>
        <w:rPr>
          <w:rFonts w:hint="eastAsia" w:ascii="楷体" w:hAnsi="楷体" w:eastAsia="楷体" w:cs="Arial"/>
          <w:sz w:val="22"/>
          <w:szCs w:val="22"/>
        </w:rPr>
        <w:t>采用全包干形式，即业务包干、经费包干方式。甲方将清扫保洁业务及相应的经费交给乙方，乙方按甲方的管理要求和标准组织清扫保洁工作，并接受甲方的指导、监督和检查验收。</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第六条  工作要求和质量标准</w:t>
      </w:r>
    </w:p>
    <w:p>
      <w:pPr>
        <w:spacing w:line="360" w:lineRule="exact"/>
        <w:ind w:firstLine="440" w:firstLineChars="200"/>
        <w:rPr>
          <w:rFonts w:hint="eastAsia" w:ascii="楷体" w:hAnsi="楷体" w:eastAsia="楷体" w:cs="Arial"/>
          <w:sz w:val="22"/>
          <w:szCs w:val="22"/>
        </w:rPr>
      </w:pPr>
      <w:r>
        <w:rPr>
          <w:rFonts w:hint="eastAsia" w:ascii="楷体" w:hAnsi="楷体" w:eastAsia="楷体" w:cs="Arial"/>
          <w:sz w:val="22"/>
          <w:szCs w:val="22"/>
        </w:rPr>
        <w:t>清扫保洁各项具体工作的质量标准和作业规范按甲方具体要求及《招标文件》中所规定的执行。</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第七条  检查考评办法</w:t>
      </w:r>
    </w:p>
    <w:p>
      <w:pPr>
        <w:spacing w:line="360" w:lineRule="exact"/>
        <w:ind w:firstLine="440" w:firstLineChars="200"/>
        <w:rPr>
          <w:rFonts w:hint="eastAsia" w:ascii="楷体" w:hAnsi="楷体" w:eastAsia="楷体" w:cs="Arial"/>
          <w:sz w:val="22"/>
          <w:szCs w:val="22"/>
        </w:rPr>
      </w:pPr>
      <w:r>
        <w:rPr>
          <w:rFonts w:hint="eastAsia" w:ascii="楷体" w:hAnsi="楷体" w:eastAsia="楷体" w:cs="Arial"/>
          <w:sz w:val="22"/>
          <w:szCs w:val="22"/>
        </w:rPr>
        <w:t>具体的检查验收方法、内容、程序等按《温州市鹿城区人民政府五马街道办事处道路及楼道清扫保洁质量考核评分细则》执行。</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第八条  履约保证金</w:t>
      </w:r>
    </w:p>
    <w:p>
      <w:pPr>
        <w:spacing w:line="360" w:lineRule="exact"/>
        <w:ind w:left="660" w:hanging="660" w:hangingChars="300"/>
        <w:rPr>
          <w:rFonts w:hint="eastAsia" w:ascii="楷体" w:hAnsi="楷体" w:eastAsia="楷体" w:cs="Arial"/>
          <w:sz w:val="22"/>
          <w:szCs w:val="22"/>
        </w:rPr>
      </w:pPr>
      <w:r>
        <w:rPr>
          <w:rFonts w:hint="eastAsia" w:ascii="楷体" w:hAnsi="楷体" w:eastAsia="楷体" w:cs="Arial"/>
          <w:sz w:val="22"/>
          <w:szCs w:val="22"/>
        </w:rPr>
        <w:t>（一）签定合同前，乙方必须向甲方提交合同款10％的合同履约保证金（无息），甲方开给乙方合同履约保证金收据；</w:t>
      </w:r>
    </w:p>
    <w:p>
      <w:pPr>
        <w:spacing w:line="360" w:lineRule="exact"/>
        <w:rPr>
          <w:rFonts w:hint="eastAsia" w:ascii="楷体" w:hAnsi="楷体" w:eastAsia="楷体" w:cs="Arial"/>
          <w:sz w:val="22"/>
          <w:szCs w:val="22"/>
        </w:rPr>
      </w:pPr>
      <w:r>
        <w:rPr>
          <w:rFonts w:hint="eastAsia" w:ascii="楷体" w:hAnsi="楷体" w:eastAsia="楷体" w:cs="Arial"/>
          <w:sz w:val="22"/>
          <w:szCs w:val="22"/>
        </w:rPr>
        <w:t>（二）承包任务完成并验收移交甲方后十个工作日内，甲方无息退还乙方合同履约保证金；</w:t>
      </w:r>
    </w:p>
    <w:p>
      <w:pPr>
        <w:spacing w:line="360" w:lineRule="exact"/>
        <w:ind w:left="660" w:hanging="660" w:hangingChars="300"/>
        <w:rPr>
          <w:rFonts w:hint="eastAsia" w:ascii="楷体" w:hAnsi="楷体" w:eastAsia="楷体" w:cs="Arial"/>
          <w:sz w:val="22"/>
          <w:szCs w:val="22"/>
        </w:rPr>
      </w:pPr>
      <w:r>
        <w:rPr>
          <w:rFonts w:hint="eastAsia" w:ascii="楷体" w:hAnsi="楷体" w:eastAsia="楷体" w:cs="Arial"/>
          <w:sz w:val="22"/>
          <w:szCs w:val="22"/>
        </w:rPr>
        <w:t>（三）乙方不能按期保质保量完成清扫保洁业务，除承担相关责任外，甲方可相应没收合同履约保证金。</w:t>
      </w:r>
    </w:p>
    <w:p>
      <w:pPr>
        <w:spacing w:line="360" w:lineRule="exact"/>
        <w:ind w:left="550" w:hanging="550" w:hangingChars="250"/>
        <w:rPr>
          <w:rFonts w:hint="eastAsia" w:ascii="楷体" w:hAnsi="楷体" w:eastAsia="楷体" w:cs="Arial"/>
          <w:sz w:val="22"/>
          <w:szCs w:val="22"/>
        </w:rPr>
      </w:pPr>
      <w:r>
        <w:rPr>
          <w:rFonts w:hint="eastAsia" w:ascii="楷体" w:hAnsi="楷体" w:eastAsia="楷体" w:cs="Arial"/>
          <w:sz w:val="22"/>
          <w:szCs w:val="22"/>
        </w:rPr>
        <w:t>（四）乙方承诺购买保洁车辆</w:t>
      </w:r>
      <w:r>
        <w:rPr>
          <w:rFonts w:hint="eastAsia" w:ascii="楷体" w:hAnsi="楷体" w:eastAsia="楷体" w:cs="Arial"/>
          <w:sz w:val="22"/>
          <w:szCs w:val="22"/>
          <w:u w:val="single"/>
        </w:rPr>
        <w:t xml:space="preserve">                </w:t>
      </w:r>
      <w:r>
        <w:rPr>
          <w:rFonts w:hint="eastAsia" w:ascii="楷体" w:hAnsi="楷体" w:eastAsia="楷体" w:cs="Arial"/>
          <w:sz w:val="22"/>
          <w:szCs w:val="22"/>
        </w:rPr>
        <w:t>投入本项目作业，并在中标通知书发出之日起（以通知书落款日期为准）3个日历天内按招标文件规定的金额向甲方提交</w:t>
      </w:r>
      <w:r>
        <w:rPr>
          <w:rFonts w:hint="eastAsia" w:ascii="楷体" w:hAnsi="楷体" w:eastAsia="楷体" w:cs="Arial"/>
          <w:sz w:val="22"/>
          <w:szCs w:val="22"/>
          <w:u w:val="single"/>
        </w:rPr>
        <w:t xml:space="preserve">         </w:t>
      </w:r>
      <w:r>
        <w:rPr>
          <w:rFonts w:hint="eastAsia" w:ascii="楷体" w:hAnsi="楷体" w:eastAsia="楷体" w:cs="Arial"/>
          <w:sz w:val="22"/>
          <w:szCs w:val="22"/>
        </w:rPr>
        <w:t>万元的购车履约保证金（无息），待乙方购买车辆并在规定时间进场后15天内甲方将依据购车合同返还乙方用于支付购车款。</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第九条  考评办法</w:t>
      </w:r>
    </w:p>
    <w:p>
      <w:pPr>
        <w:spacing w:line="360" w:lineRule="exact"/>
        <w:ind w:firstLine="440" w:firstLineChars="200"/>
        <w:rPr>
          <w:rFonts w:hint="eastAsia" w:ascii="楷体" w:hAnsi="楷体" w:eastAsia="楷体" w:cs="Arial"/>
          <w:sz w:val="22"/>
          <w:szCs w:val="22"/>
        </w:rPr>
      </w:pPr>
      <w:r>
        <w:rPr>
          <w:rFonts w:hint="eastAsia" w:ascii="楷体" w:hAnsi="楷体" w:eastAsia="楷体" w:cs="Arial"/>
          <w:sz w:val="22"/>
          <w:szCs w:val="22"/>
        </w:rPr>
        <w:t>乙方应严格按照甲方具体要求及《招标文件》的规定，对承包道路进行清扫保洁。同时，市城管执法局、区城管执法局、五马街道城管办及各大网格（社区）按规定对乙方的清扫保洁质量进行检查考评。</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第十条  权利和义务</w:t>
      </w:r>
    </w:p>
    <w:p>
      <w:pPr>
        <w:spacing w:line="360" w:lineRule="exact"/>
        <w:rPr>
          <w:rFonts w:hint="eastAsia" w:ascii="楷体" w:hAnsi="楷体" w:eastAsia="楷体" w:cs="Arial"/>
          <w:sz w:val="22"/>
          <w:szCs w:val="22"/>
        </w:rPr>
      </w:pPr>
      <w:r>
        <w:rPr>
          <w:rFonts w:hint="eastAsia" w:ascii="楷体" w:hAnsi="楷体" w:eastAsia="楷体" w:cs="Arial"/>
          <w:sz w:val="22"/>
          <w:szCs w:val="22"/>
        </w:rPr>
        <w:t>（一）甲方权利与义务</w:t>
      </w:r>
    </w:p>
    <w:p>
      <w:pPr>
        <w:spacing w:line="360" w:lineRule="exact"/>
        <w:rPr>
          <w:rFonts w:hint="eastAsia" w:ascii="楷体" w:hAnsi="楷体" w:eastAsia="楷体" w:cs="Arial"/>
          <w:sz w:val="22"/>
          <w:szCs w:val="22"/>
        </w:rPr>
      </w:pPr>
      <w:r>
        <w:rPr>
          <w:rFonts w:hint="eastAsia" w:ascii="楷体" w:hAnsi="楷体" w:eastAsia="楷体" w:cs="Arial"/>
          <w:sz w:val="22"/>
          <w:szCs w:val="22"/>
        </w:rPr>
        <w:t>1、甲方对乙方的清扫保洁业务进行全面的技术指导、检查、管理和监督，对检查中发现的环境卫生质量问题及时向乙方提出书面或口头改进意见。</w:t>
      </w:r>
    </w:p>
    <w:p>
      <w:pPr>
        <w:spacing w:line="360" w:lineRule="exact"/>
        <w:rPr>
          <w:rFonts w:hint="eastAsia" w:ascii="楷体" w:hAnsi="楷体" w:eastAsia="楷体" w:cs="Arial"/>
          <w:sz w:val="22"/>
          <w:szCs w:val="22"/>
        </w:rPr>
      </w:pPr>
      <w:r>
        <w:rPr>
          <w:rFonts w:hint="eastAsia" w:ascii="楷体" w:hAnsi="楷体" w:eastAsia="楷体" w:cs="Arial"/>
          <w:sz w:val="22"/>
          <w:szCs w:val="22"/>
        </w:rPr>
        <w:t>2、甲方对乙方违反《温州市鹿城区人民政府五马街道办事处道路及楼道清扫保洁质量考核评分细则》中规定的行为进行惩罚。</w:t>
      </w:r>
    </w:p>
    <w:p>
      <w:pPr>
        <w:spacing w:line="360" w:lineRule="exact"/>
        <w:rPr>
          <w:rFonts w:hint="eastAsia" w:ascii="楷体" w:hAnsi="楷体" w:eastAsia="楷体" w:cs="Arial"/>
          <w:sz w:val="22"/>
          <w:szCs w:val="22"/>
        </w:rPr>
      </w:pPr>
      <w:r>
        <w:rPr>
          <w:rFonts w:hint="eastAsia" w:ascii="楷体" w:hAnsi="楷体" w:eastAsia="楷体" w:cs="Arial"/>
          <w:sz w:val="22"/>
          <w:szCs w:val="22"/>
        </w:rPr>
        <w:t>3、甲方监督检查乙方落实安全防火和安全生产措施。</w:t>
      </w:r>
    </w:p>
    <w:p>
      <w:pPr>
        <w:spacing w:line="360" w:lineRule="exact"/>
        <w:rPr>
          <w:rFonts w:hint="eastAsia" w:ascii="楷体" w:hAnsi="楷体" w:eastAsia="楷体" w:cs="Arial"/>
          <w:sz w:val="22"/>
          <w:szCs w:val="22"/>
        </w:rPr>
      </w:pPr>
      <w:r>
        <w:rPr>
          <w:rFonts w:hint="eastAsia" w:ascii="楷体" w:hAnsi="楷体" w:eastAsia="楷体" w:cs="Arial"/>
          <w:sz w:val="22"/>
          <w:szCs w:val="22"/>
        </w:rPr>
        <w:t>4、甲方监督检查乙方对员工进行培训的情况，以提高清扫保洁服务的技术水平。</w:t>
      </w:r>
    </w:p>
    <w:p>
      <w:pPr>
        <w:spacing w:line="360" w:lineRule="exact"/>
        <w:rPr>
          <w:rFonts w:hint="eastAsia" w:ascii="楷体" w:hAnsi="楷体" w:eastAsia="楷体" w:cs="Arial"/>
          <w:sz w:val="22"/>
          <w:szCs w:val="22"/>
        </w:rPr>
      </w:pPr>
      <w:r>
        <w:rPr>
          <w:rFonts w:hint="eastAsia" w:ascii="楷体" w:hAnsi="楷体" w:eastAsia="楷体" w:cs="Arial"/>
          <w:sz w:val="22"/>
          <w:szCs w:val="22"/>
        </w:rPr>
        <w:t>5、甲方应按清扫保洁质量和检查验收结果计算经费，扣除乙方因检查不合格应扣款后，将经费按期支付给乙方。</w:t>
      </w:r>
    </w:p>
    <w:p>
      <w:pPr>
        <w:spacing w:line="360" w:lineRule="exact"/>
        <w:rPr>
          <w:rFonts w:hint="eastAsia" w:ascii="楷体" w:hAnsi="楷体" w:eastAsia="楷体" w:cs="Arial"/>
          <w:sz w:val="22"/>
          <w:szCs w:val="22"/>
        </w:rPr>
      </w:pPr>
      <w:r>
        <w:rPr>
          <w:rFonts w:hint="eastAsia" w:ascii="楷体" w:hAnsi="楷体" w:eastAsia="楷体" w:cs="Arial"/>
          <w:sz w:val="22"/>
          <w:szCs w:val="22"/>
        </w:rPr>
        <w:t>6、甲方可要求乙方调整不合格员工。</w:t>
      </w:r>
    </w:p>
    <w:p>
      <w:pPr>
        <w:spacing w:line="360" w:lineRule="exact"/>
        <w:rPr>
          <w:rFonts w:hint="eastAsia" w:ascii="楷体" w:hAnsi="楷体" w:eastAsia="楷体" w:cs="Arial"/>
          <w:sz w:val="22"/>
          <w:szCs w:val="22"/>
        </w:rPr>
      </w:pPr>
      <w:r>
        <w:rPr>
          <w:rFonts w:hint="eastAsia" w:ascii="楷体" w:hAnsi="楷体" w:eastAsia="楷体" w:cs="Arial"/>
          <w:sz w:val="22"/>
          <w:szCs w:val="22"/>
        </w:rPr>
        <w:t>7、甲方可根据政策的变动并结合实际情况对《温州市鹿城区人民政府五马街道办事处道路及楼道清扫保洁质量考核评分细则》进行修改和补充。</w:t>
      </w:r>
    </w:p>
    <w:p>
      <w:pPr>
        <w:spacing w:line="360" w:lineRule="exact"/>
        <w:rPr>
          <w:rFonts w:hint="eastAsia" w:ascii="楷体" w:hAnsi="楷体" w:eastAsia="楷体" w:cs="Arial"/>
          <w:sz w:val="22"/>
          <w:szCs w:val="22"/>
        </w:rPr>
      </w:pPr>
      <w:r>
        <w:rPr>
          <w:rFonts w:hint="eastAsia" w:ascii="楷体" w:hAnsi="楷体" w:eastAsia="楷体" w:cs="Arial"/>
          <w:sz w:val="22"/>
          <w:szCs w:val="22"/>
        </w:rPr>
        <w:t>8、甲方应按时支付款项。本合同的清扫保洁经费由政府拨款，如因政策影响，拨款未能及时到位，乙方不得以此为由而不履行本合同规定的义务。否则，甲方按规定扣罚。</w:t>
      </w:r>
    </w:p>
    <w:p>
      <w:pPr>
        <w:spacing w:line="360" w:lineRule="exact"/>
        <w:rPr>
          <w:rFonts w:hint="eastAsia" w:ascii="楷体" w:hAnsi="楷体" w:eastAsia="楷体" w:cs="Arial"/>
          <w:sz w:val="22"/>
          <w:szCs w:val="22"/>
        </w:rPr>
      </w:pPr>
      <w:r>
        <w:rPr>
          <w:rFonts w:hint="eastAsia" w:ascii="楷体" w:hAnsi="楷体" w:eastAsia="楷体" w:cs="Arial"/>
          <w:sz w:val="22"/>
          <w:szCs w:val="22"/>
        </w:rPr>
        <w:t>（二）乙方权利和义务</w:t>
      </w:r>
    </w:p>
    <w:p>
      <w:pPr>
        <w:spacing w:line="360" w:lineRule="exact"/>
        <w:rPr>
          <w:rFonts w:hint="eastAsia" w:ascii="楷体" w:hAnsi="楷体" w:eastAsia="楷体" w:cs="Arial"/>
          <w:sz w:val="22"/>
          <w:szCs w:val="22"/>
        </w:rPr>
      </w:pPr>
      <w:r>
        <w:rPr>
          <w:rFonts w:hint="eastAsia" w:ascii="楷体" w:hAnsi="楷体" w:eastAsia="楷体" w:cs="Arial"/>
          <w:sz w:val="22"/>
          <w:szCs w:val="22"/>
        </w:rPr>
        <w:t>1、乙方有权根据承包合同按期领取承包经费。</w:t>
      </w:r>
    </w:p>
    <w:p>
      <w:pPr>
        <w:spacing w:line="360" w:lineRule="exact"/>
        <w:rPr>
          <w:rFonts w:hint="eastAsia" w:ascii="楷体" w:hAnsi="楷体" w:eastAsia="楷体" w:cs="Arial"/>
          <w:sz w:val="22"/>
          <w:szCs w:val="22"/>
        </w:rPr>
      </w:pPr>
      <w:r>
        <w:rPr>
          <w:rFonts w:hint="eastAsia" w:ascii="楷体" w:hAnsi="楷体" w:eastAsia="楷体" w:cs="Arial"/>
          <w:sz w:val="22"/>
          <w:szCs w:val="22"/>
        </w:rPr>
        <w:t>2、乙方有权对管理工作提出建议。</w:t>
      </w:r>
    </w:p>
    <w:p>
      <w:pPr>
        <w:spacing w:line="36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3、乙方履行承诺的义务，并参加由甲方组织的检查和综合考评。</w:t>
      </w:r>
    </w:p>
    <w:p>
      <w:pPr>
        <w:spacing w:line="360" w:lineRule="exact"/>
        <w:rPr>
          <w:rFonts w:hint="eastAsia" w:ascii="楷体" w:hAnsi="楷体" w:eastAsia="楷体" w:cs="Arial"/>
          <w:sz w:val="22"/>
          <w:szCs w:val="22"/>
        </w:rPr>
      </w:pPr>
      <w:r>
        <w:rPr>
          <w:rFonts w:hint="eastAsia" w:ascii="楷体" w:hAnsi="楷体" w:eastAsia="楷体" w:cs="Arial"/>
          <w:sz w:val="22"/>
          <w:szCs w:val="22"/>
        </w:rPr>
        <w:t>4、乙方应接受甲方的检查监督及指导。</w:t>
      </w:r>
    </w:p>
    <w:p>
      <w:pPr>
        <w:spacing w:line="360" w:lineRule="exact"/>
        <w:rPr>
          <w:rFonts w:hint="eastAsia" w:ascii="楷体" w:hAnsi="楷体" w:eastAsia="楷体" w:cs="Arial"/>
          <w:sz w:val="22"/>
          <w:szCs w:val="22"/>
        </w:rPr>
      </w:pPr>
      <w:r>
        <w:rPr>
          <w:rFonts w:hint="eastAsia" w:ascii="楷体" w:hAnsi="楷体" w:eastAsia="楷体" w:cs="Arial"/>
          <w:sz w:val="22"/>
          <w:szCs w:val="22"/>
        </w:rPr>
        <w:t>5、按甲方的要求开展工作，如有改变，乙方应提出书面申请，并征得甲方的书面同意。</w:t>
      </w:r>
    </w:p>
    <w:p>
      <w:pPr>
        <w:spacing w:line="360" w:lineRule="exact"/>
        <w:rPr>
          <w:rFonts w:hint="eastAsia" w:ascii="楷体" w:hAnsi="楷体" w:eastAsia="楷体" w:cs="Arial"/>
          <w:sz w:val="22"/>
          <w:szCs w:val="22"/>
        </w:rPr>
      </w:pPr>
      <w:r>
        <w:rPr>
          <w:rFonts w:hint="eastAsia" w:ascii="楷体" w:hAnsi="楷体" w:eastAsia="楷体" w:cs="Arial"/>
          <w:sz w:val="22"/>
          <w:szCs w:val="22"/>
        </w:rPr>
        <w:t xml:space="preserve">6、特殊情况下（台风和暴雨等），乙方除应做好管辖地段保护工作外，还应服从甲方的统一指挥和调动，参加抢险救灾工作。 </w:t>
      </w:r>
    </w:p>
    <w:p>
      <w:pPr>
        <w:spacing w:line="360" w:lineRule="exact"/>
        <w:rPr>
          <w:rFonts w:hint="eastAsia" w:ascii="楷体" w:hAnsi="楷体" w:eastAsia="楷体" w:cs="Arial"/>
          <w:sz w:val="22"/>
          <w:szCs w:val="22"/>
        </w:rPr>
      </w:pPr>
      <w:r>
        <w:rPr>
          <w:rFonts w:hint="eastAsia" w:ascii="楷体" w:hAnsi="楷体" w:eastAsia="楷体" w:cs="Arial"/>
          <w:sz w:val="22"/>
          <w:szCs w:val="22"/>
        </w:rPr>
        <w:t>7、乙方根据本合同所承担的服务内容，按实际上岗人数自行到有关部门申办用工手续、员工劳动保险手续和办暂住证手续。员工最低工资不得低于（当年浙江省最低工资标准+最低工资10%）。安排好属下人员的住宿和安全教育管理工作，如发生违纪事件，由乙方承担一切经济责任和法律责任。</w:t>
      </w:r>
    </w:p>
    <w:p>
      <w:pPr>
        <w:spacing w:line="360" w:lineRule="exact"/>
        <w:rPr>
          <w:rFonts w:hint="eastAsia" w:ascii="楷体" w:hAnsi="楷体" w:eastAsia="楷体" w:cs="Arial"/>
          <w:sz w:val="22"/>
          <w:szCs w:val="22"/>
        </w:rPr>
      </w:pPr>
      <w:r>
        <w:rPr>
          <w:rFonts w:hint="eastAsia" w:ascii="楷体" w:hAnsi="楷体" w:eastAsia="楷体" w:cs="Arial"/>
          <w:sz w:val="22"/>
          <w:szCs w:val="22"/>
        </w:rPr>
        <w:t>8、乙方应按甲方要求，为上岗工人购买统一的工作服及反光背心。</w:t>
      </w:r>
    </w:p>
    <w:p>
      <w:pPr>
        <w:spacing w:line="360" w:lineRule="exact"/>
        <w:rPr>
          <w:rFonts w:hint="eastAsia" w:ascii="楷体" w:hAnsi="楷体" w:eastAsia="楷体" w:cs="Arial"/>
          <w:sz w:val="22"/>
          <w:szCs w:val="22"/>
        </w:rPr>
      </w:pPr>
      <w:r>
        <w:rPr>
          <w:rFonts w:hint="eastAsia" w:ascii="楷体" w:hAnsi="楷体" w:eastAsia="楷体" w:cs="Arial"/>
          <w:sz w:val="22"/>
          <w:szCs w:val="22"/>
        </w:rPr>
        <w:t>9、乙方负责提供道路清扫保洁所需的全部工具、设备和材料。</w:t>
      </w:r>
    </w:p>
    <w:p>
      <w:pPr>
        <w:spacing w:line="360" w:lineRule="exact"/>
        <w:rPr>
          <w:rFonts w:hint="eastAsia" w:ascii="楷体" w:hAnsi="楷体" w:eastAsia="楷体" w:cs="Arial"/>
          <w:sz w:val="22"/>
          <w:szCs w:val="22"/>
        </w:rPr>
      </w:pPr>
      <w:r>
        <w:rPr>
          <w:rFonts w:hint="eastAsia" w:ascii="楷体" w:hAnsi="楷体" w:eastAsia="楷体" w:cs="Arial"/>
          <w:sz w:val="22"/>
          <w:szCs w:val="22"/>
        </w:rPr>
        <w:t>10、乙方负责安排骨干参加业务技术的培训学习。</w:t>
      </w:r>
    </w:p>
    <w:p>
      <w:pPr>
        <w:spacing w:line="360" w:lineRule="exact"/>
        <w:rPr>
          <w:rFonts w:hint="eastAsia" w:ascii="楷体" w:hAnsi="楷体" w:eastAsia="楷体" w:cs="Arial"/>
          <w:sz w:val="22"/>
          <w:szCs w:val="22"/>
        </w:rPr>
      </w:pPr>
      <w:r>
        <w:rPr>
          <w:rFonts w:hint="eastAsia" w:ascii="楷体" w:hAnsi="楷体" w:eastAsia="楷体" w:cs="Arial"/>
          <w:sz w:val="22"/>
          <w:szCs w:val="22"/>
        </w:rPr>
        <w:t>11、乙方负责作业过程中的事故处理和一切费用。</w:t>
      </w:r>
    </w:p>
    <w:p>
      <w:pPr>
        <w:spacing w:line="360" w:lineRule="exact"/>
        <w:rPr>
          <w:rFonts w:hint="eastAsia" w:ascii="楷体" w:hAnsi="楷体" w:eastAsia="楷体" w:cs="Arial"/>
          <w:sz w:val="22"/>
          <w:szCs w:val="22"/>
        </w:rPr>
      </w:pPr>
      <w:r>
        <w:rPr>
          <w:rFonts w:hint="eastAsia" w:ascii="楷体" w:hAnsi="楷体" w:eastAsia="楷体" w:cs="Arial"/>
          <w:sz w:val="22"/>
          <w:szCs w:val="22"/>
        </w:rPr>
        <w:t>12、乙方应严格遵守国家法律、法规的规定，做好社会治安综合治理和计划生育等工作，不得违反国家法律、法规和温州市的有关规定。</w:t>
      </w:r>
    </w:p>
    <w:p>
      <w:pPr>
        <w:spacing w:line="360" w:lineRule="exact"/>
        <w:rPr>
          <w:rFonts w:hint="eastAsia" w:ascii="楷体" w:hAnsi="楷体" w:eastAsia="楷体" w:cs="Arial"/>
          <w:sz w:val="22"/>
          <w:szCs w:val="22"/>
        </w:rPr>
      </w:pPr>
      <w:r>
        <w:rPr>
          <w:rFonts w:hint="eastAsia" w:ascii="楷体" w:hAnsi="楷体" w:eastAsia="楷体" w:cs="Arial"/>
          <w:sz w:val="22"/>
          <w:szCs w:val="22"/>
        </w:rPr>
        <w:t>13、在合同期内，因道路拓宽及改建等不可预见原因造成乙方清扫保洁服务面积增加，相应增加费用由乙方自行承担。因国家建设需要造成的乙方经济损失，甲方不负赔偿责任。</w:t>
      </w:r>
    </w:p>
    <w:p>
      <w:pPr>
        <w:spacing w:line="360" w:lineRule="exact"/>
        <w:rPr>
          <w:rFonts w:hint="eastAsia" w:ascii="楷体" w:hAnsi="楷体" w:eastAsia="楷体" w:cs="Arial"/>
          <w:sz w:val="22"/>
          <w:szCs w:val="22"/>
        </w:rPr>
      </w:pPr>
      <w:r>
        <w:rPr>
          <w:rFonts w:hint="eastAsia" w:ascii="楷体" w:hAnsi="楷体" w:eastAsia="楷体" w:cs="Arial"/>
          <w:sz w:val="22"/>
          <w:szCs w:val="22"/>
        </w:rPr>
        <w:t>14、乙方应遵守法律、法规和政策的规定，因以上原因使合同性质发生改变，甲方不负赔偿责任。</w:t>
      </w:r>
    </w:p>
    <w:p>
      <w:pPr>
        <w:spacing w:line="360" w:lineRule="exact"/>
        <w:rPr>
          <w:rFonts w:hint="eastAsia" w:ascii="楷体" w:hAnsi="楷体" w:eastAsia="楷体" w:cs="Arial"/>
          <w:sz w:val="22"/>
          <w:szCs w:val="22"/>
        </w:rPr>
      </w:pPr>
      <w:r>
        <w:rPr>
          <w:rFonts w:hint="eastAsia" w:ascii="楷体" w:hAnsi="楷体" w:eastAsia="楷体" w:cs="Arial"/>
          <w:sz w:val="22"/>
          <w:szCs w:val="22"/>
        </w:rPr>
        <w:t>15、乙方按要求投入本项目范围内的所有人员及保洁保洁车辆化作业机具不得在本项目范围外进行清扫保洁业务，否则甲方有权在质量保证金中作相应扣除处理。</w:t>
      </w:r>
    </w:p>
    <w:p>
      <w:pPr>
        <w:spacing w:line="360" w:lineRule="exact"/>
        <w:rPr>
          <w:rFonts w:hint="eastAsia" w:ascii="楷体" w:hAnsi="楷体" w:eastAsia="楷体" w:cs="Arial"/>
          <w:sz w:val="22"/>
          <w:szCs w:val="22"/>
        </w:rPr>
      </w:pPr>
      <w:r>
        <w:rPr>
          <w:rFonts w:hint="eastAsia" w:ascii="楷体" w:hAnsi="楷体" w:eastAsia="楷体" w:cs="Arial"/>
          <w:sz w:val="22"/>
          <w:szCs w:val="22"/>
        </w:rPr>
        <w:t>16、合同签订后，乙方人员进场前，乙方须向甲方提供各条道路安排的人员信息等资料；合同期内因乙方原因更换人员的，需在更换后5日内将相关信息报送甲方。</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第十一条  合同组成</w:t>
      </w:r>
    </w:p>
    <w:p>
      <w:pPr>
        <w:spacing w:line="360" w:lineRule="exact"/>
        <w:ind w:firstLine="440" w:firstLineChars="200"/>
        <w:rPr>
          <w:rFonts w:hint="eastAsia" w:ascii="楷体" w:hAnsi="楷体" w:eastAsia="楷体" w:cs="Arial"/>
          <w:sz w:val="22"/>
          <w:szCs w:val="22"/>
        </w:rPr>
      </w:pPr>
      <w:r>
        <w:rPr>
          <w:rFonts w:hint="eastAsia" w:ascii="楷体" w:hAnsi="楷体" w:eastAsia="楷体" w:cs="Arial"/>
          <w:sz w:val="22"/>
          <w:szCs w:val="22"/>
        </w:rPr>
        <w:t>承包合同由《招标文件》、《投标文件》、《温州市鹿城区人民政府五马街道办事处道路及楼道清扫保洁质量考核评分细则》及附件为本合同的有效组成部分。</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第十二条  违约责任</w:t>
      </w:r>
    </w:p>
    <w:p>
      <w:pPr>
        <w:spacing w:line="360" w:lineRule="exact"/>
        <w:rPr>
          <w:rFonts w:hint="eastAsia" w:ascii="楷体" w:hAnsi="楷体" w:eastAsia="楷体" w:cs="Arial"/>
          <w:sz w:val="22"/>
          <w:szCs w:val="22"/>
        </w:rPr>
      </w:pPr>
      <w:r>
        <w:rPr>
          <w:rFonts w:hint="eastAsia" w:ascii="楷体" w:hAnsi="楷体" w:eastAsia="楷体" w:cs="Arial"/>
          <w:sz w:val="22"/>
          <w:szCs w:val="22"/>
        </w:rPr>
        <w:t xml:space="preserve">（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                                          </w:t>
      </w:r>
    </w:p>
    <w:p>
      <w:pPr>
        <w:spacing w:line="360" w:lineRule="exact"/>
        <w:rPr>
          <w:rFonts w:hint="eastAsia" w:ascii="楷体" w:hAnsi="楷体" w:eastAsia="楷体" w:cs="Arial"/>
          <w:sz w:val="22"/>
          <w:szCs w:val="22"/>
        </w:rPr>
      </w:pPr>
      <w:r>
        <w:rPr>
          <w:rFonts w:hint="eastAsia" w:ascii="楷体" w:hAnsi="楷体" w:eastAsia="楷体" w:cs="Arial"/>
          <w:sz w:val="22"/>
          <w:szCs w:val="22"/>
        </w:rPr>
        <w:t>（二）乙方因保洁车辆、工具或技术、劳动等跟不上管理需要影响工作，未达到质量标准，甲方应责令其限期予以改正，并发书面通知书以示警告。全年出现连续两次或者累计三次被警告或连接3次出现有20%道路（按标段总面积计算）月评分不达标的，将立即终止承包合同，并没收履约保证金。</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第十三条  验收移交</w:t>
      </w:r>
    </w:p>
    <w:p>
      <w:pPr>
        <w:spacing w:line="360" w:lineRule="exact"/>
        <w:rPr>
          <w:rFonts w:hint="eastAsia" w:ascii="楷体" w:hAnsi="楷体" w:eastAsia="楷体" w:cs="Arial"/>
          <w:sz w:val="22"/>
          <w:szCs w:val="22"/>
        </w:rPr>
      </w:pPr>
      <w:r>
        <w:rPr>
          <w:rFonts w:hint="eastAsia" w:ascii="楷体" w:hAnsi="楷体" w:eastAsia="楷体" w:cs="Arial"/>
          <w:sz w:val="22"/>
          <w:szCs w:val="22"/>
        </w:rPr>
        <w:t>（一）在合同终止前十个工作日内，由乙方书面向甲方提出移交验收申请。</w:t>
      </w:r>
    </w:p>
    <w:p>
      <w:pPr>
        <w:spacing w:line="360" w:lineRule="exact"/>
        <w:rPr>
          <w:rFonts w:hint="eastAsia" w:ascii="楷体" w:hAnsi="楷体" w:eastAsia="楷体" w:cs="Arial"/>
          <w:sz w:val="22"/>
          <w:szCs w:val="22"/>
        </w:rPr>
      </w:pPr>
      <w:r>
        <w:rPr>
          <w:rFonts w:hint="eastAsia" w:ascii="楷体" w:hAnsi="楷体" w:eastAsia="楷体" w:cs="Arial"/>
          <w:sz w:val="22"/>
          <w:szCs w:val="22"/>
        </w:rPr>
        <w:t>（二）合同期满，乙方必须将全部清扫保洁业务及时移交甲方。未经甲方许可，合同期满，乙方超期移交给甲方的，将全额扣除履约保证金。</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第十四条  争议的解决</w:t>
      </w:r>
    </w:p>
    <w:p>
      <w:pPr>
        <w:spacing w:line="360" w:lineRule="exact"/>
        <w:ind w:firstLine="440" w:firstLineChars="200"/>
        <w:rPr>
          <w:rFonts w:hint="eastAsia" w:ascii="楷体" w:hAnsi="楷体" w:eastAsia="楷体" w:cs="Arial"/>
          <w:sz w:val="22"/>
          <w:szCs w:val="22"/>
        </w:rPr>
      </w:pPr>
      <w:r>
        <w:rPr>
          <w:rFonts w:hint="eastAsia" w:ascii="楷体" w:hAnsi="楷体" w:eastAsia="楷体" w:cs="Arial"/>
          <w:sz w:val="22"/>
          <w:szCs w:val="22"/>
        </w:rPr>
        <w:t>合同未尽事宜，应双方友好协调解决。协商不一致，任何一方均可提起仲裁或诉讼，仲裁或诉讼按合同履行地原则。</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第十五条  合同生效及终止</w:t>
      </w:r>
    </w:p>
    <w:p>
      <w:pPr>
        <w:spacing w:line="360" w:lineRule="exact"/>
        <w:rPr>
          <w:rFonts w:hint="eastAsia" w:ascii="楷体" w:hAnsi="楷体" w:eastAsia="楷体" w:cs="Arial"/>
          <w:sz w:val="22"/>
          <w:szCs w:val="22"/>
        </w:rPr>
      </w:pPr>
      <w:r>
        <w:rPr>
          <w:rFonts w:hint="eastAsia" w:ascii="楷体" w:hAnsi="楷体" w:eastAsia="楷体" w:cs="Arial"/>
          <w:sz w:val="22"/>
          <w:szCs w:val="22"/>
        </w:rPr>
        <w:t>（一）合同生效：本合同自甲乙双方法定代表人签字、盖章之日起生效。</w:t>
      </w:r>
    </w:p>
    <w:p>
      <w:pPr>
        <w:spacing w:line="360" w:lineRule="exact"/>
        <w:rPr>
          <w:rFonts w:hint="eastAsia" w:ascii="楷体" w:hAnsi="楷体" w:eastAsia="楷体" w:cs="Arial"/>
          <w:sz w:val="22"/>
          <w:szCs w:val="22"/>
        </w:rPr>
      </w:pPr>
      <w:r>
        <w:rPr>
          <w:rFonts w:hint="eastAsia" w:ascii="楷体" w:hAnsi="楷体" w:eastAsia="楷体" w:cs="Arial"/>
          <w:sz w:val="22"/>
          <w:szCs w:val="22"/>
        </w:rPr>
        <w:t>（二）合同终止：本合同出现以下情况时终止。</w:t>
      </w:r>
    </w:p>
    <w:p>
      <w:pPr>
        <w:spacing w:line="360" w:lineRule="exact"/>
        <w:rPr>
          <w:rFonts w:hint="eastAsia" w:ascii="楷体" w:hAnsi="楷体" w:eastAsia="楷体" w:cs="Arial"/>
          <w:sz w:val="22"/>
          <w:szCs w:val="22"/>
        </w:rPr>
      </w:pPr>
      <w:r>
        <w:rPr>
          <w:rFonts w:hint="eastAsia" w:ascii="楷体" w:hAnsi="楷体" w:eastAsia="楷体" w:cs="Arial"/>
          <w:sz w:val="22"/>
          <w:szCs w:val="22"/>
        </w:rPr>
        <w:t>1、期限届满时自行终止。</w:t>
      </w:r>
    </w:p>
    <w:p>
      <w:pPr>
        <w:spacing w:line="36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2、根据《温州市鹿城区人民政府五马街道办事处道路及楼道清扫保洁质量考核评分细则》进行检查考评，不符合相关规定需终止合同的。</w:t>
      </w:r>
    </w:p>
    <w:p>
      <w:pPr>
        <w:spacing w:line="360" w:lineRule="exact"/>
        <w:rPr>
          <w:rFonts w:hint="eastAsia" w:ascii="楷体" w:hAnsi="楷体" w:eastAsia="楷体" w:cs="Arial"/>
          <w:sz w:val="22"/>
          <w:szCs w:val="22"/>
        </w:rPr>
      </w:pPr>
      <w:r>
        <w:rPr>
          <w:rFonts w:hint="eastAsia" w:ascii="楷体" w:hAnsi="楷体" w:eastAsia="楷体" w:cs="Arial"/>
          <w:sz w:val="22"/>
          <w:szCs w:val="22"/>
        </w:rPr>
        <w:t>3、有以下行为之一的：</w:t>
      </w:r>
    </w:p>
    <w:p>
      <w:pPr>
        <w:spacing w:line="360" w:lineRule="exact"/>
        <w:rPr>
          <w:rFonts w:hint="eastAsia" w:ascii="楷体" w:hAnsi="楷体" w:eastAsia="楷体" w:cs="Arial"/>
          <w:sz w:val="22"/>
          <w:szCs w:val="22"/>
        </w:rPr>
      </w:pPr>
      <w:r>
        <w:rPr>
          <w:rFonts w:hint="eastAsia" w:ascii="楷体" w:hAnsi="楷体" w:eastAsia="楷体" w:cs="Arial"/>
          <w:sz w:val="22"/>
          <w:szCs w:val="22"/>
        </w:rPr>
        <w:t>（1）违反管理规定，造成重大伤亡或重大损失。</w:t>
      </w:r>
    </w:p>
    <w:p>
      <w:pPr>
        <w:spacing w:line="360" w:lineRule="exact"/>
        <w:rPr>
          <w:rFonts w:hint="eastAsia" w:ascii="楷体" w:hAnsi="楷体" w:eastAsia="楷体" w:cs="Arial"/>
          <w:sz w:val="22"/>
          <w:szCs w:val="22"/>
        </w:rPr>
      </w:pPr>
      <w:r>
        <w:rPr>
          <w:rFonts w:hint="eastAsia" w:ascii="楷体" w:hAnsi="楷体" w:eastAsia="楷体" w:cs="Arial"/>
          <w:sz w:val="22"/>
          <w:szCs w:val="22"/>
        </w:rPr>
        <w:t>（2）因管理不善造成恶劣影响。</w:t>
      </w:r>
    </w:p>
    <w:p>
      <w:pPr>
        <w:spacing w:line="360" w:lineRule="exact"/>
        <w:rPr>
          <w:rFonts w:hint="eastAsia" w:ascii="楷体" w:hAnsi="楷体" w:eastAsia="楷体" w:cs="Arial"/>
          <w:sz w:val="22"/>
          <w:szCs w:val="22"/>
        </w:rPr>
      </w:pPr>
      <w:r>
        <w:rPr>
          <w:rFonts w:hint="eastAsia" w:ascii="楷体" w:hAnsi="楷体" w:eastAsia="楷体" w:cs="Arial"/>
          <w:sz w:val="22"/>
          <w:szCs w:val="22"/>
        </w:rPr>
        <w:t>（3）擅自将合同转包给第三者。</w:t>
      </w:r>
    </w:p>
    <w:p>
      <w:pPr>
        <w:spacing w:line="360" w:lineRule="exact"/>
        <w:rPr>
          <w:rFonts w:hint="eastAsia" w:ascii="楷体" w:hAnsi="楷体" w:eastAsia="楷体" w:cs="Arial"/>
          <w:sz w:val="22"/>
          <w:szCs w:val="22"/>
        </w:rPr>
      </w:pPr>
      <w:r>
        <w:rPr>
          <w:rFonts w:hint="eastAsia" w:ascii="楷体" w:hAnsi="楷体" w:eastAsia="楷体" w:cs="Arial"/>
          <w:sz w:val="22"/>
          <w:szCs w:val="22"/>
        </w:rPr>
        <w:t>（4）违反劳动法或其他相关法律法规，造成恶劣影响。</w:t>
      </w:r>
    </w:p>
    <w:p>
      <w:pPr>
        <w:spacing w:line="360" w:lineRule="exact"/>
        <w:rPr>
          <w:rFonts w:hint="eastAsia" w:ascii="楷体" w:hAnsi="楷体" w:eastAsia="楷体" w:cs="Arial"/>
          <w:sz w:val="22"/>
          <w:szCs w:val="22"/>
        </w:rPr>
      </w:pPr>
      <w:r>
        <w:rPr>
          <w:rFonts w:hint="eastAsia" w:ascii="楷体" w:hAnsi="楷体" w:eastAsia="楷体" w:cs="Arial"/>
          <w:sz w:val="22"/>
          <w:szCs w:val="22"/>
        </w:rPr>
        <w:t>（5）弄虚作假及其他不正当行为。</w:t>
      </w:r>
    </w:p>
    <w:p>
      <w:pPr>
        <w:spacing w:line="360" w:lineRule="exact"/>
        <w:rPr>
          <w:rFonts w:hint="eastAsia" w:ascii="楷体" w:hAnsi="楷体" w:eastAsia="楷体" w:cs="Arial"/>
          <w:sz w:val="22"/>
          <w:szCs w:val="22"/>
        </w:rPr>
      </w:pPr>
      <w:r>
        <w:rPr>
          <w:rFonts w:hint="eastAsia" w:ascii="楷体" w:hAnsi="楷体" w:eastAsia="楷体" w:cs="Arial"/>
          <w:sz w:val="22"/>
          <w:szCs w:val="22"/>
        </w:rPr>
        <w:t>4、法律规定的终止事由。</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第十六条  合同的解释</w:t>
      </w:r>
    </w:p>
    <w:p>
      <w:pPr>
        <w:spacing w:line="360" w:lineRule="exact"/>
        <w:rPr>
          <w:rFonts w:hint="eastAsia" w:ascii="楷体" w:hAnsi="楷体" w:eastAsia="楷体" w:cs="Arial"/>
          <w:sz w:val="22"/>
          <w:szCs w:val="22"/>
        </w:rPr>
      </w:pPr>
      <w:r>
        <w:rPr>
          <w:rFonts w:hint="eastAsia" w:ascii="楷体" w:hAnsi="楷体" w:eastAsia="楷体" w:cs="Arial"/>
          <w:sz w:val="22"/>
          <w:szCs w:val="22"/>
        </w:rPr>
        <w:t xml:space="preserve">本合同的解释权在温州市鹿城区人民政府五马街道办事处。         </w:t>
      </w:r>
    </w:p>
    <w:p>
      <w:pPr>
        <w:spacing w:line="360" w:lineRule="exact"/>
        <w:rPr>
          <w:rFonts w:hint="eastAsia" w:ascii="楷体" w:hAnsi="楷体" w:eastAsia="楷体" w:cs="Arial"/>
          <w:b/>
          <w:sz w:val="22"/>
          <w:szCs w:val="22"/>
        </w:rPr>
      </w:pPr>
      <w:r>
        <w:rPr>
          <w:rFonts w:hint="eastAsia" w:ascii="楷体" w:hAnsi="楷体" w:eastAsia="楷体" w:cs="Arial"/>
          <w:b/>
          <w:sz w:val="22"/>
          <w:szCs w:val="22"/>
        </w:rPr>
        <w:t>第十七条  合同的份数</w:t>
      </w:r>
    </w:p>
    <w:p>
      <w:pPr>
        <w:spacing w:line="360" w:lineRule="exact"/>
        <w:rPr>
          <w:rFonts w:hint="eastAsia" w:ascii="楷体" w:hAnsi="楷体" w:eastAsia="楷体" w:cs="Arial"/>
          <w:sz w:val="22"/>
          <w:szCs w:val="22"/>
        </w:rPr>
      </w:pPr>
      <w:r>
        <w:rPr>
          <w:rFonts w:hint="eastAsia" w:ascii="楷体" w:hAnsi="楷体" w:eastAsia="楷体" w:cs="Arial"/>
          <w:sz w:val="22"/>
          <w:szCs w:val="22"/>
        </w:rPr>
        <w:t>1、本合同一式六份，双方各执三份，具有同等法律效力，自双方签字盖章后生效。</w:t>
      </w:r>
    </w:p>
    <w:p>
      <w:pPr>
        <w:spacing w:line="360" w:lineRule="exact"/>
        <w:rPr>
          <w:rFonts w:hint="eastAsia" w:ascii="楷体" w:hAnsi="楷体" w:eastAsia="楷体" w:cs="Arial"/>
          <w:sz w:val="22"/>
          <w:szCs w:val="22"/>
        </w:rPr>
      </w:pPr>
      <w:r>
        <w:rPr>
          <w:rFonts w:hint="eastAsia" w:ascii="楷体" w:hAnsi="楷体" w:eastAsia="楷体" w:cs="Arial"/>
          <w:bCs/>
          <w:sz w:val="22"/>
          <w:szCs w:val="22"/>
        </w:rPr>
        <w:t>2、</w:t>
      </w:r>
      <w:r>
        <w:rPr>
          <w:rFonts w:hint="eastAsia" w:ascii="楷体" w:hAnsi="楷体" w:eastAsia="楷体" w:cs="Arial"/>
          <w:sz w:val="22"/>
          <w:szCs w:val="22"/>
        </w:rPr>
        <w:t>如需修改或补充合同内容，经协商，双方应签署书面修改或补充协议，该协议将作为本合同的一个组成部分。</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甲    方：（印章）                    乙    方：（印章）</w:t>
      </w:r>
    </w:p>
    <w:p>
      <w:pPr>
        <w:spacing w:line="360" w:lineRule="exact"/>
        <w:rPr>
          <w:rFonts w:hint="eastAsia" w:ascii="楷体" w:hAnsi="楷体" w:eastAsia="楷体" w:cs="Arial"/>
          <w:sz w:val="22"/>
          <w:szCs w:val="22"/>
        </w:rPr>
      </w:pPr>
      <w:r>
        <w:rPr>
          <w:rFonts w:hint="eastAsia" w:ascii="楷体" w:hAnsi="楷体" w:eastAsia="楷体" w:cs="Arial"/>
          <w:sz w:val="22"/>
          <w:szCs w:val="22"/>
        </w:rPr>
        <w:t xml:space="preserve">      全权代表：（签字）                    全权代表：（签字）</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地    址：                           地    址：</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邮政编码：                           邮政编码：</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电    话：                           电    话：</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传    真：                           传    真：</w:t>
      </w:r>
    </w:p>
    <w:p>
      <w:pPr>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开户银行：                           开户银行：</w:t>
      </w:r>
    </w:p>
    <w:p>
      <w:pPr>
        <w:widowControl/>
        <w:spacing w:line="360" w:lineRule="exact"/>
        <w:ind w:firstLine="660" w:firstLineChars="300"/>
        <w:rPr>
          <w:rFonts w:hint="eastAsia" w:ascii="楷体" w:hAnsi="楷体" w:eastAsia="楷体" w:cs="Arial"/>
          <w:sz w:val="22"/>
          <w:szCs w:val="22"/>
        </w:rPr>
      </w:pPr>
      <w:r>
        <w:rPr>
          <w:rFonts w:hint="eastAsia" w:ascii="楷体" w:hAnsi="楷体" w:eastAsia="楷体" w:cs="Arial"/>
          <w:sz w:val="22"/>
          <w:szCs w:val="22"/>
        </w:rPr>
        <w:t>帐    号：                           帐    号：</w:t>
      </w:r>
    </w:p>
    <w:p>
      <w:pPr>
        <w:widowControl/>
        <w:spacing w:line="360" w:lineRule="exact"/>
        <w:rPr>
          <w:rFonts w:hint="eastAsia" w:ascii="楷体" w:hAnsi="楷体" w:eastAsia="楷体" w:cs="Arial"/>
          <w:sz w:val="22"/>
          <w:szCs w:val="22"/>
        </w:rPr>
      </w:pPr>
    </w:p>
    <w:p>
      <w:pPr>
        <w:widowControl/>
        <w:spacing w:line="360" w:lineRule="exact"/>
        <w:rPr>
          <w:rFonts w:hint="eastAsia" w:ascii="楷体" w:hAnsi="楷体" w:eastAsia="楷体" w:cs="Arial"/>
          <w:sz w:val="22"/>
          <w:szCs w:val="22"/>
        </w:rPr>
      </w:pPr>
      <w:r>
        <w:rPr>
          <w:rFonts w:hint="eastAsia" w:ascii="楷体" w:hAnsi="楷体" w:eastAsia="楷体" w:cs="Arial"/>
          <w:sz w:val="22"/>
          <w:szCs w:val="22"/>
        </w:rPr>
        <w:t>注：此合同做为范本参考</w:t>
      </w:r>
    </w:p>
    <w:p>
      <w:pPr>
        <w:pStyle w:val="2"/>
        <w:spacing w:line="360" w:lineRule="exact"/>
        <w:rPr>
          <w:rFonts w:hint="eastAsia" w:ascii="楷体" w:hAnsi="楷体" w:eastAsia="楷体"/>
          <w:sz w:val="36"/>
          <w:szCs w:val="36"/>
        </w:rPr>
      </w:pPr>
      <w:r>
        <w:rPr>
          <w:rFonts w:ascii="楷体" w:hAnsi="楷体" w:eastAsia="楷体" w:cs="Arial"/>
          <w:sz w:val="22"/>
          <w:szCs w:val="22"/>
        </w:rPr>
        <w:br w:type="page"/>
      </w:r>
      <w:bookmarkStart w:id="172" w:name="_Toc17406"/>
      <w:r>
        <w:rPr>
          <w:rFonts w:hint="eastAsia" w:ascii="楷体" w:hAnsi="楷体" w:eastAsia="楷体"/>
          <w:sz w:val="36"/>
          <w:szCs w:val="36"/>
        </w:rPr>
        <w:t>第三部分   附件</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spacing w:line="340" w:lineRule="atLeast"/>
        <w:rPr>
          <w:rFonts w:hint="eastAsia" w:ascii="楷体" w:hAnsi="楷体" w:eastAsia="楷体"/>
          <w:b/>
          <w:bCs/>
          <w:sz w:val="22"/>
          <w:szCs w:val="22"/>
        </w:rPr>
      </w:pPr>
      <w:r>
        <w:rPr>
          <w:rFonts w:hint="eastAsia" w:ascii="楷体" w:hAnsi="楷体" w:eastAsia="楷体"/>
          <w:b/>
          <w:bCs/>
          <w:sz w:val="22"/>
          <w:szCs w:val="22"/>
        </w:rPr>
        <w:t>附件一</w:t>
      </w:r>
    </w:p>
    <w:p>
      <w:pPr>
        <w:spacing w:line="340" w:lineRule="atLeast"/>
        <w:jc w:val="center"/>
        <w:rPr>
          <w:rFonts w:hint="eastAsia" w:ascii="楷体" w:hAnsi="楷体" w:eastAsia="楷体"/>
          <w:b/>
          <w:bCs/>
          <w:sz w:val="28"/>
          <w:szCs w:val="28"/>
        </w:rPr>
      </w:pPr>
      <w:r>
        <w:rPr>
          <w:rFonts w:hint="eastAsia" w:ascii="楷体" w:hAnsi="楷体" w:eastAsia="楷体"/>
          <w:b/>
          <w:bCs/>
          <w:sz w:val="28"/>
          <w:szCs w:val="28"/>
        </w:rPr>
        <w:t>投 标 函</w:t>
      </w:r>
    </w:p>
    <w:p>
      <w:pPr>
        <w:spacing w:line="340" w:lineRule="atLeast"/>
        <w:rPr>
          <w:rFonts w:hint="eastAsia" w:ascii="楷体" w:hAnsi="楷体" w:eastAsia="楷体"/>
          <w:sz w:val="22"/>
          <w:szCs w:val="22"/>
        </w:rPr>
      </w:pPr>
      <w:r>
        <w:rPr>
          <w:rFonts w:hint="eastAsia" w:ascii="楷体" w:hAnsi="楷体" w:eastAsia="楷体"/>
          <w:sz w:val="22"/>
          <w:szCs w:val="22"/>
        </w:rPr>
        <w:t>温州市鹿城区人民政府五马街道办事处：</w:t>
      </w:r>
    </w:p>
    <w:p>
      <w:pPr>
        <w:spacing w:line="340" w:lineRule="atLeast"/>
        <w:rPr>
          <w:rFonts w:hint="eastAsia" w:ascii="楷体" w:hAnsi="楷体" w:eastAsia="楷体"/>
          <w:sz w:val="22"/>
          <w:szCs w:val="22"/>
        </w:rPr>
      </w:pPr>
      <w:r>
        <w:rPr>
          <w:rFonts w:hint="eastAsia" w:ascii="楷体" w:hAnsi="楷体" w:eastAsia="楷体"/>
          <w:sz w:val="22"/>
          <w:szCs w:val="22"/>
        </w:rPr>
        <w:t>浙江明业项目管理有限公司：</w:t>
      </w:r>
    </w:p>
    <w:p>
      <w:pPr>
        <w:spacing w:line="340" w:lineRule="atLeast"/>
        <w:ind w:firstLine="440" w:firstLineChars="200"/>
        <w:rPr>
          <w:rFonts w:hint="eastAsia" w:ascii="楷体" w:hAnsi="楷体" w:eastAsia="楷体"/>
          <w:sz w:val="22"/>
          <w:szCs w:val="22"/>
        </w:rPr>
      </w:pPr>
      <w:r>
        <w:rPr>
          <w:rFonts w:hint="eastAsia" w:ascii="楷体" w:hAnsi="楷体" w:eastAsia="楷体"/>
          <w:sz w:val="22"/>
          <w:szCs w:val="22"/>
        </w:rPr>
        <w:t>根据贵方为</w:t>
      </w:r>
      <w:r>
        <w:rPr>
          <w:rFonts w:hint="eastAsia" w:ascii="楷体" w:hAnsi="楷体" w:eastAsia="楷体"/>
          <w:sz w:val="22"/>
          <w:szCs w:val="22"/>
          <w:u w:val="single"/>
        </w:rPr>
        <w:t xml:space="preserve">             </w:t>
      </w:r>
      <w:r>
        <w:rPr>
          <w:rFonts w:hint="eastAsia" w:ascii="楷体" w:hAnsi="楷体" w:eastAsia="楷体"/>
          <w:sz w:val="22"/>
          <w:szCs w:val="22"/>
        </w:rPr>
        <w:t>项目（招标编号：</w:t>
      </w:r>
      <w:r>
        <w:rPr>
          <w:rFonts w:hint="eastAsia" w:ascii="楷体" w:hAnsi="楷体" w:eastAsia="楷体"/>
          <w:b/>
          <w:sz w:val="22"/>
          <w:szCs w:val="22"/>
          <w:u w:val="single"/>
        </w:rPr>
        <w:t xml:space="preserve">            </w:t>
      </w:r>
      <w:r>
        <w:rPr>
          <w:rFonts w:hint="eastAsia" w:ascii="楷体" w:hAnsi="楷体" w:eastAsia="楷体"/>
          <w:sz w:val="22"/>
          <w:szCs w:val="22"/>
        </w:rPr>
        <w:t>）的投标邀请，我方</w:t>
      </w:r>
      <w:r>
        <w:rPr>
          <w:rFonts w:hint="eastAsia" w:ascii="楷体" w:hAnsi="楷体" w:eastAsia="楷体"/>
          <w:sz w:val="22"/>
          <w:szCs w:val="22"/>
          <w:u w:val="single"/>
        </w:rPr>
        <w:t xml:space="preserve">           　　</w:t>
      </w:r>
      <w:r>
        <w:rPr>
          <w:rFonts w:hint="eastAsia" w:ascii="楷体" w:hAnsi="楷体" w:eastAsia="楷体"/>
          <w:sz w:val="22"/>
          <w:szCs w:val="22"/>
        </w:rPr>
        <w:t>（投标人名称）作为投标人正式授权</w:t>
      </w:r>
      <w:r>
        <w:rPr>
          <w:rFonts w:hint="eastAsia" w:ascii="楷体" w:hAnsi="楷体" w:eastAsia="楷体"/>
          <w:sz w:val="22"/>
          <w:szCs w:val="22"/>
          <w:u w:val="single"/>
        </w:rPr>
        <w:t>　           （</w:t>
      </w:r>
      <w:r>
        <w:rPr>
          <w:rFonts w:hint="eastAsia" w:ascii="楷体" w:hAnsi="楷体" w:eastAsia="楷体"/>
          <w:sz w:val="22"/>
          <w:szCs w:val="22"/>
        </w:rPr>
        <w:t>授权代表全名，职务）代表我方处理有关本投标的一切事宜。</w:t>
      </w:r>
    </w:p>
    <w:p>
      <w:pPr>
        <w:pStyle w:val="7"/>
        <w:spacing w:line="340" w:lineRule="atLeast"/>
        <w:ind w:firstLine="440"/>
        <w:rPr>
          <w:rFonts w:hint="eastAsia" w:ascii="楷体" w:hAnsi="楷体" w:eastAsia="楷体"/>
          <w:sz w:val="22"/>
        </w:rPr>
      </w:pPr>
      <w:r>
        <w:rPr>
          <w:rFonts w:hint="eastAsia" w:ascii="楷体" w:hAnsi="楷体" w:eastAsia="楷体"/>
          <w:sz w:val="22"/>
          <w:szCs w:val="22"/>
        </w:rPr>
        <w:t>在此提交的投标文件中，包括如下内</w:t>
      </w:r>
      <w:r>
        <w:rPr>
          <w:rFonts w:hint="eastAsia" w:ascii="楷体" w:hAnsi="楷体" w:eastAsia="楷体"/>
          <w:sz w:val="22"/>
        </w:rPr>
        <w:t>容，并已分别单独密封装袋：</w:t>
      </w:r>
    </w:p>
    <w:p>
      <w:pPr>
        <w:spacing w:line="340" w:lineRule="atLeast"/>
        <w:ind w:firstLine="330" w:firstLineChars="150"/>
        <w:rPr>
          <w:rFonts w:hint="eastAsia" w:ascii="楷体" w:hAnsi="楷体" w:eastAsia="楷体"/>
          <w:sz w:val="22"/>
        </w:rPr>
      </w:pPr>
      <w:r>
        <w:rPr>
          <w:rFonts w:hint="eastAsia" w:ascii="楷体" w:hAnsi="楷体" w:eastAsia="楷体"/>
          <w:sz w:val="22"/>
        </w:rPr>
        <w:t>（—）按“投标人须知”要求编制的投标文件技术资信标【正本一份，副本七份】；</w:t>
      </w:r>
    </w:p>
    <w:p>
      <w:pPr>
        <w:spacing w:line="340" w:lineRule="atLeast"/>
        <w:ind w:firstLine="330" w:firstLineChars="150"/>
        <w:rPr>
          <w:rFonts w:hint="eastAsia" w:ascii="楷体" w:hAnsi="楷体" w:eastAsia="楷体"/>
          <w:sz w:val="22"/>
        </w:rPr>
      </w:pPr>
      <w:r>
        <w:rPr>
          <w:rFonts w:hint="eastAsia" w:ascii="楷体" w:hAnsi="楷体" w:eastAsia="楷体"/>
          <w:sz w:val="22"/>
        </w:rPr>
        <w:t>（二）按“投标人须知”要求编制的投标文件商务标【正本一份，副本七份】</w:t>
      </w:r>
    </w:p>
    <w:p>
      <w:pPr>
        <w:spacing w:line="340" w:lineRule="atLeast"/>
        <w:ind w:firstLine="440" w:firstLineChars="200"/>
        <w:rPr>
          <w:rFonts w:hint="eastAsia" w:ascii="楷体" w:hAnsi="楷体" w:eastAsia="楷体"/>
          <w:sz w:val="22"/>
        </w:rPr>
      </w:pPr>
      <w:r>
        <w:rPr>
          <w:rFonts w:hint="eastAsia" w:ascii="楷体" w:hAnsi="楷体" w:eastAsia="楷体"/>
          <w:sz w:val="22"/>
        </w:rPr>
        <w:t>我方己完全明白招标文件的所有条款要求，并重申以下几点：</w:t>
      </w:r>
    </w:p>
    <w:p>
      <w:pPr>
        <w:spacing w:line="340" w:lineRule="atLeast"/>
        <w:ind w:left="1019" w:leftChars="171" w:hanging="660" w:hangingChars="300"/>
        <w:rPr>
          <w:rFonts w:hint="eastAsia" w:ascii="楷体" w:hAnsi="楷体" w:eastAsia="楷体"/>
          <w:sz w:val="22"/>
        </w:rPr>
      </w:pPr>
      <w:r>
        <w:rPr>
          <w:rFonts w:hint="eastAsia" w:ascii="楷体" w:hAnsi="楷体" w:eastAsia="楷体"/>
          <w:sz w:val="22"/>
        </w:rPr>
        <w:t>（1）本投标文件的有效期自投标截止日起</w:t>
      </w:r>
      <w:r>
        <w:rPr>
          <w:rFonts w:hint="eastAsia" w:ascii="楷体" w:hAnsi="楷体" w:eastAsia="楷体"/>
          <w:b/>
          <w:sz w:val="22"/>
          <w:u w:val="single"/>
        </w:rPr>
        <w:t>90 天内</w:t>
      </w:r>
      <w:r>
        <w:rPr>
          <w:rFonts w:hint="eastAsia" w:ascii="楷体" w:hAnsi="楷体" w:eastAsia="楷体"/>
          <w:sz w:val="22"/>
        </w:rPr>
        <w:t>有效，如中标，有效期将延至合同终止日为止；</w:t>
      </w:r>
    </w:p>
    <w:p>
      <w:pPr>
        <w:spacing w:line="340" w:lineRule="atLeast"/>
        <w:ind w:firstLine="330" w:firstLineChars="150"/>
        <w:rPr>
          <w:rFonts w:hint="eastAsia" w:ascii="楷体" w:hAnsi="楷体" w:eastAsia="楷体"/>
          <w:sz w:val="22"/>
        </w:rPr>
      </w:pPr>
      <w:r>
        <w:rPr>
          <w:rFonts w:hint="eastAsia" w:ascii="楷体" w:hAnsi="楷体" w:eastAsia="楷体"/>
          <w:sz w:val="22"/>
        </w:rPr>
        <w:t>（2）根据政府采购法第二十二条规定，我方满足以下条件：</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具有独立承担民事责任的能力；</w:t>
      </w:r>
      <w:r>
        <w:rPr>
          <w:rFonts w:ascii="楷体" w:hAnsi="楷体" w:eastAsia="楷体"/>
          <w:sz w:val="22"/>
        </w:rPr>
        <w:t xml:space="preserve"> </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具有良好的商业信誉和健全的财务会计制度；</w:t>
      </w:r>
      <w:r>
        <w:rPr>
          <w:rFonts w:ascii="楷体" w:hAnsi="楷体" w:eastAsia="楷体"/>
          <w:sz w:val="22"/>
        </w:rPr>
        <w:t xml:space="preserve"> </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具有履行合同所必需的设备和专业技术能力；</w:t>
      </w:r>
      <w:r>
        <w:rPr>
          <w:rFonts w:ascii="楷体" w:hAnsi="楷体" w:eastAsia="楷体"/>
          <w:sz w:val="22"/>
        </w:rPr>
        <w:t xml:space="preserve"> </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有依法缴纳税收和社会保障资金的良好记录；</w:t>
      </w:r>
      <w:r>
        <w:rPr>
          <w:rFonts w:ascii="楷体" w:hAnsi="楷体" w:eastAsia="楷体"/>
          <w:sz w:val="22"/>
        </w:rPr>
        <w:t xml:space="preserve"> </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参加政府采购活动前三年内，在经营活动中没有重大违法记录；</w:t>
      </w:r>
      <w:r>
        <w:rPr>
          <w:rFonts w:ascii="楷体" w:hAnsi="楷体" w:eastAsia="楷体"/>
          <w:sz w:val="22"/>
        </w:rPr>
        <w:t xml:space="preserve"> </w:t>
      </w:r>
    </w:p>
    <w:p>
      <w:pPr>
        <w:spacing w:line="340" w:lineRule="atLeast"/>
        <w:ind w:firstLine="435"/>
        <w:rPr>
          <w:rFonts w:ascii="楷体" w:hAnsi="楷体" w:eastAsia="楷体"/>
          <w:sz w:val="22"/>
        </w:rPr>
      </w:pPr>
      <w:r>
        <w:rPr>
          <w:rFonts w:ascii="楷体" w:hAnsi="楷体" w:eastAsia="楷体"/>
          <w:sz w:val="22"/>
        </w:rPr>
        <w:t></w:t>
      </w:r>
      <w:r>
        <w:rPr>
          <w:rFonts w:ascii="楷体" w:hAnsi="楷体" w:eastAsia="楷体"/>
          <w:sz w:val="22"/>
        </w:rPr>
        <w:tab/>
      </w:r>
      <w:r>
        <w:rPr>
          <w:rFonts w:hint="eastAsia" w:ascii="楷体" w:hAnsi="楷体" w:eastAsia="楷体"/>
          <w:sz w:val="22"/>
        </w:rPr>
        <w:t>法律、行政法规规定的其他条件。</w:t>
      </w:r>
    </w:p>
    <w:p>
      <w:pPr>
        <w:spacing w:line="340" w:lineRule="atLeast"/>
        <w:ind w:firstLine="435"/>
        <w:rPr>
          <w:rFonts w:hint="eastAsia" w:ascii="楷体" w:hAnsi="楷体" w:eastAsia="楷体"/>
          <w:sz w:val="22"/>
        </w:rPr>
      </w:pPr>
      <w:r>
        <w:rPr>
          <w:rFonts w:hint="eastAsia" w:ascii="楷体" w:hAnsi="楷体" w:eastAsia="楷体"/>
          <w:sz w:val="22"/>
        </w:rPr>
        <w:t>（3）我方已详细研究了招标文件的所有内容包括修改书（如有）和所有已提供的参考资料以及有关附件，我方完全理解并同意放弃在此方面提出含糊意见或误解的一切权力；</w:t>
      </w:r>
    </w:p>
    <w:p>
      <w:pPr>
        <w:spacing w:line="340" w:lineRule="atLeast"/>
        <w:ind w:firstLine="435"/>
        <w:rPr>
          <w:rFonts w:hint="eastAsia" w:ascii="楷体" w:hAnsi="楷体" w:eastAsia="楷体"/>
          <w:sz w:val="22"/>
        </w:rPr>
      </w:pPr>
      <w:r>
        <w:rPr>
          <w:rFonts w:hint="eastAsia" w:ascii="楷体" w:hAnsi="楷体" w:eastAsia="楷体"/>
          <w:sz w:val="22"/>
        </w:rPr>
        <w:t>（4）我方向贵方提交的所有投标文件、资料都是准确的和真实的；</w:t>
      </w:r>
    </w:p>
    <w:p>
      <w:pPr>
        <w:spacing w:line="340" w:lineRule="atLeast"/>
        <w:ind w:firstLine="435"/>
        <w:rPr>
          <w:rFonts w:hint="eastAsia" w:ascii="楷体" w:hAnsi="楷体" w:eastAsia="楷体"/>
          <w:sz w:val="22"/>
        </w:rPr>
      </w:pPr>
      <w:r>
        <w:rPr>
          <w:rFonts w:hint="eastAsia" w:ascii="楷体" w:hAnsi="楷体" w:eastAsia="楷体"/>
          <w:sz w:val="22"/>
        </w:rPr>
        <w:t>（5）我方明白并愿意在规定的开标时间之后，投标人在投标有效期内撤回投标，其投标保证金将被贵方没收；</w:t>
      </w:r>
    </w:p>
    <w:p>
      <w:pPr>
        <w:spacing w:line="340" w:lineRule="atLeast"/>
        <w:ind w:firstLine="435"/>
        <w:rPr>
          <w:rFonts w:hint="eastAsia" w:ascii="楷体" w:hAnsi="楷体" w:eastAsia="楷体"/>
          <w:sz w:val="22"/>
        </w:rPr>
      </w:pPr>
      <w:r>
        <w:rPr>
          <w:rFonts w:hint="eastAsia" w:ascii="楷体" w:hAnsi="楷体" w:eastAsia="楷体"/>
          <w:sz w:val="22"/>
        </w:rPr>
        <w:t>（6）我方同意提供按照贵方可能要求的与投标有关的一切数据或资料；若贵方需要，我方愿意提供我方作出的一切承诺的证明材料；</w:t>
      </w:r>
    </w:p>
    <w:p>
      <w:pPr>
        <w:spacing w:line="340" w:lineRule="atLeast"/>
        <w:ind w:firstLine="435"/>
        <w:rPr>
          <w:rFonts w:hint="eastAsia" w:ascii="楷体" w:hAnsi="楷体" w:eastAsia="楷体"/>
          <w:sz w:val="22"/>
        </w:rPr>
      </w:pPr>
      <w:r>
        <w:rPr>
          <w:rFonts w:hint="eastAsia" w:ascii="楷体" w:hAnsi="楷体" w:eastAsia="楷体"/>
          <w:sz w:val="22"/>
        </w:rPr>
        <w:t>（7）利益冲突：近三年内直至目前，我公司与本项目的采购人、采购机构没有任何的隶属关系；</w:t>
      </w:r>
    </w:p>
    <w:p>
      <w:pPr>
        <w:spacing w:line="340" w:lineRule="atLeast"/>
        <w:ind w:firstLine="435"/>
        <w:rPr>
          <w:rFonts w:hint="eastAsia" w:ascii="楷体" w:hAnsi="楷体" w:eastAsia="楷体"/>
          <w:sz w:val="22"/>
        </w:rPr>
      </w:pPr>
      <w:r>
        <w:rPr>
          <w:rFonts w:hint="eastAsia" w:ascii="楷体" w:hAnsi="楷体" w:eastAsia="楷体"/>
          <w:sz w:val="22"/>
        </w:rPr>
        <w:t>（8）在参加本项目前三年内没有因违法经营受到刑事处罚或者责令停产停业、吊销许可证或者执照、较大数额罚款等行政处罚或处罚。</w:t>
      </w:r>
    </w:p>
    <w:p>
      <w:pPr>
        <w:spacing w:line="340" w:lineRule="atLeast"/>
        <w:ind w:firstLine="435"/>
        <w:rPr>
          <w:rFonts w:hint="eastAsia" w:ascii="楷体" w:hAnsi="楷体" w:eastAsia="楷体"/>
          <w:sz w:val="22"/>
        </w:rPr>
      </w:pPr>
      <w:r>
        <w:rPr>
          <w:rFonts w:hint="eastAsia" w:ascii="楷体" w:hAnsi="楷体" w:eastAsia="楷体"/>
          <w:sz w:val="22"/>
        </w:rPr>
        <w:t>（9）我单位没有被各地、各级财政部门限制参加政府采购活动且在限制期内：</w:t>
      </w:r>
    </w:p>
    <w:p>
      <w:pPr>
        <w:spacing w:line="340" w:lineRule="atLeast"/>
        <w:ind w:firstLine="435"/>
        <w:rPr>
          <w:rFonts w:hint="eastAsia" w:ascii="楷体" w:hAnsi="楷体" w:eastAsia="楷体"/>
          <w:sz w:val="22"/>
        </w:rPr>
      </w:pPr>
      <w:r>
        <w:rPr>
          <w:rFonts w:hint="eastAsia" w:ascii="楷体" w:hAnsi="楷体" w:eastAsia="楷体"/>
          <w:sz w:val="22"/>
        </w:rPr>
        <w:t>（10）我方如果中标，将保证履行招标文件以及招标文件修改书（如有）中的全部责任和义务，按质、按量、按期完成《合同书》中的全部任务。</w:t>
      </w:r>
    </w:p>
    <w:p>
      <w:pPr>
        <w:spacing w:line="340" w:lineRule="atLeast"/>
        <w:ind w:firstLine="435"/>
        <w:rPr>
          <w:rFonts w:hint="eastAsia" w:ascii="楷体" w:hAnsi="楷体" w:eastAsia="楷体"/>
          <w:sz w:val="22"/>
        </w:rPr>
      </w:pPr>
      <w:r>
        <w:rPr>
          <w:rFonts w:hint="eastAsia" w:ascii="楷体" w:hAnsi="楷体" w:eastAsia="楷体"/>
          <w:sz w:val="22"/>
        </w:rPr>
        <w:t>（11）所有与本投标有关的函件请发往下列地址：</w:t>
      </w:r>
    </w:p>
    <w:p>
      <w:pPr>
        <w:spacing w:line="340" w:lineRule="atLeast"/>
        <w:ind w:firstLine="435"/>
        <w:rPr>
          <w:rFonts w:hint="eastAsia" w:ascii="楷体" w:hAnsi="楷体" w:eastAsia="楷体"/>
          <w:sz w:val="22"/>
        </w:rPr>
      </w:pPr>
      <w:r>
        <w:rPr>
          <w:rFonts w:hint="eastAsia" w:ascii="楷体" w:hAnsi="楷体" w:eastAsia="楷体"/>
          <w:sz w:val="22"/>
        </w:rPr>
        <w:t xml:space="preserve">   地址                           </w:t>
      </w:r>
    </w:p>
    <w:p>
      <w:pPr>
        <w:spacing w:line="340" w:lineRule="atLeast"/>
        <w:ind w:firstLine="435"/>
        <w:rPr>
          <w:rFonts w:hint="eastAsia" w:ascii="楷体" w:hAnsi="楷体" w:eastAsia="楷体"/>
          <w:sz w:val="22"/>
        </w:rPr>
      </w:pPr>
      <w:r>
        <w:rPr>
          <w:rFonts w:hint="eastAsia" w:ascii="楷体" w:hAnsi="楷体" w:eastAsia="楷体"/>
          <w:sz w:val="22"/>
        </w:rPr>
        <w:t xml:space="preserve">   电话                           </w:t>
      </w:r>
    </w:p>
    <w:p>
      <w:pPr>
        <w:spacing w:line="340" w:lineRule="atLeast"/>
        <w:ind w:firstLine="435"/>
        <w:rPr>
          <w:rFonts w:hint="eastAsia" w:ascii="楷体" w:hAnsi="楷体" w:eastAsia="楷体"/>
          <w:sz w:val="22"/>
        </w:rPr>
      </w:pPr>
      <w:r>
        <w:rPr>
          <w:rFonts w:hint="eastAsia" w:ascii="楷体" w:hAnsi="楷体" w:eastAsia="楷体"/>
          <w:sz w:val="22"/>
        </w:rPr>
        <w:t xml:space="preserve">   传真                           </w:t>
      </w:r>
    </w:p>
    <w:p>
      <w:pPr>
        <w:spacing w:line="340" w:lineRule="atLeast"/>
        <w:ind w:firstLine="759" w:firstLineChars="345"/>
        <w:rPr>
          <w:rFonts w:hint="eastAsia" w:ascii="楷体" w:hAnsi="楷体" w:eastAsia="楷体"/>
          <w:sz w:val="22"/>
        </w:rPr>
      </w:pPr>
      <w:r>
        <w:rPr>
          <w:rFonts w:hint="eastAsia" w:ascii="楷体" w:hAnsi="楷体" w:eastAsia="楷体"/>
          <w:sz w:val="22"/>
        </w:rPr>
        <w:t xml:space="preserve">电子邮件                       </w:t>
      </w:r>
    </w:p>
    <w:p>
      <w:pPr>
        <w:spacing w:line="340" w:lineRule="atLeast"/>
        <w:ind w:firstLine="435"/>
        <w:rPr>
          <w:rFonts w:hint="eastAsia" w:ascii="楷体" w:hAnsi="楷体" w:eastAsia="楷体"/>
          <w:sz w:val="22"/>
        </w:rPr>
      </w:pPr>
      <w:r>
        <w:rPr>
          <w:rFonts w:ascii="楷体" w:hAnsi="楷体" w:eastAsia="楷体"/>
          <w:sz w:val="22"/>
        </w:rPr>
        <w:t xml:space="preserve"> </w:t>
      </w:r>
      <w:r>
        <w:rPr>
          <w:rFonts w:hint="eastAsia" w:ascii="楷体" w:hAnsi="楷体" w:eastAsia="楷体"/>
          <w:sz w:val="22"/>
        </w:rPr>
        <w:t xml:space="preserve">                                   投标人名称（盖章）                  </w:t>
      </w:r>
    </w:p>
    <w:p>
      <w:pPr>
        <w:spacing w:line="340" w:lineRule="atLeast"/>
        <w:ind w:firstLine="435"/>
        <w:rPr>
          <w:rFonts w:hint="eastAsia" w:ascii="楷体" w:hAnsi="楷体" w:eastAsia="楷体"/>
          <w:sz w:val="22"/>
        </w:rPr>
      </w:pPr>
      <w:r>
        <w:rPr>
          <w:rFonts w:hint="eastAsia" w:ascii="楷体" w:hAnsi="楷体" w:eastAsia="楷体"/>
          <w:sz w:val="22"/>
        </w:rPr>
        <w:t xml:space="preserve">                                    投标人代表（签字）                   </w:t>
      </w:r>
    </w:p>
    <w:p>
      <w:pPr>
        <w:spacing w:line="340" w:lineRule="atLeast"/>
        <w:ind w:firstLine="435"/>
        <w:rPr>
          <w:rFonts w:hint="eastAsia" w:ascii="楷体" w:hAnsi="楷体" w:eastAsia="楷体"/>
          <w:sz w:val="22"/>
          <w:szCs w:val="22"/>
        </w:rPr>
      </w:pPr>
      <w:r>
        <w:rPr>
          <w:rFonts w:hint="eastAsia" w:ascii="楷体" w:hAnsi="楷体" w:eastAsia="楷体"/>
          <w:sz w:val="22"/>
        </w:rPr>
        <w:t xml:space="preserve">                                    日    期           </w:t>
      </w:r>
      <w:r>
        <w:rPr>
          <w:rFonts w:hint="eastAsia" w:ascii="楷体" w:hAnsi="楷体" w:eastAsia="楷体"/>
          <w:sz w:val="22"/>
          <w:szCs w:val="22"/>
          <w:u w:val="single"/>
        </w:rPr>
        <w:t xml:space="preserve">           </w:t>
      </w:r>
    </w:p>
    <w:p>
      <w:pPr>
        <w:spacing w:line="460" w:lineRule="exact"/>
        <w:ind w:firstLine="435"/>
        <w:rPr>
          <w:rFonts w:hint="eastAsia" w:ascii="楷体" w:hAnsi="楷体" w:eastAsia="楷体"/>
          <w:sz w:val="22"/>
          <w:szCs w:val="22"/>
        </w:rPr>
        <w:sectPr>
          <w:headerReference r:id="rId3" w:type="default"/>
          <w:footerReference r:id="rId4" w:type="default"/>
          <w:footerReference r:id="rId5" w:type="even"/>
          <w:pgSz w:w="11906" w:h="16838"/>
          <w:pgMar w:top="1134" w:right="1134" w:bottom="1134" w:left="1134" w:header="851" w:footer="851" w:gutter="0"/>
          <w:pgNumType w:start="0"/>
          <w:cols w:space="720" w:num="1"/>
          <w:titlePg/>
          <w:docGrid w:linePitch="312" w:charSpace="0"/>
        </w:sectPr>
      </w:pPr>
    </w:p>
    <w:p>
      <w:pPr>
        <w:spacing w:line="380" w:lineRule="exact"/>
        <w:rPr>
          <w:rFonts w:hint="eastAsia" w:ascii="楷体" w:hAnsi="楷体" w:eastAsia="楷体"/>
          <w:b/>
          <w:bCs/>
          <w:sz w:val="22"/>
          <w:szCs w:val="22"/>
        </w:rPr>
      </w:pPr>
      <w:r>
        <w:rPr>
          <w:rFonts w:hint="eastAsia" w:ascii="楷体" w:hAnsi="楷体" w:eastAsia="楷体"/>
          <w:b/>
          <w:bCs/>
          <w:sz w:val="22"/>
          <w:szCs w:val="22"/>
        </w:rPr>
        <w:t>附件二</w:t>
      </w:r>
    </w:p>
    <w:p>
      <w:pPr>
        <w:spacing w:line="460" w:lineRule="exact"/>
        <w:jc w:val="center"/>
        <w:rPr>
          <w:rFonts w:hint="eastAsia" w:ascii="楷体" w:hAnsi="楷体" w:eastAsia="楷体"/>
          <w:b/>
          <w:bCs/>
          <w:sz w:val="28"/>
          <w:szCs w:val="28"/>
        </w:rPr>
      </w:pPr>
      <w:r>
        <w:rPr>
          <w:rFonts w:hint="eastAsia" w:ascii="楷体" w:hAnsi="楷体" w:eastAsia="楷体"/>
          <w:b/>
          <w:bCs/>
          <w:sz w:val="28"/>
          <w:szCs w:val="28"/>
        </w:rPr>
        <w:t>开标一览表</w:t>
      </w:r>
    </w:p>
    <w:p>
      <w:pPr>
        <w:spacing w:line="380" w:lineRule="exact"/>
        <w:jc w:val="center"/>
        <w:rPr>
          <w:rFonts w:hint="eastAsia" w:ascii="楷体" w:hAnsi="楷体" w:eastAsia="楷体"/>
          <w:b/>
          <w:bCs/>
          <w:sz w:val="28"/>
        </w:rPr>
      </w:pPr>
    </w:p>
    <w:p>
      <w:pPr>
        <w:spacing w:line="380" w:lineRule="exact"/>
        <w:jc w:val="center"/>
        <w:rPr>
          <w:rFonts w:hint="eastAsia" w:ascii="楷体" w:hAnsi="楷体" w:eastAsia="楷体"/>
          <w:b/>
          <w:bCs/>
          <w:sz w:val="28"/>
        </w:rPr>
      </w:pPr>
    </w:p>
    <w:p>
      <w:pPr>
        <w:spacing w:line="380" w:lineRule="exact"/>
        <w:ind w:right="349" w:rightChars="166"/>
        <w:rPr>
          <w:rFonts w:hint="eastAsia" w:ascii="楷体" w:hAnsi="楷体" w:eastAsia="楷体"/>
          <w:b/>
          <w:sz w:val="22"/>
        </w:rPr>
      </w:pPr>
      <w:r>
        <w:rPr>
          <w:rFonts w:hint="eastAsia" w:ascii="楷体" w:hAnsi="楷体" w:eastAsia="楷体"/>
          <w:b/>
          <w:sz w:val="22"/>
        </w:rPr>
        <w:t xml:space="preserve">项目名称：                            项目编号：                     </w:t>
      </w:r>
    </w:p>
    <w:p>
      <w:pPr>
        <w:spacing w:line="380" w:lineRule="exact"/>
        <w:ind w:right="349" w:rightChars="166"/>
        <w:jc w:val="right"/>
        <w:rPr>
          <w:rFonts w:hint="eastAsia" w:ascii="楷体" w:hAnsi="楷体" w:eastAsia="楷体"/>
          <w:b/>
          <w:sz w:val="22"/>
        </w:rPr>
      </w:pPr>
      <w:r>
        <w:rPr>
          <w:rFonts w:hint="eastAsia" w:ascii="楷体" w:hAnsi="楷体" w:eastAsia="楷体"/>
          <w:b/>
          <w:sz w:val="22"/>
        </w:rPr>
        <w:t xml:space="preserve">                             单位：元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8"/>
        <w:gridCol w:w="2410"/>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2688" w:type="dxa"/>
            <w:noWrap w:val="0"/>
            <w:vAlign w:val="center"/>
          </w:tcPr>
          <w:p>
            <w:pPr>
              <w:pStyle w:val="13"/>
              <w:spacing w:line="400" w:lineRule="atLeast"/>
              <w:jc w:val="center"/>
              <w:rPr>
                <w:rFonts w:hint="eastAsia" w:ascii="楷体" w:hAnsi="楷体" w:eastAsia="楷体"/>
                <w:kern w:val="2"/>
              </w:rPr>
            </w:pPr>
            <w:r>
              <w:rPr>
                <w:rFonts w:hint="eastAsia" w:ascii="楷体" w:hAnsi="楷体" w:eastAsia="楷体"/>
                <w:kern w:val="2"/>
              </w:rPr>
              <w:t>项目</w:t>
            </w:r>
          </w:p>
        </w:tc>
        <w:tc>
          <w:tcPr>
            <w:tcW w:w="2410" w:type="dxa"/>
            <w:noWrap w:val="0"/>
            <w:vAlign w:val="center"/>
          </w:tcPr>
          <w:p>
            <w:pPr>
              <w:pStyle w:val="13"/>
              <w:spacing w:line="400" w:lineRule="atLeast"/>
              <w:jc w:val="center"/>
              <w:rPr>
                <w:rFonts w:hint="eastAsia" w:ascii="楷体" w:hAnsi="楷体" w:eastAsia="楷体"/>
                <w:kern w:val="2"/>
              </w:rPr>
            </w:pPr>
            <w:r>
              <w:rPr>
                <w:rFonts w:hint="eastAsia" w:ascii="楷体" w:hAnsi="楷体" w:eastAsia="楷体"/>
                <w:kern w:val="2"/>
              </w:rPr>
              <w:t>服务期限</w:t>
            </w:r>
          </w:p>
        </w:tc>
        <w:tc>
          <w:tcPr>
            <w:tcW w:w="4756" w:type="dxa"/>
            <w:noWrap w:val="0"/>
            <w:vAlign w:val="center"/>
          </w:tcPr>
          <w:p>
            <w:pPr>
              <w:pStyle w:val="13"/>
              <w:spacing w:line="400" w:lineRule="atLeast"/>
              <w:jc w:val="center"/>
              <w:rPr>
                <w:rFonts w:hint="eastAsia" w:ascii="楷体" w:hAnsi="楷体" w:eastAsia="楷体"/>
                <w:kern w:val="2"/>
              </w:rPr>
            </w:pPr>
            <w:r>
              <w:rPr>
                <w:rFonts w:hint="eastAsia" w:ascii="楷体" w:hAnsi="楷体" w:eastAsia="楷体"/>
                <w:b/>
                <w:kern w:val="2"/>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atLeast"/>
          <w:jc w:val="center"/>
        </w:trPr>
        <w:tc>
          <w:tcPr>
            <w:tcW w:w="2688" w:type="dxa"/>
            <w:noWrap w:val="0"/>
            <w:vAlign w:val="center"/>
          </w:tcPr>
          <w:p>
            <w:pPr>
              <w:pStyle w:val="13"/>
              <w:spacing w:line="400" w:lineRule="atLeast"/>
              <w:jc w:val="center"/>
              <w:rPr>
                <w:rFonts w:hint="eastAsia" w:ascii="楷体" w:hAnsi="楷体" w:eastAsia="楷体"/>
                <w:kern w:val="2"/>
              </w:rPr>
            </w:pPr>
          </w:p>
        </w:tc>
        <w:tc>
          <w:tcPr>
            <w:tcW w:w="2410" w:type="dxa"/>
            <w:noWrap w:val="0"/>
            <w:vAlign w:val="center"/>
          </w:tcPr>
          <w:p>
            <w:pPr>
              <w:pStyle w:val="13"/>
              <w:spacing w:line="400" w:lineRule="atLeast"/>
              <w:jc w:val="center"/>
              <w:rPr>
                <w:rFonts w:hint="eastAsia" w:ascii="楷体" w:hAnsi="楷体" w:eastAsia="楷体"/>
                <w:kern w:val="2"/>
              </w:rPr>
            </w:pPr>
            <w:r>
              <w:rPr>
                <w:rFonts w:hint="eastAsia" w:ascii="楷体" w:hAnsi="楷体" w:eastAsia="楷体"/>
                <w:kern w:val="2"/>
              </w:rPr>
              <w:t>壹年（12个月）</w:t>
            </w:r>
          </w:p>
        </w:tc>
        <w:tc>
          <w:tcPr>
            <w:tcW w:w="4756" w:type="dxa"/>
            <w:noWrap w:val="0"/>
            <w:vAlign w:val="center"/>
          </w:tcPr>
          <w:p>
            <w:pPr>
              <w:pStyle w:val="13"/>
              <w:spacing w:line="400" w:lineRule="atLeast"/>
              <w:rPr>
                <w:rFonts w:hint="eastAsia" w:ascii="楷体" w:hAnsi="楷体" w:eastAsia="楷体"/>
                <w:b/>
                <w:kern w:val="2"/>
              </w:rPr>
            </w:pPr>
            <w:r>
              <w:rPr>
                <w:rFonts w:hint="eastAsia" w:ascii="楷体" w:hAnsi="楷体" w:eastAsia="楷体"/>
                <w:b/>
                <w:kern w:val="2"/>
              </w:rPr>
              <w:t>（大写）</w:t>
            </w:r>
          </w:p>
          <w:p>
            <w:pPr>
              <w:pStyle w:val="13"/>
              <w:spacing w:line="400" w:lineRule="atLeast"/>
              <w:jc w:val="both"/>
              <w:rPr>
                <w:rFonts w:hint="eastAsia" w:ascii="楷体" w:hAnsi="楷体" w:eastAsia="楷体"/>
                <w:kern w:val="2"/>
              </w:rPr>
            </w:pPr>
            <w:r>
              <w:rPr>
                <w:rFonts w:hint="eastAsia" w:ascii="楷体" w:hAnsi="楷体" w:eastAsia="楷体"/>
                <w:b/>
                <w:kern w:val="2"/>
              </w:rPr>
              <w:t>（小写）</w:t>
            </w:r>
          </w:p>
        </w:tc>
      </w:tr>
    </w:tbl>
    <w:p>
      <w:pPr>
        <w:tabs>
          <w:tab w:val="left" w:pos="540"/>
        </w:tabs>
        <w:spacing w:line="460" w:lineRule="exact"/>
        <w:rPr>
          <w:rFonts w:hint="eastAsia" w:ascii="楷体" w:hAnsi="楷体" w:eastAsia="楷体"/>
          <w:b/>
          <w:sz w:val="22"/>
        </w:rPr>
      </w:pPr>
      <w:r>
        <w:rPr>
          <w:rFonts w:hint="eastAsia" w:ascii="楷体" w:hAnsi="楷体" w:eastAsia="楷体"/>
          <w:b/>
          <w:sz w:val="22"/>
        </w:rPr>
        <w:t>说明：</w:t>
      </w:r>
    </w:p>
    <w:p>
      <w:pPr>
        <w:tabs>
          <w:tab w:val="left" w:pos="540"/>
        </w:tabs>
        <w:spacing w:line="460" w:lineRule="exact"/>
        <w:ind w:firstLine="433" w:firstLineChars="196"/>
        <w:rPr>
          <w:rFonts w:hint="eastAsia" w:ascii="楷体" w:hAnsi="楷体" w:eastAsia="楷体"/>
          <w:b/>
          <w:sz w:val="22"/>
        </w:rPr>
      </w:pPr>
      <w:r>
        <w:rPr>
          <w:rFonts w:hint="eastAsia" w:ascii="楷体" w:hAnsi="楷体" w:eastAsia="楷体"/>
          <w:b/>
          <w:sz w:val="22"/>
        </w:rPr>
        <w:t>1. 开标一览表中的投标报价为提供该服务的所有费用，即</w:t>
      </w:r>
      <w:r>
        <w:rPr>
          <w:rFonts w:ascii="楷体" w:hAnsi="楷体" w:eastAsia="楷体"/>
          <w:b/>
          <w:sz w:val="22"/>
          <w:szCs w:val="22"/>
        </w:rPr>
        <w:t>承包区域内提供清扫、保洁服务所需的人工费（包括环卫工人工资、奖金、房补、劳保福利、社保、工伤费、教育培训费、暂住费及处理一切伤亡事故等费用）及</w:t>
      </w:r>
      <w:r>
        <w:rPr>
          <w:rFonts w:hint="eastAsia" w:ascii="楷体" w:hAnsi="楷体" w:eastAsia="楷体"/>
          <w:b/>
          <w:sz w:val="22"/>
          <w:szCs w:val="22"/>
        </w:rPr>
        <w:t>保洁车辆</w:t>
      </w:r>
      <w:r>
        <w:rPr>
          <w:rFonts w:ascii="楷体" w:hAnsi="楷体" w:eastAsia="楷体"/>
          <w:b/>
          <w:sz w:val="22"/>
          <w:szCs w:val="22"/>
        </w:rPr>
        <w:t>、</w:t>
      </w:r>
      <w:r>
        <w:rPr>
          <w:rFonts w:hint="eastAsia" w:ascii="楷体" w:hAnsi="楷体" w:eastAsia="楷体"/>
          <w:b/>
          <w:sz w:val="22"/>
          <w:szCs w:val="22"/>
        </w:rPr>
        <w:t>环卫作业GPS设备费流量费等全部费用、</w:t>
      </w:r>
      <w:r>
        <w:rPr>
          <w:rFonts w:ascii="楷体" w:hAnsi="楷体" w:eastAsia="楷体"/>
          <w:b/>
          <w:sz w:val="22"/>
          <w:szCs w:val="22"/>
        </w:rPr>
        <w:t>水电费、工具材料费、垃圾清运费</w:t>
      </w:r>
      <w:r>
        <w:rPr>
          <w:rFonts w:hint="eastAsia" w:ascii="楷体" w:hAnsi="楷体" w:eastAsia="楷体"/>
          <w:b/>
          <w:sz w:val="22"/>
          <w:szCs w:val="22"/>
        </w:rPr>
        <w:t>（含辖区内无主装潢垃圾及大件垃圾清运）</w:t>
      </w:r>
      <w:r>
        <w:rPr>
          <w:rFonts w:ascii="楷体" w:hAnsi="楷体" w:eastAsia="楷体"/>
          <w:b/>
          <w:sz w:val="22"/>
          <w:szCs w:val="22"/>
        </w:rPr>
        <w:t>、安全文明生产装备费【包括环卫工人春、夏、秋、冬各季节工作服（含帽、衣、裤、鞋、雨衣、雨裤，雨鞋）并带有警示反光标记等】、</w:t>
      </w:r>
      <w:r>
        <w:rPr>
          <w:rFonts w:hint="eastAsia" w:ascii="楷体" w:hAnsi="楷体" w:eastAsia="楷体"/>
          <w:b/>
          <w:sz w:val="22"/>
          <w:szCs w:val="22"/>
        </w:rPr>
        <w:t>项目管理费、</w:t>
      </w:r>
      <w:r>
        <w:rPr>
          <w:rFonts w:ascii="楷体" w:hAnsi="楷体" w:eastAsia="楷体"/>
          <w:b/>
          <w:sz w:val="22"/>
          <w:szCs w:val="22"/>
        </w:rPr>
        <w:t>企业应缴税金和应得利润、突发应急及上级布置的专项任务、物价因素、</w:t>
      </w:r>
      <w:r>
        <w:rPr>
          <w:rFonts w:hint="eastAsia" w:ascii="楷体" w:hAnsi="楷体" w:eastAsia="楷体"/>
          <w:b/>
          <w:sz w:val="22"/>
          <w:szCs w:val="22"/>
        </w:rPr>
        <w:t>最低工资变动、</w:t>
      </w:r>
      <w:r>
        <w:rPr>
          <w:rFonts w:ascii="楷体" w:hAnsi="楷体" w:eastAsia="楷体"/>
          <w:b/>
          <w:sz w:val="22"/>
          <w:szCs w:val="22"/>
        </w:rPr>
        <w:t>招标代理服务费等完成合同所需的一切本身和不可或缺的所有工作开支、政策性文件规定及合同包含的所有风险、责任等各项全部费用</w:t>
      </w:r>
      <w:r>
        <w:rPr>
          <w:rFonts w:hint="eastAsia" w:ascii="楷体" w:hAnsi="楷体" w:eastAsia="楷体"/>
          <w:b/>
          <w:sz w:val="22"/>
        </w:rPr>
        <w:t>，实行固定费用总包干。</w:t>
      </w:r>
    </w:p>
    <w:p>
      <w:pPr>
        <w:spacing w:line="380" w:lineRule="exact"/>
        <w:ind w:left="521" w:leftChars="247" w:hanging="2" w:hangingChars="1"/>
        <w:rPr>
          <w:rFonts w:hint="eastAsia" w:ascii="楷体" w:hAnsi="楷体" w:eastAsia="楷体"/>
          <w:b/>
          <w:bCs/>
          <w:sz w:val="22"/>
        </w:rPr>
      </w:pPr>
      <w:r>
        <w:rPr>
          <w:rFonts w:hint="eastAsia" w:ascii="楷体" w:hAnsi="楷体" w:eastAsia="楷体"/>
          <w:b/>
          <w:sz w:val="22"/>
        </w:rPr>
        <w:t>2. 此栏内“投标报价”应与附件三《</w:t>
      </w:r>
      <w:r>
        <w:rPr>
          <w:rFonts w:hint="eastAsia" w:ascii="楷体" w:hAnsi="楷体" w:eastAsia="楷体"/>
          <w:b/>
          <w:bCs/>
          <w:sz w:val="22"/>
        </w:rPr>
        <w:t>投标报价明细表</w:t>
      </w:r>
      <w:r>
        <w:rPr>
          <w:rFonts w:hint="eastAsia" w:ascii="楷体" w:hAnsi="楷体" w:eastAsia="楷体"/>
          <w:b/>
          <w:sz w:val="22"/>
        </w:rPr>
        <w:t>》中“总价”相一致。</w:t>
      </w:r>
    </w:p>
    <w:p>
      <w:pPr>
        <w:spacing w:line="380" w:lineRule="exact"/>
        <w:ind w:firstLine="660" w:firstLineChars="300"/>
        <w:rPr>
          <w:rFonts w:hint="eastAsia" w:ascii="楷体" w:hAnsi="楷体" w:eastAsia="楷体"/>
          <w:sz w:val="22"/>
          <w:szCs w:val="22"/>
        </w:rPr>
      </w:pPr>
    </w:p>
    <w:p>
      <w:pPr>
        <w:spacing w:line="380" w:lineRule="exact"/>
        <w:rPr>
          <w:rFonts w:hint="eastAsia" w:ascii="楷体" w:hAnsi="楷体" w:eastAsia="楷体"/>
          <w:sz w:val="22"/>
          <w:szCs w:val="22"/>
        </w:rPr>
      </w:pPr>
      <w:r>
        <w:rPr>
          <w:rFonts w:hint="eastAsia" w:ascii="楷体" w:hAnsi="楷体" w:eastAsia="楷体"/>
          <w:sz w:val="22"/>
          <w:szCs w:val="22"/>
        </w:rPr>
        <w:t>投标人全称（盖章）：</w:t>
      </w:r>
    </w:p>
    <w:p>
      <w:pPr>
        <w:spacing w:line="380" w:lineRule="exact"/>
        <w:rPr>
          <w:rFonts w:hint="eastAsia" w:ascii="楷体" w:hAnsi="楷体" w:eastAsia="楷体"/>
          <w:sz w:val="22"/>
          <w:szCs w:val="22"/>
        </w:rPr>
      </w:pPr>
      <w:r>
        <w:rPr>
          <w:rFonts w:hint="eastAsia" w:ascii="楷体" w:hAnsi="楷体" w:eastAsia="楷体"/>
          <w:sz w:val="22"/>
          <w:szCs w:val="22"/>
        </w:rPr>
        <w:t>法定代表人或授权代表（签名）：</w:t>
      </w:r>
    </w:p>
    <w:p>
      <w:pPr>
        <w:spacing w:line="380" w:lineRule="exact"/>
        <w:rPr>
          <w:rFonts w:hint="eastAsia" w:ascii="楷体" w:hAnsi="楷体" w:eastAsia="楷体"/>
          <w:sz w:val="22"/>
          <w:szCs w:val="22"/>
        </w:rPr>
      </w:pPr>
      <w:r>
        <w:rPr>
          <w:rFonts w:hint="eastAsia" w:ascii="楷体" w:hAnsi="楷体" w:eastAsia="楷体"/>
          <w:sz w:val="22"/>
          <w:szCs w:val="22"/>
        </w:rPr>
        <w:t>日 期：  年  月  日</w:t>
      </w:r>
    </w:p>
    <w:p>
      <w:pPr>
        <w:spacing w:line="380" w:lineRule="exact"/>
        <w:rPr>
          <w:rFonts w:hint="eastAsia" w:ascii="楷体" w:hAnsi="楷体" w:eastAsia="楷体"/>
          <w:sz w:val="22"/>
          <w:szCs w:val="22"/>
        </w:rPr>
      </w:pPr>
    </w:p>
    <w:p>
      <w:pPr>
        <w:spacing w:line="380" w:lineRule="exact"/>
        <w:rPr>
          <w:rFonts w:hint="eastAsia" w:ascii="楷体" w:hAnsi="楷体" w:eastAsia="楷体"/>
          <w:b/>
          <w:bCs/>
          <w:sz w:val="22"/>
          <w:szCs w:val="22"/>
        </w:rPr>
      </w:pPr>
      <w:r>
        <w:rPr>
          <w:rFonts w:hint="eastAsia" w:ascii="楷体" w:hAnsi="楷体" w:eastAsia="楷体"/>
          <w:sz w:val="22"/>
          <w:szCs w:val="22"/>
        </w:rPr>
        <w:br w:type="page"/>
      </w:r>
      <w:r>
        <w:rPr>
          <w:rFonts w:hint="eastAsia" w:ascii="楷体" w:hAnsi="楷体" w:eastAsia="楷体"/>
          <w:b/>
          <w:bCs/>
          <w:sz w:val="22"/>
          <w:szCs w:val="22"/>
        </w:rPr>
        <w:t>附件三</w:t>
      </w:r>
    </w:p>
    <w:p>
      <w:pPr>
        <w:spacing w:line="460" w:lineRule="exact"/>
        <w:jc w:val="center"/>
        <w:rPr>
          <w:rFonts w:hint="eastAsia" w:ascii="楷体" w:hAnsi="楷体" w:eastAsia="楷体"/>
          <w:b/>
          <w:bCs/>
          <w:sz w:val="28"/>
          <w:szCs w:val="28"/>
        </w:rPr>
      </w:pPr>
      <w:r>
        <w:rPr>
          <w:rFonts w:hint="eastAsia" w:ascii="楷体" w:hAnsi="楷体" w:eastAsia="楷体"/>
          <w:b/>
          <w:bCs/>
          <w:sz w:val="28"/>
          <w:szCs w:val="28"/>
        </w:rPr>
        <w:t>投标报价明细表</w:t>
      </w:r>
    </w:p>
    <w:p>
      <w:pPr>
        <w:spacing w:line="380" w:lineRule="exact"/>
        <w:rPr>
          <w:rFonts w:hint="eastAsia" w:ascii="楷体" w:hAnsi="楷体" w:eastAsia="楷体"/>
          <w:b/>
          <w:sz w:val="22"/>
        </w:rPr>
      </w:pPr>
      <w:r>
        <w:rPr>
          <w:rFonts w:hint="eastAsia" w:ascii="楷体" w:hAnsi="楷体" w:eastAsia="楷体"/>
          <w:b/>
          <w:sz w:val="22"/>
        </w:rPr>
        <w:t xml:space="preserve">项目名称： </w:t>
      </w:r>
      <w:r>
        <w:rPr>
          <w:rFonts w:hint="eastAsia" w:ascii="楷体" w:hAnsi="楷体" w:eastAsia="楷体"/>
          <w:sz w:val="22"/>
        </w:rPr>
        <w:t xml:space="preserve">       </w:t>
      </w:r>
      <w:r>
        <w:rPr>
          <w:rFonts w:hint="eastAsia" w:ascii="楷体" w:hAnsi="楷体" w:eastAsia="楷体"/>
          <w:b/>
          <w:sz w:val="22"/>
        </w:rPr>
        <w:t xml:space="preserve">                   项目编号：                   </w:t>
      </w:r>
    </w:p>
    <w:tbl>
      <w:tblPr>
        <w:tblStyle w:val="26"/>
        <w:tblW w:w="9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1875"/>
        <w:gridCol w:w="2551"/>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center"/>
              <w:rPr>
                <w:rFonts w:hint="eastAsia" w:ascii="楷体" w:hAnsi="楷体" w:eastAsia="楷体"/>
                <w:szCs w:val="21"/>
              </w:rPr>
            </w:pPr>
            <w:r>
              <w:rPr>
                <w:rFonts w:hint="eastAsia" w:ascii="楷体" w:hAnsi="楷体" w:eastAsia="楷体"/>
                <w:szCs w:val="21"/>
              </w:rPr>
              <w:t>项目内容</w:t>
            </w:r>
          </w:p>
        </w:tc>
        <w:tc>
          <w:tcPr>
            <w:tcW w:w="1875" w:type="dxa"/>
            <w:noWrap w:val="0"/>
            <w:vAlign w:val="center"/>
          </w:tcPr>
          <w:p>
            <w:pPr>
              <w:jc w:val="center"/>
              <w:rPr>
                <w:rFonts w:hint="eastAsia" w:ascii="楷体" w:hAnsi="楷体" w:eastAsia="楷体"/>
                <w:szCs w:val="21"/>
              </w:rPr>
            </w:pPr>
            <w:r>
              <w:rPr>
                <w:rFonts w:hint="eastAsia" w:ascii="楷体" w:hAnsi="楷体" w:eastAsia="楷体"/>
                <w:szCs w:val="21"/>
              </w:rPr>
              <w:t>月报价/金额(元)</w:t>
            </w:r>
          </w:p>
        </w:tc>
        <w:tc>
          <w:tcPr>
            <w:tcW w:w="2551" w:type="dxa"/>
            <w:noWrap w:val="0"/>
            <w:vAlign w:val="center"/>
          </w:tcPr>
          <w:p>
            <w:pPr>
              <w:jc w:val="center"/>
              <w:rPr>
                <w:rFonts w:hint="eastAsia" w:ascii="楷体" w:hAnsi="楷体" w:eastAsia="楷体"/>
                <w:szCs w:val="21"/>
              </w:rPr>
            </w:pPr>
            <w:r>
              <w:rPr>
                <w:rFonts w:hint="eastAsia" w:ascii="楷体" w:hAnsi="楷体" w:eastAsia="楷体"/>
                <w:szCs w:val="21"/>
              </w:rPr>
              <w:t>计算依据（公式及过程）</w:t>
            </w:r>
          </w:p>
        </w:tc>
        <w:tc>
          <w:tcPr>
            <w:tcW w:w="3067" w:type="dxa"/>
            <w:noWrap w:val="0"/>
            <w:vAlign w:val="center"/>
          </w:tcPr>
          <w:p>
            <w:pPr>
              <w:jc w:val="center"/>
              <w:rPr>
                <w:rFonts w:hint="eastAsia" w:ascii="楷体" w:hAnsi="楷体" w:eastAsia="楷体"/>
                <w:szCs w:val="21"/>
              </w:rPr>
            </w:pPr>
            <w:r>
              <w:rPr>
                <w:rFonts w:hint="eastAsia" w:ascii="楷体" w:hAnsi="楷体" w:eastAsia="楷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一、人工费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1、工人工资</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 xml:space="preserve">（１）管理员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（２）清扫保洁员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（3）司机（如有）</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人均工资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２、社会保险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（１）养老保险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（２）医疗保险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（３）工伤保险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（４）失业保险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（5）生育保险</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（6）人身意外保险</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（人均社保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３、其他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（１）超时加班费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（2）周六日加班费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 xml:space="preserve">（3）法定节假日加班费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（4）过节费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（5）高温补贴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其他人均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二、GPS设备费、流量费等全部费用</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三、设备耗损费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 xml:space="preserve">１、安全生产设备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 xml:space="preserve">2、反光衣、反光袖套反光袖套、工作服装、手套等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 xml:space="preserve">3、工具材料  </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 w:hRule="exact"/>
        </w:trPr>
        <w:tc>
          <w:tcPr>
            <w:tcW w:w="2486" w:type="dxa"/>
            <w:noWrap w:val="0"/>
            <w:vAlign w:val="center"/>
          </w:tcPr>
          <w:p>
            <w:pPr>
              <w:jc w:val="left"/>
              <w:rPr>
                <w:rFonts w:hint="eastAsia" w:ascii="楷体" w:hAnsi="楷体" w:eastAsia="楷体"/>
              </w:rPr>
            </w:pPr>
            <w:r>
              <w:rPr>
                <w:rFonts w:hint="eastAsia" w:ascii="楷体" w:hAnsi="楷体" w:eastAsia="楷体"/>
              </w:rPr>
              <w:t>（1）清扫工具（主要指大、小扫帚、方锹、畚箕等）</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 xml:space="preserve"> 4、车辆折旧</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（1）小型快速保洁车</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（2）多功能高压清洗车</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（3）保洁作业手推车</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（4）垃圾运输车</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（5）......</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四、垃圾清运费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五、车辆维修费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六、油料费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七、车辆规费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八、办公月费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九、不可预见费或其他经费</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十、税金</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szCs w:val="21"/>
              </w:rPr>
            </w:pPr>
            <w:r>
              <w:rPr>
                <w:rFonts w:hint="eastAsia" w:ascii="楷体" w:hAnsi="楷体" w:eastAsia="楷体"/>
              </w:rPr>
              <w:t>十一、利润</w:t>
            </w:r>
          </w:p>
        </w:tc>
        <w:tc>
          <w:tcPr>
            <w:tcW w:w="1875" w:type="dxa"/>
            <w:noWrap w:val="0"/>
            <w:vAlign w:val="center"/>
          </w:tcPr>
          <w:p>
            <w:pPr>
              <w:jc w:val="center"/>
              <w:rPr>
                <w:rFonts w:hint="eastAsia" w:ascii="楷体" w:hAnsi="楷体" w:eastAsia="楷体"/>
                <w:szCs w:val="21"/>
              </w:rPr>
            </w:pPr>
          </w:p>
        </w:tc>
        <w:tc>
          <w:tcPr>
            <w:tcW w:w="2551" w:type="dxa"/>
            <w:noWrap w:val="0"/>
            <w:vAlign w:val="center"/>
          </w:tcPr>
          <w:p>
            <w:pPr>
              <w:jc w:val="center"/>
              <w:rPr>
                <w:rFonts w:hint="eastAsia" w:ascii="楷体" w:hAnsi="楷体" w:eastAsia="楷体"/>
                <w:szCs w:val="21"/>
              </w:rPr>
            </w:pPr>
          </w:p>
        </w:tc>
        <w:tc>
          <w:tcPr>
            <w:tcW w:w="3067" w:type="dxa"/>
            <w:noWrap w:val="0"/>
            <w:vAlign w:val="center"/>
          </w:tcPr>
          <w:p>
            <w:pPr>
              <w:jc w:val="center"/>
              <w:rPr>
                <w:rFonts w:hint="eastAsia"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exact"/>
        </w:trPr>
        <w:tc>
          <w:tcPr>
            <w:tcW w:w="2486" w:type="dxa"/>
            <w:noWrap w:val="0"/>
            <w:vAlign w:val="center"/>
          </w:tcPr>
          <w:p>
            <w:pPr>
              <w:jc w:val="left"/>
              <w:rPr>
                <w:rFonts w:hint="eastAsia" w:ascii="楷体" w:hAnsi="楷体" w:eastAsia="楷体"/>
              </w:rPr>
            </w:pPr>
            <w:r>
              <w:rPr>
                <w:rFonts w:hint="eastAsia" w:ascii="楷体" w:hAnsi="楷体" w:eastAsia="楷体"/>
              </w:rPr>
              <w:t>总价 (元)：</w:t>
            </w:r>
          </w:p>
          <w:p>
            <w:pPr>
              <w:jc w:val="left"/>
              <w:rPr>
                <w:rFonts w:hint="eastAsia" w:ascii="楷体" w:hAnsi="楷体" w:eastAsia="楷体"/>
                <w:szCs w:val="21"/>
              </w:rPr>
            </w:pPr>
            <w:r>
              <w:rPr>
                <w:rFonts w:hint="eastAsia" w:ascii="楷体" w:hAnsi="楷体" w:eastAsia="楷体"/>
              </w:rPr>
              <w:t>以上月报价×12个月</w:t>
            </w:r>
          </w:p>
        </w:tc>
        <w:tc>
          <w:tcPr>
            <w:tcW w:w="4426" w:type="dxa"/>
            <w:gridSpan w:val="2"/>
            <w:noWrap w:val="0"/>
            <w:vAlign w:val="center"/>
          </w:tcPr>
          <w:p>
            <w:pPr>
              <w:rPr>
                <w:rFonts w:hint="eastAsia" w:ascii="楷体" w:hAnsi="楷体" w:eastAsia="楷体"/>
                <w:szCs w:val="21"/>
              </w:rPr>
            </w:pPr>
            <w:r>
              <w:rPr>
                <w:rFonts w:hint="eastAsia" w:ascii="楷体" w:hAnsi="楷体" w:eastAsia="楷体"/>
                <w:szCs w:val="21"/>
              </w:rPr>
              <w:t>人民币:</w:t>
            </w:r>
          </w:p>
        </w:tc>
        <w:tc>
          <w:tcPr>
            <w:tcW w:w="3067" w:type="dxa"/>
            <w:noWrap w:val="0"/>
            <w:vAlign w:val="center"/>
          </w:tcPr>
          <w:p>
            <w:pPr>
              <w:jc w:val="center"/>
              <w:rPr>
                <w:rFonts w:hint="eastAsia" w:ascii="楷体" w:hAnsi="楷体" w:eastAsia="楷体"/>
                <w:szCs w:val="21"/>
              </w:rPr>
            </w:pPr>
            <w:r>
              <w:rPr>
                <w:rFonts w:hint="eastAsia" w:ascii="楷体" w:hAnsi="楷体" w:eastAsia="楷体"/>
                <w:szCs w:val="21"/>
              </w:rPr>
              <w:t>大写:</w:t>
            </w:r>
          </w:p>
        </w:tc>
      </w:tr>
    </w:tbl>
    <w:p>
      <w:pPr>
        <w:spacing w:line="380" w:lineRule="exact"/>
        <w:rPr>
          <w:rFonts w:hint="eastAsia" w:ascii="楷体" w:hAnsi="楷体" w:eastAsia="楷体"/>
          <w:sz w:val="22"/>
          <w:szCs w:val="22"/>
        </w:rPr>
      </w:pPr>
      <w:r>
        <w:rPr>
          <w:rFonts w:hint="eastAsia" w:ascii="楷体" w:hAnsi="楷体" w:eastAsia="楷体"/>
          <w:sz w:val="22"/>
          <w:szCs w:val="22"/>
        </w:rPr>
        <w:t>说明：</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1)以上核算需符合国家相关法律、法规及温州市有关劳动法、税务、社会保险等方面的规定。</w:t>
      </w:r>
    </w:p>
    <w:p>
      <w:pPr>
        <w:tabs>
          <w:tab w:val="left" w:pos="900"/>
        </w:tabs>
        <w:spacing w:line="380" w:lineRule="exact"/>
        <w:rPr>
          <w:rFonts w:hint="eastAsia" w:ascii="楷体" w:hAnsi="楷体" w:eastAsia="楷体"/>
          <w:b/>
          <w:bCs/>
          <w:sz w:val="22"/>
          <w:szCs w:val="22"/>
        </w:rPr>
      </w:pPr>
      <w:r>
        <w:rPr>
          <w:rFonts w:hint="eastAsia" w:ascii="楷体" w:hAnsi="楷体" w:eastAsia="楷体"/>
          <w:sz w:val="22"/>
          <w:szCs w:val="22"/>
        </w:rPr>
        <w:t>2)</w:t>
      </w:r>
      <w:r>
        <w:rPr>
          <w:rFonts w:hint="eastAsia" w:ascii="楷体" w:hAnsi="楷体" w:eastAsia="楷体"/>
          <w:b/>
          <w:bCs/>
          <w:sz w:val="28"/>
          <w:szCs w:val="28"/>
        </w:rPr>
        <w:t xml:space="preserve"> </w:t>
      </w:r>
      <w:r>
        <w:rPr>
          <w:rFonts w:hint="eastAsia" w:ascii="楷体" w:hAnsi="楷体" w:eastAsia="楷体"/>
          <w:bCs/>
          <w:sz w:val="22"/>
          <w:szCs w:val="22"/>
        </w:rPr>
        <w:t>投标报价明细表</w:t>
      </w:r>
      <w:r>
        <w:rPr>
          <w:rFonts w:hint="eastAsia" w:ascii="楷体" w:hAnsi="楷体" w:eastAsia="楷体"/>
          <w:sz w:val="22"/>
          <w:szCs w:val="22"/>
        </w:rPr>
        <w:t>内总计价应与附件二中“开标一览表”投标报价相一致。</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3)不提供此表的报价，视为没有实质性响应招标文件要求。</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4）此报价表中的“人工费”测算要求测算此次投入人员的总人数的全部费用，不可只计算部分人员费用。</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5)各项费用如已包含在其它费用中请注明“含”，若免费请注明“免”, 若没有请注明“无”。</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6）此报价表中的固定报价及固定人数报价部分，投标人不得进行修改。</w:t>
      </w:r>
    </w:p>
    <w:p>
      <w:pPr>
        <w:tabs>
          <w:tab w:val="left" w:pos="900"/>
        </w:tabs>
        <w:spacing w:line="380" w:lineRule="exact"/>
        <w:rPr>
          <w:rFonts w:hint="eastAsia" w:ascii="楷体" w:hAnsi="楷体" w:eastAsia="楷体"/>
          <w:sz w:val="22"/>
          <w:szCs w:val="22"/>
        </w:rPr>
      </w:pPr>
      <w:r>
        <w:rPr>
          <w:rFonts w:hint="eastAsia" w:ascii="楷体" w:hAnsi="楷体" w:eastAsia="楷体"/>
          <w:sz w:val="22"/>
          <w:szCs w:val="22"/>
        </w:rPr>
        <w:t>7)投标人认为还需增加有关费用的，可在第九项中列明。</w:t>
      </w:r>
    </w:p>
    <w:p>
      <w:pPr>
        <w:spacing w:line="380" w:lineRule="exact"/>
        <w:ind w:right="880"/>
        <w:jc w:val="center"/>
        <w:rPr>
          <w:rFonts w:hint="eastAsia" w:ascii="楷体" w:hAnsi="楷体" w:eastAsia="楷体"/>
          <w:sz w:val="22"/>
          <w:szCs w:val="22"/>
        </w:rPr>
      </w:pPr>
      <w:r>
        <w:rPr>
          <w:rFonts w:hint="eastAsia" w:ascii="楷体" w:hAnsi="楷体" w:eastAsia="楷体"/>
          <w:sz w:val="22"/>
        </w:rPr>
        <w:t xml:space="preserve">                                                 投</w:t>
      </w:r>
      <w:r>
        <w:rPr>
          <w:rFonts w:hint="eastAsia" w:ascii="楷体" w:hAnsi="楷体" w:eastAsia="楷体"/>
          <w:sz w:val="22"/>
          <w:szCs w:val="22"/>
        </w:rPr>
        <w:t>标人全称（盖章）：</w:t>
      </w:r>
    </w:p>
    <w:p>
      <w:pPr>
        <w:spacing w:line="380" w:lineRule="exact"/>
        <w:ind w:firstLine="6050" w:firstLineChars="2750"/>
        <w:rPr>
          <w:rFonts w:hint="eastAsia" w:ascii="楷体" w:hAnsi="楷体" w:eastAsia="楷体"/>
          <w:sz w:val="22"/>
          <w:szCs w:val="22"/>
        </w:rPr>
      </w:pPr>
      <w:r>
        <w:rPr>
          <w:rFonts w:hint="eastAsia" w:ascii="楷体" w:hAnsi="楷体" w:eastAsia="楷体"/>
          <w:sz w:val="22"/>
          <w:szCs w:val="22"/>
        </w:rPr>
        <w:t>法定代表人或授权代表（签名）：</w:t>
      </w:r>
    </w:p>
    <w:p>
      <w:pPr>
        <w:spacing w:line="380" w:lineRule="exact"/>
        <w:ind w:left="5922" w:leftChars="2820" w:firstLine="110" w:firstLineChars="50"/>
        <w:rPr>
          <w:rFonts w:ascii="楷体" w:hAnsi="楷体" w:eastAsia="楷体"/>
          <w:sz w:val="22"/>
          <w:szCs w:val="22"/>
        </w:rPr>
      </w:pPr>
      <w:r>
        <w:rPr>
          <w:rFonts w:hint="eastAsia" w:ascii="楷体" w:hAnsi="楷体" w:eastAsia="楷体"/>
          <w:sz w:val="22"/>
          <w:szCs w:val="22"/>
        </w:rPr>
        <w:t>日 期：  年  月  日</w:t>
      </w:r>
    </w:p>
    <w:p>
      <w:pPr>
        <w:spacing w:line="380" w:lineRule="exact"/>
        <w:rPr>
          <w:rFonts w:hint="eastAsia" w:ascii="楷体" w:hAnsi="楷体" w:eastAsia="楷体"/>
          <w:color w:val="FF0000"/>
          <w:sz w:val="22"/>
          <w:szCs w:val="22"/>
        </w:rPr>
      </w:pPr>
      <w:r>
        <w:rPr>
          <w:rFonts w:ascii="楷体" w:hAnsi="楷体" w:eastAsia="楷体"/>
          <w:color w:val="FF0000"/>
          <w:sz w:val="22"/>
          <w:szCs w:val="22"/>
        </w:rPr>
        <w:br w:type="page"/>
      </w:r>
      <w:r>
        <w:rPr>
          <w:rFonts w:ascii="楷体" w:hAnsi="楷体" w:eastAsia="楷体"/>
          <w:b/>
          <w:bCs/>
          <w:sz w:val="22"/>
          <w:szCs w:val="22"/>
        </w:rPr>
        <w:t>附件</w:t>
      </w:r>
      <w:r>
        <w:rPr>
          <w:rFonts w:hint="eastAsia" w:ascii="楷体" w:hAnsi="楷体" w:eastAsia="楷体"/>
          <w:b/>
          <w:bCs/>
          <w:sz w:val="22"/>
          <w:szCs w:val="22"/>
        </w:rPr>
        <w:t>（如有）</w:t>
      </w:r>
    </w:p>
    <w:p>
      <w:pPr>
        <w:spacing w:line="460" w:lineRule="exact"/>
        <w:jc w:val="center"/>
        <w:rPr>
          <w:rFonts w:hint="eastAsia" w:ascii="楷体" w:hAnsi="楷体" w:eastAsia="楷体"/>
          <w:b/>
          <w:bCs/>
          <w:sz w:val="28"/>
          <w:szCs w:val="28"/>
        </w:rPr>
      </w:pPr>
      <w:r>
        <w:rPr>
          <w:rFonts w:ascii="楷体" w:hAnsi="楷体" w:eastAsia="楷体"/>
          <w:b/>
          <w:bCs/>
          <w:sz w:val="28"/>
          <w:szCs w:val="28"/>
        </w:rPr>
        <w:t>小型、微型企业产品等价格扣除证明材料（若有）</w:t>
      </w:r>
    </w:p>
    <w:p>
      <w:pPr>
        <w:spacing w:line="460" w:lineRule="exact"/>
        <w:jc w:val="center"/>
        <w:rPr>
          <w:rFonts w:hint="eastAsia" w:ascii="楷体" w:hAnsi="楷体" w:eastAsia="楷体"/>
          <w:b/>
          <w:bCs/>
          <w:sz w:val="28"/>
          <w:szCs w:val="28"/>
        </w:rPr>
      </w:pPr>
    </w:p>
    <w:p>
      <w:pPr>
        <w:spacing w:line="460" w:lineRule="exact"/>
        <w:jc w:val="center"/>
        <w:rPr>
          <w:rFonts w:hint="eastAsia" w:ascii="楷体" w:hAnsi="楷体" w:eastAsia="楷体"/>
          <w:bCs/>
          <w:sz w:val="24"/>
          <w:szCs w:val="28"/>
        </w:rPr>
      </w:pPr>
      <w:r>
        <w:rPr>
          <w:rFonts w:ascii="楷体" w:hAnsi="楷体" w:eastAsia="楷体"/>
          <w:b/>
          <w:bCs/>
          <w:sz w:val="24"/>
          <w:szCs w:val="28"/>
        </w:rPr>
        <w:t xml:space="preserve"> </w:t>
      </w:r>
      <w:bookmarkStart w:id="173" w:name="_Hlk507407938"/>
      <w:bookmarkEnd w:id="173"/>
      <w:r>
        <w:rPr>
          <w:rFonts w:ascii="楷体" w:hAnsi="楷体" w:eastAsia="楷体"/>
          <w:b/>
          <w:bCs/>
          <w:sz w:val="24"/>
          <w:szCs w:val="28"/>
        </w:rPr>
        <w:t>（1）、通过浙江政府采购网申请注册加入政府采购供应商库</w:t>
      </w:r>
      <w:r>
        <w:rPr>
          <w:rFonts w:ascii="楷体" w:hAnsi="楷体" w:eastAsia="楷体"/>
          <w:bCs/>
          <w:sz w:val="24"/>
          <w:szCs w:val="28"/>
        </w:rPr>
        <w:t>（不包括公示期内，提供浙江省政府采购网页面截图或其它入库证明材料，加盖投标人公章）</w:t>
      </w:r>
    </w:p>
    <w:p>
      <w:pPr>
        <w:spacing w:line="460" w:lineRule="exact"/>
        <w:jc w:val="center"/>
        <w:rPr>
          <w:rFonts w:hint="eastAsia" w:ascii="楷体" w:hAnsi="楷体" w:eastAsia="楷体"/>
          <w:b/>
          <w:bCs/>
          <w:sz w:val="24"/>
          <w:szCs w:val="28"/>
        </w:rPr>
      </w:pPr>
    </w:p>
    <w:p>
      <w:pPr>
        <w:spacing w:line="460" w:lineRule="exact"/>
        <w:jc w:val="left"/>
        <w:rPr>
          <w:rFonts w:hint="eastAsia" w:ascii="楷体" w:hAnsi="楷体" w:eastAsia="楷体"/>
          <w:b/>
          <w:bCs/>
          <w:sz w:val="24"/>
          <w:szCs w:val="28"/>
        </w:rPr>
      </w:pPr>
      <w:r>
        <w:rPr>
          <w:rFonts w:ascii="楷体" w:hAnsi="楷体" w:eastAsia="楷体"/>
          <w:b/>
          <w:bCs/>
          <w:sz w:val="24"/>
          <w:szCs w:val="28"/>
        </w:rPr>
        <w:t>（2）、中小企业声明函</w:t>
      </w:r>
    </w:p>
    <w:p>
      <w:pPr>
        <w:pStyle w:val="7"/>
        <w:spacing w:line="360" w:lineRule="auto"/>
        <w:ind w:firstLine="440"/>
        <w:rPr>
          <w:rFonts w:hint="eastAsia" w:ascii="楷体" w:hAnsi="楷体" w:eastAsia="楷体"/>
          <w:sz w:val="22"/>
          <w:szCs w:val="22"/>
        </w:rPr>
      </w:pPr>
      <w:r>
        <w:rPr>
          <w:rFonts w:ascii="楷体" w:hAnsi="楷体" w:eastAsia="楷体"/>
          <w:sz w:val="22"/>
          <w:szCs w:val="22"/>
        </w:rPr>
        <w:t>本公司郑重声明，根据《政府采购促进中小企业发展暂行办法》（财库[2011]181号）的规定，本公司为______（请填写：中型、小型、微型）企业。即，本公司同时满足以下条件：</w:t>
      </w:r>
    </w:p>
    <w:p>
      <w:pPr>
        <w:pStyle w:val="7"/>
        <w:spacing w:line="360" w:lineRule="auto"/>
        <w:ind w:firstLine="440"/>
        <w:rPr>
          <w:rFonts w:hint="eastAsia" w:ascii="楷体" w:hAnsi="楷体" w:eastAsia="楷体"/>
          <w:sz w:val="22"/>
          <w:szCs w:val="22"/>
        </w:rPr>
      </w:pPr>
      <w:r>
        <w:rPr>
          <w:rFonts w:ascii="楷体" w:hAnsi="楷体" w:eastAsia="楷体"/>
          <w:sz w:val="22"/>
          <w:szCs w:val="22"/>
        </w:rPr>
        <w:t>根据《工业和信息化部、国家统计局、国家发展和改革委员会、财政部关于印发中小企业划型标准规定的通知》（工信部联企业[2011]300号）规定的划分标准，本公司为______（请填写：中型、小型、微型）企业。</w:t>
      </w:r>
    </w:p>
    <w:p>
      <w:pPr>
        <w:pStyle w:val="7"/>
        <w:spacing w:line="360" w:lineRule="auto"/>
        <w:ind w:firstLine="440"/>
        <w:rPr>
          <w:rFonts w:hint="eastAsia" w:ascii="楷体" w:hAnsi="楷体" w:eastAsia="楷体"/>
          <w:sz w:val="22"/>
          <w:szCs w:val="22"/>
        </w:rPr>
      </w:pPr>
      <w:r>
        <w:rPr>
          <w:rFonts w:ascii="楷体" w:hAnsi="楷体" w:eastAsia="楷体"/>
          <w:sz w:val="22"/>
          <w:szCs w:val="22"/>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楷体" w:hAnsi="楷体" w:eastAsia="楷体"/>
          <w:sz w:val="22"/>
          <w:szCs w:val="22"/>
        </w:rPr>
        <w:br w:type="textWrapping"/>
      </w:r>
      <w:r>
        <w:rPr>
          <w:rFonts w:ascii="楷体" w:hAnsi="楷体" w:eastAsia="楷体"/>
          <w:sz w:val="22"/>
          <w:szCs w:val="22"/>
        </w:rPr>
        <w:t xml:space="preserve">  本公司对上述声明的真实性负责。如有虚假，将依法承担相应责任。</w:t>
      </w:r>
    </w:p>
    <w:p>
      <w:pPr>
        <w:pStyle w:val="7"/>
        <w:spacing w:line="360" w:lineRule="auto"/>
        <w:ind w:firstLine="440"/>
        <w:rPr>
          <w:rFonts w:hint="eastAsia" w:ascii="楷体" w:hAnsi="楷体" w:eastAsia="楷体"/>
          <w:sz w:val="22"/>
          <w:szCs w:val="22"/>
        </w:rPr>
      </w:pPr>
      <w:r>
        <w:rPr>
          <w:rFonts w:ascii="楷体" w:hAnsi="楷体" w:eastAsia="楷体"/>
          <w:sz w:val="22"/>
          <w:szCs w:val="22"/>
        </w:rPr>
        <w:t xml:space="preserve"> </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投标人全称（盖章）：</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法定代表人或授权代表（签字）：</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日          期：  年  月  日</w:t>
      </w:r>
    </w:p>
    <w:p>
      <w:pPr>
        <w:spacing w:line="460" w:lineRule="exact"/>
        <w:jc w:val="left"/>
        <w:rPr>
          <w:rFonts w:ascii="楷体" w:hAnsi="楷体" w:eastAsia="楷体"/>
          <w:b/>
          <w:bCs/>
          <w:sz w:val="24"/>
          <w:szCs w:val="28"/>
        </w:rPr>
      </w:pPr>
      <w:r>
        <w:rPr>
          <w:rFonts w:ascii="楷体" w:hAnsi="楷体" w:eastAsia="楷体"/>
          <w:b/>
          <w:bCs/>
          <w:sz w:val="24"/>
          <w:szCs w:val="28"/>
        </w:rPr>
        <w:t xml:space="preserve"> </w:t>
      </w:r>
    </w:p>
    <w:p>
      <w:pPr>
        <w:spacing w:line="460" w:lineRule="exact"/>
        <w:jc w:val="left"/>
        <w:rPr>
          <w:rFonts w:hint="eastAsia" w:ascii="楷体" w:hAnsi="楷体" w:eastAsia="楷体"/>
          <w:b/>
          <w:bCs/>
          <w:sz w:val="24"/>
          <w:szCs w:val="28"/>
        </w:rPr>
      </w:pPr>
      <w:r>
        <w:rPr>
          <w:rFonts w:ascii="楷体" w:hAnsi="楷体" w:eastAsia="楷体"/>
          <w:b/>
          <w:bCs/>
          <w:sz w:val="24"/>
          <w:szCs w:val="28"/>
        </w:rPr>
        <w:br w:type="page"/>
      </w:r>
      <w:r>
        <w:rPr>
          <w:rFonts w:ascii="楷体" w:hAnsi="楷体" w:eastAsia="楷体"/>
          <w:b/>
          <w:bCs/>
          <w:sz w:val="24"/>
          <w:szCs w:val="28"/>
        </w:rPr>
        <w:t>（3）、国家企业信用信息公示系统---“小微企业名录”页面查询结果参考格式</w:t>
      </w:r>
    </w:p>
    <w:p>
      <w:pPr>
        <w:widowControl/>
        <w:jc w:val="left"/>
        <w:rPr>
          <w:rFonts w:hint="eastAsia" w:ascii="楷体" w:hAnsi="楷体" w:eastAsia="楷体"/>
          <w:szCs w:val="21"/>
        </w:rPr>
      </w:pPr>
      <w:r>
        <w:rPr>
          <w:rFonts w:ascii="楷体" w:hAnsi="楷体" w:eastAsia="楷体"/>
        </w:rPr>
        <w:drawing>
          <wp:inline distT="0" distB="0" distL="114300" distR="114300">
            <wp:extent cx="6276975" cy="2799080"/>
            <wp:effectExtent l="0" t="0" r="9525" b="127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7"/>
                    <a:stretch>
                      <a:fillRect/>
                    </a:stretch>
                  </pic:blipFill>
                  <pic:spPr>
                    <a:xfrm>
                      <a:off x="0" y="0"/>
                      <a:ext cx="6276975" cy="2799080"/>
                    </a:xfrm>
                    <a:prstGeom prst="rect">
                      <a:avLst/>
                    </a:prstGeom>
                    <a:noFill/>
                    <a:ln>
                      <a:noFill/>
                    </a:ln>
                  </pic:spPr>
                </pic:pic>
              </a:graphicData>
            </a:graphic>
          </wp:inline>
        </w:drawing>
      </w:r>
    </w:p>
    <w:p>
      <w:pPr>
        <w:pStyle w:val="7"/>
        <w:spacing w:line="360" w:lineRule="auto"/>
        <w:ind w:right="1760" w:firstLine="440"/>
        <w:jc w:val="center"/>
        <w:rPr>
          <w:rFonts w:hint="eastAsia" w:ascii="楷体" w:hAnsi="楷体" w:eastAsia="楷体"/>
        </w:rPr>
      </w:pPr>
      <w:r>
        <w:rPr>
          <w:rFonts w:ascii="楷体" w:hAnsi="楷体" w:eastAsia="楷体"/>
        </w:rPr>
        <w:t xml:space="preserve"> </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投标人全称（盖章）：</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法定代表人或授权代表（签字）：</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日          期：  年  月  日</w:t>
      </w:r>
    </w:p>
    <w:p>
      <w:pPr>
        <w:spacing w:line="360" w:lineRule="auto"/>
        <w:jc w:val="center"/>
        <w:rPr>
          <w:rFonts w:hint="eastAsia" w:ascii="楷体" w:hAnsi="楷体" w:eastAsia="楷体"/>
          <w:b/>
          <w:bCs/>
          <w:sz w:val="28"/>
          <w:szCs w:val="28"/>
        </w:rPr>
      </w:pPr>
      <w:bookmarkStart w:id="174" w:name="OLE_LINK14"/>
      <w:bookmarkEnd w:id="174"/>
      <w:bookmarkStart w:id="175" w:name="OLE_LINK13"/>
    </w:p>
    <w:p>
      <w:pPr>
        <w:spacing w:line="360" w:lineRule="auto"/>
        <w:jc w:val="center"/>
        <w:rPr>
          <w:rFonts w:hint="eastAsia" w:ascii="楷体" w:hAnsi="楷体" w:eastAsia="楷体"/>
          <w:b/>
          <w:bCs/>
          <w:sz w:val="28"/>
          <w:szCs w:val="28"/>
        </w:rPr>
      </w:pPr>
    </w:p>
    <w:p>
      <w:pPr>
        <w:spacing w:line="360" w:lineRule="auto"/>
        <w:jc w:val="center"/>
        <w:rPr>
          <w:rFonts w:hint="eastAsia" w:ascii="楷体" w:hAnsi="楷体" w:eastAsia="楷体"/>
          <w:b/>
          <w:bCs/>
          <w:sz w:val="28"/>
          <w:szCs w:val="28"/>
        </w:rPr>
      </w:pPr>
      <w:r>
        <w:rPr>
          <w:rFonts w:ascii="楷体" w:hAnsi="楷体" w:eastAsia="楷体"/>
          <w:b/>
          <w:bCs/>
          <w:sz w:val="28"/>
          <w:szCs w:val="28"/>
        </w:rPr>
        <w:t>（4）、残疾人福利性单位声明函</w:t>
      </w:r>
      <w:bookmarkEnd w:id="175"/>
    </w:p>
    <w:p>
      <w:pPr>
        <w:pStyle w:val="7"/>
        <w:spacing w:line="360" w:lineRule="auto"/>
        <w:ind w:firstLine="440"/>
        <w:rPr>
          <w:rFonts w:hint="eastAsia" w:ascii="楷体" w:hAnsi="楷体" w:eastAsia="楷体"/>
          <w:sz w:val="22"/>
          <w:szCs w:val="22"/>
        </w:rPr>
      </w:pPr>
      <w:r>
        <w:rPr>
          <w:rFonts w:ascii="楷体" w:hAnsi="楷体" w:eastAsia="楷体"/>
          <w:sz w:val="22"/>
          <w:szCs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7"/>
        <w:spacing w:line="360" w:lineRule="auto"/>
        <w:ind w:firstLine="440"/>
        <w:rPr>
          <w:rFonts w:hint="eastAsia" w:ascii="楷体" w:hAnsi="楷体" w:eastAsia="楷体"/>
          <w:sz w:val="22"/>
          <w:szCs w:val="22"/>
        </w:rPr>
      </w:pPr>
      <w:r>
        <w:rPr>
          <w:rFonts w:ascii="楷体" w:hAnsi="楷体" w:eastAsia="楷体"/>
          <w:sz w:val="22"/>
          <w:szCs w:val="22"/>
        </w:rPr>
        <w:t>本单位对上述声明的真实性负责。如有虚假，将依法承担相应责任。</w:t>
      </w:r>
    </w:p>
    <w:p>
      <w:pPr>
        <w:pStyle w:val="7"/>
        <w:spacing w:line="360" w:lineRule="auto"/>
        <w:ind w:firstLine="440"/>
        <w:rPr>
          <w:rFonts w:hint="eastAsia" w:ascii="楷体" w:hAnsi="楷体" w:eastAsia="楷体"/>
          <w:sz w:val="22"/>
          <w:szCs w:val="22"/>
        </w:rPr>
      </w:pPr>
      <w:r>
        <w:rPr>
          <w:rFonts w:ascii="楷体" w:hAnsi="楷体" w:eastAsia="楷体"/>
          <w:sz w:val="22"/>
          <w:szCs w:val="22"/>
        </w:rPr>
        <w:t xml:space="preserve"> </w:t>
      </w:r>
    </w:p>
    <w:p>
      <w:pPr>
        <w:pStyle w:val="7"/>
        <w:spacing w:line="360" w:lineRule="auto"/>
        <w:ind w:firstLine="440"/>
        <w:rPr>
          <w:rFonts w:hint="eastAsia" w:ascii="楷体" w:hAnsi="楷体" w:eastAsia="楷体"/>
          <w:sz w:val="22"/>
          <w:szCs w:val="22"/>
        </w:rPr>
      </w:pPr>
      <w:r>
        <w:rPr>
          <w:rFonts w:ascii="楷体" w:hAnsi="楷体" w:eastAsia="楷体"/>
          <w:sz w:val="22"/>
          <w:szCs w:val="22"/>
        </w:rPr>
        <w:t xml:space="preserve"> 投标人全称（盖章）：</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法定代表人或授权代表（签字）：</w:t>
      </w:r>
    </w:p>
    <w:p>
      <w:pPr>
        <w:adjustRightInd w:val="0"/>
        <w:snapToGrid w:val="0"/>
        <w:spacing w:line="360" w:lineRule="auto"/>
        <w:ind w:left="420" w:leftChars="200" w:firstLine="330" w:firstLineChars="150"/>
        <w:rPr>
          <w:rFonts w:hint="eastAsia" w:ascii="楷体" w:hAnsi="楷体" w:eastAsia="楷体"/>
          <w:sz w:val="22"/>
          <w:szCs w:val="22"/>
        </w:rPr>
      </w:pPr>
      <w:r>
        <w:rPr>
          <w:rFonts w:ascii="楷体" w:hAnsi="楷体" w:eastAsia="楷体"/>
          <w:sz w:val="22"/>
          <w:szCs w:val="22"/>
        </w:rPr>
        <w:t>日          期：  年  月  日</w:t>
      </w:r>
    </w:p>
    <w:p>
      <w:pPr>
        <w:adjustRightInd w:val="0"/>
        <w:snapToGrid w:val="0"/>
        <w:spacing w:line="360" w:lineRule="auto"/>
        <w:rPr>
          <w:rFonts w:hint="eastAsia" w:ascii="楷体" w:hAnsi="楷体" w:eastAsia="楷体"/>
          <w:sz w:val="22"/>
          <w:szCs w:val="22"/>
        </w:rPr>
      </w:pPr>
      <w:r>
        <w:rPr>
          <w:rFonts w:ascii="楷体" w:hAnsi="楷体" w:eastAsia="楷体"/>
          <w:b/>
          <w:bCs/>
          <w:sz w:val="22"/>
          <w:szCs w:val="22"/>
        </w:rPr>
        <w:t>说明：如中标，将在中标公告中将此残疾人福利性单位声明函予以公示，接受社会监督。</w:t>
      </w:r>
    </w:p>
    <w:p>
      <w:pPr>
        <w:spacing w:line="400" w:lineRule="exact"/>
        <w:ind w:left="221" w:hanging="221" w:hangingChars="100"/>
        <w:rPr>
          <w:rFonts w:hint="eastAsia" w:ascii="楷体" w:hAnsi="楷体" w:eastAsia="楷体"/>
          <w:sz w:val="22"/>
          <w:szCs w:val="22"/>
        </w:rPr>
      </w:pPr>
      <w:r>
        <w:rPr>
          <w:rFonts w:hint="eastAsia" w:ascii="楷体" w:hAnsi="楷体" w:eastAsia="楷体"/>
          <w:b/>
          <w:bCs/>
          <w:sz w:val="22"/>
          <w:szCs w:val="22"/>
        </w:rPr>
        <w:t xml:space="preserve"> </w:t>
      </w:r>
      <w:r>
        <w:rPr>
          <w:rFonts w:hint="eastAsia" w:ascii="楷体" w:hAnsi="楷体" w:eastAsia="楷体"/>
          <w:sz w:val="22"/>
          <w:szCs w:val="22"/>
        </w:rPr>
        <w:t xml:space="preserve"> </w:t>
      </w:r>
    </w:p>
    <w:p>
      <w:pPr>
        <w:spacing w:line="360" w:lineRule="auto"/>
        <w:jc w:val="center"/>
        <w:rPr>
          <w:rFonts w:ascii="楷体" w:hAnsi="楷体" w:eastAsia="楷体"/>
          <w:b/>
          <w:bCs/>
          <w:sz w:val="28"/>
          <w:szCs w:val="28"/>
        </w:rPr>
      </w:pPr>
      <w:r>
        <w:rPr>
          <w:rFonts w:ascii="楷体" w:hAnsi="楷体" w:eastAsia="楷体"/>
          <w:b/>
          <w:bCs/>
          <w:sz w:val="28"/>
          <w:szCs w:val="28"/>
        </w:rPr>
        <w:br w:type="page"/>
      </w:r>
      <w:r>
        <w:rPr>
          <w:rFonts w:hint="eastAsia" w:ascii="楷体" w:hAnsi="楷体" w:eastAsia="楷体"/>
          <w:b/>
          <w:bCs/>
          <w:sz w:val="28"/>
          <w:szCs w:val="28"/>
        </w:rPr>
        <w:t>（5）、监狱企业价格扣除证明材料</w:t>
      </w:r>
    </w:p>
    <w:p>
      <w:pPr>
        <w:pStyle w:val="7"/>
        <w:spacing w:line="360" w:lineRule="auto"/>
        <w:ind w:firstLine="440"/>
        <w:rPr>
          <w:rFonts w:hint="eastAsia" w:ascii="楷体" w:hAnsi="楷体" w:eastAsia="楷体"/>
          <w:color w:val="FF0000"/>
          <w:sz w:val="22"/>
          <w:szCs w:val="22"/>
        </w:rPr>
      </w:pPr>
      <w:r>
        <w:rPr>
          <w:rFonts w:hint="eastAsia" w:ascii="楷体" w:hAnsi="楷体" w:eastAsia="楷体"/>
          <w:sz w:val="22"/>
          <w:szCs w:val="22"/>
        </w:rPr>
        <w:t>监狱企业参加政府采购活动时，应当提供由省级以上监狱管理局、戒毒管理局(含新疆生产建设兵团)出具的属于监狱企业的证明文件（原件或复印件，复印件须加盖投标人公章）。</w:t>
      </w:r>
      <w:r>
        <w:rPr>
          <w:rFonts w:hint="eastAsia" w:ascii="楷体" w:hAnsi="楷体" w:eastAsia="楷体"/>
          <w:b/>
          <w:bCs/>
          <w:sz w:val="22"/>
          <w:szCs w:val="22"/>
        </w:rPr>
        <w:br w:type="page"/>
      </w:r>
      <w:r>
        <w:rPr>
          <w:rFonts w:hint="eastAsia" w:ascii="楷体" w:hAnsi="楷体" w:eastAsia="楷体" w:cs="宋体"/>
          <w:b/>
          <w:bCs/>
          <w:sz w:val="22"/>
          <w:szCs w:val="22"/>
        </w:rPr>
        <w:t>附件四</w:t>
      </w:r>
    </w:p>
    <w:p>
      <w:pPr>
        <w:spacing w:line="460" w:lineRule="exact"/>
        <w:ind w:firstLine="437"/>
        <w:jc w:val="center"/>
        <w:rPr>
          <w:rFonts w:hint="eastAsia" w:ascii="楷体" w:hAnsi="楷体" w:eastAsia="楷体"/>
          <w:b/>
          <w:bCs/>
          <w:sz w:val="28"/>
          <w:szCs w:val="28"/>
        </w:rPr>
      </w:pPr>
      <w:r>
        <w:rPr>
          <w:rFonts w:hint="eastAsia" w:ascii="楷体" w:hAnsi="楷体" w:eastAsia="楷体"/>
          <w:b/>
          <w:bCs/>
          <w:sz w:val="28"/>
          <w:szCs w:val="28"/>
        </w:rPr>
        <w:t>技术规格、商务条款偏离表</w:t>
      </w:r>
    </w:p>
    <w:p>
      <w:pPr>
        <w:spacing w:line="380" w:lineRule="exact"/>
        <w:rPr>
          <w:rFonts w:hint="eastAsia" w:ascii="楷体" w:hAnsi="楷体" w:eastAsia="楷体"/>
          <w:b/>
          <w:bCs/>
          <w:sz w:val="22"/>
          <w:szCs w:val="22"/>
        </w:rPr>
      </w:pPr>
      <w:r>
        <w:rPr>
          <w:rFonts w:hint="eastAsia" w:ascii="楷体" w:hAnsi="楷体" w:eastAsia="楷体"/>
          <w:b/>
          <w:bCs/>
          <w:sz w:val="22"/>
          <w:szCs w:val="22"/>
        </w:rPr>
        <w:t>投标人名称：                                          招标编号：</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115"/>
        <w:gridCol w:w="2974"/>
        <w:gridCol w:w="1115"/>
        <w:gridCol w:w="2789"/>
        <w:gridCol w:w="1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413" w:hRule="atLeast"/>
        </w:trPr>
        <w:tc>
          <w:tcPr>
            <w:tcW w:w="679" w:type="dxa"/>
            <w:vMerge w:val="restart"/>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内容</w:t>
            </w:r>
          </w:p>
        </w:tc>
        <w:tc>
          <w:tcPr>
            <w:tcW w:w="4089" w:type="dxa"/>
            <w:gridSpan w:val="2"/>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招标文件要求</w:t>
            </w:r>
          </w:p>
        </w:tc>
        <w:tc>
          <w:tcPr>
            <w:tcW w:w="3904" w:type="dxa"/>
            <w:gridSpan w:val="2"/>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投标文件内容</w:t>
            </w:r>
          </w:p>
        </w:tc>
        <w:tc>
          <w:tcPr>
            <w:tcW w:w="1182" w:type="dxa"/>
            <w:vMerge w:val="restart"/>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正偏离或负偏离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210" w:hRule="atLeas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条款号</w:t>
            </w:r>
          </w:p>
        </w:tc>
        <w:tc>
          <w:tcPr>
            <w:tcW w:w="2974"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简要内容</w:t>
            </w:r>
          </w:p>
        </w:tc>
        <w:tc>
          <w:tcPr>
            <w:tcW w:w="1115"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条款号</w:t>
            </w:r>
          </w:p>
        </w:tc>
        <w:tc>
          <w:tcPr>
            <w:tcW w:w="2789"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实际响应的具体内容</w:t>
            </w:r>
          </w:p>
        </w:tc>
        <w:tc>
          <w:tcPr>
            <w:tcW w:w="1182" w:type="dxa"/>
            <w:vMerge w:val="continue"/>
            <w:noWrap w:val="0"/>
            <w:vAlign w:val="center"/>
          </w:tcPr>
          <w:p>
            <w:pPr>
              <w:autoSpaceDE w:val="0"/>
              <w:autoSpaceDN w:val="0"/>
              <w:adjustRightInd w:val="0"/>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restart"/>
            <w:noWrap w:val="0"/>
            <w:textDirection w:val="tbRlV"/>
            <w:vAlign w:val="center"/>
          </w:tcPr>
          <w:p>
            <w:pPr>
              <w:ind w:right="113" w:firstLine="550" w:firstLineChars="250"/>
              <w:rPr>
                <w:rFonts w:hint="eastAsia" w:ascii="楷体" w:hAnsi="楷体" w:eastAsia="楷体" w:cs="Arial"/>
                <w:sz w:val="22"/>
                <w:szCs w:val="22"/>
              </w:rPr>
            </w:pPr>
            <w:r>
              <w:rPr>
                <w:rFonts w:hint="eastAsia" w:ascii="楷体" w:hAnsi="楷体" w:eastAsia="楷体" w:cs="Arial"/>
                <w:sz w:val="22"/>
                <w:szCs w:val="22"/>
              </w:rPr>
              <w:t xml:space="preserve">     技  术  偏  离</w:t>
            </w: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10" w:hRule="exact"/>
        </w:trPr>
        <w:tc>
          <w:tcPr>
            <w:tcW w:w="679"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414" w:hRule="atLeast"/>
        </w:trPr>
        <w:tc>
          <w:tcPr>
            <w:tcW w:w="679" w:type="dxa"/>
            <w:vMerge w:val="restart"/>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内容</w:t>
            </w:r>
          </w:p>
        </w:tc>
        <w:tc>
          <w:tcPr>
            <w:tcW w:w="4089" w:type="dxa"/>
            <w:gridSpan w:val="2"/>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招标文件要求</w:t>
            </w:r>
          </w:p>
        </w:tc>
        <w:tc>
          <w:tcPr>
            <w:tcW w:w="3904" w:type="dxa"/>
            <w:gridSpan w:val="2"/>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投标文件内容</w:t>
            </w: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448" w:hRule="atLeas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条款号</w:t>
            </w:r>
          </w:p>
        </w:tc>
        <w:tc>
          <w:tcPr>
            <w:tcW w:w="2974"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简要内容</w:t>
            </w:r>
          </w:p>
        </w:tc>
        <w:tc>
          <w:tcPr>
            <w:tcW w:w="1115"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条款号</w:t>
            </w:r>
          </w:p>
        </w:tc>
        <w:tc>
          <w:tcPr>
            <w:tcW w:w="2789" w:type="dxa"/>
            <w:noWrap w:val="0"/>
            <w:vAlign w:val="center"/>
          </w:tcPr>
          <w:p>
            <w:pPr>
              <w:autoSpaceDE w:val="0"/>
              <w:autoSpaceDN w:val="0"/>
              <w:adjustRightInd w:val="0"/>
              <w:jc w:val="center"/>
              <w:rPr>
                <w:rFonts w:hint="eastAsia" w:ascii="楷体" w:hAnsi="楷体" w:eastAsia="楷体" w:cs="Arial"/>
                <w:sz w:val="22"/>
                <w:szCs w:val="22"/>
              </w:rPr>
            </w:pPr>
            <w:r>
              <w:rPr>
                <w:rFonts w:hint="eastAsia" w:ascii="楷体" w:hAnsi="楷体" w:eastAsia="楷体" w:cs="Arial"/>
                <w:sz w:val="22"/>
                <w:szCs w:val="22"/>
              </w:rPr>
              <w:t>简要内容</w:t>
            </w:r>
          </w:p>
        </w:tc>
        <w:tc>
          <w:tcPr>
            <w:tcW w:w="1182" w:type="dxa"/>
            <w:noWrap w:val="0"/>
            <w:vAlign w:val="center"/>
          </w:tcPr>
          <w:p>
            <w:pPr>
              <w:autoSpaceDE w:val="0"/>
              <w:autoSpaceDN w:val="0"/>
              <w:adjustRightInd w:val="0"/>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restart"/>
            <w:noWrap w:val="0"/>
            <w:textDirection w:val="tbRlV"/>
            <w:vAlign w:val="center"/>
          </w:tcPr>
          <w:p>
            <w:pPr>
              <w:ind w:right="113" w:firstLine="550" w:firstLineChars="250"/>
              <w:rPr>
                <w:rFonts w:hint="eastAsia" w:ascii="楷体" w:hAnsi="楷体" w:eastAsia="楷体" w:cs="Arial"/>
                <w:sz w:val="22"/>
                <w:szCs w:val="22"/>
              </w:rPr>
            </w:pPr>
            <w:r>
              <w:rPr>
                <w:rFonts w:hint="eastAsia" w:ascii="楷体" w:hAnsi="楷体" w:eastAsia="楷体" w:cs="Arial"/>
                <w:sz w:val="22"/>
                <w:szCs w:val="22"/>
              </w:rPr>
              <w:t xml:space="preserve">     商  务  偏  离</w:t>
            </w: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exact"/>
        </w:trPr>
        <w:tc>
          <w:tcPr>
            <w:tcW w:w="679" w:type="dxa"/>
            <w:vMerge w:val="continue"/>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10" w:hRule="exact"/>
        </w:trPr>
        <w:tc>
          <w:tcPr>
            <w:tcW w:w="679"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974" w:type="dxa"/>
            <w:noWrap w:val="0"/>
            <w:vAlign w:val="center"/>
          </w:tcPr>
          <w:p>
            <w:pPr>
              <w:jc w:val="center"/>
              <w:rPr>
                <w:rFonts w:hint="eastAsia" w:ascii="楷体" w:hAnsi="楷体" w:eastAsia="楷体" w:cs="Arial"/>
                <w:sz w:val="22"/>
                <w:szCs w:val="22"/>
              </w:rPr>
            </w:pPr>
          </w:p>
        </w:tc>
        <w:tc>
          <w:tcPr>
            <w:tcW w:w="1115" w:type="dxa"/>
            <w:noWrap w:val="0"/>
            <w:vAlign w:val="center"/>
          </w:tcPr>
          <w:p>
            <w:pPr>
              <w:jc w:val="center"/>
              <w:rPr>
                <w:rFonts w:hint="eastAsia" w:ascii="楷体" w:hAnsi="楷体" w:eastAsia="楷体" w:cs="Arial"/>
                <w:sz w:val="22"/>
                <w:szCs w:val="22"/>
              </w:rPr>
            </w:pPr>
          </w:p>
        </w:tc>
        <w:tc>
          <w:tcPr>
            <w:tcW w:w="2789" w:type="dxa"/>
            <w:noWrap w:val="0"/>
            <w:vAlign w:val="center"/>
          </w:tcPr>
          <w:p>
            <w:pPr>
              <w:jc w:val="center"/>
              <w:rPr>
                <w:rFonts w:hint="eastAsia" w:ascii="楷体" w:hAnsi="楷体" w:eastAsia="楷体" w:cs="Arial"/>
                <w:sz w:val="22"/>
                <w:szCs w:val="22"/>
              </w:rPr>
            </w:pPr>
          </w:p>
        </w:tc>
        <w:tc>
          <w:tcPr>
            <w:tcW w:w="1182" w:type="dxa"/>
            <w:noWrap w:val="0"/>
            <w:vAlign w:val="center"/>
          </w:tcPr>
          <w:p>
            <w:pPr>
              <w:jc w:val="center"/>
              <w:rPr>
                <w:rFonts w:hint="eastAsia" w:ascii="楷体" w:hAnsi="楷体" w:eastAsia="楷体" w:cs="Arial"/>
                <w:sz w:val="22"/>
                <w:szCs w:val="22"/>
              </w:rPr>
            </w:pPr>
          </w:p>
        </w:tc>
      </w:tr>
    </w:tbl>
    <w:p>
      <w:pPr>
        <w:spacing w:line="380" w:lineRule="exact"/>
        <w:rPr>
          <w:rFonts w:hint="eastAsia" w:ascii="楷体" w:hAnsi="楷体" w:eastAsia="楷体"/>
          <w:b/>
          <w:sz w:val="22"/>
          <w:szCs w:val="22"/>
        </w:rPr>
      </w:pPr>
      <w:r>
        <w:rPr>
          <w:rFonts w:hint="eastAsia" w:ascii="楷体" w:hAnsi="楷体" w:eastAsia="楷体"/>
          <w:b/>
          <w:sz w:val="22"/>
          <w:szCs w:val="22"/>
        </w:rPr>
        <w:t>注：</w:t>
      </w:r>
      <w:r>
        <w:rPr>
          <w:rFonts w:ascii="楷体" w:hAnsi="楷体" w:eastAsia="楷体"/>
          <w:b/>
          <w:sz w:val="22"/>
          <w:szCs w:val="22"/>
        </w:rPr>
        <w:t>如投标文件含正偏离和负偏离，都应说明。</w:t>
      </w:r>
    </w:p>
    <w:p>
      <w:pPr>
        <w:spacing w:line="380" w:lineRule="exact"/>
        <w:ind w:firstLine="4417" w:firstLineChars="2000"/>
        <w:rPr>
          <w:rFonts w:hint="eastAsia" w:ascii="楷体" w:hAnsi="楷体" w:eastAsia="楷体"/>
          <w:b/>
          <w:sz w:val="22"/>
          <w:szCs w:val="22"/>
        </w:rPr>
      </w:pP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投标人全称（盖章）：</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法定代表人或授权代表（签字）：</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日期：  年   月  日</w:t>
      </w:r>
    </w:p>
    <w:p>
      <w:pPr>
        <w:spacing w:line="380" w:lineRule="exact"/>
        <w:rPr>
          <w:rFonts w:hint="eastAsia" w:ascii="楷体" w:hAnsi="楷体" w:eastAsia="楷体"/>
          <w:b/>
          <w:bCs/>
          <w:sz w:val="22"/>
          <w:szCs w:val="22"/>
        </w:rPr>
      </w:pPr>
      <w:r>
        <w:rPr>
          <w:rFonts w:hint="eastAsia" w:ascii="楷体" w:hAnsi="楷体" w:eastAsia="楷体"/>
          <w:sz w:val="22"/>
          <w:szCs w:val="22"/>
        </w:rPr>
        <w:br w:type="page"/>
      </w:r>
      <w:r>
        <w:rPr>
          <w:rFonts w:hint="eastAsia" w:ascii="楷体" w:hAnsi="楷体" w:eastAsia="楷体"/>
          <w:b/>
          <w:bCs/>
          <w:sz w:val="22"/>
          <w:szCs w:val="22"/>
        </w:rPr>
        <w:t>附件五</w:t>
      </w:r>
    </w:p>
    <w:p>
      <w:pPr>
        <w:spacing w:line="460" w:lineRule="exact"/>
        <w:jc w:val="center"/>
        <w:rPr>
          <w:rFonts w:hint="eastAsia" w:ascii="楷体" w:hAnsi="楷体" w:eastAsia="楷体"/>
          <w:sz w:val="28"/>
          <w:szCs w:val="28"/>
        </w:rPr>
      </w:pPr>
      <w:r>
        <w:rPr>
          <w:rFonts w:hint="eastAsia" w:ascii="楷体" w:hAnsi="楷体" w:eastAsia="楷体"/>
          <w:b/>
          <w:bCs/>
          <w:sz w:val="28"/>
          <w:szCs w:val="28"/>
        </w:rPr>
        <w:t>资格证明文件</w:t>
      </w:r>
    </w:p>
    <w:p>
      <w:pPr>
        <w:spacing w:line="380" w:lineRule="exact"/>
        <w:jc w:val="center"/>
        <w:rPr>
          <w:rFonts w:hint="eastAsia" w:ascii="楷体" w:hAnsi="楷体" w:eastAsia="楷体"/>
          <w:b/>
          <w:sz w:val="22"/>
          <w:szCs w:val="22"/>
        </w:rPr>
      </w:pPr>
      <w:r>
        <w:rPr>
          <w:rFonts w:hint="eastAsia" w:ascii="楷体" w:hAnsi="楷体" w:eastAsia="楷体"/>
          <w:b/>
          <w:sz w:val="22"/>
          <w:szCs w:val="22"/>
        </w:rPr>
        <w:t>（a）法定代表人授权书</w:t>
      </w:r>
    </w:p>
    <w:p>
      <w:pPr>
        <w:spacing w:line="420" w:lineRule="exact"/>
        <w:rPr>
          <w:rFonts w:hint="eastAsia" w:ascii="楷体" w:hAnsi="楷体" w:eastAsia="楷体"/>
          <w:sz w:val="22"/>
          <w:szCs w:val="22"/>
        </w:rPr>
      </w:pPr>
      <w:r>
        <w:rPr>
          <w:rFonts w:hint="eastAsia" w:ascii="楷体" w:hAnsi="楷体" w:eastAsia="楷体"/>
          <w:sz w:val="22"/>
          <w:szCs w:val="22"/>
        </w:rPr>
        <w:t>温州市鹿城区人民政府五马街道办事处：</w:t>
      </w:r>
    </w:p>
    <w:p>
      <w:pPr>
        <w:spacing w:line="420" w:lineRule="exact"/>
        <w:rPr>
          <w:rFonts w:hint="eastAsia" w:ascii="楷体" w:hAnsi="楷体" w:eastAsia="楷体"/>
          <w:sz w:val="22"/>
          <w:szCs w:val="22"/>
        </w:rPr>
      </w:pPr>
      <w:r>
        <w:rPr>
          <w:rFonts w:hint="eastAsia" w:ascii="楷体" w:hAnsi="楷体" w:eastAsia="楷体"/>
          <w:sz w:val="22"/>
          <w:szCs w:val="22"/>
        </w:rPr>
        <w:t>浙江明业项目管理有限公司：</w:t>
      </w:r>
    </w:p>
    <w:p>
      <w:pPr>
        <w:spacing w:line="460" w:lineRule="exact"/>
        <w:rPr>
          <w:rFonts w:hint="eastAsia" w:ascii="楷体" w:hAnsi="楷体" w:eastAsia="楷体"/>
          <w:sz w:val="22"/>
          <w:szCs w:val="22"/>
          <w:u w:val="single"/>
        </w:rPr>
      </w:pPr>
    </w:p>
    <w:p>
      <w:pPr>
        <w:spacing w:line="460" w:lineRule="exact"/>
        <w:ind w:firstLine="550" w:firstLineChars="250"/>
        <w:rPr>
          <w:rFonts w:hint="eastAsia" w:ascii="楷体" w:hAnsi="楷体" w:eastAsia="楷体"/>
          <w:sz w:val="22"/>
          <w:szCs w:val="22"/>
        </w:rPr>
      </w:pPr>
      <w:r>
        <w:rPr>
          <w:rFonts w:hint="eastAsia" w:ascii="楷体" w:hAnsi="楷体" w:eastAsia="楷体"/>
          <w:sz w:val="22"/>
          <w:szCs w:val="22"/>
          <w:u w:val="single"/>
        </w:rPr>
        <w:t xml:space="preserve">                   </w:t>
      </w:r>
      <w:r>
        <w:rPr>
          <w:rFonts w:hint="eastAsia" w:ascii="楷体" w:hAnsi="楷体" w:eastAsia="楷体"/>
          <w:sz w:val="22"/>
          <w:szCs w:val="22"/>
        </w:rPr>
        <w:t>（投标人全称）法定代表人</w:t>
      </w:r>
      <w:r>
        <w:rPr>
          <w:rFonts w:hint="eastAsia" w:ascii="楷体" w:hAnsi="楷体" w:eastAsia="楷体"/>
          <w:sz w:val="22"/>
          <w:szCs w:val="22"/>
          <w:u w:val="single"/>
        </w:rPr>
        <w:t xml:space="preserve">            </w:t>
      </w:r>
      <w:r>
        <w:rPr>
          <w:rFonts w:hint="eastAsia" w:ascii="楷体" w:hAnsi="楷体" w:eastAsia="楷体"/>
          <w:sz w:val="22"/>
          <w:szCs w:val="22"/>
        </w:rPr>
        <w:t>授权</w:t>
      </w:r>
      <w:r>
        <w:rPr>
          <w:rFonts w:hint="eastAsia" w:ascii="楷体" w:hAnsi="楷体" w:eastAsia="楷体"/>
          <w:sz w:val="22"/>
          <w:szCs w:val="22"/>
          <w:u w:val="single"/>
        </w:rPr>
        <w:t xml:space="preserve">           </w:t>
      </w:r>
      <w:r>
        <w:rPr>
          <w:rFonts w:hint="eastAsia" w:ascii="楷体" w:hAnsi="楷体" w:eastAsia="楷体"/>
          <w:sz w:val="22"/>
          <w:szCs w:val="22"/>
        </w:rPr>
        <w:t>（全权代表姓名）为全权代表，参加贵处组织的</w:t>
      </w:r>
      <w:r>
        <w:rPr>
          <w:rFonts w:hint="eastAsia" w:ascii="楷体" w:hAnsi="楷体" w:eastAsia="楷体"/>
          <w:sz w:val="22"/>
          <w:szCs w:val="22"/>
          <w:u w:val="single"/>
        </w:rPr>
        <w:t>（招标项目名称、编号）</w:t>
      </w:r>
      <w:r>
        <w:rPr>
          <w:rFonts w:hint="eastAsia" w:ascii="楷体" w:hAnsi="楷体" w:eastAsia="楷体"/>
          <w:sz w:val="22"/>
          <w:szCs w:val="22"/>
        </w:rPr>
        <w:t>的招标活动，全权代表我方处理招标活动中的一切事宜。</w:t>
      </w:r>
    </w:p>
    <w:p>
      <w:pPr>
        <w:spacing w:line="460" w:lineRule="exact"/>
        <w:ind w:firstLine="2955"/>
        <w:rPr>
          <w:rFonts w:hint="eastAsia" w:ascii="楷体" w:hAnsi="楷体" w:eastAsia="楷体"/>
          <w:sz w:val="22"/>
          <w:szCs w:val="22"/>
        </w:rPr>
      </w:pPr>
    </w:p>
    <w:p>
      <w:pPr>
        <w:spacing w:line="460" w:lineRule="exact"/>
        <w:ind w:firstLine="2955"/>
        <w:rPr>
          <w:rFonts w:hint="eastAsia" w:ascii="楷体" w:hAnsi="楷体" w:eastAsia="楷体"/>
          <w:sz w:val="22"/>
          <w:szCs w:val="22"/>
        </w:rPr>
      </w:pPr>
      <w:r>
        <w:rPr>
          <w:rFonts w:hint="eastAsia" w:ascii="楷体" w:hAnsi="楷体" w:eastAsia="楷体"/>
          <w:sz w:val="22"/>
          <w:szCs w:val="22"/>
        </w:rPr>
        <w:t xml:space="preserve">         </w:t>
      </w:r>
    </w:p>
    <w:p>
      <w:pPr>
        <w:spacing w:line="460" w:lineRule="exact"/>
        <w:ind w:firstLine="3971" w:firstLineChars="1805"/>
        <w:rPr>
          <w:rFonts w:hint="eastAsia" w:ascii="楷体" w:hAnsi="楷体" w:eastAsia="楷体"/>
          <w:sz w:val="22"/>
          <w:szCs w:val="22"/>
        </w:rPr>
      </w:pPr>
      <w:r>
        <w:rPr>
          <w:rFonts w:hint="eastAsia" w:ascii="楷体" w:hAnsi="楷体" w:eastAsia="楷体"/>
          <w:sz w:val="22"/>
          <w:szCs w:val="22"/>
        </w:rPr>
        <w:t>法定代表人 (签字)：</w:t>
      </w:r>
    </w:p>
    <w:p>
      <w:pPr>
        <w:spacing w:line="460" w:lineRule="exact"/>
        <w:ind w:firstLine="2955"/>
        <w:rPr>
          <w:rFonts w:hint="eastAsia" w:ascii="楷体" w:hAnsi="楷体" w:eastAsia="楷体"/>
          <w:sz w:val="22"/>
          <w:szCs w:val="22"/>
        </w:rPr>
      </w:pPr>
      <w:r>
        <w:rPr>
          <w:rFonts w:hint="eastAsia" w:ascii="楷体" w:hAnsi="楷体" w:eastAsia="楷体"/>
          <w:sz w:val="22"/>
          <w:szCs w:val="22"/>
        </w:rPr>
        <w:t xml:space="preserve">         投标人全称（公章）：</w:t>
      </w:r>
    </w:p>
    <w:p>
      <w:pPr>
        <w:spacing w:line="460" w:lineRule="exact"/>
        <w:ind w:firstLine="2955"/>
        <w:rPr>
          <w:rFonts w:hint="eastAsia" w:ascii="楷体" w:hAnsi="楷体" w:eastAsia="楷体"/>
          <w:sz w:val="22"/>
          <w:szCs w:val="22"/>
        </w:rPr>
      </w:pPr>
      <w:r>
        <w:rPr>
          <w:rFonts w:hint="eastAsia" w:ascii="楷体" w:hAnsi="楷体" w:eastAsia="楷体"/>
          <w:sz w:val="22"/>
          <w:szCs w:val="22"/>
        </w:rPr>
        <w:t xml:space="preserve">         日期：     年    月   日</w:t>
      </w:r>
    </w:p>
    <w:p>
      <w:pPr>
        <w:spacing w:line="460" w:lineRule="exact"/>
        <w:rPr>
          <w:rFonts w:hint="eastAsia" w:ascii="楷体" w:hAnsi="楷体" w:eastAsia="楷体"/>
          <w:sz w:val="22"/>
          <w:szCs w:val="22"/>
        </w:rPr>
      </w:pPr>
    </w:p>
    <w:p>
      <w:pPr>
        <w:spacing w:line="460" w:lineRule="exact"/>
        <w:rPr>
          <w:rFonts w:hint="eastAsia" w:ascii="楷体" w:hAnsi="楷体" w:eastAsia="楷体"/>
          <w:sz w:val="22"/>
          <w:szCs w:val="22"/>
        </w:rPr>
      </w:pPr>
    </w:p>
    <w:p>
      <w:pPr>
        <w:spacing w:line="460" w:lineRule="exact"/>
        <w:rPr>
          <w:rFonts w:hint="eastAsia" w:ascii="楷体" w:hAnsi="楷体" w:eastAsia="楷体"/>
          <w:sz w:val="22"/>
          <w:szCs w:val="22"/>
        </w:rPr>
      </w:pPr>
      <w:r>
        <w:rPr>
          <w:rFonts w:hint="eastAsia" w:ascii="楷体" w:hAnsi="楷体" w:eastAsia="楷体"/>
          <w:sz w:val="22"/>
          <w:szCs w:val="22"/>
        </w:rPr>
        <w:t>附：</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授权代表姓名：</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职务：</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详细通讯地址：</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电话：</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传真：</w:t>
      </w:r>
    </w:p>
    <w:p>
      <w:pPr>
        <w:spacing w:line="460" w:lineRule="exact"/>
        <w:ind w:firstLine="220" w:firstLineChars="100"/>
        <w:rPr>
          <w:rFonts w:hint="eastAsia" w:ascii="楷体" w:hAnsi="楷体" w:eastAsia="楷体"/>
          <w:sz w:val="22"/>
          <w:szCs w:val="22"/>
        </w:rPr>
      </w:pPr>
      <w:r>
        <w:rPr>
          <w:rFonts w:hint="eastAsia" w:ascii="楷体" w:hAnsi="楷体" w:eastAsia="楷体"/>
          <w:sz w:val="22"/>
          <w:szCs w:val="22"/>
        </w:rPr>
        <w:t>邮政编码:</w:t>
      </w:r>
    </w:p>
    <w:tbl>
      <w:tblPr>
        <w:tblStyle w:val="26"/>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17" w:hRule="atLeast"/>
        </w:trPr>
        <w:tc>
          <w:tcPr>
            <w:tcW w:w="4864" w:type="dxa"/>
            <w:noWrap w:val="0"/>
            <w:vAlign w:val="center"/>
          </w:tcPr>
          <w:p>
            <w:pPr>
              <w:spacing w:line="380" w:lineRule="exact"/>
              <w:jc w:val="center"/>
              <w:rPr>
                <w:rFonts w:hint="eastAsia" w:ascii="楷体" w:hAnsi="楷体" w:eastAsia="楷体"/>
                <w:b/>
                <w:sz w:val="28"/>
                <w:szCs w:val="28"/>
              </w:rPr>
            </w:pPr>
            <w:r>
              <w:rPr>
                <w:rFonts w:hint="eastAsia" w:ascii="楷体" w:hAnsi="楷体" w:eastAsia="楷体"/>
                <w:b/>
                <w:sz w:val="28"/>
                <w:szCs w:val="28"/>
              </w:rPr>
              <w:t>投标人代表身份证复印件</w:t>
            </w:r>
          </w:p>
          <w:p>
            <w:pPr>
              <w:spacing w:line="380" w:lineRule="exact"/>
              <w:jc w:val="center"/>
              <w:rPr>
                <w:rFonts w:hint="eastAsia" w:ascii="楷体" w:hAnsi="楷体" w:eastAsia="楷体"/>
                <w:b/>
                <w:bCs/>
                <w:sz w:val="28"/>
              </w:rPr>
            </w:pPr>
          </w:p>
        </w:tc>
      </w:tr>
    </w:tbl>
    <w:p>
      <w:pPr>
        <w:spacing w:line="460" w:lineRule="exact"/>
        <w:rPr>
          <w:rFonts w:hint="eastAsia" w:ascii="楷体" w:hAnsi="楷体" w:eastAsia="楷体"/>
          <w:b/>
          <w:bCs/>
          <w:sz w:val="22"/>
          <w:szCs w:val="22"/>
        </w:rPr>
      </w:pPr>
      <w:r>
        <w:rPr>
          <w:rFonts w:ascii="楷体" w:hAnsi="楷体" w:eastAsia="楷体"/>
          <w:b/>
          <w:bCs/>
          <w:sz w:val="22"/>
          <w:szCs w:val="22"/>
        </w:rPr>
        <w:t>注：本法定代表人授权书正本一式二份，</w:t>
      </w:r>
      <w:r>
        <w:rPr>
          <w:rFonts w:hint="eastAsia" w:ascii="楷体" w:hAnsi="楷体" w:eastAsia="楷体"/>
          <w:b/>
          <w:bCs/>
          <w:sz w:val="22"/>
          <w:szCs w:val="22"/>
        </w:rPr>
        <w:t>技术</w:t>
      </w:r>
      <w:r>
        <w:rPr>
          <w:rFonts w:ascii="楷体" w:hAnsi="楷体" w:eastAsia="楷体"/>
          <w:b/>
          <w:bCs/>
          <w:sz w:val="22"/>
          <w:szCs w:val="22"/>
        </w:rPr>
        <w:t>资信标正本中一份，另一份在递交投标文件时提交。</w:t>
      </w:r>
    </w:p>
    <w:p>
      <w:pPr>
        <w:spacing w:line="380" w:lineRule="exact"/>
        <w:jc w:val="center"/>
        <w:rPr>
          <w:rFonts w:hint="eastAsia" w:ascii="楷体" w:hAnsi="楷体" w:eastAsia="楷体"/>
          <w:b/>
          <w:sz w:val="22"/>
          <w:szCs w:val="22"/>
        </w:rPr>
      </w:pPr>
      <w:r>
        <w:rPr>
          <w:rFonts w:hint="eastAsia" w:ascii="楷体" w:hAnsi="楷体" w:eastAsia="楷体"/>
          <w:b/>
          <w:sz w:val="22"/>
        </w:rPr>
        <w:br w:type="page"/>
      </w:r>
      <w:r>
        <w:rPr>
          <w:rFonts w:hint="eastAsia" w:ascii="楷体" w:hAnsi="楷体" w:eastAsia="楷体"/>
          <w:b/>
          <w:sz w:val="22"/>
        </w:rPr>
        <w:t>（b）</w:t>
      </w:r>
      <w:r>
        <w:rPr>
          <w:rFonts w:hint="eastAsia" w:ascii="楷体" w:hAnsi="楷体" w:eastAsia="楷体"/>
          <w:b/>
          <w:sz w:val="22"/>
          <w:szCs w:val="22"/>
        </w:rPr>
        <w:t>投标人资格声明</w:t>
      </w:r>
    </w:p>
    <w:p>
      <w:pPr>
        <w:spacing w:line="460" w:lineRule="exact"/>
        <w:rPr>
          <w:rFonts w:hint="eastAsia" w:ascii="楷体" w:hAnsi="楷体" w:eastAsia="楷体" w:cs="Arial"/>
          <w:b/>
          <w:sz w:val="22"/>
          <w:szCs w:val="22"/>
        </w:rPr>
      </w:pPr>
      <w:r>
        <w:rPr>
          <w:rFonts w:hint="eastAsia" w:ascii="楷体" w:hAnsi="楷体" w:eastAsia="楷体" w:cs="Arial"/>
          <w:b/>
          <w:sz w:val="22"/>
          <w:szCs w:val="22"/>
        </w:rPr>
        <w:t>1.   名称及概况：</w:t>
      </w:r>
    </w:p>
    <w:p>
      <w:pPr>
        <w:spacing w:line="460" w:lineRule="exact"/>
        <w:rPr>
          <w:rFonts w:hint="eastAsia" w:ascii="楷体" w:hAnsi="楷体" w:eastAsia="楷体" w:cs="Arial"/>
          <w:sz w:val="22"/>
          <w:szCs w:val="22"/>
        </w:rPr>
      </w:pPr>
      <w:r>
        <w:rPr>
          <w:rFonts w:hint="eastAsia" w:ascii="楷体" w:hAnsi="楷体" w:eastAsia="楷体" w:cs="Arial"/>
          <w:sz w:val="22"/>
          <w:szCs w:val="22"/>
        </w:rPr>
        <w:t>（1）投标供应商名称：</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（2）总部地址：</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传真/电话号码：</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（3）成立和/或注册日期：</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（4）实收资本：</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（5）近期资产负债表（截止</w:t>
      </w:r>
      <w:r>
        <w:rPr>
          <w:rFonts w:hint="eastAsia" w:ascii="楷体" w:hAnsi="楷体" w:eastAsia="楷体" w:cs="Arial"/>
          <w:sz w:val="22"/>
          <w:szCs w:val="22"/>
          <w:u w:val="single"/>
        </w:rPr>
        <w:t xml:space="preserve">       </w:t>
      </w:r>
      <w:r>
        <w:rPr>
          <w:rFonts w:hint="eastAsia" w:ascii="楷体" w:hAnsi="楷体" w:eastAsia="楷体" w:cs="Arial"/>
          <w:sz w:val="22"/>
          <w:szCs w:val="22"/>
        </w:rPr>
        <w:t>年</w:t>
      </w:r>
      <w:r>
        <w:rPr>
          <w:rFonts w:hint="eastAsia" w:ascii="楷体" w:hAnsi="楷体" w:eastAsia="楷体" w:cs="Arial"/>
          <w:sz w:val="22"/>
          <w:szCs w:val="22"/>
          <w:u w:val="single"/>
        </w:rPr>
        <w:t xml:space="preserve">    </w:t>
      </w:r>
      <w:r>
        <w:rPr>
          <w:rFonts w:hint="eastAsia" w:ascii="楷体" w:hAnsi="楷体" w:eastAsia="楷体" w:cs="Arial"/>
          <w:sz w:val="22"/>
          <w:szCs w:val="22"/>
        </w:rPr>
        <w:t>月</w:t>
      </w:r>
      <w:r>
        <w:rPr>
          <w:rFonts w:hint="eastAsia" w:ascii="楷体" w:hAnsi="楷体" w:eastAsia="楷体" w:cs="Arial"/>
          <w:sz w:val="22"/>
          <w:szCs w:val="22"/>
          <w:u w:val="single"/>
        </w:rPr>
        <w:t xml:space="preserve">    </w:t>
      </w:r>
      <w:r>
        <w:rPr>
          <w:rFonts w:hint="eastAsia" w:ascii="楷体" w:hAnsi="楷体" w:eastAsia="楷体" w:cs="Arial"/>
          <w:sz w:val="22"/>
          <w:szCs w:val="22"/>
        </w:rPr>
        <w:t>日）</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1）固定资产：</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2）流动资产：</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3）长期负债：</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4）流动负债：</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5）净值：</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 xml:space="preserve"> （6）主要负责人姓名：</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b/>
          <w:sz w:val="22"/>
          <w:szCs w:val="22"/>
        </w:rPr>
        <w:t>2.   近3年的营业总额：</w:t>
      </w:r>
      <w:r>
        <w:rPr>
          <w:rFonts w:hint="eastAsia" w:ascii="楷体" w:hAnsi="楷体" w:eastAsia="楷体" w:cs="Arial"/>
          <w:b/>
          <w:sz w:val="22"/>
          <w:szCs w:val="22"/>
          <w:u w:val="single"/>
        </w:rPr>
        <w:t xml:space="preserve">                           </w:t>
      </w:r>
      <w:r>
        <w:rPr>
          <w:rFonts w:hint="eastAsia" w:ascii="楷体" w:hAnsi="楷体" w:eastAsia="楷体" w:cs="Arial"/>
          <w:b/>
          <w:sz w:val="22"/>
          <w:szCs w:val="22"/>
        </w:rPr>
        <w:t xml:space="preserve"> </w:t>
      </w:r>
    </w:p>
    <w:p>
      <w:pPr>
        <w:spacing w:line="460" w:lineRule="exact"/>
        <w:rPr>
          <w:rFonts w:hint="eastAsia" w:ascii="楷体" w:hAnsi="楷体" w:eastAsia="楷体" w:cs="Arial"/>
          <w:b/>
          <w:sz w:val="22"/>
          <w:szCs w:val="22"/>
        </w:rPr>
      </w:pPr>
      <w:r>
        <w:rPr>
          <w:rFonts w:hint="eastAsia" w:ascii="楷体" w:hAnsi="楷体" w:eastAsia="楷体" w:cs="Arial"/>
          <w:b/>
          <w:sz w:val="22"/>
          <w:szCs w:val="22"/>
        </w:rPr>
        <w:t>3.   近3年该项服务主要客户的名称地址：</w:t>
      </w:r>
    </w:p>
    <w:p>
      <w:pPr>
        <w:spacing w:line="460" w:lineRule="exact"/>
        <w:ind w:firstLine="550" w:firstLineChars="250"/>
        <w:rPr>
          <w:rFonts w:hint="eastAsia" w:ascii="楷体" w:hAnsi="楷体" w:eastAsia="楷体" w:cs="Arial"/>
          <w:sz w:val="22"/>
          <w:szCs w:val="22"/>
        </w:rPr>
      </w:pPr>
      <w:r>
        <w:rPr>
          <w:rFonts w:hint="eastAsia" w:ascii="楷体" w:hAnsi="楷体" w:eastAsia="楷体" w:cs="Arial"/>
          <w:sz w:val="22"/>
          <w:szCs w:val="22"/>
        </w:rPr>
        <w:t>列表详细说明</w:t>
      </w:r>
    </w:p>
    <w:p>
      <w:pPr>
        <w:spacing w:line="460" w:lineRule="exact"/>
        <w:rPr>
          <w:rFonts w:hint="eastAsia" w:ascii="楷体" w:hAnsi="楷体" w:eastAsia="楷体" w:cs="Arial"/>
          <w:sz w:val="22"/>
          <w:szCs w:val="22"/>
        </w:rPr>
      </w:pPr>
    </w:p>
    <w:p>
      <w:pPr>
        <w:spacing w:line="460" w:lineRule="exact"/>
        <w:rPr>
          <w:rFonts w:hint="eastAsia" w:ascii="楷体" w:hAnsi="楷体" w:eastAsia="楷体" w:cs="Arial"/>
          <w:sz w:val="22"/>
          <w:szCs w:val="22"/>
        </w:rPr>
      </w:pPr>
      <w:r>
        <w:rPr>
          <w:rFonts w:hint="eastAsia" w:ascii="楷体" w:hAnsi="楷体" w:eastAsia="楷体" w:cs="Arial"/>
          <w:sz w:val="22"/>
          <w:szCs w:val="22"/>
        </w:rPr>
        <w:t>法定代表人姓名和职务</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授权代表人签字</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签字日期</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传真</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rPr>
      </w:pPr>
      <w:r>
        <w:rPr>
          <w:rFonts w:hint="eastAsia" w:ascii="楷体" w:hAnsi="楷体" w:eastAsia="楷体" w:cs="Arial"/>
          <w:sz w:val="22"/>
          <w:szCs w:val="22"/>
        </w:rPr>
        <w:t>电话</w:t>
      </w:r>
      <w:r>
        <w:rPr>
          <w:rFonts w:hint="eastAsia" w:ascii="楷体" w:hAnsi="楷体" w:eastAsia="楷体" w:cs="Arial"/>
          <w:sz w:val="22"/>
          <w:szCs w:val="22"/>
          <w:u w:val="single"/>
        </w:rPr>
        <w:t xml:space="preserve">                                       </w:t>
      </w:r>
    </w:p>
    <w:p>
      <w:pPr>
        <w:spacing w:line="460" w:lineRule="exact"/>
        <w:rPr>
          <w:rFonts w:hint="eastAsia" w:ascii="楷体" w:hAnsi="楷体" w:eastAsia="楷体" w:cs="Arial"/>
          <w:sz w:val="22"/>
          <w:szCs w:val="22"/>
          <w:u w:val="single"/>
        </w:rPr>
      </w:pPr>
      <w:r>
        <w:rPr>
          <w:rFonts w:hint="eastAsia" w:ascii="楷体" w:hAnsi="楷体" w:eastAsia="楷体" w:cs="Arial"/>
          <w:sz w:val="22"/>
          <w:szCs w:val="22"/>
        </w:rPr>
        <w:t>电子邮件</w:t>
      </w:r>
      <w:r>
        <w:rPr>
          <w:rFonts w:hint="eastAsia" w:ascii="楷体" w:hAnsi="楷体" w:eastAsia="楷体" w:cs="Arial"/>
          <w:sz w:val="22"/>
          <w:szCs w:val="22"/>
          <w:u w:val="single"/>
        </w:rPr>
        <w:t xml:space="preserve">                                   </w:t>
      </w:r>
    </w:p>
    <w:p>
      <w:pPr>
        <w:spacing w:line="380" w:lineRule="exact"/>
        <w:rPr>
          <w:rFonts w:hint="eastAsia" w:ascii="楷体" w:hAnsi="楷体" w:eastAsia="楷体"/>
          <w:b/>
          <w:sz w:val="22"/>
        </w:rPr>
      </w:pPr>
    </w:p>
    <w:p>
      <w:pPr>
        <w:spacing w:line="380" w:lineRule="exact"/>
        <w:rPr>
          <w:rFonts w:hint="eastAsia" w:ascii="楷体" w:hAnsi="楷体" w:eastAsia="楷体"/>
          <w:b/>
          <w:sz w:val="22"/>
        </w:rPr>
      </w:pPr>
    </w:p>
    <w:p>
      <w:pPr>
        <w:spacing w:line="380" w:lineRule="exact"/>
        <w:jc w:val="center"/>
        <w:rPr>
          <w:rFonts w:ascii="楷体" w:hAnsi="楷体" w:eastAsia="楷体"/>
          <w:b/>
          <w:sz w:val="22"/>
        </w:rPr>
      </w:pPr>
      <w:r>
        <w:rPr>
          <w:rFonts w:hint="eastAsia" w:ascii="楷体" w:hAnsi="楷体" w:eastAsia="楷体"/>
          <w:b/>
          <w:sz w:val="22"/>
        </w:rPr>
        <w:t>（c）有效的营业执照副本、税务登记证</w:t>
      </w:r>
    </w:p>
    <w:p>
      <w:pPr>
        <w:spacing w:line="380" w:lineRule="exact"/>
        <w:jc w:val="center"/>
        <w:rPr>
          <w:rFonts w:hint="eastAsia" w:ascii="楷体" w:hAnsi="楷体" w:eastAsia="楷体"/>
          <w:b/>
          <w:bCs/>
          <w:sz w:val="30"/>
          <w:szCs w:val="30"/>
        </w:rPr>
      </w:pPr>
      <w:r>
        <w:rPr>
          <w:rFonts w:ascii="楷体" w:hAnsi="楷体" w:eastAsia="楷体"/>
          <w:b/>
          <w:sz w:val="22"/>
        </w:rPr>
        <w:br w:type="page"/>
      </w:r>
      <w:r>
        <w:rPr>
          <w:rFonts w:hint="eastAsia" w:ascii="楷体" w:hAnsi="楷体" w:eastAsia="楷体"/>
          <w:b/>
          <w:sz w:val="22"/>
        </w:rPr>
        <w:t>（d）</w:t>
      </w:r>
      <w:r>
        <w:rPr>
          <w:rFonts w:ascii="楷体" w:hAnsi="楷体" w:eastAsia="楷体"/>
          <w:b/>
          <w:sz w:val="22"/>
        </w:rPr>
        <w:t>信用记录查询结果</w:t>
      </w:r>
    </w:p>
    <w:p>
      <w:pPr>
        <w:spacing w:line="400" w:lineRule="exact"/>
        <w:rPr>
          <w:rFonts w:hint="eastAsia" w:ascii="楷体" w:hAnsi="楷体" w:eastAsia="楷体"/>
          <w:szCs w:val="22"/>
        </w:rPr>
      </w:pPr>
      <w:r>
        <w:rPr>
          <w:rFonts w:hint="eastAsia" w:ascii="楷体" w:hAnsi="楷体" w:eastAsia="楷体"/>
          <w:szCs w:val="22"/>
        </w:rPr>
        <w:t>温州市鹿城区人民政府五马街道办事处</w:t>
      </w:r>
      <w:r>
        <w:rPr>
          <w:rFonts w:ascii="楷体" w:hAnsi="楷体" w:eastAsia="楷体"/>
          <w:szCs w:val="22"/>
        </w:rPr>
        <w:t>：</w:t>
      </w:r>
    </w:p>
    <w:p>
      <w:pPr>
        <w:pStyle w:val="13"/>
        <w:spacing w:line="360" w:lineRule="auto"/>
        <w:rPr>
          <w:rFonts w:hint="eastAsia" w:ascii="楷体" w:hAnsi="楷体" w:eastAsia="楷体"/>
          <w:szCs w:val="22"/>
        </w:rPr>
      </w:pPr>
      <w:r>
        <w:rPr>
          <w:rFonts w:ascii="楷体" w:hAnsi="楷体" w:eastAsia="楷体"/>
          <w:szCs w:val="22"/>
        </w:rPr>
        <w:t>宁波国际投资咨询有限公司：</w:t>
      </w:r>
    </w:p>
    <w:p>
      <w:pPr>
        <w:spacing w:line="460" w:lineRule="exact"/>
        <w:ind w:firstLine="420" w:firstLineChars="200"/>
        <w:rPr>
          <w:rFonts w:hint="eastAsia" w:ascii="楷体" w:hAnsi="楷体" w:eastAsia="楷体"/>
          <w:szCs w:val="22"/>
        </w:rPr>
      </w:pPr>
      <w:r>
        <w:rPr>
          <w:rFonts w:ascii="楷体" w:hAnsi="楷体" w:eastAsia="楷体"/>
          <w:szCs w:val="22"/>
        </w:rPr>
        <w:t>现附上截至</w:t>
      </w:r>
      <w:r>
        <w:rPr>
          <w:rFonts w:ascii="楷体" w:hAnsi="楷体" w:eastAsia="楷体"/>
          <w:szCs w:val="22"/>
          <w:u w:val="single"/>
        </w:rPr>
        <w:t xml:space="preserve">    </w:t>
      </w:r>
      <w:r>
        <w:rPr>
          <w:rFonts w:ascii="楷体" w:hAnsi="楷体" w:eastAsia="楷体"/>
          <w:szCs w:val="22"/>
        </w:rPr>
        <w:t>年</w:t>
      </w:r>
      <w:r>
        <w:rPr>
          <w:rFonts w:ascii="楷体" w:hAnsi="楷体" w:eastAsia="楷体"/>
          <w:szCs w:val="22"/>
          <w:u w:val="single"/>
        </w:rPr>
        <w:t xml:space="preserve">   </w:t>
      </w:r>
      <w:r>
        <w:rPr>
          <w:rFonts w:ascii="楷体" w:hAnsi="楷体" w:eastAsia="楷体"/>
          <w:szCs w:val="22"/>
        </w:rPr>
        <w:t>月</w:t>
      </w:r>
      <w:r>
        <w:rPr>
          <w:rFonts w:ascii="楷体" w:hAnsi="楷体" w:eastAsia="楷体"/>
          <w:szCs w:val="22"/>
          <w:u w:val="single"/>
        </w:rPr>
        <w:t xml:space="preserve">   </w:t>
      </w:r>
      <w:r>
        <w:rPr>
          <w:rFonts w:ascii="楷体" w:hAnsi="楷体" w:eastAsia="楷体"/>
          <w:szCs w:val="22"/>
        </w:rPr>
        <w:t>日</w:t>
      </w:r>
      <w:r>
        <w:rPr>
          <w:rFonts w:ascii="楷体" w:hAnsi="楷体" w:eastAsia="楷体"/>
          <w:szCs w:val="22"/>
          <w:u w:val="single"/>
        </w:rPr>
        <w:t xml:space="preserve">   </w:t>
      </w:r>
      <w:r>
        <w:rPr>
          <w:rFonts w:ascii="楷体" w:hAnsi="楷体" w:eastAsia="楷体"/>
          <w:szCs w:val="22"/>
        </w:rPr>
        <w:t xml:space="preserve">时我方通过“信用中国”网站（www.creditchina.gov.cn）获取的我方信用信息查询结果 </w:t>
      </w:r>
      <w:r>
        <w:rPr>
          <w:rFonts w:ascii="楷体" w:hAnsi="楷体" w:eastAsia="楷体"/>
          <w:szCs w:val="22"/>
          <w:u w:val="single"/>
        </w:rPr>
        <w:t xml:space="preserve">（填写具体份数） </w:t>
      </w:r>
      <w:r>
        <w:rPr>
          <w:rFonts w:ascii="楷体" w:hAnsi="楷体" w:eastAsia="楷体"/>
          <w:szCs w:val="22"/>
        </w:rPr>
        <w:t xml:space="preserve">份、通过中国政府采购网（www.ccgp.gov.cn）获取的我方信用信息查询结果 </w:t>
      </w:r>
      <w:r>
        <w:rPr>
          <w:rFonts w:ascii="楷体" w:hAnsi="楷体" w:eastAsia="楷体"/>
          <w:szCs w:val="22"/>
          <w:u w:val="single"/>
        </w:rPr>
        <w:t>（填写具体份数）</w:t>
      </w:r>
      <w:r>
        <w:rPr>
          <w:rFonts w:ascii="楷体" w:hAnsi="楷体" w:eastAsia="楷体"/>
          <w:szCs w:val="22"/>
        </w:rPr>
        <w:t xml:space="preserve"> 份，上述信用信息查询结果真实有效，否则我方负全部责任。</w:t>
      </w:r>
    </w:p>
    <w:p>
      <w:pPr>
        <w:spacing w:line="460" w:lineRule="exact"/>
        <w:ind w:firstLine="420" w:firstLineChars="200"/>
        <w:rPr>
          <w:rFonts w:hint="eastAsia" w:ascii="楷体" w:hAnsi="楷体" w:eastAsia="楷体"/>
          <w:szCs w:val="22"/>
        </w:rPr>
      </w:pPr>
      <w:r>
        <w:rPr>
          <w:rFonts w:ascii="楷体" w:hAnsi="楷体" w:eastAsia="楷体"/>
          <w:szCs w:val="22"/>
        </w:rPr>
        <w:t xml:space="preserve"> </w:t>
      </w:r>
    </w:p>
    <w:p>
      <w:pPr>
        <w:spacing w:line="400" w:lineRule="exact"/>
        <w:ind w:left="211" w:hanging="211" w:hangingChars="100"/>
        <w:rPr>
          <w:rFonts w:hint="eastAsia" w:ascii="楷体" w:hAnsi="楷体" w:eastAsia="楷体"/>
          <w:b/>
          <w:bCs/>
          <w:szCs w:val="22"/>
        </w:rPr>
      </w:pPr>
      <w:r>
        <w:rPr>
          <w:rFonts w:ascii="楷体" w:hAnsi="楷体" w:eastAsia="楷体"/>
          <w:b/>
          <w:bCs/>
          <w:szCs w:val="22"/>
        </w:rPr>
        <w:t>说明：</w:t>
      </w:r>
    </w:p>
    <w:p>
      <w:pPr>
        <w:spacing w:line="400" w:lineRule="exact"/>
        <w:ind w:left="211" w:hanging="211" w:hangingChars="100"/>
        <w:rPr>
          <w:rFonts w:hint="eastAsia" w:ascii="楷体" w:hAnsi="楷体" w:eastAsia="楷体"/>
          <w:b/>
          <w:bCs/>
          <w:szCs w:val="22"/>
        </w:rPr>
      </w:pPr>
      <w:r>
        <w:rPr>
          <w:rFonts w:ascii="楷体" w:hAnsi="楷体" w:eastAsia="楷体"/>
          <w:b/>
          <w:bCs/>
          <w:szCs w:val="22"/>
        </w:rPr>
        <w:t>1、投标人信用信息查询截止时点：招标公告发布之日至投标截止时间前。</w:t>
      </w:r>
    </w:p>
    <w:p>
      <w:pPr>
        <w:spacing w:line="400" w:lineRule="exact"/>
        <w:ind w:left="211" w:hanging="211" w:hangingChars="100"/>
        <w:rPr>
          <w:rFonts w:hint="eastAsia" w:ascii="楷体" w:hAnsi="楷体" w:eastAsia="楷体"/>
          <w:b/>
          <w:bCs/>
          <w:szCs w:val="22"/>
        </w:rPr>
      </w:pPr>
      <w:r>
        <w:rPr>
          <w:rFonts w:ascii="楷体" w:hAnsi="楷体" w:eastAsia="楷体"/>
          <w:b/>
          <w:bCs/>
          <w:szCs w:val="22"/>
        </w:rPr>
        <w:t>2、投标人信用信息查询记录和证据留存的具体方式：网页截图打印；</w:t>
      </w:r>
    </w:p>
    <w:p>
      <w:pPr>
        <w:spacing w:line="400" w:lineRule="exact"/>
        <w:rPr>
          <w:rFonts w:hint="eastAsia" w:ascii="楷体" w:hAnsi="楷体" w:eastAsia="楷体"/>
          <w:b/>
          <w:bCs/>
          <w:szCs w:val="22"/>
        </w:rPr>
      </w:pPr>
      <w:r>
        <w:rPr>
          <w:rFonts w:ascii="楷体" w:hAnsi="楷体" w:eastAsia="楷体"/>
          <w:b/>
          <w:bCs/>
          <w:szCs w:val="22"/>
        </w:rPr>
        <w:t>3、查询内容为“信用中国”(</w:t>
      </w:r>
      <w:r>
        <w:rPr>
          <w:rFonts w:ascii="楷体" w:hAnsi="楷体" w:eastAsia="楷体"/>
          <w:sz w:val="19"/>
        </w:rPr>
        <w:fldChar w:fldCharType="begin"/>
      </w:r>
      <w:r>
        <w:rPr>
          <w:rFonts w:ascii="楷体" w:hAnsi="楷体" w:eastAsia="楷体"/>
          <w:sz w:val="19"/>
        </w:rPr>
        <w:instrText xml:space="preserve"> HYPERLINK "http://www.creditchina.gov.cn" </w:instrText>
      </w:r>
      <w:r>
        <w:rPr>
          <w:rFonts w:ascii="楷体" w:hAnsi="楷体" w:eastAsia="楷体"/>
          <w:sz w:val="19"/>
        </w:rPr>
        <w:fldChar w:fldCharType="separate"/>
      </w:r>
      <w:r>
        <w:rPr>
          <w:rStyle w:val="31"/>
          <w:rFonts w:ascii="楷体" w:hAnsi="楷体" w:eastAsia="楷体"/>
          <w:b/>
          <w:bCs/>
          <w:sz w:val="18"/>
        </w:rPr>
        <w:t>www.creditchina.gov.cn</w:t>
      </w:r>
      <w:r>
        <w:rPr>
          <w:rStyle w:val="31"/>
          <w:rFonts w:ascii="楷体" w:hAnsi="楷体" w:eastAsia="楷体"/>
          <w:b/>
          <w:bCs/>
          <w:sz w:val="18"/>
        </w:rPr>
        <w:fldChar w:fldCharType="end"/>
      </w:r>
      <w:r>
        <w:rPr>
          <w:rFonts w:ascii="楷体" w:hAnsi="楷体" w:eastAsia="楷体"/>
          <w:b/>
          <w:bCs/>
          <w:szCs w:val="22"/>
        </w:rPr>
        <w:t>)中“</w:t>
      </w:r>
      <w:r>
        <w:rPr>
          <w:rFonts w:hint="eastAsia" w:ascii="楷体" w:hAnsi="楷体" w:eastAsia="楷体" w:cs="宋体"/>
          <w:b/>
          <w:bCs/>
          <w:sz w:val="20"/>
          <w:szCs w:val="22"/>
        </w:rPr>
        <w:t>①</w:t>
      </w:r>
      <w:r>
        <w:rPr>
          <w:rFonts w:ascii="楷体" w:hAnsi="楷体" w:eastAsia="楷体"/>
          <w:b/>
          <w:bCs/>
          <w:szCs w:val="22"/>
        </w:rPr>
        <w:t>失信被执行人查询</w:t>
      </w:r>
      <w:r>
        <w:rPr>
          <w:rFonts w:hint="eastAsia" w:ascii="楷体" w:hAnsi="楷体" w:eastAsia="楷体" w:cs="宋体"/>
          <w:b/>
          <w:bCs/>
          <w:sz w:val="20"/>
          <w:szCs w:val="22"/>
        </w:rPr>
        <w:t>②</w:t>
      </w:r>
      <w:r>
        <w:rPr>
          <w:rFonts w:ascii="楷体" w:hAnsi="楷体" w:eastAsia="楷体"/>
          <w:b/>
          <w:bCs/>
          <w:szCs w:val="22"/>
        </w:rPr>
        <w:t>重大税收违法案件当事人名单”，“中国政府采购网”（</w:t>
      </w:r>
      <w:r>
        <w:rPr>
          <w:rFonts w:ascii="楷体" w:hAnsi="楷体" w:eastAsia="楷体"/>
          <w:b/>
          <w:bCs/>
          <w:sz w:val="20"/>
        </w:rPr>
        <w:t>www.ccgp.gov.cn）</w:t>
      </w:r>
      <w:r>
        <w:rPr>
          <w:rFonts w:ascii="楷体" w:hAnsi="楷体" w:eastAsia="楷体"/>
          <w:b/>
          <w:bCs/>
          <w:szCs w:val="22"/>
        </w:rPr>
        <w:t>中“政府采购严重违法失信行为记录名单”。</w:t>
      </w:r>
    </w:p>
    <w:p>
      <w:pPr>
        <w:spacing w:line="400" w:lineRule="exact"/>
        <w:rPr>
          <w:rFonts w:hint="eastAsia" w:ascii="楷体" w:hAnsi="楷体" w:eastAsia="楷体"/>
          <w:b/>
          <w:bCs/>
          <w:szCs w:val="22"/>
        </w:rPr>
      </w:pPr>
      <w:r>
        <w:rPr>
          <w:rFonts w:ascii="楷体" w:hAnsi="楷体" w:eastAsia="楷体"/>
          <w:b/>
          <w:bCs/>
          <w:szCs w:val="22"/>
        </w:rPr>
        <w:t>4、</w:t>
      </w:r>
      <w:r>
        <w:rPr>
          <w:rFonts w:hint="eastAsia" w:ascii="楷体" w:hAnsi="楷体" w:eastAsia="楷体" w:cs="宋体"/>
          <w:b/>
          <w:bCs/>
          <w:sz w:val="20"/>
          <w:szCs w:val="22"/>
          <w:u w:val="single"/>
        </w:rPr>
        <w:t>※</w:t>
      </w:r>
      <w:r>
        <w:rPr>
          <w:rFonts w:ascii="楷体" w:hAnsi="楷体" w:eastAsia="楷体"/>
          <w:b/>
          <w:bCs/>
          <w:szCs w:val="22"/>
          <w:u w:val="single"/>
        </w:rPr>
        <w:t>信用信息的使用规则： 被“信用中国”网站列入失信被执行人、重大税收违法案件当事人名单，或被“中国政府采购网”列入政府采购严重违法失信行为记录名单，其投标无效。</w:t>
      </w:r>
    </w:p>
    <w:p>
      <w:pPr>
        <w:spacing w:line="460" w:lineRule="exact"/>
        <w:rPr>
          <w:rFonts w:hint="eastAsia" w:ascii="楷体" w:hAnsi="楷体" w:eastAsia="楷体"/>
          <w:szCs w:val="22"/>
        </w:rPr>
      </w:pPr>
      <w:r>
        <w:rPr>
          <w:rFonts w:ascii="楷体" w:hAnsi="楷体" w:eastAsia="楷体"/>
          <w:szCs w:val="22"/>
        </w:rPr>
        <w:t xml:space="preserve"> </w:t>
      </w:r>
    </w:p>
    <w:p>
      <w:pPr>
        <w:spacing w:line="460" w:lineRule="exact"/>
        <w:rPr>
          <w:rFonts w:hint="eastAsia" w:ascii="楷体" w:hAnsi="楷体" w:eastAsia="楷体"/>
          <w:b/>
          <w:bCs/>
          <w:szCs w:val="22"/>
        </w:rPr>
      </w:pPr>
      <w:r>
        <w:rPr>
          <w:rFonts w:hint="eastAsia" w:ascii="楷体" w:hAnsi="楷体" w:eastAsia="楷体" w:cs="宋体"/>
          <w:b/>
          <w:bCs/>
          <w:sz w:val="20"/>
          <w:szCs w:val="22"/>
        </w:rPr>
        <w:t>※</w:t>
      </w:r>
      <w:r>
        <w:rPr>
          <w:rFonts w:ascii="楷体" w:hAnsi="楷体" w:eastAsia="楷体"/>
          <w:b/>
          <w:bCs/>
          <w:szCs w:val="22"/>
        </w:rPr>
        <w:t>投标人应同时提供在招标文件要求的时间内通过上述2个网站获取的信用信息查询结果，信用信息查询结果应为从上述2个网站获取的查询结果原始页面的打印件或完整截图，否则投标无效。</w:t>
      </w:r>
    </w:p>
    <w:p>
      <w:pPr>
        <w:spacing w:line="400" w:lineRule="exact"/>
        <w:rPr>
          <w:rFonts w:hint="eastAsia" w:ascii="楷体" w:hAnsi="楷体" w:eastAsia="楷体"/>
          <w:b/>
          <w:bCs/>
          <w:szCs w:val="22"/>
        </w:rPr>
      </w:pPr>
      <w:r>
        <w:rPr>
          <w:rFonts w:ascii="楷体" w:hAnsi="楷体" w:eastAsia="楷体"/>
          <w:b/>
          <w:bCs/>
          <w:szCs w:val="22"/>
        </w:rPr>
        <w:t xml:space="preserve"> </w:t>
      </w:r>
    </w:p>
    <w:p>
      <w:pPr>
        <w:spacing w:line="400" w:lineRule="exact"/>
        <w:rPr>
          <w:rFonts w:hint="eastAsia" w:ascii="楷体" w:hAnsi="楷体" w:eastAsia="楷体"/>
          <w:b/>
          <w:bCs/>
          <w:szCs w:val="22"/>
        </w:rPr>
      </w:pPr>
      <w:r>
        <w:rPr>
          <w:rFonts w:ascii="楷体" w:hAnsi="楷体" w:eastAsia="楷体"/>
          <w:b/>
          <w:bCs/>
          <w:szCs w:val="22"/>
        </w:rPr>
        <w:t xml:space="preserve"> </w:t>
      </w:r>
    </w:p>
    <w:p>
      <w:pPr>
        <w:spacing w:line="360" w:lineRule="auto"/>
        <w:rPr>
          <w:rFonts w:hint="eastAsia" w:ascii="楷体" w:hAnsi="楷体" w:eastAsia="楷体"/>
          <w:szCs w:val="22"/>
        </w:rPr>
      </w:pPr>
      <w:r>
        <w:rPr>
          <w:rFonts w:ascii="楷体" w:hAnsi="楷体" w:eastAsia="楷体"/>
          <w:szCs w:val="22"/>
        </w:rPr>
        <w:t>投标人全称（盖章）：</w:t>
      </w:r>
    </w:p>
    <w:p>
      <w:pPr>
        <w:spacing w:line="360" w:lineRule="auto"/>
        <w:rPr>
          <w:rFonts w:hint="eastAsia" w:ascii="楷体" w:hAnsi="楷体" w:eastAsia="楷体"/>
          <w:szCs w:val="22"/>
        </w:rPr>
      </w:pPr>
      <w:r>
        <w:rPr>
          <w:rFonts w:ascii="楷体" w:hAnsi="楷体" w:eastAsia="楷体"/>
          <w:szCs w:val="22"/>
        </w:rPr>
        <w:t>法定代表人或授权代表（签字）：</w:t>
      </w:r>
    </w:p>
    <w:p>
      <w:pPr>
        <w:spacing w:line="380" w:lineRule="exact"/>
        <w:rPr>
          <w:rFonts w:hint="eastAsia" w:ascii="楷体" w:hAnsi="楷体" w:eastAsia="楷体"/>
          <w:b/>
          <w:bCs/>
          <w:sz w:val="24"/>
          <w:szCs w:val="28"/>
        </w:rPr>
      </w:pPr>
      <w:r>
        <w:rPr>
          <w:rFonts w:ascii="楷体" w:hAnsi="楷体" w:eastAsia="楷体"/>
          <w:szCs w:val="22"/>
        </w:rPr>
        <w:t>日          期：  年  月  日</w:t>
      </w:r>
    </w:p>
    <w:p>
      <w:pPr>
        <w:spacing w:line="460" w:lineRule="exact"/>
        <w:rPr>
          <w:rFonts w:hint="eastAsia" w:ascii="楷体" w:hAnsi="楷体" w:eastAsia="楷体"/>
          <w:b/>
          <w:bCs/>
          <w:sz w:val="22"/>
          <w:szCs w:val="22"/>
        </w:rPr>
      </w:pPr>
      <w:r>
        <w:rPr>
          <w:rFonts w:ascii="楷体" w:hAnsi="楷体" w:eastAsia="楷体"/>
          <w:b/>
          <w:bCs/>
          <w:sz w:val="28"/>
          <w:szCs w:val="28"/>
        </w:rPr>
        <w:br w:type="page"/>
      </w:r>
      <w:r>
        <w:rPr>
          <w:rFonts w:hint="eastAsia" w:ascii="楷体" w:hAnsi="楷体" w:eastAsia="楷体"/>
          <w:b/>
          <w:bCs/>
          <w:sz w:val="22"/>
          <w:szCs w:val="22"/>
        </w:rPr>
        <w:t>附件六</w:t>
      </w:r>
    </w:p>
    <w:p>
      <w:pPr>
        <w:spacing w:line="600" w:lineRule="exact"/>
        <w:rPr>
          <w:rFonts w:hint="eastAsia" w:ascii="楷体" w:hAnsi="楷体" w:eastAsia="楷体"/>
          <w:b/>
          <w:sz w:val="22"/>
        </w:rPr>
      </w:pPr>
      <w:r>
        <w:rPr>
          <w:rFonts w:hint="eastAsia" w:ascii="楷体" w:hAnsi="楷体" w:eastAsia="楷体"/>
          <w:b/>
          <w:sz w:val="22"/>
        </w:rPr>
        <w:t>(b) 诚信投标承诺书</w:t>
      </w:r>
    </w:p>
    <w:p>
      <w:pPr>
        <w:pStyle w:val="13"/>
        <w:snapToGrid w:val="0"/>
        <w:spacing w:line="324" w:lineRule="auto"/>
        <w:jc w:val="center"/>
        <w:rPr>
          <w:rFonts w:hint="eastAsia" w:ascii="楷体" w:hAnsi="楷体" w:eastAsia="楷体"/>
          <w:b/>
          <w:sz w:val="30"/>
        </w:rPr>
      </w:pPr>
      <w:r>
        <w:rPr>
          <w:rFonts w:hint="eastAsia" w:ascii="楷体" w:hAnsi="楷体" w:eastAsia="楷体"/>
          <w:b/>
          <w:sz w:val="30"/>
        </w:rPr>
        <w:t>诚信投标承诺书</w:t>
      </w:r>
    </w:p>
    <w:p>
      <w:pPr>
        <w:spacing w:line="440" w:lineRule="exact"/>
        <w:ind w:right="-153" w:rightChars="-73"/>
        <w:rPr>
          <w:rFonts w:hint="eastAsia" w:ascii="楷体" w:hAnsi="楷体" w:eastAsia="楷体"/>
          <w:sz w:val="22"/>
          <w:szCs w:val="22"/>
        </w:rPr>
      </w:pPr>
      <w:r>
        <w:rPr>
          <w:rFonts w:hint="eastAsia" w:ascii="楷体" w:hAnsi="楷体" w:eastAsia="楷体"/>
          <w:sz w:val="22"/>
          <w:szCs w:val="22"/>
        </w:rPr>
        <w:t>本企业郑重承诺：</w:t>
      </w:r>
    </w:p>
    <w:p>
      <w:pPr>
        <w:spacing w:line="440" w:lineRule="exact"/>
        <w:ind w:firstLine="440" w:firstLineChars="200"/>
        <w:rPr>
          <w:rFonts w:hint="eastAsia" w:ascii="楷体" w:hAnsi="楷体" w:eastAsia="楷体"/>
          <w:sz w:val="22"/>
          <w:szCs w:val="22"/>
        </w:rPr>
      </w:pPr>
      <w:r>
        <w:rPr>
          <w:rFonts w:hint="eastAsia" w:ascii="楷体" w:hAnsi="楷体" w:eastAsia="楷体"/>
          <w:sz w:val="22"/>
          <w:szCs w:val="22"/>
        </w:rPr>
        <w:t>为了积极配合贵公司组织的</w:t>
      </w:r>
      <w:r>
        <w:rPr>
          <w:rFonts w:hint="eastAsia" w:ascii="楷体" w:hAnsi="楷体" w:eastAsia="楷体"/>
          <w:sz w:val="22"/>
          <w:szCs w:val="22"/>
          <w:u w:val="single"/>
        </w:rPr>
        <w:t xml:space="preserve"> （项目名称） </w:t>
      </w:r>
      <w:r>
        <w:rPr>
          <w:rFonts w:hint="eastAsia" w:ascii="楷体" w:hAnsi="楷体" w:eastAsia="楷体"/>
          <w:sz w:val="22"/>
          <w:szCs w:val="22"/>
        </w:rPr>
        <w:t>招标工作，有效遏制不公平竞争和违规违纪问题的发生，确保招标工作的公平、公正、公开，我们保证认真贯彻</w:t>
      </w:r>
      <w:r>
        <w:rPr>
          <w:rFonts w:hint="eastAsia" w:ascii="楷体" w:hAnsi="楷体" w:eastAsia="楷体" w:cs="Univers LT Std 57 Cn"/>
          <w:sz w:val="22"/>
          <w:szCs w:val="22"/>
        </w:rPr>
        <w:t>《中华人民共和国政府采购法》、《中华人民共和国政府采购法实施条例》、《政府采购货物和服务招标投标管理办法》和《关于进一步规范政府采购活动的若干意见》等法律及有关法规</w:t>
      </w:r>
      <w:r>
        <w:rPr>
          <w:rFonts w:hint="eastAsia" w:ascii="楷体" w:hAnsi="楷体" w:eastAsia="楷体"/>
          <w:sz w:val="22"/>
          <w:szCs w:val="22"/>
        </w:rPr>
        <w:t>相关规定以及有关廉洁要求，特承诺如下事项：</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1、自觉遵守国家法律法规及有关廉政建设制度。</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2、主动了解招标人招投标纪律，积极配合招标人执行招投标廉政建设的有关规定。</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3、不使用不正当手段妨碍、诋毁、排挤其它投标人或串通投标。</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4、按照本招标文件规定的方式进行投标，不隐瞒本单位投标资质的真实情况，投标资质符合规定，投标文件中所提供的资料全部真实、合法。</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6、不向招标人及个人购置或提供通讯工具、交通工具和高档办公用品等。</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7、不向招标人涉及招标的人员的配偶、子女分包此次招标项目。</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8、不向招标人及个人支付好处费、介绍费。</w:t>
      </w:r>
    </w:p>
    <w:p>
      <w:pPr>
        <w:snapToGrid w:val="0"/>
        <w:spacing w:line="440" w:lineRule="exact"/>
        <w:ind w:firstLine="385" w:firstLineChars="175"/>
        <w:rPr>
          <w:rFonts w:hint="eastAsia" w:ascii="楷体" w:hAnsi="楷体" w:eastAsia="楷体"/>
          <w:sz w:val="22"/>
          <w:szCs w:val="22"/>
        </w:rPr>
      </w:pPr>
      <w:r>
        <w:rPr>
          <w:rFonts w:hint="eastAsia" w:ascii="楷体" w:hAnsi="楷体" w:eastAsia="楷体"/>
          <w:sz w:val="22"/>
          <w:szCs w:val="22"/>
        </w:rPr>
        <w:t>9、一旦发现相关人员在招标过程中的索要财物等不廉洁行为，坚决予以抵制，并及时向有关纪检监察部门举报。</w:t>
      </w:r>
    </w:p>
    <w:p>
      <w:pPr>
        <w:snapToGrid w:val="0"/>
        <w:spacing w:line="440" w:lineRule="exact"/>
        <w:ind w:firstLine="387" w:firstLineChars="175"/>
        <w:rPr>
          <w:rFonts w:hint="eastAsia" w:ascii="楷体" w:hAnsi="楷体" w:eastAsia="楷体"/>
          <w:b/>
          <w:sz w:val="22"/>
          <w:szCs w:val="22"/>
        </w:rPr>
      </w:pPr>
      <w:r>
        <w:rPr>
          <w:rFonts w:hint="eastAsia" w:ascii="楷体" w:hAnsi="楷体" w:eastAsia="楷体"/>
          <w:b/>
          <w:sz w:val="22"/>
          <w:szCs w:val="22"/>
        </w:rPr>
        <w:t>10、我单位保证在投标过程中无弄虚作假，提供资料均真实有效。投标人及其法定代表人、拟派项目负责人均无不良行为记录和行贿记录。投标人及其法定代表人、拟派项目负责人均未</w:t>
      </w:r>
      <w:r>
        <w:rPr>
          <w:rFonts w:hint="eastAsia" w:ascii="楷体" w:hAnsi="楷体" w:eastAsia="楷体" w:cs="宋体"/>
          <w:b/>
          <w:kern w:val="0"/>
          <w:sz w:val="22"/>
          <w:szCs w:val="22"/>
        </w:rPr>
        <w:t>被温州市法院列入限制失信被执行人投标资格名单。</w:t>
      </w:r>
    </w:p>
    <w:p>
      <w:pPr>
        <w:snapToGrid w:val="0"/>
        <w:spacing w:line="440" w:lineRule="exact"/>
        <w:ind w:firstLine="387" w:firstLineChars="175"/>
        <w:rPr>
          <w:rFonts w:hint="eastAsia" w:ascii="楷体" w:hAnsi="楷体" w:eastAsia="楷体"/>
          <w:sz w:val="22"/>
          <w:szCs w:val="22"/>
        </w:rPr>
      </w:pPr>
      <w:r>
        <w:rPr>
          <w:rFonts w:hint="eastAsia" w:ascii="楷体" w:hAnsi="楷体" w:eastAsia="楷体"/>
          <w:b/>
          <w:sz w:val="22"/>
          <w:szCs w:val="22"/>
        </w:rPr>
        <w:t>11、若违反上述承诺或被发现不符合以上情况，将被取消投标资格（或中标资格），已经签订合同的，终止合同，没收履约保证金并承担违约赔偿责任；无条件接受有关监管单位的任何处罚。</w:t>
      </w:r>
    </w:p>
    <w:p>
      <w:pPr>
        <w:spacing w:line="440" w:lineRule="exact"/>
        <w:rPr>
          <w:rFonts w:hint="eastAsia" w:ascii="楷体" w:hAnsi="楷体" w:eastAsia="楷体"/>
          <w:sz w:val="22"/>
          <w:szCs w:val="22"/>
        </w:rPr>
      </w:pPr>
      <w:r>
        <w:rPr>
          <w:rFonts w:hint="eastAsia" w:ascii="楷体" w:hAnsi="楷体" w:eastAsia="楷体"/>
          <w:sz w:val="22"/>
          <w:szCs w:val="22"/>
        </w:rPr>
        <w:t xml:space="preserve">                                                   投标人全称(盖章)</w:t>
      </w:r>
      <w:r>
        <w:rPr>
          <w:rFonts w:hint="eastAsia" w:ascii="楷体" w:hAnsi="楷体" w:eastAsia="楷体"/>
          <w:sz w:val="22"/>
          <w:szCs w:val="22"/>
          <w:u w:val="single"/>
        </w:rPr>
        <w:t xml:space="preserve">                    </w:t>
      </w:r>
    </w:p>
    <w:p>
      <w:pPr>
        <w:spacing w:line="440" w:lineRule="exact"/>
        <w:rPr>
          <w:rFonts w:hint="eastAsia" w:ascii="楷体" w:hAnsi="楷体" w:eastAsia="楷体"/>
          <w:sz w:val="22"/>
          <w:szCs w:val="22"/>
        </w:rPr>
      </w:pPr>
      <w:r>
        <w:rPr>
          <w:rFonts w:hint="eastAsia" w:ascii="楷体" w:hAnsi="楷体" w:eastAsia="楷体"/>
          <w:sz w:val="22"/>
          <w:szCs w:val="22"/>
        </w:rPr>
        <w:t xml:space="preserve">                                                   法定代表人或授权代表（签字）</w:t>
      </w:r>
      <w:r>
        <w:rPr>
          <w:rFonts w:hint="eastAsia" w:ascii="楷体" w:hAnsi="楷体" w:eastAsia="楷体"/>
          <w:sz w:val="22"/>
          <w:szCs w:val="22"/>
          <w:u w:val="single"/>
        </w:rPr>
        <w:t xml:space="preserve">                    </w:t>
      </w:r>
    </w:p>
    <w:p>
      <w:pPr>
        <w:spacing w:line="440" w:lineRule="exact"/>
        <w:rPr>
          <w:rFonts w:hint="eastAsia" w:ascii="楷体" w:hAnsi="楷体" w:eastAsia="楷体"/>
          <w:sz w:val="22"/>
          <w:szCs w:val="22"/>
          <w:u w:val="single"/>
        </w:rPr>
      </w:pPr>
      <w:r>
        <w:rPr>
          <w:rFonts w:hint="eastAsia" w:ascii="楷体" w:hAnsi="楷体" w:eastAsia="楷体"/>
          <w:sz w:val="22"/>
          <w:szCs w:val="22"/>
        </w:rPr>
        <w:t xml:space="preserve">                                                   日 期</w:t>
      </w:r>
      <w:r>
        <w:rPr>
          <w:rFonts w:hint="eastAsia" w:ascii="楷体" w:hAnsi="楷体" w:eastAsia="楷体"/>
          <w:sz w:val="22"/>
          <w:szCs w:val="22"/>
          <w:u w:val="single"/>
        </w:rPr>
        <w:t xml:space="preserve">                              </w:t>
      </w:r>
    </w:p>
    <w:p>
      <w:pPr>
        <w:spacing w:line="440" w:lineRule="exact"/>
        <w:rPr>
          <w:rFonts w:hint="eastAsia" w:ascii="楷体" w:hAnsi="楷体" w:eastAsia="楷体"/>
          <w:sz w:val="22"/>
          <w:szCs w:val="22"/>
          <w:u w:val="single"/>
        </w:rPr>
      </w:pPr>
    </w:p>
    <w:p>
      <w:pPr>
        <w:spacing w:line="440" w:lineRule="exact"/>
        <w:rPr>
          <w:rFonts w:hint="eastAsia" w:ascii="楷体" w:hAnsi="楷体" w:eastAsia="楷体"/>
          <w:b/>
          <w:sz w:val="22"/>
        </w:rPr>
      </w:pPr>
      <w:r>
        <w:rPr>
          <w:rFonts w:hint="eastAsia" w:ascii="楷体" w:hAnsi="楷体" w:eastAsia="楷体"/>
          <w:b/>
          <w:bCs/>
          <w:szCs w:val="21"/>
        </w:rPr>
        <w:t>▲</w:t>
      </w:r>
      <w:r>
        <w:rPr>
          <w:rFonts w:hint="eastAsia" w:ascii="楷体" w:hAnsi="楷体" w:eastAsia="楷体"/>
          <w:b/>
          <w:sz w:val="22"/>
          <w:szCs w:val="22"/>
        </w:rPr>
        <w:t>注：本承诺书格式不得修改，不提交本承诺书将按无效标处理。</w:t>
      </w:r>
    </w:p>
    <w:p>
      <w:pPr>
        <w:spacing w:line="600" w:lineRule="exact"/>
        <w:jc w:val="left"/>
        <w:rPr>
          <w:rFonts w:hint="eastAsia" w:ascii="楷体" w:hAnsi="楷体" w:eastAsia="楷体"/>
          <w:b/>
          <w:bCs/>
          <w:sz w:val="22"/>
          <w:szCs w:val="22"/>
        </w:rPr>
      </w:pPr>
      <w:r>
        <w:rPr>
          <w:rFonts w:hint="eastAsia" w:ascii="楷体" w:hAnsi="楷体" w:eastAsia="楷体"/>
          <w:b/>
          <w:bCs/>
          <w:sz w:val="22"/>
          <w:szCs w:val="22"/>
        </w:rPr>
        <w:br w:type="page"/>
      </w:r>
      <w:r>
        <w:rPr>
          <w:rFonts w:hint="eastAsia" w:ascii="楷体" w:hAnsi="楷体" w:eastAsia="楷体"/>
          <w:b/>
          <w:sz w:val="22"/>
        </w:rPr>
        <w:t>（c）</w:t>
      </w:r>
    </w:p>
    <w:p>
      <w:pPr>
        <w:spacing w:line="600" w:lineRule="exact"/>
        <w:jc w:val="center"/>
        <w:rPr>
          <w:rFonts w:hint="eastAsia" w:ascii="楷体" w:hAnsi="楷体" w:eastAsia="楷体"/>
          <w:b/>
          <w:sz w:val="28"/>
        </w:rPr>
      </w:pPr>
      <w:r>
        <w:rPr>
          <w:rFonts w:hint="eastAsia" w:ascii="楷体" w:hAnsi="楷体" w:eastAsia="楷体"/>
          <w:b/>
          <w:sz w:val="22"/>
        </w:rPr>
        <w:t>投标人近三年内（2016</w:t>
      </w:r>
      <w:r>
        <w:rPr>
          <w:rFonts w:hint="eastAsia" w:ascii="楷体" w:hAnsi="楷体" w:eastAsia="楷体" w:cs="宋体"/>
          <w:b/>
          <w:sz w:val="22"/>
        </w:rPr>
        <w:t>年</w:t>
      </w:r>
      <w:r>
        <w:rPr>
          <w:rFonts w:hint="eastAsia" w:ascii="楷体" w:hAnsi="楷体" w:eastAsia="楷体"/>
          <w:b/>
          <w:sz w:val="22"/>
        </w:rPr>
        <w:t>6</w:t>
      </w:r>
      <w:r>
        <w:rPr>
          <w:rFonts w:hint="eastAsia" w:ascii="楷体" w:hAnsi="楷体" w:eastAsia="楷体" w:cs="宋体"/>
          <w:b/>
          <w:sz w:val="22"/>
        </w:rPr>
        <w:t>月</w:t>
      </w:r>
      <w:r>
        <w:rPr>
          <w:rFonts w:hint="eastAsia" w:ascii="楷体" w:hAnsi="楷体" w:eastAsia="楷体"/>
          <w:b/>
          <w:sz w:val="22"/>
        </w:rPr>
        <w:t>1</w:t>
      </w:r>
      <w:r>
        <w:rPr>
          <w:rFonts w:hint="eastAsia" w:ascii="楷体" w:hAnsi="楷体" w:eastAsia="楷体" w:cs="宋体"/>
          <w:b/>
          <w:sz w:val="22"/>
        </w:rPr>
        <w:t>日</w:t>
      </w:r>
      <w:r>
        <w:rPr>
          <w:rFonts w:hint="eastAsia" w:ascii="楷体" w:hAnsi="楷体" w:eastAsia="楷体"/>
          <w:b/>
          <w:sz w:val="22"/>
        </w:rPr>
        <w:t>至今）道路保洁服务业绩表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800"/>
        <w:gridCol w:w="2274"/>
        <w:gridCol w:w="1506"/>
        <w:gridCol w:w="1441"/>
        <w:gridCol w:w="1259"/>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r>
              <w:rPr>
                <w:rFonts w:hint="eastAsia" w:ascii="楷体" w:hAnsi="楷体" w:eastAsia="楷体"/>
                <w:sz w:val="22"/>
                <w:szCs w:val="22"/>
              </w:rPr>
              <w:t>序号</w:t>
            </w:r>
          </w:p>
        </w:tc>
        <w:tc>
          <w:tcPr>
            <w:tcW w:w="1800" w:type="dxa"/>
            <w:noWrap w:val="0"/>
            <w:vAlign w:val="center"/>
          </w:tcPr>
          <w:p>
            <w:pPr>
              <w:jc w:val="center"/>
              <w:rPr>
                <w:rFonts w:hint="eastAsia" w:ascii="楷体" w:hAnsi="楷体" w:eastAsia="楷体"/>
                <w:sz w:val="22"/>
                <w:szCs w:val="22"/>
              </w:rPr>
            </w:pPr>
            <w:r>
              <w:rPr>
                <w:rFonts w:hint="eastAsia" w:ascii="楷体" w:hAnsi="楷体" w:eastAsia="楷体"/>
                <w:sz w:val="22"/>
                <w:szCs w:val="22"/>
              </w:rPr>
              <w:t>项目名称</w:t>
            </w:r>
          </w:p>
        </w:tc>
        <w:tc>
          <w:tcPr>
            <w:tcW w:w="2274" w:type="dxa"/>
            <w:noWrap w:val="0"/>
            <w:vAlign w:val="center"/>
          </w:tcPr>
          <w:p>
            <w:pPr>
              <w:jc w:val="center"/>
              <w:rPr>
                <w:rFonts w:hint="eastAsia" w:ascii="楷体" w:hAnsi="楷体" w:eastAsia="楷体"/>
                <w:sz w:val="22"/>
                <w:szCs w:val="22"/>
              </w:rPr>
            </w:pPr>
            <w:r>
              <w:rPr>
                <w:rFonts w:hint="eastAsia" w:ascii="楷体" w:hAnsi="楷体" w:eastAsia="楷体"/>
                <w:sz w:val="22"/>
                <w:szCs w:val="22"/>
              </w:rPr>
              <w:t>采购单位名称/项目所在地</w:t>
            </w:r>
          </w:p>
        </w:tc>
        <w:tc>
          <w:tcPr>
            <w:tcW w:w="1506" w:type="dxa"/>
            <w:noWrap w:val="0"/>
            <w:vAlign w:val="center"/>
          </w:tcPr>
          <w:p>
            <w:pPr>
              <w:jc w:val="center"/>
              <w:rPr>
                <w:rFonts w:hint="eastAsia" w:ascii="楷体" w:hAnsi="楷体" w:eastAsia="楷体"/>
                <w:sz w:val="22"/>
                <w:szCs w:val="22"/>
              </w:rPr>
            </w:pPr>
            <w:r>
              <w:rPr>
                <w:rFonts w:hint="eastAsia" w:ascii="楷体" w:hAnsi="楷体" w:eastAsia="楷体"/>
                <w:sz w:val="22"/>
                <w:szCs w:val="22"/>
              </w:rPr>
              <w:t>城市道路清扫保洁面积</w:t>
            </w:r>
          </w:p>
        </w:tc>
        <w:tc>
          <w:tcPr>
            <w:tcW w:w="1441" w:type="dxa"/>
            <w:noWrap w:val="0"/>
            <w:vAlign w:val="center"/>
          </w:tcPr>
          <w:p>
            <w:pPr>
              <w:jc w:val="center"/>
              <w:rPr>
                <w:rFonts w:hint="eastAsia" w:ascii="楷体" w:hAnsi="楷体" w:eastAsia="楷体"/>
                <w:sz w:val="22"/>
                <w:szCs w:val="22"/>
              </w:rPr>
            </w:pPr>
            <w:r>
              <w:rPr>
                <w:rFonts w:hint="eastAsia" w:ascii="楷体" w:hAnsi="楷体" w:eastAsia="楷体"/>
                <w:sz w:val="22"/>
                <w:szCs w:val="22"/>
              </w:rPr>
              <w:t>合同时间</w:t>
            </w:r>
          </w:p>
        </w:tc>
        <w:tc>
          <w:tcPr>
            <w:tcW w:w="1259" w:type="dxa"/>
            <w:noWrap w:val="0"/>
            <w:vAlign w:val="center"/>
          </w:tcPr>
          <w:p>
            <w:pPr>
              <w:jc w:val="center"/>
              <w:rPr>
                <w:rFonts w:hint="eastAsia" w:ascii="楷体" w:hAnsi="楷体" w:eastAsia="楷体"/>
                <w:sz w:val="22"/>
                <w:szCs w:val="22"/>
              </w:rPr>
            </w:pPr>
            <w:r>
              <w:rPr>
                <w:rFonts w:hint="eastAsia" w:ascii="楷体" w:hAnsi="楷体" w:eastAsia="楷体"/>
                <w:sz w:val="22"/>
                <w:szCs w:val="22"/>
              </w:rPr>
              <w:t>合同金额</w:t>
            </w:r>
          </w:p>
        </w:tc>
        <w:tc>
          <w:tcPr>
            <w:tcW w:w="1106" w:type="dxa"/>
            <w:noWrap w:val="0"/>
            <w:vAlign w:val="center"/>
          </w:tcPr>
          <w:p>
            <w:pPr>
              <w:jc w:val="center"/>
              <w:rPr>
                <w:rFonts w:hint="eastAsia" w:ascii="楷体" w:hAnsi="楷体" w:eastAsia="楷体"/>
                <w:sz w:val="22"/>
                <w:szCs w:val="22"/>
              </w:rPr>
            </w:pPr>
            <w:r>
              <w:rPr>
                <w:rFonts w:hint="eastAsia" w:ascii="楷体" w:hAnsi="楷体" w:eastAsia="楷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jc w:val="cente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468" w:type="dxa"/>
            <w:noWrap w:val="0"/>
            <w:vAlign w:val="center"/>
          </w:tcPr>
          <w:p>
            <w:pPr>
              <w:rPr>
                <w:rFonts w:hint="eastAsia" w:ascii="楷体" w:hAnsi="楷体" w:eastAsia="楷体"/>
                <w:sz w:val="22"/>
                <w:szCs w:val="22"/>
              </w:rPr>
            </w:pPr>
          </w:p>
        </w:tc>
        <w:tc>
          <w:tcPr>
            <w:tcW w:w="1800" w:type="dxa"/>
            <w:noWrap w:val="0"/>
            <w:vAlign w:val="center"/>
          </w:tcPr>
          <w:p>
            <w:pPr>
              <w:jc w:val="center"/>
              <w:rPr>
                <w:rFonts w:hint="eastAsia" w:ascii="楷体" w:hAnsi="楷体" w:eastAsia="楷体"/>
                <w:sz w:val="22"/>
                <w:szCs w:val="22"/>
              </w:rPr>
            </w:pPr>
          </w:p>
        </w:tc>
        <w:tc>
          <w:tcPr>
            <w:tcW w:w="2274" w:type="dxa"/>
            <w:noWrap w:val="0"/>
            <w:vAlign w:val="center"/>
          </w:tcPr>
          <w:p>
            <w:pPr>
              <w:jc w:val="center"/>
              <w:rPr>
                <w:rFonts w:hint="eastAsia" w:ascii="楷体" w:hAnsi="楷体" w:eastAsia="楷体"/>
                <w:sz w:val="22"/>
                <w:szCs w:val="22"/>
              </w:rPr>
            </w:pPr>
          </w:p>
        </w:tc>
        <w:tc>
          <w:tcPr>
            <w:tcW w:w="1506" w:type="dxa"/>
            <w:noWrap w:val="0"/>
            <w:vAlign w:val="center"/>
          </w:tcPr>
          <w:p>
            <w:pPr>
              <w:jc w:val="center"/>
              <w:rPr>
                <w:rFonts w:hint="eastAsia" w:ascii="楷体" w:hAnsi="楷体" w:eastAsia="楷体"/>
                <w:sz w:val="22"/>
                <w:szCs w:val="22"/>
              </w:rPr>
            </w:pPr>
          </w:p>
        </w:tc>
        <w:tc>
          <w:tcPr>
            <w:tcW w:w="1441" w:type="dxa"/>
            <w:noWrap w:val="0"/>
            <w:vAlign w:val="center"/>
          </w:tcPr>
          <w:p>
            <w:pPr>
              <w:jc w:val="center"/>
              <w:rPr>
                <w:rFonts w:hint="eastAsia" w:ascii="楷体" w:hAnsi="楷体" w:eastAsia="楷体"/>
                <w:sz w:val="22"/>
                <w:szCs w:val="22"/>
              </w:rPr>
            </w:pPr>
          </w:p>
        </w:tc>
        <w:tc>
          <w:tcPr>
            <w:tcW w:w="1259" w:type="dxa"/>
            <w:noWrap w:val="0"/>
            <w:vAlign w:val="center"/>
          </w:tcPr>
          <w:p>
            <w:pPr>
              <w:jc w:val="center"/>
              <w:rPr>
                <w:rFonts w:hint="eastAsia" w:ascii="楷体" w:hAnsi="楷体" w:eastAsia="楷体"/>
                <w:sz w:val="22"/>
                <w:szCs w:val="22"/>
              </w:rPr>
            </w:pPr>
          </w:p>
        </w:tc>
        <w:tc>
          <w:tcPr>
            <w:tcW w:w="1106" w:type="dxa"/>
            <w:noWrap w:val="0"/>
            <w:vAlign w:val="center"/>
          </w:tcPr>
          <w:p>
            <w:pPr>
              <w:jc w:val="center"/>
              <w:rPr>
                <w:rFonts w:hint="eastAsia" w:ascii="楷体" w:hAnsi="楷体" w:eastAsia="楷体"/>
                <w:sz w:val="22"/>
                <w:szCs w:val="22"/>
              </w:rPr>
            </w:pPr>
          </w:p>
        </w:tc>
      </w:tr>
    </w:tbl>
    <w:p>
      <w:pPr>
        <w:spacing w:line="380" w:lineRule="exact"/>
        <w:rPr>
          <w:rFonts w:hint="eastAsia" w:ascii="楷体" w:hAnsi="楷体" w:eastAsia="楷体"/>
          <w:sz w:val="22"/>
          <w:szCs w:val="22"/>
        </w:rPr>
      </w:pPr>
      <w:r>
        <w:rPr>
          <w:rFonts w:hint="eastAsia" w:ascii="楷体" w:hAnsi="楷体" w:eastAsia="楷体"/>
          <w:sz w:val="22"/>
          <w:szCs w:val="22"/>
        </w:rPr>
        <w:t>1、表格后附合同、中标通知书（复印件加盖公章，原件提供核对）</w:t>
      </w:r>
    </w:p>
    <w:p>
      <w:pPr>
        <w:spacing w:line="380" w:lineRule="exact"/>
        <w:rPr>
          <w:rFonts w:hint="eastAsia" w:ascii="楷体" w:hAnsi="楷体" w:eastAsia="楷体"/>
          <w:sz w:val="22"/>
          <w:szCs w:val="22"/>
        </w:rPr>
      </w:pPr>
      <w:r>
        <w:rPr>
          <w:rFonts w:hint="eastAsia" w:ascii="楷体" w:hAnsi="楷体" w:eastAsia="楷体"/>
          <w:sz w:val="22"/>
          <w:szCs w:val="22"/>
        </w:rPr>
        <w:t>2、本表可在不改变格式的情况下根据具体需要自行增减。</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投标人全称（盖章）：</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法定代表人或授权代表（签字）：</w:t>
      </w:r>
    </w:p>
    <w:p>
      <w:pPr>
        <w:spacing w:line="380" w:lineRule="exact"/>
        <w:ind w:firstLine="4400" w:firstLineChars="2000"/>
        <w:rPr>
          <w:rFonts w:ascii="楷体" w:hAnsi="楷体" w:eastAsia="楷体"/>
          <w:sz w:val="22"/>
          <w:szCs w:val="22"/>
        </w:rPr>
      </w:pPr>
      <w:r>
        <w:rPr>
          <w:rFonts w:hint="eastAsia" w:ascii="楷体" w:hAnsi="楷体" w:eastAsia="楷体"/>
          <w:sz w:val="22"/>
          <w:szCs w:val="22"/>
        </w:rPr>
        <w:t>日期：  年   月  日</w:t>
      </w:r>
    </w:p>
    <w:p>
      <w:pPr>
        <w:spacing w:line="380" w:lineRule="exact"/>
        <w:rPr>
          <w:rFonts w:hint="eastAsia" w:ascii="楷体" w:hAnsi="楷体" w:eastAsia="楷体"/>
          <w:sz w:val="28"/>
        </w:rPr>
      </w:pPr>
      <w:r>
        <w:rPr>
          <w:rFonts w:ascii="楷体" w:hAnsi="楷体" w:eastAsia="楷体"/>
          <w:sz w:val="22"/>
          <w:szCs w:val="22"/>
        </w:rPr>
        <w:br w:type="page"/>
      </w:r>
      <w:r>
        <w:rPr>
          <w:rFonts w:hint="eastAsia" w:ascii="楷体" w:hAnsi="楷体" w:eastAsia="楷体"/>
          <w:b/>
          <w:bCs/>
          <w:sz w:val="22"/>
          <w:szCs w:val="22"/>
        </w:rPr>
        <w:t>附件六-1</w:t>
      </w:r>
    </w:p>
    <w:p>
      <w:pPr>
        <w:spacing w:line="380" w:lineRule="exact"/>
        <w:rPr>
          <w:rFonts w:hint="eastAsia" w:ascii="楷体" w:hAnsi="楷体" w:eastAsia="楷体"/>
          <w:b/>
          <w:sz w:val="22"/>
          <w:szCs w:val="22"/>
        </w:rPr>
      </w:pPr>
    </w:p>
    <w:p>
      <w:pPr>
        <w:pStyle w:val="13"/>
        <w:spacing w:line="400" w:lineRule="atLeast"/>
        <w:ind w:left="1"/>
        <w:jc w:val="center"/>
        <w:rPr>
          <w:rFonts w:hint="eastAsia" w:ascii="楷体" w:hAnsi="楷体" w:eastAsia="楷体"/>
          <w:b/>
          <w:sz w:val="28"/>
        </w:rPr>
      </w:pPr>
      <w:r>
        <w:rPr>
          <w:rFonts w:hint="eastAsia" w:ascii="楷体" w:hAnsi="楷体" w:eastAsia="楷体"/>
          <w:b/>
          <w:sz w:val="28"/>
        </w:rPr>
        <w:t>项目组负责人简历表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49"/>
        <w:gridCol w:w="1838"/>
        <w:gridCol w:w="1601"/>
        <w:gridCol w:w="1742"/>
        <w:gridCol w:w="146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1" w:hRule="atLeast"/>
          <w:jc w:val="center"/>
        </w:trPr>
        <w:tc>
          <w:tcPr>
            <w:tcW w:w="9734" w:type="dxa"/>
            <w:gridSpan w:val="7"/>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489" w:type="dxa"/>
            <w:gridSpan w:val="2"/>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姓   名</w:t>
            </w:r>
          </w:p>
        </w:tc>
        <w:tc>
          <w:tcPr>
            <w:tcW w:w="1838" w:type="dxa"/>
            <w:noWrap w:val="0"/>
            <w:vAlign w:val="center"/>
          </w:tcPr>
          <w:p>
            <w:pPr>
              <w:spacing w:line="360" w:lineRule="exact"/>
              <w:jc w:val="center"/>
              <w:rPr>
                <w:rFonts w:hint="eastAsia" w:ascii="楷体" w:hAnsi="楷体" w:eastAsia="楷体"/>
                <w:sz w:val="22"/>
                <w:szCs w:val="22"/>
              </w:rPr>
            </w:pPr>
          </w:p>
        </w:tc>
        <w:tc>
          <w:tcPr>
            <w:tcW w:w="1601"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年  龄</w:t>
            </w:r>
          </w:p>
        </w:tc>
        <w:tc>
          <w:tcPr>
            <w:tcW w:w="1742" w:type="dxa"/>
            <w:noWrap w:val="0"/>
            <w:vAlign w:val="center"/>
          </w:tcPr>
          <w:p>
            <w:pPr>
              <w:spacing w:line="360" w:lineRule="exact"/>
              <w:jc w:val="center"/>
              <w:rPr>
                <w:rFonts w:hint="eastAsia" w:ascii="楷体" w:hAnsi="楷体" w:eastAsia="楷体"/>
                <w:sz w:val="22"/>
                <w:szCs w:val="22"/>
              </w:rPr>
            </w:pPr>
          </w:p>
        </w:tc>
        <w:tc>
          <w:tcPr>
            <w:tcW w:w="1462"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学  历</w:t>
            </w:r>
          </w:p>
        </w:tc>
        <w:tc>
          <w:tcPr>
            <w:tcW w:w="1602"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489" w:type="dxa"/>
            <w:gridSpan w:val="2"/>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毕业学校</w:t>
            </w:r>
          </w:p>
        </w:tc>
        <w:tc>
          <w:tcPr>
            <w:tcW w:w="1838" w:type="dxa"/>
            <w:noWrap w:val="0"/>
            <w:vAlign w:val="center"/>
          </w:tcPr>
          <w:p>
            <w:pPr>
              <w:spacing w:line="360" w:lineRule="exact"/>
              <w:rPr>
                <w:rFonts w:hint="eastAsia" w:ascii="楷体" w:hAnsi="楷体" w:eastAsia="楷体"/>
                <w:sz w:val="22"/>
                <w:szCs w:val="22"/>
              </w:rPr>
            </w:pPr>
          </w:p>
        </w:tc>
        <w:tc>
          <w:tcPr>
            <w:tcW w:w="1601"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专  业</w:t>
            </w:r>
          </w:p>
        </w:tc>
        <w:tc>
          <w:tcPr>
            <w:tcW w:w="1742" w:type="dxa"/>
            <w:noWrap w:val="0"/>
            <w:vAlign w:val="center"/>
          </w:tcPr>
          <w:p>
            <w:pPr>
              <w:spacing w:line="360" w:lineRule="exact"/>
              <w:jc w:val="center"/>
              <w:rPr>
                <w:rFonts w:hint="eastAsia" w:ascii="楷体" w:hAnsi="楷体" w:eastAsia="楷体"/>
                <w:sz w:val="22"/>
                <w:szCs w:val="22"/>
              </w:rPr>
            </w:pPr>
          </w:p>
        </w:tc>
        <w:tc>
          <w:tcPr>
            <w:tcW w:w="1462"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职  务</w:t>
            </w:r>
          </w:p>
        </w:tc>
        <w:tc>
          <w:tcPr>
            <w:tcW w:w="1602"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02" w:hRule="exact"/>
          <w:jc w:val="center"/>
        </w:trPr>
        <w:tc>
          <w:tcPr>
            <w:tcW w:w="1489" w:type="dxa"/>
            <w:gridSpan w:val="2"/>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职  称</w:t>
            </w:r>
          </w:p>
        </w:tc>
        <w:tc>
          <w:tcPr>
            <w:tcW w:w="1838" w:type="dxa"/>
            <w:noWrap w:val="0"/>
            <w:vAlign w:val="center"/>
          </w:tcPr>
          <w:p>
            <w:pPr>
              <w:spacing w:line="360" w:lineRule="exact"/>
              <w:rPr>
                <w:rFonts w:hint="eastAsia" w:ascii="楷体" w:hAnsi="楷体" w:eastAsia="楷体"/>
                <w:sz w:val="22"/>
                <w:szCs w:val="22"/>
              </w:rPr>
            </w:pPr>
          </w:p>
        </w:tc>
        <w:tc>
          <w:tcPr>
            <w:tcW w:w="1601"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拟任何职</w:t>
            </w:r>
          </w:p>
        </w:tc>
        <w:tc>
          <w:tcPr>
            <w:tcW w:w="1742" w:type="dxa"/>
            <w:noWrap w:val="0"/>
            <w:vAlign w:val="center"/>
          </w:tcPr>
          <w:p>
            <w:pPr>
              <w:spacing w:line="360" w:lineRule="exact"/>
              <w:jc w:val="center"/>
              <w:rPr>
                <w:rFonts w:hint="eastAsia" w:ascii="楷体" w:hAnsi="楷体" w:eastAsia="楷体"/>
                <w:sz w:val="22"/>
                <w:szCs w:val="22"/>
              </w:rPr>
            </w:pPr>
          </w:p>
        </w:tc>
        <w:tc>
          <w:tcPr>
            <w:tcW w:w="1462"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参加工作</w:t>
            </w:r>
          </w:p>
          <w:p>
            <w:pPr>
              <w:spacing w:line="360" w:lineRule="exact"/>
              <w:jc w:val="center"/>
              <w:rPr>
                <w:rFonts w:hint="eastAsia" w:ascii="楷体" w:hAnsi="楷体" w:eastAsia="楷体"/>
                <w:sz w:val="22"/>
                <w:szCs w:val="22"/>
              </w:rPr>
            </w:pPr>
            <w:r>
              <w:rPr>
                <w:rFonts w:hint="eastAsia" w:ascii="楷体" w:hAnsi="楷体" w:eastAsia="楷体"/>
                <w:sz w:val="22"/>
                <w:szCs w:val="22"/>
              </w:rPr>
              <w:t>时间</w:t>
            </w:r>
          </w:p>
        </w:tc>
        <w:tc>
          <w:tcPr>
            <w:tcW w:w="1602" w:type="dxa"/>
            <w:noWrap w:val="0"/>
            <w:vAlign w:val="center"/>
          </w:tcPr>
          <w:p>
            <w:pPr>
              <w:spacing w:line="360" w:lineRule="exact"/>
              <w:jc w:val="center"/>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9734" w:type="dxa"/>
            <w:gridSpan w:val="7"/>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489" w:type="dxa"/>
            <w:gridSpan w:val="2"/>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时  间</w:t>
            </w:r>
          </w:p>
        </w:tc>
        <w:tc>
          <w:tcPr>
            <w:tcW w:w="8245" w:type="dxa"/>
            <w:gridSpan w:val="5"/>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489" w:type="dxa"/>
            <w:gridSpan w:val="2"/>
            <w:noWrap w:val="0"/>
            <w:vAlign w:val="center"/>
          </w:tcPr>
          <w:p>
            <w:pPr>
              <w:spacing w:line="360" w:lineRule="exact"/>
              <w:rPr>
                <w:rFonts w:hint="eastAsia" w:ascii="楷体" w:hAnsi="楷体" w:eastAsia="楷体"/>
                <w:sz w:val="22"/>
                <w:szCs w:val="22"/>
              </w:rPr>
            </w:pPr>
          </w:p>
        </w:tc>
        <w:tc>
          <w:tcPr>
            <w:tcW w:w="8245" w:type="dxa"/>
            <w:gridSpan w:val="5"/>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489" w:type="dxa"/>
            <w:gridSpan w:val="2"/>
            <w:noWrap w:val="0"/>
            <w:vAlign w:val="center"/>
          </w:tcPr>
          <w:p>
            <w:pPr>
              <w:spacing w:line="360" w:lineRule="exact"/>
              <w:rPr>
                <w:rFonts w:hint="eastAsia" w:ascii="楷体" w:hAnsi="楷体" w:eastAsia="楷体"/>
                <w:sz w:val="22"/>
                <w:szCs w:val="22"/>
              </w:rPr>
            </w:pPr>
          </w:p>
        </w:tc>
        <w:tc>
          <w:tcPr>
            <w:tcW w:w="8245" w:type="dxa"/>
            <w:gridSpan w:val="5"/>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9734" w:type="dxa"/>
            <w:gridSpan w:val="7"/>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3、</w:t>
            </w:r>
            <w:r>
              <w:rPr>
                <w:rFonts w:hint="eastAsia" w:ascii="楷体" w:hAnsi="楷体" w:eastAsia="楷体" w:cs="Arial"/>
                <w:sz w:val="22"/>
                <w:szCs w:val="22"/>
              </w:rPr>
              <w:t>负责人相关项目业绩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序号</w:t>
            </w:r>
          </w:p>
        </w:tc>
        <w:tc>
          <w:tcPr>
            <w:tcW w:w="5630" w:type="dxa"/>
            <w:gridSpan w:val="4"/>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项  目  名  称</w:t>
            </w:r>
          </w:p>
        </w:tc>
        <w:tc>
          <w:tcPr>
            <w:tcW w:w="3064" w:type="dxa"/>
            <w:gridSpan w:val="2"/>
            <w:noWrap w:val="0"/>
            <w:vAlign w:val="center"/>
          </w:tcPr>
          <w:p>
            <w:pPr>
              <w:spacing w:line="360" w:lineRule="exact"/>
              <w:jc w:val="center"/>
              <w:rPr>
                <w:rFonts w:hint="eastAsia" w:ascii="楷体" w:hAnsi="楷体" w:eastAsia="楷体"/>
                <w:sz w:val="22"/>
                <w:szCs w:val="22"/>
              </w:rPr>
            </w:pPr>
            <w:r>
              <w:rPr>
                <w:rFonts w:hint="eastAsia" w:ascii="楷体" w:hAnsi="楷体" w:eastAsia="楷体"/>
                <w:sz w:val="22"/>
                <w:szCs w:val="22"/>
              </w:rPr>
              <w:t>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39" w:hRule="exact"/>
          <w:jc w:val="center"/>
        </w:trPr>
        <w:tc>
          <w:tcPr>
            <w:tcW w:w="1040" w:type="dxa"/>
            <w:noWrap w:val="0"/>
            <w:vAlign w:val="center"/>
          </w:tcPr>
          <w:p>
            <w:pPr>
              <w:spacing w:line="360" w:lineRule="exact"/>
              <w:rPr>
                <w:rFonts w:hint="eastAsia" w:ascii="楷体" w:hAnsi="楷体" w:eastAsia="楷体"/>
                <w:sz w:val="22"/>
                <w:szCs w:val="22"/>
              </w:rPr>
            </w:pPr>
          </w:p>
        </w:tc>
        <w:tc>
          <w:tcPr>
            <w:tcW w:w="5630" w:type="dxa"/>
            <w:gridSpan w:val="4"/>
            <w:noWrap w:val="0"/>
            <w:vAlign w:val="center"/>
          </w:tcPr>
          <w:p>
            <w:pPr>
              <w:spacing w:line="360" w:lineRule="exact"/>
              <w:rPr>
                <w:rFonts w:hint="eastAsia" w:ascii="楷体" w:hAnsi="楷体" w:eastAsia="楷体"/>
                <w:sz w:val="22"/>
                <w:szCs w:val="22"/>
              </w:rPr>
            </w:pPr>
          </w:p>
        </w:tc>
        <w:tc>
          <w:tcPr>
            <w:tcW w:w="3064" w:type="dxa"/>
            <w:gridSpan w:val="2"/>
            <w:noWrap w:val="0"/>
            <w:vAlign w:val="center"/>
          </w:tcPr>
          <w:p>
            <w:pPr>
              <w:spacing w:line="360" w:lineRule="exact"/>
              <w:rPr>
                <w:rFonts w:hint="eastAsia" w:ascii="楷体" w:hAnsi="楷体" w:eastAsia="楷体"/>
                <w:sz w:val="22"/>
                <w:szCs w:val="22"/>
              </w:rPr>
            </w:pPr>
          </w:p>
        </w:tc>
      </w:tr>
    </w:tbl>
    <w:p>
      <w:pPr>
        <w:spacing w:line="380" w:lineRule="exact"/>
        <w:rPr>
          <w:rFonts w:hint="eastAsia" w:ascii="楷体" w:hAnsi="楷体" w:eastAsia="楷体"/>
          <w:sz w:val="22"/>
          <w:szCs w:val="22"/>
        </w:rPr>
      </w:pPr>
      <w:r>
        <w:rPr>
          <w:rFonts w:hint="eastAsia" w:ascii="楷体" w:hAnsi="楷体" w:eastAsia="楷体"/>
          <w:sz w:val="22"/>
          <w:szCs w:val="22"/>
        </w:rPr>
        <w:t>注：</w:t>
      </w:r>
    </w:p>
    <w:p>
      <w:pPr>
        <w:spacing w:line="380" w:lineRule="exact"/>
        <w:rPr>
          <w:rFonts w:hint="eastAsia" w:ascii="楷体" w:hAnsi="楷体" w:eastAsia="楷体"/>
          <w:sz w:val="22"/>
          <w:szCs w:val="22"/>
        </w:rPr>
      </w:pPr>
      <w:r>
        <w:rPr>
          <w:rFonts w:hint="eastAsia" w:ascii="楷体" w:hAnsi="楷体" w:eastAsia="楷体"/>
          <w:sz w:val="22"/>
          <w:szCs w:val="22"/>
        </w:rPr>
        <w:t>1、本表可在不改变格式的情况下根据具体需要自行增减。</w:t>
      </w:r>
    </w:p>
    <w:p>
      <w:pPr>
        <w:pStyle w:val="13"/>
        <w:spacing w:line="400" w:lineRule="atLeast"/>
        <w:ind w:left="1"/>
        <w:jc w:val="center"/>
        <w:rPr>
          <w:rFonts w:hint="eastAsia" w:ascii="楷体" w:hAnsi="楷体" w:eastAsia="楷体"/>
          <w:b/>
          <w:sz w:val="28"/>
        </w:rPr>
      </w:pP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投标人全称（盖章）：</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法定代表人或授权代表（签字）：</w:t>
      </w:r>
    </w:p>
    <w:p>
      <w:pPr>
        <w:spacing w:line="380" w:lineRule="exact"/>
        <w:ind w:firstLine="4400" w:firstLineChars="2000"/>
        <w:rPr>
          <w:rFonts w:hint="eastAsia" w:ascii="楷体" w:hAnsi="楷体" w:eastAsia="楷体"/>
          <w:sz w:val="22"/>
          <w:szCs w:val="22"/>
        </w:rPr>
      </w:pPr>
      <w:r>
        <w:rPr>
          <w:rFonts w:hint="eastAsia" w:ascii="楷体" w:hAnsi="楷体" w:eastAsia="楷体"/>
          <w:sz w:val="22"/>
          <w:szCs w:val="22"/>
        </w:rPr>
        <w:t>日期：  年   月  日</w:t>
      </w:r>
    </w:p>
    <w:p>
      <w:pPr>
        <w:pStyle w:val="13"/>
        <w:spacing w:line="400" w:lineRule="atLeast"/>
        <w:ind w:left="1"/>
        <w:jc w:val="center"/>
        <w:rPr>
          <w:rFonts w:hint="eastAsia" w:ascii="楷体" w:hAnsi="楷体" w:eastAsia="楷体"/>
          <w:b/>
          <w:sz w:val="28"/>
        </w:rPr>
      </w:pPr>
    </w:p>
    <w:p>
      <w:pPr>
        <w:pStyle w:val="13"/>
        <w:spacing w:line="400" w:lineRule="atLeast"/>
        <w:ind w:left="1"/>
        <w:jc w:val="center"/>
        <w:rPr>
          <w:rFonts w:hint="eastAsia" w:ascii="楷体" w:hAnsi="楷体" w:eastAsia="楷体"/>
          <w:b/>
          <w:sz w:val="28"/>
        </w:rPr>
      </w:pPr>
    </w:p>
    <w:p>
      <w:pPr>
        <w:rPr>
          <w:rFonts w:hint="eastAsia" w:ascii="楷体" w:hAnsi="楷体" w:eastAsia="楷体"/>
          <w:b/>
          <w:sz w:val="28"/>
        </w:rPr>
      </w:pPr>
      <w:bookmarkStart w:id="176" w:name="_Toc249758720"/>
    </w:p>
    <w:p>
      <w:pPr>
        <w:jc w:val="left"/>
        <w:rPr>
          <w:rFonts w:hint="eastAsia" w:ascii="楷体" w:hAnsi="楷体" w:eastAsia="楷体"/>
          <w:b/>
          <w:bCs/>
          <w:sz w:val="22"/>
          <w:szCs w:val="22"/>
        </w:rPr>
      </w:pPr>
      <w:r>
        <w:rPr>
          <w:rFonts w:ascii="楷体" w:hAnsi="楷体" w:eastAsia="楷体"/>
          <w:b/>
          <w:bCs/>
          <w:sz w:val="22"/>
          <w:szCs w:val="22"/>
        </w:rPr>
        <w:br w:type="page"/>
      </w:r>
      <w:r>
        <w:rPr>
          <w:rFonts w:hint="eastAsia" w:ascii="楷体" w:hAnsi="楷体" w:eastAsia="楷体"/>
          <w:b/>
          <w:bCs/>
          <w:sz w:val="22"/>
          <w:szCs w:val="22"/>
        </w:rPr>
        <w:t>附件六-2</w:t>
      </w:r>
    </w:p>
    <w:p>
      <w:pPr>
        <w:jc w:val="center"/>
        <w:rPr>
          <w:rFonts w:ascii="楷体" w:hAnsi="楷体" w:eastAsia="楷体"/>
          <w:b/>
          <w:bCs/>
          <w:sz w:val="28"/>
          <w:szCs w:val="28"/>
        </w:rPr>
      </w:pPr>
      <w:r>
        <w:rPr>
          <w:rFonts w:ascii="楷体" w:hAnsi="楷体" w:eastAsia="楷体"/>
          <w:b/>
          <w:bCs/>
          <w:sz w:val="28"/>
          <w:szCs w:val="28"/>
        </w:rPr>
        <w:t>拟派项目服务人员汇总表</w:t>
      </w:r>
    </w:p>
    <w:p>
      <w:pPr>
        <w:rPr>
          <w:rFonts w:ascii="楷体" w:hAnsi="楷体" w:eastAsia="楷体"/>
          <w:sz w:val="22"/>
          <w:szCs w:val="22"/>
        </w:rPr>
      </w:pPr>
      <w:r>
        <w:rPr>
          <w:rFonts w:ascii="楷体" w:hAnsi="楷体" w:eastAsia="楷体"/>
          <w:b/>
          <w:bCs/>
          <w:sz w:val="24"/>
        </w:rPr>
        <w:t>项目名称：</w:t>
      </w:r>
      <w:r>
        <w:rPr>
          <w:rFonts w:ascii="楷体" w:hAnsi="楷体" w:eastAsia="楷体"/>
          <w:b/>
          <w:bCs/>
          <w:sz w:val="22"/>
          <w:szCs w:val="22"/>
        </w:rPr>
        <w:t xml:space="preserve">                                         项目编号：</w:t>
      </w:r>
      <w:r>
        <w:rPr>
          <w:rFonts w:ascii="楷体" w:hAnsi="楷体" w:eastAsia="楷体"/>
          <w:sz w:val="22"/>
          <w:szCs w:val="22"/>
        </w:rPr>
        <w:t xml:space="preserve"> </w:t>
      </w:r>
    </w:p>
    <w:tbl>
      <w:tblPr>
        <w:tblStyle w:val="26"/>
        <w:tblW w:w="98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2"/>
        <w:gridCol w:w="1991"/>
        <w:gridCol w:w="4157"/>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12" w:space="0"/>
              <w:left w:val="single" w:color="auto" w:sz="12" w:space="0"/>
              <w:bottom w:val="single" w:color="auto" w:sz="6" w:space="0"/>
              <w:right w:val="single" w:color="auto" w:sz="6" w:space="0"/>
            </w:tcBorders>
            <w:noWrap w:val="0"/>
            <w:vAlign w:val="center"/>
          </w:tcPr>
          <w:p>
            <w:pPr>
              <w:spacing w:line="480" w:lineRule="auto"/>
              <w:jc w:val="center"/>
              <w:rPr>
                <w:rFonts w:hint="eastAsia" w:ascii="楷体" w:hAnsi="楷体" w:eastAsia="楷体"/>
                <w:szCs w:val="21"/>
              </w:rPr>
            </w:pPr>
            <w:r>
              <w:rPr>
                <w:rFonts w:ascii="楷体" w:hAnsi="楷体" w:eastAsia="楷体"/>
              </w:rPr>
              <w:t>岗位</w:t>
            </w:r>
          </w:p>
        </w:tc>
        <w:tc>
          <w:tcPr>
            <w:tcW w:w="1991" w:type="dxa"/>
            <w:tcBorders>
              <w:top w:val="single" w:color="auto" w:sz="12" w:space="0"/>
              <w:left w:val="single" w:color="auto" w:sz="6" w:space="0"/>
              <w:bottom w:val="single" w:color="auto" w:sz="6" w:space="0"/>
              <w:right w:val="single" w:color="auto" w:sz="6" w:space="0"/>
            </w:tcBorders>
            <w:noWrap w:val="0"/>
            <w:vAlign w:val="center"/>
          </w:tcPr>
          <w:p>
            <w:pPr>
              <w:spacing w:line="480" w:lineRule="auto"/>
              <w:jc w:val="center"/>
              <w:rPr>
                <w:rFonts w:hint="eastAsia" w:ascii="楷体" w:hAnsi="楷体" w:eastAsia="楷体"/>
                <w:szCs w:val="21"/>
              </w:rPr>
            </w:pPr>
            <w:r>
              <w:rPr>
                <w:rFonts w:ascii="楷体" w:hAnsi="楷体" w:eastAsia="楷体"/>
              </w:rPr>
              <w:t>人数</w:t>
            </w:r>
          </w:p>
        </w:tc>
        <w:tc>
          <w:tcPr>
            <w:tcW w:w="4157" w:type="dxa"/>
            <w:tcBorders>
              <w:top w:val="single" w:color="auto" w:sz="12" w:space="0"/>
              <w:left w:val="single" w:color="auto" w:sz="6" w:space="0"/>
              <w:bottom w:val="single" w:color="auto" w:sz="6" w:space="0"/>
              <w:right w:val="single" w:color="auto" w:sz="6" w:space="0"/>
            </w:tcBorders>
            <w:noWrap w:val="0"/>
            <w:vAlign w:val="center"/>
          </w:tcPr>
          <w:p>
            <w:pPr>
              <w:spacing w:line="480" w:lineRule="auto"/>
              <w:jc w:val="center"/>
              <w:rPr>
                <w:rFonts w:hint="eastAsia" w:ascii="楷体" w:hAnsi="楷体" w:eastAsia="楷体"/>
                <w:szCs w:val="21"/>
              </w:rPr>
            </w:pPr>
            <w:r>
              <w:rPr>
                <w:rFonts w:ascii="楷体" w:hAnsi="楷体" w:eastAsia="楷体"/>
              </w:rPr>
              <w:t>现 场 承 担 工 作</w:t>
            </w:r>
          </w:p>
        </w:tc>
        <w:tc>
          <w:tcPr>
            <w:tcW w:w="1680" w:type="dxa"/>
            <w:tcBorders>
              <w:top w:val="single" w:color="auto" w:sz="12" w:space="0"/>
              <w:left w:val="single" w:color="auto" w:sz="6" w:space="0"/>
              <w:bottom w:val="single" w:color="auto" w:sz="6" w:space="0"/>
              <w:right w:val="single" w:color="auto" w:sz="12" w:space="0"/>
            </w:tcBorders>
            <w:noWrap w:val="0"/>
            <w:vAlign w:val="center"/>
          </w:tcPr>
          <w:p>
            <w:pPr>
              <w:spacing w:line="480" w:lineRule="auto"/>
              <w:jc w:val="center"/>
              <w:rPr>
                <w:rFonts w:hint="eastAsia" w:ascii="楷体" w:hAnsi="楷体" w:eastAsia="楷体"/>
                <w:szCs w:val="21"/>
              </w:rPr>
            </w:pPr>
            <w:r>
              <w:rPr>
                <w:rFonts w:ascii="楷体" w:hAnsi="楷体" w:eastAsia="楷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1992" w:type="dxa"/>
            <w:tcBorders>
              <w:top w:val="single" w:color="auto" w:sz="6" w:space="0"/>
              <w:left w:val="single" w:color="auto" w:sz="12"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991"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4157" w:type="dxa"/>
            <w:tcBorders>
              <w:top w:val="single" w:color="auto" w:sz="6" w:space="0"/>
              <w:left w:val="single" w:color="auto" w:sz="6" w:space="0"/>
              <w:bottom w:val="single" w:color="auto" w:sz="6" w:space="0"/>
              <w:right w:val="single" w:color="auto" w:sz="6" w:space="0"/>
            </w:tcBorders>
            <w:noWrap w:val="0"/>
            <w:vAlign w:val="top"/>
          </w:tcPr>
          <w:p>
            <w:pPr>
              <w:spacing w:line="480" w:lineRule="auto"/>
              <w:jc w:val="left"/>
              <w:rPr>
                <w:rFonts w:ascii="楷体" w:hAnsi="楷体" w:eastAsia="楷体"/>
                <w:szCs w:val="21"/>
              </w:rPr>
            </w:pPr>
          </w:p>
        </w:tc>
        <w:tc>
          <w:tcPr>
            <w:tcW w:w="1680" w:type="dxa"/>
            <w:tcBorders>
              <w:top w:val="single" w:color="auto" w:sz="6" w:space="0"/>
              <w:left w:val="single" w:color="auto" w:sz="6" w:space="0"/>
              <w:bottom w:val="single" w:color="auto" w:sz="6" w:space="0"/>
              <w:right w:val="single" w:color="auto" w:sz="12" w:space="0"/>
            </w:tcBorders>
            <w:noWrap w:val="0"/>
            <w:vAlign w:val="top"/>
          </w:tcPr>
          <w:p>
            <w:pPr>
              <w:spacing w:line="480" w:lineRule="auto"/>
              <w:jc w:val="left"/>
              <w:rPr>
                <w:rFonts w:ascii="楷体" w:hAnsi="楷体" w:eastAsia="楷体"/>
                <w:szCs w:val="21"/>
              </w:rPr>
            </w:pPr>
          </w:p>
        </w:tc>
      </w:tr>
    </w:tbl>
    <w:p>
      <w:pPr>
        <w:pStyle w:val="13"/>
        <w:spacing w:line="400" w:lineRule="atLeast"/>
        <w:ind w:left="660" w:hanging="660" w:hangingChars="300"/>
        <w:rPr>
          <w:rFonts w:ascii="楷体" w:hAnsi="楷体" w:eastAsia="楷体" w:cs="宋体"/>
          <w:sz w:val="22"/>
          <w:szCs w:val="22"/>
        </w:rPr>
      </w:pPr>
      <w:r>
        <w:rPr>
          <w:rFonts w:ascii="楷体" w:hAnsi="楷体" w:eastAsia="楷体"/>
          <w:sz w:val="22"/>
          <w:szCs w:val="22"/>
        </w:rPr>
        <w:t>注：</w:t>
      </w:r>
      <w:r>
        <w:rPr>
          <w:rFonts w:hint="eastAsia" w:ascii="楷体" w:hAnsi="楷体" w:eastAsia="楷体"/>
          <w:sz w:val="22"/>
          <w:szCs w:val="22"/>
        </w:rPr>
        <w:t>1、</w:t>
      </w:r>
      <w:r>
        <w:rPr>
          <w:rFonts w:ascii="楷体" w:hAnsi="楷体" w:eastAsia="楷体"/>
          <w:sz w:val="22"/>
          <w:szCs w:val="22"/>
        </w:rPr>
        <w:t>本表可在不改变格式的情况下根据具体需要自行增减。</w:t>
      </w:r>
    </w:p>
    <w:p>
      <w:pPr>
        <w:spacing w:line="380" w:lineRule="exact"/>
        <w:ind w:firstLine="4400" w:firstLineChars="2000"/>
        <w:rPr>
          <w:rFonts w:ascii="楷体" w:hAnsi="楷体" w:eastAsia="楷体"/>
          <w:sz w:val="22"/>
          <w:szCs w:val="22"/>
        </w:rPr>
      </w:pPr>
      <w:r>
        <w:rPr>
          <w:rFonts w:ascii="楷体" w:hAnsi="楷体" w:eastAsia="楷体"/>
          <w:sz w:val="22"/>
          <w:szCs w:val="22"/>
        </w:rPr>
        <w:t>投标人全称（盖章）：</w:t>
      </w:r>
    </w:p>
    <w:p>
      <w:pPr>
        <w:spacing w:line="380" w:lineRule="exact"/>
        <w:ind w:firstLine="4400" w:firstLineChars="2000"/>
        <w:rPr>
          <w:rFonts w:ascii="楷体" w:hAnsi="楷体" w:eastAsia="楷体"/>
          <w:sz w:val="22"/>
          <w:szCs w:val="22"/>
        </w:rPr>
      </w:pPr>
      <w:r>
        <w:rPr>
          <w:rFonts w:ascii="楷体" w:hAnsi="楷体" w:eastAsia="楷体"/>
          <w:sz w:val="22"/>
          <w:szCs w:val="22"/>
        </w:rPr>
        <w:t>法定代表人或授权代表（签字）：</w:t>
      </w:r>
    </w:p>
    <w:p>
      <w:pPr>
        <w:spacing w:line="380" w:lineRule="exact"/>
        <w:jc w:val="right"/>
        <w:rPr>
          <w:rFonts w:hint="eastAsia" w:ascii="楷体" w:hAnsi="楷体" w:eastAsia="楷体"/>
          <w:b/>
          <w:bCs/>
          <w:sz w:val="22"/>
          <w:szCs w:val="22"/>
        </w:rPr>
      </w:pPr>
      <w:r>
        <w:rPr>
          <w:rFonts w:ascii="楷体" w:hAnsi="楷体" w:eastAsia="楷体"/>
          <w:sz w:val="22"/>
          <w:szCs w:val="22"/>
        </w:rPr>
        <w:t>日期：  年   月  日</w:t>
      </w:r>
    </w:p>
    <w:bookmarkEnd w:id="176"/>
    <w:p>
      <w:pPr>
        <w:spacing w:line="380" w:lineRule="exact"/>
        <w:rPr>
          <w:rFonts w:hint="eastAsia" w:ascii="楷体" w:hAnsi="楷体" w:eastAsia="楷体"/>
          <w:sz w:val="22"/>
          <w:szCs w:val="22"/>
        </w:rPr>
      </w:pPr>
      <w:bookmarkStart w:id="177" w:name="_Toc239145360"/>
      <w:bookmarkStart w:id="178" w:name="_Toc221356957"/>
      <w:bookmarkStart w:id="179" w:name="_Toc245722287"/>
      <w:bookmarkStart w:id="180" w:name="_Toc221374632"/>
      <w:bookmarkStart w:id="181" w:name="_Toc223716004"/>
      <w:bookmarkStart w:id="182" w:name="_Toc221356894"/>
      <w:bookmarkStart w:id="183" w:name="_Toc222114885"/>
      <w:bookmarkStart w:id="184" w:name="_Toc221423625"/>
      <w:bookmarkStart w:id="185" w:name="_Toc245191320"/>
      <w:bookmarkStart w:id="186" w:name="_Toc246261271"/>
      <w:bookmarkStart w:id="187" w:name="_Toc241404208"/>
      <w:r>
        <w:rPr>
          <w:rFonts w:ascii="楷体" w:hAnsi="楷体" w:eastAsia="楷体"/>
          <w:b/>
          <w:bCs/>
          <w:sz w:val="22"/>
          <w:szCs w:val="22"/>
        </w:rPr>
        <w:br w:type="page"/>
      </w:r>
      <w:r>
        <w:rPr>
          <w:rFonts w:hint="eastAsia" w:ascii="楷体" w:hAnsi="楷体" w:eastAsia="楷体"/>
          <w:b/>
          <w:bCs/>
          <w:sz w:val="22"/>
          <w:szCs w:val="22"/>
        </w:rPr>
        <w:t>附件七-1</w:t>
      </w:r>
    </w:p>
    <w:p>
      <w:pPr>
        <w:ind w:right="-10"/>
        <w:jc w:val="center"/>
        <w:rPr>
          <w:rFonts w:hint="eastAsia" w:ascii="楷体" w:hAnsi="楷体" w:eastAsia="楷体" w:cs="黑体"/>
          <w:b/>
          <w:bCs/>
          <w:sz w:val="32"/>
          <w:szCs w:val="32"/>
        </w:rPr>
      </w:pPr>
      <w:r>
        <w:rPr>
          <w:rFonts w:hint="eastAsia" w:ascii="楷体" w:hAnsi="楷体" w:eastAsia="楷体" w:cs="黑体"/>
          <w:b/>
          <w:bCs/>
          <w:sz w:val="32"/>
          <w:szCs w:val="32"/>
        </w:rPr>
        <w:t>拟投入已有自有设备（工具）一览表</w:t>
      </w:r>
    </w:p>
    <w:p>
      <w:pPr>
        <w:spacing w:after="120" w:afterLines="50" w:line="400" w:lineRule="exact"/>
        <w:rPr>
          <w:rFonts w:hint="eastAsia" w:ascii="楷体" w:hAnsi="楷体" w:eastAsia="楷体" w:cs="黑体"/>
          <w:sz w:val="22"/>
          <w:szCs w:val="22"/>
        </w:rPr>
      </w:pPr>
      <w:r>
        <w:rPr>
          <w:rFonts w:hint="eastAsia" w:ascii="楷体" w:hAnsi="楷体" w:eastAsia="楷体" w:cs="黑体"/>
          <w:sz w:val="22"/>
          <w:szCs w:val="22"/>
        </w:rPr>
        <w:t>项目名称：                                                  采购编号：</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864"/>
        <w:gridCol w:w="1061"/>
        <w:gridCol w:w="1061"/>
        <w:gridCol w:w="2309"/>
        <w:gridCol w:w="1935"/>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963" w:hRule="atLeast"/>
        </w:trPr>
        <w:tc>
          <w:tcPr>
            <w:tcW w:w="537" w:type="dxa"/>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序号</w:t>
            </w:r>
          </w:p>
        </w:tc>
        <w:tc>
          <w:tcPr>
            <w:tcW w:w="1864" w:type="dxa"/>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设备名称</w:t>
            </w: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使用时间</w:t>
            </w: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数量</w:t>
            </w: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规格型号、总质量</w:t>
            </w:r>
          </w:p>
        </w:tc>
        <w:tc>
          <w:tcPr>
            <w:tcW w:w="1935" w:type="dxa"/>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品牌/产地</w:t>
            </w:r>
          </w:p>
        </w:tc>
        <w:tc>
          <w:tcPr>
            <w:tcW w:w="1061" w:type="dxa"/>
            <w:noWrap w:val="0"/>
            <w:vAlign w:val="center"/>
          </w:tcPr>
          <w:p>
            <w:pPr>
              <w:jc w:val="center"/>
              <w:rPr>
                <w:rFonts w:hint="eastAsia" w:ascii="楷体" w:hAnsi="楷体" w:eastAsia="楷体" w:cs="Arial"/>
                <w:b/>
                <w:sz w:val="22"/>
                <w:szCs w:val="22"/>
              </w:rPr>
            </w:pPr>
            <w:r>
              <w:rPr>
                <w:rFonts w:hint="eastAsia" w:ascii="楷体" w:hAnsi="楷体" w:eastAsia="楷体" w:cs="Arial"/>
                <w:b/>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1</w:t>
            </w:r>
          </w:p>
        </w:tc>
        <w:tc>
          <w:tcPr>
            <w:tcW w:w="1864"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小型快速保洁车</w:t>
            </w: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2</w:t>
            </w:r>
          </w:p>
        </w:tc>
        <w:tc>
          <w:tcPr>
            <w:tcW w:w="1864" w:type="dxa"/>
            <w:noWrap w:val="0"/>
            <w:vAlign w:val="center"/>
          </w:tcPr>
          <w:p>
            <w:pPr>
              <w:jc w:val="center"/>
              <w:rPr>
                <w:rFonts w:hint="eastAsia" w:ascii="楷体" w:hAnsi="楷体" w:eastAsia="楷体" w:cs="Arial"/>
                <w:sz w:val="22"/>
                <w:szCs w:val="22"/>
              </w:rPr>
            </w:pPr>
            <w:bookmarkStart w:id="188" w:name="OLE_LINK1"/>
            <w:r>
              <w:rPr>
                <w:rFonts w:hint="eastAsia" w:ascii="楷体" w:hAnsi="楷体" w:eastAsia="楷体" w:cs="Arial"/>
                <w:sz w:val="22"/>
                <w:szCs w:val="22"/>
              </w:rPr>
              <w:t>多功能高压清洗车</w:t>
            </w:r>
            <w:bookmarkEnd w:id="188"/>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3</w:t>
            </w:r>
          </w:p>
        </w:tc>
        <w:tc>
          <w:tcPr>
            <w:tcW w:w="1864" w:type="dxa"/>
            <w:noWrap w:val="0"/>
            <w:vAlign w:val="top"/>
          </w:tcPr>
          <w:p>
            <w:pPr>
              <w:tabs>
                <w:tab w:val="left" w:pos="930"/>
              </w:tabs>
              <w:spacing w:line="320" w:lineRule="exact"/>
              <w:rPr>
                <w:rFonts w:hint="eastAsia" w:ascii="楷体" w:hAnsi="楷体" w:eastAsia="楷体" w:cs="Arial"/>
                <w:sz w:val="22"/>
              </w:rPr>
            </w:pPr>
            <w:r>
              <w:rPr>
                <w:rFonts w:hint="eastAsia" w:ascii="楷体" w:hAnsi="楷体" w:eastAsia="楷体" w:cs="Arial"/>
                <w:sz w:val="22"/>
                <w:szCs w:val="22"/>
              </w:rPr>
              <w:t>保洁作业手推车</w:t>
            </w: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4</w:t>
            </w:r>
          </w:p>
        </w:tc>
        <w:tc>
          <w:tcPr>
            <w:tcW w:w="1864" w:type="dxa"/>
            <w:noWrap w:val="0"/>
            <w:vAlign w:val="top"/>
          </w:tcPr>
          <w:p>
            <w:pPr>
              <w:tabs>
                <w:tab w:val="left" w:pos="930"/>
              </w:tabs>
              <w:spacing w:line="320" w:lineRule="exact"/>
              <w:rPr>
                <w:rFonts w:hint="eastAsia" w:ascii="楷体" w:hAnsi="楷体" w:eastAsia="楷体" w:cs="Arial"/>
                <w:sz w:val="22"/>
              </w:rPr>
            </w:pPr>
            <w:r>
              <w:rPr>
                <w:rFonts w:hint="eastAsia" w:ascii="楷体" w:hAnsi="楷体" w:eastAsia="楷体" w:cs="Arial"/>
                <w:sz w:val="22"/>
                <w:szCs w:val="22"/>
              </w:rPr>
              <w:t>垃圾运输车</w:t>
            </w: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r>
              <w:rPr>
                <w:rFonts w:hint="eastAsia" w:ascii="楷体" w:hAnsi="楷体" w:eastAsia="楷体" w:cs="Arial"/>
                <w:sz w:val="22"/>
                <w:szCs w:val="22"/>
              </w:rPr>
              <w:t>5</w:t>
            </w:r>
          </w:p>
        </w:tc>
        <w:tc>
          <w:tcPr>
            <w:tcW w:w="1864" w:type="dxa"/>
            <w:noWrap w:val="0"/>
            <w:vAlign w:val="top"/>
          </w:tcPr>
          <w:p>
            <w:pPr>
              <w:tabs>
                <w:tab w:val="left" w:pos="930"/>
              </w:tabs>
              <w:spacing w:line="320" w:lineRule="exact"/>
              <w:rPr>
                <w:rFonts w:hint="eastAsia" w:ascii="楷体" w:hAnsi="楷体" w:eastAsia="楷体" w:cs="Arial"/>
                <w:sz w:val="22"/>
              </w:rPr>
            </w:pPr>
            <w:r>
              <w:rPr>
                <w:rFonts w:hint="eastAsia" w:ascii="楷体" w:hAnsi="楷体" w:eastAsia="楷体" w:cs="Arial"/>
                <w:b/>
                <w:sz w:val="22"/>
                <w:szCs w:val="22"/>
              </w:rPr>
              <w:t>……</w:t>
            </w: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p>
        </w:tc>
        <w:tc>
          <w:tcPr>
            <w:tcW w:w="1864" w:type="dxa"/>
            <w:noWrap w:val="0"/>
            <w:vAlign w:val="center"/>
          </w:tcPr>
          <w:p>
            <w:pPr>
              <w:tabs>
                <w:tab w:val="left" w:pos="930"/>
              </w:tabs>
              <w:spacing w:line="400" w:lineRule="exact"/>
              <w:jc w:val="center"/>
              <w:rPr>
                <w:rFonts w:hint="eastAsia" w:ascii="楷体" w:hAnsi="楷体" w:eastAsia="楷体" w:cs="Arial"/>
                <w:b/>
                <w:sz w:val="22"/>
                <w:szCs w:val="22"/>
              </w:rPr>
            </w:pP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p>
        </w:tc>
        <w:tc>
          <w:tcPr>
            <w:tcW w:w="1864" w:type="dxa"/>
            <w:noWrap w:val="0"/>
            <w:vAlign w:val="center"/>
          </w:tcPr>
          <w:p>
            <w:pPr>
              <w:jc w:val="center"/>
              <w:rPr>
                <w:rFonts w:hint="eastAsia" w:ascii="楷体" w:hAnsi="楷体" w:eastAsia="楷体" w:cs="Arial"/>
                <w:b/>
                <w:sz w:val="22"/>
                <w:szCs w:val="22"/>
              </w:rPr>
            </w:pP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p>
        </w:tc>
        <w:tc>
          <w:tcPr>
            <w:tcW w:w="1864" w:type="dxa"/>
            <w:noWrap w:val="0"/>
            <w:vAlign w:val="center"/>
          </w:tcPr>
          <w:p>
            <w:pPr>
              <w:jc w:val="center"/>
              <w:rPr>
                <w:rFonts w:hint="eastAsia" w:ascii="楷体" w:hAnsi="楷体" w:eastAsia="楷体" w:cs="Arial"/>
                <w:b/>
                <w:sz w:val="22"/>
                <w:szCs w:val="22"/>
              </w:rPr>
            </w:pP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8" w:hRule="exact"/>
        </w:trPr>
        <w:tc>
          <w:tcPr>
            <w:tcW w:w="537" w:type="dxa"/>
            <w:noWrap w:val="0"/>
            <w:vAlign w:val="center"/>
          </w:tcPr>
          <w:p>
            <w:pPr>
              <w:jc w:val="center"/>
              <w:rPr>
                <w:rFonts w:hint="eastAsia" w:ascii="楷体" w:hAnsi="楷体" w:eastAsia="楷体" w:cs="Arial"/>
                <w:sz w:val="22"/>
                <w:szCs w:val="22"/>
              </w:rPr>
            </w:pPr>
          </w:p>
        </w:tc>
        <w:tc>
          <w:tcPr>
            <w:tcW w:w="1864" w:type="dxa"/>
            <w:noWrap w:val="0"/>
            <w:vAlign w:val="center"/>
          </w:tcPr>
          <w:p>
            <w:pPr>
              <w:jc w:val="center"/>
              <w:rPr>
                <w:rFonts w:hint="eastAsia" w:ascii="楷体" w:hAnsi="楷体" w:eastAsia="楷体" w:cs="Arial"/>
                <w:b/>
                <w:sz w:val="22"/>
                <w:szCs w:val="22"/>
              </w:rPr>
            </w:pPr>
          </w:p>
        </w:tc>
        <w:tc>
          <w:tcPr>
            <w:tcW w:w="1061" w:type="dxa"/>
            <w:tcBorders>
              <w:right w:val="single" w:color="auto" w:sz="4" w:space="0"/>
            </w:tcBorders>
            <w:noWrap w:val="0"/>
            <w:vAlign w:val="center"/>
          </w:tcPr>
          <w:p>
            <w:pPr>
              <w:jc w:val="center"/>
              <w:rPr>
                <w:rFonts w:hint="eastAsia" w:ascii="楷体" w:hAnsi="楷体" w:eastAsia="楷体" w:cs="Arial"/>
                <w:b/>
                <w:sz w:val="22"/>
                <w:szCs w:val="22"/>
              </w:rPr>
            </w:pPr>
          </w:p>
        </w:tc>
        <w:tc>
          <w:tcPr>
            <w:tcW w:w="1061" w:type="dxa"/>
            <w:tcBorders>
              <w:left w:val="single" w:color="auto" w:sz="4" w:space="0"/>
              <w:right w:val="single" w:color="auto" w:sz="4" w:space="0"/>
            </w:tcBorders>
            <w:noWrap w:val="0"/>
            <w:vAlign w:val="center"/>
          </w:tcPr>
          <w:p>
            <w:pPr>
              <w:jc w:val="center"/>
              <w:rPr>
                <w:rFonts w:hint="eastAsia" w:ascii="楷体" w:hAnsi="楷体" w:eastAsia="楷体" w:cs="Arial"/>
                <w:b/>
                <w:sz w:val="22"/>
                <w:szCs w:val="22"/>
              </w:rPr>
            </w:pPr>
          </w:p>
        </w:tc>
        <w:tc>
          <w:tcPr>
            <w:tcW w:w="2309" w:type="dxa"/>
            <w:tcBorders>
              <w:left w:val="single" w:color="auto" w:sz="4" w:space="0"/>
            </w:tcBorders>
            <w:noWrap w:val="0"/>
            <w:vAlign w:val="center"/>
          </w:tcPr>
          <w:p>
            <w:pPr>
              <w:jc w:val="center"/>
              <w:rPr>
                <w:rFonts w:hint="eastAsia" w:ascii="楷体" w:hAnsi="楷体" w:eastAsia="楷体" w:cs="Arial"/>
                <w:b/>
                <w:sz w:val="22"/>
                <w:szCs w:val="22"/>
              </w:rPr>
            </w:pPr>
          </w:p>
        </w:tc>
        <w:tc>
          <w:tcPr>
            <w:tcW w:w="1935" w:type="dxa"/>
            <w:noWrap w:val="0"/>
            <w:vAlign w:val="center"/>
          </w:tcPr>
          <w:p>
            <w:pPr>
              <w:jc w:val="center"/>
              <w:rPr>
                <w:rFonts w:hint="eastAsia" w:ascii="楷体" w:hAnsi="楷体" w:eastAsia="楷体" w:cs="Arial"/>
                <w:b/>
                <w:sz w:val="22"/>
                <w:szCs w:val="22"/>
              </w:rPr>
            </w:pPr>
          </w:p>
        </w:tc>
        <w:tc>
          <w:tcPr>
            <w:tcW w:w="1061" w:type="dxa"/>
            <w:noWrap w:val="0"/>
            <w:vAlign w:val="center"/>
          </w:tcPr>
          <w:p>
            <w:pPr>
              <w:jc w:val="center"/>
              <w:rPr>
                <w:rFonts w:hint="eastAsia" w:ascii="楷体" w:hAnsi="楷体" w:eastAsia="楷体" w:cs="Arial"/>
                <w:sz w:val="22"/>
                <w:szCs w:val="22"/>
              </w:rPr>
            </w:pPr>
          </w:p>
        </w:tc>
      </w:tr>
    </w:tbl>
    <w:p>
      <w:pPr>
        <w:pStyle w:val="7"/>
        <w:spacing w:line="360" w:lineRule="auto"/>
        <w:ind w:firstLine="0"/>
        <w:jc w:val="left"/>
        <w:rPr>
          <w:rFonts w:hint="eastAsia" w:ascii="楷体" w:hAnsi="楷体" w:eastAsia="楷体" w:cs="黑体"/>
          <w:sz w:val="22"/>
          <w:szCs w:val="22"/>
        </w:rPr>
      </w:pPr>
    </w:p>
    <w:p>
      <w:pPr>
        <w:pStyle w:val="7"/>
        <w:spacing w:line="360" w:lineRule="auto"/>
        <w:ind w:firstLine="0"/>
        <w:jc w:val="left"/>
        <w:rPr>
          <w:rFonts w:hint="eastAsia" w:ascii="楷体" w:hAnsi="楷体" w:eastAsia="楷体" w:cs="黑体"/>
          <w:sz w:val="22"/>
          <w:szCs w:val="22"/>
        </w:rPr>
      </w:pPr>
      <w:r>
        <w:rPr>
          <w:rFonts w:hint="eastAsia" w:ascii="楷体" w:hAnsi="楷体" w:eastAsia="楷体" w:cs="黑体"/>
          <w:sz w:val="22"/>
          <w:szCs w:val="22"/>
        </w:rPr>
        <w:t xml:space="preserve">注：  </w:t>
      </w:r>
    </w:p>
    <w:p>
      <w:pPr>
        <w:pStyle w:val="7"/>
        <w:spacing w:line="320" w:lineRule="exact"/>
        <w:ind w:firstLine="0"/>
        <w:jc w:val="left"/>
        <w:rPr>
          <w:rFonts w:hint="eastAsia" w:ascii="楷体" w:hAnsi="楷体" w:eastAsia="楷体" w:cs="黑体"/>
          <w:sz w:val="22"/>
          <w:szCs w:val="22"/>
        </w:rPr>
      </w:pPr>
      <w:r>
        <w:rPr>
          <w:rFonts w:hint="eastAsia" w:ascii="楷体" w:hAnsi="楷体" w:eastAsia="楷体" w:cs="黑体"/>
          <w:sz w:val="22"/>
          <w:szCs w:val="22"/>
        </w:rPr>
        <w:t>1、本表所列为供应商拟投入的已有</w:t>
      </w:r>
      <w:r>
        <w:rPr>
          <w:rFonts w:ascii="楷体" w:hAnsi="楷体" w:eastAsia="楷体" w:cs="黑体"/>
          <w:sz w:val="22"/>
          <w:szCs w:val="22"/>
        </w:rPr>
        <w:t>自有的保洁作业机具（</w:t>
      </w:r>
      <w:r>
        <w:rPr>
          <w:rFonts w:hint="eastAsia" w:ascii="楷体" w:hAnsi="楷体" w:eastAsia="楷体" w:cs="黑体"/>
          <w:sz w:val="22"/>
          <w:szCs w:val="22"/>
        </w:rPr>
        <w:t>如</w:t>
      </w:r>
      <w:r>
        <w:rPr>
          <w:rFonts w:hint="eastAsia" w:ascii="楷体" w:hAnsi="楷体" w:eastAsia="楷体" w:cs="Arial"/>
          <w:sz w:val="22"/>
          <w:szCs w:val="22"/>
        </w:rPr>
        <w:t>小型快速保洁车</w:t>
      </w:r>
      <w:r>
        <w:rPr>
          <w:rFonts w:ascii="楷体" w:hAnsi="楷体" w:eastAsia="楷体" w:cs="黑体"/>
          <w:sz w:val="22"/>
          <w:szCs w:val="22"/>
        </w:rPr>
        <w:t>、</w:t>
      </w:r>
      <w:r>
        <w:rPr>
          <w:rFonts w:hint="eastAsia" w:ascii="楷体" w:hAnsi="楷体" w:eastAsia="楷体" w:cs="Arial"/>
          <w:sz w:val="22"/>
          <w:szCs w:val="22"/>
        </w:rPr>
        <w:t>多功能高压清洗车、保洁作业手推车、垃圾运输车</w:t>
      </w:r>
      <w:r>
        <w:rPr>
          <w:rFonts w:hint="eastAsia" w:ascii="楷体" w:hAnsi="楷体" w:eastAsia="楷体" w:cs="黑体"/>
          <w:sz w:val="22"/>
          <w:szCs w:val="22"/>
        </w:rPr>
        <w:t>等，</w:t>
      </w:r>
      <w:r>
        <w:rPr>
          <w:rFonts w:ascii="楷体" w:hAnsi="楷体" w:eastAsia="楷体" w:cs="黑体"/>
          <w:sz w:val="22"/>
          <w:szCs w:val="22"/>
        </w:rPr>
        <w:t>附车辆</w:t>
      </w:r>
      <w:r>
        <w:rPr>
          <w:rFonts w:hint="eastAsia" w:ascii="楷体" w:hAnsi="楷体" w:eastAsia="楷体" w:cs="黑体"/>
          <w:sz w:val="22"/>
          <w:szCs w:val="22"/>
        </w:rPr>
        <w:t>购买发票</w:t>
      </w:r>
      <w:r>
        <w:rPr>
          <w:rFonts w:ascii="楷体" w:hAnsi="楷体" w:eastAsia="楷体" w:cs="黑体"/>
          <w:sz w:val="22"/>
          <w:szCs w:val="22"/>
        </w:rPr>
        <w:t>等证明材料</w:t>
      </w:r>
      <w:r>
        <w:rPr>
          <w:rFonts w:hint="eastAsia" w:ascii="楷体" w:hAnsi="楷体" w:eastAsia="楷体" w:cs="黑体"/>
          <w:sz w:val="22"/>
          <w:szCs w:val="22"/>
        </w:rPr>
        <w:t>，</w:t>
      </w:r>
      <w:r>
        <w:rPr>
          <w:rFonts w:ascii="楷体" w:hAnsi="楷体" w:eastAsia="楷体" w:cs="黑体"/>
          <w:sz w:val="22"/>
          <w:szCs w:val="22"/>
        </w:rPr>
        <w:t>复印件加盖公章，提交原件备查）</w:t>
      </w:r>
      <w:r>
        <w:rPr>
          <w:rFonts w:hint="eastAsia" w:ascii="楷体" w:hAnsi="楷体" w:eastAsia="楷体" w:cs="黑体"/>
          <w:sz w:val="22"/>
          <w:szCs w:val="22"/>
        </w:rPr>
        <w:t>及项目实施所需要的设备及工具</w:t>
      </w:r>
      <w:r>
        <w:rPr>
          <w:rFonts w:ascii="楷体" w:hAnsi="楷体" w:eastAsia="楷体" w:cs="黑体"/>
          <w:sz w:val="22"/>
          <w:szCs w:val="22"/>
        </w:rPr>
        <w:t>。</w:t>
      </w:r>
    </w:p>
    <w:p>
      <w:pPr>
        <w:pStyle w:val="7"/>
        <w:spacing w:line="320" w:lineRule="exact"/>
        <w:ind w:firstLine="0"/>
        <w:jc w:val="left"/>
        <w:rPr>
          <w:rFonts w:hint="eastAsia" w:ascii="楷体" w:hAnsi="楷体" w:eastAsia="楷体" w:cs="黑体"/>
          <w:sz w:val="22"/>
          <w:szCs w:val="22"/>
        </w:rPr>
      </w:pPr>
      <w:r>
        <w:rPr>
          <w:rFonts w:hint="eastAsia" w:ascii="楷体" w:hAnsi="楷体" w:eastAsia="楷体" w:cs="黑体"/>
          <w:sz w:val="22"/>
          <w:szCs w:val="22"/>
        </w:rPr>
        <w:t>2、此表仅提供了表格形式，供应商应根据需要准备足够数量的表格来填写。</w:t>
      </w:r>
    </w:p>
    <w:p>
      <w:pPr>
        <w:pStyle w:val="7"/>
        <w:spacing w:line="320" w:lineRule="exact"/>
        <w:ind w:firstLine="0"/>
        <w:jc w:val="left"/>
        <w:rPr>
          <w:rFonts w:hint="eastAsia" w:ascii="楷体" w:hAnsi="楷体" w:eastAsia="楷体" w:cs="Arial"/>
          <w:sz w:val="22"/>
        </w:rPr>
      </w:pPr>
      <w:r>
        <w:rPr>
          <w:rFonts w:hint="eastAsia" w:ascii="楷体" w:hAnsi="楷体" w:eastAsia="楷体" w:cs="Arial"/>
          <w:sz w:val="22"/>
        </w:rPr>
        <w:t>3、中标后必须按要求时间全部到位。</w:t>
      </w:r>
    </w:p>
    <w:p>
      <w:pPr>
        <w:pStyle w:val="7"/>
        <w:spacing w:line="320" w:lineRule="exact"/>
        <w:ind w:firstLine="0"/>
        <w:jc w:val="left"/>
        <w:rPr>
          <w:rFonts w:hint="eastAsia" w:ascii="楷体" w:hAnsi="楷体" w:eastAsia="楷体" w:cs="黑体"/>
          <w:sz w:val="22"/>
          <w:szCs w:val="22"/>
        </w:rPr>
      </w:pPr>
      <w:r>
        <w:rPr>
          <w:rFonts w:hint="eastAsia" w:ascii="楷体" w:hAnsi="楷体" w:eastAsia="楷体" w:cs="Arial"/>
          <w:sz w:val="22"/>
        </w:rPr>
        <w:t>4、但供应商应结合采购人投入本项目使用的车辆数量，在技术资信标中明确车辆投入总数量。</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投标人全称（盖章）：</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法定代表人或授权代表（签字或盖章）：</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日          期：  年  月  日</w:t>
      </w:r>
    </w:p>
    <w:p>
      <w:pPr>
        <w:spacing w:line="380" w:lineRule="exact"/>
        <w:rPr>
          <w:rFonts w:hint="eastAsia" w:ascii="楷体" w:hAnsi="楷体" w:eastAsia="楷体"/>
          <w:b/>
          <w:bCs/>
          <w:sz w:val="22"/>
          <w:szCs w:val="22"/>
        </w:rPr>
      </w:pPr>
      <w:r>
        <w:rPr>
          <w:rFonts w:ascii="楷体" w:hAnsi="楷体" w:eastAsia="楷体"/>
          <w:sz w:val="22"/>
          <w:szCs w:val="22"/>
        </w:rPr>
        <w:br w:type="page"/>
      </w:r>
      <w:r>
        <w:rPr>
          <w:rFonts w:hint="eastAsia" w:ascii="楷体" w:hAnsi="楷体" w:eastAsia="楷体"/>
          <w:b/>
          <w:bCs/>
          <w:sz w:val="22"/>
          <w:szCs w:val="22"/>
        </w:rPr>
        <w:t>附件七-2</w:t>
      </w:r>
    </w:p>
    <w:p>
      <w:pPr>
        <w:ind w:right="-10"/>
        <w:jc w:val="center"/>
        <w:rPr>
          <w:rFonts w:hint="eastAsia" w:ascii="楷体" w:hAnsi="楷体" w:eastAsia="楷体" w:cs="黑体"/>
          <w:b/>
          <w:bCs/>
          <w:sz w:val="32"/>
          <w:szCs w:val="32"/>
        </w:rPr>
      </w:pPr>
      <w:r>
        <w:rPr>
          <w:rFonts w:hint="eastAsia" w:ascii="楷体" w:hAnsi="楷体" w:eastAsia="楷体" w:cs="黑体"/>
          <w:b/>
          <w:bCs/>
          <w:sz w:val="32"/>
          <w:szCs w:val="32"/>
        </w:rPr>
        <w:t>拟投入中标后承诺购买的设备（工具）一览表</w:t>
      </w:r>
    </w:p>
    <w:p>
      <w:pPr>
        <w:spacing w:after="120" w:afterLines="50" w:line="400" w:lineRule="exact"/>
        <w:rPr>
          <w:rFonts w:hint="eastAsia" w:ascii="楷体" w:hAnsi="楷体" w:eastAsia="楷体" w:cs="黑体"/>
          <w:sz w:val="22"/>
          <w:szCs w:val="22"/>
        </w:rPr>
      </w:pPr>
    </w:p>
    <w:p>
      <w:pPr>
        <w:spacing w:after="120" w:afterLines="50" w:line="400" w:lineRule="exact"/>
        <w:rPr>
          <w:rFonts w:hint="eastAsia" w:ascii="楷体" w:hAnsi="楷体" w:eastAsia="楷体" w:cs="黑体"/>
          <w:sz w:val="22"/>
          <w:szCs w:val="22"/>
        </w:rPr>
      </w:pPr>
      <w:r>
        <w:rPr>
          <w:rFonts w:ascii="楷体" w:hAnsi="楷体" w:eastAsia="楷体" w:cs="黑体"/>
          <w:sz w:val="22"/>
          <w:szCs w:val="22"/>
        </w:rPr>
        <w:t>项目名称：                            项目编号：</w:t>
      </w:r>
    </w:p>
    <w:tbl>
      <w:tblPr>
        <w:tblStyle w:val="26"/>
        <w:tblW w:w="0" w:type="auto"/>
        <w:tblInd w:w="0" w:type="dxa"/>
        <w:tblLayout w:type="fixed"/>
        <w:tblCellMar>
          <w:top w:w="0" w:type="dxa"/>
          <w:left w:w="108" w:type="dxa"/>
          <w:bottom w:w="0" w:type="dxa"/>
          <w:right w:w="108" w:type="dxa"/>
        </w:tblCellMar>
      </w:tblPr>
      <w:tblGrid>
        <w:gridCol w:w="881"/>
        <w:gridCol w:w="2467"/>
        <w:gridCol w:w="1080"/>
        <w:gridCol w:w="1080"/>
        <w:gridCol w:w="1080"/>
        <w:gridCol w:w="1080"/>
        <w:gridCol w:w="1080"/>
        <w:gridCol w:w="1080"/>
      </w:tblGrid>
      <w:tr>
        <w:tblPrEx>
          <w:tblCellMar>
            <w:top w:w="0" w:type="dxa"/>
            <w:left w:w="108" w:type="dxa"/>
            <w:bottom w:w="0" w:type="dxa"/>
            <w:right w:w="108" w:type="dxa"/>
          </w:tblCellMar>
        </w:tblPrEx>
        <w:trPr>
          <w:wBefore w:w="0" w:type="dxa"/>
          <w:wAfter w:w="0" w:type="dxa"/>
          <w:trHeight w:val="567"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序号</w:t>
            </w:r>
          </w:p>
        </w:tc>
        <w:tc>
          <w:tcPr>
            <w:tcW w:w="24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设备工具名称</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规格型号、总质量</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Courier New"/>
                <w:kern w:val="0"/>
                <w:sz w:val="22"/>
                <w:szCs w:val="22"/>
              </w:rPr>
            </w:pPr>
            <w:r>
              <w:rPr>
                <w:rFonts w:hint="eastAsia" w:ascii="楷体" w:hAnsi="楷体" w:eastAsia="楷体" w:cs="Courier New"/>
                <w:kern w:val="0"/>
                <w:sz w:val="22"/>
                <w:szCs w:val="22"/>
              </w:rPr>
              <w:t>品牌/产地</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市场单价(元)</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合价</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hint="eastAsia" w:ascii="楷体" w:hAnsi="楷体" w:eastAsia="楷体" w:cs="Courier New"/>
                <w:kern w:val="0"/>
                <w:sz w:val="22"/>
                <w:szCs w:val="22"/>
              </w:rPr>
            </w:pPr>
            <w:r>
              <w:rPr>
                <w:rFonts w:hint="eastAsia" w:ascii="楷体" w:hAnsi="楷体" w:eastAsia="楷体" w:cs="Courier New"/>
                <w:kern w:val="0"/>
                <w:sz w:val="22"/>
                <w:szCs w:val="22"/>
              </w:rPr>
              <w:t>备注</w:t>
            </w: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1</w:t>
            </w:r>
          </w:p>
        </w:tc>
        <w:tc>
          <w:tcPr>
            <w:tcW w:w="2467" w:type="dxa"/>
            <w:tcBorders>
              <w:top w:val="nil"/>
              <w:left w:val="nil"/>
              <w:bottom w:val="single" w:color="auto" w:sz="4" w:space="0"/>
              <w:right w:val="single" w:color="auto" w:sz="4" w:space="0"/>
            </w:tcBorders>
            <w:noWrap w:val="0"/>
            <w:vAlign w:val="center"/>
          </w:tcPr>
          <w:p>
            <w:pPr>
              <w:tabs>
                <w:tab w:val="left" w:pos="930"/>
              </w:tabs>
              <w:spacing w:line="400" w:lineRule="exact"/>
              <w:jc w:val="center"/>
              <w:rPr>
                <w:rFonts w:hint="eastAsia" w:ascii="楷体" w:hAnsi="楷体" w:eastAsia="楷体" w:cs="Arial"/>
                <w:b/>
                <w:sz w:val="22"/>
                <w:szCs w:val="22"/>
              </w:rPr>
            </w:pPr>
            <w:r>
              <w:rPr>
                <w:rFonts w:hint="eastAsia" w:ascii="楷体" w:hAnsi="楷体" w:eastAsia="楷体" w:cs="Arial"/>
                <w:sz w:val="22"/>
                <w:szCs w:val="22"/>
              </w:rPr>
              <w:t>小型快速保洁车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2</w:t>
            </w:r>
          </w:p>
        </w:tc>
        <w:tc>
          <w:tcPr>
            <w:tcW w:w="2467" w:type="dxa"/>
            <w:tcBorders>
              <w:top w:val="nil"/>
              <w:left w:val="nil"/>
              <w:bottom w:val="single" w:color="auto" w:sz="4" w:space="0"/>
              <w:right w:val="single" w:color="auto" w:sz="4" w:space="0"/>
            </w:tcBorders>
            <w:noWrap w:val="0"/>
            <w:vAlign w:val="center"/>
          </w:tcPr>
          <w:p>
            <w:pPr>
              <w:tabs>
                <w:tab w:val="left" w:pos="930"/>
              </w:tabs>
              <w:spacing w:line="400" w:lineRule="exact"/>
              <w:jc w:val="center"/>
              <w:rPr>
                <w:rFonts w:hint="eastAsia" w:ascii="楷体" w:hAnsi="楷体" w:eastAsia="楷体" w:cs="Arial"/>
                <w:b/>
                <w:sz w:val="22"/>
                <w:szCs w:val="22"/>
              </w:rPr>
            </w:pPr>
            <w:r>
              <w:rPr>
                <w:rFonts w:hint="eastAsia" w:ascii="楷体" w:hAnsi="楷体" w:eastAsia="楷体" w:cs="Arial"/>
                <w:sz w:val="22"/>
                <w:szCs w:val="22"/>
              </w:rPr>
              <w:t>多功能高压清洗车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3</w:t>
            </w:r>
          </w:p>
        </w:tc>
        <w:tc>
          <w:tcPr>
            <w:tcW w:w="2467" w:type="dxa"/>
            <w:tcBorders>
              <w:top w:val="nil"/>
              <w:left w:val="nil"/>
              <w:bottom w:val="single" w:color="auto" w:sz="4" w:space="0"/>
              <w:right w:val="single" w:color="auto" w:sz="4" w:space="0"/>
            </w:tcBorders>
            <w:noWrap w:val="0"/>
            <w:vAlign w:val="top"/>
          </w:tcPr>
          <w:p>
            <w:pPr>
              <w:tabs>
                <w:tab w:val="left" w:pos="930"/>
              </w:tabs>
              <w:spacing w:line="400" w:lineRule="exact"/>
              <w:jc w:val="center"/>
              <w:rPr>
                <w:rFonts w:hint="eastAsia" w:ascii="楷体" w:hAnsi="楷体" w:eastAsia="楷体" w:cs="Arial"/>
                <w:sz w:val="22"/>
                <w:szCs w:val="22"/>
              </w:rPr>
            </w:pPr>
            <w:r>
              <w:rPr>
                <w:rFonts w:hint="eastAsia" w:ascii="楷体" w:hAnsi="楷体" w:eastAsia="楷体" w:cs="Arial"/>
                <w:sz w:val="22"/>
                <w:szCs w:val="22"/>
              </w:rPr>
              <w:t>保洁作业手推车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4</w:t>
            </w:r>
          </w:p>
        </w:tc>
        <w:tc>
          <w:tcPr>
            <w:tcW w:w="2467" w:type="dxa"/>
            <w:tcBorders>
              <w:top w:val="nil"/>
              <w:left w:val="nil"/>
              <w:bottom w:val="single" w:color="auto" w:sz="4" w:space="0"/>
              <w:right w:val="single" w:color="auto" w:sz="4" w:space="0"/>
            </w:tcBorders>
            <w:noWrap w:val="0"/>
            <w:vAlign w:val="top"/>
          </w:tcPr>
          <w:p>
            <w:pPr>
              <w:tabs>
                <w:tab w:val="left" w:pos="930"/>
              </w:tabs>
              <w:spacing w:line="400" w:lineRule="exact"/>
              <w:jc w:val="center"/>
              <w:rPr>
                <w:rFonts w:hint="eastAsia" w:ascii="楷体" w:hAnsi="楷体" w:eastAsia="楷体" w:cs="Arial"/>
                <w:sz w:val="22"/>
                <w:szCs w:val="22"/>
              </w:rPr>
            </w:pPr>
            <w:r>
              <w:rPr>
                <w:rFonts w:hint="eastAsia" w:ascii="楷体" w:hAnsi="楷体" w:eastAsia="楷体" w:cs="Arial"/>
                <w:sz w:val="22"/>
                <w:szCs w:val="22"/>
              </w:rPr>
              <w:t>垃圾运输车</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5</w:t>
            </w:r>
          </w:p>
        </w:tc>
        <w:tc>
          <w:tcPr>
            <w:tcW w:w="2467" w:type="dxa"/>
            <w:tcBorders>
              <w:top w:val="nil"/>
              <w:left w:val="nil"/>
              <w:bottom w:val="single" w:color="auto" w:sz="4" w:space="0"/>
              <w:right w:val="single" w:color="auto" w:sz="4" w:space="0"/>
            </w:tcBorders>
            <w:noWrap w:val="0"/>
            <w:vAlign w:val="top"/>
          </w:tcPr>
          <w:p>
            <w:pPr>
              <w:tabs>
                <w:tab w:val="left" w:pos="930"/>
              </w:tabs>
              <w:spacing w:line="400" w:lineRule="exact"/>
              <w:jc w:val="center"/>
              <w:rPr>
                <w:rFonts w:ascii="楷体" w:hAnsi="楷体" w:eastAsia="楷体" w:cs="Arial"/>
                <w:sz w:val="22"/>
                <w:szCs w:val="22"/>
              </w:rPr>
            </w:pPr>
            <w:r>
              <w:rPr>
                <w:rFonts w:hint="eastAsia" w:ascii="楷体" w:hAnsi="楷体" w:eastAsia="楷体" w:cs="Arial"/>
                <w:sz w:val="22"/>
                <w:szCs w:val="22"/>
              </w:rPr>
              <w:t>……</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r>
        <w:tblPrEx>
          <w:tblCellMar>
            <w:top w:w="0" w:type="dxa"/>
            <w:left w:w="108" w:type="dxa"/>
            <w:bottom w:w="0" w:type="dxa"/>
            <w:right w:w="108" w:type="dxa"/>
          </w:tblCellMar>
        </w:tblPrEx>
        <w:trPr>
          <w:wBefore w:w="0" w:type="dxa"/>
          <w:wAfter w:w="0" w:type="dxa"/>
          <w:trHeight w:val="567" w:hRule="atLeast"/>
        </w:trPr>
        <w:tc>
          <w:tcPr>
            <w:tcW w:w="88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2467"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r>
              <w:rPr>
                <w:rFonts w:hint="eastAsia" w:ascii="楷体" w:hAnsi="楷体" w:eastAsia="楷体" w:cs="Courier New"/>
                <w:kern w:val="0"/>
                <w:sz w:val="22"/>
                <w:szCs w:val="22"/>
              </w:rPr>
              <w:t>合计</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b/>
                <w:bCs/>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Courier New"/>
                <w:kern w:val="0"/>
                <w:sz w:val="22"/>
                <w:szCs w:val="22"/>
              </w:rPr>
            </w:pPr>
          </w:p>
        </w:tc>
      </w:tr>
    </w:tbl>
    <w:p>
      <w:pPr>
        <w:pStyle w:val="13"/>
        <w:spacing w:line="320" w:lineRule="exact"/>
        <w:ind w:left="988" w:leftChars="104" w:hanging="770" w:hangingChars="350"/>
        <w:rPr>
          <w:rFonts w:hint="eastAsia" w:ascii="楷体" w:hAnsi="楷体" w:eastAsia="楷体" w:cs="Arial"/>
          <w:sz w:val="22"/>
        </w:rPr>
      </w:pPr>
    </w:p>
    <w:p>
      <w:pPr>
        <w:pStyle w:val="13"/>
        <w:spacing w:line="320" w:lineRule="exact"/>
        <w:ind w:left="988" w:leftChars="104" w:hanging="770" w:hangingChars="350"/>
        <w:rPr>
          <w:rFonts w:hint="eastAsia" w:ascii="楷体" w:hAnsi="楷体" w:eastAsia="楷体" w:cs="Arial"/>
          <w:sz w:val="22"/>
        </w:rPr>
      </w:pPr>
      <w:r>
        <w:rPr>
          <w:rFonts w:hint="eastAsia" w:ascii="楷体" w:hAnsi="楷体" w:eastAsia="楷体" w:cs="Arial"/>
          <w:sz w:val="22"/>
        </w:rPr>
        <w:t>注：</w:t>
      </w:r>
    </w:p>
    <w:p>
      <w:pPr>
        <w:pStyle w:val="13"/>
        <w:spacing w:line="320" w:lineRule="exact"/>
        <w:ind w:left="988" w:leftChars="104" w:hanging="770" w:hangingChars="350"/>
        <w:rPr>
          <w:rFonts w:hint="eastAsia" w:ascii="楷体" w:hAnsi="楷体" w:eastAsia="楷体" w:cs="Arial"/>
          <w:sz w:val="22"/>
          <w:highlight w:val="green"/>
        </w:rPr>
      </w:pPr>
      <w:r>
        <w:rPr>
          <w:rFonts w:hint="eastAsia" w:ascii="楷体" w:hAnsi="楷体" w:eastAsia="楷体" w:cs="Arial"/>
          <w:sz w:val="22"/>
        </w:rPr>
        <w:t>1、本表所列为投标人中标后承诺购买的保洁作业机具（</w:t>
      </w:r>
      <w:r>
        <w:rPr>
          <w:rFonts w:hint="eastAsia" w:ascii="楷体" w:hAnsi="楷体" w:eastAsia="楷体" w:cs="黑体"/>
          <w:sz w:val="22"/>
          <w:szCs w:val="22"/>
        </w:rPr>
        <w:t>如</w:t>
      </w:r>
      <w:r>
        <w:rPr>
          <w:rFonts w:hint="eastAsia" w:ascii="楷体" w:hAnsi="楷体" w:eastAsia="楷体" w:cs="Arial"/>
          <w:sz w:val="22"/>
          <w:szCs w:val="22"/>
        </w:rPr>
        <w:t>小型快速保洁车</w:t>
      </w:r>
      <w:r>
        <w:rPr>
          <w:rFonts w:ascii="楷体" w:hAnsi="楷体" w:eastAsia="楷体" w:cs="黑体"/>
          <w:sz w:val="22"/>
          <w:szCs w:val="22"/>
        </w:rPr>
        <w:t>、</w:t>
      </w:r>
      <w:r>
        <w:rPr>
          <w:rFonts w:hint="eastAsia" w:ascii="楷体" w:hAnsi="楷体" w:eastAsia="楷体" w:cs="Arial"/>
          <w:sz w:val="22"/>
          <w:szCs w:val="22"/>
        </w:rPr>
        <w:t>多功能高压清洗车、保洁作业手推车、垃圾运输车</w:t>
      </w:r>
      <w:r>
        <w:rPr>
          <w:rFonts w:hint="eastAsia" w:ascii="楷体" w:hAnsi="楷体" w:eastAsia="楷体" w:cs="黑体"/>
          <w:sz w:val="22"/>
          <w:szCs w:val="22"/>
        </w:rPr>
        <w:t>等</w:t>
      </w:r>
      <w:r>
        <w:rPr>
          <w:rFonts w:hint="eastAsia" w:ascii="楷体" w:hAnsi="楷体" w:eastAsia="楷体" w:cs="Arial"/>
          <w:sz w:val="22"/>
        </w:rPr>
        <w:t>）清单</w:t>
      </w:r>
      <w:r>
        <w:rPr>
          <w:rFonts w:hint="eastAsia" w:ascii="楷体" w:hAnsi="楷体" w:eastAsia="楷体" w:cs="黑体"/>
          <w:sz w:val="22"/>
          <w:szCs w:val="22"/>
        </w:rPr>
        <w:t>及项目实施所需要的设备及工具。</w:t>
      </w:r>
    </w:p>
    <w:p>
      <w:pPr>
        <w:pStyle w:val="13"/>
        <w:spacing w:line="320" w:lineRule="exact"/>
        <w:ind w:left="988" w:leftChars="104" w:hanging="770" w:hangingChars="350"/>
        <w:rPr>
          <w:rFonts w:hint="eastAsia" w:ascii="楷体" w:hAnsi="楷体" w:eastAsia="楷体" w:cs="Arial"/>
          <w:sz w:val="22"/>
        </w:rPr>
      </w:pPr>
      <w:r>
        <w:rPr>
          <w:rFonts w:hint="eastAsia" w:ascii="楷体" w:hAnsi="楷体" w:eastAsia="楷体" w:cs="Arial"/>
          <w:sz w:val="22"/>
        </w:rPr>
        <w:t>2、此表仅提供了表格形式，投标人可按此表格复制。</w:t>
      </w:r>
    </w:p>
    <w:p>
      <w:pPr>
        <w:pStyle w:val="13"/>
        <w:spacing w:line="320" w:lineRule="exact"/>
        <w:ind w:left="988" w:leftChars="104" w:hanging="770" w:hangingChars="350"/>
        <w:rPr>
          <w:rFonts w:hint="eastAsia" w:ascii="楷体" w:hAnsi="楷体" w:eastAsia="楷体" w:cs="Arial"/>
          <w:sz w:val="22"/>
        </w:rPr>
      </w:pPr>
      <w:r>
        <w:rPr>
          <w:rFonts w:hint="eastAsia" w:ascii="楷体" w:hAnsi="楷体" w:eastAsia="楷体" w:cs="Arial"/>
          <w:sz w:val="22"/>
        </w:rPr>
        <w:t>3、此表为资信标有关内容的评审依据。</w:t>
      </w:r>
    </w:p>
    <w:p>
      <w:pPr>
        <w:pStyle w:val="13"/>
        <w:spacing w:line="320" w:lineRule="exact"/>
        <w:ind w:left="988" w:leftChars="104" w:hanging="770" w:hangingChars="350"/>
        <w:rPr>
          <w:rFonts w:hint="eastAsia" w:ascii="楷体" w:hAnsi="楷体" w:eastAsia="楷体" w:cs="Arial"/>
          <w:sz w:val="22"/>
        </w:rPr>
      </w:pPr>
      <w:r>
        <w:rPr>
          <w:rFonts w:hint="eastAsia" w:ascii="楷体" w:hAnsi="楷体" w:eastAsia="楷体" w:cs="Arial"/>
          <w:sz w:val="22"/>
        </w:rPr>
        <w:t>4、中标后必须按要求时间全部到位。</w:t>
      </w:r>
    </w:p>
    <w:p>
      <w:pPr>
        <w:tabs>
          <w:tab w:val="left" w:pos="840"/>
        </w:tabs>
        <w:adjustRightInd w:val="0"/>
        <w:snapToGrid w:val="0"/>
        <w:spacing w:line="360" w:lineRule="auto"/>
        <w:rPr>
          <w:rFonts w:hint="eastAsia" w:ascii="楷体" w:hAnsi="楷体" w:eastAsia="楷体"/>
          <w:sz w:val="22"/>
          <w:szCs w:val="22"/>
        </w:rPr>
      </w:pP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投标人全称（盖章）：</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投标人权代表（签字）：</w:t>
      </w:r>
    </w:p>
    <w:p>
      <w:pPr>
        <w:tabs>
          <w:tab w:val="left" w:pos="840"/>
        </w:tabs>
        <w:adjustRightInd w:val="0"/>
        <w:snapToGrid w:val="0"/>
        <w:spacing w:line="360" w:lineRule="auto"/>
        <w:ind w:left="420" w:leftChars="200" w:firstLine="330" w:firstLineChars="150"/>
        <w:rPr>
          <w:rFonts w:ascii="楷体" w:hAnsi="楷体" w:eastAsia="楷体"/>
          <w:sz w:val="22"/>
          <w:szCs w:val="22"/>
        </w:rPr>
      </w:pPr>
      <w:r>
        <w:rPr>
          <w:rFonts w:hint="eastAsia" w:ascii="楷体" w:hAnsi="楷体" w:eastAsia="楷体"/>
          <w:sz w:val="22"/>
          <w:szCs w:val="22"/>
        </w:rPr>
        <w:t>日    期：    年   月   日</w:t>
      </w:r>
    </w:p>
    <w:p>
      <w:pPr>
        <w:spacing w:line="380" w:lineRule="exact"/>
        <w:rPr>
          <w:rFonts w:hint="eastAsia" w:ascii="楷体" w:hAnsi="楷体" w:eastAsia="楷体"/>
          <w:b/>
          <w:bCs/>
          <w:sz w:val="22"/>
          <w:szCs w:val="22"/>
        </w:rPr>
      </w:pPr>
      <w:r>
        <w:rPr>
          <w:rFonts w:ascii="楷体" w:hAnsi="楷体" w:eastAsia="楷体"/>
          <w:sz w:val="22"/>
          <w:szCs w:val="22"/>
        </w:rPr>
        <w:br w:type="page"/>
      </w:r>
      <w:r>
        <w:rPr>
          <w:rFonts w:hint="eastAsia" w:ascii="楷体" w:hAnsi="楷体" w:eastAsia="楷体"/>
          <w:b/>
          <w:bCs/>
          <w:sz w:val="22"/>
          <w:szCs w:val="22"/>
        </w:rPr>
        <w:t>附件七-3</w:t>
      </w:r>
    </w:p>
    <w:p>
      <w:pPr>
        <w:spacing w:line="380" w:lineRule="exact"/>
        <w:rPr>
          <w:rFonts w:hint="eastAsia" w:ascii="楷体" w:hAnsi="楷体" w:eastAsia="楷体"/>
          <w:b/>
          <w:bCs/>
          <w:sz w:val="22"/>
          <w:szCs w:val="22"/>
        </w:rPr>
      </w:pPr>
    </w:p>
    <w:p>
      <w:pPr>
        <w:autoSpaceDE w:val="0"/>
        <w:autoSpaceDN w:val="0"/>
        <w:spacing w:line="380" w:lineRule="exact"/>
        <w:jc w:val="left"/>
        <w:rPr>
          <w:rFonts w:hint="eastAsia" w:ascii="楷体" w:hAnsi="楷体" w:eastAsia="楷体" w:cs="楷体"/>
          <w:b/>
          <w:sz w:val="22"/>
        </w:rPr>
      </w:pPr>
    </w:p>
    <w:p>
      <w:pPr>
        <w:ind w:right="-10"/>
        <w:jc w:val="center"/>
        <w:rPr>
          <w:rFonts w:hint="eastAsia" w:ascii="楷体" w:hAnsi="楷体" w:eastAsia="楷体" w:cs="黑体"/>
          <w:b/>
          <w:bCs/>
          <w:sz w:val="32"/>
          <w:szCs w:val="32"/>
        </w:rPr>
      </w:pPr>
      <w:r>
        <w:rPr>
          <w:rFonts w:hint="eastAsia" w:ascii="楷体" w:hAnsi="楷体" w:eastAsia="楷体" w:cs="黑体"/>
          <w:b/>
          <w:bCs/>
          <w:sz w:val="32"/>
          <w:szCs w:val="32"/>
        </w:rPr>
        <w:t>购买新车承诺书</w:t>
      </w:r>
    </w:p>
    <w:p>
      <w:pPr>
        <w:spacing w:line="380" w:lineRule="exact"/>
        <w:rPr>
          <w:rFonts w:hint="eastAsia" w:ascii="楷体" w:hAnsi="楷体" w:eastAsia="楷体"/>
          <w:b/>
          <w:bCs/>
          <w:sz w:val="22"/>
          <w:szCs w:val="22"/>
        </w:rPr>
      </w:pPr>
      <w:r>
        <w:rPr>
          <w:rFonts w:hint="eastAsia" w:ascii="楷体" w:hAnsi="楷体" w:eastAsia="楷体" w:cs="楷体"/>
          <w:b/>
          <w:sz w:val="24"/>
        </w:rPr>
        <w:t xml:space="preserve">项目名称：                                         采购编号：     </w:t>
      </w:r>
    </w:p>
    <w:p>
      <w:pPr>
        <w:spacing w:line="600" w:lineRule="exact"/>
        <w:ind w:left="108" w:hanging="107" w:hangingChars="49"/>
        <w:rPr>
          <w:rFonts w:hint="eastAsia" w:ascii="楷体" w:hAnsi="楷体" w:eastAsia="楷体" w:cs="楷体"/>
          <w:sz w:val="22"/>
        </w:rPr>
      </w:pPr>
      <w:r>
        <w:rPr>
          <w:rFonts w:hint="eastAsia" w:ascii="楷体" w:hAnsi="楷体" w:eastAsia="楷体" w:cs="楷体"/>
          <w:sz w:val="22"/>
        </w:rPr>
        <w:t>温州市鹿城区人民政府五马街道办事处：</w:t>
      </w:r>
    </w:p>
    <w:p>
      <w:pPr>
        <w:spacing w:line="600" w:lineRule="exact"/>
        <w:ind w:left="107" w:leftChars="51" w:firstLine="440" w:firstLineChars="200"/>
        <w:rPr>
          <w:rFonts w:hint="eastAsia" w:ascii="楷体" w:hAnsi="楷体" w:eastAsia="楷体" w:cs="楷体"/>
          <w:sz w:val="22"/>
        </w:rPr>
      </w:pPr>
      <w:r>
        <w:rPr>
          <w:rFonts w:hint="eastAsia" w:ascii="楷体" w:hAnsi="楷体" w:eastAsia="楷体" w:cs="楷体"/>
          <w:sz w:val="22"/>
        </w:rPr>
        <w:t>我公司就</w:t>
      </w:r>
      <w:r>
        <w:rPr>
          <w:rFonts w:hint="eastAsia" w:ascii="楷体" w:hAnsi="楷体" w:eastAsia="楷体" w:cs="楷体"/>
          <w:sz w:val="22"/>
          <w:u w:val="single"/>
        </w:rPr>
        <w:t>温州市鹿城区人民政府五马街道办事处道路及楼道清扫保洁项目</w:t>
      </w:r>
      <w:r>
        <w:rPr>
          <w:rFonts w:hint="eastAsia" w:ascii="楷体" w:hAnsi="楷体" w:eastAsia="楷体" w:cs="楷体"/>
          <w:sz w:val="22"/>
        </w:rPr>
        <w:t>（项目编号：       ）的投标购买新车作如下承诺：若我公司在本项目中标，将按照采购文件规定</w:t>
      </w:r>
      <w:r>
        <w:rPr>
          <w:rFonts w:hint="eastAsia" w:ascii="楷体" w:hAnsi="楷体" w:eastAsia="楷体" w:cs="楷体"/>
          <w:spacing w:val="6"/>
          <w:sz w:val="22"/>
          <w:szCs w:val="22"/>
        </w:rPr>
        <w:t>在中标通知书发出之日起（以中标通知书落款日期为准）3个日历天内向采购单位提交相应的保证金且须在20个工作日内按要求时间（</w:t>
      </w:r>
      <w:r>
        <w:rPr>
          <w:rFonts w:hint="eastAsia" w:ascii="楷体" w:hAnsi="楷体" w:eastAsia="楷体" w:cs="楷体"/>
          <w:spacing w:val="6"/>
          <w:sz w:val="22"/>
          <w:szCs w:val="22"/>
          <w:u w:val="single"/>
        </w:rPr>
        <w:t xml:space="preserve">采购的新车   </w:t>
      </w:r>
      <w:r>
        <w:rPr>
          <w:rFonts w:hint="eastAsia" w:ascii="楷体" w:hAnsi="楷体" w:eastAsia="楷体" w:cs="楷体"/>
          <w:spacing w:val="6"/>
          <w:sz w:val="22"/>
          <w:szCs w:val="22"/>
        </w:rPr>
        <w:t>）到位投入清扫工作</w:t>
      </w:r>
      <w:r>
        <w:rPr>
          <w:rFonts w:hint="eastAsia" w:ascii="楷体" w:hAnsi="楷体" w:eastAsia="楷体" w:cs="楷体"/>
          <w:sz w:val="22"/>
        </w:rPr>
        <w:t>，如不能履行上述承诺，视为我公司自动放弃中标资格，</w:t>
      </w:r>
      <w:r>
        <w:rPr>
          <w:rFonts w:hint="eastAsia" w:ascii="楷体" w:hAnsi="楷体" w:eastAsia="楷体" w:cs="楷体"/>
          <w:spacing w:val="6"/>
          <w:sz w:val="22"/>
          <w:szCs w:val="22"/>
        </w:rPr>
        <w:t>且有权取消其中标资格。</w:t>
      </w:r>
    </w:p>
    <w:p>
      <w:pPr>
        <w:spacing w:line="600" w:lineRule="exact"/>
        <w:ind w:left="107" w:leftChars="51" w:firstLine="464" w:firstLineChars="200"/>
        <w:rPr>
          <w:rFonts w:hint="eastAsia" w:ascii="楷体" w:hAnsi="楷体" w:eastAsia="楷体" w:cs="楷体"/>
          <w:spacing w:val="6"/>
          <w:sz w:val="22"/>
          <w:szCs w:val="22"/>
        </w:rPr>
      </w:pPr>
    </w:p>
    <w:p>
      <w:pPr>
        <w:spacing w:line="600" w:lineRule="exact"/>
        <w:ind w:left="107" w:leftChars="51" w:firstLine="464" w:firstLineChars="200"/>
        <w:rPr>
          <w:rFonts w:hint="eastAsia" w:ascii="楷体" w:hAnsi="楷体" w:eastAsia="楷体" w:cs="楷体"/>
          <w:spacing w:val="6"/>
          <w:sz w:val="22"/>
          <w:szCs w:val="22"/>
        </w:rPr>
      </w:pPr>
    </w:p>
    <w:p>
      <w:pPr>
        <w:spacing w:line="600" w:lineRule="exact"/>
        <w:ind w:left="107" w:leftChars="51" w:firstLine="330" w:firstLineChars="150"/>
        <w:rPr>
          <w:rFonts w:hint="eastAsia" w:ascii="楷体" w:hAnsi="楷体" w:eastAsia="楷体" w:cs="楷体"/>
          <w:sz w:val="22"/>
        </w:rPr>
      </w:pPr>
      <w:r>
        <w:rPr>
          <w:rFonts w:hint="eastAsia" w:ascii="楷体" w:hAnsi="楷体" w:eastAsia="楷体" w:cs="楷体"/>
          <w:sz w:val="22"/>
        </w:rPr>
        <w:t>特此承诺！</w:t>
      </w:r>
    </w:p>
    <w:p>
      <w:pPr>
        <w:spacing w:line="600" w:lineRule="exact"/>
        <w:ind w:left="108" w:hanging="107" w:hangingChars="49"/>
        <w:rPr>
          <w:rFonts w:hint="eastAsia" w:ascii="楷体" w:hAnsi="楷体" w:eastAsia="楷体" w:cs="楷体"/>
          <w:sz w:val="22"/>
        </w:rPr>
      </w:pPr>
    </w:p>
    <w:p>
      <w:pPr>
        <w:spacing w:line="600" w:lineRule="exact"/>
        <w:ind w:left="108" w:hanging="107" w:hangingChars="49"/>
        <w:rPr>
          <w:rFonts w:hint="eastAsia" w:ascii="楷体" w:hAnsi="楷体" w:eastAsia="楷体" w:cs="楷体"/>
          <w:sz w:val="22"/>
        </w:rPr>
      </w:pPr>
    </w:p>
    <w:p>
      <w:pPr>
        <w:spacing w:line="380" w:lineRule="exact"/>
        <w:ind w:firstLine="4400" w:firstLineChars="2000"/>
        <w:jc w:val="right"/>
        <w:rPr>
          <w:rFonts w:hint="eastAsia" w:ascii="楷体" w:hAnsi="楷体" w:eastAsia="楷体" w:cs="楷体"/>
          <w:sz w:val="22"/>
          <w:szCs w:val="22"/>
        </w:rPr>
      </w:pPr>
      <w:r>
        <w:rPr>
          <w:rFonts w:hint="eastAsia" w:ascii="楷体" w:hAnsi="楷体" w:eastAsia="楷体" w:cs="楷体"/>
          <w:sz w:val="22"/>
          <w:szCs w:val="22"/>
        </w:rPr>
        <w:t>供应商全称（盖章）：</w:t>
      </w:r>
    </w:p>
    <w:p>
      <w:pPr>
        <w:spacing w:line="380" w:lineRule="exact"/>
        <w:ind w:firstLine="4200" w:firstLineChars="2000"/>
        <w:jc w:val="right"/>
        <w:rPr>
          <w:rFonts w:hint="eastAsia" w:ascii="楷体" w:hAnsi="楷体" w:eastAsia="楷体" w:cs="楷体"/>
          <w:sz w:val="22"/>
          <w:szCs w:val="22"/>
        </w:rPr>
      </w:pPr>
      <w:r>
        <w:rPr>
          <w:rFonts w:hint="eastAsia" w:ascii="楷体" w:hAnsi="楷体" w:eastAsia="楷体" w:cs="楷体"/>
          <w:kern w:val="0"/>
          <w:szCs w:val="21"/>
        </w:rPr>
        <w:t>法定代表人或其授权代表（签字或盖章）</w:t>
      </w:r>
      <w:r>
        <w:rPr>
          <w:rFonts w:hint="eastAsia" w:ascii="楷体" w:hAnsi="楷体" w:eastAsia="楷体" w:cs="楷体"/>
          <w:sz w:val="22"/>
          <w:szCs w:val="22"/>
        </w:rPr>
        <w:t>：</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cs="楷体"/>
          <w:sz w:val="22"/>
          <w:szCs w:val="22"/>
        </w:rPr>
        <w:t>日    期：     年   月  日</w:t>
      </w:r>
    </w:p>
    <w:p>
      <w:pPr>
        <w:spacing w:line="380" w:lineRule="exact"/>
        <w:rPr>
          <w:rFonts w:hint="eastAsia" w:ascii="楷体" w:hAnsi="楷体" w:eastAsia="楷体"/>
          <w:b/>
          <w:bCs/>
          <w:sz w:val="22"/>
          <w:szCs w:val="22"/>
        </w:rPr>
      </w:pPr>
      <w:r>
        <w:rPr>
          <w:rFonts w:ascii="楷体" w:hAnsi="楷体" w:eastAsia="楷体"/>
          <w:b/>
          <w:bCs/>
          <w:sz w:val="22"/>
          <w:szCs w:val="22"/>
        </w:rPr>
        <w:br w:type="page"/>
      </w:r>
      <w:r>
        <w:rPr>
          <w:rFonts w:hint="eastAsia" w:ascii="楷体" w:hAnsi="楷体" w:eastAsia="楷体"/>
          <w:b/>
          <w:bCs/>
          <w:sz w:val="22"/>
          <w:szCs w:val="22"/>
        </w:rPr>
        <w:t>附件八</w:t>
      </w:r>
    </w:p>
    <w:p>
      <w:pPr>
        <w:ind w:right="-10"/>
        <w:jc w:val="center"/>
        <w:rPr>
          <w:rFonts w:hint="eastAsia" w:ascii="楷体" w:hAnsi="楷体" w:eastAsia="楷体" w:cs="黑体"/>
          <w:b/>
          <w:bCs/>
          <w:sz w:val="30"/>
          <w:szCs w:val="30"/>
        </w:rPr>
      </w:pPr>
      <w:r>
        <w:rPr>
          <w:rFonts w:hint="eastAsia" w:ascii="楷体" w:hAnsi="楷体" w:eastAsia="楷体" w:cs="黑体"/>
          <w:b/>
          <w:bCs/>
          <w:sz w:val="30"/>
          <w:szCs w:val="30"/>
        </w:rPr>
        <w:t>拟投入消耗品一览表</w:t>
      </w:r>
    </w:p>
    <w:p>
      <w:pPr>
        <w:spacing w:after="120" w:afterLines="50" w:line="400" w:lineRule="exact"/>
        <w:rPr>
          <w:rFonts w:hint="eastAsia" w:ascii="楷体" w:hAnsi="楷体" w:eastAsia="楷体" w:cs="黑体"/>
          <w:sz w:val="22"/>
          <w:szCs w:val="22"/>
        </w:rPr>
      </w:pPr>
      <w:r>
        <w:rPr>
          <w:rFonts w:hint="eastAsia" w:ascii="楷体" w:hAnsi="楷体" w:eastAsia="楷体" w:cs="黑体"/>
          <w:sz w:val="22"/>
          <w:szCs w:val="22"/>
        </w:rPr>
        <w:t xml:space="preserve">项目名称：                                               招标编号： </w:t>
      </w:r>
    </w:p>
    <w:tbl>
      <w:tblPr>
        <w:tblStyle w:val="2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108" w:type="dxa"/>
          <w:bottom w:w="0" w:type="dxa"/>
          <w:right w:w="108" w:type="dxa"/>
        </w:tblCellMar>
      </w:tblPr>
      <w:tblGrid>
        <w:gridCol w:w="719"/>
        <w:gridCol w:w="2148"/>
        <w:gridCol w:w="2387"/>
        <w:gridCol w:w="1431"/>
        <w:gridCol w:w="1003"/>
        <w:gridCol w:w="1179"/>
        <w:gridCol w:w="9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831" w:hRule="atLeast"/>
        </w:trPr>
        <w:tc>
          <w:tcPr>
            <w:tcW w:w="719"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序号</w:t>
            </w:r>
          </w:p>
        </w:tc>
        <w:tc>
          <w:tcPr>
            <w:tcW w:w="2148"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耗材名称</w:t>
            </w:r>
          </w:p>
        </w:tc>
        <w:tc>
          <w:tcPr>
            <w:tcW w:w="2387"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型号规格</w:t>
            </w:r>
          </w:p>
        </w:tc>
        <w:tc>
          <w:tcPr>
            <w:tcW w:w="1431"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品牌/产地</w:t>
            </w:r>
          </w:p>
        </w:tc>
        <w:tc>
          <w:tcPr>
            <w:tcW w:w="1003"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数量</w:t>
            </w:r>
          </w:p>
        </w:tc>
        <w:tc>
          <w:tcPr>
            <w:tcW w:w="1179"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价格（元）</w:t>
            </w:r>
          </w:p>
        </w:tc>
        <w:tc>
          <w:tcPr>
            <w:tcW w:w="987" w:type="dxa"/>
            <w:noWrap w:val="0"/>
            <w:vAlign w:val="center"/>
          </w:tcPr>
          <w:p>
            <w:pPr>
              <w:jc w:val="center"/>
              <w:rPr>
                <w:rFonts w:hint="eastAsia" w:ascii="楷体" w:hAnsi="楷体" w:eastAsia="楷体"/>
                <w:b/>
                <w:bCs/>
                <w:sz w:val="22"/>
                <w:szCs w:val="22"/>
              </w:rPr>
            </w:pPr>
            <w:r>
              <w:rPr>
                <w:rFonts w:hint="eastAsia" w:ascii="楷体" w:hAnsi="楷体" w:eastAsia="楷体"/>
                <w:b/>
                <w:bCs/>
                <w:sz w:val="22"/>
                <w:szCs w:val="2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wBefore w:w="0" w:type="dxa"/>
          <w:cantSplit/>
          <w:trHeight w:val="520" w:hRule="atLeast"/>
        </w:trPr>
        <w:tc>
          <w:tcPr>
            <w:tcW w:w="719" w:type="dxa"/>
            <w:noWrap w:val="0"/>
            <w:vAlign w:val="center"/>
          </w:tcPr>
          <w:p>
            <w:pPr>
              <w:ind w:firstLine="592"/>
              <w:jc w:val="center"/>
              <w:rPr>
                <w:rFonts w:hint="eastAsia" w:ascii="楷体" w:hAnsi="楷体" w:eastAsia="楷体"/>
                <w:sz w:val="22"/>
                <w:szCs w:val="22"/>
              </w:rPr>
            </w:pPr>
          </w:p>
        </w:tc>
        <w:tc>
          <w:tcPr>
            <w:tcW w:w="2148" w:type="dxa"/>
            <w:noWrap w:val="0"/>
            <w:vAlign w:val="center"/>
          </w:tcPr>
          <w:p>
            <w:pPr>
              <w:ind w:firstLine="592"/>
              <w:jc w:val="center"/>
              <w:rPr>
                <w:rFonts w:hint="eastAsia" w:ascii="楷体" w:hAnsi="楷体" w:eastAsia="楷体"/>
                <w:sz w:val="22"/>
                <w:szCs w:val="22"/>
              </w:rPr>
            </w:pPr>
          </w:p>
        </w:tc>
        <w:tc>
          <w:tcPr>
            <w:tcW w:w="2387" w:type="dxa"/>
            <w:noWrap w:val="0"/>
            <w:vAlign w:val="center"/>
          </w:tcPr>
          <w:p>
            <w:pPr>
              <w:ind w:firstLine="592"/>
              <w:jc w:val="center"/>
              <w:rPr>
                <w:rFonts w:hint="eastAsia" w:ascii="楷体" w:hAnsi="楷体" w:eastAsia="楷体"/>
                <w:sz w:val="22"/>
                <w:szCs w:val="22"/>
              </w:rPr>
            </w:pPr>
          </w:p>
        </w:tc>
        <w:tc>
          <w:tcPr>
            <w:tcW w:w="1431" w:type="dxa"/>
            <w:noWrap w:val="0"/>
            <w:vAlign w:val="center"/>
          </w:tcPr>
          <w:p>
            <w:pPr>
              <w:ind w:firstLine="592"/>
              <w:jc w:val="center"/>
              <w:rPr>
                <w:rFonts w:hint="eastAsia" w:ascii="楷体" w:hAnsi="楷体" w:eastAsia="楷体"/>
                <w:sz w:val="22"/>
                <w:szCs w:val="22"/>
              </w:rPr>
            </w:pPr>
          </w:p>
        </w:tc>
        <w:tc>
          <w:tcPr>
            <w:tcW w:w="1003" w:type="dxa"/>
            <w:noWrap w:val="0"/>
            <w:vAlign w:val="center"/>
          </w:tcPr>
          <w:p>
            <w:pPr>
              <w:ind w:firstLine="592"/>
              <w:jc w:val="center"/>
              <w:rPr>
                <w:rFonts w:hint="eastAsia" w:ascii="楷体" w:hAnsi="楷体" w:eastAsia="楷体"/>
                <w:sz w:val="22"/>
                <w:szCs w:val="22"/>
              </w:rPr>
            </w:pPr>
          </w:p>
        </w:tc>
        <w:tc>
          <w:tcPr>
            <w:tcW w:w="1179" w:type="dxa"/>
            <w:noWrap w:val="0"/>
            <w:vAlign w:val="center"/>
          </w:tcPr>
          <w:p>
            <w:pPr>
              <w:ind w:firstLine="592"/>
              <w:jc w:val="center"/>
              <w:rPr>
                <w:rFonts w:hint="eastAsia" w:ascii="楷体" w:hAnsi="楷体" w:eastAsia="楷体"/>
                <w:sz w:val="22"/>
                <w:szCs w:val="22"/>
              </w:rPr>
            </w:pPr>
          </w:p>
        </w:tc>
        <w:tc>
          <w:tcPr>
            <w:tcW w:w="987" w:type="dxa"/>
            <w:noWrap w:val="0"/>
            <w:vAlign w:val="center"/>
          </w:tcPr>
          <w:p>
            <w:pPr>
              <w:ind w:firstLine="592"/>
              <w:jc w:val="center"/>
              <w:rPr>
                <w:rFonts w:hint="eastAsia" w:ascii="楷体" w:hAnsi="楷体" w:eastAsia="楷体"/>
                <w:sz w:val="22"/>
                <w:szCs w:val="22"/>
              </w:rPr>
            </w:pPr>
          </w:p>
        </w:tc>
      </w:tr>
    </w:tbl>
    <w:p>
      <w:pPr>
        <w:ind w:firstLine="592"/>
        <w:rPr>
          <w:rFonts w:hint="eastAsia" w:ascii="楷体" w:hAnsi="楷体" w:eastAsia="楷体"/>
          <w:sz w:val="22"/>
          <w:szCs w:val="22"/>
        </w:rPr>
      </w:pPr>
    </w:p>
    <w:p>
      <w:pPr>
        <w:pStyle w:val="7"/>
        <w:spacing w:line="360" w:lineRule="auto"/>
        <w:ind w:firstLine="511"/>
        <w:jc w:val="left"/>
        <w:rPr>
          <w:rFonts w:hint="eastAsia" w:ascii="楷体" w:hAnsi="楷体" w:eastAsia="楷体"/>
          <w:sz w:val="22"/>
          <w:szCs w:val="22"/>
        </w:rPr>
      </w:pPr>
      <w:r>
        <w:rPr>
          <w:rFonts w:hint="eastAsia" w:ascii="楷体" w:hAnsi="楷体" w:eastAsia="楷体"/>
          <w:sz w:val="22"/>
          <w:szCs w:val="22"/>
        </w:rPr>
        <w:t>注：</w:t>
      </w:r>
    </w:p>
    <w:p>
      <w:pPr>
        <w:pStyle w:val="7"/>
        <w:spacing w:line="360" w:lineRule="auto"/>
        <w:ind w:firstLine="511"/>
        <w:jc w:val="left"/>
        <w:rPr>
          <w:rFonts w:hint="eastAsia" w:ascii="楷体" w:hAnsi="楷体" w:eastAsia="楷体" w:cs="Arial"/>
          <w:sz w:val="22"/>
          <w:szCs w:val="22"/>
        </w:rPr>
      </w:pPr>
      <w:r>
        <w:rPr>
          <w:rFonts w:hint="eastAsia" w:ascii="楷体" w:hAnsi="楷体" w:eastAsia="楷体"/>
          <w:sz w:val="22"/>
          <w:szCs w:val="22"/>
        </w:rPr>
        <w:t xml:space="preserve"> </w:t>
      </w:r>
      <w:r>
        <w:rPr>
          <w:rFonts w:hint="eastAsia" w:ascii="楷体" w:hAnsi="楷体" w:eastAsia="楷体" w:cs="Arial"/>
          <w:sz w:val="22"/>
          <w:szCs w:val="22"/>
        </w:rPr>
        <w:t>1. 本表所列为投标人拟投入的消耗材料清单。</w:t>
      </w:r>
    </w:p>
    <w:p>
      <w:pPr>
        <w:pStyle w:val="7"/>
        <w:spacing w:line="360" w:lineRule="auto"/>
        <w:ind w:firstLine="596" w:firstLineChars="271"/>
        <w:jc w:val="left"/>
        <w:rPr>
          <w:rFonts w:hint="eastAsia" w:ascii="楷体" w:hAnsi="楷体" w:eastAsia="楷体" w:cs="Arial"/>
          <w:sz w:val="22"/>
          <w:szCs w:val="22"/>
        </w:rPr>
      </w:pPr>
      <w:r>
        <w:rPr>
          <w:rFonts w:hint="eastAsia" w:ascii="楷体" w:hAnsi="楷体" w:eastAsia="楷体" w:cs="Arial"/>
          <w:sz w:val="22"/>
          <w:szCs w:val="22"/>
        </w:rPr>
        <w:t>2. 本表中所列耗材价格应计入投标总价。</w:t>
      </w:r>
    </w:p>
    <w:p>
      <w:pPr>
        <w:pStyle w:val="7"/>
        <w:spacing w:line="360" w:lineRule="auto"/>
        <w:ind w:firstLine="600" w:firstLineChars="273"/>
        <w:jc w:val="left"/>
        <w:rPr>
          <w:rFonts w:hint="eastAsia" w:ascii="楷体" w:hAnsi="楷体" w:eastAsia="楷体" w:cs="Arial"/>
          <w:sz w:val="22"/>
          <w:szCs w:val="22"/>
        </w:rPr>
      </w:pPr>
      <w:r>
        <w:rPr>
          <w:rFonts w:hint="eastAsia" w:ascii="楷体" w:hAnsi="楷体" w:eastAsia="楷体" w:cs="Arial"/>
          <w:sz w:val="22"/>
          <w:szCs w:val="22"/>
        </w:rPr>
        <w:t>3. 此表仅提供了表格形式，投标人应根据需要准备足够数量的表格来填写。</w:t>
      </w:r>
    </w:p>
    <w:p>
      <w:pPr>
        <w:pStyle w:val="78"/>
        <w:widowControl w:val="0"/>
        <w:pBdr>
          <w:left w:val="none" w:color="auto" w:sz="0" w:space="0"/>
          <w:bottom w:val="none" w:color="auto" w:sz="0" w:space="0"/>
          <w:right w:val="none" w:color="auto" w:sz="0" w:space="0"/>
        </w:pBdr>
        <w:spacing w:before="0" w:beforeAutospacing="0" w:after="0" w:afterAutospacing="0" w:line="360" w:lineRule="auto"/>
        <w:ind w:left="447" w:hanging="447"/>
        <w:rPr>
          <w:rFonts w:hint="eastAsia" w:ascii="楷体" w:hAnsi="楷体" w:eastAsia="楷体"/>
          <w:kern w:val="2"/>
          <w:sz w:val="22"/>
          <w:szCs w:val="22"/>
        </w:rPr>
      </w:pP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投标人全称（盖章）：</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法定代表人或授权代表（签字或盖章）：</w:t>
      </w:r>
    </w:p>
    <w:p>
      <w:pPr>
        <w:tabs>
          <w:tab w:val="left" w:pos="840"/>
        </w:tabs>
        <w:adjustRightInd w:val="0"/>
        <w:snapToGrid w:val="0"/>
        <w:spacing w:line="360" w:lineRule="auto"/>
        <w:ind w:left="420" w:leftChars="200" w:firstLine="330" w:firstLineChars="150"/>
        <w:rPr>
          <w:rFonts w:hint="eastAsia" w:ascii="楷体" w:hAnsi="楷体" w:eastAsia="楷体"/>
          <w:sz w:val="22"/>
          <w:szCs w:val="22"/>
        </w:rPr>
      </w:pPr>
      <w:r>
        <w:rPr>
          <w:rFonts w:hint="eastAsia" w:ascii="楷体" w:hAnsi="楷体" w:eastAsia="楷体"/>
          <w:sz w:val="22"/>
          <w:szCs w:val="22"/>
        </w:rPr>
        <w:t>日          期：  年  月  日</w:t>
      </w:r>
    </w:p>
    <w:p>
      <w:pPr>
        <w:spacing w:line="380" w:lineRule="exact"/>
        <w:rPr>
          <w:rFonts w:ascii="楷体" w:hAnsi="楷体" w:eastAsia="楷体"/>
          <w:b/>
          <w:bCs/>
          <w:sz w:val="22"/>
          <w:szCs w:val="22"/>
        </w:rPr>
      </w:pPr>
    </w:p>
    <w:p>
      <w:pPr>
        <w:spacing w:line="380" w:lineRule="exact"/>
        <w:rPr>
          <w:rFonts w:ascii="楷体" w:hAnsi="楷体" w:eastAsia="楷体"/>
          <w:b/>
          <w:bCs/>
          <w:sz w:val="22"/>
          <w:szCs w:val="22"/>
        </w:rPr>
      </w:pPr>
    </w:p>
    <w:p>
      <w:pPr>
        <w:spacing w:line="380" w:lineRule="exact"/>
        <w:rPr>
          <w:rFonts w:ascii="楷体" w:hAnsi="楷体" w:eastAsia="楷体"/>
          <w:b/>
          <w:bCs/>
          <w:sz w:val="22"/>
          <w:szCs w:val="22"/>
        </w:rPr>
      </w:pPr>
    </w:p>
    <w:p>
      <w:pPr>
        <w:spacing w:line="380" w:lineRule="exact"/>
        <w:rPr>
          <w:rFonts w:ascii="楷体" w:hAnsi="楷体" w:eastAsia="楷体"/>
          <w:b/>
          <w:bCs/>
          <w:sz w:val="22"/>
          <w:szCs w:val="22"/>
        </w:rPr>
      </w:pPr>
    </w:p>
    <w:p>
      <w:pPr>
        <w:spacing w:line="380" w:lineRule="exact"/>
        <w:rPr>
          <w:rFonts w:ascii="楷体" w:hAnsi="楷体" w:eastAsia="楷体"/>
          <w:b/>
          <w:bCs/>
          <w:sz w:val="22"/>
          <w:szCs w:val="22"/>
        </w:rPr>
        <w:sectPr>
          <w:type w:val="nextColumn"/>
          <w:pgSz w:w="11906" w:h="16838"/>
          <w:pgMar w:top="1134" w:right="1134" w:bottom="1134" w:left="1134" w:header="851" w:footer="851" w:gutter="0"/>
          <w:cols w:space="720" w:num="1"/>
          <w:docGrid w:linePitch="312" w:charSpace="0"/>
        </w:sectPr>
      </w:pPr>
    </w:p>
    <w:p>
      <w:pPr>
        <w:spacing w:line="380" w:lineRule="exact"/>
        <w:jc w:val="center"/>
        <w:rPr>
          <w:rFonts w:hint="eastAsia" w:ascii="楷体" w:hAnsi="楷体" w:eastAsia="楷体"/>
          <w:b/>
          <w:bCs/>
          <w:sz w:val="28"/>
          <w:szCs w:val="28"/>
        </w:rPr>
      </w:pPr>
      <w:r>
        <w:rPr>
          <w:rFonts w:hint="eastAsia" w:ascii="楷体" w:hAnsi="楷体" w:eastAsia="楷体"/>
          <w:b/>
          <w:bCs/>
          <w:sz w:val="28"/>
          <w:szCs w:val="28"/>
        </w:rPr>
        <w:t>采购内容相关资料</w:t>
      </w:r>
    </w:p>
    <w:p>
      <w:pPr>
        <w:spacing w:line="380" w:lineRule="exact"/>
        <w:rPr>
          <w:rFonts w:hint="eastAsia" w:ascii="楷体" w:hAnsi="楷体" w:eastAsia="楷体" w:cs="Arial"/>
          <w:b/>
          <w:szCs w:val="21"/>
        </w:rPr>
      </w:pPr>
      <w:r>
        <w:rPr>
          <w:rFonts w:hint="eastAsia" w:ascii="楷体" w:hAnsi="楷体" w:eastAsia="楷体" w:cs="Arial"/>
          <w:b/>
          <w:szCs w:val="21"/>
        </w:rPr>
        <w:t>附件九</w:t>
      </w:r>
    </w:p>
    <w:p>
      <w:pPr>
        <w:jc w:val="left"/>
        <w:rPr>
          <w:rFonts w:hint="eastAsia" w:ascii="楷体" w:hAnsi="楷体" w:eastAsia="楷体" w:cs="Arial"/>
          <w:b/>
          <w:sz w:val="22"/>
          <w:szCs w:val="22"/>
        </w:rPr>
      </w:pPr>
      <w:r>
        <w:rPr>
          <w:rFonts w:hint="eastAsia" w:ascii="楷体" w:hAnsi="楷体" w:eastAsia="楷体" w:cs="Arial"/>
          <w:b/>
          <w:sz w:val="22"/>
          <w:szCs w:val="22"/>
        </w:rPr>
        <w:t>1、《温州市鹿城区人民政府五马街道办事处道路及楼道清扫保洁质量考核评分细则》</w:t>
      </w:r>
    </w:p>
    <w:bookmarkEnd w:id="177"/>
    <w:bookmarkEnd w:id="178"/>
    <w:bookmarkEnd w:id="179"/>
    <w:bookmarkEnd w:id="180"/>
    <w:bookmarkEnd w:id="181"/>
    <w:bookmarkEnd w:id="182"/>
    <w:bookmarkEnd w:id="183"/>
    <w:bookmarkEnd w:id="184"/>
    <w:bookmarkEnd w:id="185"/>
    <w:bookmarkEnd w:id="186"/>
    <w:bookmarkEnd w:id="187"/>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5026"/>
        <w:gridCol w:w="5400"/>
        <w:gridCol w:w="1631"/>
        <w:gridCol w:w="1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1022" w:type="dxa"/>
            <w:tcBorders>
              <w:top w:val="single" w:color="auto" w:sz="12" w:space="0"/>
              <w:left w:val="single" w:color="auto" w:sz="12" w:space="0"/>
              <w:bottom w:val="single" w:color="auto" w:sz="4" w:space="0"/>
              <w:right w:val="single" w:color="auto" w:sz="4" w:space="0"/>
            </w:tcBorders>
            <w:noWrap w:val="0"/>
            <w:vAlign w:val="center"/>
          </w:tcPr>
          <w:p>
            <w:pPr>
              <w:spacing w:line="360" w:lineRule="exact"/>
              <w:jc w:val="center"/>
              <w:rPr>
                <w:rFonts w:ascii="楷体" w:hAnsi="楷体" w:eastAsia="楷体" w:cs="Arial"/>
                <w:sz w:val="22"/>
                <w:szCs w:val="22"/>
              </w:rPr>
            </w:pPr>
            <w:bookmarkStart w:id="189" w:name="_Toc245722288"/>
            <w:bookmarkStart w:id="190" w:name="_Toc262105511"/>
            <w:bookmarkStart w:id="191" w:name="_Toc221356897"/>
            <w:bookmarkStart w:id="192" w:name="_Toc245191321"/>
            <w:bookmarkStart w:id="193" w:name="_Toc249758722"/>
            <w:bookmarkStart w:id="194" w:name="_Toc262049426"/>
            <w:bookmarkStart w:id="195" w:name="_Toc239145361"/>
            <w:bookmarkStart w:id="196" w:name="_Toc246261272"/>
            <w:bookmarkStart w:id="197" w:name="_Toc221423626"/>
            <w:bookmarkStart w:id="198" w:name="_Toc223716005"/>
            <w:bookmarkStart w:id="199" w:name="_Toc222114886"/>
            <w:bookmarkStart w:id="200" w:name="_Toc221356960"/>
            <w:bookmarkStart w:id="201" w:name="_Toc249758872"/>
            <w:bookmarkStart w:id="202" w:name="_Toc241404209"/>
            <w:bookmarkStart w:id="203" w:name="_Toc221374633"/>
            <w:r>
              <w:rPr>
                <w:rFonts w:hint="eastAsia" w:ascii="楷体" w:hAnsi="楷体" w:eastAsia="楷体" w:cs="Arial"/>
                <w:sz w:val="22"/>
                <w:szCs w:val="22"/>
              </w:rPr>
              <w:t>项目</w:t>
            </w:r>
          </w:p>
        </w:tc>
        <w:tc>
          <w:tcPr>
            <w:tcW w:w="5026"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楷体" w:hAnsi="楷体" w:eastAsia="楷体" w:cs="Arial"/>
                <w:sz w:val="22"/>
                <w:szCs w:val="22"/>
              </w:rPr>
            </w:pPr>
            <w:r>
              <w:rPr>
                <w:rFonts w:hint="eastAsia" w:ascii="楷体" w:hAnsi="楷体" w:eastAsia="楷体" w:cs="Arial"/>
                <w:sz w:val="22"/>
                <w:szCs w:val="22"/>
              </w:rPr>
              <w:t>质量（工作）标准</w:t>
            </w:r>
          </w:p>
        </w:tc>
        <w:tc>
          <w:tcPr>
            <w:tcW w:w="5400"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楷体" w:hAnsi="楷体" w:eastAsia="楷体" w:cs="Arial"/>
                <w:sz w:val="22"/>
                <w:szCs w:val="22"/>
              </w:rPr>
            </w:pPr>
            <w:r>
              <w:rPr>
                <w:rFonts w:hint="eastAsia" w:ascii="楷体" w:hAnsi="楷体" w:eastAsia="楷体" w:cs="Arial"/>
                <w:sz w:val="22"/>
                <w:szCs w:val="22"/>
              </w:rPr>
              <w:t>扣分标准</w:t>
            </w:r>
          </w:p>
        </w:tc>
        <w:tc>
          <w:tcPr>
            <w:tcW w:w="1631"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楷体" w:hAnsi="楷体" w:eastAsia="楷体" w:cs="Arial"/>
                <w:sz w:val="22"/>
                <w:szCs w:val="22"/>
              </w:rPr>
            </w:pPr>
            <w:r>
              <w:rPr>
                <w:rFonts w:hint="eastAsia" w:ascii="楷体" w:hAnsi="楷体" w:eastAsia="楷体" w:cs="Arial"/>
                <w:sz w:val="22"/>
                <w:szCs w:val="22"/>
              </w:rPr>
              <w:t>考核方法</w:t>
            </w:r>
          </w:p>
        </w:tc>
        <w:tc>
          <w:tcPr>
            <w:tcW w:w="1069" w:type="dxa"/>
            <w:tcBorders>
              <w:top w:val="single" w:color="auto" w:sz="12" w:space="0"/>
              <w:left w:val="single" w:color="auto" w:sz="4" w:space="0"/>
              <w:bottom w:val="single" w:color="auto" w:sz="4" w:space="0"/>
              <w:right w:val="single" w:color="auto" w:sz="12" w:space="0"/>
            </w:tcBorders>
            <w:noWrap w:val="0"/>
            <w:vAlign w:val="center"/>
          </w:tcPr>
          <w:p>
            <w:pPr>
              <w:spacing w:line="360" w:lineRule="exact"/>
              <w:jc w:val="center"/>
              <w:rPr>
                <w:rFonts w:ascii="楷体" w:hAnsi="楷体" w:eastAsia="楷体" w:cs="Arial"/>
                <w:sz w:val="22"/>
                <w:szCs w:val="22"/>
              </w:rPr>
            </w:pPr>
            <w:r>
              <w:rPr>
                <w:rFonts w:hint="eastAsia" w:ascii="楷体" w:hAnsi="楷体" w:eastAsia="楷体" w:cs="Arial"/>
                <w:sz w:val="22"/>
                <w:szCs w:val="22"/>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70"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ascii="楷体" w:hAnsi="楷体" w:eastAsia="楷体"/>
                <w:szCs w:val="21"/>
              </w:rPr>
            </w:pPr>
            <w:r>
              <w:rPr>
                <w:rFonts w:hint="eastAsia" w:ascii="楷体" w:hAnsi="楷体" w:eastAsia="楷体"/>
                <w:szCs w:val="21"/>
              </w:rPr>
              <w:t>普扫质量考核标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kern w:val="0"/>
                <w:szCs w:val="21"/>
              </w:rPr>
            </w:pPr>
            <w:r>
              <w:rPr>
                <w:rFonts w:hint="eastAsia" w:ascii="楷体" w:hAnsi="楷体" w:eastAsia="楷体"/>
                <w:kern w:val="0"/>
              </w:rPr>
              <w:t xml:space="preserve"> 普扫作业要求：实行一日三次普扫保洁，第一次普扫即晨扫必须在夏季6：00、冬季6：30以前完成，每二次普扫在下午13：00前完成，第三次普扫在下午17：00前完成，普扫时段内，要求环卫工人全员出勤。一级道路、主要商业街保洁每日不少于18小时（5:00～23:00）；二级道路保洁每日不少于16小时（5:00～21:00）。</w:t>
            </w:r>
            <w:r>
              <w:rPr>
                <w:rFonts w:hint="eastAsia" w:ascii="楷体" w:hAnsi="楷体" w:eastAsia="楷体"/>
              </w:rPr>
              <w:t>达到“七无五净”标准，即无杂物垃圾堆积、无瓜果皮、纸屑、烟蒂、塑料袋、无污迹痰迹、无淤泥积石（沙）杂草、无污水、无窨井沟眼堵塞、无普扫盲点和卫生死角；路面净，道路绿地、树穴净、窨井沟眼净、边角侧石净、护栏隔离带净。</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晨扫质量未达到“七无五净”标准视情扣1-2分/处；普扫盲点和</w:t>
            </w:r>
            <w:r>
              <w:rPr>
                <w:rFonts w:hint="eastAsia" w:ascii="楷体" w:hAnsi="楷体" w:eastAsia="楷体"/>
                <w:spacing w:val="10"/>
                <w:kern w:val="0"/>
              </w:rPr>
              <w:t>卫生死角小于等于10㎡扣3分/处，大于10㎡且小于等于20㎡扣5分/处，大于20㎡扣10分/处。发现普扫未按规定时间、未达到规定次数或要求的一次扣1-5分，其中</w:t>
            </w:r>
            <w:r>
              <w:rPr>
                <w:rFonts w:hint="eastAsia" w:ascii="楷体" w:hAnsi="楷体" w:eastAsia="楷体"/>
              </w:rPr>
              <w:t>晨扫作业完成时间未达标扣5分/0.5H</w:t>
            </w:r>
            <w:r>
              <w:rPr>
                <w:rFonts w:hint="eastAsia" w:ascii="楷体" w:hAnsi="楷体" w:eastAsia="楷体"/>
                <w:spacing w:val="10"/>
                <w:kern w:val="0"/>
              </w:rPr>
              <w:t>。</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szCs w:val="21"/>
              </w:rPr>
            </w:pPr>
            <w:r>
              <w:rPr>
                <w:rFonts w:hint="eastAsia" w:ascii="楷体" w:hAnsi="楷体" w:eastAsia="楷体"/>
              </w:rPr>
              <w:t>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0"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szCs w:val="21"/>
              </w:rPr>
              <w:t>动态保洁考核标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在动态保洁时间内，应做到无明显杂物、杂草、无积水积泥等情况。废弃物滞留应不超过30分钟。（其中一级一类道路应不超过15分钟）大面积落叶季节可适当延长滞留时间。临时出现的大面积垃圾、渣土等滞留物，须在24小时内及时清理干净。</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垃圾散落扣0.2分；垃圾堆放扣3分,垃圾堆放﹥1立方扣5分；袋装垃圾堆放扣2分/处；积水（雨天除外）、积泥（沙石）扣0.5分/处，超过3M扣1分；人行道、步阶、墙跟、绿化带、树穴内有明显杂草或残余垃圾（烟蒂、纸屑等）杂物扣0.5分。废弃物滞留时间超标扣1分 ，临时性垃圾、碴土等滞留物未按规定时间内清理完成扣1.5分，动态保洁时间未按规定要求扣3分/次。</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szCs w:val="21"/>
              </w:rPr>
            </w:pPr>
            <w:r>
              <w:rPr>
                <w:rFonts w:hint="eastAsia" w:ascii="楷体" w:hAnsi="楷体" w:eastAsia="楷体"/>
              </w:rPr>
              <w:t>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ascii="楷体" w:hAnsi="楷体" w:eastAsia="楷体"/>
                <w:szCs w:val="21"/>
              </w:rPr>
            </w:pPr>
            <w:r>
              <w:rPr>
                <w:rFonts w:hint="eastAsia" w:ascii="楷体" w:hAnsi="楷体" w:eastAsia="楷体"/>
                <w:szCs w:val="21"/>
              </w:rPr>
              <w:t>环卫设施维护标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废物箱（</w:t>
            </w:r>
            <w:r>
              <w:rPr>
                <w:rFonts w:hint="eastAsia" w:ascii="楷体" w:hAnsi="楷体" w:eastAsia="楷体"/>
                <w:kern w:val="0"/>
              </w:rPr>
              <w:t>果壳箱、灭烟柱、垃圾桶</w:t>
            </w:r>
            <w:r>
              <w:rPr>
                <w:rFonts w:hint="eastAsia" w:ascii="楷体" w:hAnsi="楷体" w:eastAsia="楷体"/>
              </w:rPr>
              <w:t>）垃圾收集车辆（含机动车和非机动车）垃圾坞一日一洗；果壳箱、垃圾坞等环卫设施无破损，无积垢，垃圾无外溢；垃圾容器封闭，无四害孳生，管理规范，垃圾做到日产日清。</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果壳箱、</w:t>
            </w:r>
            <w:r>
              <w:rPr>
                <w:rFonts w:hint="eastAsia" w:ascii="楷体" w:hAnsi="楷体" w:eastAsia="楷体"/>
                <w:kern w:val="0"/>
              </w:rPr>
              <w:t>灭烟柱、</w:t>
            </w:r>
            <w:r>
              <w:rPr>
                <w:rFonts w:hint="eastAsia" w:ascii="楷体" w:hAnsi="楷体" w:eastAsia="楷体"/>
              </w:rPr>
              <w:t>垃圾收集车等设施不洁扣0.5分/只（辆）；设施破损扣0.5分/个；未及时清洗扣1分/只；</w:t>
            </w:r>
            <w:r>
              <w:rPr>
                <w:rFonts w:hint="eastAsia" w:ascii="楷体" w:hAnsi="楷体" w:eastAsia="楷体"/>
                <w:kern w:val="0"/>
              </w:rPr>
              <w:t>果壳箱、灭烟柱乱张贴乱涂写的扣</w:t>
            </w:r>
            <w:r>
              <w:rPr>
                <w:rFonts w:hint="eastAsia" w:ascii="楷体" w:hAnsi="楷体" w:eastAsia="楷体"/>
              </w:rPr>
              <w:t>1分/处；未及时关门、加盖扣1分/处；设施四害孳生扣1分/处；垃圾坞垃圾外溢未及时清理扣2分/处；垃圾</w:t>
            </w:r>
            <w:r>
              <w:rPr>
                <w:rFonts w:hint="eastAsia" w:ascii="楷体" w:hAnsi="楷体" w:eastAsia="楷体"/>
                <w:kern w:val="0"/>
              </w:rPr>
              <w:t>桶</w:t>
            </w:r>
            <w:r>
              <w:rPr>
                <w:rFonts w:hint="eastAsia" w:ascii="楷体" w:hAnsi="楷体" w:eastAsia="楷体"/>
              </w:rPr>
              <w:t>垃圾外溢未及时清理扣1分/处；外溢超过0.5立方按垃圾堆放扣分。垃圾收集车辆、道路机械化清扫（冲洗）车辆外观不整或出现超高运输、吊挂、洒落杂物的，扣1分/辆。保洁车辆未设置明显反光标识的，扣2分/辆。</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 w:hAnsi="楷体" w:eastAsia="楷体"/>
              </w:rPr>
            </w:pPr>
            <w:r>
              <w:rPr>
                <w:rFonts w:hint="eastAsia" w:ascii="楷体" w:hAnsi="楷体" w:eastAsia="楷体"/>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rPr>
            </w:pPr>
            <w:r>
              <w:rPr>
                <w:rFonts w:hint="eastAsia" w:ascii="楷体" w:hAnsi="楷体" w:eastAsia="楷体"/>
              </w:rPr>
              <w:t>15分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7"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ascii="楷体" w:hAnsi="楷体" w:eastAsia="楷体"/>
                <w:szCs w:val="21"/>
              </w:rPr>
            </w:pPr>
            <w:r>
              <w:rPr>
                <w:rFonts w:hint="eastAsia" w:ascii="楷体" w:hAnsi="楷体" w:eastAsia="楷体"/>
                <w:szCs w:val="21"/>
              </w:rPr>
              <w:t>规范作业考核标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szCs w:val="21"/>
              </w:rPr>
              <w:t>保洁作业人员不得擅自离（脱）岗，不与人闲谈、工间休息时间不得超过10分钟；保洁作业人员按规定穿着工作服或反光安全服和佩带工作证；垃圾不得扫入窨井、花坛、绿化带；清扫作业中不得漏扫、甩扫；交接班不得出现空档，责任区交界处清扫保洁各过界5米；不得焚烧垃圾；垃圾运输实行密闭，不得超高运输和吊挂杂物；严禁作业人员擅自向责任区内单位收取各种费用。及时处理各类交办件。微信考核回复整改及时真实。</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szCs w:val="21"/>
              </w:rPr>
              <w:t>发现违反劳动纪律扣1分/人次；未穿着工作服或反光安全服扣0.5分/人次；未携带GPS的扣2分/例。发现1人带多个GPS的，扣5分/次；垃圾扫入窑井、花坛、绿化带扣0.5分/次；作业中出现漏扫、甩扫扣0.5分/次；交接班出现空档扣0.5分/次；未过界5米双方各扣1分/处；焚烧垃圾扣3分/次；垃圾未实行密闭运输扣0.3分/次；拖挂杂物扣0.3分/次，擅自收费扣3分/次；未及时</w:t>
            </w:r>
            <w:r>
              <w:rPr>
                <w:rFonts w:hint="eastAsia" w:ascii="楷体" w:hAnsi="楷体" w:eastAsia="楷体" w:cs="宋体"/>
                <w:kern w:val="0"/>
                <w:szCs w:val="21"/>
              </w:rPr>
              <w:t>处理交办件的扣3分</w:t>
            </w:r>
            <w:r>
              <w:rPr>
                <w:rFonts w:hint="eastAsia" w:ascii="楷体" w:hAnsi="楷体" w:eastAsia="楷体"/>
                <w:szCs w:val="21"/>
              </w:rPr>
              <w:t>。未微信回复或未整改的扣3分/次，未及时回复的扣1分/次，回复内容不真实的扣2分/次。</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hint="eastAsia" w:ascii="楷体" w:hAnsi="楷体" w:eastAsia="楷体" w:cs="Arial"/>
                <w:sz w:val="22"/>
                <w:szCs w:val="22"/>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szCs w:val="21"/>
              </w:rPr>
            </w:pPr>
            <w:r>
              <w:rPr>
                <w:rFonts w:hint="eastAsia" w:ascii="楷体" w:hAnsi="楷体" w:eastAsia="楷体"/>
                <w:szCs w:val="21"/>
              </w:rPr>
              <w:t>15分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2"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rPr>
                <w:rFonts w:hint="eastAsia" w:ascii="楷体" w:hAnsi="楷体" w:eastAsia="楷体" w:cs="Arial"/>
                <w:sz w:val="22"/>
                <w:szCs w:val="22"/>
              </w:rPr>
            </w:pPr>
            <w:r>
              <w:rPr>
                <w:rFonts w:hint="eastAsia" w:ascii="楷体" w:hAnsi="楷体" w:eastAsia="楷体" w:cs="Arial"/>
                <w:sz w:val="22"/>
                <w:szCs w:val="22"/>
              </w:rPr>
              <w:t>清扫</w:t>
            </w:r>
          </w:p>
          <w:p>
            <w:pPr>
              <w:spacing w:line="320" w:lineRule="exact"/>
              <w:rPr>
                <w:rFonts w:hint="eastAsia" w:ascii="楷体" w:hAnsi="楷体" w:eastAsia="楷体" w:cs="Arial"/>
                <w:sz w:val="22"/>
                <w:szCs w:val="22"/>
              </w:rPr>
            </w:pPr>
            <w:r>
              <w:rPr>
                <w:rFonts w:hint="eastAsia" w:ascii="楷体" w:hAnsi="楷体" w:eastAsia="楷体" w:cs="Arial"/>
                <w:sz w:val="22"/>
                <w:szCs w:val="22"/>
              </w:rPr>
              <w:t>考核</w:t>
            </w:r>
          </w:p>
          <w:p>
            <w:pPr>
              <w:spacing w:line="320" w:lineRule="exact"/>
              <w:jc w:val="left"/>
              <w:rPr>
                <w:rFonts w:ascii="楷体" w:hAnsi="楷体" w:eastAsia="楷体" w:cs="Arial"/>
                <w:sz w:val="22"/>
                <w:szCs w:val="22"/>
              </w:rPr>
            </w:pPr>
            <w:r>
              <w:rPr>
                <w:rFonts w:hint="eastAsia" w:ascii="楷体" w:hAnsi="楷体" w:eastAsia="楷体" w:cs="Arial"/>
                <w:sz w:val="22"/>
                <w:szCs w:val="22"/>
              </w:rPr>
              <w:t>标准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hint="eastAsia" w:ascii="楷体" w:hAnsi="楷体" w:eastAsia="楷体" w:cs="Arial"/>
                <w:sz w:val="22"/>
                <w:szCs w:val="22"/>
              </w:rPr>
              <w:t>清扫到边、到位效果明显，路面无垃圾、无积泥、无沙石；作业期间基本无扬尘、清扫途中无垃圾撒落；垃圾在指定地点倾倒，不得随意倾倒、偷到、乱到垃圾；严格按照范围、路线、时间进行清扫作业，不得随意变更。</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hint="eastAsia" w:ascii="楷体" w:hAnsi="楷体" w:eastAsia="楷体" w:cs="Arial"/>
                <w:sz w:val="22"/>
                <w:szCs w:val="22"/>
              </w:rPr>
              <w:t>清扫路面发现垃圾、积泥、沙石的一次扣0.5分/处；作业时扬尘或清扫途中垃圾撒落的一次扣0.5分；发现清扫车随意倾倒、偷倒、乱倒垃圾的一次扣1分；随意变更清扫范围、路线、时间的一次扣1.5分。</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hint="eastAsia" w:ascii="楷体" w:hAnsi="楷体" w:eastAsia="楷体" w:cs="Arial"/>
                <w:sz w:val="22"/>
                <w:szCs w:val="22"/>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cs="Arial"/>
                <w:sz w:val="22"/>
                <w:szCs w:val="22"/>
              </w:rPr>
            </w:pPr>
            <w:r>
              <w:rPr>
                <w:rFonts w:hint="eastAsia" w:ascii="楷体" w:hAnsi="楷体" w:eastAsia="楷体" w:cs="Arial"/>
                <w:sz w:val="22"/>
                <w:szCs w:val="22"/>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6"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hint="eastAsia" w:ascii="楷体" w:hAnsi="楷体" w:eastAsia="楷体" w:cs="Arial"/>
                <w:sz w:val="22"/>
                <w:szCs w:val="22"/>
              </w:rPr>
              <w:t>道路冲</w:t>
            </w:r>
          </w:p>
          <w:p>
            <w:pPr>
              <w:spacing w:line="320" w:lineRule="exact"/>
              <w:rPr>
                <w:rFonts w:hint="eastAsia" w:ascii="楷体" w:hAnsi="楷体" w:eastAsia="楷体" w:cs="Arial"/>
                <w:sz w:val="22"/>
                <w:szCs w:val="22"/>
              </w:rPr>
            </w:pPr>
            <w:r>
              <w:rPr>
                <w:rFonts w:hint="eastAsia" w:ascii="楷体" w:hAnsi="楷体" w:eastAsia="楷体" w:cs="Arial"/>
                <w:sz w:val="22"/>
                <w:szCs w:val="22"/>
              </w:rPr>
              <w:t>洗考核</w:t>
            </w:r>
          </w:p>
          <w:p>
            <w:pPr>
              <w:spacing w:line="320" w:lineRule="exact"/>
              <w:rPr>
                <w:rFonts w:ascii="楷体" w:hAnsi="楷体" w:eastAsia="楷体" w:cs="Arial"/>
                <w:sz w:val="22"/>
                <w:szCs w:val="22"/>
              </w:rPr>
            </w:pPr>
            <w:r>
              <w:rPr>
                <w:rFonts w:hint="eastAsia" w:ascii="楷体" w:hAnsi="楷体" w:eastAsia="楷体" w:cs="Arial"/>
                <w:sz w:val="22"/>
                <w:szCs w:val="22"/>
              </w:rPr>
              <w:t>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人行道包括侧石、花岗岩路面，平石实行人工冲刷，路面无积垢、无灰尘、无烟蒂、无果壳散落、无</w:t>
            </w:r>
            <w:r>
              <w:rPr>
                <w:rFonts w:hint="eastAsia" w:ascii="楷体" w:hAnsi="楷体" w:eastAsia="楷体"/>
                <w:kern w:val="0"/>
              </w:rPr>
              <w:t>乱张贴乱涂写</w:t>
            </w:r>
            <w:r>
              <w:rPr>
                <w:rFonts w:hint="eastAsia" w:ascii="楷体" w:hAnsi="楷体" w:eastAsia="楷体"/>
              </w:rPr>
              <w:t>；机动车道为冲水路段，要求水冲后无灰尘、无烟蒂、无果壳等杂物散落；冲洗路面时如发现路面有垃圾应及时清理，洒水、冲洗等作业不少于标准要求。</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列入人工冲刷范围的路面冲洗后有积垢、灰尘、烟蒂、果壳等杂物散落的扣0.5分/处；有</w:t>
            </w:r>
            <w:r>
              <w:rPr>
                <w:rFonts w:hint="eastAsia" w:ascii="楷体" w:hAnsi="楷体" w:eastAsia="楷体"/>
                <w:kern w:val="0"/>
              </w:rPr>
              <w:t>乱张贴乱涂写的扣1分/处；</w:t>
            </w:r>
            <w:r>
              <w:rPr>
                <w:rFonts w:hint="eastAsia" w:ascii="楷体" w:hAnsi="楷体" w:eastAsia="楷体"/>
              </w:rPr>
              <w:t>未按规定次数标准冲洗、洒水路面，冲洗路面时路面有垃圾未及时清理的扣1分/次。</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在规定的保洁时间内（包括节假日），随机抽查，不合格路段反复查。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cs="Arial"/>
                <w:sz w:val="22"/>
                <w:szCs w:val="22"/>
              </w:rPr>
            </w:pPr>
            <w:r>
              <w:rPr>
                <w:rFonts w:hint="eastAsia" w:ascii="楷体" w:hAnsi="楷体" w:eastAsia="楷体" w:cs="Arial"/>
                <w:sz w:val="22"/>
                <w:szCs w:val="22"/>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6" w:hRule="atLeast"/>
        </w:trPr>
        <w:tc>
          <w:tcPr>
            <w:tcW w:w="1022"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内部管理考核</w:t>
            </w:r>
          </w:p>
          <w:p>
            <w:pPr>
              <w:spacing w:line="320" w:lineRule="exact"/>
              <w:rPr>
                <w:rFonts w:ascii="楷体" w:hAnsi="楷体" w:eastAsia="楷体"/>
                <w:szCs w:val="21"/>
              </w:rPr>
            </w:pPr>
            <w:r>
              <w:rPr>
                <w:rFonts w:hint="eastAsia" w:ascii="楷体" w:hAnsi="楷体" w:eastAsia="楷体"/>
              </w:rPr>
              <w:t>标  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中标单位要严格按照有关招投标文件、合同与相关承诺履行合同，切实保障标段道路环卫工人如实配置，保证环卫工人的工资、福利和待遇等不降低，确保环卫工人的各类合法权益不受侵害。同时要确保规定或承诺的机具配置方案，足额到位。甲方将通过随机抽查、政策询问、查看企业相关台账等途径，进行监管，如发现有违反合同承诺要求，经查实的，根据规定进行处罚，情节特别严重的甲方有权终止合同。</w:t>
            </w:r>
          </w:p>
        </w:tc>
        <w:tc>
          <w:tcPr>
            <w:tcW w:w="5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发现未达标的扣1分/例。</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 w:hAnsi="楷体" w:eastAsia="楷体"/>
                <w:szCs w:val="21"/>
              </w:rPr>
            </w:pPr>
            <w:r>
              <w:rPr>
                <w:rFonts w:hint="eastAsia" w:ascii="楷体" w:hAnsi="楷体" w:eastAsia="楷体"/>
              </w:rPr>
              <w:t>随机抽查和定期检查。</w:t>
            </w:r>
          </w:p>
        </w:tc>
        <w:tc>
          <w:tcPr>
            <w:tcW w:w="1069"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rPr>
                <w:rFonts w:ascii="楷体" w:hAnsi="楷体" w:eastAsia="楷体"/>
                <w:szCs w:val="21"/>
              </w:rPr>
            </w:pPr>
            <w:r>
              <w:rPr>
                <w:rFonts w:hint="eastAsia" w:ascii="楷体" w:hAnsi="楷体" w:eastAsia="楷体"/>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trPr>
        <w:tc>
          <w:tcPr>
            <w:tcW w:w="14148" w:type="dxa"/>
            <w:gridSpan w:val="5"/>
            <w:tcBorders>
              <w:top w:val="single" w:color="auto" w:sz="4" w:space="0"/>
              <w:left w:val="single" w:color="auto" w:sz="12" w:space="0"/>
              <w:bottom w:val="single" w:color="auto" w:sz="4" w:space="0"/>
              <w:right w:val="single" w:color="auto" w:sz="12" w:space="0"/>
            </w:tcBorders>
            <w:noWrap w:val="0"/>
            <w:vAlign w:val="center"/>
          </w:tcPr>
          <w:p>
            <w:pPr>
              <w:spacing w:line="320" w:lineRule="exact"/>
              <w:jc w:val="center"/>
              <w:rPr>
                <w:rFonts w:hint="eastAsia" w:ascii="楷体" w:hAnsi="楷体" w:eastAsia="楷体"/>
              </w:rPr>
            </w:pPr>
            <w:r>
              <w:rPr>
                <w:rFonts w:hint="eastAsia" w:ascii="楷体" w:hAnsi="楷体" w:eastAsia="楷体" w:cs="Arial"/>
                <w:b/>
                <w:bCs/>
                <w:sz w:val="22"/>
                <w:szCs w:val="22"/>
              </w:rPr>
              <w:t>五马街历史文化商业街区考核标准（附加）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6" w:hRule="atLeast"/>
        </w:trPr>
        <w:tc>
          <w:tcPr>
            <w:tcW w:w="1022" w:type="dxa"/>
            <w:tcBorders>
              <w:top w:val="single" w:color="auto" w:sz="4" w:space="0"/>
              <w:left w:val="single" w:color="auto" w:sz="12" w:space="0"/>
              <w:bottom w:val="single" w:color="auto" w:sz="12" w:space="0"/>
              <w:right w:val="single" w:color="auto" w:sz="4" w:space="0"/>
            </w:tcBorders>
            <w:noWrap w:val="0"/>
            <w:vAlign w:val="center"/>
          </w:tcPr>
          <w:p>
            <w:pPr>
              <w:spacing w:line="320" w:lineRule="exact"/>
              <w:rPr>
                <w:rFonts w:hint="eastAsia" w:ascii="楷体" w:hAnsi="楷体" w:eastAsia="楷体"/>
              </w:rPr>
            </w:pPr>
            <w:r>
              <w:rPr>
                <w:rFonts w:hint="eastAsia" w:ascii="楷体" w:hAnsi="楷体" w:eastAsia="楷体"/>
              </w:rPr>
              <w:t>清扫</w:t>
            </w:r>
          </w:p>
          <w:p>
            <w:pPr>
              <w:spacing w:line="320" w:lineRule="exact"/>
              <w:rPr>
                <w:rFonts w:hint="eastAsia" w:ascii="楷体" w:hAnsi="楷体" w:eastAsia="楷体"/>
              </w:rPr>
            </w:pPr>
            <w:r>
              <w:rPr>
                <w:rFonts w:hint="eastAsia" w:ascii="楷体" w:hAnsi="楷体" w:eastAsia="楷体"/>
              </w:rPr>
              <w:t>考核</w:t>
            </w:r>
          </w:p>
          <w:p>
            <w:pPr>
              <w:spacing w:line="320" w:lineRule="exact"/>
              <w:rPr>
                <w:rFonts w:ascii="楷体" w:hAnsi="楷体" w:eastAsia="楷体"/>
              </w:rPr>
            </w:pPr>
            <w:r>
              <w:rPr>
                <w:rFonts w:hint="eastAsia" w:ascii="楷体" w:hAnsi="楷体" w:eastAsia="楷体"/>
              </w:rPr>
              <w:t>标准</w:t>
            </w:r>
          </w:p>
        </w:tc>
        <w:tc>
          <w:tcPr>
            <w:tcW w:w="5026" w:type="dxa"/>
            <w:tcBorders>
              <w:top w:val="single" w:color="auto" w:sz="4" w:space="0"/>
              <w:left w:val="single" w:color="auto" w:sz="4" w:space="0"/>
              <w:bottom w:val="single" w:color="auto" w:sz="12" w:space="0"/>
              <w:right w:val="single" w:color="auto" w:sz="4" w:space="0"/>
            </w:tcBorders>
            <w:noWrap w:val="0"/>
            <w:vAlign w:val="center"/>
          </w:tcPr>
          <w:p>
            <w:pPr>
              <w:spacing w:line="320" w:lineRule="exact"/>
              <w:rPr>
                <w:rFonts w:ascii="楷体" w:hAnsi="楷体" w:eastAsia="楷体"/>
              </w:rPr>
            </w:pPr>
            <w:r>
              <w:rPr>
                <w:rFonts w:hint="eastAsia" w:ascii="楷体" w:hAnsi="楷体" w:eastAsia="楷体"/>
              </w:rPr>
              <w:t>按照“席地而坐”总体要求，做到界面无灰尘、无污水、无烟蒂、无滞留垃圾；果壳箱、花箱、花盆、消防栓、椅子、路牌等公共设施及沿街修饰立面保持清洁；果壳箱垃圾无超过3/4、花箱内无垃圾；街面无小广告等保洁质量标准</w:t>
            </w:r>
          </w:p>
        </w:tc>
        <w:tc>
          <w:tcPr>
            <w:tcW w:w="5400" w:type="dxa"/>
            <w:tcBorders>
              <w:top w:val="single" w:color="auto" w:sz="4" w:space="0"/>
              <w:left w:val="single" w:color="auto" w:sz="4" w:space="0"/>
              <w:bottom w:val="single" w:color="auto" w:sz="12" w:space="0"/>
              <w:right w:val="single" w:color="auto" w:sz="4" w:space="0"/>
            </w:tcBorders>
            <w:noWrap w:val="0"/>
            <w:vAlign w:val="center"/>
          </w:tcPr>
          <w:p>
            <w:pPr>
              <w:widowControl/>
              <w:jc w:val="left"/>
              <w:textAlignment w:val="center"/>
              <w:rPr>
                <w:rFonts w:hint="eastAsia" w:ascii="楷体" w:hAnsi="楷体" w:eastAsia="楷体"/>
              </w:rPr>
            </w:pPr>
            <w:r>
              <w:rPr>
                <w:rFonts w:hint="eastAsia" w:ascii="楷体" w:hAnsi="楷体" w:eastAsia="楷体"/>
              </w:rPr>
              <w:t>没发现一处质量不符合标准的扣1分</w:t>
            </w:r>
          </w:p>
        </w:tc>
        <w:tc>
          <w:tcPr>
            <w:tcW w:w="1631" w:type="dxa"/>
            <w:tcBorders>
              <w:top w:val="single" w:color="auto" w:sz="4" w:space="0"/>
              <w:left w:val="single" w:color="auto" w:sz="4" w:space="0"/>
              <w:bottom w:val="single" w:color="auto" w:sz="12" w:space="0"/>
              <w:right w:val="single" w:color="auto" w:sz="4" w:space="0"/>
            </w:tcBorders>
            <w:noWrap w:val="0"/>
            <w:vAlign w:val="center"/>
          </w:tcPr>
          <w:p>
            <w:pPr>
              <w:spacing w:line="320" w:lineRule="exact"/>
              <w:rPr>
                <w:rFonts w:ascii="楷体" w:hAnsi="楷体" w:eastAsia="楷体"/>
              </w:rPr>
            </w:pPr>
            <w:r>
              <w:rPr>
                <w:rFonts w:hint="eastAsia" w:ascii="楷体" w:hAnsi="楷体" w:eastAsia="楷体"/>
              </w:rPr>
              <w:t>在规定的保洁时间内（包括节假日），随机抽查，不合格路段反复查。</w:t>
            </w:r>
          </w:p>
        </w:tc>
        <w:tc>
          <w:tcPr>
            <w:tcW w:w="1069" w:type="dxa"/>
            <w:tcBorders>
              <w:top w:val="single" w:color="auto" w:sz="4" w:space="0"/>
              <w:left w:val="single" w:color="auto" w:sz="4" w:space="0"/>
              <w:bottom w:val="single" w:color="auto" w:sz="12" w:space="0"/>
              <w:right w:val="single" w:color="auto" w:sz="12" w:space="0"/>
            </w:tcBorders>
            <w:noWrap w:val="0"/>
            <w:vAlign w:val="center"/>
          </w:tcPr>
          <w:p>
            <w:pPr>
              <w:spacing w:line="320" w:lineRule="exact"/>
              <w:jc w:val="center"/>
              <w:rPr>
                <w:rFonts w:ascii="楷体" w:hAnsi="楷体" w:eastAsia="楷体"/>
              </w:rPr>
            </w:pPr>
            <w:r>
              <w:rPr>
                <w:rFonts w:hint="eastAsia" w:ascii="楷体" w:hAnsi="楷体" w:eastAsia="楷体"/>
              </w:rPr>
              <w:t>5分</w:t>
            </w:r>
          </w:p>
        </w:tc>
      </w:tr>
    </w:tbl>
    <w:p>
      <w:pPr>
        <w:spacing w:line="460" w:lineRule="exact"/>
        <w:rPr>
          <w:rFonts w:hint="eastAsia" w:ascii="楷体" w:hAnsi="楷体" w:eastAsia="楷体" w:cs="Arial"/>
          <w:b/>
          <w:sz w:val="22"/>
          <w:szCs w:val="22"/>
        </w:rPr>
      </w:pPr>
    </w:p>
    <w:p>
      <w:pPr>
        <w:tabs>
          <w:tab w:val="center" w:pos="7086"/>
        </w:tabs>
        <w:jc w:val="left"/>
        <w:rPr>
          <w:rFonts w:hint="eastAsia" w:ascii="楷体" w:hAnsi="楷体" w:eastAsia="楷体" w:cs="宋体"/>
          <w:b/>
          <w:bCs/>
          <w:sz w:val="22"/>
          <w:szCs w:val="22"/>
        </w:rPr>
        <w:sectPr>
          <w:type w:val="nextColumn"/>
          <w:pgSz w:w="16838" w:h="11906" w:orient="landscape"/>
          <w:pgMar w:top="1134" w:right="1531" w:bottom="1134" w:left="1134" w:header="851" w:footer="992" w:gutter="0"/>
          <w:cols w:space="720" w:num="1"/>
          <w:docGrid w:linePitch="312" w:charSpace="0"/>
        </w:sectPr>
      </w:pPr>
    </w:p>
    <w:p>
      <w:pPr>
        <w:spacing w:line="400" w:lineRule="exact"/>
        <w:rPr>
          <w:rFonts w:ascii="楷体" w:hAnsi="楷体" w:eastAsia="楷体" w:cs="Arial"/>
          <w:b/>
          <w:sz w:val="22"/>
          <w:szCs w:val="22"/>
        </w:rPr>
      </w:pPr>
      <w:bookmarkStart w:id="204" w:name="_Toc235866827"/>
      <w:bookmarkStart w:id="205" w:name="_Toc235866829"/>
      <w:bookmarkStart w:id="206" w:name="_Toc249758721"/>
      <w:bookmarkStart w:id="207" w:name="_Toc249758871"/>
      <w:bookmarkStart w:id="208" w:name="_Toc262049425"/>
      <w:bookmarkStart w:id="209" w:name="_Toc262105510"/>
      <w:r>
        <w:rPr>
          <w:rFonts w:hint="eastAsia" w:ascii="楷体" w:hAnsi="楷体" w:eastAsia="楷体" w:cs="Arial"/>
          <w:b/>
          <w:sz w:val="22"/>
          <w:szCs w:val="22"/>
        </w:rPr>
        <w:t>二、考核方式及</w:t>
      </w:r>
      <w:bookmarkEnd w:id="204"/>
      <w:r>
        <w:rPr>
          <w:rFonts w:hint="eastAsia" w:ascii="楷体" w:hAnsi="楷体" w:eastAsia="楷体" w:cs="Arial"/>
          <w:b/>
          <w:sz w:val="22"/>
          <w:szCs w:val="22"/>
        </w:rPr>
        <w:t>结果运用（甲方有权根据实际情况进行适当调整）。</w:t>
      </w:r>
    </w:p>
    <w:p>
      <w:pPr>
        <w:spacing w:line="400" w:lineRule="exact"/>
        <w:rPr>
          <w:rFonts w:hint="eastAsia" w:ascii="楷体" w:hAnsi="楷体" w:eastAsia="楷体" w:cs="Arial"/>
          <w:sz w:val="22"/>
          <w:szCs w:val="22"/>
        </w:rPr>
      </w:pPr>
      <w:r>
        <w:rPr>
          <w:rFonts w:hint="eastAsia" w:ascii="楷体" w:hAnsi="楷体" w:eastAsia="楷体" w:cs="Arial"/>
          <w:sz w:val="22"/>
          <w:szCs w:val="22"/>
        </w:rPr>
        <w:t>（一）考核方式</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1、本项目依照《温州市鹿城区人民政府五马街道办事处道路及楼道清扫保洁质量考核评分细则》评分标准进行考评。</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2、</w:t>
      </w:r>
      <w:r>
        <w:rPr>
          <w:rFonts w:ascii="楷体" w:hAnsi="楷体" w:eastAsia="楷体" w:cs="Arial"/>
          <w:sz w:val="22"/>
          <w:szCs w:val="22"/>
        </w:rPr>
        <w:t>道路清扫保洁作业质量考核和人员配置、人员福利保障、机具配置监管等主体为相关辖区街道和甲方，如需承包单位配合的将提前一小时通知该单位派员参加</w:t>
      </w:r>
      <w:r>
        <w:rPr>
          <w:rFonts w:hint="eastAsia" w:ascii="楷体" w:hAnsi="楷体" w:eastAsia="楷体" w:cs="Arial"/>
          <w:sz w:val="22"/>
          <w:szCs w:val="22"/>
        </w:rPr>
        <w:t>。</w:t>
      </w:r>
    </w:p>
    <w:p>
      <w:pPr>
        <w:spacing w:line="400" w:lineRule="exact"/>
        <w:ind w:left="331" w:hanging="331" w:hangingChars="150"/>
        <w:rPr>
          <w:rFonts w:hint="eastAsia" w:ascii="楷体" w:hAnsi="楷体" w:eastAsia="楷体" w:cs="Arial"/>
          <w:sz w:val="22"/>
          <w:szCs w:val="22"/>
        </w:rPr>
      </w:pPr>
      <w:r>
        <w:rPr>
          <w:rFonts w:hint="eastAsia" w:ascii="楷体" w:hAnsi="楷体" w:eastAsia="楷体" w:cs="Arial"/>
          <w:b/>
          <w:sz w:val="22"/>
          <w:szCs w:val="22"/>
        </w:rPr>
        <w:t>3、道路卫生考核由五马街道城管办及各大网格（社区）考核为主，采取不定时抽查、暗访相结合的考核形式，考核结果作为每月结算依据。</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 xml:space="preserve">4、考核时间：普扫在机关上班前1小时或规定的其他普扫时间内完成（包括节假日）。动态保洁、环卫设施维护、规范作业等在规定的时间内完成（包括节假日）。 </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 xml:space="preserve">5、对考核中发现的问题，当场详细记录，问题路段通过微信实时发布，对不及时回复或回复内容不真实或故意不回复的根据《五马街道环境卫生微信管理》有关规定执行，并纳入当月的量化评分。 </w:t>
      </w:r>
    </w:p>
    <w:p>
      <w:pPr>
        <w:spacing w:line="400" w:lineRule="exact"/>
        <w:rPr>
          <w:rFonts w:hint="eastAsia" w:ascii="楷体" w:hAnsi="楷体" w:eastAsia="楷体" w:cs="Arial"/>
          <w:sz w:val="22"/>
          <w:szCs w:val="22"/>
        </w:rPr>
      </w:pPr>
      <w:r>
        <w:rPr>
          <w:rFonts w:hint="eastAsia" w:ascii="楷体" w:hAnsi="楷体" w:eastAsia="楷体" w:cs="Arial"/>
          <w:sz w:val="22"/>
          <w:szCs w:val="22"/>
        </w:rPr>
        <w:t xml:space="preserve">6、对考核有异议的，由考核人员作出解释，照片或视频保留时间为1个月。 </w:t>
      </w:r>
    </w:p>
    <w:p>
      <w:pPr>
        <w:spacing w:line="400" w:lineRule="exact"/>
        <w:rPr>
          <w:rFonts w:hint="eastAsia" w:ascii="楷体" w:hAnsi="楷体" w:eastAsia="楷体" w:cs="Arial"/>
          <w:sz w:val="22"/>
          <w:szCs w:val="22"/>
        </w:rPr>
      </w:pPr>
      <w:r>
        <w:rPr>
          <w:rFonts w:hint="eastAsia" w:ascii="楷体" w:hAnsi="楷体" w:eastAsia="楷体" w:cs="Arial"/>
          <w:sz w:val="22"/>
          <w:szCs w:val="22"/>
        </w:rPr>
        <w:t>7、如有需要甲方有权对承包方人员配备、福利保障、机具配置等进行检查。</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8、中标单位根据要求在合同签署后的五日内提供GPS运行软件，甲方根据需要不定时对人员、车辆轨迹进行督查。</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 xml:space="preserve">9、道路卫生监管考核以道路（条）为单位，取每条道路月度总考核次数的平均分，考核达标分为：一级道路96分、二级道路94分、三、四级道路及社区92分；低于达标分的为不达标道路，考核中发现问题的，要进行重点查、反复查。 </w:t>
      </w:r>
    </w:p>
    <w:p>
      <w:pPr>
        <w:spacing w:line="400" w:lineRule="exact"/>
        <w:rPr>
          <w:rFonts w:hint="eastAsia" w:ascii="楷体" w:hAnsi="楷体" w:eastAsia="楷体" w:cs="Arial"/>
          <w:sz w:val="22"/>
          <w:szCs w:val="22"/>
        </w:rPr>
      </w:pPr>
      <w:r>
        <w:rPr>
          <w:rFonts w:hint="eastAsia" w:ascii="楷体" w:hAnsi="楷体" w:eastAsia="楷体" w:cs="Arial"/>
          <w:sz w:val="22"/>
          <w:szCs w:val="22"/>
        </w:rPr>
        <w:t>10、微信考核：甲方督查发现的路面保洁问题需在30分钟内(未改，没听清楚）回复整改情况，卫生死角，设施破损不能及时处理的，需要回复承诺整改时间，并按期回复。所有回复要求文字简练，图片有批注、真实清晰。</w:t>
      </w:r>
    </w:p>
    <w:p>
      <w:pPr>
        <w:spacing w:line="400" w:lineRule="exact"/>
        <w:rPr>
          <w:rFonts w:hint="eastAsia" w:ascii="楷体" w:hAnsi="楷体" w:eastAsia="楷体" w:cs="Arial"/>
          <w:sz w:val="22"/>
          <w:szCs w:val="22"/>
        </w:rPr>
      </w:pPr>
      <w:r>
        <w:rPr>
          <w:rFonts w:hint="eastAsia" w:ascii="楷体" w:hAnsi="楷体" w:eastAsia="楷体" w:cs="Arial"/>
          <w:sz w:val="22"/>
          <w:szCs w:val="22"/>
        </w:rPr>
        <w:t>（二）结果运用</w:t>
      </w:r>
    </w:p>
    <w:p>
      <w:pPr>
        <w:spacing w:line="400" w:lineRule="exact"/>
        <w:rPr>
          <w:rFonts w:hint="eastAsia" w:ascii="楷体" w:hAnsi="楷体" w:eastAsia="楷体" w:cs="Arial"/>
          <w:sz w:val="22"/>
          <w:szCs w:val="22"/>
        </w:rPr>
      </w:pPr>
      <w:r>
        <w:rPr>
          <w:rFonts w:hint="eastAsia" w:ascii="楷体" w:hAnsi="楷体" w:eastAsia="楷体" w:cs="Arial"/>
          <w:sz w:val="22"/>
          <w:szCs w:val="22"/>
        </w:rPr>
        <w:t>1、根据每月道路质量考核结果，达不到要求的将进行处罚，各级道路考核结果每下降0.1个百分点扣200元。</w:t>
      </w:r>
    </w:p>
    <w:p>
      <w:pPr>
        <w:spacing w:line="400" w:lineRule="exact"/>
        <w:rPr>
          <w:rFonts w:hint="eastAsia" w:ascii="楷体" w:hAnsi="楷体" w:eastAsia="楷体" w:cs="Arial"/>
          <w:sz w:val="22"/>
          <w:szCs w:val="22"/>
        </w:rPr>
      </w:pPr>
      <w:r>
        <w:rPr>
          <w:rFonts w:hint="eastAsia" w:ascii="楷体" w:hAnsi="楷体" w:eastAsia="楷体" w:cs="Arial"/>
          <w:sz w:val="22"/>
          <w:szCs w:val="22"/>
        </w:rPr>
        <w:t>2、人员配置和GPS定位督查、福利保障监管结果达不到规定或承诺要求的，每发现一名人员配置不到位，扣单名人员月工资福利总额的5倍罚金；每发现一次故意克扣工人工资福利待遇的，扣克扣额的10倍罚金；其中人员配置少于规定或承诺数90%，故意克扣工资福利超总人数20%的将终止承包合同。</w:t>
      </w:r>
    </w:p>
    <w:p>
      <w:pPr>
        <w:spacing w:line="400" w:lineRule="exact"/>
        <w:rPr>
          <w:rFonts w:hint="eastAsia" w:ascii="楷体" w:hAnsi="楷体" w:eastAsia="楷体" w:cs="Arial"/>
          <w:sz w:val="22"/>
          <w:szCs w:val="22"/>
        </w:rPr>
      </w:pPr>
      <w:r>
        <w:rPr>
          <w:rFonts w:hint="eastAsia" w:ascii="楷体" w:hAnsi="楷体" w:eastAsia="楷体" w:cs="Arial"/>
          <w:sz w:val="22"/>
          <w:szCs w:val="22"/>
        </w:rPr>
        <w:t>3、清扫保洁作业及保洁车辆配置监管和GPS定位监管结果达不到规定或承诺要求的，当月清扫保洁车辆发现1辆不到位，扣贰仟元人民币，第二次发现1辆不到位，扣第一罚款的5倍金额，第三次发现1辆不到位将取消承包合同。承包期内累计5次清扫保洁车辆不到位和一次性连续3天有清扫保洁车辆不到位的都将终止承包合同。（除人力不可抗拒的特殊情况外），同时要做好清扫保洁车辆相关台账建设工作，每月交甲方备案。</w:t>
      </w:r>
    </w:p>
    <w:p>
      <w:pPr>
        <w:spacing w:line="400" w:lineRule="exact"/>
        <w:rPr>
          <w:rFonts w:hint="eastAsia" w:ascii="楷体" w:hAnsi="楷体" w:eastAsia="楷体" w:cs="Arial"/>
          <w:sz w:val="22"/>
          <w:szCs w:val="22"/>
        </w:rPr>
      </w:pPr>
      <w:r>
        <w:rPr>
          <w:rFonts w:hint="eastAsia" w:ascii="楷体" w:hAnsi="楷体" w:eastAsia="楷体" w:cs="Arial"/>
          <w:sz w:val="22"/>
          <w:szCs w:val="22"/>
        </w:rPr>
        <w:t>4、有市民投诉、媒体曝光的影响环境卫生事件,经核实是由乙方或作业人员责任引起的将予以处罚,处罚额度为每发现并核实一次扣5000元。</w:t>
      </w:r>
    </w:p>
    <w:p>
      <w:pPr>
        <w:spacing w:line="400" w:lineRule="exact"/>
        <w:rPr>
          <w:rFonts w:hint="eastAsia" w:ascii="楷体" w:hAnsi="楷体" w:eastAsia="楷体" w:cs="Arial"/>
          <w:sz w:val="22"/>
          <w:szCs w:val="22"/>
        </w:rPr>
      </w:pPr>
      <w:r>
        <w:rPr>
          <w:rFonts w:hint="eastAsia" w:ascii="楷体" w:hAnsi="楷体" w:eastAsia="楷体" w:cs="Arial"/>
          <w:sz w:val="22"/>
          <w:szCs w:val="22"/>
        </w:rPr>
        <w:t>5、乙方必须按照甲方的要求时限进场，如标段总评分连续2个月（年累计3个月）不达标或连接3个月出现有20%道路（按标段总面积计算）月评分不达标的，将终止承包合同。</w:t>
      </w:r>
    </w:p>
    <w:p>
      <w:pPr>
        <w:spacing w:line="400" w:lineRule="exact"/>
        <w:ind w:left="550" w:hanging="550" w:hangingChars="250"/>
        <w:rPr>
          <w:rFonts w:hint="eastAsia" w:ascii="楷体" w:hAnsi="楷体" w:eastAsia="楷体" w:cs="Arial"/>
          <w:sz w:val="22"/>
          <w:szCs w:val="22"/>
        </w:rPr>
      </w:pPr>
      <w:r>
        <w:rPr>
          <w:rFonts w:hint="eastAsia" w:ascii="楷体" w:hAnsi="楷体" w:eastAsia="楷体" w:cs="Arial"/>
          <w:sz w:val="22"/>
          <w:szCs w:val="22"/>
        </w:rPr>
        <w:t>6、罚款从每月承包经费中扣除。</w:t>
      </w:r>
    </w:p>
    <w:p>
      <w:pPr>
        <w:spacing w:line="400" w:lineRule="exact"/>
        <w:rPr>
          <w:rFonts w:hint="eastAsia" w:ascii="楷体" w:hAnsi="楷体" w:eastAsia="楷体" w:cs="Arial"/>
          <w:sz w:val="22"/>
          <w:szCs w:val="22"/>
        </w:rPr>
      </w:pPr>
      <w:r>
        <w:rPr>
          <w:rFonts w:hint="eastAsia" w:ascii="楷体" w:hAnsi="楷体" w:eastAsia="楷体" w:cs="Arial"/>
          <w:sz w:val="22"/>
          <w:szCs w:val="22"/>
        </w:rPr>
        <w:t>三、承包期限</w:t>
      </w:r>
    </w:p>
    <w:p>
      <w:pPr>
        <w:spacing w:line="400" w:lineRule="exact"/>
        <w:jc w:val="center"/>
        <w:rPr>
          <w:rFonts w:hint="eastAsia" w:ascii="楷体" w:hAnsi="楷体" w:eastAsia="楷体"/>
          <w:sz w:val="36"/>
          <w:szCs w:val="36"/>
        </w:rPr>
      </w:pPr>
      <w:r>
        <w:rPr>
          <w:rFonts w:hint="eastAsia" w:ascii="楷体" w:hAnsi="楷体" w:eastAsia="楷体" w:cs="Arial"/>
          <w:sz w:val="22"/>
          <w:szCs w:val="22"/>
        </w:rPr>
        <w:t>1、本次招标合同期为一年，合同期满后，若招标人对承包单位的考核结果为合格，并经财政部门同意后，可以与承包单位续签一年合同（1+1模式）。</w:t>
      </w:r>
      <w:r>
        <w:rPr>
          <w:rFonts w:hint="eastAsia" w:ascii="楷体" w:hAnsi="楷体" w:eastAsia="楷体"/>
          <w:b/>
          <w:bCs/>
          <w:sz w:val="22"/>
          <w:szCs w:val="22"/>
        </w:rPr>
        <w:br w:type="page"/>
      </w:r>
      <w:bookmarkEnd w:id="205"/>
      <w:r>
        <w:rPr>
          <w:rFonts w:hint="eastAsia" w:ascii="楷体" w:hAnsi="楷体" w:eastAsia="楷体" w:cs="Arial"/>
          <w:b/>
          <w:bCs/>
          <w:sz w:val="32"/>
          <w:szCs w:val="32"/>
        </w:rPr>
        <w:t>第四部分   招标内容及要求</w:t>
      </w:r>
      <w:bookmarkEnd w:id="206"/>
      <w:bookmarkEnd w:id="207"/>
      <w:bookmarkEnd w:id="208"/>
      <w:bookmarkEnd w:id="209"/>
    </w:p>
    <w:p>
      <w:pPr>
        <w:rPr>
          <w:rFonts w:hint="eastAsia" w:ascii="楷体" w:hAnsi="楷体" w:eastAsia="楷体"/>
          <w:szCs w:val="21"/>
        </w:rPr>
      </w:pPr>
    </w:p>
    <w:p>
      <w:pPr>
        <w:pStyle w:val="11"/>
        <w:spacing w:line="400" w:lineRule="exact"/>
        <w:ind w:left="316" w:hanging="316" w:hangingChars="143"/>
        <w:rPr>
          <w:rFonts w:hint="eastAsia" w:ascii="楷体" w:hAnsi="楷体" w:eastAsia="楷体" w:cs="Arial"/>
          <w:b/>
          <w:sz w:val="22"/>
          <w:szCs w:val="22"/>
        </w:rPr>
      </w:pPr>
      <w:r>
        <w:rPr>
          <w:rFonts w:hint="eastAsia" w:ascii="楷体" w:hAnsi="楷体" w:eastAsia="楷体" w:cs="Arial"/>
          <w:b/>
          <w:sz w:val="22"/>
          <w:szCs w:val="22"/>
        </w:rPr>
        <w:t>一、说明</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1、为了适应市场经济的城市道路保洁管理机制，加快推进城市道路管理市场化的进程，本项目进行公开招标。</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2、</w:t>
      </w:r>
      <w:r>
        <w:rPr>
          <w:rFonts w:ascii="楷体" w:hAnsi="楷体" w:eastAsia="楷体" w:cs="Arial"/>
          <w:sz w:val="22"/>
          <w:szCs w:val="22"/>
        </w:rPr>
        <w:t>投标人</w:t>
      </w:r>
      <w:r>
        <w:rPr>
          <w:rFonts w:hint="eastAsia" w:ascii="楷体" w:hAnsi="楷体" w:eastAsia="楷体" w:cs="Arial"/>
          <w:sz w:val="22"/>
          <w:szCs w:val="22"/>
        </w:rPr>
        <w:t>须</w:t>
      </w:r>
      <w:r>
        <w:rPr>
          <w:rFonts w:ascii="楷体" w:hAnsi="楷体" w:eastAsia="楷体" w:cs="Arial"/>
          <w:sz w:val="22"/>
          <w:szCs w:val="22"/>
        </w:rPr>
        <w:t>在</w:t>
      </w:r>
      <w:r>
        <w:rPr>
          <w:rFonts w:hint="eastAsia" w:ascii="楷体" w:hAnsi="楷体" w:eastAsia="楷体" w:cs="Arial"/>
          <w:sz w:val="22"/>
          <w:szCs w:val="22"/>
        </w:rPr>
        <w:t>投标文件技术资信标中</w:t>
      </w:r>
      <w:r>
        <w:rPr>
          <w:rFonts w:ascii="楷体" w:hAnsi="楷体" w:eastAsia="楷体" w:cs="Arial"/>
          <w:sz w:val="22"/>
          <w:szCs w:val="22"/>
        </w:rPr>
        <w:t>承诺投入的</w:t>
      </w:r>
      <w:r>
        <w:rPr>
          <w:rFonts w:hint="eastAsia" w:ascii="楷体" w:hAnsi="楷体" w:eastAsia="楷体" w:cs="Arial"/>
          <w:sz w:val="22"/>
          <w:szCs w:val="22"/>
        </w:rPr>
        <w:t>清扫保洁人员及清扫保洁</w:t>
      </w:r>
      <w:r>
        <w:rPr>
          <w:rFonts w:ascii="楷体" w:hAnsi="楷体" w:eastAsia="楷体" w:cs="Arial"/>
          <w:sz w:val="22"/>
          <w:szCs w:val="22"/>
        </w:rPr>
        <w:t>专用车辆必须只用</w:t>
      </w:r>
      <w:r>
        <w:rPr>
          <w:rFonts w:hint="eastAsia" w:ascii="楷体" w:hAnsi="楷体" w:eastAsia="楷体" w:cs="Arial"/>
          <w:sz w:val="22"/>
          <w:szCs w:val="22"/>
        </w:rPr>
        <w:t>所投项目</w:t>
      </w:r>
      <w:r>
        <w:rPr>
          <w:rFonts w:ascii="楷体" w:hAnsi="楷体" w:eastAsia="楷体" w:cs="Arial"/>
          <w:sz w:val="22"/>
          <w:szCs w:val="22"/>
        </w:rPr>
        <w:t>，未经采购人同意不得自行变更或另用他处。</w:t>
      </w:r>
    </w:p>
    <w:p>
      <w:pPr>
        <w:spacing w:line="400" w:lineRule="exact"/>
        <w:ind w:left="330" w:hanging="330" w:hangingChars="150"/>
        <w:rPr>
          <w:rFonts w:hint="eastAsia" w:ascii="楷体" w:hAnsi="楷体" w:eastAsia="楷体" w:cs="Arial"/>
          <w:sz w:val="22"/>
          <w:szCs w:val="22"/>
        </w:rPr>
      </w:pPr>
      <w:r>
        <w:rPr>
          <w:rFonts w:hint="eastAsia" w:ascii="楷体" w:hAnsi="楷体" w:eastAsia="楷体" w:cs="Arial"/>
          <w:sz w:val="22"/>
          <w:szCs w:val="22"/>
        </w:rPr>
        <w:t>3、</w:t>
      </w:r>
      <w:r>
        <w:rPr>
          <w:rFonts w:ascii="楷体" w:hAnsi="楷体" w:eastAsia="楷体" w:cs="Arial"/>
          <w:sz w:val="22"/>
          <w:szCs w:val="22"/>
        </w:rPr>
        <w:t>本项目</w:t>
      </w:r>
      <w:r>
        <w:rPr>
          <w:rFonts w:hint="eastAsia" w:ascii="楷体" w:hAnsi="楷体" w:eastAsia="楷体" w:cs="Arial"/>
          <w:sz w:val="22"/>
          <w:szCs w:val="22"/>
        </w:rPr>
        <w:t>投入配备人员由投标单位按照温州地区的实际情况与浙江省城市环境卫生劳动定额自行科学、合理测算，须列入投标文件中并作出具体的说明。</w:t>
      </w:r>
    </w:p>
    <w:p>
      <w:pPr>
        <w:spacing w:line="400" w:lineRule="exact"/>
        <w:ind w:left="330" w:hanging="330" w:hangingChars="150"/>
        <w:rPr>
          <w:rFonts w:hint="eastAsia" w:ascii="楷体" w:hAnsi="楷体" w:eastAsia="楷体" w:cs="Arial"/>
          <w:sz w:val="22"/>
          <w:szCs w:val="22"/>
        </w:rPr>
      </w:pPr>
    </w:p>
    <w:p>
      <w:pPr>
        <w:pStyle w:val="11"/>
        <w:spacing w:line="400" w:lineRule="exact"/>
        <w:ind w:left="316" w:hanging="316" w:hangingChars="143"/>
        <w:rPr>
          <w:rFonts w:hint="eastAsia" w:ascii="楷体" w:hAnsi="楷体" w:eastAsia="楷体" w:cs="Arial"/>
          <w:b/>
          <w:sz w:val="22"/>
          <w:szCs w:val="22"/>
        </w:rPr>
      </w:pPr>
      <w:r>
        <w:rPr>
          <w:rFonts w:hint="eastAsia" w:ascii="楷体" w:hAnsi="楷体" w:eastAsia="楷体" w:cs="Arial"/>
          <w:b/>
          <w:sz w:val="22"/>
          <w:szCs w:val="22"/>
        </w:rPr>
        <w:t>二、招标内容</w:t>
      </w:r>
    </w:p>
    <w:p>
      <w:pPr>
        <w:spacing w:line="400" w:lineRule="exact"/>
        <w:rPr>
          <w:rFonts w:hint="eastAsia" w:ascii="楷体" w:hAnsi="楷体" w:eastAsia="楷体" w:cs="Arial"/>
          <w:b/>
          <w:sz w:val="22"/>
          <w:szCs w:val="22"/>
        </w:rPr>
      </w:pPr>
      <w:r>
        <w:rPr>
          <w:rFonts w:hint="eastAsia" w:ascii="楷体" w:hAnsi="楷体" w:eastAsia="楷体" w:cs="Arial"/>
          <w:b/>
          <w:sz w:val="22"/>
          <w:szCs w:val="22"/>
        </w:rPr>
        <w:t>1、道路清扫保洁服务面积</w:t>
      </w:r>
    </w:p>
    <w:tbl>
      <w:tblPr>
        <w:tblStyle w:val="26"/>
        <w:tblW w:w="0" w:type="auto"/>
        <w:tblInd w:w="0" w:type="dxa"/>
        <w:tblLayout w:type="fixed"/>
        <w:tblCellMar>
          <w:top w:w="15" w:type="dxa"/>
          <w:left w:w="15" w:type="dxa"/>
          <w:bottom w:w="15" w:type="dxa"/>
          <w:right w:w="15" w:type="dxa"/>
        </w:tblCellMar>
      </w:tblPr>
      <w:tblGrid>
        <w:gridCol w:w="600"/>
        <w:gridCol w:w="19"/>
        <w:gridCol w:w="15"/>
        <w:gridCol w:w="11"/>
        <w:gridCol w:w="19"/>
        <w:gridCol w:w="15"/>
        <w:gridCol w:w="15"/>
        <w:gridCol w:w="15"/>
        <w:gridCol w:w="750"/>
        <w:gridCol w:w="79"/>
        <w:gridCol w:w="71"/>
        <w:gridCol w:w="120"/>
        <w:gridCol w:w="1725"/>
        <w:gridCol w:w="15"/>
        <w:gridCol w:w="90"/>
        <w:gridCol w:w="15"/>
        <w:gridCol w:w="15"/>
        <w:gridCol w:w="15"/>
        <w:gridCol w:w="15"/>
        <w:gridCol w:w="15"/>
        <w:gridCol w:w="15"/>
        <w:gridCol w:w="45"/>
        <w:gridCol w:w="15"/>
        <w:gridCol w:w="15"/>
        <w:gridCol w:w="45"/>
        <w:gridCol w:w="15"/>
        <w:gridCol w:w="480"/>
        <w:gridCol w:w="975"/>
        <w:gridCol w:w="750"/>
        <w:gridCol w:w="1095"/>
        <w:gridCol w:w="2558"/>
      </w:tblGrid>
      <w:tr>
        <w:tblPrEx>
          <w:tblCellMar>
            <w:top w:w="15" w:type="dxa"/>
            <w:left w:w="15" w:type="dxa"/>
            <w:bottom w:w="15" w:type="dxa"/>
            <w:right w:w="15" w:type="dxa"/>
          </w:tblCellMar>
        </w:tblPrEx>
        <w:trPr>
          <w:wBefore w:w="0" w:type="dxa"/>
          <w:wAfter w:w="0" w:type="dxa"/>
          <w:trHeight w:val="494"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1129"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46" w:hRule="atLeast"/>
        </w:trPr>
        <w:tc>
          <w:tcPr>
            <w:tcW w:w="600" w:type="dxa"/>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1129" w:type="dxa"/>
            <w:gridSpan w:val="11"/>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矮凳桥社区</w:t>
            </w: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8"/>
                <w:szCs w:val="28"/>
              </w:rPr>
            </w:pPr>
            <w:r>
              <w:rPr>
                <w:rFonts w:hint="eastAsia" w:ascii="楷体" w:hAnsi="楷体" w:eastAsia="楷体" w:cs="Arial"/>
                <w:sz w:val="22"/>
                <w:szCs w:val="22"/>
              </w:rPr>
              <w:t>江滨西路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351号---603号</w:t>
            </w:r>
          </w:p>
        </w:tc>
      </w:tr>
      <w:tr>
        <w:tblPrEx>
          <w:tblCellMar>
            <w:top w:w="15" w:type="dxa"/>
            <w:left w:w="15" w:type="dxa"/>
            <w:bottom w:w="15" w:type="dxa"/>
            <w:right w:w="15" w:type="dxa"/>
          </w:tblCellMar>
        </w:tblPrEx>
        <w:trPr>
          <w:wBefore w:w="0" w:type="dxa"/>
          <w:wAfter w:w="0" w:type="dxa"/>
          <w:trHeight w:val="321"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东明路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103号---273号</w:t>
            </w:r>
          </w:p>
        </w:tc>
      </w:tr>
      <w:tr>
        <w:tblPrEx>
          <w:tblCellMar>
            <w:top w:w="15" w:type="dxa"/>
            <w:left w:w="15" w:type="dxa"/>
            <w:bottom w:w="15" w:type="dxa"/>
            <w:right w:w="15" w:type="dxa"/>
          </w:tblCellMar>
        </w:tblPrEx>
        <w:trPr>
          <w:wBefore w:w="0" w:type="dxa"/>
          <w:wAfter w:w="0" w:type="dxa"/>
          <w:trHeight w:val="580"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飞霞北路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171号---339号  96号---282号</w:t>
            </w:r>
          </w:p>
        </w:tc>
      </w:tr>
      <w:tr>
        <w:tblPrEx>
          <w:tblCellMar>
            <w:top w:w="15" w:type="dxa"/>
            <w:left w:w="15" w:type="dxa"/>
            <w:bottom w:w="15" w:type="dxa"/>
            <w:right w:w="15" w:type="dxa"/>
          </w:tblCellMar>
        </w:tblPrEx>
        <w:trPr>
          <w:wBefore w:w="0" w:type="dxa"/>
          <w:wAfter w:w="0" w:type="dxa"/>
          <w:trHeight w:val="366"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东明路---飞霞北路</w:t>
            </w:r>
          </w:p>
        </w:tc>
      </w:tr>
      <w:tr>
        <w:tblPrEx>
          <w:tblCellMar>
            <w:top w:w="15" w:type="dxa"/>
            <w:left w:w="15" w:type="dxa"/>
            <w:bottom w:w="15" w:type="dxa"/>
            <w:right w:w="15" w:type="dxa"/>
          </w:tblCellMar>
        </w:tblPrEx>
        <w:trPr>
          <w:wBefore w:w="0" w:type="dxa"/>
          <w:wAfter w:w="0" w:type="dxa"/>
          <w:trHeight w:val="375"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飞霞北路---东明路</w:t>
            </w:r>
          </w:p>
        </w:tc>
      </w:tr>
      <w:tr>
        <w:tblPrEx>
          <w:tblCellMar>
            <w:top w:w="15" w:type="dxa"/>
            <w:left w:w="15" w:type="dxa"/>
            <w:bottom w:w="15" w:type="dxa"/>
            <w:right w:w="15" w:type="dxa"/>
          </w:tblCellMar>
        </w:tblPrEx>
        <w:trPr>
          <w:wBefore w:w="0" w:type="dxa"/>
          <w:wAfter w:w="0" w:type="dxa"/>
          <w:trHeight w:val="358"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鸡鸣岭</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鸡鸣岭2号-42号</w:t>
            </w:r>
          </w:p>
        </w:tc>
      </w:tr>
      <w:tr>
        <w:tblPrEx>
          <w:tblCellMar>
            <w:top w:w="15" w:type="dxa"/>
            <w:left w:w="15" w:type="dxa"/>
            <w:bottom w:w="15" w:type="dxa"/>
            <w:right w:w="15" w:type="dxa"/>
          </w:tblCellMar>
        </w:tblPrEx>
        <w:trPr>
          <w:wBefore w:w="0" w:type="dxa"/>
          <w:wAfter w:w="0" w:type="dxa"/>
          <w:trHeight w:val="593"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永东路</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永东路1号-131号  2号---90号</w:t>
            </w:r>
          </w:p>
        </w:tc>
      </w:tr>
      <w:tr>
        <w:tblPrEx>
          <w:tblCellMar>
            <w:top w:w="15" w:type="dxa"/>
            <w:left w:w="15" w:type="dxa"/>
            <w:bottom w:w="15" w:type="dxa"/>
            <w:right w:w="15" w:type="dxa"/>
          </w:tblCellMar>
        </w:tblPrEx>
        <w:trPr>
          <w:wBefore w:w="0" w:type="dxa"/>
          <w:wAfter w:w="0" w:type="dxa"/>
          <w:trHeight w:val="494" w:hRule="atLeast"/>
        </w:trPr>
        <w:tc>
          <w:tcPr>
            <w:tcW w:w="600" w:type="dxa"/>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2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永东路和环城东路其他巷弄</w:t>
            </w:r>
          </w:p>
        </w:tc>
        <w:tc>
          <w:tcPr>
            <w:tcW w:w="810" w:type="dxa"/>
            <w:gridSpan w:val="1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w:t>
            </w:r>
            <w:bookmarkStart w:id="210" w:name="OLE_LINK2"/>
            <w:r>
              <w:rPr>
                <w:rFonts w:hint="eastAsia" w:ascii="楷体" w:hAnsi="楷体" w:eastAsia="楷体" w:cs="Arial"/>
                <w:sz w:val="22"/>
                <w:szCs w:val="22"/>
              </w:rPr>
              <w:t>级</w:t>
            </w:r>
            <w:bookmarkEnd w:id="210"/>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其他（共8条巷弄）</w:t>
            </w:r>
          </w:p>
        </w:tc>
      </w:tr>
      <w:tr>
        <w:tblPrEx>
          <w:tblCellMar>
            <w:top w:w="15" w:type="dxa"/>
            <w:left w:w="15" w:type="dxa"/>
            <w:bottom w:w="15" w:type="dxa"/>
            <w:right w:w="15" w:type="dxa"/>
          </w:tblCellMar>
        </w:tblPrEx>
        <w:trPr>
          <w:wBefore w:w="0" w:type="dxa"/>
          <w:wAfter w:w="0" w:type="dxa"/>
          <w:trHeight w:val="494"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56300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543"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1129"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174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795"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58" w:hRule="atLeast"/>
        </w:trPr>
        <w:tc>
          <w:tcPr>
            <w:tcW w:w="600" w:type="dxa"/>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1129" w:type="dxa"/>
            <w:gridSpan w:val="11"/>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安澜</w:t>
            </w:r>
          </w:p>
        </w:tc>
        <w:tc>
          <w:tcPr>
            <w:tcW w:w="174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瓯江路</w:t>
            </w:r>
          </w:p>
        </w:tc>
        <w:tc>
          <w:tcPr>
            <w:tcW w:w="795"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安澜码头--拉斐酒店</w:t>
            </w:r>
          </w:p>
        </w:tc>
      </w:tr>
      <w:tr>
        <w:tblPrEx>
          <w:tblCellMar>
            <w:top w:w="15" w:type="dxa"/>
            <w:left w:w="15" w:type="dxa"/>
            <w:bottom w:w="15" w:type="dxa"/>
            <w:right w:w="15" w:type="dxa"/>
          </w:tblCellMar>
        </w:tblPrEx>
        <w:trPr>
          <w:wBefore w:w="0" w:type="dxa"/>
          <w:wAfter w:w="0" w:type="dxa"/>
          <w:trHeight w:val="362"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4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瓯江路</w:t>
            </w:r>
          </w:p>
        </w:tc>
        <w:tc>
          <w:tcPr>
            <w:tcW w:w="795"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拉斐酒店--永楠路口</w:t>
            </w:r>
          </w:p>
        </w:tc>
      </w:tr>
      <w:tr>
        <w:tblPrEx>
          <w:tblCellMar>
            <w:top w:w="15" w:type="dxa"/>
            <w:left w:w="15" w:type="dxa"/>
            <w:bottom w:w="15" w:type="dxa"/>
            <w:right w:w="15" w:type="dxa"/>
          </w:tblCellMar>
        </w:tblPrEx>
        <w:trPr>
          <w:wBefore w:w="0" w:type="dxa"/>
          <w:wAfter w:w="0" w:type="dxa"/>
          <w:trHeight w:val="362"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4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永楠路</w:t>
            </w:r>
          </w:p>
        </w:tc>
        <w:tc>
          <w:tcPr>
            <w:tcW w:w="795"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新永川路--瓯江路段</w:t>
            </w:r>
          </w:p>
        </w:tc>
      </w:tr>
      <w:tr>
        <w:tblPrEx>
          <w:tblCellMar>
            <w:top w:w="15" w:type="dxa"/>
            <w:left w:w="15" w:type="dxa"/>
            <w:bottom w:w="15" w:type="dxa"/>
            <w:right w:w="15" w:type="dxa"/>
          </w:tblCellMar>
        </w:tblPrEx>
        <w:trPr>
          <w:wBefore w:w="0" w:type="dxa"/>
          <w:wAfter w:w="0" w:type="dxa"/>
          <w:trHeight w:val="753"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74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新永川路</w:t>
            </w:r>
          </w:p>
        </w:tc>
        <w:tc>
          <w:tcPr>
            <w:tcW w:w="795"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永城公寓（飞霞北路）---绿景公寓（环城东路）</w:t>
            </w:r>
          </w:p>
        </w:tc>
      </w:tr>
      <w:tr>
        <w:tblPrEx>
          <w:tblCellMar>
            <w:top w:w="15" w:type="dxa"/>
            <w:left w:w="15" w:type="dxa"/>
            <w:bottom w:w="15" w:type="dxa"/>
            <w:right w:w="15" w:type="dxa"/>
          </w:tblCellMar>
        </w:tblPrEx>
        <w:trPr>
          <w:wBefore w:w="0" w:type="dxa"/>
          <w:wAfter w:w="0" w:type="dxa"/>
          <w:trHeight w:val="692"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荣星大厦（江滨西路526号--678号）---鸿翔锦园（涨桥头）</w:t>
            </w:r>
          </w:p>
        </w:tc>
      </w:tr>
      <w:tr>
        <w:tblPrEx>
          <w:tblCellMar>
            <w:top w:w="15" w:type="dxa"/>
            <w:left w:w="15" w:type="dxa"/>
            <w:bottom w:w="15" w:type="dxa"/>
            <w:right w:w="15" w:type="dxa"/>
          </w:tblCellMar>
        </w:tblPrEx>
        <w:trPr>
          <w:wBefore w:w="0" w:type="dxa"/>
          <w:wAfter w:w="0" w:type="dxa"/>
          <w:trHeight w:val="716"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华峰大厦——深发商住楼（江滨西路452号--520号）</w:t>
            </w:r>
          </w:p>
        </w:tc>
      </w:tr>
      <w:tr>
        <w:tblPrEx>
          <w:tblCellMar>
            <w:top w:w="15" w:type="dxa"/>
            <w:left w:w="15" w:type="dxa"/>
            <w:bottom w:w="15" w:type="dxa"/>
            <w:right w:w="15" w:type="dxa"/>
          </w:tblCellMar>
        </w:tblPrEx>
        <w:trPr>
          <w:wBefore w:w="0" w:type="dxa"/>
          <w:wAfter w:w="0" w:type="dxa"/>
          <w:trHeight w:val="642"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东门步行街</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永城公寓--新业大厦（东门步行街157号--287号）</w:t>
            </w:r>
          </w:p>
        </w:tc>
      </w:tr>
      <w:tr>
        <w:tblPrEx>
          <w:tblCellMar>
            <w:top w:w="15" w:type="dxa"/>
            <w:left w:w="15" w:type="dxa"/>
            <w:bottom w:w="15" w:type="dxa"/>
            <w:right w:w="15" w:type="dxa"/>
          </w:tblCellMar>
        </w:tblPrEx>
        <w:trPr>
          <w:wBefore w:w="0" w:type="dxa"/>
          <w:wAfter w:w="0" w:type="dxa"/>
          <w:trHeight w:val="692"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东门步行街</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华峰大厦--荣星大厦（东门步行街75号--155号）</w:t>
            </w:r>
          </w:p>
        </w:tc>
      </w:tr>
      <w:tr>
        <w:tblPrEx>
          <w:tblCellMar>
            <w:top w:w="15" w:type="dxa"/>
            <w:left w:w="15" w:type="dxa"/>
            <w:bottom w:w="15" w:type="dxa"/>
            <w:right w:w="15" w:type="dxa"/>
          </w:tblCellMar>
        </w:tblPrEx>
        <w:trPr>
          <w:wBefore w:w="0" w:type="dxa"/>
          <w:wAfter w:w="0" w:type="dxa"/>
          <w:trHeight w:val="338"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新永川路</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auto" w:sz="4" w:space="0"/>
              <w:left w:val="single" w:color="auto"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华峰大厦--荣星大厦</w:t>
            </w:r>
          </w:p>
        </w:tc>
      </w:tr>
      <w:tr>
        <w:tblPrEx>
          <w:tblCellMar>
            <w:top w:w="15" w:type="dxa"/>
            <w:left w:w="15" w:type="dxa"/>
            <w:bottom w:w="15" w:type="dxa"/>
            <w:right w:w="15" w:type="dxa"/>
          </w:tblCellMar>
        </w:tblPrEx>
        <w:trPr>
          <w:wBefore w:w="0" w:type="dxa"/>
          <w:wAfter w:w="0" w:type="dxa"/>
          <w:trHeight w:val="399"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飞霞北路</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auto"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飞霞北路 341 号--373  号</w:t>
            </w:r>
          </w:p>
        </w:tc>
      </w:tr>
      <w:tr>
        <w:tblPrEx>
          <w:tblCellMar>
            <w:top w:w="15" w:type="dxa"/>
            <w:left w:w="15" w:type="dxa"/>
            <w:bottom w:w="15" w:type="dxa"/>
            <w:right w:w="15" w:type="dxa"/>
          </w:tblCellMar>
        </w:tblPrEx>
        <w:trPr>
          <w:wBefore w:w="0" w:type="dxa"/>
          <w:wAfter w:w="0" w:type="dxa"/>
          <w:trHeight w:val="371" w:hRule="atLeast"/>
        </w:trPr>
        <w:tc>
          <w:tcPr>
            <w:tcW w:w="60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飞霞北路延伸</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280</w:t>
            </w:r>
          </w:p>
        </w:tc>
        <w:tc>
          <w:tcPr>
            <w:tcW w:w="109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auto"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71" w:hRule="atLeast"/>
        </w:trPr>
        <w:tc>
          <w:tcPr>
            <w:tcW w:w="600" w:type="dxa"/>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129" w:type="dxa"/>
            <w:gridSpan w:val="11"/>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183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新株柏路</w:t>
            </w:r>
          </w:p>
        </w:tc>
        <w:tc>
          <w:tcPr>
            <w:tcW w:w="705" w:type="dxa"/>
            <w:gridSpan w:val="1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4629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299</w:t>
            </w:r>
          </w:p>
        </w:tc>
        <w:tc>
          <w:tcPr>
            <w:tcW w:w="109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15.4</w:t>
            </w:r>
          </w:p>
        </w:tc>
        <w:tc>
          <w:tcPr>
            <w:tcW w:w="2558" w:type="dxa"/>
            <w:tcBorders>
              <w:top w:val="single" w:color="000000" w:sz="4" w:space="0"/>
              <w:left w:val="single" w:color="auto"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62"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125629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235" w:hRule="atLeast"/>
        </w:trPr>
        <w:tc>
          <w:tcPr>
            <w:tcW w:w="63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825"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83" w:hRule="atLeast"/>
        </w:trPr>
        <w:tc>
          <w:tcPr>
            <w:tcW w:w="634" w:type="dxa"/>
            <w:gridSpan w:val="3"/>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825" w:type="dxa"/>
            <w:gridSpan w:val="6"/>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八仙楼社区</w:t>
            </w: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后垟巷</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4400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解放街-信河街</w:t>
            </w:r>
          </w:p>
        </w:tc>
      </w:tr>
      <w:tr>
        <w:tblPrEx>
          <w:tblCellMar>
            <w:top w:w="15" w:type="dxa"/>
            <w:left w:w="15" w:type="dxa"/>
            <w:bottom w:w="15" w:type="dxa"/>
            <w:right w:w="15" w:type="dxa"/>
          </w:tblCellMar>
        </w:tblPrEx>
        <w:trPr>
          <w:wBefore w:w="0" w:type="dxa"/>
          <w:wAfter w:w="0" w:type="dxa"/>
          <w:trHeight w:val="38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屯前街</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3360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解放街-信河街</w:t>
            </w:r>
          </w:p>
        </w:tc>
      </w:tr>
      <w:tr>
        <w:tblPrEx>
          <w:tblCellMar>
            <w:top w:w="15" w:type="dxa"/>
            <w:left w:w="15" w:type="dxa"/>
            <w:bottom w:w="15" w:type="dxa"/>
            <w:right w:w="15" w:type="dxa"/>
          </w:tblCellMar>
        </w:tblPrEx>
        <w:trPr>
          <w:wBefore w:w="0" w:type="dxa"/>
          <w:wAfter w:w="0" w:type="dxa"/>
          <w:trHeight w:val="366"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四营堂巷</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8260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解放街-信河街</w:t>
            </w:r>
          </w:p>
        </w:tc>
      </w:tr>
      <w:tr>
        <w:tblPrEx>
          <w:tblCellMar>
            <w:top w:w="15" w:type="dxa"/>
            <w:left w:w="15" w:type="dxa"/>
            <w:bottom w:w="15" w:type="dxa"/>
            <w:right w:w="15" w:type="dxa"/>
          </w:tblCellMar>
        </w:tblPrEx>
        <w:trPr>
          <w:wBefore w:w="0" w:type="dxa"/>
          <w:wAfter w:w="0" w:type="dxa"/>
          <w:trHeight w:val="350"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万岁里</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后垟巷-四营堂巷</w:t>
            </w:r>
          </w:p>
        </w:tc>
      </w:tr>
      <w:tr>
        <w:tblPrEx>
          <w:tblCellMar>
            <w:top w:w="15" w:type="dxa"/>
            <w:left w:w="15" w:type="dxa"/>
            <w:bottom w:w="15" w:type="dxa"/>
            <w:right w:w="15" w:type="dxa"/>
          </w:tblCellMar>
        </w:tblPrEx>
        <w:trPr>
          <w:wBefore w:w="0" w:type="dxa"/>
          <w:wAfter w:w="0" w:type="dxa"/>
          <w:trHeight w:val="350"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西垟巷</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望江东路-百里东路</w:t>
            </w:r>
          </w:p>
        </w:tc>
      </w:tr>
      <w:tr>
        <w:tblPrEx>
          <w:tblCellMar>
            <w:top w:w="15" w:type="dxa"/>
            <w:left w:w="15" w:type="dxa"/>
            <w:bottom w:w="15" w:type="dxa"/>
            <w:right w:w="15" w:type="dxa"/>
          </w:tblCellMar>
        </w:tblPrEx>
        <w:trPr>
          <w:wBefore w:w="0" w:type="dxa"/>
          <w:wAfter w:w="0" w:type="dxa"/>
          <w:trHeight w:val="346" w:hRule="atLeast"/>
        </w:trPr>
        <w:tc>
          <w:tcPr>
            <w:tcW w:w="634" w:type="dxa"/>
            <w:gridSpan w:val="3"/>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无明路</w:t>
            </w:r>
          </w:p>
        </w:tc>
        <w:tc>
          <w:tcPr>
            <w:tcW w:w="690" w:type="dxa"/>
            <w:gridSpan w:val="11"/>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宋体"/>
                <w:sz w:val="22"/>
                <w:szCs w:val="22"/>
              </w:rPr>
            </w:pPr>
            <w:r>
              <w:rPr>
                <w:rFonts w:hint="eastAsia" w:ascii="楷体" w:hAnsi="楷体" w:eastAsia="楷体" w:cs="Arial"/>
                <w:sz w:val="22"/>
                <w:szCs w:val="22"/>
              </w:rPr>
              <w:t>后</w:t>
            </w:r>
            <w:r>
              <w:rPr>
                <w:rFonts w:hint="eastAsia" w:ascii="楷体" w:hAnsi="楷体" w:eastAsia="楷体" w:cs="宋体"/>
                <w:sz w:val="22"/>
                <w:szCs w:val="22"/>
              </w:rPr>
              <w:t>垟巷－望江路</w:t>
            </w:r>
          </w:p>
        </w:tc>
      </w:tr>
      <w:tr>
        <w:tblPrEx>
          <w:tblCellMar>
            <w:top w:w="15" w:type="dxa"/>
            <w:left w:w="15" w:type="dxa"/>
            <w:bottom w:w="15" w:type="dxa"/>
            <w:right w:w="15" w:type="dxa"/>
          </w:tblCellMar>
        </w:tblPrEx>
        <w:trPr>
          <w:wBefore w:w="0" w:type="dxa"/>
          <w:wAfter w:w="0" w:type="dxa"/>
          <w:trHeight w:val="379" w:hRule="atLeast"/>
        </w:trPr>
        <w:tc>
          <w:tcPr>
            <w:tcW w:w="4264" w:type="dxa"/>
            <w:gridSpan w:val="27"/>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18820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235" w:hRule="atLeast"/>
        </w:trPr>
        <w:tc>
          <w:tcPr>
            <w:tcW w:w="63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825"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30"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675" w:type="dxa"/>
            <w:gridSpan w:val="10"/>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83" w:hRule="atLeast"/>
        </w:trPr>
        <w:tc>
          <w:tcPr>
            <w:tcW w:w="634" w:type="dxa"/>
            <w:gridSpan w:val="3"/>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825" w:type="dxa"/>
            <w:gridSpan w:val="6"/>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百里坊社区</w:t>
            </w:r>
          </w:p>
        </w:tc>
        <w:tc>
          <w:tcPr>
            <w:tcW w:w="2130"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三官殿巷</w:t>
            </w:r>
          </w:p>
        </w:tc>
        <w:tc>
          <w:tcPr>
            <w:tcW w:w="675" w:type="dxa"/>
            <w:gridSpan w:val="10"/>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590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三官殿巷1号 — 安平大厦</w:t>
            </w:r>
          </w:p>
        </w:tc>
      </w:tr>
      <w:tr>
        <w:tblPrEx>
          <w:tblCellMar>
            <w:top w:w="15" w:type="dxa"/>
            <w:left w:w="15" w:type="dxa"/>
            <w:bottom w:w="15" w:type="dxa"/>
            <w:right w:w="15" w:type="dxa"/>
          </w:tblCellMar>
        </w:tblPrEx>
        <w:trPr>
          <w:wBefore w:w="0" w:type="dxa"/>
          <w:wAfter w:w="0" w:type="dxa"/>
          <w:trHeight w:val="42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30"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仓桥街</w:t>
            </w:r>
          </w:p>
        </w:tc>
        <w:tc>
          <w:tcPr>
            <w:tcW w:w="675" w:type="dxa"/>
            <w:gridSpan w:val="10"/>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2418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6.2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仓桥街1号 — 仓桥街199号</w:t>
            </w:r>
          </w:p>
        </w:tc>
      </w:tr>
      <w:tr>
        <w:tblPrEx>
          <w:tblCellMar>
            <w:top w:w="15" w:type="dxa"/>
            <w:left w:w="15" w:type="dxa"/>
            <w:bottom w:w="15" w:type="dxa"/>
            <w:right w:w="15" w:type="dxa"/>
          </w:tblCellMar>
        </w:tblPrEx>
        <w:trPr>
          <w:wBefore w:w="0" w:type="dxa"/>
          <w:wAfter w:w="0" w:type="dxa"/>
          <w:trHeight w:val="416"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沧河巷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290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沧河巷2号 — 沧河小学</w:t>
            </w:r>
          </w:p>
        </w:tc>
      </w:tr>
      <w:tr>
        <w:tblPrEx>
          <w:tblCellMar>
            <w:top w:w="15" w:type="dxa"/>
            <w:left w:w="15" w:type="dxa"/>
            <w:bottom w:w="15" w:type="dxa"/>
            <w:right w:w="15" w:type="dxa"/>
          </w:tblCellMar>
        </w:tblPrEx>
        <w:trPr>
          <w:wBefore w:w="0" w:type="dxa"/>
          <w:wAfter w:w="0" w:type="dxa"/>
          <w:trHeight w:val="642"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手肘头巷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手肘头巷1号 — 手肘头巷99号</w:t>
            </w:r>
          </w:p>
        </w:tc>
      </w:tr>
      <w:tr>
        <w:tblPrEx>
          <w:tblCellMar>
            <w:top w:w="15" w:type="dxa"/>
            <w:left w:w="15" w:type="dxa"/>
            <w:bottom w:w="15" w:type="dxa"/>
            <w:right w:w="15" w:type="dxa"/>
          </w:tblCellMar>
        </w:tblPrEx>
        <w:trPr>
          <w:wBefore w:w="0" w:type="dxa"/>
          <w:wAfter w:w="0" w:type="dxa"/>
          <w:trHeight w:val="366"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勉人巷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勉人巷1号 — 勉人巷16号</w:t>
            </w:r>
          </w:p>
        </w:tc>
      </w:tr>
      <w:tr>
        <w:tblPrEx>
          <w:tblCellMar>
            <w:top w:w="15" w:type="dxa"/>
            <w:left w:w="15" w:type="dxa"/>
            <w:bottom w:w="15" w:type="dxa"/>
            <w:right w:w="15" w:type="dxa"/>
          </w:tblCellMar>
        </w:tblPrEx>
        <w:trPr>
          <w:wBefore w:w="0" w:type="dxa"/>
          <w:wAfter w:w="0" w:type="dxa"/>
          <w:trHeight w:val="366"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倪衙巷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595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倪衙巷1号 — 倪衙巷38号</w:t>
            </w:r>
          </w:p>
        </w:tc>
      </w:tr>
      <w:tr>
        <w:tblPrEx>
          <w:tblCellMar>
            <w:top w:w="15" w:type="dxa"/>
            <w:left w:w="15" w:type="dxa"/>
            <w:bottom w:w="15" w:type="dxa"/>
            <w:right w:w="15" w:type="dxa"/>
          </w:tblCellMar>
        </w:tblPrEx>
        <w:trPr>
          <w:wBefore w:w="0" w:type="dxa"/>
          <w:wAfter w:w="0" w:type="dxa"/>
          <w:trHeight w:val="40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举人坦</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举人坦1号 — 举人坦30号</w:t>
            </w:r>
          </w:p>
        </w:tc>
      </w:tr>
      <w:tr>
        <w:tblPrEx>
          <w:tblCellMar>
            <w:top w:w="15" w:type="dxa"/>
            <w:left w:w="15" w:type="dxa"/>
            <w:bottom w:w="15" w:type="dxa"/>
            <w:right w:w="15" w:type="dxa"/>
          </w:tblCellMar>
        </w:tblPrEx>
        <w:trPr>
          <w:wBefore w:w="0" w:type="dxa"/>
          <w:wAfter w:w="0" w:type="dxa"/>
          <w:trHeight w:val="399"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双井巷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双井巷1号 — 双井巷25号</w:t>
            </w:r>
          </w:p>
        </w:tc>
      </w:tr>
      <w:tr>
        <w:tblPrEx>
          <w:tblCellMar>
            <w:top w:w="15" w:type="dxa"/>
            <w:left w:w="15" w:type="dxa"/>
            <w:bottom w:w="15" w:type="dxa"/>
            <w:right w:w="15" w:type="dxa"/>
          </w:tblCellMar>
        </w:tblPrEx>
        <w:trPr>
          <w:wBefore w:w="0" w:type="dxa"/>
          <w:wAfter w:w="0" w:type="dxa"/>
          <w:trHeight w:val="40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道俗巷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120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道俗巷1号 — 道俗巷33号</w:t>
            </w:r>
          </w:p>
        </w:tc>
      </w:tr>
      <w:tr>
        <w:tblPrEx>
          <w:tblCellMar>
            <w:top w:w="15" w:type="dxa"/>
            <w:left w:w="15" w:type="dxa"/>
            <w:bottom w:w="15" w:type="dxa"/>
            <w:right w:w="15" w:type="dxa"/>
          </w:tblCellMar>
        </w:tblPrEx>
        <w:trPr>
          <w:wBefore w:w="0" w:type="dxa"/>
          <w:wAfter w:w="0" w:type="dxa"/>
          <w:trHeight w:val="465"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朱彭巷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630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百里东路31--三官殿巷66号</w:t>
            </w:r>
          </w:p>
        </w:tc>
      </w:tr>
      <w:tr>
        <w:tblPrEx>
          <w:tblCellMar>
            <w:top w:w="15" w:type="dxa"/>
            <w:left w:w="15" w:type="dxa"/>
            <w:bottom w:w="15" w:type="dxa"/>
            <w:right w:w="15" w:type="dxa"/>
          </w:tblCellMar>
        </w:tblPrEx>
        <w:trPr>
          <w:wBefore w:w="0" w:type="dxa"/>
          <w:wAfter w:w="0" w:type="dxa"/>
          <w:trHeight w:val="441"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小虹桥</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小虹桥2号--百里东路23号</w:t>
            </w:r>
          </w:p>
        </w:tc>
      </w:tr>
      <w:tr>
        <w:tblPrEx>
          <w:tblCellMar>
            <w:top w:w="15" w:type="dxa"/>
            <w:left w:w="15" w:type="dxa"/>
            <w:bottom w:w="15" w:type="dxa"/>
            <w:right w:w="15" w:type="dxa"/>
          </w:tblCellMar>
        </w:tblPrEx>
        <w:trPr>
          <w:wBefore w:w="0" w:type="dxa"/>
          <w:wAfter w:w="0" w:type="dxa"/>
          <w:trHeight w:val="42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更新巷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170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ascii="楷体" w:hAnsi="楷体" w:eastAsia="楷体" w:cs="Arial"/>
                <w:sz w:val="22"/>
                <w:szCs w:val="22"/>
              </w:rPr>
            </w:pPr>
            <w:r>
              <w:rPr>
                <w:rFonts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更新巷7号-更新巷51号</w:t>
            </w:r>
          </w:p>
        </w:tc>
      </w:tr>
      <w:tr>
        <w:tblPrEx>
          <w:tblCellMar>
            <w:top w:w="15" w:type="dxa"/>
            <w:left w:w="15" w:type="dxa"/>
            <w:bottom w:w="15" w:type="dxa"/>
            <w:right w:w="15" w:type="dxa"/>
          </w:tblCellMar>
        </w:tblPrEx>
        <w:trPr>
          <w:wBefore w:w="0" w:type="dxa"/>
          <w:wAfter w:w="0" w:type="dxa"/>
          <w:trHeight w:val="40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解北后巷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解北后巷74号-解北后巷91号</w:t>
            </w:r>
          </w:p>
        </w:tc>
      </w:tr>
      <w:tr>
        <w:tblPrEx>
          <w:tblCellMar>
            <w:top w:w="15" w:type="dxa"/>
            <w:left w:w="15" w:type="dxa"/>
            <w:bottom w:w="15" w:type="dxa"/>
            <w:right w:w="15" w:type="dxa"/>
          </w:tblCellMar>
        </w:tblPrEx>
        <w:trPr>
          <w:wBefore w:w="0" w:type="dxa"/>
          <w:wAfter w:w="0" w:type="dxa"/>
          <w:trHeight w:val="375"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马槽头</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马槽头2号-马槽头32号</w:t>
            </w:r>
          </w:p>
        </w:tc>
      </w:tr>
      <w:tr>
        <w:tblPrEx>
          <w:tblCellMar>
            <w:top w:w="15" w:type="dxa"/>
            <w:left w:w="15" w:type="dxa"/>
            <w:bottom w:w="15" w:type="dxa"/>
            <w:right w:w="15" w:type="dxa"/>
          </w:tblCellMar>
        </w:tblPrEx>
        <w:trPr>
          <w:wBefore w:w="0" w:type="dxa"/>
          <w:wAfter w:w="0" w:type="dxa"/>
          <w:trHeight w:val="387"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楷体" w:hAnsi="楷体" w:eastAsia="楷体" w:cs="Arial"/>
                <w:sz w:val="22"/>
                <w:szCs w:val="22"/>
              </w:rPr>
            </w:pPr>
          </w:p>
        </w:tc>
        <w:tc>
          <w:tcPr>
            <w:tcW w:w="2145" w:type="dxa"/>
            <w:gridSpan w:val="9"/>
            <w:tcBorders>
              <w:top w:val="single" w:color="000000" w:sz="4" w:space="0"/>
              <w:left w:val="single" w:color="auto" w:sz="4" w:space="0"/>
              <w:bottom w:val="single" w:color="000000" w:sz="4" w:space="0"/>
              <w:right w:val="single" w:color="auto" w:sz="4" w:space="0"/>
            </w:tcBorders>
            <w:noWrap w:val="0"/>
            <w:vAlign w:val="top"/>
          </w:tcPr>
          <w:p>
            <w:pPr>
              <w:spacing w:line="320" w:lineRule="exact"/>
              <w:ind w:firstLine="110" w:firstLineChars="50"/>
              <w:rPr>
                <w:rFonts w:hint="eastAsia" w:ascii="楷体" w:hAnsi="楷体" w:eastAsia="楷体" w:cs="Arial"/>
                <w:sz w:val="22"/>
                <w:szCs w:val="22"/>
              </w:rPr>
            </w:pPr>
            <w:r>
              <w:rPr>
                <w:rFonts w:hint="eastAsia" w:ascii="楷体" w:hAnsi="楷体" w:eastAsia="楷体" w:cs="Arial"/>
                <w:sz w:val="22"/>
                <w:szCs w:val="22"/>
              </w:rPr>
              <w:t>百里东路内区间</w:t>
            </w:r>
          </w:p>
        </w:tc>
        <w:tc>
          <w:tcPr>
            <w:tcW w:w="660" w:type="dxa"/>
            <w:gridSpan w:val="9"/>
            <w:tcBorders>
              <w:top w:val="single" w:color="000000" w:sz="4" w:space="0"/>
              <w:left w:val="single" w:color="auto" w:sz="4" w:space="0"/>
              <w:bottom w:val="single" w:color="000000" w:sz="4" w:space="0"/>
              <w:right w:val="single" w:color="000000" w:sz="4" w:space="0"/>
            </w:tcBorders>
            <w:noWrap w:val="0"/>
            <w:vAlign w:val="top"/>
          </w:tcPr>
          <w:p>
            <w:pPr>
              <w:spacing w:line="320" w:lineRule="exact"/>
              <w:ind w:firstLine="110" w:firstLineChars="50"/>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tabs>
                <w:tab w:val="left" w:pos="585"/>
              </w:tabs>
              <w:spacing w:line="320" w:lineRule="exact"/>
              <w:jc w:val="center"/>
              <w:rPr>
                <w:rFonts w:hint="eastAsia" w:ascii="楷体" w:hAnsi="楷体" w:eastAsia="楷体" w:cs="Arial"/>
                <w:sz w:val="22"/>
                <w:szCs w:val="22"/>
              </w:rPr>
            </w:pPr>
            <w:r>
              <w:rPr>
                <w:rFonts w:hint="eastAsia" w:ascii="楷体" w:hAnsi="楷体" w:eastAsia="楷体" w:cs="Arial"/>
                <w:sz w:val="22"/>
                <w:szCs w:val="22"/>
              </w:rPr>
              <w:t>680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百里东路19--百里东路31号</w:t>
            </w:r>
          </w:p>
        </w:tc>
      </w:tr>
      <w:tr>
        <w:tblPrEx>
          <w:tblCellMar>
            <w:top w:w="15" w:type="dxa"/>
            <w:left w:w="15" w:type="dxa"/>
            <w:bottom w:w="15" w:type="dxa"/>
            <w:right w:w="15" w:type="dxa"/>
          </w:tblCellMar>
        </w:tblPrEx>
        <w:trPr>
          <w:wBefore w:w="0" w:type="dxa"/>
          <w:wAfter w:w="0" w:type="dxa"/>
          <w:trHeight w:val="40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安平坊</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1602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安平坊1号——安平坊20弄</w:t>
            </w:r>
          </w:p>
        </w:tc>
      </w:tr>
      <w:tr>
        <w:tblPrEx>
          <w:tblCellMar>
            <w:top w:w="15" w:type="dxa"/>
            <w:left w:w="15" w:type="dxa"/>
            <w:bottom w:w="15" w:type="dxa"/>
            <w:right w:w="15" w:type="dxa"/>
          </w:tblCellMar>
        </w:tblPrEx>
        <w:trPr>
          <w:wBefore w:w="0" w:type="dxa"/>
          <w:wAfter w:w="0" w:type="dxa"/>
          <w:trHeight w:val="412"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卖糖巷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卖糖巷1号——卖糖巷22弄</w:t>
            </w:r>
          </w:p>
        </w:tc>
      </w:tr>
      <w:tr>
        <w:tblPrEx>
          <w:tblCellMar>
            <w:top w:w="15" w:type="dxa"/>
            <w:left w:w="15" w:type="dxa"/>
            <w:bottom w:w="15" w:type="dxa"/>
            <w:right w:w="15" w:type="dxa"/>
          </w:tblCellMar>
        </w:tblPrEx>
        <w:trPr>
          <w:wBefore w:w="0" w:type="dxa"/>
          <w:wAfter w:w="0" w:type="dxa"/>
          <w:trHeight w:val="54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花马营巷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903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花马营巷1号——花马营巷27号</w:t>
            </w:r>
          </w:p>
        </w:tc>
      </w:tr>
      <w:tr>
        <w:tblPrEx>
          <w:tblCellMar>
            <w:top w:w="15" w:type="dxa"/>
            <w:left w:w="15" w:type="dxa"/>
            <w:bottom w:w="15" w:type="dxa"/>
            <w:right w:w="15" w:type="dxa"/>
          </w:tblCellMar>
        </w:tblPrEx>
        <w:trPr>
          <w:wBefore w:w="0" w:type="dxa"/>
          <w:wAfter w:w="0" w:type="dxa"/>
          <w:trHeight w:val="412"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卷索巷</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936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卷索巷1号——卷索巷40号</w:t>
            </w:r>
          </w:p>
        </w:tc>
      </w:tr>
      <w:tr>
        <w:tblPrEx>
          <w:tblCellMar>
            <w:top w:w="15" w:type="dxa"/>
            <w:left w:w="15" w:type="dxa"/>
            <w:bottom w:w="15" w:type="dxa"/>
            <w:right w:w="15" w:type="dxa"/>
          </w:tblCellMar>
        </w:tblPrEx>
        <w:trPr>
          <w:wBefore w:w="0" w:type="dxa"/>
          <w:wAfter w:w="0" w:type="dxa"/>
          <w:trHeight w:val="383"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45"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中府前</w:t>
            </w:r>
          </w:p>
        </w:tc>
        <w:tc>
          <w:tcPr>
            <w:tcW w:w="660"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古厢巷48号边——中府前23号</w:t>
            </w:r>
          </w:p>
        </w:tc>
      </w:tr>
      <w:tr>
        <w:tblPrEx>
          <w:tblCellMar>
            <w:top w:w="15" w:type="dxa"/>
            <w:left w:w="15" w:type="dxa"/>
            <w:bottom w:w="15" w:type="dxa"/>
            <w:right w:w="15" w:type="dxa"/>
          </w:tblCellMar>
        </w:tblPrEx>
        <w:trPr>
          <w:wBefore w:w="0" w:type="dxa"/>
          <w:wAfter w:w="0" w:type="dxa"/>
          <w:trHeight w:val="391"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25" w:type="dxa"/>
            <w:gridSpan w:val="6"/>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90"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古厢巷</w:t>
            </w:r>
          </w:p>
        </w:tc>
        <w:tc>
          <w:tcPr>
            <w:tcW w:w="615" w:type="dxa"/>
            <w:gridSpan w:val="6"/>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835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古厢巷1号——古厢巷50号</w:t>
            </w:r>
          </w:p>
        </w:tc>
      </w:tr>
      <w:tr>
        <w:tblPrEx>
          <w:tblCellMar>
            <w:top w:w="15" w:type="dxa"/>
            <w:left w:w="15" w:type="dxa"/>
            <w:bottom w:w="15" w:type="dxa"/>
            <w:right w:w="15" w:type="dxa"/>
          </w:tblCellMar>
        </w:tblPrEx>
        <w:trPr>
          <w:wBefore w:w="0" w:type="dxa"/>
          <w:wAfter w:w="0" w:type="dxa"/>
          <w:trHeight w:val="494"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3015" w:type="dxa"/>
            <w:gridSpan w:val="18"/>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朱彭巷23弄1-7</w:t>
            </w:r>
          </w:p>
        </w:tc>
        <w:tc>
          <w:tcPr>
            <w:tcW w:w="615" w:type="dxa"/>
            <w:gridSpan w:val="6"/>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朱彭巷23弄1——朱彭巷23弄7</w:t>
            </w:r>
          </w:p>
        </w:tc>
      </w:tr>
      <w:tr>
        <w:tblPrEx>
          <w:tblCellMar>
            <w:top w:w="15" w:type="dxa"/>
            <w:left w:w="15" w:type="dxa"/>
            <w:bottom w:w="15" w:type="dxa"/>
            <w:right w:w="15" w:type="dxa"/>
          </w:tblCellMar>
        </w:tblPrEx>
        <w:trPr>
          <w:wBefore w:w="0" w:type="dxa"/>
          <w:wAfter w:w="0" w:type="dxa"/>
          <w:trHeight w:val="494" w:hRule="atLeast"/>
        </w:trPr>
        <w:tc>
          <w:tcPr>
            <w:tcW w:w="634" w:type="dxa"/>
            <w:gridSpan w:val="3"/>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3015" w:type="dxa"/>
            <w:gridSpan w:val="18"/>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百里东路人行道</w:t>
            </w:r>
          </w:p>
        </w:tc>
        <w:tc>
          <w:tcPr>
            <w:tcW w:w="615" w:type="dxa"/>
            <w:gridSpan w:val="6"/>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ascii="楷体" w:hAnsi="楷体" w:eastAsia="楷体" w:cs="Arial"/>
                <w:sz w:val="22"/>
                <w:szCs w:val="22"/>
              </w:rPr>
              <w:t>889.6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百里东路33号——百里东路71号</w:t>
            </w:r>
          </w:p>
        </w:tc>
      </w:tr>
      <w:tr>
        <w:tblPrEx>
          <w:tblCellMar>
            <w:top w:w="15" w:type="dxa"/>
            <w:left w:w="15" w:type="dxa"/>
            <w:bottom w:w="15" w:type="dxa"/>
            <w:right w:w="15" w:type="dxa"/>
          </w:tblCellMar>
        </w:tblPrEx>
        <w:trPr>
          <w:wBefore w:w="0" w:type="dxa"/>
          <w:wAfter w:w="0" w:type="dxa"/>
          <w:trHeight w:val="424"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15" w:hanging="315" w:hangingChars="150"/>
              <w:jc w:val="center"/>
              <w:rPr>
                <w:rFonts w:hint="eastAsia" w:ascii="楷体" w:hAnsi="楷体" w:eastAsia="楷体" w:cs="Arial"/>
                <w:szCs w:val="21"/>
              </w:rPr>
            </w:pPr>
            <w:r>
              <w:rPr>
                <w:rFonts w:hint="eastAsia" w:ascii="楷体" w:hAnsi="楷体" w:eastAsia="楷体" w:cs="Arial"/>
                <w:szCs w:val="21"/>
              </w:rPr>
              <w:t>20017.6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235" w:hRule="atLeast"/>
        </w:trPr>
        <w:tc>
          <w:tcPr>
            <w:tcW w:w="64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81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814" w:type="dxa"/>
            <w:gridSpan w:val="5"/>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城西街社区</w:t>
            </w: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沧河巷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1268.5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295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沧河巷1-119号（单）</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黄府巷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1290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黄府巷1-74号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嘉会里巷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1078.3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263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嘉会里巷1-113号、4-54号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金锁匙巷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金锁匙巷1-35号、4-74号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飞鹏巷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1071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飞鹏巷2-98号、1-9号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广场后巷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广场后巷1-73号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仓桥后巷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仓桥后巷1-41号、45-85号（单）</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城西街</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城西街1-125、2-180号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军装局</w:t>
            </w:r>
          </w:p>
        </w:tc>
        <w:tc>
          <w:tcPr>
            <w:tcW w:w="570" w:type="dxa"/>
            <w:gridSpan w:val="5"/>
            <w:tcBorders>
              <w:top w:val="single" w:color="000000" w:sz="4" w:space="0"/>
              <w:left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750"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军装局1-25号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广场路６２弄９</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广场路62弄</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道前菜场1-40号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道前菜场1-40号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解放街后巷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解放街后巷55-169号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西公廨2-88号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西公廨2-88号</w:t>
            </w:r>
          </w:p>
        </w:tc>
      </w:tr>
      <w:tr>
        <w:tblPrEx>
          <w:tblCellMar>
            <w:top w:w="15" w:type="dxa"/>
            <w:left w:w="15" w:type="dxa"/>
            <w:bottom w:w="15" w:type="dxa"/>
            <w:right w:w="15" w:type="dxa"/>
          </w:tblCellMar>
        </w:tblPrEx>
        <w:trPr>
          <w:wBefore w:w="0" w:type="dxa"/>
          <w:wAfter w:w="0" w:type="dxa"/>
          <w:trHeight w:val="358" w:hRule="atLeast"/>
        </w:trPr>
        <w:tc>
          <w:tcPr>
            <w:tcW w:w="645" w:type="dxa"/>
            <w:gridSpan w:val="4"/>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14"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扬名坊2-20号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扬名坊2-20号</w:t>
            </w:r>
          </w:p>
        </w:tc>
      </w:tr>
      <w:tr>
        <w:tblPrEx>
          <w:tblCellMar>
            <w:top w:w="15" w:type="dxa"/>
            <w:left w:w="15" w:type="dxa"/>
            <w:bottom w:w="15" w:type="dxa"/>
            <w:right w:w="15" w:type="dxa"/>
          </w:tblCellMar>
        </w:tblPrEx>
        <w:trPr>
          <w:wBefore w:w="0" w:type="dxa"/>
          <w:wAfter w:w="0" w:type="dxa"/>
          <w:trHeight w:val="358"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21247.8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235" w:hRule="atLeast"/>
        </w:trPr>
        <w:tc>
          <w:tcPr>
            <w:tcW w:w="66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79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408" w:hRule="atLeast"/>
        </w:trPr>
        <w:tc>
          <w:tcPr>
            <w:tcW w:w="664" w:type="dxa"/>
            <w:gridSpan w:val="5"/>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795" w:type="dxa"/>
            <w:gridSpan w:val="4"/>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乘凉社区</w:t>
            </w: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乘凉桥</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5250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2号---124号</w:t>
            </w:r>
          </w:p>
        </w:tc>
      </w:tr>
      <w:tr>
        <w:tblPrEx>
          <w:tblCellMar>
            <w:top w:w="15" w:type="dxa"/>
            <w:left w:w="15" w:type="dxa"/>
            <w:bottom w:w="15" w:type="dxa"/>
            <w:right w:w="15" w:type="dxa"/>
          </w:tblCellMar>
        </w:tblPrEx>
        <w:trPr>
          <w:wBefore w:w="0" w:type="dxa"/>
          <w:wAfter w:w="0" w:type="dxa"/>
          <w:trHeight w:val="424"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9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23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大高桥</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1号----167号</w:t>
            </w:r>
          </w:p>
        </w:tc>
      </w:tr>
      <w:tr>
        <w:tblPrEx>
          <w:tblCellMar>
            <w:top w:w="15" w:type="dxa"/>
            <w:left w:w="15" w:type="dxa"/>
            <w:bottom w:w="15" w:type="dxa"/>
            <w:right w:w="15" w:type="dxa"/>
          </w:tblCellMar>
        </w:tblPrEx>
        <w:trPr>
          <w:wBefore w:w="0" w:type="dxa"/>
          <w:wAfter w:w="0" w:type="dxa"/>
          <w:trHeight w:val="46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9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1"/>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小高桥</w:t>
            </w:r>
          </w:p>
        </w:tc>
        <w:tc>
          <w:tcPr>
            <w:tcW w:w="630"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1号-壬子巷大厦（无牌</w:t>
            </w:r>
          </w:p>
        </w:tc>
      </w:tr>
      <w:tr>
        <w:tblPrEx>
          <w:tblCellMar>
            <w:top w:w="15" w:type="dxa"/>
            <w:left w:w="15" w:type="dxa"/>
            <w:bottom w:w="15" w:type="dxa"/>
            <w:right w:w="15" w:type="dxa"/>
          </w:tblCellMar>
        </w:tblPrEx>
        <w:trPr>
          <w:wBefore w:w="0" w:type="dxa"/>
          <w:wAfter w:w="0" w:type="dxa"/>
          <w:trHeight w:val="416"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9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1"/>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全坊巷</w:t>
            </w:r>
          </w:p>
        </w:tc>
        <w:tc>
          <w:tcPr>
            <w:tcW w:w="630"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1号---115号</w:t>
            </w:r>
          </w:p>
        </w:tc>
      </w:tr>
      <w:tr>
        <w:tblPrEx>
          <w:tblCellMar>
            <w:top w:w="15" w:type="dxa"/>
            <w:left w:w="15" w:type="dxa"/>
            <w:bottom w:w="15" w:type="dxa"/>
            <w:right w:w="15" w:type="dxa"/>
          </w:tblCellMar>
        </w:tblPrEx>
        <w:trPr>
          <w:wBefore w:w="0" w:type="dxa"/>
          <w:wAfter w:w="0" w:type="dxa"/>
          <w:trHeight w:val="416"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9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1"/>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壬子巷</w:t>
            </w:r>
          </w:p>
        </w:tc>
        <w:tc>
          <w:tcPr>
            <w:tcW w:w="630"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3450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2号----50号</w:t>
            </w:r>
          </w:p>
        </w:tc>
      </w:tr>
      <w:tr>
        <w:tblPrEx>
          <w:tblCellMar>
            <w:top w:w="15" w:type="dxa"/>
            <w:left w:w="15" w:type="dxa"/>
            <w:bottom w:w="15" w:type="dxa"/>
            <w:right w:w="15" w:type="dxa"/>
          </w:tblCellMar>
        </w:tblPrEx>
        <w:trPr>
          <w:wBefore w:w="0" w:type="dxa"/>
          <w:wAfter w:w="0" w:type="dxa"/>
          <w:trHeight w:val="445" w:hRule="atLeast"/>
        </w:trPr>
        <w:tc>
          <w:tcPr>
            <w:tcW w:w="664"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95" w:type="dxa"/>
            <w:gridSpan w:val="4"/>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1"/>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公共码头</w:t>
            </w:r>
          </w:p>
        </w:tc>
        <w:tc>
          <w:tcPr>
            <w:tcW w:w="630"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1号----66号</w:t>
            </w:r>
          </w:p>
        </w:tc>
      </w:tr>
      <w:tr>
        <w:tblPrEx>
          <w:tblCellMar>
            <w:top w:w="15" w:type="dxa"/>
            <w:left w:w="15" w:type="dxa"/>
            <w:bottom w:w="15" w:type="dxa"/>
            <w:right w:w="15" w:type="dxa"/>
          </w:tblCellMar>
        </w:tblPrEx>
        <w:trPr>
          <w:wBefore w:w="0" w:type="dxa"/>
          <w:wAfter w:w="0" w:type="dxa"/>
          <w:trHeight w:val="412"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564" w:hRule="atLeast"/>
        </w:trPr>
        <w:tc>
          <w:tcPr>
            <w:tcW w:w="709"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750" w:type="dxa"/>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府前社区</w:t>
            </w: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新桥头下</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2号--54号</w:t>
            </w:r>
          </w:p>
        </w:tc>
      </w:tr>
      <w:tr>
        <w:tblPrEx>
          <w:tblCellMar>
            <w:top w:w="15" w:type="dxa"/>
            <w:left w:w="15" w:type="dxa"/>
            <w:bottom w:w="15" w:type="dxa"/>
            <w:right w:w="15" w:type="dxa"/>
          </w:tblCellMar>
        </w:tblPrEx>
        <w:trPr>
          <w:wBefore w:w="0" w:type="dxa"/>
          <w:wAfter w:w="0" w:type="dxa"/>
          <w:trHeight w:val="366"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七圣殿巷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2030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仓后--信河街</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施水竂</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2028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1号--102号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仓后巷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1号--89号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康宁路</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2352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1号--115号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无名路</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蝉街108弄--七圣殿巷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周宅祠巷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1398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仓后--信河街</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壬子巷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1344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蝉街--七圣殿巷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木杓巷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69</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新桥头下--没路</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岑山寺巷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978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仓后--周宅祠巷</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广场路小巷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205号--横-康宁路-横路</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广场路小巷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330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273号--康宁路54-横路</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康宁路小巷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203.5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23号--施水寮18号-横路</w:t>
            </w:r>
          </w:p>
        </w:tc>
      </w:tr>
      <w:tr>
        <w:tblPrEx>
          <w:tblCellMar>
            <w:top w:w="15" w:type="dxa"/>
            <w:left w:w="15" w:type="dxa"/>
            <w:bottom w:w="15" w:type="dxa"/>
            <w:right w:w="15" w:type="dxa"/>
          </w:tblCellMar>
        </w:tblPrEx>
        <w:trPr>
          <w:wBefore w:w="0" w:type="dxa"/>
          <w:wAfter w:w="0" w:type="dxa"/>
          <w:trHeight w:val="321" w:hRule="atLeast"/>
        </w:trPr>
        <w:tc>
          <w:tcPr>
            <w:tcW w:w="709" w:type="dxa"/>
            <w:gridSpan w:val="8"/>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0"/>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康宁路小巷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166.5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78--74施水寮-横路</w:t>
            </w:r>
          </w:p>
        </w:tc>
      </w:tr>
      <w:tr>
        <w:tblPrEx>
          <w:tblCellMar>
            <w:top w:w="15" w:type="dxa"/>
            <w:left w:w="15" w:type="dxa"/>
            <w:bottom w:w="15" w:type="dxa"/>
            <w:right w:w="15" w:type="dxa"/>
          </w:tblCellMar>
        </w:tblPrEx>
        <w:trPr>
          <w:wBefore w:w="0" w:type="dxa"/>
          <w:wAfter w:w="0" w:type="dxa"/>
          <w:trHeight w:val="321"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15" w:hanging="315" w:hangingChars="150"/>
              <w:jc w:val="center"/>
              <w:rPr>
                <w:rFonts w:hint="eastAsia" w:ascii="楷体" w:hAnsi="楷体" w:eastAsia="楷体" w:cs="Arial"/>
                <w:szCs w:val="21"/>
              </w:rPr>
            </w:pPr>
            <w:r>
              <w:rPr>
                <w:rFonts w:hint="eastAsia" w:ascii="楷体" w:hAnsi="楷体" w:eastAsia="楷体" w:cs="Arial"/>
                <w:szCs w:val="21"/>
              </w:rPr>
              <w:t>１５５３８．５</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296" w:hRule="atLeast"/>
        </w:trPr>
        <w:tc>
          <w:tcPr>
            <w:tcW w:w="694"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84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844" w:type="dxa"/>
            <w:gridSpan w:val="3"/>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w:t>
            </w: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状元巷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公安路-解南后巷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公安路</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1512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189</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鼓楼街后巷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公安路-解南后巷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春花巷</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广场路-鼓楼街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081"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鼓楼街14弄</w:t>
            </w:r>
          </w:p>
        </w:tc>
        <w:tc>
          <w:tcPr>
            <w:tcW w:w="645" w:type="dxa"/>
            <w:gridSpan w:val="8"/>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解南北后巷（）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1079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大同巷（三）</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882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鼓楼街-晏公殿巷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晏公殿巷（三）</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府前街-解放街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晏公殿巷75弄（原47弄）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晏公殿巷33弄（原19弄）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晏公殿巷49弄（原31弄）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晏公殿巷9弄（原5弄）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晏公殿巷16弄（四）</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7003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解放街-府前街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打铁巷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后市巷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445.5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99</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解南后巷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326.7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99</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五马街6弄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132.6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五马街27弄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62.28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34.6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五马街36弄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五马街70弄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82.38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五马街41弄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94.9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五马街117号边</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58.41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五马街73号边</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106.2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五马街33弄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49</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五马街-晏公殿巷</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五马后巷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登选坊-五马街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纱帽河1</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3008.4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解放街-登选坊</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纱帽河44弄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纱帽河-五马街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纱帽河68弄</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纱帽河-五马街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大厅巷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纱帽河-五马街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曹仙巷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纱帽河-五马街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第一桥</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268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2546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解放街-府前街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柴桥巷</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第一桥-府前街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登选坊1</w:t>
            </w:r>
          </w:p>
        </w:tc>
        <w:tc>
          <w:tcPr>
            <w:tcW w:w="555"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1162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纱帽河-府前街</w:t>
            </w:r>
          </w:p>
        </w:tc>
      </w:tr>
      <w:tr>
        <w:tblPrEx>
          <w:tblCellMar>
            <w:top w:w="15" w:type="dxa"/>
            <w:left w:w="15" w:type="dxa"/>
            <w:bottom w:w="15" w:type="dxa"/>
            <w:right w:w="15" w:type="dxa"/>
          </w:tblCellMar>
        </w:tblPrEx>
        <w:trPr>
          <w:wBefore w:w="0" w:type="dxa"/>
          <w:wAfter w:w="0" w:type="dxa"/>
          <w:trHeight w:val="296" w:hRule="atLeast"/>
        </w:trPr>
        <w:tc>
          <w:tcPr>
            <w:tcW w:w="694" w:type="dxa"/>
            <w:gridSpan w:val="7"/>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844" w:type="dxa"/>
            <w:gridSpan w:val="3"/>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1" w:type="dxa"/>
            <w:gridSpan w:val="13"/>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踏堆巷</w:t>
            </w:r>
          </w:p>
        </w:tc>
        <w:tc>
          <w:tcPr>
            <w:tcW w:w="555" w:type="dxa"/>
            <w:gridSpan w:val="4"/>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154.8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51.6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纱帽河-第一桥</w:t>
            </w:r>
          </w:p>
        </w:tc>
      </w:tr>
      <w:tr>
        <w:tblPrEx>
          <w:tblCellMar>
            <w:top w:w="15" w:type="dxa"/>
            <w:left w:w="15" w:type="dxa"/>
            <w:bottom w:w="15" w:type="dxa"/>
            <w:right w:w="15" w:type="dxa"/>
          </w:tblCellMar>
        </w:tblPrEx>
        <w:trPr>
          <w:wBefore w:w="0" w:type="dxa"/>
          <w:wAfter w:w="0" w:type="dxa"/>
          <w:trHeight w:val="296"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270" w:hanging="270" w:hangingChars="150"/>
              <w:jc w:val="center"/>
              <w:rPr>
                <w:rFonts w:hint="eastAsia" w:ascii="楷体" w:hAnsi="楷体" w:eastAsia="楷体" w:cs="Arial"/>
                <w:sz w:val="18"/>
                <w:szCs w:val="18"/>
              </w:rPr>
            </w:pPr>
            <w:r>
              <w:rPr>
                <w:rFonts w:hint="eastAsia" w:ascii="楷体" w:hAnsi="楷体" w:eastAsia="楷体" w:cs="Arial"/>
                <w:sz w:val="18"/>
                <w:szCs w:val="18"/>
              </w:rPr>
              <w:t>２３２０５．５７</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58" w:hRule="atLeast"/>
        </w:trPr>
        <w:tc>
          <w:tcPr>
            <w:tcW w:w="63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04"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w:t>
            </w:r>
          </w:p>
        </w:tc>
        <w:tc>
          <w:tcPr>
            <w:tcW w:w="904" w:type="dxa"/>
            <w:gridSpan w:val="7"/>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黎明西路社区</w:t>
            </w: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黎明西路、底样儿、</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黎明西路、底样儿2弄、</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垟儿路、底样儿</w:t>
            </w:r>
          </w:p>
        </w:tc>
        <w:tc>
          <w:tcPr>
            <w:tcW w:w="570" w:type="dxa"/>
            <w:gridSpan w:val="5"/>
            <w:tcBorders>
              <w:lef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垟儿路、底样儿22弄-底样儿14弄</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黎明新村</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黎明新村21弄-15弄-27号</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5250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黎明西路小巷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黎明西路10弄、黎明西路4弄</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黎明西路小巷</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黎明西路205号1-2幢、黎明新村1-14幢、黎明西路215号1-3幢</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飞霞南路</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飞霞南路--学院路</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垟儿路、底样儿、飞霞北路</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底样儿南、飞霞北路4弄-飞霞北路88号、垟儿路91-垟儿路55号</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黎明西路小巷（四）</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黎明新村35弄、45弄、29弄、88号庭院</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垟儿路（四）</w:t>
            </w:r>
          </w:p>
        </w:tc>
        <w:tc>
          <w:tcPr>
            <w:tcW w:w="570"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垟儿路62号--86号</w:t>
            </w:r>
          </w:p>
        </w:tc>
      </w:tr>
      <w:tr>
        <w:tblPrEx>
          <w:tblCellMar>
            <w:top w:w="15" w:type="dxa"/>
            <w:left w:w="15" w:type="dxa"/>
            <w:bottom w:w="15" w:type="dxa"/>
            <w:right w:w="15" w:type="dxa"/>
          </w:tblCellMar>
        </w:tblPrEx>
        <w:trPr>
          <w:wBefore w:w="0" w:type="dxa"/>
          <w:wAfter w:w="0" w:type="dxa"/>
          <w:trHeight w:val="358" w:hRule="atLeast"/>
        </w:trPr>
        <w:tc>
          <w:tcPr>
            <w:tcW w:w="634" w:type="dxa"/>
            <w:gridSpan w:val="3"/>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04" w:type="dxa"/>
            <w:gridSpan w:val="7"/>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56" w:type="dxa"/>
            <w:gridSpan w:val="12"/>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黎明西路小巷（四）</w:t>
            </w:r>
          </w:p>
        </w:tc>
        <w:tc>
          <w:tcPr>
            <w:tcW w:w="570" w:type="dxa"/>
            <w:gridSpan w:val="5"/>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黎明西路26弄、22弄、18弄</w:t>
            </w:r>
          </w:p>
        </w:tc>
      </w:tr>
      <w:tr>
        <w:tblPrEx>
          <w:tblCellMar>
            <w:top w:w="15" w:type="dxa"/>
            <w:left w:w="15" w:type="dxa"/>
            <w:bottom w:w="15" w:type="dxa"/>
            <w:right w:w="15" w:type="dxa"/>
          </w:tblCellMar>
        </w:tblPrEx>
        <w:trPr>
          <w:wBefore w:w="0" w:type="dxa"/>
          <w:wAfter w:w="0" w:type="dxa"/>
          <w:trHeight w:val="535"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270" w:hanging="270" w:hangingChars="150"/>
              <w:jc w:val="center"/>
              <w:rPr>
                <w:rFonts w:hint="eastAsia" w:ascii="楷体" w:hAnsi="楷体" w:eastAsia="楷体" w:cs="Arial"/>
                <w:sz w:val="18"/>
                <w:szCs w:val="18"/>
              </w:rPr>
            </w:pPr>
            <w:r>
              <w:rPr>
                <w:rFonts w:hint="eastAsia" w:ascii="楷体" w:hAnsi="楷体" w:eastAsia="楷体" w:cs="Arial"/>
                <w:sz w:val="18"/>
                <w:szCs w:val="18"/>
              </w:rPr>
              <w:t>３１１４０</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21" w:hRule="atLeast"/>
        </w:trPr>
        <w:tc>
          <w:tcPr>
            <w:tcW w:w="6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90"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990" w:type="dxa"/>
            <w:gridSpan w:val="9"/>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路湾</w:t>
            </w:r>
          </w:p>
        </w:tc>
        <w:tc>
          <w:tcPr>
            <w:tcW w:w="2115" w:type="dxa"/>
            <w:gridSpan w:val="13"/>
            <w:tcBorders>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w:t>
            </w:r>
          </w:p>
        </w:tc>
        <w:tc>
          <w:tcPr>
            <w:tcW w:w="540" w:type="dxa"/>
            <w:gridSpan w:val="3"/>
            <w:tcBorders>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十八家新村路口-瓯越大桥</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东明路—灰桥浦</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东明路</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3360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十八家新村路口-金谷桥</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十八家路</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江滨西路—矮凳桥路</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垟儿路21号-垟儿路21-2号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208.25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59.5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垟儿路15号1栋-垟儿路15号4栋</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垟儿路9弄</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垟儿路9弄1号-垟儿路9弄16号1栋</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垟儿路9弄14号-垟儿路9弄8号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385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矮凳桥5号-矮凳桥3弄8号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矮凳桥3弄14号-矮凳桥1弄4号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矮凳桥1弄</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矮凳桥1号-矮凳桥1弄4号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垟儿路26弄</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垟儿路24号-矮凳桥19-4号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矮凳桥19-3号-垟儿路26弄1</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垟儿路8弄</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垟儿路8弄1号-垟儿路26弄</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矮凳桥3弄2号-垟儿路1-1号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76.5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矮凳桥3弄1-2号-垟儿路1号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矮凳桥3弄3号-矮凳桥3弄2-2号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矮凳桥3弄5号后-垟儿路7弄9号后</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矮凳桥3弄1-6号西</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矮凳桥7号东</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矮凳桥19号后-矮凳桥11-2号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垟儿路2号后</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15" w:type="dxa"/>
            <w:gridSpan w:val="13"/>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540"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垟儿路9弄11-矮凳桥3弄5号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612.5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垟儿路2号-垟儿路24号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垟儿路28号-垟儿路60号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w:t>
            </w:r>
          </w:p>
        </w:tc>
        <w:tc>
          <w:tcPr>
            <w:tcW w:w="750"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垟儿路60号-矮凳桥21-20号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矮凳桥21-20号-矮凳桥21-29号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矮凳桥21-1号-矮凳桥21-29号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矮凳桥21-29号-垟儿路42弄13号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垟儿路42弄13号-垟儿路60弄17号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矮凳桥21-29号-矮凳桥21弄18号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垟儿路40号-垟儿路42弄6号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垟儿路小巷</w:t>
            </w:r>
          </w:p>
        </w:tc>
        <w:tc>
          <w:tcPr>
            <w:tcW w:w="495" w:type="dxa"/>
            <w:gridSpan w:val="2"/>
            <w:tcBorders>
              <w:top w:val="single" w:color="000000" w:sz="4" w:space="0"/>
              <w:left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垟儿路42弄1号-垟儿路60弄4号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矮凳桥35弄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矮凳桥39弄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矮凳桥桥43弄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矮凳桥67号巷子</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十八家83弄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十八家83弄1号-十八家83弄6号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区间小巷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十八家新村1幢-十八家83弄6号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十八家49弄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十八家49弄1号-十八家49弄9号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矮凳桥68弄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矮凳桥68弄1号-矮凳桥68弄6号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矮凳桥86弄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矮凳桥54弄</w:t>
            </w:r>
          </w:p>
        </w:tc>
        <w:tc>
          <w:tcPr>
            <w:tcW w:w="495" w:type="dxa"/>
            <w:gridSpan w:val="2"/>
            <w:tcBorders>
              <w:top w:val="single" w:color="000000" w:sz="4" w:space="0"/>
              <w:left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750"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1095"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矮凳桥54弄1号-矮凳桥54弄5号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矮凳桥路小巷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矮凳桥路86弄1号-矮凳桥88弄</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矮凳桥22弄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0.8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矮凳桥22弄4号-矮凳桥22弄8号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矮凳桥2弄1号-矮凳桥2弄6号</w:t>
            </w:r>
          </w:p>
        </w:tc>
      </w:tr>
      <w:tr>
        <w:tblPrEx>
          <w:tblCellMar>
            <w:top w:w="15" w:type="dxa"/>
            <w:left w:w="15" w:type="dxa"/>
            <w:bottom w:w="15" w:type="dxa"/>
            <w:right w:w="15" w:type="dxa"/>
          </w:tblCellMar>
        </w:tblPrEx>
        <w:trPr>
          <w:wBefore w:w="0" w:type="dxa"/>
          <w:wAfter w:w="0" w:type="dxa"/>
          <w:trHeight w:val="321" w:hRule="atLeast"/>
        </w:trPr>
        <w:tc>
          <w:tcPr>
            <w:tcW w:w="619" w:type="dxa"/>
            <w:gridSpan w:val="2"/>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90" w:type="dxa"/>
            <w:gridSpan w:val="9"/>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矮凳桥34弄</w:t>
            </w:r>
          </w:p>
        </w:tc>
        <w:tc>
          <w:tcPr>
            <w:tcW w:w="495"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矮凳桥34弄1号-矮凳桥34弄14号</w:t>
            </w:r>
          </w:p>
        </w:tc>
      </w:tr>
      <w:tr>
        <w:tblPrEx>
          <w:tblCellMar>
            <w:top w:w="15" w:type="dxa"/>
            <w:left w:w="15" w:type="dxa"/>
            <w:bottom w:w="15" w:type="dxa"/>
            <w:right w:w="15" w:type="dxa"/>
          </w:tblCellMar>
        </w:tblPrEx>
        <w:trPr>
          <w:wBefore w:w="0" w:type="dxa"/>
          <w:wAfter w:w="0" w:type="dxa"/>
          <w:trHeight w:val="321"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楷体" w:hAnsi="楷体" w:eastAsia="楷体" w:cs="Arial"/>
                <w:sz w:val="22"/>
                <w:szCs w:val="22"/>
              </w:rPr>
            </w:pPr>
            <w:r>
              <w:rPr>
                <w:rFonts w:hint="eastAsia" w:ascii="楷体" w:hAnsi="楷体" w:eastAsia="楷体" w:cs="Arial"/>
                <w:sz w:val="22"/>
                <w:szCs w:val="22"/>
              </w:rPr>
              <w:t>48446.75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494" w:hRule="atLeast"/>
        </w:trPr>
        <w:tc>
          <w:tcPr>
            <w:tcW w:w="64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64"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60" w:type="dxa"/>
            <w:gridSpan w:val="14"/>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495" w:type="dxa"/>
            <w:gridSpan w:val="2"/>
            <w:tcBorders>
              <w:top w:val="single" w:color="000000" w:sz="4" w:space="0"/>
              <w:left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w:t>
            </w:r>
          </w:p>
        </w:tc>
        <w:tc>
          <w:tcPr>
            <w:tcW w:w="964" w:type="dxa"/>
            <w:gridSpan w:val="7"/>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墨池社区</w:t>
            </w: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横井巷单双号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1号-37号、                  2号-70号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1号-13号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85号-141号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康乐坊</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23号-47号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康乐坊</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49号-217号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14弄</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66弄1号-13号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94弄1号-8号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118弄</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87弄、99弄117弄</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杨柳巷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1号-13号    10号-30号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河西桥</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1号-33号    2号-112号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髙盈里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1号43号     2号-50号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县后巷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2号-16号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县后巷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10弄路口-10弄38号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19号-25号   74号-96号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98号-132号   111号-131号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57号-71号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59弄</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59弄2号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73弄1号-19号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华盖里</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91号-92号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县前头</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6020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2号-152号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县后巷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18号-解北大楼</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招贤巷2号-解北口</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招贤巷2号-县后巷口</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招贤小区</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招贤小区</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墨池坊</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墨池1号-墨池坊3号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墨池坊</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3号-解放街306号  2号-32号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杨柳巷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15号-37号    32号-40号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大简巷</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85号-99号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康乐坊</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1040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219号-273号   212号-306号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童子巷</w:t>
            </w:r>
          </w:p>
        </w:tc>
        <w:tc>
          <w:tcPr>
            <w:tcW w:w="495" w:type="dxa"/>
            <w:gridSpan w:val="2"/>
            <w:tcBorders>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320</w:t>
            </w:r>
          </w:p>
        </w:tc>
        <w:tc>
          <w:tcPr>
            <w:tcW w:w="750" w:type="dxa"/>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w:t>
            </w:r>
          </w:p>
        </w:tc>
        <w:tc>
          <w:tcPr>
            <w:tcW w:w="1095" w:type="dxa"/>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1号-24号</w:t>
            </w:r>
          </w:p>
        </w:tc>
      </w:tr>
      <w:tr>
        <w:tblPrEx>
          <w:tblCellMar>
            <w:top w:w="15" w:type="dxa"/>
            <w:left w:w="15" w:type="dxa"/>
            <w:bottom w:w="15" w:type="dxa"/>
            <w:right w:w="15" w:type="dxa"/>
          </w:tblCellMar>
        </w:tblPrEx>
        <w:trPr>
          <w:wBefore w:w="0" w:type="dxa"/>
          <w:wAfter w:w="0" w:type="dxa"/>
          <w:trHeight w:val="494" w:hRule="atLeast"/>
        </w:trPr>
        <w:tc>
          <w:tcPr>
            <w:tcW w:w="645" w:type="dxa"/>
            <w:gridSpan w:val="4"/>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64" w:type="dxa"/>
            <w:gridSpan w:val="7"/>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瓦市露天菜场</w:t>
            </w:r>
          </w:p>
        </w:tc>
        <w:tc>
          <w:tcPr>
            <w:tcW w:w="495"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85号-141号   12号-150号</w:t>
            </w:r>
          </w:p>
        </w:tc>
      </w:tr>
      <w:tr>
        <w:tblPrEx>
          <w:tblCellMar>
            <w:top w:w="15" w:type="dxa"/>
            <w:left w:w="15" w:type="dxa"/>
            <w:bottom w:w="15" w:type="dxa"/>
            <w:right w:w="15" w:type="dxa"/>
          </w:tblCellMar>
        </w:tblPrEx>
        <w:trPr>
          <w:wBefore w:w="0" w:type="dxa"/>
          <w:wAfter w:w="0" w:type="dxa"/>
          <w:trHeight w:val="432"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30267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21" w:hRule="atLeast"/>
        </w:trPr>
        <w:tc>
          <w:tcPr>
            <w:tcW w:w="67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3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930" w:type="dxa"/>
            <w:gridSpan w:val="5"/>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w:t>
            </w: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23750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江滨西路118-450号</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株浦路</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株柏公寓--东明锦园</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永楠路</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江滨西路450号--瓯江路</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瓯江路</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28500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永楠路——瓯越大桥</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江滨西路308弄</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9750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机关二幼——江滨***</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十八家支路</w:t>
            </w:r>
          </w:p>
        </w:tc>
        <w:tc>
          <w:tcPr>
            <w:tcW w:w="49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东门教堂——聚鑫苑1幢</w:t>
            </w:r>
          </w:p>
        </w:tc>
      </w:tr>
      <w:tr>
        <w:tblPrEx>
          <w:tblCellMar>
            <w:top w:w="15" w:type="dxa"/>
            <w:left w:w="15" w:type="dxa"/>
            <w:bottom w:w="15" w:type="dxa"/>
            <w:right w:w="15" w:type="dxa"/>
          </w:tblCellMar>
        </w:tblPrEx>
        <w:trPr>
          <w:wBefore w:w="0" w:type="dxa"/>
          <w:wAfter w:w="0" w:type="dxa"/>
          <w:trHeight w:val="321" w:hRule="atLeast"/>
        </w:trPr>
        <w:tc>
          <w:tcPr>
            <w:tcW w:w="679" w:type="dxa"/>
            <w:gridSpan w:val="6"/>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60" w:type="dxa"/>
            <w:gridSpan w:val="14"/>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东明路</w:t>
            </w:r>
          </w:p>
        </w:tc>
        <w:tc>
          <w:tcPr>
            <w:tcW w:w="495"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十八家公寓——瓯江路</w:t>
            </w:r>
          </w:p>
        </w:tc>
      </w:tr>
      <w:tr>
        <w:tblPrEx>
          <w:tblCellMar>
            <w:top w:w="15" w:type="dxa"/>
            <w:left w:w="15" w:type="dxa"/>
            <w:bottom w:w="15" w:type="dxa"/>
            <w:right w:w="15" w:type="dxa"/>
          </w:tblCellMar>
        </w:tblPrEx>
        <w:trPr>
          <w:wBefore w:w="0" w:type="dxa"/>
          <w:wAfter w:w="0" w:type="dxa"/>
          <w:trHeight w:val="321" w:hRule="atLeast"/>
        </w:trPr>
        <w:tc>
          <w:tcPr>
            <w:tcW w:w="4264" w:type="dxa"/>
            <w:gridSpan w:val="2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102000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58" w:hRule="atLeast"/>
        </w:trPr>
        <w:tc>
          <w:tcPr>
            <w:tcW w:w="67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3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13</w:t>
            </w:r>
          </w:p>
        </w:tc>
        <w:tc>
          <w:tcPr>
            <w:tcW w:w="930" w:type="dxa"/>
            <w:gridSpan w:val="5"/>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朔门社区</w:t>
            </w: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打绳巷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2756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打绳1号-打绳154号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打绳巷5弄</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779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190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打绳5弄1号-25号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永宁巷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3192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永宁1号-永宁205号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永宁巷38弄</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984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240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永宁38弄1号-33号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七枫巷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1650.6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393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七枫1号-113号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罗汉巷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220.5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罗汉巷1号-20号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兵营巷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378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兵营巷2号-82号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兵营巷86弄</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715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兵营86弄19-33号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朔门街</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380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朔门街1号-201号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水门底</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410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水门底2号-41号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水门头</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水门头48号-温州二中</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北鹿巷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2226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北鹿巷1号-179号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望江东路后巷</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8600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望江东路1号-52号</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海坛山</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3440平</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海坦山脚---海坦山顶</w:t>
            </w:r>
          </w:p>
        </w:tc>
      </w:tr>
      <w:tr>
        <w:tblPrEx>
          <w:tblCellMar>
            <w:top w:w="15" w:type="dxa"/>
            <w:left w:w="15" w:type="dxa"/>
            <w:bottom w:w="15" w:type="dxa"/>
            <w:right w:w="15" w:type="dxa"/>
          </w:tblCellMar>
        </w:tblPrEx>
        <w:trPr>
          <w:wBefore w:w="0" w:type="dxa"/>
          <w:wAfter w:w="0" w:type="dxa"/>
          <w:trHeight w:val="358" w:hRule="atLeast"/>
        </w:trPr>
        <w:tc>
          <w:tcPr>
            <w:tcW w:w="679" w:type="dxa"/>
            <w:gridSpan w:val="6"/>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30"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兵营巷72弄</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848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265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72弄1号-</w:t>
            </w:r>
          </w:p>
        </w:tc>
      </w:tr>
      <w:tr>
        <w:tblPrEx>
          <w:tblCellMar>
            <w:top w:w="15" w:type="dxa"/>
            <w:left w:w="15" w:type="dxa"/>
            <w:bottom w:w="15" w:type="dxa"/>
            <w:right w:w="15" w:type="dxa"/>
          </w:tblCellMar>
        </w:tblPrEx>
        <w:trPr>
          <w:wBefore w:w="0" w:type="dxa"/>
          <w:wAfter w:w="0" w:type="dxa"/>
          <w:trHeight w:val="358" w:hRule="atLeast"/>
        </w:trPr>
        <w:tc>
          <w:tcPr>
            <w:tcW w:w="4264" w:type="dxa"/>
            <w:gridSpan w:val="27"/>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29279.1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21" w:hRule="atLeast"/>
        </w:trPr>
        <w:tc>
          <w:tcPr>
            <w:tcW w:w="66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45"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社区</w:t>
            </w: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restart"/>
            <w:tcBorders>
              <w:top w:val="single" w:color="000000" w:sz="4" w:space="0"/>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14</w:t>
            </w:r>
          </w:p>
        </w:tc>
        <w:tc>
          <w:tcPr>
            <w:tcW w:w="945" w:type="dxa"/>
            <w:gridSpan w:val="6"/>
            <w:vMerge w:val="restart"/>
            <w:tcBorders>
              <w:top w:val="single" w:color="000000" w:sz="4" w:space="0"/>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谢池社区</w:t>
            </w:r>
          </w:p>
        </w:tc>
        <w:tc>
          <w:tcPr>
            <w:tcW w:w="2175" w:type="dxa"/>
            <w:gridSpan w:val="15"/>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w:t>
            </w:r>
          </w:p>
        </w:tc>
        <w:tc>
          <w:tcPr>
            <w:tcW w:w="48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5280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440</w:t>
            </w:r>
          </w:p>
        </w:tc>
        <w:tc>
          <w:tcPr>
            <w:tcW w:w="1095" w:type="dxa"/>
            <w:tcBorders>
              <w:top w:val="single" w:color="000000" w:sz="4" w:space="0"/>
              <w:left w:val="single" w:color="000000" w:sz="4" w:space="0"/>
              <w:bottom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谢池巷1号-谢池巷202号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无名路段</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谢池巷109号-浦发大楼110-A</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无名路段</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1200</w:t>
            </w:r>
          </w:p>
        </w:tc>
        <w:tc>
          <w:tcPr>
            <w:tcW w:w="750" w:type="dxa"/>
            <w:tcBorders>
              <w:top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浦发大楼D-101-浦发银行</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无名路段</w:t>
            </w:r>
          </w:p>
        </w:tc>
        <w:tc>
          <w:tcPr>
            <w:tcW w:w="48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1050</w:t>
            </w:r>
          </w:p>
        </w:tc>
        <w:tc>
          <w:tcPr>
            <w:tcW w:w="750" w:type="dxa"/>
            <w:tcBorders>
              <w:top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谢池巷5号-人民东路74号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飞霞桥路</w:t>
            </w:r>
          </w:p>
        </w:tc>
        <w:tc>
          <w:tcPr>
            <w:tcW w:w="48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3600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人民东路15号—飞霞桥路138号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县前头</w:t>
            </w:r>
          </w:p>
        </w:tc>
        <w:tc>
          <w:tcPr>
            <w:tcW w:w="48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400</w:t>
            </w:r>
          </w:p>
        </w:tc>
        <w:tc>
          <w:tcPr>
            <w:tcW w:w="1095" w:type="dxa"/>
            <w:tcBorders>
              <w:top w:val="single" w:color="000000" w:sz="4" w:space="0"/>
              <w:left w:val="single" w:color="000000" w:sz="4" w:space="0"/>
              <w:bottom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县前头41-207号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铁井栏</w:t>
            </w:r>
          </w:p>
        </w:tc>
        <w:tc>
          <w:tcPr>
            <w:tcW w:w="480"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3548</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181</w:t>
            </w:r>
          </w:p>
        </w:tc>
        <w:tc>
          <w:tcPr>
            <w:tcW w:w="1095" w:type="dxa"/>
            <w:tcBorders>
              <w:top w:val="single" w:color="000000" w:sz="4" w:space="0"/>
              <w:left w:val="single" w:color="000000" w:sz="4" w:space="0"/>
              <w:bottom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19.60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铁井栏2-106号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花园巷</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花园巷1-56号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县学前</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商业楼北33号-县学前130号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兴文里</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兴文里5-165号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府学巷</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4873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443</w:t>
            </w:r>
          </w:p>
        </w:tc>
        <w:tc>
          <w:tcPr>
            <w:tcW w:w="1095" w:type="dxa"/>
            <w:tcBorders>
              <w:top w:val="single" w:color="000000" w:sz="4" w:space="0"/>
              <w:left w:val="single" w:color="000000"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府学巷1-205号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万寿巷</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万寿巷1-49号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九柏园头</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750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九柏园头1-39号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园西巷</w:t>
            </w:r>
          </w:p>
        </w:tc>
        <w:tc>
          <w:tcPr>
            <w:tcW w:w="480" w:type="dxa"/>
            <w:tcBorders>
              <w:top w:val="single" w:color="000000" w:sz="4" w:space="0"/>
              <w:left w:val="single" w:color="auto" w:sz="4" w:space="0"/>
              <w:bottom w:val="single" w:color="000000" w:sz="4" w:space="0"/>
            </w:tcBorders>
            <w:shd w:val="clear" w:color="auto" w:fill="auto"/>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三级</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1120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100</w:t>
            </w:r>
          </w:p>
        </w:tc>
        <w:tc>
          <w:tcPr>
            <w:tcW w:w="1095" w:type="dxa"/>
            <w:tcBorders>
              <w:top w:val="single" w:color="000000" w:sz="4" w:space="0"/>
              <w:left w:val="single" w:color="000000" w:sz="4" w:space="0"/>
              <w:bottom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11.2</w:t>
            </w: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园西巷1-28号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谢池巷76弄</w:t>
            </w:r>
          </w:p>
        </w:tc>
        <w:tc>
          <w:tcPr>
            <w:tcW w:w="480" w:type="dxa"/>
            <w:tcBorders>
              <w:top w:val="single" w:color="000000" w:sz="4" w:space="0"/>
              <w:left w:val="single" w:color="auto" w:sz="4" w:space="0"/>
              <w:bottom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125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2.5</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府学巷-谢池巷</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谢池巷168弄</w:t>
            </w:r>
          </w:p>
        </w:tc>
        <w:tc>
          <w:tcPr>
            <w:tcW w:w="480" w:type="dxa"/>
            <w:tcBorders>
              <w:top w:val="single" w:color="000000" w:sz="4" w:space="0"/>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3</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府学巷-谢池巷</w:t>
            </w:r>
          </w:p>
        </w:tc>
      </w:tr>
      <w:tr>
        <w:tblPrEx>
          <w:tblCellMar>
            <w:top w:w="15" w:type="dxa"/>
            <w:left w:w="15" w:type="dxa"/>
            <w:bottom w:w="15" w:type="dxa"/>
            <w:right w:w="15" w:type="dxa"/>
          </w:tblCellMar>
        </w:tblPrEx>
        <w:trPr>
          <w:wBefore w:w="0" w:type="dxa"/>
          <w:wAfter w:w="0" w:type="dxa"/>
          <w:trHeight w:val="321" w:hRule="atLeast"/>
        </w:trPr>
        <w:tc>
          <w:tcPr>
            <w:tcW w:w="9642" w:type="dxa"/>
            <w:gridSpan w:val="31"/>
            <w:tcBorders>
              <w:left w:val="single" w:color="000000" w:sz="4" w:space="0"/>
              <w:bottom w:val="single" w:color="auto" w:sz="4" w:space="0"/>
              <w:right w:val="single" w:color="000000" w:sz="4" w:space="0"/>
            </w:tcBorders>
            <w:noWrap w:val="0"/>
            <w:vAlign w:val="center"/>
          </w:tcPr>
          <w:p>
            <w:pPr>
              <w:spacing w:line="320" w:lineRule="exact"/>
              <w:ind w:left="331" w:hanging="331" w:hangingChars="150"/>
              <w:jc w:val="center"/>
              <w:rPr>
                <w:rFonts w:hint="eastAsia" w:ascii="楷体" w:hAnsi="楷体" w:eastAsia="楷体" w:cs="Arial"/>
                <w:b/>
                <w:sz w:val="22"/>
                <w:szCs w:val="22"/>
              </w:rPr>
            </w:pPr>
            <w:r>
              <w:rPr>
                <w:rFonts w:hint="eastAsia" w:ascii="楷体" w:hAnsi="楷体" w:eastAsia="楷体" w:cs="Arial"/>
                <w:b/>
                <w:sz w:val="22"/>
                <w:szCs w:val="22"/>
              </w:rPr>
              <w:t>五马街历史文化商业街区</w:t>
            </w:r>
          </w:p>
        </w:tc>
      </w:tr>
      <w:tr>
        <w:tblPrEx>
          <w:tblCellMar>
            <w:top w:w="15" w:type="dxa"/>
            <w:left w:w="15" w:type="dxa"/>
            <w:bottom w:w="15" w:type="dxa"/>
            <w:right w:w="15" w:type="dxa"/>
          </w:tblCellMar>
        </w:tblPrEx>
        <w:trPr>
          <w:wBefore w:w="0" w:type="dxa"/>
          <w:wAfter w:w="0" w:type="dxa"/>
          <w:trHeight w:val="321" w:hRule="atLeast"/>
        </w:trPr>
        <w:tc>
          <w:tcPr>
            <w:tcW w:w="664" w:type="dxa"/>
            <w:gridSpan w:val="5"/>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编号</w:t>
            </w:r>
          </w:p>
        </w:tc>
        <w:tc>
          <w:tcPr>
            <w:tcW w:w="945" w:type="dxa"/>
            <w:gridSpan w:val="6"/>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功能区</w:t>
            </w:r>
          </w:p>
        </w:tc>
        <w:tc>
          <w:tcPr>
            <w:tcW w:w="2175" w:type="dxa"/>
            <w:gridSpan w:val="15"/>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道路名称</w:t>
            </w:r>
          </w:p>
        </w:tc>
        <w:tc>
          <w:tcPr>
            <w:tcW w:w="480" w:type="dxa"/>
            <w:tcBorders>
              <w:top w:val="single" w:color="000000" w:sz="4" w:space="0"/>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w:t>
            </w:r>
          </w:p>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等级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道路面积（M2）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长(M)</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宽（M）</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起---止</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restart"/>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w:t>
            </w:r>
          </w:p>
        </w:tc>
        <w:tc>
          <w:tcPr>
            <w:tcW w:w="945" w:type="dxa"/>
            <w:gridSpan w:val="6"/>
            <w:vMerge w:val="restart"/>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五马</w:t>
            </w:r>
          </w:p>
        </w:tc>
        <w:tc>
          <w:tcPr>
            <w:tcW w:w="2175" w:type="dxa"/>
            <w:gridSpan w:val="15"/>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五码步行街</w:t>
            </w:r>
          </w:p>
        </w:tc>
        <w:tc>
          <w:tcPr>
            <w:tcW w:w="480" w:type="dxa"/>
            <w:tcBorders>
              <w:top w:val="single" w:color="000000" w:sz="4" w:space="0"/>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8480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424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东至解放路，西至府前街，包括府前街和蝉街中间路段，及五马步行街周边巷弄</w:t>
            </w:r>
          </w:p>
        </w:tc>
      </w:tr>
      <w:tr>
        <w:tblPrEx>
          <w:tblCellMar>
            <w:top w:w="15" w:type="dxa"/>
            <w:left w:w="15" w:type="dxa"/>
            <w:bottom w:w="15" w:type="dxa"/>
            <w:right w:w="15" w:type="dxa"/>
          </w:tblCellMar>
        </w:tblPrEx>
        <w:trPr>
          <w:wBefore w:w="0" w:type="dxa"/>
          <w:wAfter w:w="0" w:type="dxa"/>
          <w:trHeight w:val="53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vMerge w:val="restart"/>
            <w:tcBorders>
              <w:top w:val="single" w:color="000000" w:sz="4" w:space="0"/>
              <w:left w:val="single" w:color="000000"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蝉街</w:t>
            </w:r>
          </w:p>
        </w:tc>
        <w:tc>
          <w:tcPr>
            <w:tcW w:w="480" w:type="dxa"/>
            <w:vMerge w:val="restart"/>
            <w:tcBorders>
              <w:top w:val="single" w:color="000000" w:sz="4" w:space="0"/>
              <w:lef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一级</w:t>
            </w:r>
          </w:p>
        </w:tc>
        <w:tc>
          <w:tcPr>
            <w:tcW w:w="975" w:type="dxa"/>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27667</w:t>
            </w: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437</w:t>
            </w:r>
          </w:p>
        </w:tc>
        <w:tc>
          <w:tcPr>
            <w:tcW w:w="1095" w:type="dxa"/>
            <w:tcBorders>
              <w:top w:val="single" w:color="000000" w:sz="4" w:space="0"/>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41</w:t>
            </w:r>
          </w:p>
        </w:tc>
        <w:tc>
          <w:tcPr>
            <w:tcW w:w="2558" w:type="dxa"/>
            <w:vMerge w:val="restart"/>
            <w:tcBorders>
              <w:top w:val="single" w:color="000000" w:sz="4" w:space="0"/>
              <w:left w:val="single" w:color="000000" w:sz="4" w:space="0"/>
              <w:right w:val="single" w:color="000000" w:sz="4" w:space="0"/>
            </w:tcBorders>
            <w:noWrap w:val="0"/>
            <w:vAlign w:val="center"/>
          </w:tcPr>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五马街—信河街</w:t>
            </w:r>
          </w:p>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东至府前街，西至信河街，包括国光广场、地下通道及上去的两边阶梯</w:t>
            </w:r>
          </w:p>
        </w:tc>
      </w:tr>
      <w:tr>
        <w:tblPrEx>
          <w:tblCellMar>
            <w:top w:w="15" w:type="dxa"/>
            <w:left w:w="15" w:type="dxa"/>
            <w:bottom w:w="15" w:type="dxa"/>
            <w:right w:w="15" w:type="dxa"/>
          </w:tblCellMar>
        </w:tblPrEx>
        <w:trPr>
          <w:wBefore w:w="0" w:type="dxa"/>
          <w:wAfter w:w="0" w:type="dxa"/>
          <w:trHeight w:val="803"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vMerge w:val="continue"/>
            <w:tcBorders>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480" w:type="dxa"/>
            <w:vMerge w:val="continue"/>
            <w:tcBorders>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75" w:type="dxa"/>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150</w:t>
            </w:r>
          </w:p>
        </w:tc>
        <w:tc>
          <w:tcPr>
            <w:tcW w:w="1095"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65</w:t>
            </w:r>
          </w:p>
        </w:tc>
        <w:tc>
          <w:tcPr>
            <w:tcW w:w="2558" w:type="dxa"/>
            <w:vMerge w:val="continue"/>
            <w:tcBorders>
              <w:left w:val="single" w:color="000000" w:sz="4" w:space="0"/>
              <w:bottom w:val="single" w:color="000000" w:sz="4" w:space="0"/>
              <w:right w:val="single" w:color="000000" w:sz="4" w:space="0"/>
            </w:tcBorders>
            <w:noWrap w:val="0"/>
            <w:vAlign w:val="center"/>
          </w:tcPr>
          <w:p>
            <w:pPr>
              <w:spacing w:line="320" w:lineRule="exact"/>
              <w:ind w:left="330" w:hanging="330" w:hangingChars="150"/>
              <w:jc w:val="left"/>
              <w:rPr>
                <w:rFonts w:hint="eastAsia" w:ascii="楷体" w:hAnsi="楷体" w:eastAsia="楷体" w:cs="Arial"/>
                <w:sz w:val="22"/>
                <w:szCs w:val="22"/>
              </w:rPr>
            </w:pP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公安路</w:t>
            </w:r>
          </w:p>
        </w:tc>
        <w:tc>
          <w:tcPr>
            <w:tcW w:w="480" w:type="dxa"/>
            <w:tcBorders>
              <w:top w:val="single" w:color="000000" w:sz="4" w:space="0"/>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四级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ascii="楷体" w:hAnsi="楷体" w:eastAsia="楷体" w:cs="Arial"/>
                <w:sz w:val="22"/>
                <w:szCs w:val="22"/>
              </w:rPr>
              <w:t>1736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ascii="楷体" w:hAnsi="楷体" w:eastAsia="楷体" w:cs="Arial"/>
                <w:sz w:val="22"/>
                <w:szCs w:val="22"/>
              </w:rPr>
              <w:t>310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5.6</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五马街——广场路</w:t>
            </w:r>
          </w:p>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南至五马步行街，北至广场路，包括鼓楼街和公安路中间，及蕉楼洞下面</w:t>
            </w:r>
          </w:p>
        </w:tc>
      </w:tr>
      <w:tr>
        <w:tblPrEx>
          <w:tblCellMar>
            <w:top w:w="15" w:type="dxa"/>
            <w:left w:w="15" w:type="dxa"/>
            <w:bottom w:w="15" w:type="dxa"/>
            <w:right w:w="15" w:type="dxa"/>
          </w:tblCellMar>
        </w:tblPrEx>
        <w:trPr>
          <w:wBefore w:w="0" w:type="dxa"/>
          <w:wAfter w:w="0" w:type="dxa"/>
          <w:trHeight w:val="321" w:hRule="atLeast"/>
        </w:trPr>
        <w:tc>
          <w:tcPr>
            <w:tcW w:w="664" w:type="dxa"/>
            <w:gridSpan w:val="5"/>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45" w:type="dxa"/>
            <w:gridSpan w:val="6"/>
            <w:vMerge w:val="continue"/>
            <w:tcBorders>
              <w:left w:val="single" w:color="000000" w:sz="4" w:space="0"/>
              <w:bottom w:val="single" w:color="auto"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2175" w:type="dxa"/>
            <w:gridSpan w:val="15"/>
            <w:tcBorders>
              <w:top w:val="single" w:color="000000" w:sz="4" w:space="0"/>
              <w:left w:val="single" w:color="000000"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沙帽河</w:t>
            </w:r>
          </w:p>
        </w:tc>
        <w:tc>
          <w:tcPr>
            <w:tcW w:w="480" w:type="dxa"/>
            <w:tcBorders>
              <w:top w:val="single" w:color="000000" w:sz="4" w:space="0"/>
              <w:left w:val="single" w:color="auto" w:sz="4" w:space="0"/>
              <w:bottom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二级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ascii="楷体" w:hAnsi="楷体" w:eastAsia="楷体" w:cs="Arial"/>
                <w:sz w:val="22"/>
                <w:szCs w:val="22"/>
              </w:rPr>
              <w:t>2160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ascii="楷体" w:hAnsi="楷体" w:eastAsia="楷体" w:cs="Arial"/>
                <w:sz w:val="22"/>
                <w:szCs w:val="22"/>
              </w:rPr>
              <w:t>270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8.0</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解放路—登选坊</w:t>
            </w:r>
          </w:p>
          <w:p>
            <w:pPr>
              <w:spacing w:line="320" w:lineRule="exact"/>
              <w:ind w:left="330" w:hanging="330" w:hangingChars="150"/>
              <w:jc w:val="left"/>
              <w:rPr>
                <w:rFonts w:hint="eastAsia" w:ascii="楷体" w:hAnsi="楷体" w:eastAsia="楷体" w:cs="Arial"/>
                <w:sz w:val="22"/>
                <w:szCs w:val="22"/>
              </w:rPr>
            </w:pPr>
            <w:r>
              <w:rPr>
                <w:rFonts w:hint="eastAsia" w:ascii="楷体" w:hAnsi="楷体" w:eastAsia="楷体" w:cs="Arial"/>
                <w:sz w:val="22"/>
                <w:szCs w:val="22"/>
              </w:rPr>
              <w:t>东至解放街、西至高公桥及周边巷弄</w:t>
            </w:r>
          </w:p>
        </w:tc>
      </w:tr>
      <w:tr>
        <w:tblPrEx>
          <w:tblCellMar>
            <w:top w:w="15" w:type="dxa"/>
            <w:left w:w="15" w:type="dxa"/>
            <w:bottom w:w="15" w:type="dxa"/>
            <w:right w:w="15" w:type="dxa"/>
          </w:tblCellMar>
        </w:tblPrEx>
        <w:trPr>
          <w:wBefore w:w="0" w:type="dxa"/>
          <w:wAfter w:w="0" w:type="dxa"/>
          <w:trHeight w:val="321" w:hRule="atLeast"/>
        </w:trPr>
        <w:tc>
          <w:tcPr>
            <w:tcW w:w="3784" w:type="dxa"/>
            <w:gridSpan w:val="26"/>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合计</w:t>
            </w:r>
          </w:p>
        </w:tc>
        <w:tc>
          <w:tcPr>
            <w:tcW w:w="4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30" w:hanging="330" w:hangingChars="150"/>
              <w:jc w:val="center"/>
              <w:rPr>
                <w:rFonts w:hint="eastAsia" w:ascii="楷体" w:hAnsi="楷体" w:eastAsia="楷体" w:cs="Arial"/>
                <w:sz w:val="22"/>
                <w:szCs w:val="22"/>
              </w:rPr>
            </w:pPr>
          </w:p>
        </w:tc>
        <w:tc>
          <w:tcPr>
            <w:tcW w:w="975"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622840.3 M2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c>
          <w:tcPr>
            <w:tcW w:w="25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left="330" w:hanging="330" w:hangingChars="150"/>
              <w:jc w:val="center"/>
              <w:rPr>
                <w:rFonts w:hint="eastAsia" w:ascii="楷体" w:hAnsi="楷体" w:eastAsia="楷体" w:cs="Arial"/>
                <w:sz w:val="22"/>
                <w:szCs w:val="22"/>
              </w:rPr>
            </w:pPr>
            <w:r>
              <w:rPr>
                <w:rFonts w:hint="eastAsia" w:ascii="楷体" w:hAnsi="楷体" w:eastAsia="楷体" w:cs="Arial"/>
                <w:sz w:val="22"/>
                <w:szCs w:val="22"/>
              </w:rPr>
              <w:t>/</w:t>
            </w:r>
          </w:p>
        </w:tc>
      </w:tr>
      <w:tr>
        <w:tblPrEx>
          <w:tblCellMar>
            <w:top w:w="15" w:type="dxa"/>
            <w:left w:w="15" w:type="dxa"/>
            <w:bottom w:w="15" w:type="dxa"/>
            <w:right w:w="15" w:type="dxa"/>
          </w:tblCellMar>
        </w:tblPrEx>
        <w:trPr>
          <w:wBefore w:w="0" w:type="dxa"/>
          <w:wAfter w:w="0" w:type="dxa"/>
          <w:trHeight w:val="321" w:hRule="atLeast"/>
        </w:trPr>
        <w:tc>
          <w:tcPr>
            <w:tcW w:w="9642" w:type="dxa"/>
            <w:gridSpan w:val="31"/>
            <w:tcBorders>
              <w:top w:val="single" w:color="auto" w:sz="4" w:space="0"/>
              <w:left w:val="single" w:color="auto" w:sz="4" w:space="0"/>
              <w:bottom w:val="single" w:color="auto" w:sz="4" w:space="0"/>
              <w:right w:val="single" w:color="000000" w:sz="4" w:space="0"/>
            </w:tcBorders>
            <w:noWrap w:val="0"/>
            <w:vAlign w:val="center"/>
          </w:tcPr>
          <w:p>
            <w:pPr>
              <w:spacing w:line="320" w:lineRule="exact"/>
              <w:ind w:left="331" w:hanging="331" w:hangingChars="150"/>
              <w:jc w:val="left"/>
              <w:rPr>
                <w:rFonts w:hint="eastAsia" w:ascii="楷体" w:hAnsi="楷体" w:eastAsia="楷体" w:cs="Arial"/>
                <w:b/>
                <w:bCs/>
                <w:sz w:val="22"/>
                <w:szCs w:val="22"/>
              </w:rPr>
            </w:pPr>
            <w:r>
              <w:rPr>
                <w:rFonts w:hint="eastAsia" w:ascii="楷体" w:hAnsi="楷体" w:eastAsia="楷体" w:cs="Arial"/>
                <w:b/>
                <w:bCs/>
                <w:sz w:val="22"/>
                <w:szCs w:val="22"/>
              </w:rPr>
              <w:t>上述道路合计总面积：622840.3M2，总长58917M。除封闭式小区外，本次道路清扫保洁范围包含五马街道范围内所覆盖的所有道路及五马街历史文化商业街区。</w:t>
            </w:r>
          </w:p>
        </w:tc>
      </w:tr>
    </w:tbl>
    <w:p>
      <w:pPr>
        <w:spacing w:line="400" w:lineRule="exact"/>
        <w:ind w:left="539" w:hanging="539" w:hangingChars="244"/>
        <w:rPr>
          <w:rFonts w:hint="eastAsia" w:ascii="楷体" w:hAnsi="楷体" w:eastAsia="楷体" w:cs="Arial"/>
          <w:b/>
          <w:sz w:val="22"/>
          <w:szCs w:val="22"/>
          <w:u w:val="single"/>
        </w:rPr>
      </w:pPr>
      <w:r>
        <w:rPr>
          <w:rFonts w:hint="eastAsia" w:ascii="楷体" w:hAnsi="楷体" w:eastAsia="楷体" w:cs="Arial"/>
          <w:b/>
          <w:sz w:val="22"/>
          <w:szCs w:val="22"/>
          <w:u w:val="single"/>
        </w:rPr>
        <w:t>注：上述有关数据均仅供参考，招标采购单位不对此进行负责，投标人必须进行实地考察道路基本情况及环卫设施情况，同时自行承担后果及风险。</w:t>
      </w:r>
    </w:p>
    <w:p>
      <w:pPr>
        <w:spacing w:line="400" w:lineRule="exact"/>
        <w:ind w:left="552" w:hanging="552" w:hangingChars="250"/>
        <w:rPr>
          <w:rFonts w:hint="eastAsia" w:ascii="楷体" w:hAnsi="楷体" w:eastAsia="楷体" w:cs="Arial"/>
          <w:b/>
          <w:sz w:val="22"/>
          <w:szCs w:val="22"/>
        </w:rPr>
      </w:pPr>
      <w:r>
        <w:rPr>
          <w:rFonts w:hint="eastAsia" w:ascii="楷体" w:hAnsi="楷体" w:eastAsia="楷体" w:cs="Arial"/>
          <w:b/>
          <w:sz w:val="22"/>
          <w:szCs w:val="22"/>
        </w:rPr>
        <w:t>2．道路清扫保洁服务内容</w:t>
      </w:r>
    </w:p>
    <w:p>
      <w:pPr>
        <w:tabs>
          <w:tab w:val="left" w:pos="284"/>
          <w:tab w:val="left" w:pos="720"/>
          <w:tab w:val="left" w:pos="780"/>
        </w:tabs>
        <w:spacing w:line="400" w:lineRule="exact"/>
        <w:ind w:left="284"/>
        <w:rPr>
          <w:rFonts w:hint="eastAsia" w:ascii="楷体" w:hAnsi="楷体" w:eastAsia="楷体" w:cs="Arial"/>
          <w:sz w:val="22"/>
          <w:szCs w:val="22"/>
        </w:rPr>
      </w:pPr>
      <w:r>
        <w:rPr>
          <w:rFonts w:hint="eastAsia" w:ascii="楷体" w:hAnsi="楷体" w:eastAsia="楷体" w:cs="Arial"/>
          <w:sz w:val="22"/>
          <w:szCs w:val="22"/>
        </w:rPr>
        <w:t>道路普扫、保洁人工作业，道路冲洗，环卫设施维护、垃圾清运（含辖区内无主装潢垃圾及大件垃圾清运，根据甲方要求清运到辖区指定地点）、小广告清理、楼道保洁，五马历史文化商业街区内道路清扫、保洁质量提升管理等内容。</w:t>
      </w:r>
    </w:p>
    <w:p>
      <w:pPr>
        <w:numPr>
          <w:ilvl w:val="0"/>
          <w:numId w:val="27"/>
        </w:numPr>
        <w:tabs>
          <w:tab w:val="left" w:pos="284"/>
          <w:tab w:val="left" w:pos="720"/>
          <w:tab w:val="left" w:pos="780"/>
        </w:tabs>
        <w:spacing w:line="400" w:lineRule="exact"/>
        <w:rPr>
          <w:rFonts w:hint="eastAsia" w:ascii="楷体" w:hAnsi="楷体" w:eastAsia="楷体" w:cs="Arial"/>
          <w:b/>
          <w:bCs/>
          <w:sz w:val="22"/>
          <w:szCs w:val="22"/>
        </w:rPr>
      </w:pPr>
      <w:r>
        <w:rPr>
          <w:rFonts w:hint="eastAsia" w:ascii="楷体" w:hAnsi="楷体" w:eastAsia="楷体" w:cs="Arial"/>
          <w:b/>
          <w:bCs/>
          <w:sz w:val="22"/>
          <w:szCs w:val="22"/>
        </w:rPr>
        <w:t>在合同执行期间，辖区内如有新建或新移交的道路，则按中标价作为依据，进行结算。</w:t>
      </w:r>
    </w:p>
    <w:p>
      <w:pPr>
        <w:pStyle w:val="11"/>
        <w:spacing w:line="400" w:lineRule="exact"/>
        <w:ind w:left="316" w:hanging="316" w:hangingChars="143"/>
        <w:rPr>
          <w:rFonts w:hint="eastAsia" w:ascii="楷体" w:hAnsi="楷体" w:eastAsia="楷体" w:cs="Arial"/>
          <w:b/>
          <w:sz w:val="22"/>
          <w:szCs w:val="22"/>
        </w:rPr>
      </w:pPr>
      <w:r>
        <w:rPr>
          <w:rFonts w:hint="eastAsia" w:ascii="楷体" w:hAnsi="楷体" w:eastAsia="楷体" w:cs="Arial"/>
          <w:b/>
          <w:sz w:val="22"/>
          <w:szCs w:val="22"/>
        </w:rPr>
        <w:t>三、服务和质量要求</w:t>
      </w:r>
    </w:p>
    <w:p>
      <w:pPr>
        <w:spacing w:line="400" w:lineRule="exact"/>
        <w:ind w:left="357" w:leftChars="51" w:hanging="250" w:hangingChars="114"/>
        <w:rPr>
          <w:rFonts w:hint="eastAsia" w:ascii="楷体" w:hAnsi="楷体" w:eastAsia="楷体" w:cs="Arial"/>
          <w:sz w:val="22"/>
          <w:szCs w:val="22"/>
        </w:rPr>
      </w:pPr>
      <w:r>
        <w:rPr>
          <w:rFonts w:hint="eastAsia" w:ascii="楷体" w:hAnsi="楷体" w:eastAsia="楷体" w:cs="Arial"/>
          <w:sz w:val="22"/>
          <w:szCs w:val="22"/>
        </w:rPr>
        <w:t>1、各投标单位可在保证本项目道路清扫保洁服务质量要求的前提下，参照2006年1月1日执行实施的《浙江省城市环境卫生劳动定额》并结合温州市鹿城区实际情况，确定投入各工种环卫保洁人员总人数，并给出人员测算、方法、计算依据，其中</w:t>
      </w:r>
      <w:r>
        <w:rPr>
          <w:rFonts w:ascii="楷体" w:hAnsi="楷体" w:eastAsia="楷体" w:cs="Arial"/>
          <w:b/>
          <w:bCs/>
          <w:sz w:val="22"/>
          <w:szCs w:val="22"/>
        </w:rPr>
        <w:t>五马街历史文化商业街</w:t>
      </w:r>
      <w:r>
        <w:rPr>
          <w:rFonts w:hint="eastAsia" w:ascii="楷体" w:hAnsi="楷体" w:eastAsia="楷体" w:cs="Arial"/>
          <w:b/>
          <w:bCs/>
          <w:sz w:val="22"/>
          <w:szCs w:val="22"/>
        </w:rPr>
        <w:t>区保洁作业中拟派1位街区经理，2位专职管理人员，且投入清扫保洁人员不得低于45人（人员要求：年轻化、知识化和较强的沟通能力；年龄要求：男性在55周岁以下，女性在50周岁以下；学历要求初中以上）。</w:t>
      </w:r>
    </w:p>
    <w:p>
      <w:pPr>
        <w:spacing w:line="400" w:lineRule="exact"/>
        <w:ind w:firstLine="108" w:firstLineChars="49"/>
        <w:rPr>
          <w:rFonts w:hint="eastAsia" w:ascii="楷体" w:hAnsi="楷体" w:eastAsia="楷体" w:cs="Arial"/>
          <w:b/>
          <w:bCs/>
          <w:sz w:val="22"/>
          <w:szCs w:val="22"/>
        </w:rPr>
      </w:pPr>
      <w:r>
        <w:rPr>
          <w:rFonts w:hint="eastAsia" w:ascii="楷体" w:hAnsi="楷体" w:eastAsia="楷体" w:cs="Arial"/>
          <w:b/>
          <w:bCs/>
          <w:sz w:val="22"/>
          <w:szCs w:val="22"/>
        </w:rPr>
        <w:t>2、五马街道范围内所覆盖的所有道路环境卫生作业标准</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1）作业时间要求：一级道路、主要商业街保洁每日不少于18小时（5：00～23：00）普扫作业每日不少于3次，第一次普扫应在6：00前完成，第二次普扫在11：00前完成，第三次普扫在18：00前完成。二级道路保洁每日不少于18小时（5：00～23：00）普扫作业每日不少于2次，第一次普扫在6：00前完成，第二次普扫在18：00前完成。三、四级道路含社区道路保洁每日不少于16小时（6：00～22：00），早晨普扫时间7:00前完成。</w:t>
      </w:r>
    </w:p>
    <w:p>
      <w:pPr>
        <w:tabs>
          <w:tab w:val="left" w:pos="394"/>
          <w:tab w:val="left" w:pos="720"/>
          <w:tab w:val="left" w:pos="780"/>
        </w:tabs>
        <w:spacing w:line="400" w:lineRule="exact"/>
        <w:rPr>
          <w:rFonts w:hint="eastAsia" w:ascii="楷体" w:hAnsi="楷体" w:eastAsia="楷体" w:cs="Arial"/>
          <w:sz w:val="22"/>
          <w:szCs w:val="22"/>
          <w:u w:val="single"/>
        </w:rPr>
      </w:pPr>
      <w:r>
        <w:rPr>
          <w:rFonts w:hint="eastAsia" w:ascii="楷体" w:hAnsi="楷体" w:eastAsia="楷体" w:cs="Arial"/>
          <w:sz w:val="22"/>
          <w:szCs w:val="22"/>
        </w:rPr>
        <w:t>（2）动态保洁作业标准：一、二级道路路面见本色，达到“七无六净”标准，即无瓜果皮、纸屑、无土石杂草；无积泥（沙）；无痰迹，烟蒂；无污水，无堆积物，无普扫盲点及死角路面干净，绿地、树穴干净，边角侧石干净，窨井盖沟槽净、果壳箱等环卫设施及市政设施净。人行道冲洗按甲方要求冲洗道路。路面废弃物应控制在（果皮、纸屑塑膜、烟蒂、痰迹≤4处/1000㎡；污水和其他一级无，二级污水≤0.5㎡/1000㎡；其他≤2/1000㎡）标准之内,滞留路面时间应不超过20分钟；三、四级道路达到“五无五净”标准，即无果皮纸屑，无土石杂草，无积泥堆积物，无痰迹烟蒂，无污水，路面干净，绿地树穴干净，窨井盖沟槽净、果壳箱等环卫设施及市政设施净。路面废弃物控制在（果皮、纸屑塑膜、烟蒂、痰迹≤8处/1000㎡；污水≤1.5㎡/1000㎡；其他≤7/1000㎡））标准之内,滞留路面时间应不超过30M；大面积落叶季节可适当延长滞留时间。遇节假日等特殊情况，承包人应提供洗扫车等机械保洁机具进行备用，按甲方要求进行保洁，该费用由投标单位在投标报价中综合考虑。</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3）环卫设施维护标准：废物箱（果壳箱、垃圾桶）垃圾坞、垃圾收集车及多功能高压清洗车等保洁车辆必须保持外观整洁，一日一洗；果壳箱应按规定放置，及时加盖、关门；废物箱、垃圾桶等环卫设施无破损，垃圾无外溢；垃圾容器封闭无四害孳生，管理规范，周围定时进行卫生消杀，在可视范围内，苍蝇少于3只。</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4）规范作业标准：道路保洁人员必须穿着反光安全工作服上岗，着装必须整齐，夏季男性保洁员不得袒胸露背；作业时间内不得集聚闲聊或做与工作无关的事情，工期休息不超过15分钟；（其中一级一类道路工休不超过10分钟）清扫作业中不得漏扫、甩扫；交接班不得出现空挡，责任区交界处清扫保洁各过界5米，路边两侧以店面为界；作业时，应按车行线反方向清扫，车辆应停放在适宜地点；不得将垃圾、污水扫到、溅到行人身上；不得将垃圾扫入或倒入窨井、道路绿地、河道等处；不得焚烧垃圾。垃圾运输实行密闭，不得超高运输和吊挂杂物。不得擅自向责任区内单位收取各种费用。</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5）垃圾收集作业标准：一、二级道路沿街实行上门收集垃圾，每日不少于3次，时间根据实际情况，由甲方确定。上门收集时，工作人员着统一工作服，摇铃提示。废物箱（果壳箱、垃圾桶）、垃圾坞等垃圾收集每日不少于3次，管理规范，垃圾无外溢，做到垃圾日产日清。垃圾收集车（含多功能高压清洗车等）沿途无“滴、漏、洒”现象。</w:t>
      </w:r>
    </w:p>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2.1五马街历史文化商业街区清扫保洁卫生作业标准</w:t>
      </w:r>
    </w:p>
    <w:p>
      <w:pPr>
        <w:spacing w:line="400" w:lineRule="exact"/>
        <w:ind w:firstLine="108" w:firstLineChars="49"/>
        <w:rPr>
          <w:rFonts w:ascii="楷体" w:hAnsi="楷体" w:eastAsia="楷体" w:cs="Arial"/>
          <w:b/>
          <w:sz w:val="22"/>
          <w:szCs w:val="22"/>
        </w:rPr>
      </w:pPr>
      <w:r>
        <w:rPr>
          <w:rFonts w:hint="eastAsia" w:ascii="楷体" w:hAnsi="楷体" w:eastAsia="楷体" w:cs="Arial"/>
          <w:b/>
          <w:sz w:val="22"/>
          <w:szCs w:val="22"/>
        </w:rPr>
        <w:t>2.1.1保洁里务标难设照 “席地面坐”总体要求，做到街面无灰尘、无污水、无烟等，无带留垃圾:果先箱，花箱。花兹、消防检、椅子、路牌等公共设施及治街格饰立面保持清洁:果光箱内胆垃授无帽过3/4.花箱内无垃圾:街面无小广售等标准。</w:t>
      </w:r>
    </w:p>
    <w:tbl>
      <w:tblPr>
        <w:tblStyle w:val="26"/>
        <w:tblpPr w:leftFromText="180" w:rightFromText="180" w:vertAnchor="text" w:horzAnchor="page" w:tblpX="1686" w:tblpY="1601"/>
        <w:tblOverlap w:val="never"/>
        <w:tblW w:w="0" w:type="auto"/>
        <w:tblInd w:w="0" w:type="dxa"/>
        <w:tblLayout w:type="fixed"/>
        <w:tblCellMar>
          <w:top w:w="15" w:type="dxa"/>
          <w:left w:w="15" w:type="dxa"/>
          <w:bottom w:w="15" w:type="dxa"/>
          <w:right w:w="15" w:type="dxa"/>
        </w:tblCellMar>
      </w:tblPr>
      <w:tblGrid>
        <w:gridCol w:w="2158"/>
        <w:gridCol w:w="1740"/>
        <w:gridCol w:w="1875"/>
        <w:gridCol w:w="2984"/>
      </w:tblGrid>
      <w:tr>
        <w:tblPrEx>
          <w:tblCellMar>
            <w:top w:w="15" w:type="dxa"/>
            <w:left w:w="15" w:type="dxa"/>
            <w:bottom w:w="15" w:type="dxa"/>
            <w:right w:w="15" w:type="dxa"/>
          </w:tblCellMar>
        </w:tblPrEx>
        <w:trPr>
          <w:wBefore w:w="0" w:type="dxa"/>
          <w:wAfter w:w="0" w:type="dxa"/>
          <w:trHeight w:val="390" w:hRule="atLeast"/>
        </w:trPr>
        <w:tc>
          <w:tcPr>
            <w:tcW w:w="215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岗位</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工作时间</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责任区</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备注</w:t>
            </w:r>
          </w:p>
        </w:tc>
      </w:tr>
      <w:tr>
        <w:tblPrEx>
          <w:tblCellMar>
            <w:top w:w="15" w:type="dxa"/>
            <w:left w:w="15" w:type="dxa"/>
            <w:bottom w:w="15" w:type="dxa"/>
            <w:right w:w="15" w:type="dxa"/>
          </w:tblCellMar>
        </w:tblPrEx>
        <w:trPr>
          <w:wBefore w:w="0" w:type="dxa"/>
          <w:wAfter w:w="0" w:type="dxa"/>
          <w:trHeight w:val="390" w:hRule="atLeast"/>
        </w:trPr>
        <w:tc>
          <w:tcPr>
            <w:tcW w:w="2158" w:type="dxa"/>
            <w:vMerge w:val="restart"/>
            <w:tcBorders>
              <w:top w:val="single" w:color="000000" w:sz="4" w:space="0"/>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冲洗</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五马街西段</w:t>
            </w:r>
          </w:p>
        </w:tc>
        <w:tc>
          <w:tcPr>
            <w:tcW w:w="2984" w:type="dxa"/>
            <w:vMerge w:val="restart"/>
            <w:tcBorders>
              <w:top w:val="single" w:color="000000" w:sz="4" w:space="0"/>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8点前完成冲洗；负责周边巷弄垃圾桶清洗和保洁</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五马街东段</w:t>
            </w:r>
          </w:p>
        </w:tc>
        <w:tc>
          <w:tcPr>
            <w:tcW w:w="2984" w:type="dxa"/>
            <w:vMerge w:val="continue"/>
            <w:tcBorders>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婵街西段</w:t>
            </w:r>
          </w:p>
        </w:tc>
        <w:tc>
          <w:tcPr>
            <w:tcW w:w="2984" w:type="dxa"/>
            <w:vMerge w:val="restart"/>
            <w:tcBorders>
              <w:top w:val="single" w:color="000000" w:sz="4" w:space="0"/>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8点前完成冲洗；负责路面和上门收运垃圾</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婵街东段</w:t>
            </w:r>
          </w:p>
        </w:tc>
        <w:tc>
          <w:tcPr>
            <w:tcW w:w="2984" w:type="dxa"/>
            <w:vMerge w:val="continue"/>
            <w:tcBorders>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r>
      <w:tr>
        <w:tblPrEx>
          <w:tblCellMar>
            <w:top w:w="15" w:type="dxa"/>
            <w:left w:w="15" w:type="dxa"/>
            <w:bottom w:w="15" w:type="dxa"/>
            <w:right w:w="15" w:type="dxa"/>
          </w:tblCellMar>
        </w:tblPrEx>
        <w:trPr>
          <w:wBefore w:w="0" w:type="dxa"/>
          <w:wAfter w:w="0" w:type="dxa"/>
          <w:trHeight w:val="390" w:hRule="atLeast"/>
        </w:trPr>
        <w:tc>
          <w:tcPr>
            <w:tcW w:w="2158" w:type="dxa"/>
            <w:vMerge w:val="restart"/>
            <w:tcBorders>
              <w:top w:val="single" w:color="000000" w:sz="4" w:space="0"/>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垃圾清运</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五马街西段</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负责路面和上门收运垃圾</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五马街东段</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负责路面和上门收运垃圾</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全天</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纱帽河</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包含高公桥</w:t>
            </w:r>
          </w:p>
        </w:tc>
      </w:tr>
      <w:tr>
        <w:tblPrEx>
          <w:tblCellMar>
            <w:top w:w="15" w:type="dxa"/>
            <w:left w:w="15" w:type="dxa"/>
            <w:bottom w:w="15" w:type="dxa"/>
            <w:right w:w="15" w:type="dxa"/>
          </w:tblCellMar>
        </w:tblPrEx>
        <w:trPr>
          <w:wBefore w:w="0" w:type="dxa"/>
          <w:wAfter w:w="0" w:type="dxa"/>
          <w:trHeight w:val="390" w:hRule="atLeast"/>
        </w:trPr>
        <w:tc>
          <w:tcPr>
            <w:tcW w:w="2158" w:type="dxa"/>
            <w:vMerge w:val="restart"/>
            <w:tcBorders>
              <w:top w:val="single" w:color="000000" w:sz="4" w:space="0"/>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路面保洁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05:30-11:00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按责任区</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工作时间：5：30小时</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14:00-17:30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按责任区</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工作时间：3：30小时</w:t>
            </w:r>
          </w:p>
        </w:tc>
      </w:tr>
      <w:tr>
        <w:tblPrEx>
          <w:tblCellMar>
            <w:top w:w="15" w:type="dxa"/>
            <w:left w:w="15" w:type="dxa"/>
            <w:bottom w:w="15" w:type="dxa"/>
            <w:right w:w="15" w:type="dxa"/>
          </w:tblCellMar>
        </w:tblPrEx>
        <w:trPr>
          <w:wBefore w:w="0" w:type="dxa"/>
          <w:wAfter w:w="0" w:type="dxa"/>
          <w:trHeight w:val="55" w:hRule="atLeast"/>
        </w:trPr>
        <w:tc>
          <w:tcPr>
            <w:tcW w:w="2158" w:type="dxa"/>
            <w:vMerge w:val="continue"/>
            <w:tcBorders>
              <w:left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11:00-14:00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按责任区</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工作时间：3小时</w:t>
            </w:r>
          </w:p>
        </w:tc>
      </w:tr>
      <w:tr>
        <w:tblPrEx>
          <w:tblCellMar>
            <w:top w:w="15" w:type="dxa"/>
            <w:left w:w="15" w:type="dxa"/>
            <w:bottom w:w="15" w:type="dxa"/>
            <w:right w:w="15" w:type="dxa"/>
          </w:tblCellMar>
        </w:tblPrEx>
        <w:trPr>
          <w:wBefore w:w="0" w:type="dxa"/>
          <w:wAfter w:w="0" w:type="dxa"/>
          <w:trHeight w:val="390" w:hRule="atLeast"/>
        </w:trPr>
        <w:tc>
          <w:tcPr>
            <w:tcW w:w="2158" w:type="dxa"/>
            <w:vMerge w:val="continue"/>
            <w:tcBorders>
              <w:left w:val="single" w:color="000000" w:sz="4" w:space="0"/>
              <w:bottom w:val="single" w:color="000000" w:sz="4" w:space="0"/>
              <w:right w:val="single" w:color="000000" w:sz="4" w:space="0"/>
            </w:tcBorders>
            <w:noWrap w:val="0"/>
            <w:vAlign w:val="center"/>
          </w:tcPr>
          <w:p>
            <w:pPr>
              <w:spacing w:line="400" w:lineRule="exact"/>
              <w:ind w:firstLine="108" w:firstLineChars="49"/>
              <w:rPr>
                <w:rFonts w:hint="eastAsia" w:ascii="楷体" w:hAnsi="楷体" w:eastAsia="楷体" w:cs="Arial"/>
                <w:b/>
                <w:sz w:val="22"/>
                <w:szCs w:val="22"/>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17:30-23:30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按责任区</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08" w:firstLineChars="49"/>
              <w:textAlignment w:val="center"/>
              <w:rPr>
                <w:rFonts w:hint="eastAsia" w:ascii="楷体" w:hAnsi="楷体" w:eastAsia="楷体" w:cs="Arial"/>
                <w:b/>
                <w:sz w:val="22"/>
                <w:szCs w:val="22"/>
              </w:rPr>
            </w:pPr>
            <w:r>
              <w:rPr>
                <w:rFonts w:hint="eastAsia" w:ascii="楷体" w:hAnsi="楷体" w:eastAsia="楷体" w:cs="Arial"/>
                <w:b/>
                <w:sz w:val="22"/>
                <w:szCs w:val="22"/>
              </w:rPr>
              <w:t>工作时间：6小时</w:t>
            </w:r>
          </w:p>
        </w:tc>
      </w:tr>
    </w:tbl>
    <w:p>
      <w:pPr>
        <w:spacing w:line="400" w:lineRule="exact"/>
        <w:ind w:firstLine="108" w:firstLineChars="49"/>
        <w:rPr>
          <w:rFonts w:hint="eastAsia" w:ascii="楷体" w:hAnsi="楷体" w:eastAsia="楷体" w:cs="Arial"/>
          <w:b/>
          <w:sz w:val="22"/>
          <w:szCs w:val="22"/>
        </w:rPr>
      </w:pPr>
    </w:p>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2.2五马街历史文化商业街区清扫作业时间要求</w:t>
      </w:r>
    </w:p>
    <w:p>
      <w:pPr>
        <w:spacing w:line="400" w:lineRule="exact"/>
        <w:ind w:firstLine="108" w:firstLineChars="49"/>
        <w:rPr>
          <w:rFonts w:hint="eastAsia" w:ascii="楷体" w:hAnsi="楷体" w:eastAsia="楷体" w:cs="Arial"/>
          <w:b/>
          <w:sz w:val="22"/>
          <w:szCs w:val="22"/>
        </w:rPr>
      </w:pPr>
      <w:r>
        <w:rPr>
          <w:rFonts w:hint="eastAsia" w:ascii="楷体" w:hAnsi="楷体" w:eastAsia="楷体" w:cs="Arial"/>
          <w:b/>
          <w:sz w:val="22"/>
          <w:szCs w:val="22"/>
        </w:rPr>
        <w:t>2.2.1</w:t>
      </w:r>
    </w:p>
    <w:p>
      <w:pPr>
        <w:spacing w:line="400" w:lineRule="exact"/>
        <w:ind w:firstLine="108" w:firstLineChars="49"/>
        <w:jc w:val="center"/>
        <w:rPr>
          <w:rFonts w:hint="eastAsia" w:ascii="楷体" w:hAnsi="楷体" w:eastAsia="楷体" w:cs="Arial"/>
          <w:b/>
          <w:sz w:val="22"/>
          <w:szCs w:val="22"/>
        </w:rPr>
      </w:pPr>
      <w:r>
        <w:rPr>
          <w:rFonts w:hint="eastAsia" w:ascii="楷体" w:hAnsi="楷体" w:eastAsia="楷体" w:cs="Arial"/>
          <w:b/>
          <w:sz w:val="22"/>
          <w:szCs w:val="22"/>
        </w:rPr>
        <w:t>《五马街历史文化商业街区清扫作业时间要求》</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3、社区环境卫生作业标准</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（1）道路卫生符合四级道路卫生标准。环卫动态管理做到巡回保洁，道路路面干净、地面无痰迹、道路侧石无积泥、污迹，垃圾收集车干净整洁。</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2）果壳箱、垃圾坞等环卫设施有专人管理。无破损、积逅、垃圾无外溢、周边无垃圾散落和存留垃圾、污水；垃圾容器封闭无四害孳生；环卫基础设施布局合理；农贸、河道等重点部位必须设置垃圾坞；其它区域卫基础设施设置可满足指定区域内垃圾的消纳。垃圾坞（垃圾桶放置点）等环卫设施实行编号管理。</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（3）环境综合整治到位。社区范围内无卫生死角；无垃圾外溢，杂物堆放，乱张贴、乱涂写基本得到控制；绿带、花坛、河道两岸整洁美观。</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（4）环卫工人管理、环卫设施管理、检查评比、道路清扫作业等环境卫生制度健全，报表、台帐资料详实、准确、规范。</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（5）楼道保洁每日清扫2次，早晚各一次，具体应甲方要求而定。</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4、小广告清除作业标准</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（1）标准适用道路、社区地面、墙壁、卷帘门、楼道和公配设施，按照各级道路和各类区域作业时间及甲方要求做好小广告清除覆盖工作。</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2）永久层光面类基底例样有：光面类大理石面（立墙面、台阶、立柱）；釉面（光、亚光）瓷砖（立墙面、台阶）；无漆面铁板面、不锈钢板面（卷闸门、车站台）；塑料板面（广告灯箱、候车厅、商厅）；光面水泥墙面（围墙等）。清除后的基底表面及勾缝处均无任何附着油漆、色彩痕迹及残留物，表面无划痕，不失原有光泽，与周边基底基本一致。</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3）油漆表面类基底例样有：塑铝板面（门面、外墙装饰面、广告招牌）；油漆面（城市家具、油漆面卷闸门、围挡）。清除后的基底表面及勾缝处均无任何附着油漆、色彩痕迹及残留物，表面无划痕，漆面无脱落，不失原有光泽，与周边基底完全一致。</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4）粗糙（毛）面类基底例样有：毛面大理石（墙面）；毛面花岗岩（路基面）；不规则文化石、青石面（墙面）；易渗入光面大理石面及抛光瓷砖面（墙面）；毛面外墙砖面（墙面）；红（黄）毛砖面（墙面、地面）。清除后的基底表面及勾缝处均无任何附着油漆、色彩痕迹及残留物，表面无划痕，不失原有光泽，新旧程度与周边基底顺应。</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（5）涂料面类基底例样主要以各种颜色外墙乳胶为主的墙面。清除后基底表面无任何附着油漆、色彩痕迹及残留物，如采用覆盖物，其膜层厚不得大于0.3mm，且色彩及新旧程度与周边基底一致，色彩偏差伟±2°。</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（6）水刷石面类基底例样有：水刷石墙面；真实漆喷涂墙面。清除后的基底表面及勾缝处均无任何附着油漆、色彩痕迹及残留物，原覆盖物应清除彻底，突出体现保持原色，新旧程度与周边基底一致。</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（7）广告布类基底上小广告清除后的基底无附着油漆及色彩基底画面不被破坏，应保持原状，露白处理时花型应与整体配套、和谐。</w:t>
      </w:r>
    </w:p>
    <w:p>
      <w:pPr>
        <w:spacing w:line="400" w:lineRule="exact"/>
        <w:ind w:firstLine="107" w:firstLineChars="49"/>
        <w:rPr>
          <w:rFonts w:hint="eastAsia" w:ascii="楷体" w:hAnsi="楷体" w:eastAsia="楷体" w:cs="Arial"/>
          <w:sz w:val="22"/>
          <w:szCs w:val="22"/>
        </w:rPr>
      </w:pPr>
      <w:r>
        <w:rPr>
          <w:rFonts w:hint="eastAsia" w:ascii="楷体" w:hAnsi="楷体" w:eastAsia="楷体" w:cs="Arial"/>
          <w:sz w:val="22"/>
          <w:szCs w:val="22"/>
        </w:rPr>
        <w:t>（8）社区住宅内，小广告清理到二楼，具体应甲方要求而定。</w:t>
      </w:r>
    </w:p>
    <w:p>
      <w:pPr>
        <w:pStyle w:val="22"/>
        <w:widowControl w:val="0"/>
        <w:spacing w:before="0" w:beforeAutospacing="0" w:after="0" w:afterAutospacing="0" w:line="400" w:lineRule="exact"/>
        <w:ind w:left="316" w:hanging="316" w:hangingChars="143"/>
        <w:jc w:val="both"/>
        <w:rPr>
          <w:rFonts w:hint="eastAsia" w:ascii="楷体" w:hAnsi="楷体" w:eastAsia="楷体" w:cs="Arial"/>
          <w:b/>
          <w:sz w:val="22"/>
          <w:szCs w:val="22"/>
        </w:rPr>
      </w:pPr>
      <w:r>
        <w:rPr>
          <w:rFonts w:hint="eastAsia" w:ascii="楷体" w:hAnsi="楷体" w:eastAsia="楷体" w:cs="Arial"/>
          <w:b/>
          <w:kern w:val="2"/>
          <w:sz w:val="22"/>
          <w:szCs w:val="22"/>
          <w:lang w:bidi="ar"/>
        </w:rPr>
        <w:t>四、现场条件</w:t>
      </w:r>
    </w:p>
    <w:p>
      <w:pPr>
        <w:spacing w:line="400" w:lineRule="exact"/>
        <w:ind w:left="315" w:hanging="314" w:hangingChars="143"/>
        <w:rPr>
          <w:rFonts w:hint="eastAsia" w:ascii="楷体" w:hAnsi="楷体" w:eastAsia="楷体" w:cs="Arial"/>
          <w:sz w:val="22"/>
          <w:szCs w:val="22"/>
        </w:rPr>
      </w:pPr>
      <w:r>
        <w:rPr>
          <w:rFonts w:hint="eastAsia" w:ascii="楷体" w:hAnsi="楷体" w:eastAsia="楷体" w:cs="Arial"/>
          <w:sz w:val="22"/>
          <w:szCs w:val="22"/>
          <w:lang w:bidi="ar"/>
        </w:rPr>
        <w:t>1、此次招标所涉及的人员住房和作业工具均由承包单位自行负责解决，如承包单位存在困难可与发包方进行协商租赁。</w:t>
      </w:r>
    </w:p>
    <w:p>
      <w:pPr>
        <w:spacing w:line="400" w:lineRule="exact"/>
        <w:ind w:left="315" w:hanging="314" w:hangingChars="143"/>
        <w:rPr>
          <w:rFonts w:hint="eastAsia" w:ascii="楷体" w:hAnsi="楷体" w:eastAsia="楷体" w:cs="Arial"/>
          <w:sz w:val="22"/>
          <w:szCs w:val="22"/>
        </w:rPr>
      </w:pPr>
      <w:r>
        <w:rPr>
          <w:rFonts w:hint="eastAsia" w:ascii="楷体" w:hAnsi="楷体" w:eastAsia="楷体" w:cs="Arial"/>
          <w:sz w:val="22"/>
          <w:szCs w:val="22"/>
          <w:lang w:bidi="ar"/>
        </w:rPr>
        <w:t>2、作业工具的临时停放由承包单位负责。</w:t>
      </w:r>
    </w:p>
    <w:p>
      <w:pPr>
        <w:spacing w:line="400" w:lineRule="exact"/>
        <w:ind w:left="315" w:hanging="314" w:hangingChars="143"/>
        <w:rPr>
          <w:rFonts w:hint="eastAsia" w:ascii="楷体" w:hAnsi="楷体" w:eastAsia="楷体" w:cs="Arial"/>
          <w:sz w:val="22"/>
          <w:szCs w:val="22"/>
        </w:rPr>
      </w:pPr>
      <w:r>
        <w:rPr>
          <w:rFonts w:hint="eastAsia" w:ascii="楷体" w:hAnsi="楷体" w:eastAsia="楷体" w:cs="Arial"/>
          <w:sz w:val="22"/>
          <w:szCs w:val="22"/>
          <w:lang w:bidi="ar"/>
        </w:rPr>
        <w:t>3、道路冲洗的水费由承包单位自行负责。</w:t>
      </w:r>
    </w:p>
    <w:p>
      <w:pPr>
        <w:spacing w:line="400" w:lineRule="exact"/>
        <w:ind w:left="425" w:hanging="424" w:hangingChars="193"/>
        <w:rPr>
          <w:rFonts w:hint="eastAsia" w:ascii="楷体" w:hAnsi="楷体" w:eastAsia="楷体" w:cs="Arial"/>
          <w:sz w:val="22"/>
          <w:szCs w:val="22"/>
        </w:rPr>
      </w:pPr>
      <w:r>
        <w:rPr>
          <w:rFonts w:hint="eastAsia" w:ascii="楷体" w:hAnsi="楷体" w:eastAsia="楷体" w:cs="Arial"/>
          <w:sz w:val="22"/>
          <w:szCs w:val="22"/>
          <w:lang w:bidi="ar"/>
        </w:rPr>
        <w:t>4、投标人应承诺中标后在承包区域内设办公管理场所，并于中标后向采购单位提供场所租赁证明。</w:t>
      </w:r>
    </w:p>
    <w:p>
      <w:pPr>
        <w:spacing w:line="400" w:lineRule="exact"/>
        <w:ind w:left="426" w:hanging="426" w:hangingChars="193"/>
        <w:rPr>
          <w:rFonts w:hint="eastAsia" w:ascii="楷体" w:hAnsi="楷体" w:eastAsia="楷体" w:cs="Arial"/>
          <w:b/>
          <w:sz w:val="22"/>
          <w:szCs w:val="22"/>
        </w:rPr>
      </w:pPr>
      <w:r>
        <w:rPr>
          <w:rFonts w:hint="eastAsia" w:ascii="楷体" w:hAnsi="楷体" w:eastAsia="楷体" w:cs="Arial"/>
          <w:b/>
          <w:sz w:val="22"/>
          <w:szCs w:val="22"/>
        </w:rPr>
        <w:t>五</w:t>
      </w:r>
      <w:r>
        <w:rPr>
          <w:rFonts w:ascii="楷体" w:hAnsi="楷体" w:eastAsia="楷体" w:cs="Arial"/>
          <w:b/>
          <w:sz w:val="22"/>
          <w:szCs w:val="22"/>
        </w:rPr>
        <w:t>、</w:t>
      </w:r>
      <w:r>
        <w:rPr>
          <w:rFonts w:hint="eastAsia" w:ascii="楷体" w:hAnsi="楷体" w:eastAsia="楷体" w:cs="Arial"/>
          <w:b/>
          <w:sz w:val="22"/>
          <w:szCs w:val="22"/>
        </w:rPr>
        <w:t>拟投入清扫</w:t>
      </w:r>
      <w:r>
        <w:rPr>
          <w:rFonts w:ascii="楷体" w:hAnsi="楷体" w:eastAsia="楷体" w:cs="Arial"/>
          <w:b/>
          <w:sz w:val="22"/>
          <w:szCs w:val="22"/>
        </w:rPr>
        <w:t>保洁作业</w:t>
      </w:r>
      <w:r>
        <w:rPr>
          <w:rFonts w:hint="eastAsia" w:ascii="楷体" w:hAnsi="楷体" w:eastAsia="楷体" w:cs="Arial"/>
          <w:b/>
          <w:sz w:val="22"/>
          <w:szCs w:val="22"/>
        </w:rPr>
        <w:t>车辆</w:t>
      </w:r>
    </w:p>
    <w:tbl>
      <w:tblPr>
        <w:tblStyle w:val="26"/>
        <w:tblW w:w="9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81"/>
        <w:gridCol w:w="4478"/>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 w:hRule="atLeast"/>
        </w:trPr>
        <w:tc>
          <w:tcPr>
            <w:tcW w:w="827" w:type="dxa"/>
            <w:noWrap w:val="0"/>
            <w:vAlign w:val="center"/>
          </w:tcPr>
          <w:p>
            <w:pPr>
              <w:spacing w:line="400" w:lineRule="exact"/>
              <w:jc w:val="center"/>
              <w:rPr>
                <w:rFonts w:hint="eastAsia" w:ascii="楷体" w:hAnsi="楷体" w:eastAsia="楷体" w:cs="Arial"/>
                <w:b/>
                <w:sz w:val="22"/>
                <w:szCs w:val="22"/>
              </w:rPr>
            </w:pPr>
            <w:r>
              <w:rPr>
                <w:rFonts w:hint="eastAsia" w:ascii="楷体" w:hAnsi="楷体" w:eastAsia="楷体" w:cs="Arial"/>
                <w:b/>
                <w:sz w:val="22"/>
                <w:szCs w:val="22"/>
              </w:rPr>
              <w:t>序号</w:t>
            </w:r>
          </w:p>
        </w:tc>
        <w:tc>
          <w:tcPr>
            <w:tcW w:w="1981" w:type="dxa"/>
            <w:noWrap w:val="0"/>
            <w:vAlign w:val="center"/>
          </w:tcPr>
          <w:p>
            <w:pPr>
              <w:spacing w:line="400" w:lineRule="exact"/>
              <w:jc w:val="center"/>
              <w:rPr>
                <w:rFonts w:hint="eastAsia" w:ascii="楷体" w:hAnsi="楷体" w:eastAsia="楷体" w:cs="Arial"/>
                <w:b/>
                <w:sz w:val="22"/>
                <w:szCs w:val="22"/>
              </w:rPr>
            </w:pPr>
            <w:r>
              <w:rPr>
                <w:rFonts w:hint="eastAsia" w:ascii="楷体" w:hAnsi="楷体" w:eastAsia="楷体" w:cs="Arial"/>
                <w:b/>
                <w:sz w:val="22"/>
                <w:szCs w:val="22"/>
              </w:rPr>
              <w:t>车辆名称</w:t>
            </w:r>
          </w:p>
        </w:tc>
        <w:tc>
          <w:tcPr>
            <w:tcW w:w="4478" w:type="dxa"/>
            <w:noWrap w:val="0"/>
            <w:vAlign w:val="center"/>
          </w:tcPr>
          <w:p>
            <w:pPr>
              <w:spacing w:line="400" w:lineRule="exact"/>
              <w:jc w:val="center"/>
              <w:rPr>
                <w:rFonts w:hint="eastAsia" w:ascii="楷体" w:hAnsi="楷体" w:eastAsia="楷体" w:cs="Arial"/>
                <w:b/>
                <w:sz w:val="22"/>
                <w:szCs w:val="22"/>
              </w:rPr>
            </w:pPr>
            <w:r>
              <w:rPr>
                <w:rFonts w:hint="eastAsia" w:ascii="楷体" w:hAnsi="楷体" w:eastAsia="楷体" w:cs="Arial"/>
                <w:b/>
                <w:sz w:val="22"/>
                <w:szCs w:val="22"/>
              </w:rPr>
              <w:t>功能及用途</w:t>
            </w:r>
          </w:p>
        </w:tc>
        <w:tc>
          <w:tcPr>
            <w:tcW w:w="2561" w:type="dxa"/>
            <w:noWrap w:val="0"/>
            <w:vAlign w:val="center"/>
          </w:tcPr>
          <w:p>
            <w:pPr>
              <w:spacing w:line="400" w:lineRule="exact"/>
              <w:jc w:val="center"/>
              <w:rPr>
                <w:rFonts w:hint="eastAsia" w:ascii="楷体" w:hAnsi="楷体" w:eastAsia="楷体" w:cs="Arial"/>
                <w:b/>
                <w:sz w:val="22"/>
                <w:szCs w:val="22"/>
              </w:rPr>
            </w:pPr>
            <w:r>
              <w:rPr>
                <w:rFonts w:hint="eastAsia" w:ascii="楷体" w:hAnsi="楷体" w:eastAsia="楷体" w:cs="Arial"/>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 w:hRule="atLeast"/>
        </w:trPr>
        <w:tc>
          <w:tcPr>
            <w:tcW w:w="827" w:type="dxa"/>
            <w:noWrap w:val="0"/>
            <w:vAlign w:val="center"/>
          </w:tcPr>
          <w:p>
            <w:pPr>
              <w:spacing w:line="320" w:lineRule="exact"/>
              <w:jc w:val="center"/>
              <w:rPr>
                <w:rFonts w:hint="eastAsia" w:ascii="楷体" w:hAnsi="楷体" w:eastAsia="楷体" w:cs="Arial"/>
                <w:sz w:val="22"/>
                <w:szCs w:val="22"/>
              </w:rPr>
            </w:pPr>
            <w:r>
              <w:rPr>
                <w:rFonts w:hint="eastAsia" w:ascii="楷体" w:hAnsi="楷体" w:eastAsia="楷体" w:cs="Arial"/>
                <w:sz w:val="22"/>
                <w:szCs w:val="22"/>
              </w:rPr>
              <w:t>1</w:t>
            </w:r>
          </w:p>
        </w:tc>
        <w:tc>
          <w:tcPr>
            <w:tcW w:w="1981" w:type="dxa"/>
            <w:noWrap w:val="0"/>
            <w:vAlign w:val="center"/>
          </w:tcPr>
          <w:p>
            <w:pPr>
              <w:tabs>
                <w:tab w:val="left" w:pos="930"/>
              </w:tabs>
              <w:spacing w:line="320" w:lineRule="exact"/>
              <w:rPr>
                <w:rFonts w:hint="eastAsia" w:ascii="楷体" w:hAnsi="楷体" w:eastAsia="楷体" w:cs="Arial"/>
                <w:sz w:val="22"/>
                <w:szCs w:val="22"/>
              </w:rPr>
            </w:pPr>
            <w:r>
              <w:rPr>
                <w:rFonts w:hint="eastAsia" w:ascii="楷体" w:hAnsi="楷体" w:eastAsia="楷体" w:cs="Arial"/>
                <w:sz w:val="22"/>
                <w:szCs w:val="22"/>
              </w:rPr>
              <w:t>小型快速保洁车</w:t>
            </w:r>
          </w:p>
        </w:tc>
        <w:tc>
          <w:tcPr>
            <w:tcW w:w="4478" w:type="dxa"/>
            <w:noWrap w:val="0"/>
            <w:vAlign w:val="center"/>
          </w:tcPr>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（1）最大载重（kg)≥250；</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（2）容积≥0.6立方 ；</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（3）前刹车或后刹车或前后双刹车设计，安全可靠；</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（4）工具箱可放各种清扫保洁工具；</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（5）整车体积小，适于在中心城区、小区、广场、小巷、人行道等路段垃圾收集和巡回保洁使用；</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（6）外形美观；</w:t>
            </w:r>
          </w:p>
          <w:p>
            <w:pPr>
              <w:spacing w:line="320" w:lineRule="exact"/>
              <w:ind w:left="315" w:hanging="314" w:hangingChars="143"/>
              <w:rPr>
                <w:rFonts w:hint="eastAsia" w:ascii="楷体" w:hAnsi="楷体" w:eastAsia="楷体" w:cs="Arial"/>
                <w:sz w:val="22"/>
                <w:szCs w:val="22"/>
              </w:rPr>
            </w:pPr>
            <w:r>
              <w:rPr>
                <w:rFonts w:hint="eastAsia" w:ascii="楷体" w:hAnsi="楷体" w:eastAsia="楷体" w:cs="Arial"/>
                <w:sz w:val="22"/>
                <w:szCs w:val="22"/>
              </w:rPr>
              <w:t>（7）杜绝垃圾二次污染；</w:t>
            </w:r>
          </w:p>
        </w:tc>
        <w:tc>
          <w:tcPr>
            <w:tcW w:w="2561" w:type="dxa"/>
            <w:noWrap w:val="0"/>
            <w:vAlign w:val="center"/>
          </w:tcPr>
          <w:p>
            <w:pPr>
              <w:spacing w:line="320" w:lineRule="exact"/>
              <w:rPr>
                <w:rFonts w:hint="eastAsia" w:ascii="楷体" w:hAnsi="楷体" w:eastAsia="楷体" w:cs="Arial"/>
                <w:sz w:val="22"/>
                <w:szCs w:val="22"/>
              </w:rPr>
            </w:pPr>
            <w:r>
              <w:rPr>
                <w:rFonts w:hint="eastAsia" w:ascii="楷体" w:hAnsi="楷体" w:eastAsia="楷体" w:cs="Arial"/>
                <w:sz w:val="22"/>
                <w:szCs w:val="22"/>
              </w:rPr>
              <w:t>根据实际情况，自行配置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5" w:hRule="atLeast"/>
        </w:trPr>
        <w:tc>
          <w:tcPr>
            <w:tcW w:w="827" w:type="dxa"/>
            <w:noWrap w:val="0"/>
            <w:vAlign w:val="center"/>
          </w:tcPr>
          <w:p>
            <w:pPr>
              <w:spacing w:line="320" w:lineRule="exact"/>
              <w:jc w:val="center"/>
              <w:rPr>
                <w:rFonts w:hint="eastAsia" w:ascii="楷体" w:hAnsi="楷体" w:eastAsia="楷体" w:cs="Arial"/>
                <w:sz w:val="22"/>
                <w:szCs w:val="22"/>
              </w:rPr>
            </w:pPr>
            <w:r>
              <w:rPr>
                <w:rFonts w:hint="eastAsia" w:ascii="楷体" w:hAnsi="楷体" w:eastAsia="楷体" w:cs="Arial"/>
                <w:sz w:val="22"/>
                <w:szCs w:val="22"/>
              </w:rPr>
              <w:t>2</w:t>
            </w:r>
          </w:p>
        </w:tc>
        <w:tc>
          <w:tcPr>
            <w:tcW w:w="1981" w:type="dxa"/>
            <w:noWrap w:val="0"/>
            <w:vAlign w:val="center"/>
          </w:tcPr>
          <w:p>
            <w:pPr>
              <w:tabs>
                <w:tab w:val="left" w:pos="930"/>
              </w:tabs>
              <w:spacing w:line="320" w:lineRule="exact"/>
              <w:rPr>
                <w:rFonts w:hint="eastAsia" w:ascii="楷体" w:hAnsi="楷体" w:eastAsia="楷体" w:cs="Arial"/>
                <w:sz w:val="22"/>
                <w:szCs w:val="22"/>
              </w:rPr>
            </w:pPr>
            <w:r>
              <w:rPr>
                <w:rFonts w:hint="eastAsia" w:ascii="楷体" w:hAnsi="楷体" w:eastAsia="楷体" w:cs="Arial"/>
                <w:sz w:val="22"/>
                <w:szCs w:val="22"/>
              </w:rPr>
              <w:t>多功能高压清洗车</w:t>
            </w:r>
          </w:p>
        </w:tc>
        <w:tc>
          <w:tcPr>
            <w:tcW w:w="4478" w:type="dxa"/>
            <w:noWrap w:val="0"/>
            <w:vAlign w:val="center"/>
          </w:tcPr>
          <w:p>
            <w:pPr>
              <w:spacing w:line="320" w:lineRule="exact"/>
              <w:rPr>
                <w:rFonts w:hint="eastAsia" w:ascii="楷体" w:hAnsi="楷体" w:eastAsia="楷体" w:cs="Arial"/>
                <w:sz w:val="22"/>
                <w:szCs w:val="22"/>
              </w:rPr>
            </w:pPr>
            <w:r>
              <w:rPr>
                <w:rFonts w:hint="eastAsia" w:ascii="楷体" w:hAnsi="楷体" w:eastAsia="楷体" w:cs="Arial"/>
                <w:sz w:val="22"/>
                <w:szCs w:val="22"/>
              </w:rPr>
              <w:t>（1）高压软管长度≥15Lm；</w:t>
            </w:r>
          </w:p>
          <w:p>
            <w:pPr>
              <w:spacing w:line="320" w:lineRule="exact"/>
              <w:rPr>
                <w:rFonts w:hint="eastAsia" w:ascii="楷体" w:hAnsi="楷体" w:eastAsia="楷体" w:cs="Arial"/>
                <w:sz w:val="22"/>
                <w:szCs w:val="22"/>
              </w:rPr>
            </w:pPr>
            <w:r>
              <w:rPr>
                <w:rFonts w:hint="eastAsia" w:ascii="楷体" w:hAnsi="楷体" w:eastAsia="楷体" w:cs="Arial"/>
                <w:sz w:val="22"/>
                <w:szCs w:val="22"/>
              </w:rPr>
              <w:t>（2）可调节工作压力bar 50-150；</w:t>
            </w:r>
          </w:p>
          <w:p>
            <w:pPr>
              <w:spacing w:line="320" w:lineRule="exact"/>
              <w:rPr>
                <w:rFonts w:hint="eastAsia" w:ascii="楷体" w:hAnsi="楷体" w:eastAsia="楷体" w:cs="Arial"/>
                <w:sz w:val="22"/>
                <w:szCs w:val="22"/>
              </w:rPr>
            </w:pPr>
            <w:r>
              <w:rPr>
                <w:rFonts w:hint="eastAsia" w:ascii="楷体" w:hAnsi="楷体" w:eastAsia="楷体" w:cs="Arial"/>
                <w:sz w:val="22"/>
                <w:szCs w:val="22"/>
              </w:rPr>
              <w:t>（3）水箱容量≥1000L；</w:t>
            </w:r>
          </w:p>
        </w:tc>
        <w:tc>
          <w:tcPr>
            <w:tcW w:w="2561" w:type="dxa"/>
            <w:noWrap w:val="0"/>
            <w:vAlign w:val="center"/>
          </w:tcPr>
          <w:p>
            <w:pPr>
              <w:tabs>
                <w:tab w:val="left" w:pos="540"/>
              </w:tabs>
              <w:spacing w:line="320" w:lineRule="exact"/>
              <w:rPr>
                <w:rFonts w:hint="eastAsia" w:ascii="楷体" w:hAnsi="楷体" w:eastAsia="楷体" w:cs="Arial"/>
                <w:sz w:val="22"/>
                <w:szCs w:val="22"/>
              </w:rPr>
            </w:pPr>
            <w:r>
              <w:rPr>
                <w:rFonts w:hint="eastAsia" w:ascii="楷体" w:hAnsi="楷体" w:eastAsia="楷体" w:cs="Arial"/>
                <w:sz w:val="22"/>
                <w:szCs w:val="22"/>
              </w:rPr>
              <w:t>至少配置5辆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5" w:hRule="atLeast"/>
        </w:trPr>
        <w:tc>
          <w:tcPr>
            <w:tcW w:w="827" w:type="dxa"/>
            <w:noWrap w:val="0"/>
            <w:vAlign w:val="center"/>
          </w:tcPr>
          <w:p>
            <w:pPr>
              <w:spacing w:line="320" w:lineRule="exact"/>
              <w:jc w:val="center"/>
              <w:rPr>
                <w:rFonts w:hint="eastAsia" w:ascii="楷体" w:hAnsi="楷体" w:eastAsia="楷体" w:cs="Arial"/>
                <w:sz w:val="22"/>
                <w:szCs w:val="22"/>
              </w:rPr>
            </w:pPr>
            <w:r>
              <w:rPr>
                <w:rFonts w:hint="eastAsia" w:ascii="楷体" w:hAnsi="楷体" w:eastAsia="楷体" w:cs="Arial"/>
                <w:sz w:val="22"/>
                <w:szCs w:val="22"/>
              </w:rPr>
              <w:t>3</w:t>
            </w:r>
          </w:p>
        </w:tc>
        <w:tc>
          <w:tcPr>
            <w:tcW w:w="1981" w:type="dxa"/>
            <w:noWrap w:val="0"/>
            <w:vAlign w:val="center"/>
          </w:tcPr>
          <w:p>
            <w:pPr>
              <w:tabs>
                <w:tab w:val="left" w:pos="930"/>
              </w:tabs>
              <w:spacing w:line="320" w:lineRule="exact"/>
              <w:rPr>
                <w:rFonts w:hint="eastAsia" w:ascii="楷体" w:hAnsi="楷体" w:eastAsia="楷体" w:cs="Arial"/>
                <w:sz w:val="22"/>
                <w:szCs w:val="22"/>
              </w:rPr>
            </w:pPr>
            <w:r>
              <w:rPr>
                <w:rFonts w:hint="eastAsia" w:ascii="楷体" w:hAnsi="楷体" w:eastAsia="楷体" w:cs="Arial"/>
                <w:sz w:val="22"/>
                <w:szCs w:val="22"/>
              </w:rPr>
              <w:t>保洁作业手推车</w:t>
            </w:r>
          </w:p>
        </w:tc>
        <w:tc>
          <w:tcPr>
            <w:tcW w:w="4478" w:type="dxa"/>
            <w:noWrap w:val="0"/>
            <w:vAlign w:val="center"/>
          </w:tcPr>
          <w:p>
            <w:pPr>
              <w:spacing w:line="320" w:lineRule="exact"/>
              <w:ind w:left="440" w:hanging="440" w:hangingChars="200"/>
              <w:rPr>
                <w:rFonts w:hint="eastAsia" w:ascii="楷体" w:hAnsi="楷体" w:eastAsia="楷体" w:cs="Arial"/>
                <w:sz w:val="22"/>
                <w:szCs w:val="22"/>
              </w:rPr>
            </w:pPr>
            <w:r>
              <w:rPr>
                <w:rFonts w:hint="eastAsia" w:ascii="楷体" w:hAnsi="楷体" w:eastAsia="楷体" w:cs="Arial"/>
                <w:sz w:val="22"/>
                <w:szCs w:val="22"/>
              </w:rPr>
              <w:t>宾馆式保洁作业工具推车（(包含榨</w:t>
            </w:r>
          </w:p>
          <w:p>
            <w:pPr>
              <w:spacing w:line="320" w:lineRule="exact"/>
              <w:rPr>
                <w:rFonts w:hint="eastAsia" w:ascii="楷体" w:hAnsi="楷体" w:eastAsia="楷体" w:cs="Arial"/>
                <w:sz w:val="22"/>
                <w:szCs w:val="22"/>
              </w:rPr>
            </w:pPr>
            <w:r>
              <w:rPr>
                <w:rFonts w:hint="eastAsia" w:ascii="楷体" w:hAnsi="楷体" w:eastAsia="楷体" w:cs="Arial"/>
                <w:sz w:val="22"/>
                <w:szCs w:val="22"/>
              </w:rPr>
              <w:t>水车(栖)、封拖、安全台示牌、工具蓝、喷壶、抹布等作业工具)）</w:t>
            </w:r>
          </w:p>
        </w:tc>
        <w:tc>
          <w:tcPr>
            <w:tcW w:w="2561" w:type="dxa"/>
            <w:noWrap w:val="0"/>
            <w:vAlign w:val="center"/>
          </w:tcPr>
          <w:p>
            <w:pPr>
              <w:tabs>
                <w:tab w:val="left" w:pos="540"/>
              </w:tabs>
              <w:spacing w:line="320" w:lineRule="exact"/>
              <w:rPr>
                <w:rFonts w:hint="eastAsia" w:ascii="楷体" w:hAnsi="楷体" w:eastAsia="楷体" w:cs="Arial"/>
                <w:sz w:val="22"/>
                <w:szCs w:val="22"/>
              </w:rPr>
            </w:pPr>
            <w:r>
              <w:rPr>
                <w:rFonts w:hint="eastAsia" w:ascii="楷体" w:hAnsi="楷体" w:eastAsia="楷体" w:cs="Arial"/>
                <w:sz w:val="22"/>
                <w:szCs w:val="22"/>
              </w:rPr>
              <w:t>至少配置15辆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5" w:hRule="atLeast"/>
        </w:trPr>
        <w:tc>
          <w:tcPr>
            <w:tcW w:w="827" w:type="dxa"/>
            <w:noWrap w:val="0"/>
            <w:vAlign w:val="center"/>
          </w:tcPr>
          <w:p>
            <w:pPr>
              <w:spacing w:line="320" w:lineRule="exact"/>
              <w:jc w:val="center"/>
              <w:rPr>
                <w:rFonts w:hint="eastAsia" w:ascii="楷体" w:hAnsi="楷体" w:eastAsia="楷体" w:cs="Arial"/>
                <w:sz w:val="22"/>
                <w:szCs w:val="22"/>
              </w:rPr>
            </w:pPr>
            <w:r>
              <w:rPr>
                <w:rFonts w:hint="eastAsia" w:ascii="楷体" w:hAnsi="楷体" w:eastAsia="楷体" w:cs="Arial"/>
                <w:sz w:val="22"/>
                <w:szCs w:val="22"/>
              </w:rPr>
              <w:t>4</w:t>
            </w:r>
          </w:p>
        </w:tc>
        <w:tc>
          <w:tcPr>
            <w:tcW w:w="1981" w:type="dxa"/>
            <w:noWrap w:val="0"/>
            <w:vAlign w:val="center"/>
          </w:tcPr>
          <w:p>
            <w:pPr>
              <w:tabs>
                <w:tab w:val="left" w:pos="930"/>
              </w:tabs>
              <w:spacing w:line="320" w:lineRule="exact"/>
              <w:rPr>
                <w:rFonts w:hint="eastAsia" w:ascii="楷体" w:hAnsi="楷体" w:eastAsia="楷体" w:cs="Arial"/>
                <w:sz w:val="22"/>
                <w:szCs w:val="22"/>
              </w:rPr>
            </w:pPr>
            <w:r>
              <w:rPr>
                <w:rFonts w:hint="eastAsia" w:ascii="楷体" w:hAnsi="楷体" w:eastAsia="楷体" w:cs="Arial"/>
                <w:sz w:val="22"/>
                <w:szCs w:val="22"/>
              </w:rPr>
              <w:t>垃圾运输车</w:t>
            </w:r>
          </w:p>
        </w:tc>
        <w:tc>
          <w:tcPr>
            <w:tcW w:w="4478" w:type="dxa"/>
            <w:noWrap w:val="0"/>
            <w:vAlign w:val="center"/>
          </w:tcPr>
          <w:p>
            <w:pPr>
              <w:spacing w:line="320" w:lineRule="exact"/>
              <w:rPr>
                <w:rFonts w:hint="eastAsia" w:ascii="楷体" w:hAnsi="楷体" w:eastAsia="楷体" w:cs="Arial"/>
                <w:sz w:val="22"/>
                <w:szCs w:val="22"/>
              </w:rPr>
            </w:pPr>
            <w:r>
              <w:rPr>
                <w:rFonts w:hint="eastAsia" w:ascii="楷体" w:hAnsi="楷体" w:eastAsia="楷体" w:cs="Arial"/>
                <w:sz w:val="22"/>
                <w:szCs w:val="22"/>
              </w:rPr>
              <w:t>新型环保密封式垃圾运输车</w:t>
            </w:r>
          </w:p>
        </w:tc>
        <w:tc>
          <w:tcPr>
            <w:tcW w:w="2561" w:type="dxa"/>
            <w:noWrap w:val="0"/>
            <w:vAlign w:val="center"/>
          </w:tcPr>
          <w:p>
            <w:pPr>
              <w:tabs>
                <w:tab w:val="left" w:pos="540"/>
              </w:tabs>
              <w:spacing w:line="320" w:lineRule="exact"/>
              <w:rPr>
                <w:rFonts w:hint="eastAsia" w:ascii="楷体" w:hAnsi="楷体" w:eastAsia="楷体" w:cs="Arial"/>
                <w:sz w:val="22"/>
                <w:szCs w:val="22"/>
              </w:rPr>
            </w:pPr>
            <w:r>
              <w:rPr>
                <w:rFonts w:hint="eastAsia" w:ascii="楷体" w:hAnsi="楷体" w:eastAsia="楷体" w:cs="Arial"/>
                <w:sz w:val="22"/>
                <w:szCs w:val="22"/>
              </w:rPr>
              <w:t>至少配置8辆</w:t>
            </w:r>
          </w:p>
        </w:tc>
      </w:tr>
    </w:tbl>
    <w:p>
      <w:pPr>
        <w:tabs>
          <w:tab w:val="left" w:pos="540"/>
        </w:tabs>
        <w:spacing w:line="360" w:lineRule="exact"/>
        <w:rPr>
          <w:rFonts w:hint="eastAsia" w:ascii="楷体" w:hAnsi="楷体" w:eastAsia="楷体"/>
          <w:b/>
          <w:bCs/>
          <w:sz w:val="22"/>
          <w:szCs w:val="22"/>
        </w:rPr>
      </w:pPr>
      <w:r>
        <w:rPr>
          <w:rFonts w:hint="eastAsia" w:ascii="楷体" w:hAnsi="楷体" w:eastAsia="楷体"/>
          <w:b/>
          <w:bCs/>
          <w:sz w:val="22"/>
          <w:szCs w:val="22"/>
        </w:rPr>
        <w:t>4、中标人须有2辆全新的电动车（四座或以上）配合招标人进行项目保洁情况的核查。</w:t>
      </w:r>
    </w:p>
    <w:p>
      <w:pPr>
        <w:spacing w:line="400" w:lineRule="exact"/>
        <w:ind w:left="426" w:hanging="426" w:hangingChars="193"/>
        <w:rPr>
          <w:rFonts w:hint="eastAsia" w:ascii="楷体" w:hAnsi="楷体" w:eastAsia="楷体" w:cs="Arial"/>
          <w:b/>
          <w:sz w:val="22"/>
          <w:szCs w:val="22"/>
        </w:rPr>
      </w:pPr>
      <w:r>
        <w:rPr>
          <w:rFonts w:hint="eastAsia" w:ascii="楷体" w:hAnsi="楷体" w:eastAsia="楷体" w:cs="Arial"/>
          <w:b/>
          <w:sz w:val="22"/>
          <w:szCs w:val="22"/>
        </w:rPr>
        <w:t>六、</w:t>
      </w:r>
      <w:r>
        <w:rPr>
          <w:rFonts w:ascii="楷体" w:hAnsi="楷体" w:eastAsia="楷体" w:cs="Arial"/>
          <w:b/>
          <w:sz w:val="22"/>
          <w:szCs w:val="22"/>
        </w:rPr>
        <w:t>其他说明</w:t>
      </w:r>
      <w:r>
        <w:rPr>
          <w:rFonts w:hint="eastAsia" w:ascii="楷体" w:hAnsi="楷体" w:eastAsia="楷体" w:cs="Arial"/>
          <w:b/>
          <w:sz w:val="22"/>
          <w:szCs w:val="22"/>
        </w:rPr>
        <w:t>（以下各点均为本次招标实质性要求）</w:t>
      </w:r>
    </w:p>
    <w:p>
      <w:pPr>
        <w:numPr>
          <w:ilvl w:val="0"/>
          <w:numId w:val="28"/>
        </w:numPr>
        <w:spacing w:line="400" w:lineRule="exact"/>
        <w:rPr>
          <w:rFonts w:ascii="楷体" w:hAnsi="楷体" w:eastAsia="楷体" w:cs="Arial"/>
          <w:sz w:val="22"/>
          <w:szCs w:val="22"/>
        </w:rPr>
      </w:pPr>
      <w:r>
        <w:rPr>
          <w:rFonts w:hint="eastAsia" w:ascii="楷体" w:hAnsi="楷体" w:eastAsia="楷体"/>
          <w:b/>
          <w:bCs/>
          <w:szCs w:val="21"/>
        </w:rPr>
        <w:t>▲</w:t>
      </w:r>
      <w:r>
        <w:rPr>
          <w:rFonts w:ascii="楷体" w:hAnsi="楷体" w:eastAsia="楷体" w:cs="Arial"/>
          <w:sz w:val="22"/>
          <w:szCs w:val="22"/>
        </w:rPr>
        <w:t>中标人在承包期内，未经采购单位的同意，不得变换项目负责人，</w:t>
      </w:r>
      <w:r>
        <w:rPr>
          <w:rFonts w:hint="eastAsia" w:ascii="楷体" w:hAnsi="楷体" w:eastAsia="楷体" w:cs="Arial"/>
          <w:sz w:val="22"/>
          <w:szCs w:val="22"/>
        </w:rPr>
        <w:t>并在</w:t>
      </w:r>
      <w:r>
        <w:rPr>
          <w:rFonts w:ascii="楷体" w:hAnsi="楷体" w:eastAsia="楷体" w:cs="Arial"/>
          <w:b/>
          <w:bCs/>
          <w:sz w:val="22"/>
          <w:szCs w:val="22"/>
        </w:rPr>
        <w:t>五马街历史文化商业街</w:t>
      </w:r>
      <w:r>
        <w:rPr>
          <w:rFonts w:hint="eastAsia" w:ascii="楷体" w:hAnsi="楷体" w:eastAsia="楷体" w:cs="Arial"/>
          <w:b/>
          <w:bCs/>
          <w:sz w:val="22"/>
          <w:szCs w:val="22"/>
        </w:rPr>
        <w:t>区保洁作业中拟派1位街区经理，2位专职管理人员，</w:t>
      </w:r>
      <w:r>
        <w:rPr>
          <w:rFonts w:ascii="楷体" w:hAnsi="楷体" w:eastAsia="楷体" w:cs="Arial"/>
          <w:sz w:val="22"/>
          <w:szCs w:val="22"/>
        </w:rPr>
        <w:t>如若不能兑现，视同违约处理。</w:t>
      </w:r>
    </w:p>
    <w:p>
      <w:pPr>
        <w:numPr>
          <w:ilvl w:val="0"/>
          <w:numId w:val="28"/>
        </w:numPr>
        <w:spacing w:line="400" w:lineRule="exact"/>
        <w:rPr>
          <w:rFonts w:ascii="楷体" w:hAnsi="楷体" w:eastAsia="楷体" w:cs="Arial"/>
          <w:sz w:val="22"/>
          <w:szCs w:val="22"/>
        </w:rPr>
      </w:pPr>
      <w:r>
        <w:rPr>
          <w:rFonts w:hint="eastAsia" w:ascii="楷体" w:hAnsi="楷体" w:eastAsia="楷体"/>
          <w:b/>
          <w:bCs/>
          <w:szCs w:val="21"/>
        </w:rPr>
        <w:t>▲</w:t>
      </w:r>
      <w:r>
        <w:rPr>
          <w:rFonts w:hint="eastAsia" w:ascii="楷体" w:hAnsi="楷体" w:eastAsia="楷体" w:cs="Arial"/>
          <w:sz w:val="22"/>
          <w:szCs w:val="22"/>
          <w:u w:val="single"/>
        </w:rPr>
        <w:t>投标人若中标，按照要求的进场时间内必须所有人员及保洁车辆现场到位并能投入清扫工作（采购单位将对其检查核实通过），如不能按此要求现场到位的，将取消中标资格。</w:t>
      </w:r>
    </w:p>
    <w:p>
      <w:pPr>
        <w:numPr>
          <w:ilvl w:val="0"/>
          <w:numId w:val="28"/>
        </w:numPr>
        <w:spacing w:line="360" w:lineRule="exact"/>
        <w:rPr>
          <w:rFonts w:hint="eastAsia" w:ascii="楷体" w:hAnsi="楷体" w:eastAsia="楷体" w:cs="Arial"/>
          <w:sz w:val="22"/>
          <w:szCs w:val="22"/>
        </w:rPr>
      </w:pPr>
      <w:r>
        <w:rPr>
          <w:rFonts w:hint="eastAsia" w:ascii="楷体" w:hAnsi="楷体" w:eastAsia="楷体"/>
          <w:b/>
          <w:bCs/>
          <w:szCs w:val="21"/>
        </w:rPr>
        <w:t>▲</w:t>
      </w:r>
      <w:r>
        <w:rPr>
          <w:rFonts w:ascii="楷体" w:hAnsi="楷体" w:eastAsia="楷体" w:cs="Arial"/>
          <w:sz w:val="22"/>
          <w:szCs w:val="22"/>
        </w:rPr>
        <w:t>本项目清扫保洁人员必须按分项【道路清扫保洁作业，</w:t>
      </w:r>
      <w:r>
        <w:rPr>
          <w:rFonts w:hint="eastAsia" w:ascii="楷体" w:hAnsi="楷体" w:eastAsia="楷体" w:cs="Arial"/>
          <w:sz w:val="22"/>
          <w:szCs w:val="22"/>
        </w:rPr>
        <w:t>小广告清理、楼道保洁、</w:t>
      </w:r>
      <w:r>
        <w:rPr>
          <w:rFonts w:ascii="楷体" w:hAnsi="楷体" w:eastAsia="楷体" w:cs="Arial"/>
          <w:sz w:val="22"/>
          <w:szCs w:val="22"/>
        </w:rPr>
        <w:t>绿化带清扫保洁，</w:t>
      </w:r>
      <w:r>
        <w:rPr>
          <w:rFonts w:hint="eastAsia" w:ascii="楷体" w:hAnsi="楷体" w:eastAsia="楷体" w:cs="Arial"/>
          <w:sz w:val="22"/>
          <w:szCs w:val="22"/>
        </w:rPr>
        <w:t>道路</w:t>
      </w:r>
      <w:r>
        <w:rPr>
          <w:rFonts w:ascii="楷体" w:hAnsi="楷体" w:eastAsia="楷体" w:cs="Arial"/>
          <w:sz w:val="22"/>
          <w:szCs w:val="22"/>
        </w:rPr>
        <w:t>冲洗，</w:t>
      </w:r>
      <w:r>
        <w:rPr>
          <w:rFonts w:hint="eastAsia" w:ascii="楷体" w:hAnsi="楷体" w:eastAsia="楷体" w:cs="Arial"/>
          <w:sz w:val="22"/>
          <w:szCs w:val="22"/>
        </w:rPr>
        <w:t>环卫</w:t>
      </w:r>
      <w:r>
        <w:rPr>
          <w:rFonts w:ascii="楷体" w:hAnsi="楷体" w:eastAsia="楷体" w:cs="Arial"/>
          <w:sz w:val="22"/>
          <w:szCs w:val="22"/>
        </w:rPr>
        <w:t>设施清洁，垃圾清运</w:t>
      </w:r>
      <w:r>
        <w:rPr>
          <w:rFonts w:hint="eastAsia" w:ascii="楷体" w:hAnsi="楷体" w:eastAsia="楷体" w:cs="Arial"/>
          <w:sz w:val="22"/>
          <w:szCs w:val="22"/>
        </w:rPr>
        <w:t>（含辖区内无主装潢垃圾及大件垃圾的清运）</w:t>
      </w:r>
      <w:r>
        <w:rPr>
          <w:rFonts w:ascii="楷体" w:hAnsi="楷体" w:eastAsia="楷体" w:cs="Arial"/>
          <w:sz w:val="22"/>
          <w:szCs w:val="22"/>
        </w:rPr>
        <w:t>进行独立配置，每个分项作业人员不得再兼任其他分项的工作，投标人必须独立计算各分项作业人数【道路清扫保洁，</w:t>
      </w:r>
      <w:r>
        <w:rPr>
          <w:rFonts w:hint="eastAsia" w:ascii="楷体" w:hAnsi="楷体" w:eastAsia="楷体" w:cs="Arial"/>
          <w:sz w:val="22"/>
          <w:szCs w:val="22"/>
        </w:rPr>
        <w:t>小广告清理、楼道保洁、</w:t>
      </w:r>
      <w:r>
        <w:rPr>
          <w:rFonts w:ascii="楷体" w:hAnsi="楷体" w:eastAsia="楷体" w:cs="Arial"/>
          <w:sz w:val="22"/>
          <w:szCs w:val="22"/>
        </w:rPr>
        <w:t>绿化带清扫保洁，</w:t>
      </w:r>
      <w:r>
        <w:rPr>
          <w:rFonts w:hint="eastAsia" w:ascii="楷体" w:hAnsi="楷体" w:eastAsia="楷体" w:cs="Arial"/>
          <w:sz w:val="22"/>
          <w:szCs w:val="22"/>
        </w:rPr>
        <w:t>道路</w:t>
      </w:r>
      <w:r>
        <w:rPr>
          <w:rFonts w:ascii="楷体" w:hAnsi="楷体" w:eastAsia="楷体" w:cs="Arial"/>
          <w:sz w:val="22"/>
          <w:szCs w:val="22"/>
        </w:rPr>
        <w:t>冲洗，</w:t>
      </w:r>
      <w:r>
        <w:rPr>
          <w:rFonts w:hint="eastAsia" w:ascii="楷体" w:hAnsi="楷体" w:eastAsia="楷体" w:cs="Arial"/>
          <w:sz w:val="22"/>
          <w:szCs w:val="22"/>
        </w:rPr>
        <w:t>环卫</w:t>
      </w:r>
      <w:r>
        <w:rPr>
          <w:rFonts w:ascii="楷体" w:hAnsi="楷体" w:eastAsia="楷体" w:cs="Arial"/>
          <w:sz w:val="22"/>
          <w:szCs w:val="22"/>
        </w:rPr>
        <w:t>设施清洁，垃圾清运</w:t>
      </w:r>
      <w:r>
        <w:rPr>
          <w:rFonts w:hint="eastAsia" w:ascii="楷体" w:hAnsi="楷体" w:eastAsia="楷体" w:cs="Arial"/>
          <w:sz w:val="22"/>
          <w:szCs w:val="22"/>
        </w:rPr>
        <w:t>（含辖区内无主装潢垃圾及大件垃圾的清运）</w:t>
      </w:r>
      <w:r>
        <w:rPr>
          <w:rFonts w:ascii="楷体" w:hAnsi="楷体" w:eastAsia="楷体" w:cs="Arial"/>
          <w:sz w:val="22"/>
          <w:szCs w:val="22"/>
        </w:rPr>
        <w:t>】。</w:t>
      </w:r>
    </w:p>
    <w:p>
      <w:pPr>
        <w:numPr>
          <w:ilvl w:val="0"/>
          <w:numId w:val="28"/>
        </w:numPr>
        <w:spacing w:line="360" w:lineRule="exact"/>
        <w:rPr>
          <w:rFonts w:hint="eastAsia" w:ascii="楷体" w:hAnsi="楷体" w:eastAsia="楷体" w:cs="Arial"/>
          <w:sz w:val="22"/>
          <w:szCs w:val="22"/>
        </w:rPr>
      </w:pPr>
      <w:r>
        <w:rPr>
          <w:rFonts w:hint="eastAsia" w:ascii="楷体" w:hAnsi="楷体" w:eastAsia="楷体"/>
          <w:b/>
          <w:bCs/>
          <w:szCs w:val="21"/>
        </w:rPr>
        <w:t>▲</w:t>
      </w:r>
      <w:r>
        <w:rPr>
          <w:rFonts w:ascii="楷体" w:hAnsi="楷体" w:eastAsia="楷体" w:cs="Arial"/>
          <w:sz w:val="22"/>
          <w:szCs w:val="22"/>
        </w:rPr>
        <w:t>投标文件中无描述和列出各项人员的测算方法和依据的将作无效标处理，人员的能力按投标人自行实践操作为准，但不得超招标文件所规定的要求。</w:t>
      </w:r>
    </w:p>
    <w:p>
      <w:pPr>
        <w:numPr>
          <w:ilvl w:val="0"/>
          <w:numId w:val="28"/>
        </w:numPr>
        <w:spacing w:line="400" w:lineRule="exact"/>
        <w:rPr>
          <w:rFonts w:ascii="楷体" w:hAnsi="楷体" w:eastAsia="楷体" w:cs="Arial"/>
          <w:b/>
          <w:bCs/>
          <w:sz w:val="22"/>
          <w:szCs w:val="22"/>
        </w:rPr>
      </w:pPr>
      <w:r>
        <w:rPr>
          <w:rFonts w:hint="eastAsia" w:ascii="楷体" w:hAnsi="楷体" w:eastAsia="楷体" w:cs="Arial"/>
          <w:sz w:val="22"/>
          <w:szCs w:val="22"/>
        </w:rPr>
        <w:t>▲</w:t>
      </w:r>
      <w:r>
        <w:rPr>
          <w:rFonts w:hint="eastAsia" w:ascii="楷体" w:hAnsi="楷体" w:eastAsia="楷体" w:cs="Arial"/>
          <w:b/>
          <w:bCs/>
          <w:sz w:val="22"/>
          <w:szCs w:val="22"/>
          <w:u w:val="single"/>
        </w:rPr>
        <w:t>投标人报价不得低于以下报价要求（包括但不限于），低于或不响应的投标文件作无效标处理。</w:t>
      </w:r>
    </w:p>
    <w:tbl>
      <w:tblPr>
        <w:tblStyle w:val="26"/>
        <w:tblW w:w="0" w:type="auto"/>
        <w:jc w:val="center"/>
        <w:tblLayout w:type="fixed"/>
        <w:tblCellMar>
          <w:top w:w="0" w:type="dxa"/>
          <w:left w:w="108" w:type="dxa"/>
          <w:bottom w:w="0" w:type="dxa"/>
          <w:right w:w="108" w:type="dxa"/>
        </w:tblCellMar>
      </w:tblPr>
      <w:tblGrid>
        <w:gridCol w:w="816"/>
        <w:gridCol w:w="8325"/>
      </w:tblGrid>
      <w:tr>
        <w:tblPrEx>
          <w:tblCellMar>
            <w:top w:w="0" w:type="dxa"/>
            <w:left w:w="108" w:type="dxa"/>
            <w:bottom w:w="0" w:type="dxa"/>
            <w:right w:w="108" w:type="dxa"/>
          </w:tblCellMar>
        </w:tblPrEx>
        <w:trPr>
          <w:wBefore w:w="0" w:type="dxa"/>
          <w:wAfter w:w="0" w:type="dxa"/>
          <w:trHeight w:val="72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ascii="楷体" w:hAnsi="楷体" w:eastAsia="楷体" w:cs="Arial"/>
                <w:sz w:val="22"/>
                <w:szCs w:val="22"/>
              </w:rPr>
            </w:pPr>
            <w:r>
              <w:rPr>
                <w:rFonts w:hint="eastAsia" w:ascii="楷体" w:hAnsi="楷体" w:eastAsia="楷体" w:cs="Arial"/>
                <w:sz w:val="22"/>
                <w:szCs w:val="22"/>
              </w:rPr>
              <w:t>序号</w:t>
            </w:r>
          </w:p>
        </w:tc>
        <w:tc>
          <w:tcPr>
            <w:tcW w:w="8325" w:type="dxa"/>
            <w:tcBorders>
              <w:top w:val="single" w:color="auto" w:sz="4" w:space="0"/>
              <w:left w:val="nil"/>
              <w:bottom w:val="single" w:color="auto" w:sz="4" w:space="0"/>
              <w:right w:val="single" w:color="auto" w:sz="4" w:space="0"/>
            </w:tcBorders>
            <w:noWrap w:val="0"/>
            <w:vAlign w:val="center"/>
          </w:tcPr>
          <w:p>
            <w:pPr>
              <w:widowControl/>
              <w:autoSpaceDE w:val="0"/>
              <w:autoSpaceDN w:val="0"/>
              <w:adjustRightInd w:val="0"/>
              <w:spacing w:line="400" w:lineRule="exact"/>
              <w:jc w:val="center"/>
              <w:textAlignment w:val="bottom"/>
              <w:rPr>
                <w:rFonts w:ascii="楷体" w:hAnsi="楷体" w:eastAsia="楷体" w:cs="Arial"/>
                <w:sz w:val="22"/>
                <w:szCs w:val="22"/>
              </w:rPr>
            </w:pPr>
            <w:r>
              <w:rPr>
                <w:rFonts w:hint="eastAsia" w:ascii="楷体" w:hAnsi="楷体" w:eastAsia="楷体" w:cs="Arial"/>
                <w:sz w:val="22"/>
                <w:szCs w:val="22"/>
              </w:rPr>
              <w:t>报价要求</w:t>
            </w:r>
          </w:p>
        </w:tc>
      </w:tr>
      <w:tr>
        <w:tblPrEx>
          <w:tblCellMar>
            <w:top w:w="0" w:type="dxa"/>
            <w:left w:w="108" w:type="dxa"/>
            <w:bottom w:w="0" w:type="dxa"/>
            <w:right w:w="108" w:type="dxa"/>
          </w:tblCellMar>
        </w:tblPrEx>
        <w:trPr>
          <w:wBefore w:w="0" w:type="dxa"/>
          <w:wAfter w:w="0" w:type="dxa"/>
          <w:trHeight w:val="45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pacing w:line="400" w:lineRule="exact"/>
              <w:jc w:val="center"/>
              <w:textAlignment w:val="bottom"/>
              <w:rPr>
                <w:rFonts w:hint="eastAsia" w:ascii="楷体" w:hAnsi="楷体" w:eastAsia="楷体" w:cs="Arial"/>
                <w:sz w:val="22"/>
                <w:szCs w:val="22"/>
              </w:rPr>
            </w:pPr>
            <w:r>
              <w:rPr>
                <w:rFonts w:hint="eastAsia" w:ascii="楷体" w:hAnsi="楷体" w:eastAsia="楷体" w:cs="Arial"/>
                <w:sz w:val="22"/>
                <w:szCs w:val="22"/>
              </w:rPr>
              <w:t>1</w:t>
            </w:r>
          </w:p>
        </w:tc>
        <w:tc>
          <w:tcPr>
            <w:tcW w:w="8325" w:type="dxa"/>
            <w:tcBorders>
              <w:top w:val="single" w:color="auto" w:sz="4" w:space="0"/>
              <w:left w:val="nil"/>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ascii="楷体" w:hAnsi="楷体" w:eastAsia="楷体" w:cs="Arial"/>
                <w:sz w:val="22"/>
                <w:szCs w:val="22"/>
              </w:rPr>
              <w:t>结合本项目具体情况，要求本次投标供应商员工基本工资最低不得低于温州市市区本年度最低工资标准的110%（市区最低月工资标准2010元/月）（最低工资不包括下列四项收入：延长工作时间的工资；中班、夜班、高温、低温、有毒有害等特殊工作环境、条件下的津贴；贴补伙食、住房等支付给劳动者的非货币性收入；法律、法规和国家规定的劳动者应当享受的福利待遇等）。本项目要求拟投入所有人员工资每人每月不低于2010*110%=2211元人民币。</w:t>
            </w:r>
          </w:p>
        </w:tc>
      </w:tr>
      <w:tr>
        <w:tblPrEx>
          <w:tblCellMar>
            <w:top w:w="0" w:type="dxa"/>
            <w:left w:w="108" w:type="dxa"/>
            <w:bottom w:w="0" w:type="dxa"/>
            <w:right w:w="108" w:type="dxa"/>
          </w:tblCellMar>
        </w:tblPrEx>
        <w:trPr>
          <w:wBefore w:w="0" w:type="dxa"/>
          <w:wAfter w:w="0" w:type="dxa"/>
          <w:trHeight w:val="45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pacing w:line="400" w:lineRule="exact"/>
              <w:jc w:val="center"/>
              <w:textAlignment w:val="bottom"/>
              <w:rPr>
                <w:rFonts w:hint="eastAsia" w:ascii="楷体" w:hAnsi="楷体" w:eastAsia="楷体" w:cs="Arial"/>
                <w:sz w:val="22"/>
                <w:szCs w:val="22"/>
              </w:rPr>
            </w:pPr>
            <w:r>
              <w:rPr>
                <w:rFonts w:hint="eastAsia" w:ascii="楷体" w:hAnsi="楷体" w:eastAsia="楷体" w:cs="Arial"/>
                <w:sz w:val="22"/>
                <w:szCs w:val="22"/>
              </w:rPr>
              <w:t>2</w:t>
            </w:r>
          </w:p>
        </w:tc>
        <w:tc>
          <w:tcPr>
            <w:tcW w:w="8325" w:type="dxa"/>
            <w:tcBorders>
              <w:top w:val="single" w:color="auto" w:sz="4" w:space="0"/>
              <w:left w:val="nil"/>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ascii="楷体" w:hAnsi="楷体" w:eastAsia="楷体" w:cs="Arial"/>
                <w:sz w:val="22"/>
                <w:szCs w:val="22"/>
              </w:rPr>
              <w:t>高温补贴共4个月（六、七、八、九共四月，逐月发放，一线工人每人每月不低于300元人民币）按相关规定发放。本项目要求拟投入所有人员每人每年不少于1200元人民币。</w:t>
            </w:r>
          </w:p>
        </w:tc>
      </w:tr>
      <w:tr>
        <w:tblPrEx>
          <w:tblCellMar>
            <w:top w:w="0" w:type="dxa"/>
            <w:left w:w="108" w:type="dxa"/>
            <w:bottom w:w="0" w:type="dxa"/>
            <w:right w:w="108" w:type="dxa"/>
          </w:tblCellMar>
        </w:tblPrEx>
        <w:trPr>
          <w:wBefore w:w="0" w:type="dxa"/>
          <w:wAfter w:w="0" w:type="dxa"/>
          <w:trHeight w:val="45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pacing w:line="400" w:lineRule="exact"/>
              <w:jc w:val="center"/>
              <w:textAlignment w:val="bottom"/>
              <w:rPr>
                <w:rFonts w:hint="eastAsia" w:ascii="楷体" w:hAnsi="楷体" w:eastAsia="楷体" w:cs="Arial"/>
                <w:sz w:val="22"/>
                <w:szCs w:val="22"/>
              </w:rPr>
            </w:pPr>
            <w:r>
              <w:rPr>
                <w:rFonts w:hint="eastAsia" w:ascii="楷体" w:hAnsi="楷体" w:eastAsia="楷体" w:cs="Arial"/>
                <w:sz w:val="22"/>
                <w:szCs w:val="22"/>
              </w:rPr>
              <w:t>3</w:t>
            </w:r>
          </w:p>
        </w:tc>
        <w:tc>
          <w:tcPr>
            <w:tcW w:w="8325" w:type="dxa"/>
            <w:tcBorders>
              <w:top w:val="single" w:color="auto" w:sz="4" w:space="0"/>
              <w:left w:val="nil"/>
              <w:bottom w:val="single" w:color="auto" w:sz="4" w:space="0"/>
              <w:right w:val="single" w:color="auto" w:sz="4" w:space="0"/>
            </w:tcBorders>
            <w:noWrap w:val="0"/>
            <w:vAlign w:val="center"/>
          </w:tcPr>
          <w:p>
            <w:pPr>
              <w:spacing w:line="320" w:lineRule="exact"/>
              <w:rPr>
                <w:rFonts w:ascii="楷体" w:hAnsi="楷体" w:eastAsia="楷体" w:cs="Arial"/>
                <w:sz w:val="22"/>
                <w:szCs w:val="22"/>
              </w:rPr>
            </w:pPr>
            <w:r>
              <w:rPr>
                <w:rFonts w:ascii="楷体" w:hAnsi="楷体" w:eastAsia="楷体"/>
                <w:sz w:val="22"/>
                <w:szCs w:val="22"/>
              </w:rPr>
              <w:t>投标供应商须为拟投入所有人员办理职工意外伤害保险，实现100%全覆盖。职工意外伤害保险每人每年不少于100元。</w:t>
            </w:r>
          </w:p>
        </w:tc>
      </w:tr>
      <w:tr>
        <w:tblPrEx>
          <w:tblCellMar>
            <w:top w:w="0" w:type="dxa"/>
            <w:left w:w="108" w:type="dxa"/>
            <w:bottom w:w="0" w:type="dxa"/>
            <w:right w:w="108" w:type="dxa"/>
          </w:tblCellMar>
        </w:tblPrEx>
        <w:trPr>
          <w:wBefore w:w="0" w:type="dxa"/>
          <w:wAfter w:w="0" w:type="dxa"/>
          <w:trHeight w:val="45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pacing w:line="400" w:lineRule="exact"/>
              <w:jc w:val="center"/>
              <w:textAlignment w:val="bottom"/>
              <w:rPr>
                <w:rFonts w:hint="eastAsia" w:ascii="楷体" w:hAnsi="楷体" w:eastAsia="楷体" w:cs="Arial"/>
                <w:sz w:val="22"/>
                <w:szCs w:val="22"/>
              </w:rPr>
            </w:pPr>
            <w:r>
              <w:rPr>
                <w:rFonts w:hint="eastAsia" w:ascii="楷体" w:hAnsi="楷体" w:eastAsia="楷体" w:cs="Arial"/>
                <w:sz w:val="22"/>
                <w:szCs w:val="22"/>
              </w:rPr>
              <w:t>4</w:t>
            </w:r>
          </w:p>
        </w:tc>
        <w:tc>
          <w:tcPr>
            <w:tcW w:w="8325" w:type="dxa"/>
            <w:tcBorders>
              <w:top w:val="single" w:color="auto" w:sz="4" w:space="0"/>
              <w:left w:val="nil"/>
              <w:bottom w:val="single" w:color="auto" w:sz="4" w:space="0"/>
              <w:right w:val="single" w:color="auto" w:sz="4" w:space="0"/>
            </w:tcBorders>
            <w:noWrap w:val="0"/>
            <w:vAlign w:val="top"/>
          </w:tcPr>
          <w:p>
            <w:pPr>
              <w:spacing w:line="400" w:lineRule="exact"/>
              <w:rPr>
                <w:rFonts w:hint="eastAsia" w:ascii="楷体" w:hAnsi="楷体" w:eastAsia="楷体" w:cs="Arial"/>
                <w:sz w:val="22"/>
                <w:szCs w:val="22"/>
              </w:rPr>
            </w:pPr>
            <w:r>
              <w:rPr>
                <w:rFonts w:hint="eastAsia" w:ascii="楷体" w:hAnsi="楷体" w:eastAsia="楷体" w:cs="Arial"/>
                <w:sz w:val="22"/>
                <w:szCs w:val="22"/>
              </w:rPr>
              <w:t>除招标人原有保洁人员中年龄超限或已参加农保的人员外，其他人员均须参加社会保险，且报价必须按</w:t>
            </w:r>
            <w:r>
              <w:rPr>
                <w:rFonts w:ascii="楷体" w:hAnsi="楷体" w:eastAsia="楷体" w:cs="Arial"/>
                <w:sz w:val="22"/>
                <w:szCs w:val="22"/>
              </w:rPr>
              <w:t>温州市人力资源和社会保障局《关于公布市区2018年度社会保险缴费标准的通知》文件标准计入，包括养老保险、工伤保险、生育保险、失业保险、医疗保险。注</w:t>
            </w:r>
          </w:p>
          <w:p>
            <w:pPr>
              <w:widowControl/>
              <w:autoSpaceDE w:val="0"/>
              <w:autoSpaceDN w:val="0"/>
              <w:adjustRightInd w:val="0"/>
              <w:spacing w:line="380" w:lineRule="exact"/>
              <w:textAlignment w:val="bottom"/>
              <w:rPr>
                <w:rFonts w:hint="eastAsia" w:ascii="楷体" w:hAnsi="楷体" w:eastAsia="楷体"/>
                <w:sz w:val="22"/>
                <w:szCs w:val="22"/>
              </w:rPr>
            </w:pPr>
            <w:r>
              <w:rPr>
                <w:rFonts w:ascii="楷体" w:hAnsi="楷体" w:eastAsia="楷体"/>
                <w:sz w:val="22"/>
                <w:szCs w:val="22"/>
              </w:rPr>
              <w:t>养老保险基数为3055.2，单位须缴纳的比例为14%，即427.728元；</w:t>
            </w:r>
          </w:p>
          <w:p>
            <w:pPr>
              <w:widowControl/>
              <w:autoSpaceDE w:val="0"/>
              <w:autoSpaceDN w:val="0"/>
              <w:adjustRightInd w:val="0"/>
              <w:spacing w:line="380" w:lineRule="exact"/>
              <w:textAlignment w:val="bottom"/>
              <w:rPr>
                <w:rFonts w:hint="eastAsia" w:ascii="楷体" w:hAnsi="楷体" w:eastAsia="楷体"/>
                <w:sz w:val="22"/>
                <w:szCs w:val="22"/>
              </w:rPr>
            </w:pPr>
            <w:r>
              <w:rPr>
                <w:rFonts w:ascii="楷体" w:hAnsi="楷体" w:eastAsia="楷体"/>
                <w:sz w:val="22"/>
                <w:szCs w:val="22"/>
              </w:rPr>
              <w:t>工伤保险基数为3055.2，单位须缴纳的比例为0.4%，即12.2208元；</w:t>
            </w:r>
          </w:p>
          <w:p>
            <w:pPr>
              <w:widowControl/>
              <w:autoSpaceDE w:val="0"/>
              <w:autoSpaceDN w:val="0"/>
              <w:adjustRightInd w:val="0"/>
              <w:spacing w:line="380" w:lineRule="exact"/>
              <w:textAlignment w:val="bottom"/>
              <w:rPr>
                <w:rFonts w:hint="eastAsia" w:ascii="楷体" w:hAnsi="楷体" w:eastAsia="楷体"/>
                <w:sz w:val="22"/>
                <w:szCs w:val="22"/>
              </w:rPr>
            </w:pPr>
            <w:r>
              <w:rPr>
                <w:rFonts w:ascii="楷体" w:hAnsi="楷体" w:eastAsia="楷体"/>
                <w:sz w:val="22"/>
                <w:szCs w:val="22"/>
              </w:rPr>
              <w:t>生育保险基数为3055.2，单位须缴纳的比例为1%，即30.552元；</w:t>
            </w:r>
          </w:p>
          <w:p>
            <w:pPr>
              <w:widowControl/>
              <w:autoSpaceDE w:val="0"/>
              <w:autoSpaceDN w:val="0"/>
              <w:adjustRightInd w:val="0"/>
              <w:spacing w:line="380" w:lineRule="exact"/>
              <w:textAlignment w:val="bottom"/>
              <w:rPr>
                <w:rFonts w:hint="eastAsia" w:ascii="楷体" w:hAnsi="楷体" w:eastAsia="楷体"/>
                <w:sz w:val="22"/>
                <w:szCs w:val="22"/>
              </w:rPr>
            </w:pPr>
            <w:r>
              <w:rPr>
                <w:rFonts w:ascii="楷体" w:hAnsi="楷体" w:eastAsia="楷体"/>
                <w:sz w:val="22"/>
                <w:szCs w:val="22"/>
              </w:rPr>
              <w:t>失业保险基数为3055.2，单位须缴纳的比例为0.50%，即15.276元；</w:t>
            </w:r>
          </w:p>
          <w:p>
            <w:pPr>
              <w:widowControl/>
              <w:autoSpaceDE w:val="0"/>
              <w:autoSpaceDN w:val="0"/>
              <w:adjustRightInd w:val="0"/>
              <w:spacing w:line="380" w:lineRule="exact"/>
              <w:textAlignment w:val="bottom"/>
              <w:rPr>
                <w:rFonts w:hint="eastAsia" w:ascii="楷体" w:hAnsi="楷体" w:eastAsia="楷体"/>
                <w:sz w:val="22"/>
                <w:szCs w:val="22"/>
              </w:rPr>
            </w:pPr>
            <w:r>
              <w:rPr>
                <w:rFonts w:ascii="楷体" w:hAnsi="楷体" w:eastAsia="楷体"/>
                <w:sz w:val="22"/>
                <w:szCs w:val="22"/>
              </w:rPr>
              <w:t>医疗保险包括：职工医保一档基数为5092，单位须缴纳的比例为4.7%，即239.324元；职工门诊统筹基数为5092，单位须缴纳的比例为2.5%，即127.3元。</w:t>
            </w:r>
          </w:p>
          <w:p>
            <w:pPr>
              <w:widowControl/>
              <w:autoSpaceDE w:val="0"/>
              <w:autoSpaceDN w:val="0"/>
              <w:adjustRightInd w:val="0"/>
              <w:spacing w:line="400" w:lineRule="exact"/>
              <w:textAlignment w:val="bottom"/>
              <w:rPr>
                <w:rFonts w:hint="eastAsia" w:ascii="楷体" w:hAnsi="楷体" w:eastAsia="楷体" w:cs="Arial"/>
                <w:sz w:val="22"/>
                <w:szCs w:val="22"/>
              </w:rPr>
            </w:pPr>
            <w:r>
              <w:rPr>
                <w:rFonts w:ascii="楷体" w:hAnsi="楷体" w:eastAsia="楷体"/>
                <w:b/>
                <w:bCs/>
                <w:sz w:val="22"/>
                <w:szCs w:val="22"/>
              </w:rPr>
              <w:t>合计：852.4008元/人.月，每人每月社会保险报价不低于合计金额。</w:t>
            </w:r>
          </w:p>
        </w:tc>
      </w:tr>
      <w:tr>
        <w:tblPrEx>
          <w:tblCellMar>
            <w:top w:w="0" w:type="dxa"/>
            <w:left w:w="108" w:type="dxa"/>
            <w:bottom w:w="0" w:type="dxa"/>
            <w:right w:w="108" w:type="dxa"/>
          </w:tblCellMar>
        </w:tblPrEx>
        <w:trPr>
          <w:wBefore w:w="0" w:type="dxa"/>
          <w:wAfter w:w="0" w:type="dxa"/>
          <w:trHeight w:val="45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pacing w:line="400" w:lineRule="exact"/>
              <w:jc w:val="center"/>
              <w:textAlignment w:val="bottom"/>
              <w:rPr>
                <w:rFonts w:hint="eastAsia" w:ascii="楷体" w:hAnsi="楷体" w:eastAsia="楷体" w:cs="Arial"/>
                <w:sz w:val="22"/>
                <w:szCs w:val="22"/>
              </w:rPr>
            </w:pPr>
            <w:r>
              <w:rPr>
                <w:rFonts w:hint="eastAsia" w:ascii="楷体" w:hAnsi="楷体" w:eastAsia="楷体" w:cs="Arial"/>
                <w:sz w:val="22"/>
                <w:szCs w:val="22"/>
              </w:rPr>
              <w:t>5</w:t>
            </w:r>
          </w:p>
        </w:tc>
        <w:tc>
          <w:tcPr>
            <w:tcW w:w="8325" w:type="dxa"/>
            <w:tcBorders>
              <w:top w:val="single" w:color="auto" w:sz="4" w:space="0"/>
              <w:left w:val="nil"/>
              <w:bottom w:val="single" w:color="auto" w:sz="4" w:space="0"/>
              <w:right w:val="single" w:color="auto" w:sz="4" w:space="0"/>
            </w:tcBorders>
            <w:noWrap w:val="0"/>
            <w:vAlign w:val="top"/>
          </w:tcPr>
          <w:p>
            <w:pPr>
              <w:widowControl/>
              <w:autoSpaceDE w:val="0"/>
              <w:autoSpaceDN w:val="0"/>
              <w:adjustRightInd w:val="0"/>
              <w:spacing w:line="400" w:lineRule="exact"/>
              <w:textAlignment w:val="bottom"/>
              <w:rPr>
                <w:rFonts w:ascii="楷体" w:hAnsi="楷体" w:eastAsia="楷体" w:cs="Arial"/>
                <w:sz w:val="22"/>
                <w:szCs w:val="22"/>
              </w:rPr>
            </w:pPr>
            <w:r>
              <w:rPr>
                <w:rFonts w:hint="eastAsia" w:ascii="楷体" w:hAnsi="楷体" w:eastAsia="楷体" w:cs="Arial"/>
                <w:sz w:val="22"/>
                <w:szCs w:val="22"/>
              </w:rPr>
              <w:t>税金不得低于投标总价的8%。</w:t>
            </w:r>
          </w:p>
        </w:tc>
      </w:tr>
    </w:tbl>
    <w:p>
      <w:pPr>
        <w:pStyle w:val="2"/>
        <w:rPr>
          <w:rFonts w:hint="eastAsia" w:ascii="楷体" w:hAnsi="楷体" w:eastAsia="楷体"/>
          <w:sz w:val="36"/>
          <w:szCs w:val="36"/>
        </w:rPr>
      </w:pPr>
      <w:r>
        <w:rPr>
          <w:rFonts w:ascii="楷体" w:hAnsi="楷体" w:eastAsia="楷体" w:cs="Arial"/>
          <w:sz w:val="22"/>
          <w:szCs w:val="22"/>
        </w:rPr>
        <w:br w:type="page"/>
      </w:r>
      <w:bookmarkStart w:id="211" w:name="_Toc19759"/>
      <w:r>
        <w:rPr>
          <w:rFonts w:hint="eastAsia" w:ascii="楷体" w:hAnsi="楷体" w:eastAsia="楷体"/>
          <w:sz w:val="36"/>
          <w:szCs w:val="36"/>
        </w:rPr>
        <w:t>第五部分   评标原则及方法</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11"/>
    </w:p>
    <w:p>
      <w:pPr>
        <w:spacing w:line="420" w:lineRule="exact"/>
        <w:ind w:left="439" w:leftChars="209"/>
        <w:rPr>
          <w:rFonts w:hint="eastAsia" w:ascii="楷体" w:hAnsi="楷体" w:eastAsia="楷体"/>
          <w:b/>
          <w:sz w:val="22"/>
          <w:szCs w:val="22"/>
        </w:rPr>
      </w:pPr>
      <w:r>
        <w:rPr>
          <w:rFonts w:hint="eastAsia" w:ascii="楷体" w:hAnsi="楷体" w:eastAsia="楷体"/>
          <w:b/>
          <w:sz w:val="22"/>
          <w:szCs w:val="22"/>
        </w:rPr>
        <w:t>据《中华人民共和国政府采购法》等相关法规特制定以下评标办法。</w:t>
      </w:r>
    </w:p>
    <w:p>
      <w:pPr>
        <w:pStyle w:val="10"/>
        <w:spacing w:before="120" w:beforeLines="50" w:afterLines="50"/>
        <w:rPr>
          <w:rFonts w:hint="eastAsia" w:ascii="楷体" w:hAnsi="楷体" w:eastAsia="楷体"/>
          <w:b/>
        </w:rPr>
      </w:pPr>
      <w:bookmarkStart w:id="212" w:name="_Toc221356898"/>
      <w:bookmarkStart w:id="213" w:name="_Toc221356961"/>
      <w:r>
        <w:rPr>
          <w:rFonts w:hint="eastAsia" w:ascii="楷体" w:hAnsi="楷体" w:eastAsia="楷体"/>
          <w:b/>
        </w:rPr>
        <w:t>一. 总  则</w:t>
      </w:r>
      <w:bookmarkEnd w:id="212"/>
      <w:bookmarkEnd w:id="213"/>
    </w:p>
    <w:p>
      <w:pPr>
        <w:spacing w:line="420" w:lineRule="exact"/>
        <w:ind w:left="439" w:leftChars="209"/>
        <w:rPr>
          <w:rFonts w:hint="eastAsia" w:ascii="楷体" w:hAnsi="楷体" w:eastAsia="楷体"/>
          <w:sz w:val="22"/>
          <w:szCs w:val="22"/>
        </w:rPr>
      </w:pPr>
      <w:r>
        <w:rPr>
          <w:rFonts w:hint="eastAsia" w:ascii="楷体" w:hAnsi="楷体" w:eastAsia="楷体"/>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20" w:lineRule="exact"/>
        <w:rPr>
          <w:rFonts w:hint="eastAsia" w:ascii="楷体" w:hAnsi="楷体" w:eastAsia="楷体"/>
          <w:b/>
          <w:sz w:val="22"/>
        </w:rPr>
      </w:pPr>
      <w:r>
        <w:rPr>
          <w:rFonts w:hint="eastAsia" w:ascii="楷体" w:hAnsi="楷体" w:eastAsia="楷体"/>
          <w:b/>
          <w:sz w:val="22"/>
        </w:rPr>
        <w:t>二、评标组织</w:t>
      </w:r>
    </w:p>
    <w:p>
      <w:pPr>
        <w:spacing w:line="420" w:lineRule="exact"/>
        <w:ind w:left="439" w:leftChars="209"/>
        <w:rPr>
          <w:rFonts w:hint="eastAsia" w:ascii="楷体" w:hAnsi="楷体" w:eastAsia="楷体"/>
          <w:sz w:val="22"/>
          <w:szCs w:val="22"/>
        </w:rPr>
      </w:pPr>
      <w:r>
        <w:rPr>
          <w:rFonts w:hint="eastAsia" w:ascii="楷体" w:hAnsi="楷体" w:eastAsia="楷体"/>
          <w:sz w:val="22"/>
          <w:szCs w:val="22"/>
        </w:rPr>
        <w:t>评标工作由招标人依法组建的评标委员会负责，评标全过程由有关部门指导监督。</w:t>
      </w:r>
    </w:p>
    <w:p>
      <w:pPr>
        <w:spacing w:line="400" w:lineRule="exact"/>
        <w:rPr>
          <w:rFonts w:hint="eastAsia" w:ascii="楷体" w:hAnsi="楷体" w:eastAsia="楷体"/>
          <w:b/>
          <w:sz w:val="22"/>
        </w:rPr>
      </w:pPr>
      <w:r>
        <w:rPr>
          <w:rFonts w:hint="eastAsia" w:ascii="楷体" w:hAnsi="楷体" w:eastAsia="楷体"/>
          <w:b/>
          <w:sz w:val="22"/>
        </w:rPr>
        <w:t>三、评标办法</w:t>
      </w:r>
    </w:p>
    <w:p>
      <w:pPr>
        <w:spacing w:line="400" w:lineRule="exact"/>
        <w:ind w:left="439" w:leftChars="209"/>
        <w:rPr>
          <w:rFonts w:hint="eastAsia" w:ascii="楷体" w:hAnsi="楷体" w:eastAsia="楷体"/>
          <w:sz w:val="22"/>
          <w:szCs w:val="22"/>
        </w:rPr>
      </w:pPr>
      <w:r>
        <w:rPr>
          <w:rFonts w:ascii="楷体" w:hAnsi="楷体" w:eastAsia="楷体" w:cs="Arial"/>
          <w:sz w:val="22"/>
          <w:szCs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总分设定为100分；其中技术</w:t>
      </w:r>
      <w:r>
        <w:rPr>
          <w:rFonts w:hint="eastAsia" w:ascii="楷体" w:hAnsi="楷体" w:eastAsia="楷体" w:cs="Arial"/>
          <w:sz w:val="22"/>
          <w:szCs w:val="22"/>
        </w:rPr>
        <w:t>、资信部分85分（技术资信权值85%）</w:t>
      </w:r>
      <w:r>
        <w:rPr>
          <w:rFonts w:ascii="楷体" w:hAnsi="楷体" w:eastAsia="楷体" w:cs="Arial"/>
          <w:sz w:val="22"/>
          <w:szCs w:val="22"/>
        </w:rPr>
        <w:t>，商务标（报价）</w:t>
      </w:r>
      <w:r>
        <w:rPr>
          <w:rFonts w:hint="eastAsia" w:ascii="楷体" w:hAnsi="楷体" w:eastAsia="楷体" w:cs="Arial"/>
          <w:sz w:val="22"/>
          <w:szCs w:val="22"/>
        </w:rPr>
        <w:t>15</w:t>
      </w:r>
      <w:r>
        <w:rPr>
          <w:rFonts w:ascii="楷体" w:hAnsi="楷体" w:eastAsia="楷体" w:cs="Arial"/>
          <w:sz w:val="22"/>
          <w:szCs w:val="22"/>
        </w:rPr>
        <w:t>分</w:t>
      </w:r>
      <w:r>
        <w:rPr>
          <w:rFonts w:hint="eastAsia" w:ascii="楷体" w:hAnsi="楷体" w:eastAsia="楷体" w:cs="Arial"/>
          <w:sz w:val="22"/>
          <w:szCs w:val="22"/>
        </w:rPr>
        <w:t>（价格权值15%）</w:t>
      </w:r>
      <w:r>
        <w:rPr>
          <w:rFonts w:ascii="楷体" w:hAnsi="楷体" w:eastAsia="楷体" w:cs="Arial"/>
          <w:sz w:val="22"/>
          <w:szCs w:val="22"/>
        </w:rPr>
        <w:t>。</w:t>
      </w:r>
    </w:p>
    <w:p>
      <w:pPr>
        <w:spacing w:line="420" w:lineRule="exact"/>
        <w:rPr>
          <w:rFonts w:hint="eastAsia" w:ascii="楷体" w:hAnsi="楷体" w:eastAsia="楷体"/>
          <w:b/>
          <w:sz w:val="22"/>
        </w:rPr>
      </w:pPr>
      <w:bookmarkStart w:id="214" w:name="_Toc221356965"/>
      <w:bookmarkStart w:id="215" w:name="_Toc221356902"/>
      <w:r>
        <w:rPr>
          <w:rFonts w:hint="eastAsia" w:ascii="楷体" w:hAnsi="楷体" w:eastAsia="楷体"/>
          <w:b/>
          <w:sz w:val="22"/>
        </w:rPr>
        <w:t>四、</w:t>
      </w:r>
      <w:bookmarkEnd w:id="214"/>
      <w:bookmarkEnd w:id="215"/>
      <w:r>
        <w:rPr>
          <w:rFonts w:hint="eastAsia" w:ascii="楷体" w:hAnsi="楷体" w:eastAsia="楷体"/>
          <w:b/>
          <w:sz w:val="22"/>
        </w:rPr>
        <w:t>评分细则</w:t>
      </w:r>
    </w:p>
    <w:p>
      <w:pPr>
        <w:spacing w:line="360" w:lineRule="exact"/>
        <w:rPr>
          <w:rFonts w:ascii="楷体" w:hAnsi="楷体" w:eastAsia="楷体" w:cs="Arial"/>
          <w:sz w:val="22"/>
          <w:szCs w:val="22"/>
        </w:rPr>
      </w:pPr>
      <w:bookmarkStart w:id="216" w:name="_Toc221356903"/>
      <w:bookmarkStart w:id="217" w:name="_Toc221356966"/>
      <w:r>
        <w:rPr>
          <w:rFonts w:ascii="楷体" w:hAnsi="楷体" w:eastAsia="楷体" w:cs="Arial"/>
          <w:sz w:val="22"/>
          <w:szCs w:val="22"/>
        </w:rPr>
        <w:t>1、技术</w:t>
      </w:r>
      <w:r>
        <w:rPr>
          <w:rFonts w:hint="eastAsia" w:ascii="楷体" w:hAnsi="楷体" w:eastAsia="楷体" w:cs="Arial"/>
          <w:sz w:val="22"/>
          <w:szCs w:val="22"/>
        </w:rPr>
        <w:t>、资信部分</w:t>
      </w:r>
      <w:r>
        <w:rPr>
          <w:rFonts w:ascii="楷体" w:hAnsi="楷体" w:eastAsia="楷体" w:cs="Arial"/>
          <w:sz w:val="22"/>
          <w:szCs w:val="22"/>
        </w:rPr>
        <w:t>的评定（</w:t>
      </w:r>
      <w:r>
        <w:rPr>
          <w:rFonts w:hint="eastAsia" w:ascii="楷体" w:hAnsi="楷体" w:eastAsia="楷体" w:cs="Arial"/>
          <w:sz w:val="22"/>
          <w:szCs w:val="22"/>
        </w:rPr>
        <w:t>85</w:t>
      </w:r>
      <w:r>
        <w:rPr>
          <w:rFonts w:ascii="楷体" w:hAnsi="楷体" w:eastAsia="楷体" w:cs="Arial"/>
          <w:sz w:val="22"/>
          <w:szCs w:val="22"/>
        </w:rPr>
        <w:t>分）</w:t>
      </w:r>
    </w:p>
    <w:p>
      <w:pPr>
        <w:spacing w:line="400" w:lineRule="exact"/>
        <w:ind w:left="439" w:leftChars="209"/>
        <w:rPr>
          <w:rFonts w:hint="eastAsia" w:ascii="楷体" w:hAnsi="楷体" w:eastAsia="楷体" w:cs="Arial"/>
          <w:sz w:val="22"/>
          <w:szCs w:val="22"/>
        </w:rPr>
      </w:pPr>
      <w:r>
        <w:rPr>
          <w:rFonts w:hint="eastAsia" w:ascii="楷体" w:hAnsi="楷体" w:eastAsia="楷体" w:cs="Arial"/>
          <w:sz w:val="22"/>
          <w:szCs w:val="22"/>
        </w:rPr>
        <w:t>各评委成员按下列评分内容进行评定，每人一张评分计算表，由评标委员会成员各自评定独立打分并记实名。如某张表的一项评分内容分值超过规定的范围，则该张表无效。评标委员会成员对投标供应商的各项评分内容评分的合计分的算术平均值为该投标供应商技术资信的最终得分（四舍五入，保留小数点后二位）：</w:t>
      </w:r>
    </w:p>
    <w:tbl>
      <w:tblPr>
        <w:tblStyle w:val="2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960"/>
        <w:gridCol w:w="660"/>
        <w:gridCol w:w="680"/>
        <w:gridCol w:w="5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9"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hint="eastAsia" w:ascii="楷体" w:hAnsi="楷体" w:eastAsia="楷体" w:cs="楷体_GB2312"/>
                <w:szCs w:val="21"/>
              </w:rPr>
            </w:pPr>
            <w:r>
              <w:rPr>
                <w:rFonts w:hint="eastAsia" w:ascii="楷体" w:hAnsi="楷体" w:eastAsia="楷体" w:cs="楷体_GB2312"/>
                <w:szCs w:val="21"/>
                <w:lang w:bidi="ar"/>
              </w:rPr>
              <w:t>序号</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hint="eastAsia" w:ascii="楷体" w:hAnsi="楷体" w:eastAsia="楷体" w:cs="楷体_GB2312"/>
                <w:szCs w:val="21"/>
              </w:rPr>
            </w:pPr>
            <w:r>
              <w:rPr>
                <w:rFonts w:hint="eastAsia" w:ascii="楷体" w:hAnsi="楷体" w:eastAsia="楷体" w:cs="楷体_GB2312"/>
                <w:lang w:bidi="ar"/>
              </w:rPr>
              <w:t>评审内容</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2"/>
              <w:widowControl w:val="0"/>
              <w:adjustRightInd w:val="0"/>
              <w:spacing w:before="0" w:beforeAutospacing="0" w:after="0" w:afterAutospacing="0" w:line="312" w:lineRule="atLeast"/>
              <w:jc w:val="both"/>
              <w:rPr>
                <w:rFonts w:hint="eastAsia" w:ascii="楷体" w:hAnsi="楷体" w:eastAsia="楷体" w:cs="楷体_GB2312"/>
                <w:szCs w:val="20"/>
              </w:rPr>
            </w:pPr>
            <w:r>
              <w:rPr>
                <w:rFonts w:hint="eastAsia" w:ascii="楷体" w:hAnsi="楷体" w:eastAsia="楷体" w:cs="楷体_GB2312"/>
                <w:szCs w:val="20"/>
                <w:lang w:bidi="ar"/>
              </w:rPr>
              <w:t>分值范围</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pStyle w:val="22"/>
              <w:widowControl w:val="0"/>
              <w:adjustRightInd w:val="0"/>
              <w:spacing w:before="0" w:beforeAutospacing="0" w:after="0" w:afterAutospacing="0" w:line="312" w:lineRule="atLeast"/>
              <w:jc w:val="center"/>
              <w:rPr>
                <w:rFonts w:hint="eastAsia" w:ascii="楷体" w:hAnsi="楷体" w:eastAsia="楷体" w:cs="楷体_GB2312"/>
                <w:szCs w:val="20"/>
              </w:rPr>
            </w:pPr>
            <w:r>
              <w:rPr>
                <w:rFonts w:hint="eastAsia" w:ascii="楷体" w:hAnsi="楷体" w:eastAsia="楷体" w:cs="楷体_GB2312"/>
                <w:szCs w:val="20"/>
                <w:lang w:bidi="ar"/>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3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rPr>
            </w:pPr>
            <w:r>
              <w:rPr>
                <w:rFonts w:hint="eastAsia" w:ascii="楷体" w:hAnsi="楷体" w:eastAsia="楷体" w:cs="楷体_GB2312"/>
                <w:sz w:val="24"/>
                <w:lang w:bidi="ar"/>
              </w:rPr>
              <w:t>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Cs w:val="21"/>
                <w:lang w:bidi="ar"/>
              </w:rPr>
              <w:t>对本项目道路清扫保洁工作的现状调查与问题剖析</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0-5</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Cs w:val="21"/>
                <w:lang w:bidi="ar"/>
              </w:rPr>
              <w:t>根据投标人对项目范围内道路的现状、保洁情况、存在的问题和清扫保洁的难点、要点等问题进行调查剖析，并针对性的提出克服难点和要点技术措施。</w:t>
            </w:r>
          </w:p>
          <w:p>
            <w:pPr>
              <w:spacing w:line="300" w:lineRule="exact"/>
              <w:rPr>
                <w:rFonts w:hint="eastAsia" w:ascii="楷体" w:hAnsi="楷体" w:eastAsia="楷体" w:cs="楷体_GB2312"/>
                <w:szCs w:val="21"/>
              </w:rPr>
            </w:pPr>
            <w:r>
              <w:rPr>
                <w:rFonts w:hint="eastAsia" w:ascii="楷体" w:hAnsi="楷体" w:eastAsia="楷体" w:cs="楷体_GB2312"/>
                <w:szCs w:val="21"/>
                <w:lang w:bidi="ar"/>
              </w:rPr>
              <w:t>A档5-4.0、B档3.9-2.0、C档1.9-0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7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rPr>
            </w:pPr>
            <w:r>
              <w:rPr>
                <w:rFonts w:hint="eastAsia" w:ascii="楷体" w:hAnsi="楷体" w:eastAsia="楷体" w:cs="楷体_GB2312"/>
                <w:sz w:val="24"/>
                <w:lang w:bidi="ar"/>
              </w:rPr>
              <w:t>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rPr>
            </w:pPr>
            <w:r>
              <w:rPr>
                <w:rFonts w:hint="eastAsia" w:ascii="楷体" w:hAnsi="楷体" w:eastAsia="楷体" w:cs="Arial"/>
                <w:szCs w:val="21"/>
                <w:lang w:bidi="ar"/>
              </w:rPr>
              <w:t>保洁质量安全、组织管理体系、监管考核配合方案</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0-3</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rPr>
            </w:pPr>
            <w:r>
              <w:rPr>
                <w:rFonts w:hint="eastAsia" w:ascii="楷体" w:hAnsi="楷体" w:eastAsia="楷体" w:cs="Arial"/>
                <w:szCs w:val="21"/>
                <w:lang w:bidi="ar"/>
              </w:rPr>
              <w:t>项目质量安全管理体系</w:t>
            </w:r>
          </w:p>
          <w:p>
            <w:pPr>
              <w:spacing w:line="300" w:lineRule="exact"/>
              <w:rPr>
                <w:rFonts w:hint="eastAsia" w:ascii="楷体" w:hAnsi="楷体" w:eastAsia="楷体" w:cs="Arial"/>
                <w:szCs w:val="21"/>
              </w:rPr>
            </w:pPr>
            <w:r>
              <w:rPr>
                <w:rFonts w:hint="eastAsia" w:ascii="楷体" w:hAnsi="楷体" w:eastAsia="楷体" w:cs="Arial"/>
                <w:szCs w:val="21"/>
                <w:lang w:bidi="ar"/>
              </w:rPr>
              <w:t>项目组织管理体系</w:t>
            </w:r>
          </w:p>
          <w:p>
            <w:pPr>
              <w:spacing w:line="300" w:lineRule="exact"/>
              <w:rPr>
                <w:rFonts w:hint="eastAsia" w:ascii="楷体" w:hAnsi="楷体" w:eastAsia="楷体" w:cs="Arial"/>
                <w:szCs w:val="21"/>
              </w:rPr>
            </w:pPr>
            <w:r>
              <w:rPr>
                <w:rFonts w:hint="eastAsia" w:ascii="楷体" w:hAnsi="楷体" w:eastAsia="楷体" w:cs="Arial"/>
                <w:szCs w:val="21"/>
                <w:lang w:bidi="ar"/>
              </w:rPr>
              <w:t>监管考核配合方案</w:t>
            </w:r>
          </w:p>
          <w:p>
            <w:pPr>
              <w:spacing w:line="300" w:lineRule="exact"/>
              <w:rPr>
                <w:rFonts w:hint="eastAsia" w:ascii="楷体" w:hAnsi="楷体" w:eastAsia="楷体" w:cs="Arial"/>
                <w:szCs w:val="21"/>
              </w:rPr>
            </w:pPr>
            <w:r>
              <w:rPr>
                <w:rFonts w:hint="eastAsia" w:ascii="楷体" w:hAnsi="楷体" w:eastAsia="楷体" w:cs="楷体_GB2312"/>
                <w:szCs w:val="21"/>
                <w:lang w:bidi="ar"/>
              </w:rPr>
              <w:t>A档3-2、B档2-1、C档1-0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7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lang w:bidi="ar"/>
              </w:rPr>
            </w:pPr>
            <w:r>
              <w:rPr>
                <w:rFonts w:hint="eastAsia" w:ascii="楷体" w:hAnsi="楷体" w:eastAsia="楷体" w:cs="楷体_GB2312"/>
                <w:sz w:val="24"/>
                <w:lang w:bidi="ar"/>
              </w:rPr>
              <w:t>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lang w:bidi="ar"/>
              </w:rPr>
            </w:pPr>
            <w:r>
              <w:rPr>
                <w:rFonts w:hint="eastAsia" w:ascii="楷体" w:hAnsi="楷体" w:eastAsia="楷体" w:cs="Arial"/>
                <w:szCs w:val="21"/>
              </w:rPr>
              <w:t>参与投标的单位与现有清扫保洁服务单位对接(过渡)方案</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0-10</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与现有清扫保洁服务单位对接(过渡)方案，包括现有保洁人员的吸收方案，稳定过渡实施方案等。</w:t>
            </w:r>
          </w:p>
          <w:p>
            <w:pPr>
              <w:spacing w:line="300" w:lineRule="exact"/>
              <w:rPr>
                <w:rFonts w:hint="eastAsia" w:ascii="楷体" w:hAnsi="楷体" w:eastAsia="楷体" w:cs="楷体_GB2312"/>
                <w:szCs w:val="21"/>
                <w:lang w:bidi="ar"/>
              </w:rPr>
            </w:pPr>
            <w:r>
              <w:rPr>
                <w:rFonts w:hint="eastAsia" w:ascii="楷体_GB2312" w:hAnsi="楷体_GB2312" w:eastAsia="楷体_GB2312" w:cs="楷体_GB2312"/>
                <w:szCs w:val="21"/>
                <w:lang w:bidi="ar"/>
              </w:rPr>
              <w:t>A档10-7、B档7-4、C档4-0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95" w:hRule="atLeast"/>
        </w:trPr>
        <w:tc>
          <w:tcPr>
            <w:tcW w:w="660" w:type="dxa"/>
            <w:vMerge w:val="restart"/>
            <w:tcBorders>
              <w:top w:val="single" w:color="000000" w:sz="4" w:space="0"/>
              <w:left w:val="single" w:color="000000" w:sz="4" w:space="0"/>
              <w:bottom w:val="single" w:color="auto" w:sz="4" w:space="0"/>
              <w:right w:val="single" w:color="000000" w:sz="4" w:space="0"/>
            </w:tcBorders>
            <w:noWrap w:val="0"/>
            <w:vAlign w:val="center"/>
          </w:tcPr>
          <w:p>
            <w:pPr>
              <w:spacing w:line="240" w:lineRule="exact"/>
              <w:ind w:left="-50"/>
              <w:jc w:val="center"/>
              <w:rPr>
                <w:rFonts w:hint="eastAsia" w:ascii="楷体" w:hAnsi="楷体" w:eastAsia="楷体" w:cs="楷体_GB2312"/>
                <w:sz w:val="24"/>
              </w:rPr>
            </w:pPr>
            <w:r>
              <w:rPr>
                <w:rFonts w:hint="eastAsia" w:ascii="楷体" w:hAnsi="楷体" w:eastAsia="楷体" w:cs="楷体_GB2312"/>
                <w:sz w:val="24"/>
                <w:lang w:bidi="ar"/>
              </w:rPr>
              <w:t>4</w:t>
            </w:r>
          </w:p>
        </w:tc>
        <w:tc>
          <w:tcPr>
            <w:tcW w:w="2620" w:type="dxa"/>
            <w:gridSpan w:val="2"/>
            <w:vMerge w:val="restart"/>
            <w:tcBorders>
              <w:top w:val="single" w:color="000000" w:sz="4" w:space="0"/>
              <w:left w:val="single" w:color="000000" w:sz="4" w:space="0"/>
              <w:right w:val="single" w:color="auto"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清扫保洁具体实施计划和方案及保洁作业力量</w:t>
            </w:r>
          </w:p>
        </w:tc>
        <w:tc>
          <w:tcPr>
            <w:tcW w:w="680" w:type="dxa"/>
            <w:tcBorders>
              <w:top w:val="single" w:color="000000" w:sz="4" w:space="0"/>
              <w:left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0-10</w:t>
            </w:r>
          </w:p>
        </w:tc>
        <w:tc>
          <w:tcPr>
            <w:tcW w:w="5777" w:type="dxa"/>
            <w:tcBorders>
              <w:top w:val="single" w:color="000000" w:sz="4" w:space="0"/>
              <w:left w:val="single" w:color="000000" w:sz="4" w:space="0"/>
              <w:bottom w:val="single" w:color="auto" w:sz="4" w:space="0"/>
              <w:right w:val="single" w:color="000000" w:sz="4" w:space="0"/>
            </w:tcBorders>
            <w:noWrap w:val="0"/>
            <w:vAlign w:val="center"/>
          </w:tcPr>
          <w:p>
            <w:pPr>
              <w:tabs>
                <w:tab w:val="left" w:pos="252"/>
              </w:tabs>
              <w:spacing w:line="300" w:lineRule="exact"/>
              <w:rPr>
                <w:rFonts w:hint="eastAsia" w:ascii="楷体" w:hAnsi="楷体" w:eastAsia="楷体" w:cs="Arial"/>
                <w:szCs w:val="21"/>
              </w:rPr>
            </w:pPr>
            <w:r>
              <w:rPr>
                <w:rFonts w:hint="eastAsia" w:ascii="楷体" w:hAnsi="楷体" w:eastAsia="楷体" w:cs="Arial"/>
                <w:szCs w:val="21"/>
                <w:lang w:bidi="ar"/>
              </w:rPr>
              <w:t>道路清扫冲洗、楼道清扫及小广告清理的实施方案；保洁车辆（或设备）和人员投入情况等；提供具体的测算方法及计算依据。</w:t>
            </w:r>
          </w:p>
          <w:p>
            <w:pPr>
              <w:tabs>
                <w:tab w:val="left" w:pos="252"/>
              </w:tabs>
              <w:spacing w:line="300" w:lineRule="exact"/>
              <w:rPr>
                <w:rFonts w:hint="eastAsia" w:ascii="楷体" w:hAnsi="楷体" w:eastAsia="楷体" w:cs="楷体_GB2312"/>
                <w:szCs w:val="21"/>
              </w:rPr>
            </w:pPr>
            <w:r>
              <w:rPr>
                <w:rFonts w:hint="eastAsia" w:ascii="楷体_GB2312" w:hAnsi="楷体_GB2312" w:eastAsia="楷体_GB2312" w:cs="楷体_GB2312"/>
                <w:szCs w:val="21"/>
                <w:lang w:bidi="ar"/>
              </w:rPr>
              <w:t>A档10-7、B档7-4、C档4-0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7" w:hRule="atLeast"/>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rPr>
                <w:rFonts w:ascii="楷体" w:hAnsi="楷体" w:eastAsia="楷体"/>
                <w:sz w:val="20"/>
                <w:szCs w:val="20"/>
              </w:rPr>
            </w:pPr>
          </w:p>
        </w:tc>
        <w:tc>
          <w:tcPr>
            <w:tcW w:w="2620" w:type="dxa"/>
            <w:gridSpan w:val="2"/>
            <w:vMerge w:val="continue"/>
            <w:tcBorders>
              <w:left w:val="single" w:color="000000" w:sz="4" w:space="0"/>
              <w:right w:val="single" w:color="auto" w:sz="4" w:space="0"/>
            </w:tcBorders>
            <w:noWrap w:val="0"/>
            <w:vAlign w:val="center"/>
          </w:tcPr>
          <w:p>
            <w:pPr>
              <w:rPr>
                <w:rFonts w:ascii="楷体" w:hAnsi="楷体" w:eastAsia="楷体"/>
                <w:sz w:val="20"/>
                <w:szCs w:val="20"/>
              </w:rPr>
            </w:pPr>
          </w:p>
        </w:tc>
        <w:tc>
          <w:tcPr>
            <w:tcW w:w="680"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0-8</w:t>
            </w:r>
          </w:p>
        </w:tc>
        <w:tc>
          <w:tcPr>
            <w:tcW w:w="5777" w:type="dxa"/>
            <w:tcBorders>
              <w:top w:val="single" w:color="auto" w:sz="4" w:space="0"/>
              <w:left w:val="single" w:color="000000" w:sz="4" w:space="0"/>
              <w:bottom w:val="single" w:color="auto" w:sz="4" w:space="0"/>
              <w:right w:val="single" w:color="000000" w:sz="4" w:space="0"/>
            </w:tcBorders>
            <w:noWrap w:val="0"/>
            <w:vAlign w:val="center"/>
          </w:tcPr>
          <w:p>
            <w:pPr>
              <w:tabs>
                <w:tab w:val="left" w:pos="252"/>
              </w:tabs>
              <w:spacing w:line="300" w:lineRule="exact"/>
              <w:rPr>
                <w:rFonts w:hint="eastAsia" w:ascii="楷体" w:hAnsi="楷体" w:eastAsia="楷体" w:cs="楷体_GB2312"/>
                <w:szCs w:val="21"/>
              </w:rPr>
            </w:pPr>
            <w:r>
              <w:rPr>
                <w:rFonts w:hint="eastAsia" w:ascii="楷体" w:hAnsi="楷体" w:eastAsia="楷体" w:cs="Arial"/>
                <w:szCs w:val="21"/>
                <w:lang w:bidi="ar"/>
              </w:rPr>
              <w:t>绿化带清扫保洁方案；保洁车辆（或设备）和人员投入情况等。</w:t>
            </w:r>
            <w:r>
              <w:rPr>
                <w:rFonts w:hint="eastAsia" w:ascii="楷体" w:hAnsi="楷体" w:eastAsia="楷体" w:cs="楷体_GB2312"/>
                <w:szCs w:val="21"/>
                <w:lang w:bidi="ar"/>
              </w:rPr>
              <w:t>A档8-5、B档5-2、C档3-0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6" w:hRule="atLeast"/>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rPr>
                <w:rFonts w:ascii="楷体" w:hAnsi="楷体" w:eastAsia="楷体"/>
                <w:sz w:val="20"/>
                <w:szCs w:val="20"/>
              </w:rPr>
            </w:pPr>
          </w:p>
        </w:tc>
        <w:tc>
          <w:tcPr>
            <w:tcW w:w="2620" w:type="dxa"/>
            <w:gridSpan w:val="2"/>
            <w:vMerge w:val="continue"/>
            <w:tcBorders>
              <w:left w:val="single" w:color="000000" w:sz="4" w:space="0"/>
              <w:right w:val="single" w:color="auto" w:sz="4" w:space="0"/>
            </w:tcBorders>
            <w:noWrap w:val="0"/>
            <w:vAlign w:val="center"/>
          </w:tcPr>
          <w:p>
            <w:pPr>
              <w:rPr>
                <w:rFonts w:ascii="楷体" w:hAnsi="楷体" w:eastAsia="楷体"/>
                <w:sz w:val="20"/>
                <w:szCs w:val="20"/>
              </w:rPr>
            </w:pPr>
          </w:p>
        </w:tc>
        <w:tc>
          <w:tcPr>
            <w:tcW w:w="680"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0-8</w:t>
            </w:r>
          </w:p>
        </w:tc>
        <w:tc>
          <w:tcPr>
            <w:tcW w:w="5777" w:type="dxa"/>
            <w:tcBorders>
              <w:top w:val="single" w:color="auto" w:sz="4" w:space="0"/>
              <w:left w:val="single" w:color="000000" w:sz="4" w:space="0"/>
              <w:bottom w:val="single" w:color="auto" w:sz="4" w:space="0"/>
              <w:right w:val="single" w:color="000000" w:sz="4" w:space="0"/>
            </w:tcBorders>
            <w:noWrap w:val="0"/>
            <w:vAlign w:val="center"/>
          </w:tcPr>
          <w:p>
            <w:pPr>
              <w:tabs>
                <w:tab w:val="left" w:pos="252"/>
              </w:tabs>
              <w:spacing w:line="300" w:lineRule="exact"/>
              <w:rPr>
                <w:rFonts w:hint="eastAsia" w:ascii="楷体" w:hAnsi="楷体" w:eastAsia="楷体" w:cs="Arial"/>
                <w:szCs w:val="21"/>
                <w:lang w:bidi="ar"/>
              </w:rPr>
            </w:pPr>
            <w:r>
              <w:rPr>
                <w:rFonts w:hint="eastAsia" w:ascii="楷体" w:hAnsi="楷体" w:eastAsia="楷体" w:cs="Arial"/>
                <w:szCs w:val="21"/>
                <w:lang w:bidi="ar"/>
              </w:rPr>
              <w:t>环卫设施清洁方案；保洁车辆（或设备）和人员投入情况。</w:t>
            </w:r>
          </w:p>
          <w:p>
            <w:pPr>
              <w:tabs>
                <w:tab w:val="left" w:pos="252"/>
              </w:tabs>
              <w:spacing w:line="300" w:lineRule="exact"/>
              <w:rPr>
                <w:rFonts w:hint="eastAsia" w:ascii="楷体" w:hAnsi="楷体" w:eastAsia="楷体" w:cs="Arial"/>
                <w:szCs w:val="21"/>
              </w:rPr>
            </w:pPr>
            <w:r>
              <w:rPr>
                <w:rFonts w:hint="eastAsia" w:ascii="楷体" w:hAnsi="楷体" w:eastAsia="楷体" w:cs="楷体_GB2312"/>
                <w:szCs w:val="21"/>
                <w:lang w:bidi="ar"/>
              </w:rPr>
              <w:t>A档8-5、B档5-2、C档3-0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7" w:hRule="atLeast"/>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rPr>
                <w:rFonts w:ascii="楷体" w:hAnsi="楷体" w:eastAsia="楷体"/>
                <w:sz w:val="20"/>
                <w:szCs w:val="20"/>
              </w:rPr>
            </w:pPr>
          </w:p>
        </w:tc>
        <w:tc>
          <w:tcPr>
            <w:tcW w:w="2620" w:type="dxa"/>
            <w:gridSpan w:val="2"/>
            <w:vMerge w:val="continue"/>
            <w:tcBorders>
              <w:left w:val="single" w:color="000000" w:sz="4" w:space="0"/>
              <w:right w:val="single" w:color="auto" w:sz="4" w:space="0"/>
            </w:tcBorders>
            <w:noWrap w:val="0"/>
            <w:vAlign w:val="center"/>
          </w:tcPr>
          <w:p>
            <w:pPr>
              <w:rPr>
                <w:rFonts w:ascii="楷体" w:hAnsi="楷体" w:eastAsia="楷体"/>
                <w:sz w:val="20"/>
                <w:szCs w:val="20"/>
              </w:rPr>
            </w:pPr>
          </w:p>
        </w:tc>
        <w:tc>
          <w:tcPr>
            <w:tcW w:w="680"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0-9</w:t>
            </w:r>
          </w:p>
        </w:tc>
        <w:tc>
          <w:tcPr>
            <w:tcW w:w="5777" w:type="dxa"/>
            <w:tcBorders>
              <w:top w:val="single" w:color="auto" w:sz="4" w:space="0"/>
              <w:left w:val="single" w:color="000000" w:sz="4" w:space="0"/>
              <w:bottom w:val="single" w:color="auto" w:sz="4" w:space="0"/>
              <w:right w:val="single" w:color="000000" w:sz="4" w:space="0"/>
            </w:tcBorders>
            <w:noWrap w:val="0"/>
            <w:vAlign w:val="center"/>
          </w:tcPr>
          <w:p>
            <w:pPr>
              <w:tabs>
                <w:tab w:val="left" w:pos="252"/>
              </w:tabs>
              <w:spacing w:line="300" w:lineRule="exact"/>
              <w:rPr>
                <w:rFonts w:hint="eastAsia" w:ascii="楷体" w:hAnsi="楷体" w:eastAsia="楷体" w:cs="Arial"/>
                <w:szCs w:val="21"/>
              </w:rPr>
            </w:pPr>
            <w:r>
              <w:rPr>
                <w:rFonts w:hint="eastAsia" w:ascii="楷体" w:hAnsi="楷体" w:eastAsia="楷体" w:cs="Arial"/>
                <w:szCs w:val="21"/>
                <w:lang w:bidi="ar"/>
              </w:rPr>
              <w:t>垃圾清运及辖区内无主装潢垃圾及大件垃圾的清运方案（包括垃圾中转场地及情况描述）；保洁车辆（或设备）和人员投入情况。</w:t>
            </w:r>
          </w:p>
          <w:p>
            <w:pPr>
              <w:widowControl/>
              <w:jc w:val="left"/>
              <w:rPr>
                <w:rFonts w:hint="eastAsia" w:ascii="楷体" w:hAnsi="楷体" w:eastAsia="楷体" w:cs="楷体_GB2312"/>
                <w:szCs w:val="21"/>
                <w:lang w:bidi="ar"/>
              </w:rPr>
            </w:pPr>
            <w:r>
              <w:rPr>
                <w:rFonts w:hint="eastAsia" w:ascii="楷体" w:hAnsi="楷体" w:eastAsia="楷体" w:cs="楷体_GB2312"/>
                <w:szCs w:val="21"/>
                <w:lang w:bidi="ar"/>
              </w:rPr>
              <w:t>A档9-7、B档7-4、C档4-0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46" w:hRule="atLeast"/>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rPr>
                <w:rFonts w:ascii="楷体" w:hAnsi="楷体" w:eastAsia="楷体"/>
                <w:sz w:val="20"/>
                <w:szCs w:val="20"/>
              </w:rPr>
            </w:pPr>
          </w:p>
        </w:tc>
        <w:tc>
          <w:tcPr>
            <w:tcW w:w="2620" w:type="dxa"/>
            <w:gridSpan w:val="2"/>
            <w:vMerge w:val="continue"/>
            <w:tcBorders>
              <w:left w:val="single" w:color="000000" w:sz="4" w:space="0"/>
              <w:bottom w:val="single" w:color="auto" w:sz="4" w:space="0"/>
              <w:right w:val="single" w:color="auto" w:sz="4" w:space="0"/>
            </w:tcBorders>
            <w:noWrap w:val="0"/>
            <w:vAlign w:val="center"/>
          </w:tcPr>
          <w:p>
            <w:pPr>
              <w:rPr>
                <w:rFonts w:ascii="楷体" w:hAnsi="楷体" w:eastAsia="楷体"/>
                <w:sz w:val="20"/>
                <w:szCs w:val="20"/>
              </w:rPr>
            </w:pPr>
          </w:p>
        </w:tc>
        <w:tc>
          <w:tcPr>
            <w:tcW w:w="680" w:type="dxa"/>
            <w:tcBorders>
              <w:top w:val="single" w:color="auto" w:sz="4" w:space="0"/>
              <w:left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rPr>
            </w:pPr>
            <w:r>
              <w:rPr>
                <w:rFonts w:hint="eastAsia" w:ascii="楷体" w:hAnsi="楷体" w:eastAsia="楷体" w:cs="楷体_GB2312"/>
                <w:szCs w:val="21"/>
                <w:lang w:bidi="ar"/>
              </w:rPr>
              <w:t>0-4</w:t>
            </w:r>
          </w:p>
        </w:tc>
        <w:tc>
          <w:tcPr>
            <w:tcW w:w="5777" w:type="dxa"/>
            <w:tcBorders>
              <w:top w:val="single" w:color="auto" w:sz="4" w:space="0"/>
              <w:left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Cs w:val="21"/>
                <w:lang w:bidi="ar"/>
              </w:rPr>
              <w:t>各事项的时间计划安排</w:t>
            </w:r>
          </w:p>
          <w:p>
            <w:pPr>
              <w:spacing w:line="300" w:lineRule="exact"/>
              <w:rPr>
                <w:rFonts w:hint="eastAsia" w:ascii="楷体" w:hAnsi="楷体" w:eastAsia="楷体" w:cs="Arial"/>
                <w:szCs w:val="21"/>
              </w:rPr>
            </w:pPr>
            <w:r>
              <w:rPr>
                <w:rFonts w:hint="eastAsia" w:ascii="楷体" w:hAnsi="楷体" w:eastAsia="楷体" w:cs="楷体_GB2312"/>
                <w:szCs w:val="21"/>
                <w:lang w:bidi="ar"/>
              </w:rPr>
              <w:t>A档4-2、B档2-1、C档1-0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46" w:hRule="atLeast"/>
        </w:trPr>
        <w:tc>
          <w:tcPr>
            <w:tcW w:w="660"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ind w:left="-50"/>
              <w:jc w:val="center"/>
              <w:rPr>
                <w:rFonts w:hint="eastAsia" w:ascii="楷体" w:hAnsi="楷体" w:eastAsia="楷体" w:cs="楷体_GB2312"/>
                <w:sz w:val="24"/>
              </w:rPr>
            </w:pPr>
            <w:r>
              <w:rPr>
                <w:rFonts w:hint="eastAsia" w:ascii="楷体" w:hAnsi="楷体" w:eastAsia="楷体" w:cs="楷体_GB2312"/>
                <w:sz w:val="24"/>
                <w:lang w:bidi="ar"/>
              </w:rPr>
              <w:t>5</w:t>
            </w:r>
          </w:p>
        </w:tc>
        <w:tc>
          <w:tcPr>
            <w:tcW w:w="196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ascii="楷体" w:hAnsi="楷体" w:eastAsia="楷体" w:cs="楷体_GB2312"/>
                <w:szCs w:val="21"/>
                <w:lang w:bidi="ar"/>
              </w:rPr>
            </w:pPr>
            <w:r>
              <w:rPr>
                <w:rFonts w:hint="eastAsia" w:ascii="楷体" w:hAnsi="楷体" w:eastAsia="楷体" w:cs="楷体_GB2312"/>
                <w:szCs w:val="21"/>
                <w:lang w:bidi="ar"/>
              </w:rPr>
              <w:t>五马历史文化商业街区道路保洁方案</w:t>
            </w:r>
          </w:p>
        </w:tc>
        <w:tc>
          <w:tcPr>
            <w:tcW w:w="1340" w:type="dxa"/>
            <w:gridSpan w:val="2"/>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0-10</w:t>
            </w:r>
          </w:p>
        </w:tc>
        <w:tc>
          <w:tcPr>
            <w:tcW w:w="5777" w:type="dxa"/>
            <w:tcBorders>
              <w:top w:val="single" w:color="auto" w:sz="4" w:space="0"/>
              <w:left w:val="single" w:color="000000" w:sz="4" w:space="0"/>
              <w:right w:val="single" w:color="000000" w:sz="4" w:space="0"/>
            </w:tcBorders>
            <w:noWrap w:val="0"/>
            <w:vAlign w:val="center"/>
          </w:tcPr>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对“席地而坐”标准制定的保洁方案，包含</w:t>
            </w:r>
            <w:r>
              <w:rPr>
                <w:rFonts w:ascii="楷体" w:hAnsi="楷体" w:eastAsia="楷体" w:cs="楷体_GB2312"/>
                <w:szCs w:val="21"/>
                <w:lang w:bidi="ar"/>
              </w:rPr>
              <w:t>人员配置</w:t>
            </w:r>
            <w:r>
              <w:rPr>
                <w:rFonts w:hint="eastAsia" w:ascii="楷体" w:hAnsi="楷体" w:eastAsia="楷体" w:cs="楷体_GB2312"/>
                <w:szCs w:val="21"/>
                <w:lang w:bidi="ar"/>
              </w:rPr>
              <w:t>情况，员工交班及</w:t>
            </w:r>
            <w:r>
              <w:rPr>
                <w:rFonts w:ascii="楷体" w:hAnsi="楷体" w:eastAsia="楷体" w:cs="楷体_GB2312"/>
                <w:szCs w:val="21"/>
                <w:lang w:bidi="ar"/>
              </w:rPr>
              <w:t>排班</w:t>
            </w:r>
            <w:r>
              <w:rPr>
                <w:rFonts w:hint="eastAsia" w:ascii="楷体" w:hAnsi="楷体" w:eastAsia="楷体" w:cs="楷体_GB2312"/>
                <w:szCs w:val="21"/>
                <w:lang w:bidi="ar"/>
              </w:rPr>
              <w:t>计划，员工管理等</w:t>
            </w:r>
          </w:p>
          <w:p>
            <w:pPr>
              <w:spacing w:line="300" w:lineRule="exact"/>
              <w:rPr>
                <w:rFonts w:hint="eastAsia" w:ascii="楷体" w:hAnsi="楷体" w:eastAsia="楷体" w:cs="楷体_GB2312"/>
                <w:szCs w:val="21"/>
                <w:lang w:bidi="ar"/>
              </w:rPr>
            </w:pPr>
            <w:r>
              <w:rPr>
                <w:rFonts w:hint="eastAsia" w:ascii="楷体_GB2312" w:hAnsi="楷体_GB2312" w:eastAsia="楷体_GB2312" w:cs="楷体_GB2312"/>
                <w:szCs w:val="21"/>
                <w:lang w:bidi="ar"/>
              </w:rPr>
              <w:t>A档10-7、B档7-4、C档4-0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99"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rPr>
            </w:pPr>
            <w:r>
              <w:rPr>
                <w:rFonts w:hint="eastAsia" w:ascii="楷体" w:hAnsi="楷体" w:eastAsia="楷体" w:cs="楷体_GB2312"/>
                <w:sz w:val="24"/>
                <w:lang w:bidi="ar"/>
              </w:rPr>
              <w:t>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应对突发事情的响应及处理方案</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0-8</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 w:val="22"/>
                <w:lang w:bidi="ar"/>
              </w:rPr>
              <w:t>应对突发事情的响应及处理方案等是否科学、合理、高效，酌情打分。</w:t>
            </w:r>
            <w:r>
              <w:rPr>
                <w:rFonts w:hint="eastAsia" w:ascii="楷体" w:hAnsi="楷体" w:eastAsia="楷体" w:cs="楷体_GB2312"/>
                <w:szCs w:val="21"/>
                <w:lang w:bidi="ar"/>
              </w:rPr>
              <w:t>A档8-5、B档5-2、C档3-0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2"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lang w:bidi="ar"/>
              </w:rPr>
            </w:pPr>
            <w:r>
              <w:rPr>
                <w:rFonts w:hint="eastAsia" w:ascii="楷体" w:hAnsi="楷体" w:eastAsia="楷体" w:cs="楷体_GB2312"/>
                <w:sz w:val="24"/>
                <w:lang w:bidi="ar"/>
              </w:rPr>
              <w:t>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拟设立的各项管理规章制度及档案资料的建立管理</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0-3</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Cs w:val="21"/>
                <w:lang w:bidi="ar"/>
              </w:rPr>
              <w:t>各项公众制度、内部岗位责任制度、管理运作制度、考核制度及标准等，要求符合规范，体现高标准、高档次、科学合理、详细完备；人员、设施、设备管理服务等档案的建立与管理。A档3-2、B档2-1、C档1-0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2"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lang w:bidi="ar"/>
              </w:rPr>
            </w:pPr>
            <w:r>
              <w:rPr>
                <w:rFonts w:hint="eastAsia" w:ascii="楷体" w:hAnsi="楷体" w:eastAsia="楷体" w:cs="楷体_GB2312"/>
                <w:sz w:val="24"/>
                <w:lang w:bidi="ar"/>
              </w:rPr>
              <w:t>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微信管理方案</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楷体_GB2312"/>
                <w:szCs w:val="21"/>
                <w:lang w:bidi="ar"/>
              </w:rPr>
            </w:pPr>
            <w:r>
              <w:rPr>
                <w:rFonts w:hint="eastAsia" w:ascii="楷体" w:hAnsi="楷体" w:eastAsia="楷体" w:cs="楷体_GB2312"/>
                <w:szCs w:val="21"/>
                <w:lang w:bidi="ar"/>
              </w:rPr>
              <w:t>0-3</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rPr>
            </w:pPr>
            <w:r>
              <w:rPr>
                <w:rFonts w:hint="eastAsia" w:ascii="楷体" w:hAnsi="楷体" w:eastAsia="楷体" w:cs="Arial"/>
                <w:szCs w:val="21"/>
              </w:rPr>
              <w:t>根据微信管理配合监管考核方案进行评分。</w:t>
            </w:r>
          </w:p>
          <w:p>
            <w:pPr>
              <w:spacing w:line="300" w:lineRule="exact"/>
              <w:rPr>
                <w:rFonts w:hint="eastAsia" w:ascii="楷体" w:hAnsi="楷体" w:eastAsia="楷体" w:cs="楷体_GB2312"/>
                <w:szCs w:val="21"/>
                <w:lang w:bidi="ar"/>
              </w:rPr>
            </w:pPr>
            <w:r>
              <w:rPr>
                <w:rFonts w:hint="eastAsia" w:ascii="楷体" w:hAnsi="楷体" w:eastAsia="楷体" w:cs="楷体_GB2312"/>
                <w:szCs w:val="21"/>
                <w:lang w:bidi="ar"/>
              </w:rPr>
              <w:t>A档3-2、B档2-1、C档1-0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82"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lang w:bidi="ar"/>
              </w:rPr>
            </w:pPr>
            <w:r>
              <w:rPr>
                <w:rFonts w:hint="eastAsia" w:ascii="楷体" w:hAnsi="楷体" w:eastAsia="楷体" w:cs="楷体_GB2312"/>
                <w:sz w:val="24"/>
                <w:lang w:bidi="ar"/>
              </w:rPr>
              <w:t>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rPr>
            </w:pPr>
            <w:r>
              <w:rPr>
                <w:rFonts w:hint="eastAsia" w:ascii="楷体" w:hAnsi="楷体" w:eastAsia="楷体" w:cs="Arial"/>
                <w:szCs w:val="21"/>
              </w:rPr>
              <w:t>投标人近三年内（2016年6月1日至今）道路保洁服务业绩</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楷体" w:hAnsi="楷体" w:eastAsia="楷体" w:cs="Arial"/>
                <w:szCs w:val="21"/>
              </w:rPr>
            </w:pPr>
            <w:r>
              <w:rPr>
                <w:rFonts w:hint="eastAsia" w:ascii="楷体" w:hAnsi="楷体" w:eastAsia="楷体" w:cs="Arial"/>
                <w:szCs w:val="21"/>
              </w:rPr>
              <w:t>0-3</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Arial"/>
                <w:szCs w:val="21"/>
              </w:rPr>
            </w:pPr>
            <w:r>
              <w:rPr>
                <w:rFonts w:hint="eastAsia" w:ascii="楷体" w:hAnsi="楷体" w:eastAsia="楷体" w:cs="Arial"/>
                <w:szCs w:val="21"/>
              </w:rPr>
              <w:t>根据供应商在2016年6月以来承担过道路保洁项目（指政府投资项目）的合同每个得2分，满分得4分。同一服务项目只能按一个业绩计算。</w:t>
            </w:r>
          </w:p>
          <w:p>
            <w:pPr>
              <w:spacing w:line="300" w:lineRule="exact"/>
              <w:rPr>
                <w:rFonts w:hint="eastAsia" w:ascii="楷体" w:hAnsi="楷体" w:eastAsia="楷体" w:cs="Arial"/>
                <w:szCs w:val="21"/>
              </w:rPr>
            </w:pPr>
            <w:r>
              <w:rPr>
                <w:rFonts w:hint="eastAsia" w:ascii="楷体" w:hAnsi="楷体" w:eastAsia="楷体" w:cs="Arial"/>
                <w:szCs w:val="21"/>
              </w:rPr>
              <w:t>注：提供合同、中标通知书复印件加盖公章，携带原件核对否则不予计分。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1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 w:val="24"/>
                <w:lang w:bidi="ar"/>
              </w:rPr>
            </w:pPr>
            <w:r>
              <w:rPr>
                <w:rFonts w:hint="eastAsia" w:ascii="楷体" w:hAnsi="楷体" w:eastAsia="楷体" w:cs="楷体_GB2312"/>
                <w:sz w:val="24"/>
                <w:lang w:bidi="ar"/>
              </w:rPr>
              <w:t>10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楷体" w:hAnsi="楷体" w:eastAsia="楷体" w:cs="楷体_GB2312"/>
                <w:szCs w:val="21"/>
                <w:lang w:bidi="ar"/>
              </w:rPr>
            </w:pPr>
            <w:r>
              <w:rPr>
                <w:rFonts w:hint="eastAsia" w:ascii="楷体" w:hAnsi="楷体" w:eastAsia="楷体" w:cs="楷体_GB2312"/>
                <w:szCs w:val="21"/>
                <w:lang w:bidi="ar"/>
              </w:rPr>
              <w:t>技术资信标的编制情况</w:t>
            </w:r>
          </w:p>
        </w:tc>
        <w:tc>
          <w:tcPr>
            <w:tcW w:w="13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50"/>
              <w:jc w:val="center"/>
              <w:rPr>
                <w:rFonts w:hint="eastAsia" w:ascii="楷体" w:hAnsi="楷体" w:eastAsia="楷体" w:cs="楷体_GB2312"/>
                <w:szCs w:val="21"/>
                <w:lang w:bidi="ar"/>
              </w:rPr>
            </w:pPr>
            <w:r>
              <w:rPr>
                <w:rFonts w:hint="eastAsia" w:ascii="楷体" w:hAnsi="楷体" w:eastAsia="楷体" w:cs="楷体_GB2312"/>
                <w:szCs w:val="21"/>
                <w:lang w:bidi="ar"/>
              </w:rPr>
              <w:t>0-1</w:t>
            </w:r>
          </w:p>
        </w:tc>
        <w:tc>
          <w:tcPr>
            <w:tcW w:w="577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hAnsi="楷体" w:eastAsia="楷体" w:cs="楷体_GB2312"/>
                <w:szCs w:val="21"/>
              </w:rPr>
            </w:pPr>
            <w:r>
              <w:rPr>
                <w:rFonts w:hint="eastAsia" w:ascii="楷体" w:hAnsi="楷体" w:eastAsia="楷体" w:cs="楷体_GB2312"/>
                <w:szCs w:val="21"/>
                <w:lang w:bidi="ar"/>
              </w:rPr>
              <w:t>技术资信标内容完整性、正确性。</w:t>
            </w:r>
          </w:p>
          <w:p>
            <w:pPr>
              <w:spacing w:line="300" w:lineRule="exact"/>
              <w:rPr>
                <w:rFonts w:hint="eastAsia" w:ascii="楷体" w:hAnsi="楷体" w:eastAsia="楷体" w:cs="楷体_GB2312"/>
                <w:szCs w:val="21"/>
              </w:rPr>
            </w:pPr>
            <w:r>
              <w:rPr>
                <w:rFonts w:hint="eastAsia" w:ascii="楷体" w:hAnsi="楷体" w:eastAsia="楷体" w:cs="楷体_GB2312"/>
                <w:szCs w:val="21"/>
                <w:lang w:bidi="ar"/>
              </w:rPr>
              <w:t>A档1-0.6、B档0.6-0.3、C档0.3-0</w:t>
            </w:r>
          </w:p>
          <w:p>
            <w:pPr>
              <w:widowControl/>
              <w:jc w:val="left"/>
              <w:rPr>
                <w:rFonts w:hint="eastAsia" w:ascii="楷体" w:hAnsi="楷体" w:eastAsia="楷体" w:cs="楷体_GB2312"/>
                <w:b/>
                <w:szCs w:val="21"/>
                <w:lang w:bidi="ar"/>
              </w:rPr>
            </w:pPr>
            <w:r>
              <w:rPr>
                <w:rFonts w:hint="eastAsia" w:ascii="楷体" w:hAnsi="楷体" w:eastAsia="楷体" w:cs="楷体_GB2312"/>
                <w:b/>
                <w:szCs w:val="21"/>
                <w:lang w:bidi="ar"/>
              </w:rPr>
              <w:t>（技术资信标除封面外要求总页数不超过200页，否则该项得0分。</w:t>
            </w:r>
            <w:r>
              <w:rPr>
                <w:rFonts w:hint="eastAsia" w:ascii="楷体" w:hAnsi="楷体" w:eastAsia="楷体" w:cs="楷体_GB2312"/>
                <w:szCs w:val="21"/>
                <w:lang w:bidi="ar"/>
              </w:rPr>
              <w:t>为节约用纸，建议双面复印或打印。</w:t>
            </w:r>
            <w:r>
              <w:rPr>
                <w:rFonts w:hint="eastAsia" w:ascii="楷体" w:hAnsi="楷体" w:eastAsia="楷体" w:cs="楷体_GB2312"/>
                <w:b/>
                <w:szCs w:val="21"/>
                <w:lang w:bidi="ar"/>
              </w:rPr>
              <w:t>）</w:t>
            </w:r>
          </w:p>
        </w:tc>
      </w:tr>
    </w:tbl>
    <w:p>
      <w:pPr>
        <w:rPr>
          <w:rFonts w:ascii="楷体" w:hAnsi="楷体" w:eastAsia="楷体"/>
          <w:vanish/>
        </w:rPr>
      </w:pPr>
    </w:p>
    <w:tbl>
      <w:tblPr>
        <w:tblStyle w:val="26"/>
        <w:tblpPr w:leftFromText="180" w:rightFromText="180" w:vertAnchor="text" w:tblpX="10880" w:tblpY="-87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 w:hRule="atLeast"/>
        </w:trPr>
        <w:tc>
          <w:tcPr>
            <w:tcW w:w="324" w:type="dxa"/>
            <w:noWrap w:val="0"/>
            <w:vAlign w:val="top"/>
          </w:tcPr>
          <w:p>
            <w:pPr>
              <w:spacing w:line="360" w:lineRule="exact"/>
              <w:rPr>
                <w:rFonts w:hint="eastAsia" w:ascii="楷体" w:hAnsi="楷体" w:eastAsia="楷体" w:cs="Arial"/>
                <w:sz w:val="22"/>
                <w:szCs w:val="22"/>
              </w:rPr>
            </w:pPr>
          </w:p>
        </w:tc>
      </w:tr>
    </w:tbl>
    <w:p>
      <w:pPr>
        <w:spacing w:line="360" w:lineRule="exact"/>
        <w:rPr>
          <w:rFonts w:hint="eastAsia" w:ascii="楷体" w:hAnsi="楷体" w:eastAsia="楷体"/>
          <w:sz w:val="22"/>
          <w:szCs w:val="22"/>
        </w:rPr>
      </w:pPr>
      <w:r>
        <w:rPr>
          <w:rFonts w:hint="eastAsia" w:ascii="楷体" w:hAnsi="楷体" w:eastAsia="楷体" w:cs="Arial"/>
          <w:sz w:val="22"/>
          <w:szCs w:val="22"/>
        </w:rPr>
        <w:t>2、商务标（报价）评分（15分）</w:t>
      </w:r>
    </w:p>
    <w:p>
      <w:pPr>
        <w:spacing w:line="360" w:lineRule="exact"/>
        <w:ind w:left="328" w:leftChars="156"/>
        <w:rPr>
          <w:rFonts w:hint="eastAsia" w:ascii="楷体" w:hAnsi="楷体" w:eastAsia="楷体" w:cs="Arial"/>
          <w:sz w:val="22"/>
          <w:szCs w:val="22"/>
        </w:rPr>
      </w:pPr>
      <w:r>
        <w:rPr>
          <w:rFonts w:hint="eastAsia" w:ascii="楷体" w:hAnsi="楷体" w:eastAsia="楷体" w:cs="Arial"/>
          <w:sz w:val="22"/>
          <w:szCs w:val="22"/>
        </w:rPr>
        <w:t>满足招标文件要求且有效投标报价最低的投标价为评标基准价，其余投标人投标价与该基准价对比，计算出商务报价评分值（保留小数2位）：</w:t>
      </w:r>
    </w:p>
    <w:p>
      <w:pPr>
        <w:spacing w:line="360" w:lineRule="exact"/>
        <w:ind w:firstLine="330" w:firstLineChars="150"/>
        <w:rPr>
          <w:rFonts w:hint="eastAsia" w:ascii="楷体" w:hAnsi="楷体" w:eastAsia="楷体" w:cs="Arial"/>
          <w:sz w:val="22"/>
          <w:szCs w:val="22"/>
        </w:rPr>
      </w:pPr>
      <w:r>
        <w:rPr>
          <w:rFonts w:hint="eastAsia" w:ascii="楷体" w:hAnsi="楷体" w:eastAsia="楷体" w:cs="Arial"/>
          <w:sz w:val="22"/>
          <w:szCs w:val="22"/>
        </w:rPr>
        <w:t>1）有效投标人的投标价等于评标基准价时其报价分为满分；</w:t>
      </w:r>
    </w:p>
    <w:p>
      <w:pPr>
        <w:spacing w:line="360" w:lineRule="exact"/>
        <w:ind w:firstLine="330" w:firstLineChars="150"/>
        <w:rPr>
          <w:rFonts w:hint="eastAsia" w:ascii="楷体" w:hAnsi="楷体" w:eastAsia="楷体" w:cs="Arial"/>
          <w:sz w:val="22"/>
          <w:szCs w:val="22"/>
        </w:rPr>
      </w:pPr>
      <w:r>
        <w:rPr>
          <w:rFonts w:hint="eastAsia" w:ascii="楷体" w:hAnsi="楷体" w:eastAsia="楷体" w:cs="Arial"/>
          <w:sz w:val="22"/>
          <w:szCs w:val="22"/>
        </w:rPr>
        <w:t>2）其他投标人的价格分按以下公式计算：</w:t>
      </w:r>
    </w:p>
    <w:p>
      <w:pPr>
        <w:spacing w:line="370" w:lineRule="exact"/>
        <w:ind w:firstLine="660" w:firstLineChars="300"/>
        <w:rPr>
          <w:rFonts w:hint="eastAsia" w:ascii="楷体" w:hAnsi="楷体" w:eastAsia="楷体"/>
          <w:sz w:val="22"/>
          <w:szCs w:val="22"/>
        </w:rPr>
      </w:pPr>
      <w:r>
        <w:rPr>
          <w:rFonts w:ascii="楷体" w:hAnsi="楷体" w:eastAsia="楷体"/>
          <w:sz w:val="22"/>
          <w:szCs w:val="22"/>
        </w:rPr>
        <w:t>投标报价得分=（评标基准价/投标人投标价）×15%×100（保留小数2位）,因落实政府采购政策需进行价格扣除的，以扣除后的价格计算评标基准价和投标报价。</w:t>
      </w:r>
    </w:p>
    <w:tbl>
      <w:tblPr>
        <w:tblStyle w:val="26"/>
        <w:tblW w:w="96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06"/>
        <w:gridCol w:w="45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6"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line="370" w:lineRule="exact"/>
              <w:jc w:val="center"/>
              <w:rPr>
                <w:rFonts w:hint="eastAsia" w:ascii="楷体" w:hAnsi="楷体" w:eastAsia="楷体"/>
                <w:sz w:val="22"/>
                <w:szCs w:val="22"/>
              </w:rPr>
            </w:pPr>
            <w:r>
              <w:rPr>
                <w:rFonts w:ascii="楷体" w:hAnsi="楷体" w:eastAsia="楷体"/>
                <w:sz w:val="22"/>
                <w:szCs w:val="22"/>
              </w:rPr>
              <w:t>内容</w:t>
            </w:r>
          </w:p>
        </w:tc>
        <w:tc>
          <w:tcPr>
            <w:tcW w:w="4526" w:type="dxa"/>
            <w:tcBorders>
              <w:top w:val="inset" w:color="auto" w:sz="6" w:space="0"/>
              <w:left w:val="single" w:color="auto" w:sz="0" w:space="0"/>
              <w:bottom w:val="inset" w:color="auto" w:sz="6" w:space="0"/>
              <w:right w:val="inset" w:color="auto" w:sz="6" w:space="0"/>
            </w:tcBorders>
            <w:shd w:val="clear" w:color="auto" w:fill="FFFFFF"/>
            <w:noWrap w:val="0"/>
            <w:vAlign w:val="center"/>
          </w:tcPr>
          <w:p>
            <w:pPr>
              <w:spacing w:line="370" w:lineRule="exact"/>
              <w:jc w:val="center"/>
              <w:rPr>
                <w:rFonts w:hint="eastAsia" w:ascii="楷体" w:hAnsi="楷体" w:eastAsia="楷体"/>
                <w:sz w:val="22"/>
                <w:szCs w:val="22"/>
              </w:rPr>
            </w:pPr>
            <w:r>
              <w:rPr>
                <w:rFonts w:ascii="楷体" w:hAnsi="楷体" w:eastAsia="楷体"/>
                <w:sz w:val="22"/>
                <w:szCs w:val="22"/>
              </w:rPr>
              <w:t>政策性价格扣除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6"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line="370" w:lineRule="exact"/>
              <w:jc w:val="center"/>
              <w:rPr>
                <w:rFonts w:hint="eastAsia" w:ascii="楷体" w:hAnsi="楷体" w:eastAsia="楷体"/>
                <w:sz w:val="22"/>
                <w:szCs w:val="22"/>
              </w:rPr>
            </w:pPr>
            <w:r>
              <w:rPr>
                <w:rFonts w:ascii="楷体" w:hAnsi="楷体" w:eastAsia="楷体"/>
                <w:sz w:val="22"/>
                <w:szCs w:val="22"/>
              </w:rPr>
              <w:t>小型、微型企业，监狱企业，残疾人福利性单位</w:t>
            </w:r>
          </w:p>
        </w:tc>
        <w:tc>
          <w:tcPr>
            <w:tcW w:w="4526" w:type="dxa"/>
            <w:tcBorders>
              <w:top w:val="inset" w:color="auto" w:sz="6" w:space="0"/>
              <w:left w:val="single" w:color="auto" w:sz="0" w:space="0"/>
              <w:bottom w:val="inset" w:color="auto" w:sz="6" w:space="0"/>
              <w:right w:val="inset" w:color="auto" w:sz="6" w:space="0"/>
            </w:tcBorders>
            <w:shd w:val="clear" w:color="auto" w:fill="FFFFFF"/>
            <w:noWrap w:val="0"/>
            <w:vAlign w:val="center"/>
          </w:tcPr>
          <w:p>
            <w:pPr>
              <w:spacing w:line="370" w:lineRule="exact"/>
              <w:jc w:val="center"/>
              <w:rPr>
                <w:rFonts w:hint="eastAsia" w:ascii="楷体" w:hAnsi="楷体" w:eastAsia="楷体"/>
                <w:sz w:val="22"/>
                <w:szCs w:val="22"/>
              </w:rPr>
            </w:pPr>
            <w:r>
              <w:rPr>
                <w:rFonts w:ascii="楷体" w:hAnsi="楷体" w:eastAsia="楷体"/>
                <w:sz w:val="22"/>
                <w:szCs w:val="22"/>
              </w:rPr>
              <w:t>本项目对其价格给予6%的扣除。</w:t>
            </w:r>
          </w:p>
        </w:tc>
      </w:tr>
    </w:tbl>
    <w:p>
      <w:pPr>
        <w:spacing w:line="360" w:lineRule="exact"/>
        <w:ind w:firstLine="330" w:firstLineChars="150"/>
        <w:rPr>
          <w:rFonts w:hint="eastAsia" w:ascii="楷体" w:hAnsi="楷体" w:eastAsia="楷体" w:cs="Arial"/>
          <w:sz w:val="22"/>
          <w:szCs w:val="22"/>
        </w:rPr>
      </w:pPr>
      <w:r>
        <w:rPr>
          <w:rFonts w:hint="eastAsia" w:ascii="楷体" w:hAnsi="楷体" w:eastAsia="楷体" w:cs="Arial"/>
          <w:sz w:val="22"/>
          <w:szCs w:val="22"/>
        </w:rPr>
        <w:t>3）</w:t>
      </w:r>
      <w:r>
        <w:rPr>
          <w:rFonts w:hint="eastAsia" w:ascii="楷体" w:hAnsi="楷体" w:eastAsia="楷体" w:cs="Arial"/>
          <w:b/>
          <w:sz w:val="22"/>
          <w:szCs w:val="22"/>
          <w:u w:val="single"/>
        </w:rPr>
        <w:t>本项目的采购预算为￥</w:t>
      </w:r>
      <w:r>
        <w:rPr>
          <w:rFonts w:hint="eastAsia" w:ascii="楷体" w:hAnsi="楷体" w:eastAsia="楷体" w:cs="宋体"/>
          <w:b/>
          <w:kern w:val="0"/>
          <w:sz w:val="22"/>
          <w:szCs w:val="22"/>
          <w:u w:val="single"/>
        </w:rPr>
        <w:t>10806136</w:t>
      </w:r>
      <w:r>
        <w:rPr>
          <w:rFonts w:hint="eastAsia" w:ascii="楷体" w:hAnsi="楷体" w:eastAsia="楷体" w:cs="Arial"/>
          <w:b/>
          <w:sz w:val="22"/>
          <w:szCs w:val="22"/>
          <w:u w:val="single"/>
        </w:rPr>
        <w:t>元。</w:t>
      </w:r>
      <w:r>
        <w:rPr>
          <w:rFonts w:ascii="楷体" w:hAnsi="楷体" w:eastAsia="楷体" w:cs="Arial"/>
          <w:b/>
          <w:sz w:val="22"/>
          <w:szCs w:val="22"/>
          <w:u w:val="single"/>
        </w:rPr>
        <w:t>如投标人报价超过采购预算，</w:t>
      </w:r>
      <w:r>
        <w:rPr>
          <w:rFonts w:hint="eastAsia" w:ascii="楷体" w:hAnsi="楷体" w:eastAsia="楷体" w:cs="Arial"/>
          <w:b/>
          <w:sz w:val="22"/>
          <w:szCs w:val="22"/>
          <w:u w:val="single"/>
        </w:rPr>
        <w:t>作无效标处理</w:t>
      </w:r>
      <w:r>
        <w:rPr>
          <w:rFonts w:ascii="楷体" w:hAnsi="楷体" w:eastAsia="楷体" w:cs="Arial"/>
          <w:b/>
          <w:sz w:val="22"/>
          <w:szCs w:val="22"/>
          <w:u w:val="single"/>
        </w:rPr>
        <w:t>。</w:t>
      </w:r>
    </w:p>
    <w:p>
      <w:pPr>
        <w:spacing w:line="360" w:lineRule="exact"/>
        <w:ind w:firstLine="330" w:firstLineChars="150"/>
        <w:rPr>
          <w:rFonts w:hint="eastAsia" w:ascii="楷体" w:hAnsi="楷体" w:eastAsia="楷体" w:cs="Arial"/>
          <w:sz w:val="22"/>
          <w:szCs w:val="22"/>
        </w:rPr>
      </w:pPr>
      <w:r>
        <w:rPr>
          <w:rFonts w:hint="eastAsia" w:ascii="楷体" w:hAnsi="楷体" w:eastAsia="楷体" w:cs="Arial"/>
          <w:sz w:val="22"/>
          <w:szCs w:val="22"/>
        </w:rPr>
        <w:t>4）所有投标人商务报价均超采购预算，重新组织招标。</w:t>
      </w:r>
    </w:p>
    <w:p>
      <w:pPr>
        <w:spacing w:line="400" w:lineRule="exact"/>
        <w:rPr>
          <w:rFonts w:hint="eastAsia" w:ascii="楷体" w:hAnsi="楷体" w:eastAsia="楷体"/>
          <w:sz w:val="22"/>
        </w:rPr>
      </w:pPr>
      <w:r>
        <w:rPr>
          <w:rFonts w:hint="eastAsia" w:ascii="楷体" w:hAnsi="楷体" w:eastAsia="楷体" w:cs="Arial"/>
          <w:sz w:val="22"/>
          <w:szCs w:val="22"/>
        </w:rPr>
        <w:t>3、有效投标人的综合得分为技术、资信分和商务（报价）分的总和。</w:t>
      </w:r>
    </w:p>
    <w:p>
      <w:pPr>
        <w:spacing w:line="400" w:lineRule="exact"/>
        <w:ind w:left="440" w:hanging="440" w:hangingChars="200"/>
        <w:rPr>
          <w:rFonts w:hint="eastAsia" w:ascii="楷体" w:hAnsi="楷体" w:eastAsia="楷体"/>
          <w:sz w:val="22"/>
        </w:rPr>
      </w:pPr>
      <w:r>
        <w:rPr>
          <w:rFonts w:hint="eastAsia" w:ascii="楷体" w:hAnsi="楷体" w:eastAsia="楷体"/>
          <w:sz w:val="22"/>
        </w:rPr>
        <w:t>4、评标委员会按综合得分高低顺序排列，综合得分前两名投标人依次作为第一中标候选人和第二中标候选人向招标人推荐，并提交评标报告。出现得分相同的情况，按投标报价由低到高顺序排列；得分且投标报价相同的，按技术部分得分由高到底顺序排列。</w:t>
      </w:r>
    </w:p>
    <w:p>
      <w:pPr>
        <w:spacing w:line="420" w:lineRule="exact"/>
        <w:rPr>
          <w:rFonts w:hint="eastAsia" w:ascii="楷体" w:hAnsi="楷体" w:eastAsia="楷体"/>
          <w:b/>
          <w:sz w:val="22"/>
        </w:rPr>
      </w:pPr>
      <w:r>
        <w:rPr>
          <w:rFonts w:hint="eastAsia" w:ascii="楷体" w:hAnsi="楷体" w:eastAsia="楷体"/>
          <w:b/>
          <w:sz w:val="22"/>
        </w:rPr>
        <w:t>六、定标办法</w:t>
      </w:r>
      <w:bookmarkEnd w:id="216"/>
      <w:bookmarkEnd w:id="217"/>
    </w:p>
    <w:p>
      <w:pPr>
        <w:spacing w:line="400" w:lineRule="exact"/>
        <w:ind w:left="439" w:leftChars="209"/>
        <w:rPr>
          <w:rFonts w:hint="eastAsia" w:ascii="楷体" w:hAnsi="楷体" w:eastAsia="楷体"/>
          <w:sz w:val="22"/>
          <w:szCs w:val="22"/>
        </w:rPr>
      </w:pPr>
      <w:r>
        <w:rPr>
          <w:rFonts w:hint="eastAsia" w:ascii="楷体" w:hAnsi="楷体" w:eastAsia="楷体"/>
          <w:sz w:val="22"/>
          <w:szCs w:val="22"/>
        </w:rPr>
        <w:t>本次招标由评标委员会推荐中标候选人，招标人根据评标委员会的推荐结果进行最终确认。</w:t>
      </w:r>
      <w:r>
        <w:rPr>
          <w:rFonts w:hint="eastAsia" w:ascii="楷体" w:hAnsi="楷体" w:eastAsia="楷体"/>
          <w:sz w:val="22"/>
        </w:rPr>
        <w:t>如中标人放弃中标、或因不可抗力提出不能履行合同；或者招标文件规定应当提交履约保证金而在规定的期限内未能提交的；或未能在规定时间内与招标人签订合同的；或者经质疑，招标人审查后，确因排名第一的候选人在本次采购活动中存在违法违规行为或其他原因使质疑成立的，招标人可以视具体情况确定是否由排名第二的中标候选人为中标人。如第二中标候选人因前款规定的同样原因不能签订合同的，本次招标失败，重新组织招标。</w:t>
      </w:r>
    </w:p>
    <w:p>
      <w:pPr>
        <w:spacing w:line="420" w:lineRule="exact"/>
        <w:rPr>
          <w:rFonts w:hint="eastAsia" w:ascii="楷体" w:hAnsi="楷体" w:eastAsia="楷体"/>
          <w:b/>
          <w:sz w:val="22"/>
        </w:rPr>
      </w:pPr>
      <w:bookmarkStart w:id="218" w:name="_Toc221356904"/>
      <w:bookmarkStart w:id="219" w:name="_Toc221356967"/>
      <w:r>
        <w:rPr>
          <w:rFonts w:hint="eastAsia" w:ascii="楷体" w:hAnsi="楷体" w:eastAsia="楷体"/>
          <w:b/>
          <w:sz w:val="22"/>
        </w:rPr>
        <w:t>七、确定中标人</w:t>
      </w:r>
      <w:bookmarkEnd w:id="218"/>
      <w:bookmarkEnd w:id="219"/>
    </w:p>
    <w:p>
      <w:pPr>
        <w:spacing w:line="400" w:lineRule="exact"/>
        <w:ind w:left="439" w:leftChars="209"/>
        <w:rPr>
          <w:rFonts w:hint="eastAsia" w:ascii="楷体" w:hAnsi="楷体" w:eastAsia="楷体"/>
          <w:sz w:val="22"/>
          <w:szCs w:val="22"/>
        </w:rPr>
      </w:pPr>
      <w:r>
        <w:rPr>
          <w:rFonts w:ascii="楷体" w:hAnsi="楷体" w:eastAsia="楷体"/>
          <w:sz w:val="22"/>
          <w:szCs w:val="22"/>
        </w:rPr>
        <w:t>评标结束后，招标人将在政府采购指定信息发布媒体</w:t>
      </w:r>
      <w:r>
        <w:rPr>
          <w:rFonts w:hint="eastAsia" w:ascii="楷体" w:hAnsi="楷体" w:eastAsia="楷体"/>
          <w:sz w:val="22"/>
          <w:szCs w:val="22"/>
        </w:rPr>
        <w:t>（浙江政府采购网）</w:t>
      </w:r>
      <w:r>
        <w:rPr>
          <w:rFonts w:ascii="楷体" w:hAnsi="楷体" w:eastAsia="楷体"/>
          <w:sz w:val="22"/>
          <w:szCs w:val="22"/>
        </w:rPr>
        <w:t>上公示中标结果。公示期结束，</w:t>
      </w:r>
      <w:r>
        <w:rPr>
          <w:rFonts w:hint="eastAsia" w:ascii="楷体" w:hAnsi="楷体" w:eastAsia="楷体"/>
          <w:sz w:val="22"/>
          <w:szCs w:val="22"/>
        </w:rPr>
        <w:t>且</w:t>
      </w:r>
      <w:r>
        <w:rPr>
          <w:rFonts w:ascii="楷体" w:hAnsi="楷体" w:eastAsia="楷体"/>
          <w:sz w:val="22"/>
          <w:szCs w:val="22"/>
        </w:rPr>
        <w:t>在规定期限内无异议则招标机构将向中标人发出中标通知书。</w:t>
      </w:r>
    </w:p>
    <w:p>
      <w:pPr>
        <w:spacing w:line="420" w:lineRule="exact"/>
        <w:rPr>
          <w:rFonts w:hint="eastAsia" w:ascii="楷体" w:hAnsi="楷体" w:eastAsia="楷体"/>
          <w:b/>
          <w:sz w:val="22"/>
        </w:rPr>
      </w:pPr>
      <w:bookmarkStart w:id="220" w:name="_Toc221356905"/>
      <w:bookmarkStart w:id="221" w:name="_Toc221356968"/>
      <w:r>
        <w:rPr>
          <w:rFonts w:hint="eastAsia" w:ascii="楷体" w:hAnsi="楷体" w:eastAsia="楷体"/>
          <w:b/>
          <w:sz w:val="22"/>
        </w:rPr>
        <w:t>八、投标人义务</w:t>
      </w:r>
      <w:bookmarkEnd w:id="220"/>
      <w:bookmarkEnd w:id="221"/>
    </w:p>
    <w:p>
      <w:pPr>
        <w:spacing w:line="400" w:lineRule="exact"/>
        <w:ind w:left="439" w:leftChars="209"/>
        <w:rPr>
          <w:rFonts w:hint="eastAsia" w:ascii="楷体" w:hAnsi="楷体" w:eastAsia="楷体"/>
          <w:sz w:val="22"/>
          <w:szCs w:val="22"/>
        </w:rPr>
      </w:pPr>
      <w:r>
        <w:rPr>
          <w:rFonts w:hint="eastAsia" w:ascii="楷体" w:hAnsi="楷体" w:eastAsia="楷体"/>
          <w:sz w:val="22"/>
          <w:szCs w:val="22"/>
        </w:rPr>
        <w:t>投标人应随时接受评标委员会的询标，解答包括有关的商务、技术问题等。评标结束，所有评标资料存招标人备查。</w:t>
      </w:r>
    </w:p>
    <w:sectPr>
      <w:type w:val="nextColumn"/>
      <w:pgSz w:w="11906" w:h="16838"/>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Univers LT Std 57 Cn">
    <w:altName w:val="Arial"/>
    <w:panose1 w:val="00000000000000000000"/>
    <w:charset w:val="00"/>
    <w:family w:val="swiss"/>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lang/>
      </w:rPr>
      <w:t>55</w:t>
    </w:r>
    <w:r>
      <w:fldChar w:fldCharType="end"/>
    </w:r>
  </w:p>
  <w:p>
    <w:pPr>
      <w:pStyle w:val="17"/>
      <w:pBdr>
        <w:top w:val="single" w:color="auto" w:sz="4" w:space="1"/>
      </w:pBdr>
      <w:jc w:val="right"/>
      <w:rPr>
        <w:rFonts w:hint="eastAsia"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楷体_GB2312" w:eastAsia="楷体_GB2312"/>
      </w:rPr>
    </w:pPr>
    <w:r>
      <w:rPr>
        <w:rFonts w:hint="eastAsia" w:ascii="楷体_GB2312" w:eastAsia="楷体_GB2312"/>
      </w:rPr>
      <w:t>温州市政府（分散）采购公开招标文件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lowerLetter"/>
      <w:lvlText w:val="%1)"/>
      <w:lvlJc w:val="left"/>
      <w:pPr>
        <w:tabs>
          <w:tab w:val="left" w:pos="426"/>
        </w:tabs>
        <w:ind w:left="426" w:hanging="426"/>
      </w:pPr>
      <w:rPr>
        <w:rFonts w:hint="eastAsia"/>
      </w:rPr>
    </w:lvl>
    <w:lvl w:ilvl="1" w:tentative="0">
      <w:start w:val="1"/>
      <w:numFmt w:val="decimal"/>
      <w:lvlText w:val="11.%2"/>
      <w:lvlJc w:val="left"/>
      <w:pPr>
        <w:tabs>
          <w:tab w:val="left" w:pos="840"/>
        </w:tabs>
        <w:ind w:left="840" w:hanging="420"/>
      </w:pPr>
      <w:rPr>
        <w:rFonts w:hint="eastAsia"/>
        <w:b w:val="0"/>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
    <w:nsid w:val="00000006"/>
    <w:multiLevelType w:val="multilevel"/>
    <w:tmpl w:val="00000006"/>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0000007"/>
    <w:multiLevelType w:val="multilevel"/>
    <w:tmpl w:val="00000007"/>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09"/>
    <w:multiLevelType w:val="multilevel"/>
    <w:tmpl w:val="00000009"/>
    <w:lvl w:ilvl="0" w:tentative="0">
      <w:start w:val="1"/>
      <w:numFmt w:val="decimal"/>
      <w:suff w:val="nothing"/>
      <w:lvlText w:val="%1）"/>
      <w:lvlJc w:val="left"/>
      <w:pPr>
        <w:ind w:left="0" w:firstLine="0"/>
      </w:pPr>
      <w:rPr>
        <w:rFonts w:hint="eastAsia" w:ascii="楷体_GB2312" w:hAnsi="Times New Roman" w:eastAsia="楷体_GB2312"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楷体_GB2312" w:hAnsi="Times New Roman" w:eastAsia="楷体_GB2312"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0000011"/>
    <w:multiLevelType w:val="multilevel"/>
    <w:tmpl w:val="00000011"/>
    <w:lvl w:ilvl="0" w:tentative="0">
      <w:start w:val="1"/>
      <w:numFmt w:val="decimal"/>
      <w:lvlText w:val="（%1）"/>
      <w:lvlJc w:val="left"/>
      <w:pPr>
        <w:tabs>
          <w:tab w:val="left" w:pos="420"/>
        </w:tabs>
        <w:ind w:left="420" w:hanging="420"/>
      </w:pPr>
      <w:rPr>
        <w:rFonts w:hint="eastAsia"/>
      </w:rPr>
    </w:lvl>
    <w:lvl w:ilvl="1" w:tentative="0">
      <w:start w:val="1"/>
      <w:numFmt w:val="decimal"/>
      <w:lvlText w:val="14.%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00000012"/>
    <w:multiLevelType w:val="multilevel"/>
    <w:tmpl w:val="00000012"/>
    <w:lvl w:ilvl="0" w:tentative="0">
      <w:start w:val="7"/>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2160"/>
        </w:tabs>
        <w:ind w:left="2160" w:hanging="2160"/>
      </w:pPr>
      <w:rPr>
        <w:rFonts w:hint="default"/>
        <w:b/>
      </w:rPr>
    </w:lvl>
  </w:abstractNum>
  <w:abstractNum w:abstractNumId="7">
    <w:nsid w:val="00000013"/>
    <w:multiLevelType w:val="multilevel"/>
    <w:tmpl w:val="00000013"/>
    <w:lvl w:ilvl="0" w:tentative="0">
      <w:start w:val="16"/>
      <w:numFmt w:val="decimal"/>
      <w:lvlText w:val="%1"/>
      <w:lvlJc w:val="left"/>
      <w:pPr>
        <w:tabs>
          <w:tab w:val="left" w:pos="420"/>
        </w:tabs>
        <w:ind w:left="420" w:hanging="420"/>
      </w:pPr>
      <w:rPr>
        <w:rFonts w:hint="eastAsia"/>
      </w:rPr>
    </w:lvl>
    <w:lvl w:ilvl="1" w:tentative="0">
      <w:start w:val="1"/>
      <w:numFmt w:val="decimal"/>
      <w:lvlText w:val="14.%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00000015"/>
    <w:multiLevelType w:val="multilevel"/>
    <w:tmpl w:val="00000015"/>
    <w:lvl w:ilvl="0" w:tentative="0">
      <w:start w:val="1"/>
      <w:numFmt w:val="bullet"/>
      <w:pStyle w:val="48"/>
      <w:lvlText w:val=""/>
      <w:lvlJc w:val="left"/>
      <w:pPr>
        <w:tabs>
          <w:tab w:val="left" w:pos="0"/>
        </w:tabs>
        <w:ind w:left="839" w:hanging="419"/>
      </w:pPr>
      <w:rPr>
        <w:rFonts w:hint="default" w:ascii="Wingdings" w:hAnsi="Wingdings"/>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6"/>
    <w:multiLevelType w:val="multilevel"/>
    <w:tmpl w:val="00000016"/>
    <w:lvl w:ilvl="0" w:tentative="0">
      <w:start w:val="1"/>
      <w:numFmt w:val="none"/>
      <w:lvlText w:val="2"/>
      <w:lvlJc w:val="left"/>
      <w:pPr>
        <w:tabs>
          <w:tab w:val="left" w:pos="425"/>
        </w:tabs>
        <w:ind w:left="425" w:hanging="425"/>
      </w:pPr>
      <w:rPr>
        <w:rFonts w:hint="eastAsia"/>
      </w:rPr>
    </w:lvl>
    <w:lvl w:ilvl="1" w:tentative="0">
      <w:start w:val="1"/>
      <w:numFmt w:val="decimal"/>
      <w:lvlText w:val="%118.%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17"/>
    <w:multiLevelType w:val="multilevel"/>
    <w:tmpl w:val="00000017"/>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00000019"/>
    <w:multiLevelType w:val="multilevel"/>
    <w:tmpl w:val="00000019"/>
    <w:lvl w:ilvl="0" w:tentative="0">
      <w:start w:val="5"/>
      <w:numFmt w:val="decimal"/>
      <w:lvlText w:val="%1."/>
      <w:lvlJc w:val="left"/>
      <w:pPr>
        <w:tabs>
          <w:tab w:val="left" w:pos="420"/>
        </w:tabs>
        <w:ind w:left="420" w:hanging="420"/>
      </w:pPr>
      <w:rPr>
        <w:rFonts w:hint="eastAsia" w:ascii="楷体_GB2312" w:hAnsi="Times New Roman" w:eastAsia="楷体_GB2312" w:cs="Times New Roman"/>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2">
    <w:nsid w:val="0000001D"/>
    <w:multiLevelType w:val="multilevel"/>
    <w:tmpl w:val="0000001D"/>
    <w:lvl w:ilvl="0" w:tentative="0">
      <w:start w:val="1"/>
      <w:numFmt w:val="none"/>
      <w:lvlText w:val="2"/>
      <w:lvlJc w:val="left"/>
      <w:pPr>
        <w:tabs>
          <w:tab w:val="left" w:pos="425"/>
        </w:tabs>
        <w:ind w:left="425" w:hanging="425"/>
      </w:pPr>
      <w:rPr>
        <w:rFonts w:hint="eastAsia"/>
      </w:rPr>
    </w:lvl>
    <w:lvl w:ilvl="1" w:tentative="0">
      <w:start w:val="1"/>
      <w:numFmt w:val="decimal"/>
      <w:lvlText w:val="%122.%2"/>
      <w:lvlJc w:val="left"/>
      <w:pPr>
        <w:tabs>
          <w:tab w:val="left" w:pos="992"/>
        </w:tabs>
        <w:ind w:left="992" w:hanging="567"/>
      </w:pPr>
      <w:rPr>
        <w:rFonts w:hint="eastAsia" w:ascii="楷体_GB2312" w:hAnsi="Times New Roman" w:eastAsia="楷体_GB2312"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0000001E"/>
    <w:multiLevelType w:val="multilevel"/>
    <w:tmpl w:val="0000001E"/>
    <w:lvl w:ilvl="0" w:tentative="0">
      <w:start w:val="1"/>
      <w:numFmt w:val="none"/>
      <w:lvlText w:val="2"/>
      <w:lvlJc w:val="left"/>
      <w:pPr>
        <w:tabs>
          <w:tab w:val="left" w:pos="425"/>
        </w:tabs>
        <w:ind w:left="425" w:hanging="425"/>
      </w:pPr>
      <w:rPr>
        <w:rFonts w:hint="eastAsia"/>
      </w:rPr>
    </w:lvl>
    <w:lvl w:ilvl="1" w:tentative="0">
      <w:start w:val="1"/>
      <w:numFmt w:val="decimal"/>
      <w:lvlText w:val="%121.%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0000001F"/>
    <w:multiLevelType w:val="multilevel"/>
    <w:tmpl w:val="0000001F"/>
    <w:lvl w:ilvl="0" w:tentative="0">
      <w:start w:val="8"/>
      <w:numFmt w:val="decimal"/>
      <w:lvlText w:val="%1."/>
      <w:lvlJc w:val="left"/>
      <w:pPr>
        <w:tabs>
          <w:tab w:val="left" w:pos="420"/>
        </w:tabs>
        <w:ind w:left="420" w:hanging="420"/>
      </w:pPr>
      <w:rPr>
        <w:rFonts w:hint="eastAsia" w:ascii="楷体_GB2312" w:hAnsi="Times New Roman" w:eastAsia="楷体_GB2312" w:cs="Times New Roman"/>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5">
    <w:nsid w:val="00000021"/>
    <w:multiLevelType w:val="multilevel"/>
    <w:tmpl w:val="00000021"/>
    <w:lvl w:ilvl="0" w:tentative="0">
      <w:start w:val="1"/>
      <w:numFmt w:val="decimal"/>
      <w:lvlText w:val="%1)"/>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00000023"/>
    <w:multiLevelType w:val="multilevel"/>
    <w:tmpl w:val="00000023"/>
    <w:lvl w:ilvl="0" w:tentative="0">
      <w:start w:val="1"/>
      <w:numFmt w:val="none"/>
      <w:lvlText w:val="2"/>
      <w:lvlJc w:val="left"/>
      <w:pPr>
        <w:tabs>
          <w:tab w:val="left" w:pos="425"/>
        </w:tabs>
        <w:ind w:left="425" w:hanging="425"/>
      </w:pPr>
      <w:rPr>
        <w:rFonts w:hint="eastAsia"/>
      </w:rPr>
    </w:lvl>
    <w:lvl w:ilvl="1" w:tentative="0">
      <w:start w:val="1"/>
      <w:numFmt w:val="decimal"/>
      <w:lvlText w:val="%110.%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00000024"/>
    <w:multiLevelType w:val="multilevel"/>
    <w:tmpl w:val="00000024"/>
    <w:lvl w:ilvl="0" w:tentative="0">
      <w:start w:val="1"/>
      <w:numFmt w:val="decimal"/>
      <w:lvlText w:val="（%1）"/>
      <w:lvlJc w:val="left"/>
      <w:pPr>
        <w:tabs>
          <w:tab w:val="left" w:pos="898"/>
        </w:tabs>
        <w:ind w:left="898" w:hanging="720"/>
      </w:pPr>
      <w:rPr>
        <w:rFonts w:hint="default"/>
      </w:rPr>
    </w:lvl>
    <w:lvl w:ilvl="1" w:tentative="0">
      <w:start w:val="1"/>
      <w:numFmt w:val="lowerLetter"/>
      <w:lvlText w:val="%2)"/>
      <w:lvlJc w:val="left"/>
      <w:pPr>
        <w:tabs>
          <w:tab w:val="left" w:pos="1018"/>
        </w:tabs>
        <w:ind w:left="1018" w:hanging="420"/>
      </w:pPr>
    </w:lvl>
    <w:lvl w:ilvl="2" w:tentative="0">
      <w:start w:val="1"/>
      <w:numFmt w:val="lowerRoman"/>
      <w:lvlText w:val="%3."/>
      <w:lvlJc w:val="right"/>
      <w:pPr>
        <w:tabs>
          <w:tab w:val="left" w:pos="1438"/>
        </w:tabs>
        <w:ind w:left="1438" w:hanging="420"/>
      </w:p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18">
    <w:nsid w:val="00000026"/>
    <w:multiLevelType w:val="multilevel"/>
    <w:tmpl w:val="00000026"/>
    <w:lvl w:ilvl="0" w:tentative="0">
      <w:start w:val="11"/>
      <w:numFmt w:val="decimal"/>
      <w:lvlText w:val="%1."/>
      <w:lvlJc w:val="left"/>
      <w:pPr>
        <w:tabs>
          <w:tab w:val="left" w:pos="420"/>
        </w:tabs>
        <w:ind w:left="420" w:hanging="420"/>
      </w:pPr>
      <w:rPr>
        <w:rFonts w:hint="eastAsia" w:ascii="楷体_GB2312" w:hAnsi="Times New Roman" w:eastAsia="楷体_GB2312" w:cs="Times New Roman"/>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9">
    <w:nsid w:val="00000027"/>
    <w:multiLevelType w:val="multilevel"/>
    <w:tmpl w:val="00000027"/>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0">
    <w:nsid w:val="0000002B"/>
    <w:multiLevelType w:val="multilevel"/>
    <w:tmpl w:val="0000002B"/>
    <w:lvl w:ilvl="0" w:tentative="0">
      <w:start w:val="7"/>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2160"/>
        </w:tabs>
        <w:ind w:left="2160" w:hanging="2160"/>
      </w:pPr>
      <w:rPr>
        <w:rFonts w:hint="default"/>
        <w:b/>
      </w:rPr>
    </w:lvl>
  </w:abstractNum>
  <w:abstractNum w:abstractNumId="21">
    <w:nsid w:val="545C10B1"/>
    <w:multiLevelType w:val="multilevel"/>
    <w:tmpl w:val="545C10B1"/>
    <w:lvl w:ilvl="0" w:tentative="0">
      <w:start w:val="1"/>
      <w:numFmt w:val="decimal"/>
      <w:lvlText w:val="%1）"/>
      <w:lvlJc w:val="left"/>
      <w:pPr>
        <w:tabs>
          <w:tab w:val="left" w:pos="900"/>
        </w:tabs>
        <w:ind w:left="900" w:hanging="360"/>
      </w:pPr>
      <w:rPr>
        <w:rFonts w:hint="default" w:hAnsi="Times New Roman"/>
        <w:b/>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2">
    <w:nsid w:val="57DE2D8A"/>
    <w:multiLevelType w:val="singleLevel"/>
    <w:tmpl w:val="57DE2D8A"/>
    <w:lvl w:ilvl="0" w:tentative="0">
      <w:start w:val="1"/>
      <w:numFmt w:val="decimal"/>
      <w:suff w:val="nothing"/>
      <w:lvlText w:val="（%1）"/>
      <w:lvlJc w:val="left"/>
    </w:lvl>
  </w:abstractNum>
  <w:abstractNum w:abstractNumId="23">
    <w:nsid w:val="582445A7"/>
    <w:multiLevelType w:val="singleLevel"/>
    <w:tmpl w:val="582445A7"/>
    <w:lvl w:ilvl="0" w:tentative="0">
      <w:start w:val="3"/>
      <w:numFmt w:val="decimal"/>
      <w:suff w:val="space"/>
      <w:lvlText w:val="%1."/>
      <w:lvlJc w:val="left"/>
    </w:lvl>
  </w:abstractNum>
  <w:abstractNum w:abstractNumId="24">
    <w:nsid w:val="588236B1"/>
    <w:multiLevelType w:val="multilevel"/>
    <w:tmpl w:val="588236B1"/>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A4575D2"/>
    <w:multiLevelType w:val="multilevel"/>
    <w:tmpl w:val="7A4575D2"/>
    <w:lvl w:ilvl="0" w:tentative="0">
      <w:start w:val="1"/>
      <w:numFmt w:val="none"/>
      <w:lvlText w:val="2"/>
      <w:lvlJc w:val="left"/>
      <w:pPr>
        <w:tabs>
          <w:tab w:val="left" w:pos="425"/>
        </w:tabs>
        <w:ind w:left="425" w:hanging="425"/>
      </w:pPr>
      <w:rPr>
        <w:rFonts w:hint="eastAsia"/>
      </w:rPr>
    </w:lvl>
    <w:lvl w:ilvl="1" w:tentative="0">
      <w:start w:val="1"/>
      <w:numFmt w:val="decimal"/>
      <w:lvlText w:val="%119.%2"/>
      <w:lvlJc w:val="left"/>
      <w:pPr>
        <w:tabs>
          <w:tab w:val="left" w:pos="992"/>
        </w:tabs>
        <w:ind w:left="992" w:hanging="567"/>
      </w:pPr>
      <w:rPr>
        <w:rFonts w:hint="eastAsia" w:ascii="楷体_GB2312" w:hAnsi="Times New Roman" w:eastAsia="楷体_GB2312"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7E1653AC"/>
    <w:multiLevelType w:val="multilevel"/>
    <w:tmpl w:val="7E1653AC"/>
    <w:lvl w:ilvl="0" w:tentative="0">
      <w:start w:val="1"/>
      <w:numFmt w:val="decimal"/>
      <w:lvlText w:val="%1)"/>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7ECB0BC5"/>
    <w:multiLevelType w:val="multilevel"/>
    <w:tmpl w:val="7ECB0BC5"/>
    <w:lvl w:ilvl="0" w:tentative="0">
      <w:start w:val="29"/>
      <w:numFmt w:val="decimal"/>
      <w:lvlText w:val="%1"/>
      <w:lvlJc w:val="left"/>
      <w:pPr>
        <w:ind w:left="420" w:hanging="420"/>
      </w:pPr>
      <w:rPr>
        <w:rFonts w:hint="default"/>
      </w:rPr>
    </w:lvl>
    <w:lvl w:ilvl="1" w:tentative="0">
      <w:start w:val="2"/>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8"/>
  </w:num>
  <w:num w:numId="2">
    <w:abstractNumId w:val="10"/>
  </w:num>
  <w:num w:numId="3">
    <w:abstractNumId w:val="11"/>
  </w:num>
  <w:num w:numId="4">
    <w:abstractNumId w:val="20"/>
  </w:num>
  <w:num w:numId="5">
    <w:abstractNumId w:val="6"/>
  </w:num>
  <w:num w:numId="6">
    <w:abstractNumId w:val="14"/>
  </w:num>
  <w:num w:numId="7">
    <w:abstractNumId w:val="16"/>
  </w:num>
  <w:num w:numId="8">
    <w:abstractNumId w:val="22"/>
  </w:num>
  <w:num w:numId="9">
    <w:abstractNumId w:val="3"/>
  </w:num>
  <w:num w:numId="10">
    <w:abstractNumId w:val="17"/>
  </w:num>
  <w:num w:numId="11">
    <w:abstractNumId w:val="18"/>
  </w:num>
  <w:num w:numId="12">
    <w:abstractNumId w:val="0"/>
  </w:num>
  <w:num w:numId="13">
    <w:abstractNumId w:val="2"/>
  </w:num>
  <w:num w:numId="14">
    <w:abstractNumId w:val="5"/>
  </w:num>
  <w:num w:numId="15">
    <w:abstractNumId w:val="1"/>
  </w:num>
  <w:num w:numId="16">
    <w:abstractNumId w:val="7"/>
  </w:num>
  <w:num w:numId="17">
    <w:abstractNumId w:val="19"/>
  </w:num>
  <w:num w:numId="18">
    <w:abstractNumId w:val="4"/>
  </w:num>
  <w:num w:numId="19">
    <w:abstractNumId w:val="9"/>
  </w:num>
  <w:num w:numId="20">
    <w:abstractNumId w:val="25"/>
  </w:num>
  <w:num w:numId="21">
    <w:abstractNumId w:val="13"/>
  </w:num>
  <w:num w:numId="22">
    <w:abstractNumId w:val="21"/>
  </w:num>
  <w:num w:numId="23">
    <w:abstractNumId w:val="15"/>
  </w:num>
  <w:num w:numId="24">
    <w:abstractNumId w:val="26"/>
  </w:num>
  <w:num w:numId="25">
    <w:abstractNumId w:val="12"/>
  </w:num>
  <w:num w:numId="26">
    <w:abstractNumId w:val="27"/>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D2"/>
    <w:rsid w:val="00000D77"/>
    <w:rsid w:val="000030A0"/>
    <w:rsid w:val="00004843"/>
    <w:rsid w:val="000108A3"/>
    <w:rsid w:val="00010B05"/>
    <w:rsid w:val="000139E7"/>
    <w:rsid w:val="000169C6"/>
    <w:rsid w:val="00021ED5"/>
    <w:rsid w:val="00023ADE"/>
    <w:rsid w:val="00032169"/>
    <w:rsid w:val="0003487F"/>
    <w:rsid w:val="00035EFF"/>
    <w:rsid w:val="000402B3"/>
    <w:rsid w:val="00047D6F"/>
    <w:rsid w:val="000527D5"/>
    <w:rsid w:val="0005299A"/>
    <w:rsid w:val="00052E76"/>
    <w:rsid w:val="00055257"/>
    <w:rsid w:val="00066D26"/>
    <w:rsid w:val="00066F10"/>
    <w:rsid w:val="000723EE"/>
    <w:rsid w:val="00093CAE"/>
    <w:rsid w:val="000A272F"/>
    <w:rsid w:val="000A6C02"/>
    <w:rsid w:val="000B026D"/>
    <w:rsid w:val="000B07DC"/>
    <w:rsid w:val="000B1DC1"/>
    <w:rsid w:val="000B2962"/>
    <w:rsid w:val="000C529E"/>
    <w:rsid w:val="000D28B4"/>
    <w:rsid w:val="000D6DF4"/>
    <w:rsid w:val="000E1D09"/>
    <w:rsid w:val="000E3D2E"/>
    <w:rsid w:val="000E4169"/>
    <w:rsid w:val="000F2DAF"/>
    <w:rsid w:val="000F43DD"/>
    <w:rsid w:val="000F4EBB"/>
    <w:rsid w:val="000F50E7"/>
    <w:rsid w:val="000F6A69"/>
    <w:rsid w:val="000F7963"/>
    <w:rsid w:val="000F7977"/>
    <w:rsid w:val="00103D18"/>
    <w:rsid w:val="00104850"/>
    <w:rsid w:val="00105C9B"/>
    <w:rsid w:val="00110EC5"/>
    <w:rsid w:val="00110EEA"/>
    <w:rsid w:val="0011360D"/>
    <w:rsid w:val="00122D7A"/>
    <w:rsid w:val="00131FA5"/>
    <w:rsid w:val="0013719E"/>
    <w:rsid w:val="00137DAC"/>
    <w:rsid w:val="001418FA"/>
    <w:rsid w:val="00143A49"/>
    <w:rsid w:val="001466C4"/>
    <w:rsid w:val="00153A33"/>
    <w:rsid w:val="00154FE8"/>
    <w:rsid w:val="00157211"/>
    <w:rsid w:val="00162C40"/>
    <w:rsid w:val="0016701A"/>
    <w:rsid w:val="00174602"/>
    <w:rsid w:val="00176F98"/>
    <w:rsid w:val="00181180"/>
    <w:rsid w:val="00186AE4"/>
    <w:rsid w:val="0019288C"/>
    <w:rsid w:val="00194A3E"/>
    <w:rsid w:val="001A2639"/>
    <w:rsid w:val="001A4F13"/>
    <w:rsid w:val="001A6B49"/>
    <w:rsid w:val="001A6BEA"/>
    <w:rsid w:val="001A6ECA"/>
    <w:rsid w:val="001B0308"/>
    <w:rsid w:val="001D3465"/>
    <w:rsid w:val="001D3508"/>
    <w:rsid w:val="001D4F2E"/>
    <w:rsid w:val="001E0E8F"/>
    <w:rsid w:val="001F430F"/>
    <w:rsid w:val="002147D0"/>
    <w:rsid w:val="0021698E"/>
    <w:rsid w:val="00224B23"/>
    <w:rsid w:val="0023065C"/>
    <w:rsid w:val="00230A9B"/>
    <w:rsid w:val="00231CC2"/>
    <w:rsid w:val="00232D32"/>
    <w:rsid w:val="002370ED"/>
    <w:rsid w:val="00240DAD"/>
    <w:rsid w:val="00244890"/>
    <w:rsid w:val="002546B6"/>
    <w:rsid w:val="00262DC2"/>
    <w:rsid w:val="00271317"/>
    <w:rsid w:val="002756AF"/>
    <w:rsid w:val="0027672A"/>
    <w:rsid w:val="00277F1E"/>
    <w:rsid w:val="002804CD"/>
    <w:rsid w:val="0028077E"/>
    <w:rsid w:val="00280AEA"/>
    <w:rsid w:val="0028359C"/>
    <w:rsid w:val="002846D0"/>
    <w:rsid w:val="00290010"/>
    <w:rsid w:val="002901E7"/>
    <w:rsid w:val="00291DF8"/>
    <w:rsid w:val="002950F7"/>
    <w:rsid w:val="002960C5"/>
    <w:rsid w:val="002A0CED"/>
    <w:rsid w:val="002A1D63"/>
    <w:rsid w:val="002C6449"/>
    <w:rsid w:val="002D6C75"/>
    <w:rsid w:val="002E0493"/>
    <w:rsid w:val="002E0982"/>
    <w:rsid w:val="002E0E4D"/>
    <w:rsid w:val="002E3D1F"/>
    <w:rsid w:val="002E7735"/>
    <w:rsid w:val="002F1147"/>
    <w:rsid w:val="002F2CE0"/>
    <w:rsid w:val="002F5385"/>
    <w:rsid w:val="00301F7E"/>
    <w:rsid w:val="0030349E"/>
    <w:rsid w:val="00303AD7"/>
    <w:rsid w:val="0030424B"/>
    <w:rsid w:val="0030582B"/>
    <w:rsid w:val="0030660D"/>
    <w:rsid w:val="003125B2"/>
    <w:rsid w:val="00313751"/>
    <w:rsid w:val="00313A55"/>
    <w:rsid w:val="0031599F"/>
    <w:rsid w:val="00317936"/>
    <w:rsid w:val="0032217B"/>
    <w:rsid w:val="00324551"/>
    <w:rsid w:val="00326A5A"/>
    <w:rsid w:val="00326F36"/>
    <w:rsid w:val="00332BAE"/>
    <w:rsid w:val="00336C85"/>
    <w:rsid w:val="00342D61"/>
    <w:rsid w:val="0035290A"/>
    <w:rsid w:val="00353E61"/>
    <w:rsid w:val="00362401"/>
    <w:rsid w:val="00363746"/>
    <w:rsid w:val="00367B3F"/>
    <w:rsid w:val="00375724"/>
    <w:rsid w:val="003801E3"/>
    <w:rsid w:val="0038163C"/>
    <w:rsid w:val="0038554D"/>
    <w:rsid w:val="003904AB"/>
    <w:rsid w:val="003A3A8C"/>
    <w:rsid w:val="003A3C9D"/>
    <w:rsid w:val="003A492E"/>
    <w:rsid w:val="003C23D4"/>
    <w:rsid w:val="003C59C8"/>
    <w:rsid w:val="003D74E9"/>
    <w:rsid w:val="003E35D4"/>
    <w:rsid w:val="003E7069"/>
    <w:rsid w:val="003E7913"/>
    <w:rsid w:val="004016B8"/>
    <w:rsid w:val="00401F4E"/>
    <w:rsid w:val="00406811"/>
    <w:rsid w:val="004202F0"/>
    <w:rsid w:val="0042176B"/>
    <w:rsid w:val="00422C7A"/>
    <w:rsid w:val="00426DDE"/>
    <w:rsid w:val="00437FB1"/>
    <w:rsid w:val="0045017F"/>
    <w:rsid w:val="00451443"/>
    <w:rsid w:val="00465532"/>
    <w:rsid w:val="0046598D"/>
    <w:rsid w:val="004710D1"/>
    <w:rsid w:val="00475D6A"/>
    <w:rsid w:val="0048113E"/>
    <w:rsid w:val="0048121F"/>
    <w:rsid w:val="00482B20"/>
    <w:rsid w:val="00483516"/>
    <w:rsid w:val="004835AD"/>
    <w:rsid w:val="00484D52"/>
    <w:rsid w:val="00491C89"/>
    <w:rsid w:val="00494C69"/>
    <w:rsid w:val="004A14F8"/>
    <w:rsid w:val="004A4B44"/>
    <w:rsid w:val="004A5951"/>
    <w:rsid w:val="004A75F2"/>
    <w:rsid w:val="004B00E2"/>
    <w:rsid w:val="004B2309"/>
    <w:rsid w:val="004B2919"/>
    <w:rsid w:val="004B7F16"/>
    <w:rsid w:val="004C211B"/>
    <w:rsid w:val="004D374D"/>
    <w:rsid w:val="004E0ED8"/>
    <w:rsid w:val="004E1A75"/>
    <w:rsid w:val="004E2124"/>
    <w:rsid w:val="004E2C8E"/>
    <w:rsid w:val="004E378B"/>
    <w:rsid w:val="004E5EEA"/>
    <w:rsid w:val="004F00A4"/>
    <w:rsid w:val="004F1E64"/>
    <w:rsid w:val="0050014C"/>
    <w:rsid w:val="00505141"/>
    <w:rsid w:val="00510C1D"/>
    <w:rsid w:val="00520724"/>
    <w:rsid w:val="00523615"/>
    <w:rsid w:val="0052461F"/>
    <w:rsid w:val="005321A4"/>
    <w:rsid w:val="00532670"/>
    <w:rsid w:val="00533B94"/>
    <w:rsid w:val="00534A83"/>
    <w:rsid w:val="005352B0"/>
    <w:rsid w:val="005357F7"/>
    <w:rsid w:val="00536184"/>
    <w:rsid w:val="00540998"/>
    <w:rsid w:val="00541A72"/>
    <w:rsid w:val="00545F88"/>
    <w:rsid w:val="00566079"/>
    <w:rsid w:val="00567BB6"/>
    <w:rsid w:val="00573332"/>
    <w:rsid w:val="00573D6C"/>
    <w:rsid w:val="0058003C"/>
    <w:rsid w:val="0058435F"/>
    <w:rsid w:val="00594685"/>
    <w:rsid w:val="00595421"/>
    <w:rsid w:val="005966DF"/>
    <w:rsid w:val="005A0797"/>
    <w:rsid w:val="005A44A8"/>
    <w:rsid w:val="005A67FB"/>
    <w:rsid w:val="005A7443"/>
    <w:rsid w:val="005A7523"/>
    <w:rsid w:val="005B4B18"/>
    <w:rsid w:val="005B531B"/>
    <w:rsid w:val="005B59CA"/>
    <w:rsid w:val="005B6DCD"/>
    <w:rsid w:val="005C4273"/>
    <w:rsid w:val="005C56F7"/>
    <w:rsid w:val="005C59CF"/>
    <w:rsid w:val="005C7F66"/>
    <w:rsid w:val="005D02B3"/>
    <w:rsid w:val="005D0F20"/>
    <w:rsid w:val="005D10B6"/>
    <w:rsid w:val="005D3027"/>
    <w:rsid w:val="005D4B78"/>
    <w:rsid w:val="005D7CDB"/>
    <w:rsid w:val="005E47A1"/>
    <w:rsid w:val="005E69E4"/>
    <w:rsid w:val="005F1041"/>
    <w:rsid w:val="005F4EAB"/>
    <w:rsid w:val="00600C8A"/>
    <w:rsid w:val="00610B8D"/>
    <w:rsid w:val="00621787"/>
    <w:rsid w:val="0063190A"/>
    <w:rsid w:val="00632C36"/>
    <w:rsid w:val="006368B8"/>
    <w:rsid w:val="00643BC7"/>
    <w:rsid w:val="0064661E"/>
    <w:rsid w:val="00650F41"/>
    <w:rsid w:val="00653239"/>
    <w:rsid w:val="00656BFA"/>
    <w:rsid w:val="0065702A"/>
    <w:rsid w:val="006615C8"/>
    <w:rsid w:val="00662406"/>
    <w:rsid w:val="00664A9D"/>
    <w:rsid w:val="00664F8D"/>
    <w:rsid w:val="00665C91"/>
    <w:rsid w:val="006735C5"/>
    <w:rsid w:val="006763FE"/>
    <w:rsid w:val="006803F4"/>
    <w:rsid w:val="00681F82"/>
    <w:rsid w:val="006820F5"/>
    <w:rsid w:val="006828EF"/>
    <w:rsid w:val="00684BF6"/>
    <w:rsid w:val="00690453"/>
    <w:rsid w:val="006A04BB"/>
    <w:rsid w:val="006A18DB"/>
    <w:rsid w:val="006A41A0"/>
    <w:rsid w:val="006A69CD"/>
    <w:rsid w:val="006A744A"/>
    <w:rsid w:val="006B2ABB"/>
    <w:rsid w:val="006B3853"/>
    <w:rsid w:val="006B4014"/>
    <w:rsid w:val="006B546A"/>
    <w:rsid w:val="006B65EF"/>
    <w:rsid w:val="006D2228"/>
    <w:rsid w:val="006D291F"/>
    <w:rsid w:val="006D32CF"/>
    <w:rsid w:val="006D6F8B"/>
    <w:rsid w:val="006E0F35"/>
    <w:rsid w:val="006E3255"/>
    <w:rsid w:val="006E5CD8"/>
    <w:rsid w:val="006E63D5"/>
    <w:rsid w:val="006E6DC2"/>
    <w:rsid w:val="006E70C9"/>
    <w:rsid w:val="00704456"/>
    <w:rsid w:val="00705527"/>
    <w:rsid w:val="00713345"/>
    <w:rsid w:val="0071610F"/>
    <w:rsid w:val="00725707"/>
    <w:rsid w:val="0073093B"/>
    <w:rsid w:val="00730A3C"/>
    <w:rsid w:val="00732E71"/>
    <w:rsid w:val="007362DD"/>
    <w:rsid w:val="00737E53"/>
    <w:rsid w:val="007440AF"/>
    <w:rsid w:val="00751C8F"/>
    <w:rsid w:val="00755153"/>
    <w:rsid w:val="00756E18"/>
    <w:rsid w:val="00757769"/>
    <w:rsid w:val="007601E2"/>
    <w:rsid w:val="00761618"/>
    <w:rsid w:val="00762389"/>
    <w:rsid w:val="007641E5"/>
    <w:rsid w:val="007708BD"/>
    <w:rsid w:val="00770AF9"/>
    <w:rsid w:val="00775741"/>
    <w:rsid w:val="00782783"/>
    <w:rsid w:val="007854AA"/>
    <w:rsid w:val="00787101"/>
    <w:rsid w:val="00790DF3"/>
    <w:rsid w:val="007977C6"/>
    <w:rsid w:val="007A0771"/>
    <w:rsid w:val="007C0E24"/>
    <w:rsid w:val="007C7BC6"/>
    <w:rsid w:val="007C7CD3"/>
    <w:rsid w:val="007D5B9F"/>
    <w:rsid w:val="007F50E1"/>
    <w:rsid w:val="007F7A58"/>
    <w:rsid w:val="0080065D"/>
    <w:rsid w:val="008063EF"/>
    <w:rsid w:val="00806A2B"/>
    <w:rsid w:val="00806D5C"/>
    <w:rsid w:val="00815185"/>
    <w:rsid w:val="0081602A"/>
    <w:rsid w:val="008174E6"/>
    <w:rsid w:val="008347D3"/>
    <w:rsid w:val="00834BDB"/>
    <w:rsid w:val="00837163"/>
    <w:rsid w:val="00837632"/>
    <w:rsid w:val="0084574F"/>
    <w:rsid w:val="0084738B"/>
    <w:rsid w:val="008504EE"/>
    <w:rsid w:val="00851811"/>
    <w:rsid w:val="008527FD"/>
    <w:rsid w:val="00853C5C"/>
    <w:rsid w:val="00854AE1"/>
    <w:rsid w:val="00855A36"/>
    <w:rsid w:val="00863937"/>
    <w:rsid w:val="00863C63"/>
    <w:rsid w:val="00866C86"/>
    <w:rsid w:val="00870129"/>
    <w:rsid w:val="00874AB8"/>
    <w:rsid w:val="00876D02"/>
    <w:rsid w:val="00876FA1"/>
    <w:rsid w:val="00880A1E"/>
    <w:rsid w:val="0088223D"/>
    <w:rsid w:val="00885787"/>
    <w:rsid w:val="00892E16"/>
    <w:rsid w:val="00892F61"/>
    <w:rsid w:val="008940FA"/>
    <w:rsid w:val="008B2205"/>
    <w:rsid w:val="008B3CD4"/>
    <w:rsid w:val="008C1305"/>
    <w:rsid w:val="008D7B0C"/>
    <w:rsid w:val="008E1B20"/>
    <w:rsid w:val="008E232E"/>
    <w:rsid w:val="008E25AA"/>
    <w:rsid w:val="008E288D"/>
    <w:rsid w:val="008E38E4"/>
    <w:rsid w:val="008F0DB9"/>
    <w:rsid w:val="008F4DBD"/>
    <w:rsid w:val="00907240"/>
    <w:rsid w:val="00910555"/>
    <w:rsid w:val="009137E3"/>
    <w:rsid w:val="00917DB1"/>
    <w:rsid w:val="009248AD"/>
    <w:rsid w:val="0092761A"/>
    <w:rsid w:val="00931896"/>
    <w:rsid w:val="009454D7"/>
    <w:rsid w:val="009472CE"/>
    <w:rsid w:val="009554CB"/>
    <w:rsid w:val="009574E3"/>
    <w:rsid w:val="00963019"/>
    <w:rsid w:val="009745B0"/>
    <w:rsid w:val="00980CEE"/>
    <w:rsid w:val="00991377"/>
    <w:rsid w:val="00992938"/>
    <w:rsid w:val="009977A6"/>
    <w:rsid w:val="009A1F3F"/>
    <w:rsid w:val="009A2852"/>
    <w:rsid w:val="009B18E3"/>
    <w:rsid w:val="009B268E"/>
    <w:rsid w:val="009B42F4"/>
    <w:rsid w:val="009B569F"/>
    <w:rsid w:val="009C01B6"/>
    <w:rsid w:val="009C07ED"/>
    <w:rsid w:val="009C08A3"/>
    <w:rsid w:val="009C4A4D"/>
    <w:rsid w:val="009D3EB1"/>
    <w:rsid w:val="009D5E56"/>
    <w:rsid w:val="009D796C"/>
    <w:rsid w:val="009E2F99"/>
    <w:rsid w:val="009E3F47"/>
    <w:rsid w:val="009F137C"/>
    <w:rsid w:val="009F386C"/>
    <w:rsid w:val="009F66D0"/>
    <w:rsid w:val="00A04A0E"/>
    <w:rsid w:val="00A14564"/>
    <w:rsid w:val="00A147A8"/>
    <w:rsid w:val="00A15F1E"/>
    <w:rsid w:val="00A2291A"/>
    <w:rsid w:val="00A23896"/>
    <w:rsid w:val="00A2485D"/>
    <w:rsid w:val="00A33DD1"/>
    <w:rsid w:val="00A35987"/>
    <w:rsid w:val="00A35C0A"/>
    <w:rsid w:val="00A36DCF"/>
    <w:rsid w:val="00A36E4F"/>
    <w:rsid w:val="00A404B9"/>
    <w:rsid w:val="00A413AF"/>
    <w:rsid w:val="00A413C1"/>
    <w:rsid w:val="00A415A0"/>
    <w:rsid w:val="00A42341"/>
    <w:rsid w:val="00A43301"/>
    <w:rsid w:val="00A43FFF"/>
    <w:rsid w:val="00A443B7"/>
    <w:rsid w:val="00A4501A"/>
    <w:rsid w:val="00A50CE9"/>
    <w:rsid w:val="00A514ED"/>
    <w:rsid w:val="00A52A9F"/>
    <w:rsid w:val="00A60A4D"/>
    <w:rsid w:val="00A63674"/>
    <w:rsid w:val="00A66D4C"/>
    <w:rsid w:val="00A7106B"/>
    <w:rsid w:val="00A72DB7"/>
    <w:rsid w:val="00A74CEC"/>
    <w:rsid w:val="00A81A4C"/>
    <w:rsid w:val="00A944A1"/>
    <w:rsid w:val="00AA02B9"/>
    <w:rsid w:val="00AA5A69"/>
    <w:rsid w:val="00AA7B0F"/>
    <w:rsid w:val="00AB0EE7"/>
    <w:rsid w:val="00AB1BF8"/>
    <w:rsid w:val="00AB518B"/>
    <w:rsid w:val="00AC039E"/>
    <w:rsid w:val="00AD348E"/>
    <w:rsid w:val="00AD5313"/>
    <w:rsid w:val="00AE0A38"/>
    <w:rsid w:val="00AE1CA3"/>
    <w:rsid w:val="00AE710C"/>
    <w:rsid w:val="00AF592B"/>
    <w:rsid w:val="00AF7D7B"/>
    <w:rsid w:val="00B0674C"/>
    <w:rsid w:val="00B12CCC"/>
    <w:rsid w:val="00B12FD7"/>
    <w:rsid w:val="00B149C4"/>
    <w:rsid w:val="00B15156"/>
    <w:rsid w:val="00B21B22"/>
    <w:rsid w:val="00B2625A"/>
    <w:rsid w:val="00B35ABE"/>
    <w:rsid w:val="00B45592"/>
    <w:rsid w:val="00B46EB7"/>
    <w:rsid w:val="00B510BB"/>
    <w:rsid w:val="00B534BE"/>
    <w:rsid w:val="00B568A7"/>
    <w:rsid w:val="00B63866"/>
    <w:rsid w:val="00B659B4"/>
    <w:rsid w:val="00B65A24"/>
    <w:rsid w:val="00B822B2"/>
    <w:rsid w:val="00B92855"/>
    <w:rsid w:val="00B93B50"/>
    <w:rsid w:val="00B9498B"/>
    <w:rsid w:val="00B97472"/>
    <w:rsid w:val="00BA2F5A"/>
    <w:rsid w:val="00BB0549"/>
    <w:rsid w:val="00BB36C1"/>
    <w:rsid w:val="00BB67EE"/>
    <w:rsid w:val="00BB7718"/>
    <w:rsid w:val="00BC20F2"/>
    <w:rsid w:val="00BC2E7F"/>
    <w:rsid w:val="00BD38C9"/>
    <w:rsid w:val="00BD737B"/>
    <w:rsid w:val="00BE496C"/>
    <w:rsid w:val="00BE5489"/>
    <w:rsid w:val="00BE6E76"/>
    <w:rsid w:val="00BE77C0"/>
    <w:rsid w:val="00C05A48"/>
    <w:rsid w:val="00C0665E"/>
    <w:rsid w:val="00C0780B"/>
    <w:rsid w:val="00C11C7E"/>
    <w:rsid w:val="00C12FC6"/>
    <w:rsid w:val="00C15EC7"/>
    <w:rsid w:val="00C20D81"/>
    <w:rsid w:val="00C215A1"/>
    <w:rsid w:val="00C24C78"/>
    <w:rsid w:val="00C25DA0"/>
    <w:rsid w:val="00C321FC"/>
    <w:rsid w:val="00C429C7"/>
    <w:rsid w:val="00C44D22"/>
    <w:rsid w:val="00C47822"/>
    <w:rsid w:val="00C65BFC"/>
    <w:rsid w:val="00C73C73"/>
    <w:rsid w:val="00C756EE"/>
    <w:rsid w:val="00C77CED"/>
    <w:rsid w:val="00C842FD"/>
    <w:rsid w:val="00C84787"/>
    <w:rsid w:val="00C853E8"/>
    <w:rsid w:val="00C927E1"/>
    <w:rsid w:val="00C946F1"/>
    <w:rsid w:val="00C96959"/>
    <w:rsid w:val="00CA23AB"/>
    <w:rsid w:val="00CB1B50"/>
    <w:rsid w:val="00CB1BE4"/>
    <w:rsid w:val="00CB3C33"/>
    <w:rsid w:val="00CB3D2F"/>
    <w:rsid w:val="00CB582F"/>
    <w:rsid w:val="00CB64EC"/>
    <w:rsid w:val="00CC6840"/>
    <w:rsid w:val="00CE2451"/>
    <w:rsid w:val="00CE50B4"/>
    <w:rsid w:val="00CE531A"/>
    <w:rsid w:val="00CF1C9A"/>
    <w:rsid w:val="00CF4418"/>
    <w:rsid w:val="00D008B4"/>
    <w:rsid w:val="00D108F2"/>
    <w:rsid w:val="00D16CA0"/>
    <w:rsid w:val="00D17269"/>
    <w:rsid w:val="00D20C33"/>
    <w:rsid w:val="00D21776"/>
    <w:rsid w:val="00D239EF"/>
    <w:rsid w:val="00D24D1F"/>
    <w:rsid w:val="00D35F62"/>
    <w:rsid w:val="00D41F2B"/>
    <w:rsid w:val="00D5011F"/>
    <w:rsid w:val="00D536A9"/>
    <w:rsid w:val="00D604A5"/>
    <w:rsid w:val="00D74EDE"/>
    <w:rsid w:val="00D75DEB"/>
    <w:rsid w:val="00D804AC"/>
    <w:rsid w:val="00D805CD"/>
    <w:rsid w:val="00D81768"/>
    <w:rsid w:val="00D82825"/>
    <w:rsid w:val="00D90BD9"/>
    <w:rsid w:val="00D95867"/>
    <w:rsid w:val="00D966A1"/>
    <w:rsid w:val="00DA2EC9"/>
    <w:rsid w:val="00DA30A1"/>
    <w:rsid w:val="00DA320F"/>
    <w:rsid w:val="00DA3D61"/>
    <w:rsid w:val="00DB0E6F"/>
    <w:rsid w:val="00DC0034"/>
    <w:rsid w:val="00DC4E25"/>
    <w:rsid w:val="00DD03F3"/>
    <w:rsid w:val="00DD1A03"/>
    <w:rsid w:val="00DD1AB2"/>
    <w:rsid w:val="00DD4743"/>
    <w:rsid w:val="00DE4141"/>
    <w:rsid w:val="00DE75CE"/>
    <w:rsid w:val="00DE76BF"/>
    <w:rsid w:val="00E06C42"/>
    <w:rsid w:val="00E06D79"/>
    <w:rsid w:val="00E174FE"/>
    <w:rsid w:val="00E273CA"/>
    <w:rsid w:val="00E336EC"/>
    <w:rsid w:val="00E34FB9"/>
    <w:rsid w:val="00E35C3E"/>
    <w:rsid w:val="00E401A4"/>
    <w:rsid w:val="00E40294"/>
    <w:rsid w:val="00E47145"/>
    <w:rsid w:val="00E5220A"/>
    <w:rsid w:val="00E70949"/>
    <w:rsid w:val="00E713BB"/>
    <w:rsid w:val="00E71EA7"/>
    <w:rsid w:val="00E727B8"/>
    <w:rsid w:val="00E85C6A"/>
    <w:rsid w:val="00E948B8"/>
    <w:rsid w:val="00E94D6C"/>
    <w:rsid w:val="00E97587"/>
    <w:rsid w:val="00EA1268"/>
    <w:rsid w:val="00EA13D5"/>
    <w:rsid w:val="00EA3F88"/>
    <w:rsid w:val="00EA7D87"/>
    <w:rsid w:val="00EB07D8"/>
    <w:rsid w:val="00EB0864"/>
    <w:rsid w:val="00EB6BD8"/>
    <w:rsid w:val="00EC0C54"/>
    <w:rsid w:val="00EC66CD"/>
    <w:rsid w:val="00ED0EEB"/>
    <w:rsid w:val="00ED45D3"/>
    <w:rsid w:val="00EE0516"/>
    <w:rsid w:val="00EE359F"/>
    <w:rsid w:val="00EE4958"/>
    <w:rsid w:val="00EE6CAE"/>
    <w:rsid w:val="00EF64D3"/>
    <w:rsid w:val="00EF663F"/>
    <w:rsid w:val="00F00039"/>
    <w:rsid w:val="00F1049B"/>
    <w:rsid w:val="00F13EAF"/>
    <w:rsid w:val="00F159EA"/>
    <w:rsid w:val="00F17DC2"/>
    <w:rsid w:val="00F31A6B"/>
    <w:rsid w:val="00F322A9"/>
    <w:rsid w:val="00F328FB"/>
    <w:rsid w:val="00F33FED"/>
    <w:rsid w:val="00F37AF8"/>
    <w:rsid w:val="00F41104"/>
    <w:rsid w:val="00F416BE"/>
    <w:rsid w:val="00F41BAA"/>
    <w:rsid w:val="00F42C4B"/>
    <w:rsid w:val="00F55BCF"/>
    <w:rsid w:val="00F603C7"/>
    <w:rsid w:val="00F60444"/>
    <w:rsid w:val="00F62C98"/>
    <w:rsid w:val="00F64871"/>
    <w:rsid w:val="00F66B7C"/>
    <w:rsid w:val="00F814C0"/>
    <w:rsid w:val="00F83030"/>
    <w:rsid w:val="00F8573C"/>
    <w:rsid w:val="00F87EB1"/>
    <w:rsid w:val="00F91261"/>
    <w:rsid w:val="00F920A4"/>
    <w:rsid w:val="00F93F72"/>
    <w:rsid w:val="00FA6AFE"/>
    <w:rsid w:val="00FA7824"/>
    <w:rsid w:val="00FB05D1"/>
    <w:rsid w:val="00FB428D"/>
    <w:rsid w:val="00FB5C02"/>
    <w:rsid w:val="00FB66A4"/>
    <w:rsid w:val="00FC3CAD"/>
    <w:rsid w:val="00FC7E07"/>
    <w:rsid w:val="00FD0565"/>
    <w:rsid w:val="00FD0E50"/>
    <w:rsid w:val="00FD6986"/>
    <w:rsid w:val="00FE1768"/>
    <w:rsid w:val="00FE1C19"/>
    <w:rsid w:val="00FE37AD"/>
    <w:rsid w:val="00FE6707"/>
    <w:rsid w:val="00FE7E83"/>
    <w:rsid w:val="00FF20C6"/>
    <w:rsid w:val="00FF4C80"/>
    <w:rsid w:val="01066220"/>
    <w:rsid w:val="01135296"/>
    <w:rsid w:val="01152A1F"/>
    <w:rsid w:val="01282763"/>
    <w:rsid w:val="013D6477"/>
    <w:rsid w:val="015E6741"/>
    <w:rsid w:val="0172342C"/>
    <w:rsid w:val="018A65F4"/>
    <w:rsid w:val="019A362C"/>
    <w:rsid w:val="022A53C5"/>
    <w:rsid w:val="026312BF"/>
    <w:rsid w:val="0286060F"/>
    <w:rsid w:val="028A0CD9"/>
    <w:rsid w:val="02991E2F"/>
    <w:rsid w:val="02A31C14"/>
    <w:rsid w:val="02BA3E49"/>
    <w:rsid w:val="02CF0AA9"/>
    <w:rsid w:val="02E524C7"/>
    <w:rsid w:val="02FB5DC3"/>
    <w:rsid w:val="034B26A8"/>
    <w:rsid w:val="037D47C2"/>
    <w:rsid w:val="03A10D16"/>
    <w:rsid w:val="03CA5967"/>
    <w:rsid w:val="045527B4"/>
    <w:rsid w:val="04745EC7"/>
    <w:rsid w:val="04AD19A9"/>
    <w:rsid w:val="04BF7F5A"/>
    <w:rsid w:val="04C10A3A"/>
    <w:rsid w:val="04C2673B"/>
    <w:rsid w:val="04FF1C71"/>
    <w:rsid w:val="0504616E"/>
    <w:rsid w:val="050B7833"/>
    <w:rsid w:val="05176247"/>
    <w:rsid w:val="05524E9F"/>
    <w:rsid w:val="05657F8F"/>
    <w:rsid w:val="056D047A"/>
    <w:rsid w:val="058B5147"/>
    <w:rsid w:val="05D521DE"/>
    <w:rsid w:val="05E94F8E"/>
    <w:rsid w:val="05ED35C6"/>
    <w:rsid w:val="060E1041"/>
    <w:rsid w:val="062058DF"/>
    <w:rsid w:val="06440E30"/>
    <w:rsid w:val="066D44FB"/>
    <w:rsid w:val="06786BDC"/>
    <w:rsid w:val="0698611D"/>
    <w:rsid w:val="06CA42BD"/>
    <w:rsid w:val="06CB7C74"/>
    <w:rsid w:val="06D4293D"/>
    <w:rsid w:val="06E91BB6"/>
    <w:rsid w:val="07073C3B"/>
    <w:rsid w:val="07125389"/>
    <w:rsid w:val="07321368"/>
    <w:rsid w:val="07635F95"/>
    <w:rsid w:val="07746D4A"/>
    <w:rsid w:val="077B7F63"/>
    <w:rsid w:val="0788024E"/>
    <w:rsid w:val="079F2E83"/>
    <w:rsid w:val="079F680F"/>
    <w:rsid w:val="07E87323"/>
    <w:rsid w:val="080A489C"/>
    <w:rsid w:val="08436503"/>
    <w:rsid w:val="08A32910"/>
    <w:rsid w:val="08C330EF"/>
    <w:rsid w:val="08D9407A"/>
    <w:rsid w:val="090B7A36"/>
    <w:rsid w:val="09364E50"/>
    <w:rsid w:val="09427FF1"/>
    <w:rsid w:val="096C2B55"/>
    <w:rsid w:val="097038FD"/>
    <w:rsid w:val="097309A9"/>
    <w:rsid w:val="09741AC7"/>
    <w:rsid w:val="097E10A8"/>
    <w:rsid w:val="098C146A"/>
    <w:rsid w:val="09A20158"/>
    <w:rsid w:val="09AB7887"/>
    <w:rsid w:val="09B0316A"/>
    <w:rsid w:val="09B67BFE"/>
    <w:rsid w:val="09B95183"/>
    <w:rsid w:val="09DB4ED2"/>
    <w:rsid w:val="09F6144E"/>
    <w:rsid w:val="0A503C73"/>
    <w:rsid w:val="0A517668"/>
    <w:rsid w:val="0AAD2380"/>
    <w:rsid w:val="0AC24DB3"/>
    <w:rsid w:val="0AD15769"/>
    <w:rsid w:val="0ADF07D8"/>
    <w:rsid w:val="0AED1E45"/>
    <w:rsid w:val="0AF12001"/>
    <w:rsid w:val="0B020839"/>
    <w:rsid w:val="0B2B14B0"/>
    <w:rsid w:val="0B316182"/>
    <w:rsid w:val="0B384B7A"/>
    <w:rsid w:val="0BB738DF"/>
    <w:rsid w:val="0BC66016"/>
    <w:rsid w:val="0BD66DD9"/>
    <w:rsid w:val="0BD84156"/>
    <w:rsid w:val="0BDB1A0A"/>
    <w:rsid w:val="0C2C0F71"/>
    <w:rsid w:val="0C557431"/>
    <w:rsid w:val="0C5B6C2C"/>
    <w:rsid w:val="0C6114A9"/>
    <w:rsid w:val="0C691C6B"/>
    <w:rsid w:val="0C9712AD"/>
    <w:rsid w:val="0C9A2FEB"/>
    <w:rsid w:val="0CB81CFA"/>
    <w:rsid w:val="0CFA7511"/>
    <w:rsid w:val="0CFD3FE9"/>
    <w:rsid w:val="0D043E23"/>
    <w:rsid w:val="0D1B0677"/>
    <w:rsid w:val="0D22141A"/>
    <w:rsid w:val="0D421ADE"/>
    <w:rsid w:val="0D492869"/>
    <w:rsid w:val="0D63420D"/>
    <w:rsid w:val="0D7E7FB6"/>
    <w:rsid w:val="0DBD1A7C"/>
    <w:rsid w:val="0DEC5E86"/>
    <w:rsid w:val="0E072A85"/>
    <w:rsid w:val="0E542A2B"/>
    <w:rsid w:val="0E5638D1"/>
    <w:rsid w:val="0E89392E"/>
    <w:rsid w:val="0E8B1448"/>
    <w:rsid w:val="0EB02502"/>
    <w:rsid w:val="0EE5275C"/>
    <w:rsid w:val="0EFA55EA"/>
    <w:rsid w:val="0EFB7896"/>
    <w:rsid w:val="0EFF7ECD"/>
    <w:rsid w:val="0F1F6FC9"/>
    <w:rsid w:val="0F43012A"/>
    <w:rsid w:val="0F437EF6"/>
    <w:rsid w:val="0F725411"/>
    <w:rsid w:val="0F8E71C4"/>
    <w:rsid w:val="0F911E3D"/>
    <w:rsid w:val="0FAB4EE5"/>
    <w:rsid w:val="0FAD06F2"/>
    <w:rsid w:val="0FCD0F1A"/>
    <w:rsid w:val="0FCE44FB"/>
    <w:rsid w:val="1018372C"/>
    <w:rsid w:val="103276D2"/>
    <w:rsid w:val="107A41FA"/>
    <w:rsid w:val="107E5951"/>
    <w:rsid w:val="10B93E1A"/>
    <w:rsid w:val="10D26327"/>
    <w:rsid w:val="10E57D7B"/>
    <w:rsid w:val="11165041"/>
    <w:rsid w:val="1124689A"/>
    <w:rsid w:val="11347790"/>
    <w:rsid w:val="11531DCB"/>
    <w:rsid w:val="1158705A"/>
    <w:rsid w:val="11727421"/>
    <w:rsid w:val="11B20B5E"/>
    <w:rsid w:val="11DC4785"/>
    <w:rsid w:val="11DE43BA"/>
    <w:rsid w:val="11FA273D"/>
    <w:rsid w:val="120E246C"/>
    <w:rsid w:val="126722A0"/>
    <w:rsid w:val="128C0751"/>
    <w:rsid w:val="12B41E68"/>
    <w:rsid w:val="12E51FBF"/>
    <w:rsid w:val="12EC57D6"/>
    <w:rsid w:val="12FC5A13"/>
    <w:rsid w:val="130224C8"/>
    <w:rsid w:val="130914D8"/>
    <w:rsid w:val="130F6C5A"/>
    <w:rsid w:val="132016C7"/>
    <w:rsid w:val="134A4A9C"/>
    <w:rsid w:val="135F722A"/>
    <w:rsid w:val="13B33453"/>
    <w:rsid w:val="13BC2965"/>
    <w:rsid w:val="13BD7731"/>
    <w:rsid w:val="13BF21F2"/>
    <w:rsid w:val="13F422E9"/>
    <w:rsid w:val="142B15F8"/>
    <w:rsid w:val="14562050"/>
    <w:rsid w:val="14804663"/>
    <w:rsid w:val="14BB34D7"/>
    <w:rsid w:val="14E54BE0"/>
    <w:rsid w:val="14ED6919"/>
    <w:rsid w:val="15340E2D"/>
    <w:rsid w:val="154A78FC"/>
    <w:rsid w:val="15520434"/>
    <w:rsid w:val="15526E8D"/>
    <w:rsid w:val="15605BCA"/>
    <w:rsid w:val="1584731E"/>
    <w:rsid w:val="15A32582"/>
    <w:rsid w:val="16071D8E"/>
    <w:rsid w:val="16130B43"/>
    <w:rsid w:val="165703AD"/>
    <w:rsid w:val="16585E38"/>
    <w:rsid w:val="167B6F80"/>
    <w:rsid w:val="167E60C5"/>
    <w:rsid w:val="16852F13"/>
    <w:rsid w:val="1696199B"/>
    <w:rsid w:val="16B637A2"/>
    <w:rsid w:val="16C95134"/>
    <w:rsid w:val="16E8270F"/>
    <w:rsid w:val="170E76DC"/>
    <w:rsid w:val="175449B5"/>
    <w:rsid w:val="175E2558"/>
    <w:rsid w:val="17693B62"/>
    <w:rsid w:val="17837632"/>
    <w:rsid w:val="17937DC4"/>
    <w:rsid w:val="17A553DC"/>
    <w:rsid w:val="17CC04E6"/>
    <w:rsid w:val="17DC7AB4"/>
    <w:rsid w:val="17E0515A"/>
    <w:rsid w:val="18082A3F"/>
    <w:rsid w:val="181F4053"/>
    <w:rsid w:val="181F63D4"/>
    <w:rsid w:val="182D7CA4"/>
    <w:rsid w:val="18360416"/>
    <w:rsid w:val="1863705F"/>
    <w:rsid w:val="18737847"/>
    <w:rsid w:val="188C7BF4"/>
    <w:rsid w:val="18E618F3"/>
    <w:rsid w:val="18EB7C71"/>
    <w:rsid w:val="19014EF1"/>
    <w:rsid w:val="190543E8"/>
    <w:rsid w:val="19124F85"/>
    <w:rsid w:val="195A26F4"/>
    <w:rsid w:val="195F2178"/>
    <w:rsid w:val="19771C94"/>
    <w:rsid w:val="19836D81"/>
    <w:rsid w:val="198E6FCA"/>
    <w:rsid w:val="19B0389B"/>
    <w:rsid w:val="19C21772"/>
    <w:rsid w:val="19C22B64"/>
    <w:rsid w:val="19E055E9"/>
    <w:rsid w:val="19F12438"/>
    <w:rsid w:val="1A0B5F6A"/>
    <w:rsid w:val="1A1C4CED"/>
    <w:rsid w:val="1A524A0E"/>
    <w:rsid w:val="1A546BD7"/>
    <w:rsid w:val="1A566E08"/>
    <w:rsid w:val="1A89766E"/>
    <w:rsid w:val="1ACB3B40"/>
    <w:rsid w:val="1ACD5E84"/>
    <w:rsid w:val="1AD96373"/>
    <w:rsid w:val="1B29201A"/>
    <w:rsid w:val="1B2E21DD"/>
    <w:rsid w:val="1B5C0B28"/>
    <w:rsid w:val="1B6B6AC5"/>
    <w:rsid w:val="1B76219F"/>
    <w:rsid w:val="1B7F1714"/>
    <w:rsid w:val="1B8018A2"/>
    <w:rsid w:val="1B937848"/>
    <w:rsid w:val="1B942182"/>
    <w:rsid w:val="1BEF7EC4"/>
    <w:rsid w:val="1BFA6E1C"/>
    <w:rsid w:val="1C050C63"/>
    <w:rsid w:val="1C2C2CE1"/>
    <w:rsid w:val="1C3041CB"/>
    <w:rsid w:val="1C442596"/>
    <w:rsid w:val="1C4532AD"/>
    <w:rsid w:val="1C6B5416"/>
    <w:rsid w:val="1C831AE5"/>
    <w:rsid w:val="1CDE17B0"/>
    <w:rsid w:val="1CDF0173"/>
    <w:rsid w:val="1CE50ACD"/>
    <w:rsid w:val="1CF43E26"/>
    <w:rsid w:val="1CFD391F"/>
    <w:rsid w:val="1D1D63D2"/>
    <w:rsid w:val="1D2A1891"/>
    <w:rsid w:val="1D2D7806"/>
    <w:rsid w:val="1D4A42B8"/>
    <w:rsid w:val="1D5233B2"/>
    <w:rsid w:val="1D562F59"/>
    <w:rsid w:val="1D582541"/>
    <w:rsid w:val="1D587793"/>
    <w:rsid w:val="1D810E42"/>
    <w:rsid w:val="1D8712E2"/>
    <w:rsid w:val="1D8F7BC6"/>
    <w:rsid w:val="1D9B15E9"/>
    <w:rsid w:val="1DA036FF"/>
    <w:rsid w:val="1DD84D56"/>
    <w:rsid w:val="1DF77026"/>
    <w:rsid w:val="1E0639E6"/>
    <w:rsid w:val="1E776D18"/>
    <w:rsid w:val="1E7E3FB8"/>
    <w:rsid w:val="1E7E666F"/>
    <w:rsid w:val="1E860877"/>
    <w:rsid w:val="1E96263C"/>
    <w:rsid w:val="1EA17911"/>
    <w:rsid w:val="1EB52C4D"/>
    <w:rsid w:val="1EDB762C"/>
    <w:rsid w:val="1F066358"/>
    <w:rsid w:val="1F0B4909"/>
    <w:rsid w:val="1F0F1F06"/>
    <w:rsid w:val="1F22128A"/>
    <w:rsid w:val="1F5C16CC"/>
    <w:rsid w:val="1F6D372C"/>
    <w:rsid w:val="1F865D36"/>
    <w:rsid w:val="1F8E2216"/>
    <w:rsid w:val="1FA34CF7"/>
    <w:rsid w:val="1FAB5A67"/>
    <w:rsid w:val="1FC15DD2"/>
    <w:rsid w:val="1FE3751C"/>
    <w:rsid w:val="1FF33057"/>
    <w:rsid w:val="200C4AD5"/>
    <w:rsid w:val="20127C45"/>
    <w:rsid w:val="20287D07"/>
    <w:rsid w:val="202B0253"/>
    <w:rsid w:val="202F5F61"/>
    <w:rsid w:val="203E1472"/>
    <w:rsid w:val="20625116"/>
    <w:rsid w:val="20C84600"/>
    <w:rsid w:val="20D4330D"/>
    <w:rsid w:val="21086603"/>
    <w:rsid w:val="211A20DA"/>
    <w:rsid w:val="213145FE"/>
    <w:rsid w:val="21427F6F"/>
    <w:rsid w:val="214B4222"/>
    <w:rsid w:val="214B551D"/>
    <w:rsid w:val="21702AE9"/>
    <w:rsid w:val="21A3441D"/>
    <w:rsid w:val="222044DA"/>
    <w:rsid w:val="22434212"/>
    <w:rsid w:val="22446DD5"/>
    <w:rsid w:val="224E0131"/>
    <w:rsid w:val="225B5613"/>
    <w:rsid w:val="225D650F"/>
    <w:rsid w:val="22654BE4"/>
    <w:rsid w:val="22750198"/>
    <w:rsid w:val="228950F4"/>
    <w:rsid w:val="229233C9"/>
    <w:rsid w:val="22B1462B"/>
    <w:rsid w:val="22E90E3A"/>
    <w:rsid w:val="23486F92"/>
    <w:rsid w:val="234C735A"/>
    <w:rsid w:val="234D7B42"/>
    <w:rsid w:val="238B5E89"/>
    <w:rsid w:val="239C0ABF"/>
    <w:rsid w:val="23B90EAE"/>
    <w:rsid w:val="23BA2A2E"/>
    <w:rsid w:val="23C3229E"/>
    <w:rsid w:val="23EB7504"/>
    <w:rsid w:val="24487A08"/>
    <w:rsid w:val="245A04E0"/>
    <w:rsid w:val="24922DA0"/>
    <w:rsid w:val="2494490F"/>
    <w:rsid w:val="24A90734"/>
    <w:rsid w:val="24D47367"/>
    <w:rsid w:val="250052C3"/>
    <w:rsid w:val="25322718"/>
    <w:rsid w:val="254143F9"/>
    <w:rsid w:val="257F1450"/>
    <w:rsid w:val="257F78D2"/>
    <w:rsid w:val="258B6A3A"/>
    <w:rsid w:val="25927F66"/>
    <w:rsid w:val="259B0386"/>
    <w:rsid w:val="25A72C83"/>
    <w:rsid w:val="25B97351"/>
    <w:rsid w:val="25C91B95"/>
    <w:rsid w:val="25E724E9"/>
    <w:rsid w:val="25E966F2"/>
    <w:rsid w:val="25ED3415"/>
    <w:rsid w:val="25EF714A"/>
    <w:rsid w:val="25F257C7"/>
    <w:rsid w:val="262227CB"/>
    <w:rsid w:val="263930CF"/>
    <w:rsid w:val="264E58EF"/>
    <w:rsid w:val="264E5BD3"/>
    <w:rsid w:val="264E7005"/>
    <w:rsid w:val="26552B67"/>
    <w:rsid w:val="26733001"/>
    <w:rsid w:val="26A2167D"/>
    <w:rsid w:val="26AA6BB4"/>
    <w:rsid w:val="26F36771"/>
    <w:rsid w:val="270D39FB"/>
    <w:rsid w:val="27165B6C"/>
    <w:rsid w:val="27355263"/>
    <w:rsid w:val="273563C0"/>
    <w:rsid w:val="273775CC"/>
    <w:rsid w:val="274D6060"/>
    <w:rsid w:val="27C2034A"/>
    <w:rsid w:val="27C71459"/>
    <w:rsid w:val="27D74A6C"/>
    <w:rsid w:val="27EF460C"/>
    <w:rsid w:val="27F317F6"/>
    <w:rsid w:val="27FD7966"/>
    <w:rsid w:val="286D6673"/>
    <w:rsid w:val="286F5EE4"/>
    <w:rsid w:val="28723014"/>
    <w:rsid w:val="28746CFC"/>
    <w:rsid w:val="28814963"/>
    <w:rsid w:val="28A07A38"/>
    <w:rsid w:val="28A12D34"/>
    <w:rsid w:val="28A30699"/>
    <w:rsid w:val="28A7773D"/>
    <w:rsid w:val="28B616D2"/>
    <w:rsid w:val="28D72B75"/>
    <w:rsid w:val="28D769C4"/>
    <w:rsid w:val="29100B88"/>
    <w:rsid w:val="29102FE7"/>
    <w:rsid w:val="294964A3"/>
    <w:rsid w:val="2950673E"/>
    <w:rsid w:val="29697D0F"/>
    <w:rsid w:val="29962404"/>
    <w:rsid w:val="299D253B"/>
    <w:rsid w:val="29A231C8"/>
    <w:rsid w:val="29A80971"/>
    <w:rsid w:val="29C13F14"/>
    <w:rsid w:val="29D34D0D"/>
    <w:rsid w:val="29DD6726"/>
    <w:rsid w:val="29E14AC1"/>
    <w:rsid w:val="2A1B6FBC"/>
    <w:rsid w:val="2A2B42FA"/>
    <w:rsid w:val="2A3854D0"/>
    <w:rsid w:val="2B084118"/>
    <w:rsid w:val="2B1565CC"/>
    <w:rsid w:val="2B1A7198"/>
    <w:rsid w:val="2B2833C3"/>
    <w:rsid w:val="2B2D6858"/>
    <w:rsid w:val="2B34343B"/>
    <w:rsid w:val="2B367722"/>
    <w:rsid w:val="2B460E8F"/>
    <w:rsid w:val="2B8C744A"/>
    <w:rsid w:val="2B95773D"/>
    <w:rsid w:val="2B9A1485"/>
    <w:rsid w:val="2B9B0D5E"/>
    <w:rsid w:val="2BA61836"/>
    <w:rsid w:val="2BBF4052"/>
    <w:rsid w:val="2BF06304"/>
    <w:rsid w:val="2BF340D8"/>
    <w:rsid w:val="2C136B83"/>
    <w:rsid w:val="2C14437E"/>
    <w:rsid w:val="2C2A5673"/>
    <w:rsid w:val="2C3F7E72"/>
    <w:rsid w:val="2C516C4C"/>
    <w:rsid w:val="2C632773"/>
    <w:rsid w:val="2C6F73EC"/>
    <w:rsid w:val="2C8C3E42"/>
    <w:rsid w:val="2C8F31CA"/>
    <w:rsid w:val="2CA13788"/>
    <w:rsid w:val="2CCD779D"/>
    <w:rsid w:val="2CCE7FBC"/>
    <w:rsid w:val="2CD9755A"/>
    <w:rsid w:val="2CDD2CA0"/>
    <w:rsid w:val="2D170312"/>
    <w:rsid w:val="2D5B49C2"/>
    <w:rsid w:val="2D7C0BD4"/>
    <w:rsid w:val="2D837775"/>
    <w:rsid w:val="2DA078D2"/>
    <w:rsid w:val="2DCA0525"/>
    <w:rsid w:val="2DDD43CD"/>
    <w:rsid w:val="2DE35B72"/>
    <w:rsid w:val="2E044EEE"/>
    <w:rsid w:val="2E132E22"/>
    <w:rsid w:val="2E172130"/>
    <w:rsid w:val="2E1C7DC8"/>
    <w:rsid w:val="2E2645D0"/>
    <w:rsid w:val="2E4F6990"/>
    <w:rsid w:val="2EA52671"/>
    <w:rsid w:val="2F560206"/>
    <w:rsid w:val="2F797D10"/>
    <w:rsid w:val="2F81211D"/>
    <w:rsid w:val="2F8B6D38"/>
    <w:rsid w:val="2FDF61DF"/>
    <w:rsid w:val="300B773A"/>
    <w:rsid w:val="30116EFF"/>
    <w:rsid w:val="3014136D"/>
    <w:rsid w:val="301F1D79"/>
    <w:rsid w:val="302375C0"/>
    <w:rsid w:val="30545A31"/>
    <w:rsid w:val="30684D7B"/>
    <w:rsid w:val="309B637F"/>
    <w:rsid w:val="30A82957"/>
    <w:rsid w:val="30DE58E9"/>
    <w:rsid w:val="30F545DF"/>
    <w:rsid w:val="311956ED"/>
    <w:rsid w:val="31283B34"/>
    <w:rsid w:val="31416C5C"/>
    <w:rsid w:val="31436440"/>
    <w:rsid w:val="3151705A"/>
    <w:rsid w:val="316B687A"/>
    <w:rsid w:val="3175324A"/>
    <w:rsid w:val="319458A2"/>
    <w:rsid w:val="319C4A44"/>
    <w:rsid w:val="31C50BD5"/>
    <w:rsid w:val="31C7295B"/>
    <w:rsid w:val="31DE4737"/>
    <w:rsid w:val="31E02044"/>
    <w:rsid w:val="31E11253"/>
    <w:rsid w:val="31E73510"/>
    <w:rsid w:val="322769D5"/>
    <w:rsid w:val="324B4B30"/>
    <w:rsid w:val="32631195"/>
    <w:rsid w:val="32747F1A"/>
    <w:rsid w:val="32811F63"/>
    <w:rsid w:val="32825092"/>
    <w:rsid w:val="32A117E4"/>
    <w:rsid w:val="32A40FCB"/>
    <w:rsid w:val="32B25BB9"/>
    <w:rsid w:val="32BE430D"/>
    <w:rsid w:val="32D3725C"/>
    <w:rsid w:val="32DF445D"/>
    <w:rsid w:val="32F43256"/>
    <w:rsid w:val="33286A0E"/>
    <w:rsid w:val="33482F76"/>
    <w:rsid w:val="334C2811"/>
    <w:rsid w:val="336C2C07"/>
    <w:rsid w:val="33975B7E"/>
    <w:rsid w:val="339C1EA4"/>
    <w:rsid w:val="33B679E6"/>
    <w:rsid w:val="33D110F6"/>
    <w:rsid w:val="33F73CD2"/>
    <w:rsid w:val="34192152"/>
    <w:rsid w:val="341A03CD"/>
    <w:rsid w:val="342E63AB"/>
    <w:rsid w:val="343E353F"/>
    <w:rsid w:val="34607F95"/>
    <w:rsid w:val="34630E03"/>
    <w:rsid w:val="34B7001F"/>
    <w:rsid w:val="34C444D4"/>
    <w:rsid w:val="34F84109"/>
    <w:rsid w:val="3505721A"/>
    <w:rsid w:val="35446917"/>
    <w:rsid w:val="35775C56"/>
    <w:rsid w:val="358852F4"/>
    <w:rsid w:val="35FE28C4"/>
    <w:rsid w:val="360B07B1"/>
    <w:rsid w:val="365A0C79"/>
    <w:rsid w:val="36622AC7"/>
    <w:rsid w:val="36782A6C"/>
    <w:rsid w:val="3691096B"/>
    <w:rsid w:val="369C20A5"/>
    <w:rsid w:val="36A07231"/>
    <w:rsid w:val="36C71BE1"/>
    <w:rsid w:val="36E84AA7"/>
    <w:rsid w:val="371A325C"/>
    <w:rsid w:val="373C34CD"/>
    <w:rsid w:val="373C7846"/>
    <w:rsid w:val="37677045"/>
    <w:rsid w:val="377D0990"/>
    <w:rsid w:val="37A80BE0"/>
    <w:rsid w:val="37DC2BB3"/>
    <w:rsid w:val="38343D7F"/>
    <w:rsid w:val="385445FF"/>
    <w:rsid w:val="385E1BF9"/>
    <w:rsid w:val="388252FC"/>
    <w:rsid w:val="38960EC6"/>
    <w:rsid w:val="389D638B"/>
    <w:rsid w:val="38B46D70"/>
    <w:rsid w:val="38BB7547"/>
    <w:rsid w:val="38C005F6"/>
    <w:rsid w:val="38DA196D"/>
    <w:rsid w:val="394A77F2"/>
    <w:rsid w:val="394D02B1"/>
    <w:rsid w:val="39A40F27"/>
    <w:rsid w:val="39A7630C"/>
    <w:rsid w:val="39A912DD"/>
    <w:rsid w:val="39A92732"/>
    <w:rsid w:val="3A132FF6"/>
    <w:rsid w:val="3A1E5D66"/>
    <w:rsid w:val="3A302A9F"/>
    <w:rsid w:val="3A460CC6"/>
    <w:rsid w:val="3A612AE9"/>
    <w:rsid w:val="3A6D533A"/>
    <w:rsid w:val="3AB90342"/>
    <w:rsid w:val="3AC60CA9"/>
    <w:rsid w:val="3AD44DB1"/>
    <w:rsid w:val="3AE8481C"/>
    <w:rsid w:val="3AEA72D5"/>
    <w:rsid w:val="3B355993"/>
    <w:rsid w:val="3B456794"/>
    <w:rsid w:val="3BAE63F7"/>
    <w:rsid w:val="3BBA100A"/>
    <w:rsid w:val="3BBA36A9"/>
    <w:rsid w:val="3BD7653F"/>
    <w:rsid w:val="3BF62EF1"/>
    <w:rsid w:val="3BF73252"/>
    <w:rsid w:val="3BFA6872"/>
    <w:rsid w:val="3C136C53"/>
    <w:rsid w:val="3C1E4FB3"/>
    <w:rsid w:val="3C2619BE"/>
    <w:rsid w:val="3C346666"/>
    <w:rsid w:val="3C4E5DC0"/>
    <w:rsid w:val="3C5925C6"/>
    <w:rsid w:val="3C86701C"/>
    <w:rsid w:val="3C912B4C"/>
    <w:rsid w:val="3CE46400"/>
    <w:rsid w:val="3CE47BDE"/>
    <w:rsid w:val="3CF91F51"/>
    <w:rsid w:val="3D184C5F"/>
    <w:rsid w:val="3D254A80"/>
    <w:rsid w:val="3D513560"/>
    <w:rsid w:val="3D7E0954"/>
    <w:rsid w:val="3D861BA6"/>
    <w:rsid w:val="3D956164"/>
    <w:rsid w:val="3DAC38F7"/>
    <w:rsid w:val="3DCF2C73"/>
    <w:rsid w:val="3DE9494C"/>
    <w:rsid w:val="3E1B1D4B"/>
    <w:rsid w:val="3E2663C3"/>
    <w:rsid w:val="3E29305B"/>
    <w:rsid w:val="3E4417E3"/>
    <w:rsid w:val="3E7401AA"/>
    <w:rsid w:val="3E9F519F"/>
    <w:rsid w:val="3EA82697"/>
    <w:rsid w:val="3EF9734A"/>
    <w:rsid w:val="3F057CC3"/>
    <w:rsid w:val="3F0E1310"/>
    <w:rsid w:val="3F18547E"/>
    <w:rsid w:val="3F1C48CC"/>
    <w:rsid w:val="3F1E014E"/>
    <w:rsid w:val="3F1E64F0"/>
    <w:rsid w:val="3F484C66"/>
    <w:rsid w:val="3F582B65"/>
    <w:rsid w:val="3F807A93"/>
    <w:rsid w:val="3F967CC9"/>
    <w:rsid w:val="3FBE6D61"/>
    <w:rsid w:val="400F5CDE"/>
    <w:rsid w:val="4021508D"/>
    <w:rsid w:val="4029376C"/>
    <w:rsid w:val="40396BF8"/>
    <w:rsid w:val="404D0FDF"/>
    <w:rsid w:val="404F688A"/>
    <w:rsid w:val="40631D33"/>
    <w:rsid w:val="40BE528D"/>
    <w:rsid w:val="40BF4D79"/>
    <w:rsid w:val="40C12CF3"/>
    <w:rsid w:val="40DE0233"/>
    <w:rsid w:val="40ED0812"/>
    <w:rsid w:val="40F90EF6"/>
    <w:rsid w:val="412E40AC"/>
    <w:rsid w:val="413D5BFF"/>
    <w:rsid w:val="414C710B"/>
    <w:rsid w:val="416E2B32"/>
    <w:rsid w:val="41781A42"/>
    <w:rsid w:val="41AA455D"/>
    <w:rsid w:val="41AD7D86"/>
    <w:rsid w:val="41EB550B"/>
    <w:rsid w:val="41F56C46"/>
    <w:rsid w:val="42162AA2"/>
    <w:rsid w:val="424E5888"/>
    <w:rsid w:val="427D2FE9"/>
    <w:rsid w:val="4291546E"/>
    <w:rsid w:val="429A2673"/>
    <w:rsid w:val="42CA6E88"/>
    <w:rsid w:val="42DC0E4D"/>
    <w:rsid w:val="42E368C9"/>
    <w:rsid w:val="42FE0D10"/>
    <w:rsid w:val="430348B4"/>
    <w:rsid w:val="4313694C"/>
    <w:rsid w:val="431B31A5"/>
    <w:rsid w:val="43385B1D"/>
    <w:rsid w:val="434A5F32"/>
    <w:rsid w:val="43AA6E0F"/>
    <w:rsid w:val="43B92D9A"/>
    <w:rsid w:val="43C77C9D"/>
    <w:rsid w:val="441B5661"/>
    <w:rsid w:val="443603A6"/>
    <w:rsid w:val="443747BC"/>
    <w:rsid w:val="44B20F1C"/>
    <w:rsid w:val="44B749E0"/>
    <w:rsid w:val="44D51C67"/>
    <w:rsid w:val="44D64C71"/>
    <w:rsid w:val="44E52573"/>
    <w:rsid w:val="44F9296C"/>
    <w:rsid w:val="451509D3"/>
    <w:rsid w:val="4523797C"/>
    <w:rsid w:val="456F5BF8"/>
    <w:rsid w:val="4587135A"/>
    <w:rsid w:val="458B43E7"/>
    <w:rsid w:val="45D63072"/>
    <w:rsid w:val="46165FB6"/>
    <w:rsid w:val="46176D20"/>
    <w:rsid w:val="461A4FF7"/>
    <w:rsid w:val="461C112F"/>
    <w:rsid w:val="461F60ED"/>
    <w:rsid w:val="46211976"/>
    <w:rsid w:val="46295027"/>
    <w:rsid w:val="46E77CFD"/>
    <w:rsid w:val="46EE725D"/>
    <w:rsid w:val="46FB671A"/>
    <w:rsid w:val="471E5D58"/>
    <w:rsid w:val="47461FEC"/>
    <w:rsid w:val="47953C08"/>
    <w:rsid w:val="47B22DEE"/>
    <w:rsid w:val="47B94C71"/>
    <w:rsid w:val="47E114CB"/>
    <w:rsid w:val="47F434AE"/>
    <w:rsid w:val="48001517"/>
    <w:rsid w:val="480450D7"/>
    <w:rsid w:val="48522352"/>
    <w:rsid w:val="489F49CA"/>
    <w:rsid w:val="48B54DDF"/>
    <w:rsid w:val="48D40488"/>
    <w:rsid w:val="48E341B3"/>
    <w:rsid w:val="48EA0BDE"/>
    <w:rsid w:val="48EF2EBA"/>
    <w:rsid w:val="48FE33D0"/>
    <w:rsid w:val="4902263B"/>
    <w:rsid w:val="49097DB0"/>
    <w:rsid w:val="496C4AB9"/>
    <w:rsid w:val="498015B8"/>
    <w:rsid w:val="49C35B92"/>
    <w:rsid w:val="49E10176"/>
    <w:rsid w:val="4A151AF5"/>
    <w:rsid w:val="4A2E14E2"/>
    <w:rsid w:val="4A433FF9"/>
    <w:rsid w:val="4A4E2568"/>
    <w:rsid w:val="4A8350FD"/>
    <w:rsid w:val="4A8F0A40"/>
    <w:rsid w:val="4A9216E3"/>
    <w:rsid w:val="4A9C480C"/>
    <w:rsid w:val="4A9E6923"/>
    <w:rsid w:val="4AA23462"/>
    <w:rsid w:val="4AB40731"/>
    <w:rsid w:val="4AE0181B"/>
    <w:rsid w:val="4B0B6201"/>
    <w:rsid w:val="4B1D22CD"/>
    <w:rsid w:val="4B730E94"/>
    <w:rsid w:val="4B750A1B"/>
    <w:rsid w:val="4B762D60"/>
    <w:rsid w:val="4B7F492C"/>
    <w:rsid w:val="4B822033"/>
    <w:rsid w:val="4B841AD9"/>
    <w:rsid w:val="4BA0137D"/>
    <w:rsid w:val="4C023EC3"/>
    <w:rsid w:val="4C151063"/>
    <w:rsid w:val="4C232217"/>
    <w:rsid w:val="4C252C5A"/>
    <w:rsid w:val="4C2F2432"/>
    <w:rsid w:val="4C5178A8"/>
    <w:rsid w:val="4C846ED9"/>
    <w:rsid w:val="4CA47647"/>
    <w:rsid w:val="4CB56133"/>
    <w:rsid w:val="4CB616DD"/>
    <w:rsid w:val="4CDA556C"/>
    <w:rsid w:val="4CE968B9"/>
    <w:rsid w:val="4CEE4CFE"/>
    <w:rsid w:val="4CFF3963"/>
    <w:rsid w:val="4D376CF4"/>
    <w:rsid w:val="4D526CF9"/>
    <w:rsid w:val="4D640C48"/>
    <w:rsid w:val="4D9E2924"/>
    <w:rsid w:val="4DC343A9"/>
    <w:rsid w:val="4DE07BD1"/>
    <w:rsid w:val="4DE81071"/>
    <w:rsid w:val="4E106096"/>
    <w:rsid w:val="4E1066B1"/>
    <w:rsid w:val="4E1175C5"/>
    <w:rsid w:val="4E691B18"/>
    <w:rsid w:val="4E7344B2"/>
    <w:rsid w:val="4E887E13"/>
    <w:rsid w:val="4EB856B6"/>
    <w:rsid w:val="4EC724EE"/>
    <w:rsid w:val="4ED16AFA"/>
    <w:rsid w:val="4EE75877"/>
    <w:rsid w:val="4F047C42"/>
    <w:rsid w:val="4F0A6143"/>
    <w:rsid w:val="4F2C4393"/>
    <w:rsid w:val="4F361558"/>
    <w:rsid w:val="4F3A7833"/>
    <w:rsid w:val="4F491BAD"/>
    <w:rsid w:val="4F9A798D"/>
    <w:rsid w:val="50653112"/>
    <w:rsid w:val="50903B27"/>
    <w:rsid w:val="50927FB4"/>
    <w:rsid w:val="50A72FA5"/>
    <w:rsid w:val="50B824CC"/>
    <w:rsid w:val="50E36BBB"/>
    <w:rsid w:val="50F0451D"/>
    <w:rsid w:val="50F6519A"/>
    <w:rsid w:val="51061EDB"/>
    <w:rsid w:val="5175418C"/>
    <w:rsid w:val="51777F96"/>
    <w:rsid w:val="51A076AF"/>
    <w:rsid w:val="52034ACF"/>
    <w:rsid w:val="52177F19"/>
    <w:rsid w:val="52183AA6"/>
    <w:rsid w:val="521D0593"/>
    <w:rsid w:val="5227624D"/>
    <w:rsid w:val="528A4CF6"/>
    <w:rsid w:val="529A1C0B"/>
    <w:rsid w:val="529F4C9C"/>
    <w:rsid w:val="52F00BE1"/>
    <w:rsid w:val="530F62F2"/>
    <w:rsid w:val="53476F11"/>
    <w:rsid w:val="53E57531"/>
    <w:rsid w:val="542E0172"/>
    <w:rsid w:val="543328DD"/>
    <w:rsid w:val="54462614"/>
    <w:rsid w:val="54640A65"/>
    <w:rsid w:val="547C54F8"/>
    <w:rsid w:val="54813097"/>
    <w:rsid w:val="549471E9"/>
    <w:rsid w:val="54960B77"/>
    <w:rsid w:val="549932FD"/>
    <w:rsid w:val="549D0B71"/>
    <w:rsid w:val="54A80C9C"/>
    <w:rsid w:val="54B16505"/>
    <w:rsid w:val="54CE0146"/>
    <w:rsid w:val="54EA0B8D"/>
    <w:rsid w:val="55261DDD"/>
    <w:rsid w:val="552A4C77"/>
    <w:rsid w:val="552F77C1"/>
    <w:rsid w:val="55305060"/>
    <w:rsid w:val="553C7F74"/>
    <w:rsid w:val="554A7445"/>
    <w:rsid w:val="558A50E6"/>
    <w:rsid w:val="558B2DA9"/>
    <w:rsid w:val="55C53549"/>
    <w:rsid w:val="55D1169D"/>
    <w:rsid w:val="55EF6BD5"/>
    <w:rsid w:val="5614044C"/>
    <w:rsid w:val="5614725B"/>
    <w:rsid w:val="56443B98"/>
    <w:rsid w:val="564C6014"/>
    <w:rsid w:val="565C52F9"/>
    <w:rsid w:val="568266ED"/>
    <w:rsid w:val="56870D60"/>
    <w:rsid w:val="56AA530D"/>
    <w:rsid w:val="56BC7B3C"/>
    <w:rsid w:val="56CE7D94"/>
    <w:rsid w:val="56D26C7F"/>
    <w:rsid w:val="56DC5010"/>
    <w:rsid w:val="56E733A1"/>
    <w:rsid w:val="56F147EB"/>
    <w:rsid w:val="57071FE4"/>
    <w:rsid w:val="572460AF"/>
    <w:rsid w:val="574842D2"/>
    <w:rsid w:val="57852574"/>
    <w:rsid w:val="5792268B"/>
    <w:rsid w:val="579913E0"/>
    <w:rsid w:val="57BE2F5F"/>
    <w:rsid w:val="57C11156"/>
    <w:rsid w:val="57F66E2C"/>
    <w:rsid w:val="580A75F9"/>
    <w:rsid w:val="580E6229"/>
    <w:rsid w:val="58443C8E"/>
    <w:rsid w:val="588134C9"/>
    <w:rsid w:val="589C0DD5"/>
    <w:rsid w:val="58A545FC"/>
    <w:rsid w:val="58B40696"/>
    <w:rsid w:val="58E10E5F"/>
    <w:rsid w:val="58ED3B32"/>
    <w:rsid w:val="59577ADB"/>
    <w:rsid w:val="59815A9C"/>
    <w:rsid w:val="59B015CA"/>
    <w:rsid w:val="59B14E01"/>
    <w:rsid w:val="59C21984"/>
    <w:rsid w:val="59F917BF"/>
    <w:rsid w:val="59FB12AA"/>
    <w:rsid w:val="5A0802E8"/>
    <w:rsid w:val="5A126CCA"/>
    <w:rsid w:val="5A21156A"/>
    <w:rsid w:val="5A261AA4"/>
    <w:rsid w:val="5A414E27"/>
    <w:rsid w:val="5A836EF5"/>
    <w:rsid w:val="5A8C1DCF"/>
    <w:rsid w:val="5ABD1D13"/>
    <w:rsid w:val="5AF472C8"/>
    <w:rsid w:val="5B1A7790"/>
    <w:rsid w:val="5B36096B"/>
    <w:rsid w:val="5B694416"/>
    <w:rsid w:val="5B703033"/>
    <w:rsid w:val="5BA11D03"/>
    <w:rsid w:val="5BB945CA"/>
    <w:rsid w:val="5BC55389"/>
    <w:rsid w:val="5BCD4F6C"/>
    <w:rsid w:val="5BF31FCB"/>
    <w:rsid w:val="5C0860AC"/>
    <w:rsid w:val="5C1008B9"/>
    <w:rsid w:val="5C1B0E57"/>
    <w:rsid w:val="5C3A731E"/>
    <w:rsid w:val="5C712277"/>
    <w:rsid w:val="5CCE436E"/>
    <w:rsid w:val="5CFE1098"/>
    <w:rsid w:val="5D103583"/>
    <w:rsid w:val="5D1A1183"/>
    <w:rsid w:val="5D6B0F79"/>
    <w:rsid w:val="5D6B7D1E"/>
    <w:rsid w:val="5D98503F"/>
    <w:rsid w:val="5DA609C8"/>
    <w:rsid w:val="5DCC7FEB"/>
    <w:rsid w:val="5DFC51C2"/>
    <w:rsid w:val="5E0F6A5F"/>
    <w:rsid w:val="5E2E5E8D"/>
    <w:rsid w:val="5E381AF3"/>
    <w:rsid w:val="5E4B301F"/>
    <w:rsid w:val="5E5767B0"/>
    <w:rsid w:val="5EDF69B5"/>
    <w:rsid w:val="5F1B4C27"/>
    <w:rsid w:val="5F1E52EE"/>
    <w:rsid w:val="5F387044"/>
    <w:rsid w:val="5F4146C0"/>
    <w:rsid w:val="5F5E15F4"/>
    <w:rsid w:val="5F6B7EFD"/>
    <w:rsid w:val="5F6D1A9C"/>
    <w:rsid w:val="5F794A80"/>
    <w:rsid w:val="5FDD0C33"/>
    <w:rsid w:val="5FF80C04"/>
    <w:rsid w:val="5FFE3085"/>
    <w:rsid w:val="600066D9"/>
    <w:rsid w:val="602F2243"/>
    <w:rsid w:val="60761566"/>
    <w:rsid w:val="60A372C8"/>
    <w:rsid w:val="60C068A9"/>
    <w:rsid w:val="60D41E60"/>
    <w:rsid w:val="61471C93"/>
    <w:rsid w:val="61535926"/>
    <w:rsid w:val="61633DF1"/>
    <w:rsid w:val="618B1C12"/>
    <w:rsid w:val="61A71F63"/>
    <w:rsid w:val="61B6615E"/>
    <w:rsid w:val="61BB3161"/>
    <w:rsid w:val="61BD36AE"/>
    <w:rsid w:val="61D44764"/>
    <w:rsid w:val="61EF38DD"/>
    <w:rsid w:val="62286FA5"/>
    <w:rsid w:val="62362BCD"/>
    <w:rsid w:val="623F4ED0"/>
    <w:rsid w:val="62976F23"/>
    <w:rsid w:val="62EA7031"/>
    <w:rsid w:val="6315031A"/>
    <w:rsid w:val="63183AA9"/>
    <w:rsid w:val="631D3462"/>
    <w:rsid w:val="633330CC"/>
    <w:rsid w:val="633B085C"/>
    <w:rsid w:val="635D20D7"/>
    <w:rsid w:val="635E7540"/>
    <w:rsid w:val="63682235"/>
    <w:rsid w:val="636C28A2"/>
    <w:rsid w:val="638849FD"/>
    <w:rsid w:val="639F3A80"/>
    <w:rsid w:val="63A51B8F"/>
    <w:rsid w:val="63BE1505"/>
    <w:rsid w:val="63BF2828"/>
    <w:rsid w:val="63BF3133"/>
    <w:rsid w:val="63C25BC9"/>
    <w:rsid w:val="63CA773F"/>
    <w:rsid w:val="63FC77DC"/>
    <w:rsid w:val="6404194E"/>
    <w:rsid w:val="64056C44"/>
    <w:rsid w:val="644A6117"/>
    <w:rsid w:val="646E4B11"/>
    <w:rsid w:val="64722E36"/>
    <w:rsid w:val="647508DE"/>
    <w:rsid w:val="649A209D"/>
    <w:rsid w:val="64E31837"/>
    <w:rsid w:val="64E46315"/>
    <w:rsid w:val="64F65C85"/>
    <w:rsid w:val="64FD2F93"/>
    <w:rsid w:val="65101F57"/>
    <w:rsid w:val="65401CBE"/>
    <w:rsid w:val="654C0A1A"/>
    <w:rsid w:val="65727180"/>
    <w:rsid w:val="65B31E66"/>
    <w:rsid w:val="65F40141"/>
    <w:rsid w:val="660C45AF"/>
    <w:rsid w:val="66484C99"/>
    <w:rsid w:val="664D1141"/>
    <w:rsid w:val="666F649F"/>
    <w:rsid w:val="66A27570"/>
    <w:rsid w:val="66FA194C"/>
    <w:rsid w:val="674B1704"/>
    <w:rsid w:val="677C4CD5"/>
    <w:rsid w:val="67813892"/>
    <w:rsid w:val="67873066"/>
    <w:rsid w:val="67A07AFE"/>
    <w:rsid w:val="67F82A4A"/>
    <w:rsid w:val="682378D5"/>
    <w:rsid w:val="682456B3"/>
    <w:rsid w:val="682A6AE8"/>
    <w:rsid w:val="68404F89"/>
    <w:rsid w:val="68463C78"/>
    <w:rsid w:val="684A4D73"/>
    <w:rsid w:val="684A7970"/>
    <w:rsid w:val="6852688D"/>
    <w:rsid w:val="685D3CE5"/>
    <w:rsid w:val="68754EED"/>
    <w:rsid w:val="68AA0035"/>
    <w:rsid w:val="68F1155E"/>
    <w:rsid w:val="69382A2C"/>
    <w:rsid w:val="697472C0"/>
    <w:rsid w:val="698965BC"/>
    <w:rsid w:val="69A01CB3"/>
    <w:rsid w:val="69A27AD0"/>
    <w:rsid w:val="69B40248"/>
    <w:rsid w:val="69C262B6"/>
    <w:rsid w:val="69C873E1"/>
    <w:rsid w:val="69D0048B"/>
    <w:rsid w:val="69D07D56"/>
    <w:rsid w:val="6A063DE4"/>
    <w:rsid w:val="6A115571"/>
    <w:rsid w:val="6A3267EF"/>
    <w:rsid w:val="6A4D3546"/>
    <w:rsid w:val="6A61335F"/>
    <w:rsid w:val="6AA849E7"/>
    <w:rsid w:val="6AE10C71"/>
    <w:rsid w:val="6B0F4425"/>
    <w:rsid w:val="6B290CD1"/>
    <w:rsid w:val="6B416685"/>
    <w:rsid w:val="6B46557A"/>
    <w:rsid w:val="6B915845"/>
    <w:rsid w:val="6BC76856"/>
    <w:rsid w:val="6BCF257B"/>
    <w:rsid w:val="6C0B5D3E"/>
    <w:rsid w:val="6C0F575A"/>
    <w:rsid w:val="6C111F67"/>
    <w:rsid w:val="6C3D6674"/>
    <w:rsid w:val="6C741049"/>
    <w:rsid w:val="6C9C0EC0"/>
    <w:rsid w:val="6CA94F11"/>
    <w:rsid w:val="6CCE2D67"/>
    <w:rsid w:val="6CCE4992"/>
    <w:rsid w:val="6CEC7384"/>
    <w:rsid w:val="6D3A1F72"/>
    <w:rsid w:val="6D6B01B9"/>
    <w:rsid w:val="6D765745"/>
    <w:rsid w:val="6D897A70"/>
    <w:rsid w:val="6D9120E1"/>
    <w:rsid w:val="6DB55725"/>
    <w:rsid w:val="6DC41669"/>
    <w:rsid w:val="6DC9424A"/>
    <w:rsid w:val="6DDA3112"/>
    <w:rsid w:val="6DE368E3"/>
    <w:rsid w:val="6E4B5910"/>
    <w:rsid w:val="6E614E03"/>
    <w:rsid w:val="6E6B2A13"/>
    <w:rsid w:val="6E945F00"/>
    <w:rsid w:val="6E9B307F"/>
    <w:rsid w:val="6EB93715"/>
    <w:rsid w:val="6EFA78C7"/>
    <w:rsid w:val="6F1C1ED5"/>
    <w:rsid w:val="6F2011B2"/>
    <w:rsid w:val="6F3927A3"/>
    <w:rsid w:val="6F482698"/>
    <w:rsid w:val="6F87561A"/>
    <w:rsid w:val="6F8D6503"/>
    <w:rsid w:val="6FDC1014"/>
    <w:rsid w:val="6FE03AFF"/>
    <w:rsid w:val="6FE6007A"/>
    <w:rsid w:val="70191278"/>
    <w:rsid w:val="70260807"/>
    <w:rsid w:val="7065792F"/>
    <w:rsid w:val="706E09E7"/>
    <w:rsid w:val="708D0003"/>
    <w:rsid w:val="70CA274F"/>
    <w:rsid w:val="70CD223B"/>
    <w:rsid w:val="70DC4B8A"/>
    <w:rsid w:val="70EA19C9"/>
    <w:rsid w:val="70FD765D"/>
    <w:rsid w:val="713C57A9"/>
    <w:rsid w:val="71453B8C"/>
    <w:rsid w:val="71454CB1"/>
    <w:rsid w:val="71553D3B"/>
    <w:rsid w:val="71916B0A"/>
    <w:rsid w:val="71BE1884"/>
    <w:rsid w:val="71D57DC0"/>
    <w:rsid w:val="71D87210"/>
    <w:rsid w:val="71FC7DB2"/>
    <w:rsid w:val="720A4B1C"/>
    <w:rsid w:val="722750E9"/>
    <w:rsid w:val="72712FC5"/>
    <w:rsid w:val="729C490C"/>
    <w:rsid w:val="72A1635F"/>
    <w:rsid w:val="72C37F3D"/>
    <w:rsid w:val="730A163F"/>
    <w:rsid w:val="735018BD"/>
    <w:rsid w:val="73655FDF"/>
    <w:rsid w:val="737B5F85"/>
    <w:rsid w:val="738B2735"/>
    <w:rsid w:val="73991DDC"/>
    <w:rsid w:val="739B3464"/>
    <w:rsid w:val="73B63A5C"/>
    <w:rsid w:val="73D26291"/>
    <w:rsid w:val="73D311BA"/>
    <w:rsid w:val="73DD069C"/>
    <w:rsid w:val="73E1712A"/>
    <w:rsid w:val="7408106C"/>
    <w:rsid w:val="74197DFD"/>
    <w:rsid w:val="741C6E73"/>
    <w:rsid w:val="742174D4"/>
    <w:rsid w:val="74335733"/>
    <w:rsid w:val="745C7528"/>
    <w:rsid w:val="749C4941"/>
    <w:rsid w:val="74B210E8"/>
    <w:rsid w:val="74C7708D"/>
    <w:rsid w:val="74CF2845"/>
    <w:rsid w:val="74D74BBC"/>
    <w:rsid w:val="74F11E86"/>
    <w:rsid w:val="752D268E"/>
    <w:rsid w:val="7537434C"/>
    <w:rsid w:val="75674699"/>
    <w:rsid w:val="75F82BB2"/>
    <w:rsid w:val="76190DEB"/>
    <w:rsid w:val="76903014"/>
    <w:rsid w:val="76A84447"/>
    <w:rsid w:val="76A8570A"/>
    <w:rsid w:val="76CC4EB3"/>
    <w:rsid w:val="77033F36"/>
    <w:rsid w:val="77200B6F"/>
    <w:rsid w:val="774353A6"/>
    <w:rsid w:val="774C7998"/>
    <w:rsid w:val="7771224A"/>
    <w:rsid w:val="77977FC3"/>
    <w:rsid w:val="78361A09"/>
    <w:rsid w:val="783A277D"/>
    <w:rsid w:val="78482130"/>
    <w:rsid w:val="78650686"/>
    <w:rsid w:val="78701811"/>
    <w:rsid w:val="788050B3"/>
    <w:rsid w:val="78C80D57"/>
    <w:rsid w:val="78D70214"/>
    <w:rsid w:val="78E376F1"/>
    <w:rsid w:val="78EB3174"/>
    <w:rsid w:val="78FD525F"/>
    <w:rsid w:val="78FD7BE2"/>
    <w:rsid w:val="790C5C24"/>
    <w:rsid w:val="790E523D"/>
    <w:rsid w:val="791E25E0"/>
    <w:rsid w:val="794D52CC"/>
    <w:rsid w:val="79527808"/>
    <w:rsid w:val="795D0EB5"/>
    <w:rsid w:val="79822F6C"/>
    <w:rsid w:val="7994342F"/>
    <w:rsid w:val="79E0258D"/>
    <w:rsid w:val="7A096183"/>
    <w:rsid w:val="7A0D078E"/>
    <w:rsid w:val="7A8428A9"/>
    <w:rsid w:val="7AC50A28"/>
    <w:rsid w:val="7AD7615D"/>
    <w:rsid w:val="7B012496"/>
    <w:rsid w:val="7B5E76F2"/>
    <w:rsid w:val="7BC23686"/>
    <w:rsid w:val="7BC25008"/>
    <w:rsid w:val="7BC53A65"/>
    <w:rsid w:val="7BC84FE3"/>
    <w:rsid w:val="7BEF1649"/>
    <w:rsid w:val="7C1007E9"/>
    <w:rsid w:val="7C4C4917"/>
    <w:rsid w:val="7C4D781C"/>
    <w:rsid w:val="7C573B71"/>
    <w:rsid w:val="7C580118"/>
    <w:rsid w:val="7CA9749B"/>
    <w:rsid w:val="7CCF01D0"/>
    <w:rsid w:val="7CFA011A"/>
    <w:rsid w:val="7D006BE6"/>
    <w:rsid w:val="7D1D4D7B"/>
    <w:rsid w:val="7D240739"/>
    <w:rsid w:val="7D353341"/>
    <w:rsid w:val="7D461E8B"/>
    <w:rsid w:val="7D651E2B"/>
    <w:rsid w:val="7D7404B8"/>
    <w:rsid w:val="7DA3264E"/>
    <w:rsid w:val="7DBB554B"/>
    <w:rsid w:val="7DE42E68"/>
    <w:rsid w:val="7DEB0599"/>
    <w:rsid w:val="7E19687B"/>
    <w:rsid w:val="7E4001E1"/>
    <w:rsid w:val="7E580963"/>
    <w:rsid w:val="7E70029D"/>
    <w:rsid w:val="7E8634A6"/>
    <w:rsid w:val="7E982528"/>
    <w:rsid w:val="7EDE2D64"/>
    <w:rsid w:val="7EED3DCE"/>
    <w:rsid w:val="7EFC486B"/>
    <w:rsid w:val="7F04016F"/>
    <w:rsid w:val="7F4E2258"/>
    <w:rsid w:val="7F527FCD"/>
    <w:rsid w:val="7FA17E30"/>
    <w:rsid w:val="7FBD3A64"/>
    <w:rsid w:val="7FD653FD"/>
    <w:rsid w:val="7FD66A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jc w:val="center"/>
      <w:outlineLvl w:val="0"/>
    </w:pPr>
    <w:rPr>
      <w:rFonts w:ascii="楷体_GB2312" w:eastAsia="楷体_GB2312"/>
      <w:b/>
      <w:bCs/>
    </w:rPr>
  </w:style>
  <w:style w:type="paragraph" w:styleId="3">
    <w:name w:val="heading 2"/>
    <w:basedOn w:val="1"/>
    <w:next w:val="1"/>
    <w:link w:val="80"/>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44"/>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link w:val="45"/>
    <w:qFormat/>
    <w:uiPriority w:val="0"/>
    <w:pPr>
      <w:keepNext/>
      <w:keepLines/>
      <w:spacing w:before="280" w:beforeLines="0" w:after="290" w:afterLines="0" w:line="376" w:lineRule="auto"/>
      <w:outlineLvl w:val="3"/>
    </w:pPr>
    <w:rPr>
      <w:rFonts w:ascii="Cambria" w:hAnsi="Cambria"/>
      <w:b/>
      <w:bCs/>
      <w:sz w:val="28"/>
      <w:szCs w:val="28"/>
    </w:rPr>
  </w:style>
  <w:style w:type="paragraph" w:styleId="6">
    <w:name w:val="heading 6"/>
    <w:basedOn w:val="1"/>
    <w:next w:val="1"/>
    <w:qFormat/>
    <w:uiPriority w:val="0"/>
    <w:pPr>
      <w:keepNext/>
      <w:keepLines/>
      <w:spacing w:before="240" w:beforeLines="0" w:after="64" w:afterLines="0" w:line="320" w:lineRule="auto"/>
      <w:outlineLvl w:val="5"/>
    </w:pPr>
    <w:rPr>
      <w:rFonts w:ascii="Arial" w:hAnsi="Arial" w:eastAsia="黑体"/>
      <w:b/>
      <w:bCs/>
      <w:sz w:val="24"/>
    </w:rPr>
  </w:style>
  <w:style w:type="character" w:default="1" w:styleId="27">
    <w:name w:val="Default Paragraph Font"/>
    <w:uiPriority w:val="0"/>
  </w:style>
  <w:style w:type="table" w:default="1" w:styleId="2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6"/>
      <w:tblCellMar>
        <w:top w:w="0" w:type="dxa"/>
        <w:left w:w="108" w:type="dxa"/>
        <w:bottom w:w="0" w:type="dxa"/>
        <w:right w:w="108" w:type="dxa"/>
      </w:tblCellMar>
    </w:tblPr>
  </w:style>
  <w:style w:type="paragraph" w:styleId="7">
    <w:name w:val="Normal Indent"/>
    <w:basedOn w:val="1"/>
    <w:link w:val="52"/>
    <w:uiPriority w:val="99"/>
    <w:pPr>
      <w:adjustRightInd w:val="0"/>
      <w:spacing w:line="312" w:lineRule="atLeast"/>
      <w:ind w:firstLine="420"/>
      <w:textAlignment w:val="baseline"/>
    </w:pPr>
    <w:rPr>
      <w:kern w:val="0"/>
      <w:szCs w:val="20"/>
    </w:rPr>
  </w:style>
  <w:style w:type="paragraph" w:styleId="8">
    <w:name w:val="Document Map"/>
    <w:basedOn w:val="1"/>
    <w:uiPriority w:val="0"/>
    <w:pPr>
      <w:shd w:val="clear" w:color="auto" w:fill="000080"/>
    </w:pPr>
  </w:style>
  <w:style w:type="paragraph" w:styleId="9">
    <w:name w:val="annotation text"/>
    <w:basedOn w:val="1"/>
    <w:uiPriority w:val="0"/>
    <w:pPr>
      <w:jc w:val="left"/>
    </w:pPr>
  </w:style>
  <w:style w:type="paragraph" w:styleId="10">
    <w:name w:val="Body Text"/>
    <w:basedOn w:val="1"/>
    <w:link w:val="43"/>
    <w:uiPriority w:val="0"/>
    <w:pPr>
      <w:spacing w:after="120" w:afterLines="0"/>
    </w:pPr>
  </w:style>
  <w:style w:type="paragraph" w:styleId="11">
    <w:name w:val="Body Text Indent"/>
    <w:basedOn w:val="1"/>
    <w:uiPriority w:val="0"/>
    <w:pPr>
      <w:ind w:left="480" w:hanging="480" w:hangingChars="200"/>
    </w:pPr>
    <w:rPr>
      <w:sz w:val="24"/>
    </w:rPr>
  </w:style>
  <w:style w:type="paragraph" w:styleId="12">
    <w:name w:val="toc 3"/>
    <w:basedOn w:val="1"/>
    <w:next w:val="1"/>
    <w:uiPriority w:val="0"/>
    <w:pPr>
      <w:ind w:left="840" w:leftChars="400"/>
    </w:pPr>
  </w:style>
  <w:style w:type="paragraph" w:styleId="13">
    <w:name w:val="Plain Text"/>
    <w:basedOn w:val="1"/>
    <w:link w:val="38"/>
    <w:uiPriority w:val="99"/>
    <w:pPr>
      <w:widowControl/>
      <w:overflowPunct w:val="0"/>
      <w:autoSpaceDE w:val="0"/>
      <w:autoSpaceDN w:val="0"/>
      <w:adjustRightInd w:val="0"/>
      <w:jc w:val="left"/>
      <w:textAlignment w:val="baseline"/>
    </w:pPr>
    <w:rPr>
      <w:rFonts w:ascii="宋体" w:hAnsi="Courier New"/>
      <w:kern w:val="0"/>
      <w:szCs w:val="21"/>
    </w:rPr>
  </w:style>
  <w:style w:type="paragraph" w:styleId="14">
    <w:name w:val="Date"/>
    <w:basedOn w:val="1"/>
    <w:next w:val="1"/>
    <w:uiPriority w:val="0"/>
    <w:pPr>
      <w:ind w:left="100" w:leftChars="2500"/>
    </w:pPr>
  </w:style>
  <w:style w:type="paragraph" w:styleId="15">
    <w:name w:val="Body Text Indent 2"/>
    <w:basedOn w:val="1"/>
    <w:uiPriority w:val="0"/>
    <w:pPr>
      <w:spacing w:line="500" w:lineRule="exact"/>
      <w:ind w:firstLine="511" w:firstLineChars="213"/>
    </w:pPr>
    <w:rPr>
      <w:sz w:val="24"/>
    </w:rPr>
  </w:style>
  <w:style w:type="paragraph" w:styleId="16">
    <w:name w:val="Balloon Text"/>
    <w:basedOn w:val="1"/>
    <w:uiPriority w:val="0"/>
    <w:rPr>
      <w:sz w:val="18"/>
      <w:szCs w:val="18"/>
    </w:rPr>
  </w:style>
  <w:style w:type="paragraph" w:styleId="17">
    <w:name w:val="footer"/>
    <w:basedOn w:val="1"/>
    <w:uiPriority w:val="0"/>
    <w:pPr>
      <w:tabs>
        <w:tab w:val="center" w:pos="4153"/>
        <w:tab w:val="right" w:pos="8306"/>
      </w:tabs>
      <w:snapToGrid w:val="0"/>
      <w:jc w:val="left"/>
    </w:pPr>
    <w:rPr>
      <w:sz w:val="18"/>
      <w:szCs w:val="18"/>
    </w:rPr>
  </w:style>
  <w:style w:type="paragraph" w:styleId="1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0"/>
    <w:pPr>
      <w:tabs>
        <w:tab w:val="right" w:leader="dot" w:pos="9628"/>
      </w:tabs>
      <w:spacing w:line="480" w:lineRule="auto"/>
    </w:pPr>
    <w:rPr>
      <w:rFonts w:ascii="Arial" w:hAnsi="Arial" w:eastAsia="新宋体" w:cs="Arial"/>
      <w:bCs/>
      <w:sz w:val="24"/>
      <w:lang/>
    </w:rPr>
  </w:style>
  <w:style w:type="paragraph" w:styleId="20">
    <w:name w:val="Body Text Indent 3"/>
    <w:basedOn w:val="1"/>
    <w:uiPriority w:val="0"/>
    <w:pPr>
      <w:spacing w:line="500" w:lineRule="exact"/>
      <w:ind w:left="511" w:hanging="511" w:hangingChars="213"/>
    </w:pPr>
    <w:rPr>
      <w:sz w:val="24"/>
    </w:rPr>
  </w:style>
  <w:style w:type="paragraph" w:styleId="21">
    <w:name w:val="toc 2"/>
    <w:basedOn w:val="1"/>
    <w:next w:val="1"/>
    <w:uiPriority w:val="0"/>
    <w:pPr>
      <w:ind w:left="420" w:leftChars="200"/>
    </w:pPr>
  </w:style>
  <w:style w:type="paragraph" w:styleId="22">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23">
    <w:name w:val="Title"/>
    <w:basedOn w:val="1"/>
    <w:next w:val="1"/>
    <w:link w:val="79"/>
    <w:qFormat/>
    <w:uiPriority w:val="0"/>
    <w:pPr>
      <w:spacing w:before="240" w:after="60"/>
      <w:jc w:val="center"/>
      <w:outlineLvl w:val="0"/>
    </w:pPr>
    <w:rPr>
      <w:rFonts w:ascii="Cambria" w:hAnsi="Cambria" w:cs="Times New Roman"/>
      <w:b/>
      <w:bCs/>
      <w:sz w:val="32"/>
      <w:szCs w:val="32"/>
    </w:rPr>
  </w:style>
  <w:style w:type="paragraph" w:styleId="24">
    <w:name w:val="annotation subject"/>
    <w:basedOn w:val="9"/>
    <w:next w:val="9"/>
    <w:uiPriority w:val="0"/>
    <w:rPr>
      <w:b/>
      <w:bCs/>
    </w:rPr>
  </w:style>
  <w:style w:type="paragraph" w:styleId="25">
    <w:name w:val="Body Text First Indent"/>
    <w:basedOn w:val="10"/>
    <w:link w:val="55"/>
    <w:uiPriority w:val="0"/>
    <w:pPr>
      <w:ind w:firstLine="420" w:firstLineChars="100"/>
    </w:pPr>
  </w:style>
  <w:style w:type="character" w:styleId="28">
    <w:name w:val="Strong"/>
    <w:qFormat/>
    <w:uiPriority w:val="0"/>
    <w:rPr>
      <w:b/>
      <w:bCs/>
    </w:rPr>
  </w:style>
  <w:style w:type="character" w:styleId="29">
    <w:name w:val="page number"/>
    <w:basedOn w:val="27"/>
    <w:uiPriority w:val="0"/>
  </w:style>
  <w:style w:type="character" w:styleId="30">
    <w:name w:val="FollowedHyperlink"/>
    <w:uiPriority w:val="0"/>
    <w:rPr>
      <w:color w:val="000000"/>
      <w:u w:val="none"/>
    </w:rPr>
  </w:style>
  <w:style w:type="character" w:styleId="31">
    <w:name w:val="Hyperlink"/>
    <w:uiPriority w:val="0"/>
    <w:rPr>
      <w:color w:val="000000"/>
      <w:sz w:val="20"/>
      <w:szCs w:val="20"/>
      <w:u w:val="none"/>
    </w:rPr>
  </w:style>
  <w:style w:type="character" w:styleId="32">
    <w:name w:val="HTML Code"/>
    <w:uiPriority w:val="0"/>
    <w:rPr>
      <w:rFonts w:ascii="黑体" w:hAnsi="Courier New" w:eastAsia="黑体" w:cs="Courier New"/>
      <w:sz w:val="20"/>
      <w:szCs w:val="20"/>
    </w:rPr>
  </w:style>
  <w:style w:type="character" w:styleId="33">
    <w:name w:val="annotation reference"/>
    <w:uiPriority w:val="0"/>
    <w:rPr>
      <w:sz w:val="21"/>
      <w:szCs w:val="21"/>
    </w:rPr>
  </w:style>
  <w:style w:type="character" w:customStyle="1" w:styleId="34">
    <w:name w:val="font21"/>
    <w:uiPriority w:val="0"/>
    <w:rPr>
      <w:rFonts w:hint="eastAsia" w:ascii="宋体" w:hAnsi="宋体" w:eastAsia="宋体" w:cs="宋体"/>
      <w:color w:val="FF0000"/>
      <w:sz w:val="22"/>
      <w:szCs w:val="22"/>
      <w:u w:val="none"/>
    </w:rPr>
  </w:style>
  <w:style w:type="character" w:customStyle="1" w:styleId="35">
    <w:name w:val="style21"/>
    <w:uiPriority w:val="0"/>
    <w:rPr>
      <w:sz w:val="15"/>
      <w:szCs w:val="15"/>
    </w:rPr>
  </w:style>
  <w:style w:type="character" w:customStyle="1" w:styleId="36">
    <w:name w:val="文档正文 Char Char"/>
    <w:link w:val="37"/>
    <w:uiPriority w:val="0"/>
    <w:rPr>
      <w:rFonts w:ascii="Tahoma" w:hAnsi="Tahoma" w:eastAsia="仿宋_GB2312"/>
      <w:sz w:val="28"/>
      <w:lang w:val="en-US" w:eastAsia="zh-CN" w:bidi="ar-SA"/>
    </w:rPr>
  </w:style>
  <w:style w:type="paragraph" w:customStyle="1" w:styleId="37">
    <w:name w:val="文档正文"/>
    <w:basedOn w:val="1"/>
    <w:link w:val="36"/>
    <w:uiPriority w:val="0"/>
    <w:pPr>
      <w:spacing w:line="360" w:lineRule="auto"/>
      <w:ind w:firstLine="480" w:firstLineChars="200"/>
    </w:pPr>
    <w:rPr>
      <w:rFonts w:ascii="Tahoma" w:hAnsi="Tahoma" w:eastAsia="仿宋_GB2312"/>
      <w:kern w:val="0"/>
      <w:sz w:val="28"/>
      <w:szCs w:val="20"/>
    </w:rPr>
  </w:style>
  <w:style w:type="character" w:customStyle="1" w:styleId="38">
    <w:name w:val="纯文本 Char"/>
    <w:link w:val="13"/>
    <w:uiPriority w:val="99"/>
    <w:rPr>
      <w:rFonts w:ascii="宋体" w:hAnsi="Courier New" w:eastAsia="宋体"/>
      <w:sz w:val="21"/>
      <w:szCs w:val="21"/>
      <w:lang w:val="en-US" w:eastAsia="zh-CN" w:bidi="ar-SA"/>
    </w:rPr>
  </w:style>
  <w:style w:type="character" w:customStyle="1" w:styleId="39">
    <w:name w:val="title_emph1"/>
    <w:uiPriority w:val="0"/>
    <w:rPr>
      <w:rFonts w:hint="default" w:ascii="Arial" w:hAnsi="Arial" w:cs="Arial"/>
      <w:b/>
      <w:bCs/>
      <w:sz w:val="18"/>
      <w:szCs w:val="18"/>
    </w:rPr>
  </w:style>
  <w:style w:type="character" w:customStyle="1" w:styleId="40">
    <w:name w:val="Char Char Char Char Char Char Char Char Char"/>
    <w:uiPriority w:val="0"/>
    <w:rPr>
      <w:rFonts w:ascii="宋体" w:hAnsi="Courier New" w:eastAsia="宋体"/>
      <w:sz w:val="21"/>
      <w:szCs w:val="21"/>
      <w:lang w:val="en-US" w:eastAsia="zh-CN" w:bidi="ar-SA"/>
    </w:rPr>
  </w:style>
  <w:style w:type="character" w:customStyle="1" w:styleId="41">
    <w:name w:val="title1"/>
    <w:uiPriority w:val="0"/>
    <w:rPr>
      <w:rFonts w:hint="eastAsia" w:ascii="宋体" w:hAnsi="宋体" w:eastAsia="宋体"/>
      <w:b/>
      <w:bCs/>
      <w:sz w:val="22"/>
      <w:szCs w:val="22"/>
    </w:rPr>
  </w:style>
  <w:style w:type="character" w:customStyle="1" w:styleId="42">
    <w:name w:val="Texte Char Char"/>
    <w:uiPriority w:val="0"/>
    <w:rPr>
      <w:rFonts w:ascii="宋体" w:hAnsi="Courier New" w:eastAsia="宋体"/>
      <w:sz w:val="21"/>
      <w:szCs w:val="21"/>
      <w:lang w:val="en-US" w:eastAsia="zh-CN" w:bidi="ar-SA"/>
    </w:rPr>
  </w:style>
  <w:style w:type="character" w:customStyle="1" w:styleId="43">
    <w:name w:val="正文文本 Char"/>
    <w:link w:val="10"/>
    <w:uiPriority w:val="0"/>
    <w:rPr>
      <w:kern w:val="2"/>
      <w:sz w:val="21"/>
      <w:szCs w:val="24"/>
    </w:rPr>
  </w:style>
  <w:style w:type="character" w:customStyle="1" w:styleId="44">
    <w:name w:val="标题 3 Char"/>
    <w:link w:val="4"/>
    <w:uiPriority w:val="0"/>
    <w:rPr>
      <w:b/>
      <w:bCs/>
      <w:kern w:val="2"/>
      <w:sz w:val="32"/>
      <w:szCs w:val="32"/>
      <w:lang w:bidi="ar-SA"/>
    </w:rPr>
  </w:style>
  <w:style w:type="character" w:customStyle="1" w:styleId="45">
    <w:name w:val="标题 4 Char"/>
    <w:link w:val="5"/>
    <w:uiPriority w:val="0"/>
    <w:rPr>
      <w:rFonts w:ascii="Cambria" w:hAnsi="Cambria" w:eastAsia="宋体"/>
      <w:b/>
      <w:bCs/>
      <w:kern w:val="2"/>
      <w:sz w:val="28"/>
      <w:szCs w:val="28"/>
      <w:lang w:bidi="ar-SA"/>
    </w:rPr>
  </w:style>
  <w:style w:type="character" w:customStyle="1" w:styleId="46">
    <w:name w:val="font01"/>
    <w:uiPriority w:val="0"/>
    <w:rPr>
      <w:rFonts w:hint="eastAsia" w:ascii="宋体" w:hAnsi="宋体" w:eastAsia="宋体" w:cs="宋体"/>
      <w:color w:val="000000"/>
      <w:sz w:val="24"/>
      <w:szCs w:val="24"/>
      <w:u w:val="none"/>
      <w:vertAlign w:val="superscript"/>
    </w:rPr>
  </w:style>
  <w:style w:type="character" w:customStyle="1" w:styleId="47">
    <w:name w:val="样式6 列表并列 Char Char"/>
    <w:link w:val="48"/>
    <w:uiPriority w:val="0"/>
    <w:rPr>
      <w:rFonts w:ascii="Arial" w:hAnsi="Arial" w:cs="Arial"/>
      <w:kern w:val="21"/>
      <w:sz w:val="21"/>
      <w:szCs w:val="24"/>
      <w:lang w:val="en-US" w:eastAsia="zh-CN" w:bidi="ar-SA"/>
    </w:rPr>
  </w:style>
  <w:style w:type="paragraph" w:customStyle="1" w:styleId="48">
    <w:name w:val="样式6 列表并列"/>
    <w:link w:val="47"/>
    <w:uiPriority w:val="0"/>
    <w:pPr>
      <w:widowControl w:val="0"/>
      <w:numPr>
        <w:ilvl w:val="0"/>
        <w:numId w:val="1"/>
      </w:numPr>
      <w:spacing w:before="40" w:after="40" w:line="240" w:lineRule="atLeast"/>
      <w:ind w:left="840" w:hanging="420"/>
    </w:pPr>
    <w:rPr>
      <w:rFonts w:ascii="Arial" w:hAnsi="Arial" w:cs="Arial"/>
      <w:kern w:val="21"/>
      <w:sz w:val="21"/>
      <w:szCs w:val="24"/>
      <w:lang w:val="en-US" w:eastAsia="zh-CN" w:bidi="ar-SA"/>
    </w:rPr>
  </w:style>
  <w:style w:type="character" w:customStyle="1" w:styleId="49">
    <w:name w:val="List Paragraph Char Char"/>
    <w:link w:val="50"/>
    <w:uiPriority w:val="0"/>
    <w:rPr>
      <w:rFonts w:ascii="Calibri" w:hAnsi="Calibri" w:eastAsia="宋体"/>
      <w:kern w:val="2"/>
      <w:sz w:val="21"/>
      <w:szCs w:val="22"/>
      <w:lang w:val="en-US" w:eastAsia="zh-CN" w:bidi="ar-SA"/>
    </w:rPr>
  </w:style>
  <w:style w:type="paragraph" w:customStyle="1" w:styleId="50">
    <w:name w:val="List Paragraph"/>
    <w:basedOn w:val="1"/>
    <w:link w:val="49"/>
    <w:uiPriority w:val="0"/>
    <w:pPr>
      <w:ind w:firstLine="420" w:firstLineChars="200"/>
    </w:pPr>
    <w:rPr>
      <w:rFonts w:ascii="Calibri" w:hAnsi="Calibri"/>
      <w:szCs w:val="22"/>
    </w:rPr>
  </w:style>
  <w:style w:type="character" w:customStyle="1" w:styleId="51">
    <w:name w:val="unnamed51"/>
    <w:uiPriority w:val="0"/>
    <w:rPr>
      <w:sz w:val="22"/>
      <w:szCs w:val="22"/>
    </w:rPr>
  </w:style>
  <w:style w:type="character" w:customStyle="1" w:styleId="52">
    <w:name w:val="正文缩进 Char"/>
    <w:link w:val="7"/>
    <w:uiPriority w:val="0"/>
    <w:rPr>
      <w:rFonts w:eastAsia="宋体"/>
      <w:sz w:val="21"/>
      <w:lang w:val="en-US" w:eastAsia="zh-CN" w:bidi="ar-SA"/>
    </w:rPr>
  </w:style>
  <w:style w:type="character" w:customStyle="1" w:styleId="53">
    <w:name w:val="正文（首行缩进两字） Char"/>
    <w:aliases w:val="正文缩进 Char1 Char,正文（首行缩进两字） Char1 Char,文2 Char Char,ALT+Z Char Char,表正文 Char Char,正文非缩进 Char Char,特点 Char1 Char,段1 Char Char,标题4 Char Char,特点 Char Char Char1 Char,特点 Char Char Char Char Char,标题4 Char Char Char Char Char,四号 Char Char"/>
    <w:uiPriority w:val="0"/>
    <w:rPr>
      <w:rFonts w:eastAsia="宋体"/>
      <w:sz w:val="21"/>
      <w:lang w:val="en-US" w:eastAsia="zh-CN" w:bidi="ar-SA"/>
    </w:rPr>
  </w:style>
  <w:style w:type="character" w:customStyle="1" w:styleId="54">
    <w:name w:val=" Char Char Char"/>
    <w:uiPriority w:val="0"/>
    <w:rPr>
      <w:rFonts w:ascii="宋体" w:hAnsi="Courier New" w:eastAsia="宋体"/>
      <w:sz w:val="21"/>
      <w:szCs w:val="21"/>
      <w:lang w:val="en-US" w:eastAsia="zh-CN" w:bidi="ar-SA"/>
    </w:rPr>
  </w:style>
  <w:style w:type="character" w:customStyle="1" w:styleId="55">
    <w:name w:val="正文首行缩进 Char"/>
    <w:basedOn w:val="43"/>
    <w:link w:val="25"/>
    <w:uiPriority w:val="0"/>
  </w:style>
  <w:style w:type="character" w:customStyle="1" w:styleId="56">
    <w:name w:val="Char Char2"/>
    <w:uiPriority w:val="0"/>
    <w:rPr>
      <w:rFonts w:ascii="宋体" w:hAnsi="Courier New" w:eastAsia="宋体"/>
      <w:kern w:val="2"/>
      <w:sz w:val="21"/>
      <w:lang w:val="en-US" w:eastAsia="zh-CN"/>
    </w:rPr>
  </w:style>
  <w:style w:type="character" w:customStyle="1" w:styleId="57">
    <w:name w:val="哈哈正文 Char Char"/>
    <w:link w:val="58"/>
    <w:uiPriority w:val="0"/>
    <w:rPr>
      <w:rFonts w:ascii="宋体" w:hAnsi="宋体" w:eastAsia="宋体" w:cs="宋体"/>
      <w:kern w:val="2"/>
      <w:sz w:val="24"/>
      <w:lang w:val="en-US" w:eastAsia="zh-CN" w:bidi="ar-SA"/>
    </w:rPr>
  </w:style>
  <w:style w:type="paragraph" w:customStyle="1" w:styleId="58">
    <w:name w:val="哈哈正文"/>
    <w:basedOn w:val="1"/>
    <w:link w:val="57"/>
    <w:uiPriority w:val="0"/>
    <w:pPr>
      <w:spacing w:line="360" w:lineRule="auto"/>
      <w:ind w:firstLine="200" w:firstLineChars="200"/>
    </w:pPr>
    <w:rPr>
      <w:rFonts w:ascii="宋体" w:hAnsi="宋体" w:cs="宋体"/>
      <w:sz w:val="24"/>
      <w:szCs w:val="20"/>
    </w:rPr>
  </w:style>
  <w:style w:type="paragraph" w:customStyle="1" w:styleId="59">
    <w:name w:val="style3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0">
    <w:name w:val="Char Char1 Char Char Char Char Char Char"/>
    <w:basedOn w:val="1"/>
    <w:uiPriority w:val="0"/>
    <w:pPr>
      <w:widowControl/>
      <w:spacing w:after="160" w:afterLines="0" w:line="240" w:lineRule="exact"/>
      <w:jc w:val="left"/>
    </w:pPr>
    <w:rPr>
      <w:rFonts w:ascii="宋体" w:hAnsi="宋体" w:cs="宋体"/>
      <w:kern w:val="0"/>
      <w:szCs w:val="20"/>
    </w:rPr>
  </w:style>
  <w:style w:type="paragraph" w:customStyle="1" w:styleId="61">
    <w:name w:val="xl55"/>
    <w:basedOn w:val="1"/>
    <w:uiPriority w:val="0"/>
    <w:pPr>
      <w:widowControl/>
      <w:spacing w:before="100" w:beforeLines="0" w:beforeAutospacing="1" w:after="100" w:afterLines="0" w:afterAutospacing="1"/>
      <w:jc w:val="center"/>
      <w:textAlignment w:val="center"/>
    </w:pPr>
    <w:rPr>
      <w:rFonts w:ascii="Arial Unicode MS" w:hAnsi="Arial Unicode MS"/>
      <w:kern w:val="0"/>
      <w:sz w:val="24"/>
      <w:szCs w:val="20"/>
    </w:rPr>
  </w:style>
  <w:style w:type="paragraph" w:styleId="62">
    <w:name w:val="List Paragraph"/>
    <w:basedOn w:val="1"/>
    <w:qFormat/>
    <w:uiPriority w:val="0"/>
    <w:pPr>
      <w:ind w:firstLine="420" w:firstLineChars="200"/>
    </w:pPr>
  </w:style>
  <w:style w:type="paragraph" w:customStyle="1" w:styleId="63">
    <w:name w:val="正文2"/>
    <w:basedOn w:val="1"/>
    <w:uiPriority w:val="0"/>
    <w:pPr>
      <w:spacing w:before="156" w:beforeLines="0" w:line="360" w:lineRule="auto"/>
      <w:ind w:firstLine="510" w:firstLineChars="200"/>
    </w:pPr>
    <w:rPr>
      <w:sz w:val="24"/>
      <w:szCs w:val="20"/>
    </w:rPr>
  </w:style>
  <w:style w:type="paragraph" w:customStyle="1" w:styleId="64">
    <w:name w:val=" Char Char7 Char"/>
    <w:basedOn w:val="1"/>
    <w:uiPriority w:val="0"/>
    <w:pPr>
      <w:tabs>
        <w:tab w:val="left" w:pos="425"/>
      </w:tabs>
      <w:ind w:left="420" w:leftChars="200" w:firstLine="270" w:firstLineChars="150"/>
    </w:pPr>
  </w:style>
  <w:style w:type="paragraph" w:customStyle="1" w:styleId="65">
    <w:name w:val=" Char Char Char Char Char Char Char"/>
    <w:basedOn w:val="1"/>
    <w:uiPriority w:val="0"/>
    <w:rPr>
      <w:rFonts w:ascii="仿宋_GB2312" w:eastAsia="仿宋_GB2312"/>
      <w:b/>
      <w:sz w:val="32"/>
      <w:szCs w:val="32"/>
    </w:rPr>
  </w:style>
  <w:style w:type="paragraph" w:customStyle="1" w:styleId="66">
    <w:name w:val="简单回函地址"/>
    <w:basedOn w:val="1"/>
    <w:uiPriority w:val="0"/>
  </w:style>
  <w:style w:type="paragraph" w:customStyle="1" w:styleId="67">
    <w:name w:val="Char"/>
    <w:basedOn w:val="1"/>
    <w:uiPriority w:val="0"/>
  </w:style>
  <w:style w:type="paragraph" w:customStyle="1" w:styleId="68">
    <w:name w:val="保留正文"/>
    <w:basedOn w:val="10"/>
    <w:uiPriority w:val="0"/>
    <w:pPr>
      <w:keepNext/>
      <w:spacing w:after="160" w:afterLines="0"/>
    </w:pPr>
  </w:style>
  <w:style w:type="paragraph" w:customStyle="1" w:styleId="69">
    <w:name w:val="Char Char Char Char Char Char Char Char Char Char Char Char Char"/>
    <w:basedOn w:val="1"/>
    <w:uiPriority w:val="0"/>
    <w:rPr>
      <w:rFonts w:ascii="Tahoma" w:hAnsi="Tahoma"/>
      <w:sz w:val="24"/>
      <w:szCs w:val="20"/>
    </w:rPr>
  </w:style>
  <w:style w:type="paragraph" w:customStyle="1" w:styleId="70">
    <w:name w:val=" Char1"/>
    <w:basedOn w:val="1"/>
    <w:uiPriority w:val="0"/>
    <w:rPr>
      <w:rFonts w:ascii="仿宋_GB2312" w:eastAsia="仿宋_GB2312"/>
      <w:b/>
      <w:sz w:val="32"/>
      <w:szCs w:val="32"/>
    </w:rPr>
  </w:style>
  <w:style w:type="paragraph" w:customStyle="1" w:styleId="71">
    <w:name w:val="Char Char Char Char Char Char Char"/>
    <w:basedOn w:val="1"/>
    <w:uiPriority w:val="0"/>
    <w:rPr>
      <w:rFonts w:ascii="仿宋_GB2312" w:eastAsia="仿宋_GB2312"/>
      <w:b/>
      <w:sz w:val="32"/>
      <w:szCs w:val="32"/>
    </w:rPr>
  </w:style>
  <w:style w:type="paragraph" w:customStyle="1" w:styleId="72">
    <w:name w:val="正文－恩普"/>
    <w:basedOn w:val="7"/>
    <w:uiPriority w:val="0"/>
    <w:pPr>
      <w:adjustRightInd/>
      <w:spacing w:line="360" w:lineRule="auto"/>
      <w:ind w:firstLine="200" w:firstLineChars="200"/>
      <w:textAlignment w:val="auto"/>
    </w:pPr>
    <w:rPr>
      <w:kern w:val="2"/>
      <w:sz w:val="24"/>
      <w:szCs w:val="24"/>
    </w:rPr>
  </w:style>
  <w:style w:type="paragraph" w:customStyle="1" w:styleId="73">
    <w:name w:val=" Char Char Char1 Char"/>
    <w:basedOn w:val="1"/>
    <w:uiPriority w:val="0"/>
    <w:pPr>
      <w:spacing w:line="360" w:lineRule="auto"/>
      <w:ind w:firstLine="200" w:firstLineChars="200"/>
    </w:pPr>
    <w:rPr>
      <w:rFonts w:ascii="宋体" w:hAnsi="宋体" w:cs="宋体"/>
      <w:sz w:val="24"/>
    </w:rPr>
  </w:style>
  <w:style w:type="paragraph" w:customStyle="1" w:styleId="74">
    <w:name w:val=" Char Char Char Char Char Char Char Char Char Char Char Char Char"/>
    <w:basedOn w:val="1"/>
    <w:uiPriority w:val="0"/>
    <w:rPr>
      <w:rFonts w:ascii="Tahoma" w:hAnsi="Tahoma"/>
      <w:sz w:val="24"/>
      <w:szCs w:val="20"/>
    </w:rPr>
  </w:style>
  <w:style w:type="paragraph" w:customStyle="1" w:styleId="75">
    <w:name w:val="样式 Arial 小四 首行缩进:  0.85 厘米"/>
    <w:basedOn w:val="1"/>
    <w:uiPriority w:val="0"/>
    <w:pPr>
      <w:spacing w:line="360" w:lineRule="auto"/>
      <w:ind w:firstLine="482"/>
    </w:pPr>
    <w:rPr>
      <w:rFonts w:ascii="Arial" w:hAnsi="Arial" w:cs="宋体"/>
      <w:sz w:val="24"/>
      <w:szCs w:val="20"/>
    </w:rPr>
  </w:style>
  <w:style w:type="paragraph" w:customStyle="1" w:styleId="76">
    <w:name w:val=" Char Char Char Char"/>
    <w:basedOn w:val="8"/>
    <w:uiPriority w:val="0"/>
  </w:style>
  <w:style w:type="paragraph" w:customStyle="1" w:styleId="77">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cs="Verdana"/>
      <w:kern w:val="0"/>
      <w:sz w:val="24"/>
      <w:lang w:eastAsia="en-US"/>
    </w:rPr>
  </w:style>
  <w:style w:type="paragraph" w:customStyle="1" w:styleId="78">
    <w:name w:val="xl35"/>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Courier New" w:hAnsi="Courier New" w:eastAsia="Courier New"/>
      <w:kern w:val="0"/>
      <w:sz w:val="24"/>
    </w:rPr>
  </w:style>
  <w:style w:type="character" w:customStyle="1" w:styleId="79">
    <w:name w:val="标题 Char"/>
    <w:link w:val="23"/>
    <w:uiPriority w:val="0"/>
    <w:rPr>
      <w:rFonts w:ascii="Cambria" w:hAnsi="Cambria" w:cs="Times New Roman"/>
      <w:b/>
      <w:bCs/>
      <w:kern w:val="2"/>
      <w:sz w:val="32"/>
      <w:szCs w:val="32"/>
    </w:rPr>
  </w:style>
  <w:style w:type="character" w:customStyle="1" w:styleId="80">
    <w:name w:val="标题 2 Char"/>
    <w:link w:val="3"/>
    <w:uiPriority w:val="0"/>
    <w:rPr>
      <w:rFonts w:ascii="Arial" w:hAnsi="Arial" w:eastAsia="黑体"/>
      <w:b/>
      <w:bCs/>
      <w:kern w:val="2"/>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jpeg" Type="http://schemas.openxmlformats.org/officeDocument/2006/relationships/imag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63</Pages>
  <Words>7570</Words>
  <Characters>43153</Characters>
  <Lines>359</Lines>
  <Paragraphs>101</Paragraphs>
  <TotalTime>0</TotalTime>
  <ScaleCrop>false</ScaleCrop>
  <LinksUpToDate>false</LinksUpToDate>
  <CharactersWithSpaces>50622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2019-08-13T12:31:00Z</dcterms:created>
  <dc:creator>明业翁</dc:creator>
  <cp:lastModifiedBy>WPS_1701756769</cp:lastModifiedBy>
  <cp:lastPrinted>2019-08-13T09:57:00Z</cp:lastPrinted>
  <dcterms:modified xsi:type="dcterms:W3CDTF">2024-02-22T08:50:50Z</dcterms:modified>
  <cp:revision>7</cp:revision>
  <dc:title>道路保洁服务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8D63404E4BA046E4B096430FC6FC3CAD_13</vt:lpwstr>
  </property>
</Properties>
</file>