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F16DF">
      <w:pPr>
        <w:rPr>
          <w:rFonts w:ascii="Times New Roman" w:hAnsi="Times New Roman" w:eastAsia="宋体" w:cs="Times New Roman"/>
          <w:b/>
          <w:sz w:val="36"/>
        </w:rPr>
      </w:pPr>
    </w:p>
    <w:p w14:paraId="25BD4720">
      <w:pPr>
        <w:rPr>
          <w:rFonts w:ascii="Times New Roman" w:hAnsi="Times New Roman" w:eastAsia="宋体" w:cs="Times New Roman"/>
          <w:b/>
          <w:sz w:val="36"/>
        </w:rPr>
      </w:pPr>
    </w:p>
    <w:p w14:paraId="695E4F7E">
      <w:pPr>
        <w:rPr>
          <w:rFonts w:ascii="Times New Roman" w:hAnsi="Times New Roman" w:eastAsia="宋体" w:cs="Times New Roman"/>
          <w:b/>
          <w:sz w:val="36"/>
        </w:rPr>
      </w:pPr>
    </w:p>
    <w:p w14:paraId="621C8FCE">
      <w:pPr>
        <w:rPr>
          <w:rFonts w:ascii="Times New Roman" w:hAnsi="Times New Roman" w:eastAsia="宋体" w:cs="Times New Roman"/>
          <w:b/>
          <w:sz w:val="36"/>
        </w:rPr>
      </w:pPr>
    </w:p>
    <w:p w14:paraId="7CC5B56A">
      <w:pPr>
        <w:spacing w:line="360" w:lineRule="auto"/>
        <w:rPr>
          <w:rFonts w:ascii="Times New Roman" w:hAnsi="Times New Roman" w:eastAsia="宋体" w:cs="Times New Roman"/>
          <w:sz w:val="36"/>
        </w:rPr>
      </w:pPr>
    </w:p>
    <w:p w14:paraId="47CD8CB5">
      <w:pPr>
        <w:spacing w:line="360" w:lineRule="auto"/>
        <w:ind w:left="231" w:leftChars="110"/>
        <w:jc w:val="center"/>
        <w:rPr>
          <w:rFonts w:cs="Times New Roman" w:asciiTheme="minorEastAsia" w:hAnsiTheme="minorEastAsia"/>
          <w:sz w:val="36"/>
          <w:szCs w:val="36"/>
        </w:rPr>
      </w:pPr>
      <w:r>
        <w:rPr>
          <w:rFonts w:cs="Times New Roman" w:asciiTheme="minorEastAsia" w:hAnsiTheme="minorEastAsia"/>
          <w:sz w:val="36"/>
          <w:szCs w:val="36"/>
        </w:rPr>
        <w:t>项目名称：国家体育总局</w:t>
      </w:r>
      <w:r>
        <w:rPr>
          <w:rFonts w:hint="eastAsia" w:cs="Times New Roman" w:asciiTheme="minorEastAsia" w:hAnsiTheme="minorEastAsia"/>
          <w:sz w:val="36"/>
          <w:szCs w:val="36"/>
        </w:rPr>
        <w:t>20</w:t>
      </w:r>
      <w:r>
        <w:rPr>
          <w:rFonts w:cs="Times New Roman" w:asciiTheme="minorEastAsia" w:hAnsiTheme="minorEastAsia"/>
          <w:sz w:val="36"/>
          <w:szCs w:val="36"/>
        </w:rPr>
        <w:t>25</w:t>
      </w:r>
      <w:r>
        <w:rPr>
          <w:rFonts w:hint="eastAsia" w:cs="Times New Roman" w:asciiTheme="minorEastAsia" w:hAnsiTheme="minorEastAsia"/>
          <w:sz w:val="36"/>
          <w:szCs w:val="36"/>
        </w:rPr>
        <w:t>年全国各级各类体校</w:t>
      </w:r>
    </w:p>
    <w:p w14:paraId="339BD67E">
      <w:pPr>
        <w:spacing w:line="360" w:lineRule="auto"/>
        <w:ind w:left="231" w:leftChars="110"/>
        <w:jc w:val="center"/>
        <w:rPr>
          <w:rFonts w:cs="Times New Roman" w:asciiTheme="minorEastAsia" w:hAnsiTheme="minorEastAsia"/>
          <w:sz w:val="36"/>
          <w:szCs w:val="36"/>
        </w:rPr>
      </w:pPr>
      <w:r>
        <w:rPr>
          <w:rFonts w:hint="eastAsia" w:cs="Times New Roman" w:asciiTheme="minorEastAsia" w:hAnsiTheme="minorEastAsia"/>
          <w:sz w:val="36"/>
          <w:szCs w:val="36"/>
        </w:rPr>
        <w:t>校长及教练员培训班培训</w:t>
      </w:r>
      <w:r>
        <w:rPr>
          <w:rFonts w:cs="Times New Roman" w:asciiTheme="minorEastAsia" w:hAnsiTheme="minorEastAsia"/>
          <w:sz w:val="36"/>
          <w:szCs w:val="36"/>
        </w:rPr>
        <w:t>服务</w:t>
      </w:r>
    </w:p>
    <w:p w14:paraId="7C807856">
      <w:pPr>
        <w:spacing w:line="360" w:lineRule="auto"/>
        <w:ind w:left="840" w:leftChars="400"/>
        <w:jc w:val="center"/>
        <w:rPr>
          <w:rFonts w:cs="Times New Roman" w:asciiTheme="minorEastAsia" w:hAnsiTheme="minorEastAsia"/>
          <w:sz w:val="36"/>
          <w:szCs w:val="36"/>
        </w:rPr>
      </w:pPr>
    </w:p>
    <w:p w14:paraId="67956FE7">
      <w:pPr>
        <w:spacing w:line="360" w:lineRule="auto"/>
        <w:jc w:val="center"/>
        <w:rPr>
          <w:rFonts w:hint="default" w:cs="Times New Roman" w:asciiTheme="minorEastAsia" w:hAnsiTheme="minorEastAsia" w:eastAsiaTheme="minorEastAsia"/>
          <w:sz w:val="36"/>
          <w:szCs w:val="36"/>
          <w:lang w:val="en-US" w:eastAsia="zh-CN"/>
        </w:rPr>
      </w:pPr>
      <w:r>
        <w:rPr>
          <w:rFonts w:cs="Times New Roman" w:asciiTheme="minorEastAsia" w:hAnsiTheme="minorEastAsia"/>
          <w:sz w:val="36"/>
          <w:szCs w:val="36"/>
        </w:rPr>
        <w:t>项目编号：</w:t>
      </w:r>
      <w:r>
        <w:rPr>
          <w:rFonts w:hint="eastAsia" w:cs="Times New Roman" w:asciiTheme="minorEastAsia" w:hAnsiTheme="minorEastAsia"/>
          <w:sz w:val="36"/>
          <w:szCs w:val="36"/>
          <w:lang w:val="en-US" w:eastAsia="zh-CN"/>
        </w:rPr>
        <w:t>CSCY25-04</w:t>
      </w:r>
    </w:p>
    <w:p w14:paraId="6AF2EA13">
      <w:pPr>
        <w:spacing w:line="440" w:lineRule="exact"/>
        <w:ind w:firstLine="2880" w:firstLineChars="900"/>
        <w:rPr>
          <w:rFonts w:ascii="Times New Roman" w:hAnsi="Times New Roman" w:eastAsia="宋体" w:cs="Times New Roman"/>
          <w:sz w:val="32"/>
        </w:rPr>
      </w:pPr>
    </w:p>
    <w:p w14:paraId="040AD018">
      <w:pPr>
        <w:spacing w:line="440" w:lineRule="exact"/>
        <w:ind w:firstLine="2880" w:firstLineChars="900"/>
        <w:rPr>
          <w:rFonts w:ascii="Times New Roman" w:hAnsi="Times New Roman" w:eastAsia="宋体" w:cs="Times New Roman"/>
          <w:sz w:val="32"/>
        </w:rPr>
      </w:pPr>
    </w:p>
    <w:p w14:paraId="2DDDDF7E">
      <w:pPr>
        <w:spacing w:line="440" w:lineRule="exact"/>
        <w:ind w:firstLine="2880" w:firstLineChars="900"/>
        <w:rPr>
          <w:rFonts w:ascii="Times New Roman" w:hAnsi="Times New Roman" w:eastAsia="宋体" w:cs="Times New Roman"/>
          <w:sz w:val="32"/>
        </w:rPr>
      </w:pPr>
    </w:p>
    <w:p w14:paraId="33D3B626">
      <w:pPr>
        <w:spacing w:line="440" w:lineRule="exact"/>
        <w:ind w:firstLine="2880" w:firstLineChars="900"/>
        <w:rPr>
          <w:rFonts w:ascii="Times New Roman" w:hAnsi="Times New Roman" w:eastAsia="宋体" w:cs="Times New Roman"/>
          <w:sz w:val="32"/>
        </w:rPr>
      </w:pPr>
    </w:p>
    <w:p w14:paraId="5BFF8D52">
      <w:pPr>
        <w:spacing w:line="440" w:lineRule="exact"/>
        <w:ind w:firstLine="2880" w:firstLineChars="900"/>
        <w:rPr>
          <w:rFonts w:ascii="Times New Roman" w:hAnsi="Times New Roman" w:eastAsia="宋体" w:cs="Times New Roman"/>
          <w:sz w:val="32"/>
        </w:rPr>
      </w:pPr>
    </w:p>
    <w:p w14:paraId="75DD617F">
      <w:pPr>
        <w:spacing w:line="440" w:lineRule="exact"/>
        <w:ind w:firstLine="2880" w:firstLineChars="900"/>
        <w:rPr>
          <w:rFonts w:ascii="Times New Roman" w:hAnsi="Times New Roman" w:eastAsia="宋体" w:cs="Times New Roman"/>
          <w:sz w:val="32"/>
        </w:rPr>
      </w:pPr>
    </w:p>
    <w:p w14:paraId="48F235C1">
      <w:pPr>
        <w:spacing w:line="440" w:lineRule="exact"/>
        <w:ind w:firstLine="2880" w:firstLineChars="900"/>
        <w:rPr>
          <w:rFonts w:ascii="Times New Roman" w:hAnsi="Times New Roman" w:eastAsia="宋体" w:cs="Times New Roman"/>
          <w:sz w:val="32"/>
        </w:rPr>
      </w:pPr>
    </w:p>
    <w:p w14:paraId="0F050741">
      <w:pPr>
        <w:pStyle w:val="7"/>
        <w:spacing w:line="440" w:lineRule="exact"/>
        <w:ind w:firstLine="0"/>
        <w:jc w:val="both"/>
        <w:rPr>
          <w:rFonts w:ascii="Times New Roman" w:hAnsi="Times New Roman" w:eastAsia="宋体" w:cs="Times New Roman"/>
          <w:b/>
          <w:bCs/>
        </w:rPr>
      </w:pPr>
    </w:p>
    <w:p w14:paraId="4EF40FCB">
      <w:pPr>
        <w:pStyle w:val="7"/>
        <w:spacing w:line="440" w:lineRule="exact"/>
        <w:ind w:firstLine="0"/>
        <w:jc w:val="both"/>
        <w:rPr>
          <w:rFonts w:ascii="Times New Roman" w:hAnsi="Times New Roman" w:eastAsia="宋体" w:cs="Times New Roman"/>
          <w:b/>
          <w:bCs/>
        </w:rPr>
      </w:pPr>
    </w:p>
    <w:p w14:paraId="040ECE05">
      <w:pPr>
        <w:pStyle w:val="7"/>
        <w:spacing w:line="440" w:lineRule="exact"/>
        <w:ind w:firstLine="0"/>
        <w:jc w:val="both"/>
        <w:rPr>
          <w:rFonts w:ascii="Times New Roman" w:hAnsi="Times New Roman" w:eastAsia="宋体" w:cs="Times New Roman"/>
          <w:b/>
          <w:bCs/>
        </w:rPr>
      </w:pPr>
    </w:p>
    <w:p w14:paraId="47023F2D">
      <w:pPr>
        <w:pStyle w:val="7"/>
        <w:spacing w:line="480" w:lineRule="auto"/>
        <w:ind w:firstLine="1857" w:firstLineChars="619"/>
        <w:rPr>
          <w:rFonts w:ascii="Times New Roman" w:hAnsi="宋体" w:eastAsia="宋体" w:cs="Times New Roman"/>
          <w:bCs/>
          <w:sz w:val="30"/>
        </w:rPr>
      </w:pPr>
      <w:r>
        <w:rPr>
          <w:rFonts w:ascii="Times New Roman" w:hAnsi="宋体" w:eastAsia="宋体" w:cs="Times New Roman"/>
          <w:bCs/>
          <w:sz w:val="30"/>
        </w:rPr>
        <w:t>采购人：</w:t>
      </w:r>
      <w:r>
        <w:rPr>
          <w:rFonts w:hint="eastAsia" w:ascii="Times New Roman" w:hAnsi="宋体" w:eastAsia="宋体" w:cs="Times New Roman"/>
          <w:bCs/>
          <w:sz w:val="30"/>
        </w:rPr>
        <w:t>国家体育总局</w:t>
      </w:r>
    </w:p>
    <w:p w14:paraId="3C3E8561">
      <w:pPr>
        <w:pStyle w:val="7"/>
        <w:spacing w:line="480" w:lineRule="auto"/>
        <w:ind w:firstLine="1857" w:firstLineChars="619"/>
        <w:rPr>
          <w:rFonts w:ascii="Times New Roman" w:hAnsi="Times New Roman" w:eastAsia="宋体" w:cs="Times New Roman"/>
          <w:bCs/>
          <w:sz w:val="30"/>
        </w:rPr>
      </w:pPr>
      <w:r>
        <w:rPr>
          <w:rFonts w:ascii="Times New Roman" w:hAnsi="宋体" w:eastAsia="宋体" w:cs="Times New Roman"/>
          <w:bCs/>
          <w:sz w:val="30"/>
        </w:rPr>
        <w:t>采购单位</w:t>
      </w:r>
      <w:r>
        <w:rPr>
          <w:rFonts w:ascii="Times New Roman" w:hAnsi="Times New Roman" w:eastAsia="宋体" w:cs="Times New Roman"/>
          <w:bCs/>
          <w:sz w:val="30"/>
        </w:rPr>
        <w:t>:</w:t>
      </w:r>
      <w:r>
        <w:rPr>
          <w:rFonts w:ascii="Times New Roman" w:hAnsi="宋体" w:eastAsia="宋体" w:cs="Times New Roman"/>
          <w:bCs/>
          <w:sz w:val="30"/>
        </w:rPr>
        <w:t>国家体育总局体育器材装备中心</w:t>
      </w:r>
    </w:p>
    <w:p w14:paraId="458FA085">
      <w:pPr>
        <w:pStyle w:val="7"/>
        <w:spacing w:line="480" w:lineRule="auto"/>
        <w:ind w:firstLine="1857" w:firstLineChars="619"/>
        <w:rPr>
          <w:rFonts w:ascii="Times New Roman" w:hAnsi="宋体" w:eastAsia="宋体" w:cs="Times New Roman"/>
          <w:bCs/>
          <w:sz w:val="30"/>
        </w:rPr>
      </w:pPr>
      <w:r>
        <w:rPr>
          <w:rFonts w:ascii="Times New Roman" w:hAnsi="宋体" w:eastAsia="宋体" w:cs="Times New Roman"/>
          <w:bCs/>
          <w:sz w:val="30"/>
        </w:rPr>
        <w:t>日期：</w:t>
      </w:r>
      <w:r>
        <w:rPr>
          <w:rFonts w:ascii="Times New Roman" w:hAnsi="Times New Roman" w:eastAsia="宋体" w:cs="Times New Roman"/>
          <w:bCs/>
          <w:sz w:val="30"/>
        </w:rPr>
        <w:t>20</w:t>
      </w:r>
      <w:r>
        <w:rPr>
          <w:rFonts w:hint="eastAsia" w:ascii="Times New Roman" w:hAnsi="Times New Roman" w:eastAsia="宋体" w:cs="Times New Roman"/>
          <w:bCs/>
          <w:sz w:val="30"/>
        </w:rPr>
        <w:t>2</w:t>
      </w:r>
      <w:r>
        <w:rPr>
          <w:rFonts w:ascii="Times New Roman" w:hAnsi="Times New Roman" w:eastAsia="宋体" w:cs="Times New Roman"/>
          <w:bCs/>
          <w:sz w:val="30"/>
        </w:rPr>
        <w:t>5</w:t>
      </w:r>
      <w:r>
        <w:rPr>
          <w:rFonts w:ascii="Times New Roman" w:hAnsi="宋体" w:eastAsia="宋体" w:cs="Times New Roman"/>
          <w:bCs/>
          <w:sz w:val="30"/>
        </w:rPr>
        <w:t>年</w:t>
      </w:r>
      <w:r>
        <w:rPr>
          <w:rFonts w:ascii="Times New Roman" w:hAnsi="Times New Roman" w:eastAsia="宋体" w:cs="Times New Roman"/>
          <w:bCs/>
          <w:sz w:val="30"/>
        </w:rPr>
        <w:t>5</w:t>
      </w:r>
      <w:r>
        <w:rPr>
          <w:rFonts w:ascii="Times New Roman" w:hAnsi="宋体" w:eastAsia="宋体" w:cs="Times New Roman"/>
          <w:bCs/>
          <w:sz w:val="30"/>
        </w:rPr>
        <w:t>月</w:t>
      </w:r>
    </w:p>
    <w:p w14:paraId="320DF6B1">
      <w:pPr>
        <w:pStyle w:val="7"/>
        <w:spacing w:line="360" w:lineRule="auto"/>
        <w:ind w:firstLine="1864" w:firstLineChars="619"/>
        <w:rPr>
          <w:rFonts w:ascii="Times New Roman" w:hAnsi="Times New Roman" w:eastAsia="宋体" w:cs="Times New Roman"/>
          <w:b/>
          <w:bCs/>
          <w:sz w:val="30"/>
        </w:rPr>
      </w:pPr>
      <w:r>
        <w:rPr>
          <w:rFonts w:ascii="Times New Roman" w:hAnsi="Times New Roman" w:eastAsia="宋体" w:cs="Times New Roman"/>
          <w:b/>
          <w:bCs/>
          <w:sz w:val="30"/>
        </w:rPr>
        <w:br w:type="page"/>
      </w:r>
    </w:p>
    <w:p w14:paraId="5CBDBF1D">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14:paraId="76599B11">
      <w:pPr>
        <w:pStyle w:val="13"/>
        <w:tabs>
          <w:tab w:val="right" w:leader="dot" w:pos="9629"/>
        </w:tabs>
        <w:rPr>
          <w:b w:val="0"/>
          <w:bCs w:val="0"/>
          <w:caps w:val="0"/>
          <w:szCs w:val="22"/>
        </w:rPr>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fldChar w:fldCharType="begin"/>
      </w:r>
      <w:r>
        <w:instrText xml:space="preserve"> HYPERLINK \l "_Toc103068830" </w:instrText>
      </w:r>
      <w:r>
        <w:fldChar w:fldCharType="separate"/>
      </w:r>
      <w:r>
        <w:rPr>
          <w:rStyle w:val="24"/>
          <w:rFonts w:ascii="Times New Roman" w:hAnsi="宋体" w:eastAsia="宋体" w:cs="Times New Roman"/>
        </w:rPr>
        <w:t>第一部分采购公告</w:t>
      </w:r>
      <w:r>
        <w:tab/>
      </w:r>
      <w:r>
        <w:fldChar w:fldCharType="begin"/>
      </w:r>
      <w:r>
        <w:instrText xml:space="preserve"> PAGEREF _Toc103068830 \h </w:instrText>
      </w:r>
      <w:r>
        <w:fldChar w:fldCharType="separate"/>
      </w:r>
      <w:r>
        <w:t>2</w:t>
      </w:r>
      <w:r>
        <w:fldChar w:fldCharType="end"/>
      </w:r>
      <w:r>
        <w:fldChar w:fldCharType="end"/>
      </w:r>
    </w:p>
    <w:p w14:paraId="669ECBB7">
      <w:pPr>
        <w:pStyle w:val="14"/>
        <w:tabs>
          <w:tab w:val="right" w:leader="dot" w:pos="9629"/>
        </w:tabs>
        <w:rPr>
          <w:szCs w:val="22"/>
        </w:rPr>
      </w:pPr>
      <w:r>
        <w:fldChar w:fldCharType="begin"/>
      </w:r>
      <w:r>
        <w:instrText xml:space="preserve"> HYPERLINK \l "_Toc103068831" </w:instrText>
      </w:r>
      <w:r>
        <w:fldChar w:fldCharType="separate"/>
      </w:r>
      <w:r>
        <w:rPr>
          <w:rStyle w:val="24"/>
          <w:rFonts w:ascii="Times New Roman" w:hAnsi="宋体" w:eastAsia="宋体" w:cs="Times New Roman"/>
        </w:rPr>
        <w:t>一、项目名称及项目编号</w:t>
      </w:r>
      <w:r>
        <w:tab/>
      </w:r>
      <w:r>
        <w:fldChar w:fldCharType="begin"/>
      </w:r>
      <w:r>
        <w:instrText xml:space="preserve"> PAGEREF _Toc103068831 \h </w:instrText>
      </w:r>
      <w:r>
        <w:fldChar w:fldCharType="separate"/>
      </w:r>
      <w:r>
        <w:t>2</w:t>
      </w:r>
      <w:r>
        <w:fldChar w:fldCharType="end"/>
      </w:r>
      <w:r>
        <w:fldChar w:fldCharType="end"/>
      </w:r>
    </w:p>
    <w:p w14:paraId="74FA2516">
      <w:pPr>
        <w:pStyle w:val="14"/>
        <w:tabs>
          <w:tab w:val="right" w:leader="dot" w:pos="9629"/>
        </w:tabs>
        <w:rPr>
          <w:szCs w:val="22"/>
        </w:rPr>
      </w:pPr>
      <w:r>
        <w:fldChar w:fldCharType="begin"/>
      </w:r>
      <w:r>
        <w:instrText xml:space="preserve"> HYPERLINK \l "_Toc103068832" </w:instrText>
      </w:r>
      <w:r>
        <w:fldChar w:fldCharType="separate"/>
      </w:r>
      <w:r>
        <w:rPr>
          <w:rStyle w:val="24"/>
          <w:rFonts w:ascii="Times New Roman" w:hAnsi="宋体" w:eastAsia="宋体" w:cs="Times New Roman"/>
        </w:rPr>
        <w:t>二、采购内容</w:t>
      </w:r>
      <w:r>
        <w:tab/>
      </w:r>
      <w:r>
        <w:fldChar w:fldCharType="begin"/>
      </w:r>
      <w:r>
        <w:instrText xml:space="preserve"> PAGEREF _Toc103068832 \h </w:instrText>
      </w:r>
      <w:r>
        <w:fldChar w:fldCharType="separate"/>
      </w:r>
      <w:r>
        <w:t>2</w:t>
      </w:r>
      <w:r>
        <w:fldChar w:fldCharType="end"/>
      </w:r>
      <w:r>
        <w:fldChar w:fldCharType="end"/>
      </w:r>
    </w:p>
    <w:p w14:paraId="3B6DB5A1">
      <w:pPr>
        <w:pStyle w:val="14"/>
        <w:tabs>
          <w:tab w:val="right" w:leader="dot" w:pos="9629"/>
        </w:tabs>
        <w:rPr>
          <w:szCs w:val="22"/>
        </w:rPr>
      </w:pPr>
      <w:r>
        <w:fldChar w:fldCharType="begin"/>
      </w:r>
      <w:r>
        <w:instrText xml:space="preserve"> HYPERLINK \l "_Toc103068833" </w:instrText>
      </w:r>
      <w:r>
        <w:fldChar w:fldCharType="separate"/>
      </w:r>
      <w:r>
        <w:rPr>
          <w:rStyle w:val="24"/>
          <w:rFonts w:ascii="Times New Roman" w:hAnsi="宋体" w:eastAsia="宋体" w:cs="Times New Roman"/>
        </w:rPr>
        <w:t>三、合格的报价人</w:t>
      </w:r>
      <w:r>
        <w:tab/>
      </w:r>
      <w:r>
        <w:fldChar w:fldCharType="begin"/>
      </w:r>
      <w:r>
        <w:instrText xml:space="preserve"> PAGEREF _Toc103068833 \h </w:instrText>
      </w:r>
      <w:r>
        <w:fldChar w:fldCharType="separate"/>
      </w:r>
      <w:r>
        <w:t>2</w:t>
      </w:r>
      <w:r>
        <w:fldChar w:fldCharType="end"/>
      </w:r>
      <w:r>
        <w:fldChar w:fldCharType="end"/>
      </w:r>
    </w:p>
    <w:p w14:paraId="7ADDA60B">
      <w:pPr>
        <w:pStyle w:val="14"/>
        <w:tabs>
          <w:tab w:val="right" w:leader="dot" w:pos="9629"/>
        </w:tabs>
        <w:rPr>
          <w:szCs w:val="22"/>
        </w:rPr>
      </w:pPr>
      <w:r>
        <w:fldChar w:fldCharType="begin"/>
      </w:r>
      <w:r>
        <w:instrText xml:space="preserve"> HYPERLINK \l "_Toc103068834" </w:instrText>
      </w:r>
      <w:r>
        <w:fldChar w:fldCharType="separate"/>
      </w:r>
      <w:r>
        <w:rPr>
          <w:rStyle w:val="24"/>
          <w:rFonts w:cs="Times New Roman" w:asciiTheme="minorEastAsia" w:hAnsiTheme="minorEastAsia"/>
        </w:rPr>
        <w:t>四、报名</w:t>
      </w:r>
      <w:r>
        <w:tab/>
      </w:r>
      <w:r>
        <w:fldChar w:fldCharType="begin"/>
      </w:r>
      <w:r>
        <w:instrText xml:space="preserve"> PAGEREF _Toc103068834 \h </w:instrText>
      </w:r>
      <w:r>
        <w:fldChar w:fldCharType="separate"/>
      </w:r>
      <w:r>
        <w:t>2</w:t>
      </w:r>
      <w:r>
        <w:fldChar w:fldCharType="end"/>
      </w:r>
      <w:r>
        <w:fldChar w:fldCharType="end"/>
      </w:r>
    </w:p>
    <w:p w14:paraId="2437FBEB">
      <w:pPr>
        <w:pStyle w:val="14"/>
        <w:tabs>
          <w:tab w:val="right" w:leader="dot" w:pos="9629"/>
        </w:tabs>
        <w:rPr>
          <w:szCs w:val="22"/>
        </w:rPr>
      </w:pPr>
      <w:r>
        <w:fldChar w:fldCharType="begin"/>
      </w:r>
      <w:r>
        <w:instrText xml:space="preserve"> HYPERLINK \l "_Toc103068835" </w:instrText>
      </w:r>
      <w:r>
        <w:fldChar w:fldCharType="separate"/>
      </w:r>
      <w:r>
        <w:rPr>
          <w:rStyle w:val="24"/>
          <w:rFonts w:cs="Times New Roman" w:asciiTheme="minorEastAsia" w:hAnsiTheme="minorEastAsia"/>
        </w:rPr>
        <w:t>五、磋商时间、地点</w:t>
      </w:r>
      <w:r>
        <w:tab/>
      </w:r>
      <w:r>
        <w:fldChar w:fldCharType="begin"/>
      </w:r>
      <w:r>
        <w:instrText xml:space="preserve"> PAGEREF _Toc103068835 \h </w:instrText>
      </w:r>
      <w:r>
        <w:fldChar w:fldCharType="separate"/>
      </w:r>
      <w:r>
        <w:t>3</w:t>
      </w:r>
      <w:r>
        <w:fldChar w:fldCharType="end"/>
      </w:r>
      <w:r>
        <w:fldChar w:fldCharType="end"/>
      </w:r>
    </w:p>
    <w:p w14:paraId="12C82D08">
      <w:pPr>
        <w:pStyle w:val="13"/>
        <w:tabs>
          <w:tab w:val="right" w:leader="dot" w:pos="9629"/>
        </w:tabs>
        <w:rPr>
          <w:b w:val="0"/>
          <w:bCs w:val="0"/>
          <w:caps w:val="0"/>
          <w:szCs w:val="22"/>
        </w:rPr>
      </w:pPr>
      <w:r>
        <w:fldChar w:fldCharType="begin"/>
      </w:r>
      <w:r>
        <w:instrText xml:space="preserve"> HYPERLINK \l "_Toc103068836" </w:instrText>
      </w:r>
      <w:r>
        <w:fldChar w:fldCharType="separate"/>
      </w:r>
      <w:r>
        <w:rPr>
          <w:rStyle w:val="24"/>
          <w:rFonts w:ascii="Times New Roman" w:hAnsi="宋体" w:eastAsia="宋体" w:cs="Times New Roman"/>
        </w:rPr>
        <w:t>第二部分报价须知</w:t>
      </w:r>
      <w:r>
        <w:tab/>
      </w:r>
      <w:r>
        <w:fldChar w:fldCharType="begin"/>
      </w:r>
      <w:r>
        <w:instrText xml:space="preserve"> PAGEREF _Toc103068836 \h </w:instrText>
      </w:r>
      <w:r>
        <w:fldChar w:fldCharType="separate"/>
      </w:r>
      <w:r>
        <w:t>4</w:t>
      </w:r>
      <w:r>
        <w:fldChar w:fldCharType="end"/>
      </w:r>
      <w:r>
        <w:fldChar w:fldCharType="end"/>
      </w:r>
    </w:p>
    <w:p w14:paraId="24744A66">
      <w:pPr>
        <w:pStyle w:val="14"/>
        <w:tabs>
          <w:tab w:val="right" w:leader="dot" w:pos="9629"/>
        </w:tabs>
        <w:rPr>
          <w:szCs w:val="22"/>
        </w:rPr>
      </w:pPr>
      <w:r>
        <w:fldChar w:fldCharType="begin"/>
      </w:r>
      <w:r>
        <w:instrText xml:space="preserve"> HYPERLINK \l "_Toc103068837" </w:instrText>
      </w:r>
      <w:r>
        <w:fldChar w:fldCharType="separate"/>
      </w:r>
      <w:r>
        <w:rPr>
          <w:rStyle w:val="24"/>
          <w:rFonts w:ascii="Times New Roman" w:hAnsi="宋体" w:eastAsia="宋体" w:cs="Times New Roman"/>
        </w:rPr>
        <w:t>一、总则</w:t>
      </w:r>
      <w:r>
        <w:tab/>
      </w:r>
      <w:r>
        <w:fldChar w:fldCharType="begin"/>
      </w:r>
      <w:r>
        <w:instrText xml:space="preserve"> PAGEREF _Toc103068837 \h </w:instrText>
      </w:r>
      <w:r>
        <w:fldChar w:fldCharType="separate"/>
      </w:r>
      <w:r>
        <w:t>4</w:t>
      </w:r>
      <w:r>
        <w:fldChar w:fldCharType="end"/>
      </w:r>
      <w:r>
        <w:fldChar w:fldCharType="end"/>
      </w:r>
    </w:p>
    <w:p w14:paraId="1C56F144">
      <w:pPr>
        <w:pStyle w:val="14"/>
        <w:tabs>
          <w:tab w:val="right" w:leader="dot" w:pos="9629"/>
        </w:tabs>
        <w:rPr>
          <w:szCs w:val="22"/>
        </w:rPr>
      </w:pPr>
      <w:r>
        <w:fldChar w:fldCharType="begin"/>
      </w:r>
      <w:r>
        <w:instrText xml:space="preserve"> HYPERLINK \l "_Toc103068838" </w:instrText>
      </w:r>
      <w:r>
        <w:fldChar w:fldCharType="separate"/>
      </w:r>
      <w:r>
        <w:rPr>
          <w:rStyle w:val="24"/>
          <w:rFonts w:ascii="Times New Roman" w:hAnsi="宋体" w:eastAsia="宋体" w:cs="Times New Roman"/>
        </w:rPr>
        <w:t>二、采购信息说明</w:t>
      </w:r>
      <w:r>
        <w:tab/>
      </w:r>
      <w:r>
        <w:fldChar w:fldCharType="begin"/>
      </w:r>
      <w:r>
        <w:instrText xml:space="preserve"> PAGEREF _Toc103068838 \h </w:instrText>
      </w:r>
      <w:r>
        <w:fldChar w:fldCharType="separate"/>
      </w:r>
      <w:r>
        <w:t>4</w:t>
      </w:r>
      <w:r>
        <w:fldChar w:fldCharType="end"/>
      </w:r>
      <w:r>
        <w:fldChar w:fldCharType="end"/>
      </w:r>
    </w:p>
    <w:p w14:paraId="4E7278BF">
      <w:pPr>
        <w:pStyle w:val="14"/>
        <w:tabs>
          <w:tab w:val="right" w:leader="dot" w:pos="9629"/>
        </w:tabs>
        <w:rPr>
          <w:szCs w:val="22"/>
        </w:rPr>
      </w:pPr>
      <w:r>
        <w:fldChar w:fldCharType="begin"/>
      </w:r>
      <w:r>
        <w:instrText xml:space="preserve"> HYPERLINK \l "_Toc103068839" </w:instrText>
      </w:r>
      <w:r>
        <w:fldChar w:fldCharType="separate"/>
      </w:r>
      <w:r>
        <w:rPr>
          <w:rStyle w:val="24"/>
          <w:rFonts w:ascii="Times New Roman" w:hAnsi="宋体" w:eastAsia="宋体" w:cs="Times New Roman"/>
        </w:rPr>
        <w:t>三、响应文件的编写</w:t>
      </w:r>
      <w:r>
        <w:tab/>
      </w:r>
      <w:r>
        <w:fldChar w:fldCharType="begin"/>
      </w:r>
      <w:r>
        <w:instrText xml:space="preserve"> PAGEREF _Toc103068839 \h </w:instrText>
      </w:r>
      <w:r>
        <w:fldChar w:fldCharType="separate"/>
      </w:r>
      <w:r>
        <w:t>5</w:t>
      </w:r>
      <w:r>
        <w:fldChar w:fldCharType="end"/>
      </w:r>
      <w:r>
        <w:fldChar w:fldCharType="end"/>
      </w:r>
    </w:p>
    <w:p w14:paraId="188F1653">
      <w:pPr>
        <w:pStyle w:val="14"/>
        <w:tabs>
          <w:tab w:val="right" w:leader="dot" w:pos="9629"/>
        </w:tabs>
        <w:rPr>
          <w:szCs w:val="22"/>
        </w:rPr>
      </w:pPr>
      <w:r>
        <w:fldChar w:fldCharType="begin"/>
      </w:r>
      <w:r>
        <w:instrText xml:space="preserve"> HYPERLINK \l "_Toc103068840" </w:instrText>
      </w:r>
      <w:r>
        <w:fldChar w:fldCharType="separate"/>
      </w:r>
      <w:r>
        <w:rPr>
          <w:rStyle w:val="24"/>
          <w:rFonts w:ascii="Times New Roman" w:hAnsi="宋体" w:eastAsia="宋体" w:cs="Times New Roman"/>
        </w:rPr>
        <w:t>五、合同的签订和履行</w:t>
      </w:r>
      <w:r>
        <w:tab/>
      </w:r>
      <w:r>
        <w:fldChar w:fldCharType="begin"/>
      </w:r>
      <w:r>
        <w:instrText xml:space="preserve"> PAGEREF _Toc103068840 \h </w:instrText>
      </w:r>
      <w:r>
        <w:fldChar w:fldCharType="separate"/>
      </w:r>
      <w:r>
        <w:t>8</w:t>
      </w:r>
      <w:r>
        <w:fldChar w:fldCharType="end"/>
      </w:r>
      <w:r>
        <w:fldChar w:fldCharType="end"/>
      </w:r>
    </w:p>
    <w:p w14:paraId="445826F3">
      <w:pPr>
        <w:pStyle w:val="14"/>
        <w:tabs>
          <w:tab w:val="right" w:leader="dot" w:pos="9629"/>
        </w:tabs>
        <w:rPr>
          <w:szCs w:val="22"/>
        </w:rPr>
      </w:pPr>
      <w:r>
        <w:fldChar w:fldCharType="begin"/>
      </w:r>
      <w:r>
        <w:instrText xml:space="preserve"> HYPERLINK \l "_Toc103068841" </w:instrText>
      </w:r>
      <w:r>
        <w:fldChar w:fldCharType="separate"/>
      </w:r>
      <w:r>
        <w:rPr>
          <w:rStyle w:val="24"/>
          <w:rFonts w:ascii="Times New Roman" w:hAnsi="宋体" w:eastAsia="宋体" w:cs="Times New Roman"/>
        </w:rPr>
        <w:t>六、质疑和投诉</w:t>
      </w:r>
      <w:r>
        <w:tab/>
      </w:r>
      <w:r>
        <w:fldChar w:fldCharType="begin"/>
      </w:r>
      <w:r>
        <w:instrText xml:space="preserve"> PAGEREF _Toc103068841 \h </w:instrText>
      </w:r>
      <w:r>
        <w:fldChar w:fldCharType="separate"/>
      </w:r>
      <w:r>
        <w:t>8</w:t>
      </w:r>
      <w:r>
        <w:fldChar w:fldCharType="end"/>
      </w:r>
      <w:r>
        <w:fldChar w:fldCharType="end"/>
      </w:r>
    </w:p>
    <w:p w14:paraId="04DB05FB">
      <w:pPr>
        <w:pStyle w:val="14"/>
        <w:tabs>
          <w:tab w:val="right" w:leader="dot" w:pos="9629"/>
        </w:tabs>
        <w:rPr>
          <w:szCs w:val="22"/>
        </w:rPr>
      </w:pPr>
      <w:r>
        <w:fldChar w:fldCharType="begin"/>
      </w:r>
      <w:r>
        <w:instrText xml:space="preserve"> HYPERLINK \l "_Toc103068842" </w:instrText>
      </w:r>
      <w:r>
        <w:fldChar w:fldCharType="separate"/>
      </w:r>
      <w:r>
        <w:rPr>
          <w:rStyle w:val="24"/>
          <w:rFonts w:ascii="Times New Roman" w:hAnsi="宋体" w:eastAsia="宋体" w:cs="Times New Roman"/>
        </w:rPr>
        <w:t>七、其它须知</w:t>
      </w:r>
      <w:r>
        <w:tab/>
      </w:r>
      <w:r>
        <w:fldChar w:fldCharType="begin"/>
      </w:r>
      <w:r>
        <w:instrText xml:space="preserve"> PAGEREF _Toc103068842 \h </w:instrText>
      </w:r>
      <w:r>
        <w:fldChar w:fldCharType="separate"/>
      </w:r>
      <w:r>
        <w:t>9</w:t>
      </w:r>
      <w:r>
        <w:fldChar w:fldCharType="end"/>
      </w:r>
      <w:r>
        <w:fldChar w:fldCharType="end"/>
      </w:r>
    </w:p>
    <w:p w14:paraId="61812F85">
      <w:pPr>
        <w:pStyle w:val="13"/>
        <w:tabs>
          <w:tab w:val="right" w:leader="dot" w:pos="9629"/>
        </w:tabs>
        <w:rPr>
          <w:b w:val="0"/>
          <w:bCs w:val="0"/>
          <w:caps w:val="0"/>
          <w:szCs w:val="22"/>
        </w:rPr>
      </w:pPr>
      <w:r>
        <w:fldChar w:fldCharType="begin"/>
      </w:r>
      <w:r>
        <w:instrText xml:space="preserve"> HYPERLINK \l "_Toc103068843" </w:instrText>
      </w:r>
      <w:r>
        <w:fldChar w:fldCharType="separate"/>
      </w:r>
      <w:r>
        <w:rPr>
          <w:rStyle w:val="24"/>
          <w:rFonts w:ascii="Times New Roman" w:hAnsi="宋体" w:eastAsia="宋体" w:cs="Times New Roman"/>
        </w:rPr>
        <w:t>第三部分 采购需求</w:t>
      </w:r>
      <w:r>
        <w:tab/>
      </w:r>
      <w:r>
        <w:fldChar w:fldCharType="begin"/>
      </w:r>
      <w:r>
        <w:instrText xml:space="preserve"> PAGEREF _Toc103068843 \h </w:instrText>
      </w:r>
      <w:r>
        <w:fldChar w:fldCharType="separate"/>
      </w:r>
      <w:r>
        <w:t>11</w:t>
      </w:r>
      <w:r>
        <w:fldChar w:fldCharType="end"/>
      </w:r>
      <w:r>
        <w:fldChar w:fldCharType="end"/>
      </w:r>
    </w:p>
    <w:p w14:paraId="3408EA24">
      <w:pPr>
        <w:pStyle w:val="13"/>
        <w:tabs>
          <w:tab w:val="right" w:leader="dot" w:pos="9629"/>
        </w:tabs>
        <w:rPr>
          <w:b w:val="0"/>
          <w:bCs w:val="0"/>
          <w:caps w:val="0"/>
          <w:szCs w:val="22"/>
        </w:rPr>
      </w:pPr>
      <w:r>
        <w:fldChar w:fldCharType="begin"/>
      </w:r>
      <w:r>
        <w:instrText xml:space="preserve"> HYPERLINK \l "_Toc103068844" </w:instrText>
      </w:r>
      <w:r>
        <w:fldChar w:fldCharType="separate"/>
      </w:r>
      <w:r>
        <w:rPr>
          <w:rStyle w:val="24"/>
          <w:rFonts w:ascii="Times New Roman" w:hAnsi="Times New Roman" w:eastAsia="宋体" w:cs="Times New Roman"/>
        </w:rPr>
        <w:t>第四部分磋商程序和评审方法、标准</w:t>
      </w:r>
      <w:r>
        <w:tab/>
      </w:r>
      <w:r>
        <w:fldChar w:fldCharType="begin"/>
      </w:r>
      <w:r>
        <w:instrText xml:space="preserve"> PAGEREF _Toc103068844 \h </w:instrText>
      </w:r>
      <w:r>
        <w:fldChar w:fldCharType="separate"/>
      </w:r>
      <w:r>
        <w:t>14</w:t>
      </w:r>
      <w:r>
        <w:fldChar w:fldCharType="end"/>
      </w:r>
      <w:r>
        <w:fldChar w:fldCharType="end"/>
      </w:r>
    </w:p>
    <w:p w14:paraId="550B4556">
      <w:pPr>
        <w:pStyle w:val="14"/>
        <w:tabs>
          <w:tab w:val="right" w:leader="dot" w:pos="9629"/>
        </w:tabs>
        <w:rPr>
          <w:szCs w:val="22"/>
        </w:rPr>
      </w:pPr>
      <w:r>
        <w:fldChar w:fldCharType="begin"/>
      </w:r>
      <w:r>
        <w:instrText xml:space="preserve"> HYPERLINK \l "_Toc103068845" </w:instrText>
      </w:r>
      <w:r>
        <w:fldChar w:fldCharType="separate"/>
      </w:r>
      <w:r>
        <w:rPr>
          <w:rStyle w:val="24"/>
          <w:rFonts w:ascii="Times New Roman" w:hAnsi="Times New Roman" w:eastAsia="宋体" w:cs="Times New Roman"/>
        </w:rPr>
        <w:t>一、磋商程序及说明</w:t>
      </w:r>
      <w:r>
        <w:tab/>
      </w:r>
      <w:r>
        <w:fldChar w:fldCharType="begin"/>
      </w:r>
      <w:r>
        <w:instrText xml:space="preserve"> PAGEREF _Toc103068845 \h </w:instrText>
      </w:r>
      <w:r>
        <w:fldChar w:fldCharType="separate"/>
      </w:r>
      <w:r>
        <w:t>14</w:t>
      </w:r>
      <w:r>
        <w:fldChar w:fldCharType="end"/>
      </w:r>
      <w:r>
        <w:fldChar w:fldCharType="end"/>
      </w:r>
    </w:p>
    <w:p w14:paraId="2C6FE16A">
      <w:pPr>
        <w:pStyle w:val="14"/>
        <w:tabs>
          <w:tab w:val="right" w:leader="dot" w:pos="9629"/>
        </w:tabs>
        <w:rPr>
          <w:szCs w:val="22"/>
        </w:rPr>
      </w:pPr>
      <w:r>
        <w:fldChar w:fldCharType="begin"/>
      </w:r>
      <w:r>
        <w:instrText xml:space="preserve"> HYPERLINK \l "_Toc103068846" </w:instrText>
      </w:r>
      <w:r>
        <w:fldChar w:fldCharType="separate"/>
      </w:r>
      <w:r>
        <w:rPr>
          <w:rStyle w:val="24"/>
          <w:rFonts w:ascii="Times New Roman" w:hAnsi="Times New Roman" w:eastAsia="宋体" w:cs="Times New Roman"/>
        </w:rPr>
        <w:t>二、评审方法及标准</w:t>
      </w:r>
      <w:r>
        <w:tab/>
      </w:r>
      <w:r>
        <w:fldChar w:fldCharType="begin"/>
      </w:r>
      <w:r>
        <w:instrText xml:space="preserve"> PAGEREF _Toc103068846 \h </w:instrText>
      </w:r>
      <w:r>
        <w:fldChar w:fldCharType="separate"/>
      </w:r>
      <w:r>
        <w:t>15</w:t>
      </w:r>
      <w:r>
        <w:fldChar w:fldCharType="end"/>
      </w:r>
      <w:r>
        <w:fldChar w:fldCharType="end"/>
      </w:r>
    </w:p>
    <w:p w14:paraId="5B276BEF">
      <w:pPr>
        <w:pStyle w:val="13"/>
        <w:tabs>
          <w:tab w:val="right" w:leader="dot" w:pos="9629"/>
        </w:tabs>
        <w:rPr>
          <w:b w:val="0"/>
          <w:bCs w:val="0"/>
          <w:caps w:val="0"/>
          <w:szCs w:val="22"/>
        </w:rPr>
      </w:pPr>
      <w:r>
        <w:fldChar w:fldCharType="begin"/>
      </w:r>
      <w:r>
        <w:instrText xml:space="preserve"> HYPERLINK \l "_Toc103068847" </w:instrText>
      </w:r>
      <w:r>
        <w:fldChar w:fldCharType="separate"/>
      </w:r>
      <w:r>
        <w:rPr>
          <w:rStyle w:val="24"/>
          <w:rFonts w:ascii="Times New Roman" w:hAnsi="Times New Roman" w:eastAsia="宋体" w:cs="Times New Roman"/>
        </w:rPr>
        <w:t>第五部分响应文件格式</w:t>
      </w:r>
      <w:r>
        <w:tab/>
      </w:r>
      <w:r>
        <w:fldChar w:fldCharType="begin"/>
      </w:r>
      <w:r>
        <w:instrText xml:space="preserve"> PAGEREF _Toc103068847 \h </w:instrText>
      </w:r>
      <w:r>
        <w:fldChar w:fldCharType="separate"/>
      </w:r>
      <w:r>
        <w:t>18</w:t>
      </w:r>
      <w:r>
        <w:fldChar w:fldCharType="end"/>
      </w:r>
      <w:r>
        <w:fldChar w:fldCharType="end"/>
      </w:r>
    </w:p>
    <w:p w14:paraId="12649428">
      <w:pPr>
        <w:pStyle w:val="14"/>
        <w:tabs>
          <w:tab w:val="right" w:leader="dot" w:pos="9629"/>
        </w:tabs>
        <w:rPr>
          <w:szCs w:val="22"/>
        </w:rPr>
      </w:pPr>
      <w:r>
        <w:fldChar w:fldCharType="begin"/>
      </w:r>
      <w:r>
        <w:instrText xml:space="preserve"> HYPERLINK \l "_Toc103068848" </w:instrText>
      </w:r>
      <w:r>
        <w:fldChar w:fldCharType="separate"/>
      </w:r>
      <w:r>
        <w:rPr>
          <w:rStyle w:val="24"/>
          <w:rFonts w:ascii="Times New Roman" w:hAnsi="Times New Roman" w:eastAsia="宋体" w:cs="Times New Roman"/>
        </w:rPr>
        <w:t>报价人提交文件须知</w:t>
      </w:r>
      <w:r>
        <w:tab/>
      </w:r>
      <w:r>
        <w:fldChar w:fldCharType="begin"/>
      </w:r>
      <w:r>
        <w:instrText xml:space="preserve"> PAGEREF _Toc103068848 \h </w:instrText>
      </w:r>
      <w:r>
        <w:fldChar w:fldCharType="separate"/>
      </w:r>
      <w:r>
        <w:t>18</w:t>
      </w:r>
      <w:r>
        <w:fldChar w:fldCharType="end"/>
      </w:r>
      <w:r>
        <w:fldChar w:fldCharType="end"/>
      </w:r>
    </w:p>
    <w:p w14:paraId="37947E53">
      <w:pPr>
        <w:pStyle w:val="14"/>
        <w:tabs>
          <w:tab w:val="right" w:leader="dot" w:pos="9629"/>
        </w:tabs>
        <w:rPr>
          <w:szCs w:val="22"/>
        </w:rPr>
      </w:pPr>
      <w:r>
        <w:fldChar w:fldCharType="begin"/>
      </w:r>
      <w:r>
        <w:instrText xml:space="preserve"> HYPERLINK \l "_Toc103068849" </w:instrText>
      </w:r>
      <w:r>
        <w:fldChar w:fldCharType="separate"/>
      </w:r>
      <w:r>
        <w:rPr>
          <w:rStyle w:val="24"/>
          <w:rFonts w:ascii="Times New Roman" w:hAnsi="Times New Roman" w:eastAsia="宋体" w:cs="Times New Roman"/>
        </w:rPr>
        <w:t>附件一（封面）</w:t>
      </w:r>
      <w:r>
        <w:tab/>
      </w:r>
      <w:r>
        <w:fldChar w:fldCharType="begin"/>
      </w:r>
      <w:r>
        <w:instrText xml:space="preserve"> PAGEREF _Toc103068849 \h </w:instrText>
      </w:r>
      <w:r>
        <w:fldChar w:fldCharType="separate"/>
      </w:r>
      <w:r>
        <w:t>19</w:t>
      </w:r>
      <w:r>
        <w:fldChar w:fldCharType="end"/>
      </w:r>
      <w:r>
        <w:fldChar w:fldCharType="end"/>
      </w:r>
    </w:p>
    <w:p w14:paraId="56BF0E0B">
      <w:pPr>
        <w:pStyle w:val="14"/>
        <w:tabs>
          <w:tab w:val="right" w:leader="dot" w:pos="9629"/>
        </w:tabs>
        <w:rPr>
          <w:szCs w:val="22"/>
        </w:rPr>
      </w:pPr>
      <w:r>
        <w:fldChar w:fldCharType="begin"/>
      </w:r>
      <w:r>
        <w:instrText xml:space="preserve"> HYPERLINK \l "_Toc103068850" </w:instrText>
      </w:r>
      <w:r>
        <w:fldChar w:fldCharType="separate"/>
      </w:r>
      <w:r>
        <w:rPr>
          <w:rStyle w:val="24"/>
          <w:rFonts w:ascii="Times New Roman" w:hAnsi="Times New Roman" w:eastAsia="宋体" w:cs="Times New Roman"/>
        </w:rPr>
        <w:t>附件二法定代表人证明书</w:t>
      </w:r>
      <w:r>
        <w:tab/>
      </w:r>
      <w:r>
        <w:fldChar w:fldCharType="begin"/>
      </w:r>
      <w:r>
        <w:instrText xml:space="preserve"> PAGEREF _Toc103068850 \h </w:instrText>
      </w:r>
      <w:r>
        <w:fldChar w:fldCharType="separate"/>
      </w:r>
      <w:r>
        <w:t>20</w:t>
      </w:r>
      <w:r>
        <w:fldChar w:fldCharType="end"/>
      </w:r>
      <w:r>
        <w:fldChar w:fldCharType="end"/>
      </w:r>
    </w:p>
    <w:p w14:paraId="7A8A984E">
      <w:pPr>
        <w:pStyle w:val="14"/>
        <w:tabs>
          <w:tab w:val="right" w:leader="dot" w:pos="9629"/>
        </w:tabs>
        <w:rPr>
          <w:szCs w:val="22"/>
        </w:rPr>
      </w:pPr>
      <w:r>
        <w:fldChar w:fldCharType="begin"/>
      </w:r>
      <w:r>
        <w:instrText xml:space="preserve"> HYPERLINK \l "_Toc103068851" </w:instrText>
      </w:r>
      <w:r>
        <w:fldChar w:fldCharType="separate"/>
      </w:r>
      <w:r>
        <w:rPr>
          <w:rStyle w:val="24"/>
          <w:rFonts w:ascii="Times New Roman" w:hAnsi="Times New Roman" w:eastAsia="宋体" w:cs="Times New Roman"/>
        </w:rPr>
        <w:t>附件三法定代表人的授权委托书</w:t>
      </w:r>
      <w:r>
        <w:tab/>
      </w:r>
      <w:r>
        <w:fldChar w:fldCharType="begin"/>
      </w:r>
      <w:r>
        <w:instrText xml:space="preserve"> PAGEREF _Toc103068851 \h </w:instrText>
      </w:r>
      <w:r>
        <w:fldChar w:fldCharType="separate"/>
      </w:r>
      <w:r>
        <w:t>20</w:t>
      </w:r>
      <w:r>
        <w:fldChar w:fldCharType="end"/>
      </w:r>
      <w:r>
        <w:fldChar w:fldCharType="end"/>
      </w:r>
    </w:p>
    <w:p w14:paraId="3201E026">
      <w:pPr>
        <w:pStyle w:val="14"/>
        <w:tabs>
          <w:tab w:val="right" w:leader="dot" w:pos="9629"/>
        </w:tabs>
        <w:rPr>
          <w:szCs w:val="22"/>
        </w:rPr>
      </w:pPr>
      <w:r>
        <w:fldChar w:fldCharType="begin"/>
      </w:r>
      <w:r>
        <w:instrText xml:space="preserve"> HYPERLINK \l "_Toc103068852" </w:instrText>
      </w:r>
      <w:r>
        <w:fldChar w:fldCharType="separate"/>
      </w:r>
      <w:r>
        <w:rPr>
          <w:rStyle w:val="24"/>
          <w:rFonts w:ascii="Times New Roman" w:hAnsi="Times New Roman" w:eastAsia="宋体" w:cs="Times New Roman"/>
        </w:rPr>
        <w:t>（如非法定代表人亲自参与磋商时提供，加盖单位公章）</w:t>
      </w:r>
      <w:r>
        <w:tab/>
      </w:r>
      <w:r>
        <w:fldChar w:fldCharType="begin"/>
      </w:r>
      <w:r>
        <w:instrText xml:space="preserve"> PAGEREF _Toc103068852 \h </w:instrText>
      </w:r>
      <w:r>
        <w:fldChar w:fldCharType="separate"/>
      </w:r>
      <w:r>
        <w:t>20</w:t>
      </w:r>
      <w:r>
        <w:fldChar w:fldCharType="end"/>
      </w:r>
      <w:r>
        <w:fldChar w:fldCharType="end"/>
      </w:r>
    </w:p>
    <w:p w14:paraId="0D00D65E">
      <w:pPr>
        <w:pStyle w:val="14"/>
        <w:tabs>
          <w:tab w:val="right" w:leader="dot" w:pos="9629"/>
        </w:tabs>
        <w:rPr>
          <w:szCs w:val="22"/>
        </w:rPr>
      </w:pPr>
      <w:r>
        <w:fldChar w:fldCharType="begin"/>
      </w:r>
      <w:r>
        <w:instrText xml:space="preserve"> HYPERLINK \l "_Toc103068853" </w:instrText>
      </w:r>
      <w:r>
        <w:fldChar w:fldCharType="separate"/>
      </w:r>
      <w:r>
        <w:rPr>
          <w:rStyle w:val="24"/>
          <w:rFonts w:ascii="Times New Roman" w:hAnsi="Times New Roman" w:eastAsia="宋体" w:cs="Times New Roman"/>
        </w:rPr>
        <w:t>附件四报价明细表</w:t>
      </w:r>
      <w:r>
        <w:tab/>
      </w:r>
      <w:r>
        <w:fldChar w:fldCharType="begin"/>
      </w:r>
      <w:r>
        <w:instrText xml:space="preserve"> PAGEREF _Toc103068853 \h </w:instrText>
      </w:r>
      <w:r>
        <w:fldChar w:fldCharType="separate"/>
      </w:r>
      <w:r>
        <w:t>21</w:t>
      </w:r>
      <w:r>
        <w:fldChar w:fldCharType="end"/>
      </w:r>
      <w:r>
        <w:fldChar w:fldCharType="end"/>
      </w:r>
    </w:p>
    <w:p w14:paraId="742C8F57">
      <w:pPr>
        <w:pStyle w:val="14"/>
        <w:tabs>
          <w:tab w:val="right" w:leader="dot" w:pos="9629"/>
        </w:tabs>
        <w:rPr>
          <w:szCs w:val="22"/>
        </w:rPr>
      </w:pPr>
      <w:r>
        <w:fldChar w:fldCharType="begin"/>
      </w:r>
      <w:r>
        <w:instrText xml:space="preserve"> HYPERLINK \l "_Toc103068854" </w:instrText>
      </w:r>
      <w:r>
        <w:fldChar w:fldCharType="separate"/>
      </w:r>
      <w:r>
        <w:rPr>
          <w:rStyle w:val="24"/>
          <w:rFonts w:ascii="Times New Roman" w:hAnsi="Times New Roman" w:eastAsia="宋体" w:cs="Times New Roman"/>
        </w:rPr>
        <w:t>附件五报价人资格声明</w:t>
      </w:r>
      <w:r>
        <w:tab/>
      </w:r>
      <w:r>
        <w:fldChar w:fldCharType="begin"/>
      </w:r>
      <w:r>
        <w:instrText xml:space="preserve"> PAGEREF _Toc103068854 \h </w:instrText>
      </w:r>
      <w:r>
        <w:fldChar w:fldCharType="separate"/>
      </w:r>
      <w:r>
        <w:t>22</w:t>
      </w:r>
      <w:r>
        <w:fldChar w:fldCharType="end"/>
      </w:r>
      <w:r>
        <w:fldChar w:fldCharType="end"/>
      </w:r>
    </w:p>
    <w:p w14:paraId="6C83E979">
      <w:pPr>
        <w:pStyle w:val="14"/>
        <w:tabs>
          <w:tab w:val="right" w:leader="dot" w:pos="9629"/>
        </w:tabs>
        <w:rPr>
          <w:szCs w:val="22"/>
        </w:rPr>
      </w:pPr>
      <w:r>
        <w:fldChar w:fldCharType="begin"/>
      </w:r>
      <w:r>
        <w:instrText xml:space="preserve"> HYPERLINK \l "_Toc103068855" </w:instrText>
      </w:r>
      <w:r>
        <w:fldChar w:fldCharType="separate"/>
      </w:r>
      <w:r>
        <w:rPr>
          <w:rStyle w:val="24"/>
          <w:rFonts w:ascii="Times New Roman" w:hAnsi="Times New Roman" w:eastAsia="宋体" w:cs="Times New Roman"/>
        </w:rPr>
        <w:t>附件六  中小企业声明</w:t>
      </w:r>
      <w:r>
        <w:tab/>
      </w:r>
      <w:r>
        <w:fldChar w:fldCharType="begin"/>
      </w:r>
      <w:r>
        <w:instrText xml:space="preserve"> PAGEREF _Toc103068855 \h </w:instrText>
      </w:r>
      <w:r>
        <w:fldChar w:fldCharType="separate"/>
      </w:r>
      <w:r>
        <w:t>23</w:t>
      </w:r>
      <w:r>
        <w:fldChar w:fldCharType="end"/>
      </w:r>
      <w:r>
        <w:fldChar w:fldCharType="end"/>
      </w:r>
    </w:p>
    <w:p w14:paraId="1BA0C451">
      <w:pPr>
        <w:pStyle w:val="14"/>
        <w:tabs>
          <w:tab w:val="right" w:leader="dot" w:pos="9629"/>
        </w:tabs>
        <w:rPr>
          <w:szCs w:val="22"/>
        </w:rPr>
      </w:pPr>
      <w:r>
        <w:fldChar w:fldCharType="begin"/>
      </w:r>
      <w:r>
        <w:instrText xml:space="preserve"> HYPERLINK \l "_Toc103068856" </w:instrText>
      </w:r>
      <w:r>
        <w:fldChar w:fldCharType="separate"/>
      </w:r>
      <w:r>
        <w:rPr>
          <w:rStyle w:val="24"/>
          <w:rFonts w:ascii="Times New Roman" w:hAnsi="Times New Roman" w:eastAsia="宋体" w:cs="Times New Roman"/>
        </w:rPr>
        <w:t>附件七</w:t>
      </w:r>
      <w:r>
        <w:rPr>
          <w:rStyle w:val="24"/>
          <w:rFonts w:ascii="Times New Roman" w:hAnsi="Times New Roman" w:eastAsia="宋体" w:cs="Times New Roman"/>
          <w:spacing w:val="6"/>
        </w:rPr>
        <w:t>残疾人福利性单位声明函</w:t>
      </w:r>
      <w:r>
        <w:tab/>
      </w:r>
      <w:r>
        <w:fldChar w:fldCharType="begin"/>
      </w:r>
      <w:r>
        <w:instrText xml:space="preserve"> PAGEREF _Toc103068856 \h </w:instrText>
      </w:r>
      <w:r>
        <w:fldChar w:fldCharType="separate"/>
      </w:r>
      <w:r>
        <w:t>24</w:t>
      </w:r>
      <w:r>
        <w:fldChar w:fldCharType="end"/>
      </w:r>
      <w:r>
        <w:fldChar w:fldCharType="end"/>
      </w:r>
    </w:p>
    <w:p w14:paraId="0198068F">
      <w:pPr>
        <w:pStyle w:val="13"/>
        <w:tabs>
          <w:tab w:val="right" w:leader="dot" w:pos="9629"/>
        </w:tabs>
        <w:rPr>
          <w:b w:val="0"/>
          <w:bCs w:val="0"/>
          <w:caps w:val="0"/>
          <w:szCs w:val="22"/>
        </w:rPr>
      </w:pPr>
      <w:r>
        <w:fldChar w:fldCharType="begin"/>
      </w:r>
      <w:r>
        <w:instrText xml:space="preserve"> HYPERLINK \l "_Toc103068857" </w:instrText>
      </w:r>
      <w:r>
        <w:fldChar w:fldCharType="separate"/>
      </w:r>
      <w:r>
        <w:rPr>
          <w:rStyle w:val="24"/>
          <w:rFonts w:ascii="Times New Roman" w:hAnsi="Times New Roman" w:eastAsia="宋体" w:cs="Times New Roman"/>
        </w:rPr>
        <w:t>第六部分  合同草案条款</w:t>
      </w:r>
      <w:r>
        <w:tab/>
      </w:r>
      <w:r>
        <w:fldChar w:fldCharType="begin"/>
      </w:r>
      <w:r>
        <w:instrText xml:space="preserve"> PAGEREF _Toc103068857 \h </w:instrText>
      </w:r>
      <w:r>
        <w:fldChar w:fldCharType="separate"/>
      </w:r>
      <w:r>
        <w:t>25</w:t>
      </w:r>
      <w:r>
        <w:fldChar w:fldCharType="end"/>
      </w:r>
      <w:r>
        <w:fldChar w:fldCharType="end"/>
      </w:r>
    </w:p>
    <w:p w14:paraId="40405917">
      <w:pPr>
        <w:tabs>
          <w:tab w:val="left" w:pos="1365"/>
        </w:tabs>
        <w:spacing w:line="500" w:lineRule="exact"/>
        <w:ind w:left="1259" w:leftChars="228" w:hanging="780" w:hangingChars="325"/>
        <w:rPr>
          <w:rFonts w:ascii="Times New Roman" w:hAnsi="Times New Roman" w:eastAsia="宋体" w:cs="Times New Roman"/>
          <w:sz w:val="24"/>
        </w:rPr>
      </w:pPr>
      <w:r>
        <w:rPr>
          <w:rFonts w:ascii="Times New Roman" w:hAnsi="Times New Roman" w:eastAsia="宋体" w:cs="Times New Roman"/>
          <w:sz w:val="24"/>
        </w:rPr>
        <w:fldChar w:fldCharType="end"/>
      </w:r>
    </w:p>
    <w:p w14:paraId="7FA6A996">
      <w:pPr>
        <w:pStyle w:val="17"/>
        <w:rPr>
          <w:rFonts w:ascii="Times New Roman" w:hAnsi="Times New Roman" w:eastAsia="宋体" w:cs="Times New Roman"/>
        </w:rPr>
      </w:pPr>
      <w:r>
        <w:rPr>
          <w:rFonts w:ascii="Times New Roman" w:hAnsi="Times New Roman" w:eastAsia="宋体" w:cs="Times New Roman"/>
          <w:sz w:val="24"/>
          <w:szCs w:val="21"/>
        </w:rPr>
        <w:br w:type="page"/>
      </w:r>
      <w:bookmarkStart w:id="0" w:name="_Toc115756014"/>
      <w:bookmarkStart w:id="1" w:name="_Toc103068830"/>
      <w:bookmarkStart w:id="2" w:name="_Toc499216465"/>
      <w:r>
        <w:rPr>
          <w:rFonts w:ascii="Times New Roman" w:hAnsi="宋体" w:eastAsia="宋体" w:cs="Times New Roman"/>
        </w:rPr>
        <w:t>第一部分采购公告</w:t>
      </w:r>
      <w:bookmarkEnd w:id="0"/>
      <w:bookmarkEnd w:id="1"/>
      <w:bookmarkEnd w:id="2"/>
    </w:p>
    <w:p w14:paraId="37C4C9D1">
      <w:pPr>
        <w:spacing w:line="500" w:lineRule="exact"/>
        <w:ind w:firstLine="480" w:firstLineChars="200"/>
        <w:rPr>
          <w:rFonts w:ascii="Times New Roman" w:hAnsi="宋体" w:eastAsia="宋体" w:cs="Times New Roman"/>
          <w:bCs/>
          <w:sz w:val="24"/>
        </w:rPr>
      </w:pPr>
      <w:bookmarkStart w:id="3" w:name="_Toc499216466"/>
      <w:bookmarkStart w:id="4" w:name="_Toc115756015"/>
      <w:r>
        <w:rPr>
          <w:rFonts w:ascii="Times New Roman" w:hAnsi="宋体" w:eastAsia="宋体" w:cs="Times New Roman"/>
          <w:bCs/>
          <w:sz w:val="24"/>
        </w:rPr>
        <w:t>国家体育总局体育器材装备中心（以下简称“</w:t>
      </w:r>
      <w:r>
        <w:rPr>
          <w:rFonts w:hint="eastAsia" w:ascii="Times New Roman" w:hAnsi="宋体" w:eastAsia="宋体" w:cs="Times New Roman"/>
          <w:bCs/>
          <w:sz w:val="24"/>
        </w:rPr>
        <w:t>采购</w:t>
      </w:r>
      <w:r>
        <w:rPr>
          <w:rFonts w:ascii="Times New Roman" w:hAnsi="宋体" w:eastAsia="宋体" w:cs="Times New Roman"/>
          <w:bCs/>
          <w:sz w:val="24"/>
        </w:rPr>
        <w:t>单位”）受</w:t>
      </w:r>
      <w:r>
        <w:rPr>
          <w:rFonts w:hint="eastAsia" w:ascii="Times New Roman" w:hAnsi="宋体" w:eastAsia="宋体" w:cs="Times New Roman"/>
          <w:bCs/>
          <w:sz w:val="24"/>
        </w:rPr>
        <w:t>国家</w:t>
      </w:r>
      <w:r>
        <w:rPr>
          <w:rFonts w:ascii="Times New Roman" w:hAnsi="宋体" w:eastAsia="宋体" w:cs="Times New Roman"/>
          <w:bCs/>
          <w:sz w:val="24"/>
        </w:rPr>
        <w:t>体育总局（以下简称</w:t>
      </w:r>
      <w:r>
        <w:rPr>
          <w:rFonts w:hint="eastAsia" w:ascii="Times New Roman" w:hAnsi="宋体" w:eastAsia="宋体" w:cs="Times New Roman"/>
          <w:bCs/>
          <w:sz w:val="24"/>
        </w:rPr>
        <w:t>“</w:t>
      </w:r>
      <w:r>
        <w:rPr>
          <w:rFonts w:ascii="Times New Roman" w:hAnsi="宋体" w:eastAsia="宋体" w:cs="Times New Roman"/>
          <w:bCs/>
          <w:sz w:val="24"/>
        </w:rPr>
        <w:t>采购人</w:t>
      </w:r>
      <w:r>
        <w:rPr>
          <w:rFonts w:hint="eastAsia" w:ascii="Times New Roman" w:hAnsi="宋体" w:eastAsia="宋体" w:cs="Times New Roman"/>
          <w:bCs/>
          <w:sz w:val="24"/>
        </w:rPr>
        <w:t>”</w:t>
      </w:r>
      <w:r>
        <w:rPr>
          <w:rFonts w:ascii="Times New Roman" w:hAnsi="宋体" w:eastAsia="宋体" w:cs="Times New Roman"/>
          <w:bCs/>
          <w:sz w:val="24"/>
        </w:rPr>
        <w:t>）委托就国家体育总局</w:t>
      </w:r>
      <w:r>
        <w:rPr>
          <w:rFonts w:hint="eastAsia" w:ascii="Times New Roman" w:hAnsi="Times New Roman" w:eastAsia="宋体" w:cs="Times New Roman"/>
          <w:bCs/>
          <w:color w:val="000000"/>
          <w:sz w:val="24"/>
        </w:rPr>
        <w:t>20</w:t>
      </w:r>
      <w:r>
        <w:rPr>
          <w:rFonts w:ascii="Times New Roman" w:hAnsi="Times New Roman" w:eastAsia="宋体" w:cs="Times New Roman"/>
          <w:bCs/>
          <w:color w:val="000000"/>
          <w:sz w:val="24"/>
        </w:rPr>
        <w:t>25</w:t>
      </w:r>
      <w:r>
        <w:rPr>
          <w:rFonts w:hint="eastAsia" w:ascii="Times New Roman" w:hAnsi="Times New Roman" w:eastAsia="宋体" w:cs="Times New Roman"/>
          <w:bCs/>
          <w:color w:val="000000"/>
          <w:sz w:val="24"/>
        </w:rPr>
        <w:t>年全国各级各类体校校长及教练员培训班</w:t>
      </w:r>
      <w:r>
        <w:rPr>
          <w:rFonts w:hint="eastAsia" w:ascii="Times New Roman" w:hAnsi="Times New Roman" w:eastAsia="宋体" w:cs="Times New Roman"/>
          <w:bCs/>
          <w:sz w:val="24"/>
        </w:rPr>
        <w:t>培训</w:t>
      </w:r>
      <w:r>
        <w:rPr>
          <w:rFonts w:ascii="Times New Roman" w:hAnsi="Times New Roman" w:eastAsia="宋体" w:cs="Times New Roman"/>
          <w:bCs/>
          <w:sz w:val="24"/>
        </w:rPr>
        <w:t>服务</w:t>
      </w:r>
      <w:r>
        <w:rPr>
          <w:rFonts w:ascii="Times New Roman" w:hAnsi="宋体" w:eastAsia="宋体" w:cs="Times New Roman"/>
          <w:bCs/>
          <w:sz w:val="24"/>
        </w:rPr>
        <w:t>进行</w:t>
      </w:r>
      <w:r>
        <w:rPr>
          <w:rFonts w:hint="eastAsia" w:ascii="Times New Roman" w:hAnsi="宋体" w:eastAsia="宋体" w:cs="Times New Roman"/>
          <w:bCs/>
          <w:sz w:val="24"/>
        </w:rPr>
        <w:t>竞争性</w:t>
      </w:r>
      <w:r>
        <w:rPr>
          <w:rFonts w:ascii="Times New Roman" w:hAnsi="宋体" w:eastAsia="宋体" w:cs="Times New Roman"/>
          <w:bCs/>
          <w:sz w:val="24"/>
        </w:rPr>
        <w:t>磋商，现邀请合格</w:t>
      </w:r>
      <w:r>
        <w:rPr>
          <w:rFonts w:hint="eastAsia" w:ascii="Times New Roman" w:hAnsi="宋体" w:eastAsia="宋体" w:cs="Times New Roman"/>
          <w:bCs/>
          <w:sz w:val="24"/>
        </w:rPr>
        <w:t>报价</w:t>
      </w:r>
      <w:r>
        <w:rPr>
          <w:rFonts w:ascii="Times New Roman" w:hAnsi="宋体" w:eastAsia="宋体" w:cs="Times New Roman"/>
          <w:bCs/>
          <w:sz w:val="24"/>
        </w:rPr>
        <w:t>人参加</w:t>
      </w:r>
      <w:r>
        <w:rPr>
          <w:rFonts w:hint="eastAsia" w:ascii="Times New Roman" w:hAnsi="宋体" w:eastAsia="宋体" w:cs="Times New Roman"/>
          <w:bCs/>
          <w:sz w:val="24"/>
        </w:rPr>
        <w:t>磋商</w:t>
      </w:r>
      <w:r>
        <w:rPr>
          <w:rFonts w:ascii="Times New Roman" w:hAnsi="宋体" w:eastAsia="宋体" w:cs="Times New Roman"/>
          <w:bCs/>
          <w:sz w:val="24"/>
        </w:rPr>
        <w:t>。</w:t>
      </w:r>
    </w:p>
    <w:p w14:paraId="137F272D">
      <w:pPr>
        <w:pStyle w:val="26"/>
        <w:rPr>
          <w:rFonts w:ascii="Times New Roman" w:hAnsi="Times New Roman" w:eastAsia="宋体" w:cs="Times New Roman"/>
          <w:color w:val="auto"/>
        </w:rPr>
      </w:pPr>
      <w:bookmarkStart w:id="5" w:name="_Toc103068831"/>
      <w:r>
        <w:rPr>
          <w:rFonts w:ascii="Times New Roman" w:hAnsi="宋体" w:eastAsia="宋体" w:cs="Times New Roman"/>
          <w:color w:val="auto"/>
        </w:rPr>
        <w:t>一、项目名称及项目编号</w:t>
      </w:r>
      <w:bookmarkEnd w:id="3"/>
      <w:bookmarkEnd w:id="4"/>
      <w:bookmarkEnd w:id="5"/>
    </w:p>
    <w:p w14:paraId="100EB16F">
      <w:pPr>
        <w:spacing w:line="500" w:lineRule="exact"/>
        <w:ind w:firstLine="480" w:firstLineChars="200"/>
        <w:rPr>
          <w:rFonts w:ascii="Times New Roman" w:hAnsi="Times New Roman" w:eastAsia="宋体" w:cs="Times New Roman"/>
          <w:bCs/>
          <w:color w:val="000000"/>
          <w:sz w:val="24"/>
        </w:rPr>
      </w:pPr>
      <w:r>
        <w:rPr>
          <w:rFonts w:ascii="Times New Roman" w:hAnsi="宋体" w:eastAsia="宋体" w:cs="Times New Roman"/>
          <w:bCs/>
          <w:sz w:val="24"/>
        </w:rPr>
        <w:t>项目名称：国家体育总局</w:t>
      </w:r>
      <w:r>
        <w:rPr>
          <w:rFonts w:ascii="Times New Roman" w:hAnsi="Times New Roman" w:eastAsia="宋体" w:cs="Times New Roman"/>
          <w:bCs/>
          <w:color w:val="000000"/>
          <w:sz w:val="24"/>
        </w:rPr>
        <w:t>2025</w:t>
      </w:r>
      <w:r>
        <w:rPr>
          <w:rFonts w:hint="eastAsia" w:ascii="Times New Roman" w:hAnsi="Times New Roman" w:eastAsia="宋体" w:cs="Times New Roman"/>
          <w:bCs/>
          <w:color w:val="000000"/>
          <w:sz w:val="24"/>
        </w:rPr>
        <w:t>年全国各级各类体校校长及教练员培训班</w:t>
      </w:r>
    </w:p>
    <w:p w14:paraId="1EB998C3">
      <w:pPr>
        <w:spacing w:line="500" w:lineRule="exact"/>
        <w:ind w:firstLine="1680" w:firstLineChars="700"/>
        <w:rPr>
          <w:rFonts w:ascii="Times New Roman" w:hAnsi="Times New Roman" w:eastAsia="宋体" w:cs="Times New Roman"/>
          <w:bCs/>
          <w:sz w:val="24"/>
        </w:rPr>
      </w:pPr>
      <w:r>
        <w:rPr>
          <w:rFonts w:hint="eastAsia" w:ascii="Times New Roman" w:hAnsi="Times New Roman" w:eastAsia="宋体" w:cs="Times New Roman"/>
          <w:bCs/>
          <w:sz w:val="24"/>
        </w:rPr>
        <w:t>培训</w:t>
      </w:r>
      <w:r>
        <w:rPr>
          <w:rFonts w:ascii="Times New Roman" w:hAnsi="Times New Roman" w:eastAsia="宋体" w:cs="Times New Roman"/>
          <w:bCs/>
          <w:sz w:val="24"/>
        </w:rPr>
        <w:t>服务</w:t>
      </w:r>
      <w:r>
        <w:rPr>
          <w:rFonts w:hint="eastAsia" w:ascii="Times New Roman" w:hAnsi="Times New Roman" w:eastAsia="宋体" w:cs="Times New Roman"/>
          <w:bCs/>
          <w:sz w:val="24"/>
        </w:rPr>
        <w:t>采购</w:t>
      </w:r>
    </w:p>
    <w:p w14:paraId="51263579">
      <w:pPr>
        <w:spacing w:line="500" w:lineRule="exact"/>
        <w:ind w:firstLine="480" w:firstLineChars="200"/>
        <w:rPr>
          <w:rFonts w:hint="default" w:ascii="Times New Roman" w:hAnsi="Times New Roman" w:eastAsia="宋体" w:cs="Times New Roman"/>
          <w:bCs/>
          <w:sz w:val="24"/>
          <w:lang w:val="en-US" w:eastAsia="zh-CN"/>
        </w:rPr>
      </w:pPr>
      <w:r>
        <w:rPr>
          <w:rFonts w:ascii="Times New Roman" w:hAnsi="宋体" w:eastAsia="宋体" w:cs="Times New Roman"/>
          <w:bCs/>
          <w:sz w:val="24"/>
        </w:rPr>
        <w:t>项目编号：</w:t>
      </w:r>
      <w:r>
        <w:rPr>
          <w:rFonts w:hint="eastAsia" w:ascii="Times New Roman" w:hAnsi="宋体" w:eastAsia="宋体" w:cs="Times New Roman"/>
          <w:bCs/>
          <w:sz w:val="24"/>
          <w:lang w:val="en-US" w:eastAsia="zh-CN"/>
        </w:rPr>
        <w:t>CSCY25-04</w:t>
      </w:r>
    </w:p>
    <w:p w14:paraId="41DE4B7B">
      <w:pPr>
        <w:pStyle w:val="26"/>
        <w:rPr>
          <w:rFonts w:ascii="Times New Roman" w:hAnsi="Times New Roman" w:eastAsia="宋体" w:cs="Times New Roman"/>
          <w:color w:val="auto"/>
        </w:rPr>
      </w:pPr>
      <w:bookmarkStart w:id="6" w:name="_Toc115756016"/>
      <w:bookmarkStart w:id="7" w:name="_Toc103068832"/>
      <w:bookmarkStart w:id="8" w:name="_Toc499216467"/>
      <w:r>
        <w:rPr>
          <w:rFonts w:ascii="Times New Roman" w:hAnsi="宋体" w:eastAsia="宋体" w:cs="Times New Roman"/>
          <w:color w:val="auto"/>
        </w:rPr>
        <w:t>二、采购内容</w:t>
      </w:r>
      <w:bookmarkEnd w:id="6"/>
      <w:bookmarkEnd w:id="7"/>
      <w:bookmarkEnd w:id="8"/>
    </w:p>
    <w:p w14:paraId="08029670">
      <w:pPr>
        <w:spacing w:line="360" w:lineRule="auto"/>
        <w:ind w:firstLine="480" w:firstLineChars="200"/>
        <w:rPr>
          <w:rFonts w:ascii="Times New Roman" w:hAnsi="Times New Roman" w:eastAsia="宋体" w:cs="Times New Roman"/>
          <w:bCs/>
          <w:color w:val="000000"/>
          <w:sz w:val="24"/>
        </w:rPr>
      </w:pPr>
      <w:r>
        <w:rPr>
          <w:rFonts w:ascii="Times New Roman" w:hAnsi="Times New Roman" w:eastAsia="宋体" w:cs="Times New Roman"/>
          <w:bCs/>
          <w:color w:val="000000"/>
          <w:sz w:val="24"/>
        </w:rPr>
        <w:t>本项目采购</w:t>
      </w:r>
      <w:r>
        <w:rPr>
          <w:rFonts w:hint="eastAsia" w:ascii="Times New Roman" w:hAnsi="Times New Roman" w:eastAsia="宋体" w:cs="Times New Roman"/>
          <w:bCs/>
          <w:color w:val="000000"/>
          <w:sz w:val="24"/>
        </w:rPr>
        <w:t>20</w:t>
      </w:r>
      <w:r>
        <w:rPr>
          <w:rFonts w:ascii="Times New Roman" w:hAnsi="Times New Roman" w:eastAsia="宋体" w:cs="Times New Roman"/>
          <w:bCs/>
          <w:color w:val="000000"/>
          <w:sz w:val="24"/>
        </w:rPr>
        <w:t>25</w:t>
      </w:r>
      <w:r>
        <w:rPr>
          <w:rFonts w:hint="eastAsia" w:ascii="Times New Roman" w:hAnsi="Times New Roman" w:eastAsia="宋体" w:cs="Times New Roman"/>
          <w:bCs/>
          <w:color w:val="000000"/>
          <w:sz w:val="24"/>
        </w:rPr>
        <w:t>年</w:t>
      </w:r>
      <w:r>
        <w:rPr>
          <w:rFonts w:hint="eastAsia" w:ascii="Times New Roman" w:hAnsi="Times New Roman" w:eastAsia="宋体" w:cs="Times New Roman"/>
          <w:bCs/>
          <w:sz w:val="24"/>
        </w:rPr>
        <w:t>全国各级各类体校校长及教练员培训班</w:t>
      </w:r>
      <w:r>
        <w:rPr>
          <w:rFonts w:ascii="Times New Roman" w:hAnsi="Times New Roman" w:eastAsia="宋体" w:cs="Times New Roman"/>
          <w:bCs/>
          <w:sz w:val="24"/>
        </w:rPr>
        <w:t>培训服务</w:t>
      </w:r>
      <w:r>
        <w:rPr>
          <w:rFonts w:hint="eastAsia" w:ascii="Times New Roman" w:hAnsi="Times New Roman" w:eastAsia="宋体" w:cs="Times New Roman"/>
          <w:bCs/>
          <w:sz w:val="24"/>
        </w:rPr>
        <w:t>，其中全国各级各类体校校长培训班</w:t>
      </w:r>
      <w:r>
        <w:rPr>
          <w:rFonts w:ascii="Times New Roman" w:hAnsi="Times New Roman" w:eastAsia="宋体" w:cs="Times New Roman"/>
          <w:bCs/>
          <w:sz w:val="24"/>
        </w:rPr>
        <w:t>5</w:t>
      </w:r>
      <w:r>
        <w:rPr>
          <w:rFonts w:hint="eastAsia" w:ascii="Times New Roman" w:hAnsi="Times New Roman" w:eastAsia="宋体" w:cs="Times New Roman"/>
          <w:bCs/>
          <w:sz w:val="24"/>
        </w:rPr>
        <w:t>期、全国各级各类体校教练员体能培训班1期、全国各级各类体校科学化选材与训练培训班1期</w:t>
      </w:r>
      <w:r>
        <w:rPr>
          <w:rFonts w:hint="eastAsia" w:ascii="Times New Roman" w:hAnsi="宋体" w:eastAsia="宋体" w:cs="Times New Roman"/>
          <w:sz w:val="24"/>
        </w:rPr>
        <w:t>，</w:t>
      </w:r>
      <w:r>
        <w:rPr>
          <w:rFonts w:ascii="Times New Roman" w:hAnsi="宋体" w:eastAsia="宋体" w:cs="Times New Roman"/>
          <w:sz w:val="24"/>
        </w:rPr>
        <w:t>共7期培训班，</w:t>
      </w:r>
      <w:r>
        <w:rPr>
          <w:rFonts w:ascii="Times New Roman" w:hAnsi="Times New Roman" w:eastAsia="宋体" w:cs="Times New Roman"/>
          <w:bCs/>
          <w:color w:val="000000"/>
          <w:sz w:val="24"/>
        </w:rPr>
        <w:t>采购</w:t>
      </w:r>
      <w:r>
        <w:rPr>
          <w:rFonts w:ascii="Times New Roman" w:hAnsi="宋体" w:eastAsia="宋体" w:cs="Times New Roman"/>
          <w:sz w:val="24"/>
        </w:rPr>
        <w:t>预算共</w:t>
      </w:r>
      <w:r>
        <w:rPr>
          <w:rFonts w:hint="eastAsia" w:ascii="Times New Roman" w:hAnsi="Times New Roman" w:eastAsia="宋体" w:cs="Times New Roman"/>
          <w:sz w:val="24"/>
        </w:rPr>
        <w:t>1</w:t>
      </w:r>
      <w:r>
        <w:rPr>
          <w:rFonts w:ascii="Times New Roman" w:hAnsi="Times New Roman" w:eastAsia="宋体" w:cs="Times New Roman"/>
          <w:sz w:val="24"/>
        </w:rPr>
        <w:t>54</w:t>
      </w:r>
      <w:r>
        <w:rPr>
          <w:rFonts w:ascii="Times New Roman" w:hAnsi="宋体" w:eastAsia="宋体" w:cs="Times New Roman"/>
          <w:sz w:val="24"/>
        </w:rPr>
        <w:t>万元。</w:t>
      </w:r>
      <w:r>
        <w:rPr>
          <w:rFonts w:ascii="Times New Roman" w:hAnsi="Times New Roman" w:eastAsia="宋体" w:cs="Times New Roman"/>
          <w:bCs/>
          <w:color w:val="000000"/>
          <w:sz w:val="24"/>
        </w:rPr>
        <w:t>具体内容详见第三部分采购</w:t>
      </w:r>
      <w:r>
        <w:rPr>
          <w:rFonts w:hint="eastAsia" w:ascii="Times New Roman" w:hAnsi="Times New Roman" w:eastAsia="宋体" w:cs="Times New Roman"/>
          <w:bCs/>
          <w:color w:val="000000"/>
          <w:sz w:val="24"/>
        </w:rPr>
        <w:t>需求</w:t>
      </w:r>
      <w:r>
        <w:rPr>
          <w:rFonts w:ascii="Times New Roman" w:hAnsi="Times New Roman" w:eastAsia="宋体" w:cs="Times New Roman"/>
          <w:bCs/>
          <w:color w:val="000000"/>
          <w:sz w:val="24"/>
        </w:rPr>
        <w:t>。</w:t>
      </w:r>
    </w:p>
    <w:p w14:paraId="6651F79D">
      <w:pPr>
        <w:pStyle w:val="26"/>
        <w:rPr>
          <w:rFonts w:ascii="Times New Roman" w:hAnsi="Times New Roman" w:eastAsia="宋体" w:cs="Times New Roman"/>
          <w:color w:val="auto"/>
        </w:rPr>
      </w:pPr>
      <w:bookmarkStart w:id="9" w:name="_Toc115756017"/>
      <w:bookmarkStart w:id="10" w:name="_Toc499216468"/>
      <w:bookmarkStart w:id="11" w:name="_Toc103068833"/>
      <w:r>
        <w:rPr>
          <w:rFonts w:ascii="Times New Roman" w:hAnsi="宋体" w:eastAsia="宋体" w:cs="Times New Roman"/>
          <w:color w:val="auto"/>
        </w:rPr>
        <w:t>三、合格的报价人</w:t>
      </w:r>
      <w:bookmarkEnd w:id="9"/>
      <w:bookmarkEnd w:id="10"/>
      <w:bookmarkEnd w:id="11"/>
    </w:p>
    <w:p w14:paraId="71953353">
      <w:pPr>
        <w:pStyle w:val="6"/>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具有独立承担民事责任的能力；</w:t>
      </w:r>
    </w:p>
    <w:p w14:paraId="03DEE992">
      <w:pPr>
        <w:pStyle w:val="6"/>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具有良好的商业信誉和健全的财务会计制度；</w:t>
      </w:r>
    </w:p>
    <w:p w14:paraId="19B3479B">
      <w:pPr>
        <w:pStyle w:val="6"/>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具有履行合同所必需的设备和专业技术能力；</w:t>
      </w:r>
    </w:p>
    <w:p w14:paraId="0DCEB651">
      <w:pPr>
        <w:pStyle w:val="6"/>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具有依法缴纳税收和社会保障资金的良好记录；</w:t>
      </w:r>
    </w:p>
    <w:p w14:paraId="4E34ECF5">
      <w:pPr>
        <w:pStyle w:val="6"/>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参加此项采购活动前三年内，在经营活动中没有重大违法记录；</w:t>
      </w:r>
    </w:p>
    <w:p w14:paraId="5F73614C">
      <w:pPr>
        <w:pStyle w:val="6"/>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本次采购不接受联合体报价</w:t>
      </w:r>
      <w:r>
        <w:rPr>
          <w:rFonts w:hint="eastAsia" w:ascii="Times New Roman" w:hAnsi="宋体" w:eastAsia="宋体" w:cs="Times New Roman"/>
        </w:rPr>
        <w:t>；</w:t>
      </w:r>
    </w:p>
    <w:p w14:paraId="686888D5">
      <w:pPr>
        <w:pStyle w:val="6"/>
        <w:numPr>
          <w:ilvl w:val="0"/>
          <w:numId w:val="3"/>
        </w:numPr>
        <w:tabs>
          <w:tab w:val="clear" w:pos="360"/>
          <w:tab w:val="clear" w:pos="1155"/>
        </w:tabs>
        <w:ind w:firstLine="0"/>
        <w:jc w:val="left"/>
        <w:rPr>
          <w:rFonts w:ascii="Times New Roman" w:hAnsi="宋体" w:eastAsia="宋体" w:cs="Times New Roman"/>
        </w:rPr>
      </w:pPr>
      <w:r>
        <w:rPr>
          <w:rFonts w:ascii="Times New Roman" w:hAnsi="宋体" w:eastAsia="宋体" w:cs="Times New Roman"/>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r>
        <w:rPr>
          <w:rFonts w:hint="eastAsia" w:ascii="Times New Roman" w:hAnsi="宋体" w:eastAsia="宋体" w:cs="Times New Roman"/>
        </w:rPr>
        <w:t>；</w:t>
      </w:r>
    </w:p>
    <w:p w14:paraId="0D56469F">
      <w:pPr>
        <w:pStyle w:val="6"/>
        <w:numPr>
          <w:ilvl w:val="0"/>
          <w:numId w:val="3"/>
        </w:numPr>
        <w:tabs>
          <w:tab w:val="left" w:pos="851"/>
          <w:tab w:val="clear" w:pos="360"/>
          <w:tab w:val="clear" w:pos="1155"/>
        </w:tabs>
        <w:ind w:firstLine="0"/>
        <w:jc w:val="left"/>
        <w:rPr>
          <w:rFonts w:ascii="Times New Roman" w:hAnsi="宋体" w:eastAsia="宋体" w:cs="Times New Roman"/>
        </w:rPr>
      </w:pPr>
      <w:r>
        <w:rPr>
          <w:rFonts w:ascii="Times New Roman" w:hAnsi="宋体" w:eastAsia="宋体" w:cs="Times New Roman"/>
        </w:rPr>
        <w:t>单位负责人为同一人或者存在</w:t>
      </w:r>
      <w:r>
        <w:rPr>
          <w:rFonts w:hint="eastAsia" w:ascii="Times New Roman" w:hAnsi="宋体" w:eastAsia="宋体" w:cs="Times New Roman"/>
        </w:rPr>
        <w:t>直接</w:t>
      </w:r>
      <w:r>
        <w:rPr>
          <w:rFonts w:ascii="Times New Roman" w:hAnsi="宋体" w:eastAsia="宋体" w:cs="Times New Roman"/>
        </w:rPr>
        <w:t>控股、管理关系的不同供应商，不得参加同一合同项的政府采购活动。</w:t>
      </w:r>
    </w:p>
    <w:p w14:paraId="41E0032D">
      <w:pPr>
        <w:pStyle w:val="26"/>
        <w:spacing w:line="276" w:lineRule="auto"/>
        <w:rPr>
          <w:rFonts w:cs="Times New Roman" w:asciiTheme="minorEastAsia" w:hAnsiTheme="minorEastAsia"/>
          <w:color w:val="auto"/>
          <w:sz w:val="24"/>
        </w:rPr>
      </w:pPr>
      <w:bookmarkStart w:id="12" w:name="_Toc103068834"/>
      <w:r>
        <w:rPr>
          <w:rFonts w:hint="eastAsia" w:cs="Times New Roman" w:asciiTheme="minorEastAsia" w:hAnsiTheme="minorEastAsia"/>
          <w:color w:val="auto"/>
          <w:sz w:val="24"/>
        </w:rPr>
        <w:t>四、报名</w:t>
      </w:r>
      <w:bookmarkEnd w:id="12"/>
    </w:p>
    <w:p w14:paraId="559C93EC">
      <w:pPr>
        <w:numPr>
          <w:ilvl w:val="-1"/>
          <w:numId w:val="0"/>
        </w:numPr>
        <w:snapToGrid w:val="0"/>
        <w:spacing w:line="440" w:lineRule="exact"/>
        <w:ind w:left="420" w:firstLine="0" w:firstLineChars="0"/>
        <w:jc w:val="left"/>
        <w:rPr>
          <w:rFonts w:ascii="宋体" w:hAnsi="宋体" w:eastAsia="宋体" w:cs="宋体"/>
          <w:kern w:val="0"/>
          <w:sz w:val="24"/>
        </w:rPr>
      </w:pPr>
      <w:r>
        <w:rPr>
          <w:rFonts w:hint="eastAsia" w:cs="Times New Roman" w:asciiTheme="minorEastAsia" w:hAnsiTheme="minorEastAsia"/>
          <w:sz w:val="24"/>
        </w:rPr>
        <w:t>1、</w:t>
      </w:r>
      <w:r>
        <w:rPr>
          <w:rFonts w:hint="eastAsia" w:ascii="宋体" w:hAnsi="宋体" w:eastAsia="宋体" w:cs="宋体"/>
          <w:b/>
          <w:bCs/>
          <w:color w:val="FF0000"/>
          <w:kern w:val="0"/>
          <w:sz w:val="24"/>
          <w:highlight w:val="yellow"/>
        </w:rPr>
        <w:t>报名时间：202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eastAsia="宋体" w:cs="宋体"/>
          <w:b/>
          <w:bCs/>
          <w:color w:val="FF0000"/>
          <w:kern w:val="0"/>
          <w:sz w:val="24"/>
          <w:highlight w:val="yellow"/>
          <w:lang w:val="en-US" w:eastAsia="zh-CN"/>
        </w:rPr>
        <w:t>6</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4</w:t>
      </w:r>
      <w:r>
        <w:rPr>
          <w:rFonts w:hint="eastAsia" w:ascii="宋体" w:hAnsi="宋体" w:eastAsia="宋体" w:cs="宋体"/>
          <w:b/>
          <w:bCs/>
          <w:color w:val="FF0000"/>
          <w:kern w:val="0"/>
          <w:sz w:val="24"/>
          <w:highlight w:val="yellow"/>
        </w:rPr>
        <w:t>日至202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eastAsia="宋体" w:cs="宋体"/>
          <w:b/>
          <w:bCs/>
          <w:color w:val="FF0000"/>
          <w:kern w:val="0"/>
          <w:sz w:val="24"/>
          <w:highlight w:val="yellow"/>
          <w:lang w:val="en-US" w:eastAsia="zh-CN"/>
        </w:rPr>
        <w:t>6</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11</w:t>
      </w:r>
      <w:bookmarkStart w:id="77" w:name="_GoBack"/>
      <w:bookmarkEnd w:id="77"/>
      <w:r>
        <w:rPr>
          <w:rFonts w:hint="eastAsia" w:ascii="宋体" w:hAnsi="宋体" w:eastAsia="宋体" w:cs="宋体"/>
          <w:b/>
          <w:bCs/>
          <w:color w:val="FF0000"/>
          <w:kern w:val="0"/>
          <w:sz w:val="24"/>
          <w:highlight w:val="yellow"/>
        </w:rPr>
        <w:t>日</w:t>
      </w:r>
      <w:r>
        <w:rPr>
          <w:rFonts w:hint="eastAsia" w:ascii="宋体" w:hAnsi="宋体" w:eastAsia="宋体" w:cs="宋体"/>
          <w:kern w:val="0"/>
          <w:sz w:val="24"/>
        </w:rPr>
        <w:t>上午08:30-11:30；下午13:30-17:00（节假日除外）。</w:t>
      </w:r>
    </w:p>
    <w:p w14:paraId="2F66126F">
      <w:pPr>
        <w:spacing w:line="276" w:lineRule="auto"/>
        <w:ind w:firstLine="480" w:firstLineChars="200"/>
        <w:rPr>
          <w:rFonts w:asciiTheme="minorEastAsia" w:hAnsiTheme="minorEastAsia"/>
          <w:sz w:val="24"/>
        </w:rPr>
      </w:pPr>
    </w:p>
    <w:p w14:paraId="79DDF381">
      <w:pPr>
        <w:numPr>
          <w:ilvl w:val="0"/>
          <w:numId w:val="4"/>
        </w:numPr>
        <w:spacing w:line="276" w:lineRule="auto"/>
        <w:ind w:firstLine="480" w:firstLineChars="200"/>
        <w:jc w:val="left"/>
        <w:rPr>
          <w:rFonts w:asciiTheme="minorEastAsia" w:hAnsiTheme="minorEastAsia"/>
          <w:sz w:val="24"/>
        </w:rPr>
      </w:pPr>
      <w:r>
        <w:rPr>
          <w:rFonts w:hint="eastAsia" w:asciiTheme="minorEastAsia" w:hAnsiTheme="minorEastAsia"/>
          <w:sz w:val="24"/>
        </w:rPr>
        <w:t>报名方式：本项目需通过政采云平台网上报名。</w:t>
      </w:r>
    </w:p>
    <w:p w14:paraId="52D38B22">
      <w:pPr>
        <w:spacing w:line="276" w:lineRule="auto"/>
        <w:ind w:firstLine="480" w:firstLineChars="200"/>
        <w:jc w:val="left"/>
        <w:rPr>
          <w:rFonts w:asciiTheme="minorEastAsia" w:hAnsiTheme="minorEastAsia"/>
          <w:sz w:val="24"/>
        </w:rPr>
      </w:pPr>
      <w:r>
        <w:rPr>
          <w:rFonts w:hint="eastAsia" w:asciiTheme="minorEastAsia" w:hAnsiTheme="minorEastAsia"/>
          <w:sz w:val="24"/>
        </w:rPr>
        <w:t>政采云平台注册链接:</w:t>
      </w:r>
      <w:r>
        <w:fldChar w:fldCharType="begin"/>
      </w:r>
      <w:r>
        <w:instrText xml:space="preserve"> HYPERLINK "https://middle.zcygov.cn/v-settle-front/enter/account?entranceType=1&amp;settleCategory=1&amp;isLoginAdd=true" </w:instrText>
      </w:r>
      <w:r>
        <w:fldChar w:fldCharType="separate"/>
      </w:r>
      <w:r>
        <w:rPr>
          <w:rStyle w:val="24"/>
          <w:rFonts w:hint="eastAsia" w:asciiTheme="minorEastAsia" w:hAnsiTheme="minorEastAsia"/>
          <w:sz w:val="24"/>
        </w:rPr>
        <w:t>https://middle.zcygov.cn/v-settle-front/enter/account?entranceType=1&amp;settleCategory=1&amp;isLoginAdd=true</w:t>
      </w:r>
      <w:r>
        <w:rPr>
          <w:rStyle w:val="24"/>
          <w:rFonts w:hint="eastAsia" w:asciiTheme="minorEastAsia" w:hAnsiTheme="minorEastAsia"/>
          <w:sz w:val="24"/>
        </w:rPr>
        <w:fldChar w:fldCharType="end"/>
      </w:r>
    </w:p>
    <w:p w14:paraId="188D6727">
      <w:pPr>
        <w:spacing w:line="276" w:lineRule="auto"/>
        <w:ind w:firstLine="480" w:firstLineChars="200"/>
        <w:jc w:val="left"/>
        <w:rPr>
          <w:rFonts w:asciiTheme="minorEastAsia" w:hAnsiTheme="minorEastAsia"/>
          <w:sz w:val="24"/>
        </w:rPr>
      </w:pPr>
      <w:r>
        <w:rPr>
          <w:rFonts w:hint="eastAsia" w:asciiTheme="minorEastAsia" w:hAnsiTheme="minorEastAsia"/>
          <w:sz w:val="24"/>
        </w:rPr>
        <w:t>注册成功后，用账号密码登录后台界面；</w:t>
      </w:r>
    </w:p>
    <w:p w14:paraId="03BB07CE">
      <w:pPr>
        <w:spacing w:line="276" w:lineRule="auto"/>
        <w:rPr>
          <w:rFonts w:asciiTheme="minorEastAsia" w:hAnsiTheme="minorEastAsia"/>
          <w:sz w:val="24"/>
        </w:rPr>
      </w:pPr>
      <w:r>
        <w:rPr>
          <w:rFonts w:hint="eastAsia" w:asciiTheme="minorEastAsia" w:hAnsiTheme="minorEastAsia"/>
          <w:sz w:val="24"/>
        </w:rPr>
        <w:t>供应商报名路径：</w:t>
      </w:r>
      <w:r>
        <w:rPr>
          <w:rFonts w:hint="eastAsia" w:asciiTheme="minorEastAsia" w:hAnsiTheme="minorEastAsia"/>
          <w:color w:val="FF0000"/>
          <w:sz w:val="24"/>
        </w:rPr>
        <w:t>应用中心-</w:t>
      </w:r>
      <w:r>
        <w:rPr>
          <w:rFonts w:hint="eastAsia" w:asciiTheme="minorEastAsia" w:hAnsiTheme="minorEastAsia"/>
          <w:sz w:val="24"/>
        </w:rPr>
        <w:t>项目采购-获取采购文件管理，找到本项目的项目名称申请获取采购文件，按照系统界面要求填写供应商相关信息，同时将以下文件扫描件作为附件上传。</w:t>
      </w:r>
    </w:p>
    <w:p w14:paraId="39272C00">
      <w:pPr>
        <w:spacing w:line="276" w:lineRule="auto"/>
        <w:rPr>
          <w:rFonts w:asciiTheme="minorEastAsia" w:hAnsiTheme="minorEastAsia"/>
          <w:sz w:val="24"/>
        </w:rPr>
      </w:pPr>
      <w:r>
        <w:rPr>
          <w:rFonts w:hint="eastAsia" w:asciiTheme="minorEastAsia" w:hAnsiTheme="minorEastAsia"/>
          <w:sz w:val="24"/>
        </w:rPr>
        <w:t>（1）法定代表人授权委托书扫描件（法定代表人手写签字或盖章，并加盖单位公章）；</w:t>
      </w:r>
    </w:p>
    <w:p w14:paraId="2ECFBE63">
      <w:pPr>
        <w:spacing w:line="276" w:lineRule="auto"/>
        <w:rPr>
          <w:rFonts w:asciiTheme="minorEastAsia" w:hAnsiTheme="minorEastAsia"/>
          <w:sz w:val="24"/>
        </w:rPr>
      </w:pPr>
      <w:r>
        <w:rPr>
          <w:rFonts w:hint="eastAsia" w:asciiTheme="minorEastAsia" w:hAnsiTheme="minorEastAsia"/>
          <w:sz w:val="24"/>
        </w:rPr>
        <w:t>（2）授权代表身份证扫描件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620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15575629">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国家体育总局体育器材装备中心：</w:t>
            </w:r>
          </w:p>
          <w:p w14:paraId="75EEE5B0">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，包号：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，以本公司名义办理报名登记。</w:t>
            </w:r>
          </w:p>
          <w:p w14:paraId="60340A3F">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本授权书于      年      月      日签字生效，特此声明。</w:t>
            </w:r>
          </w:p>
          <w:p w14:paraId="7795B722">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p>
          <w:p w14:paraId="01219B5D">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法定代表人印刷体姓名：           签字：           电话：</w:t>
            </w:r>
          </w:p>
          <w:p w14:paraId="0CFFC38A">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授权代表印刷体姓名：           签字：              职务：         电话：</w:t>
            </w:r>
          </w:p>
          <w:p w14:paraId="2746FD19">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授权代表身份证号：             （身份证扫描件附后）</w:t>
            </w:r>
          </w:p>
          <w:p w14:paraId="4BE3A260">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公司全称（公章）：                                    </w:t>
            </w:r>
          </w:p>
        </w:tc>
      </w:tr>
    </w:tbl>
    <w:p w14:paraId="286E3D3A">
      <w:pPr>
        <w:snapToGrid w:val="0"/>
        <w:spacing w:line="440" w:lineRule="exact"/>
        <w:ind w:firstLine="480" w:firstLineChars="200"/>
        <w:jc w:val="left"/>
        <w:rPr>
          <w:rFonts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未提交以上文件进行报名登记，而直接编制报价文件参与报价的企业，其报价将被拒绝。采购文件电子文档可在中国政府采购网（www.ccgp.gov.cn）免费下载。</w:t>
      </w:r>
    </w:p>
    <w:p w14:paraId="7F55A16C">
      <w:pPr>
        <w:spacing w:line="276" w:lineRule="auto"/>
        <w:ind w:firstLine="480" w:firstLineChars="200"/>
        <w:rPr>
          <w:rFonts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、联系方式</w:t>
      </w:r>
    </w:p>
    <w:p w14:paraId="131EB79B">
      <w:pPr>
        <w:spacing w:line="276"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sz w:val="24"/>
        </w:rPr>
        <w:t>电子邮箱：</w:t>
      </w:r>
      <w:r>
        <w:rPr>
          <w:rFonts w:hint="eastAsia" w:asciiTheme="minorEastAsia" w:hAnsiTheme="minorEastAsia"/>
          <w:sz w:val="24"/>
          <w:lang w:val="en-US" w:eastAsia="zh-CN"/>
        </w:rPr>
        <w:t>zbzxcy@126.com</w:t>
      </w:r>
    </w:p>
    <w:p w14:paraId="1C766318">
      <w:pPr>
        <w:spacing w:line="276"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sz w:val="24"/>
        </w:rPr>
        <w:t>联系人：</w:t>
      </w:r>
      <w:r>
        <w:rPr>
          <w:rFonts w:hint="eastAsia" w:asciiTheme="minorEastAsia" w:hAnsiTheme="minorEastAsia"/>
          <w:sz w:val="24"/>
          <w:lang w:val="en-US" w:eastAsia="zh-CN"/>
        </w:rPr>
        <w:t>陈老师</w:t>
      </w:r>
    </w:p>
    <w:p w14:paraId="04C44286">
      <w:pPr>
        <w:spacing w:line="276" w:lineRule="auto"/>
        <w:ind w:firstLine="480" w:firstLineChars="200"/>
        <w:rPr>
          <w:rFonts w:asciiTheme="minorEastAsia" w:hAnsiTheme="minorEastAsia"/>
          <w:sz w:val="24"/>
        </w:rPr>
      </w:pPr>
      <w:r>
        <w:rPr>
          <w:rFonts w:hint="eastAsia" w:asciiTheme="minorEastAsia" w:hAnsiTheme="minorEastAsia"/>
          <w:sz w:val="24"/>
        </w:rPr>
        <w:t>联系电话：0</w:t>
      </w:r>
      <w:r>
        <w:rPr>
          <w:rFonts w:asciiTheme="minorEastAsia" w:hAnsiTheme="minorEastAsia"/>
          <w:sz w:val="24"/>
        </w:rPr>
        <w:t>10-</w:t>
      </w:r>
      <w:r>
        <w:rPr>
          <w:rFonts w:hint="eastAsia" w:asciiTheme="minorEastAsia" w:hAnsiTheme="minorEastAsia"/>
          <w:sz w:val="24"/>
        </w:rPr>
        <w:t>8718268</w:t>
      </w:r>
      <w:r>
        <w:rPr>
          <w:rFonts w:hint="eastAsia" w:asciiTheme="minorEastAsia" w:hAnsiTheme="minorEastAsia"/>
          <w:sz w:val="24"/>
          <w:lang w:val="en-US" w:eastAsia="zh-CN"/>
        </w:rPr>
        <w:t>1</w:t>
      </w:r>
    </w:p>
    <w:p w14:paraId="7838C7FF">
      <w:pPr>
        <w:pStyle w:val="26"/>
        <w:spacing w:line="276" w:lineRule="auto"/>
        <w:rPr>
          <w:rFonts w:cs="Times New Roman" w:asciiTheme="minorEastAsia" w:hAnsiTheme="minorEastAsia"/>
          <w:color w:val="auto"/>
          <w:sz w:val="24"/>
        </w:rPr>
      </w:pPr>
      <w:bookmarkStart w:id="13" w:name="_Toc103068835"/>
      <w:r>
        <w:rPr>
          <w:rFonts w:hint="eastAsia" w:cs="Times New Roman" w:asciiTheme="minorEastAsia" w:hAnsiTheme="minorEastAsia"/>
          <w:color w:val="auto"/>
          <w:sz w:val="24"/>
        </w:rPr>
        <w:t>五、磋商时间、地点</w:t>
      </w:r>
      <w:bookmarkEnd w:id="13"/>
    </w:p>
    <w:p w14:paraId="355D801E">
      <w:pPr>
        <w:spacing w:line="276" w:lineRule="auto"/>
        <w:ind w:firstLine="480" w:firstLineChars="200"/>
        <w:rPr>
          <w:rFonts w:asciiTheme="minorEastAsia" w:hAnsiTheme="minorEastAsia"/>
          <w:color w:val="FF0000"/>
          <w:sz w:val="24"/>
        </w:rPr>
      </w:pPr>
      <w:r>
        <w:rPr>
          <w:rFonts w:hint="eastAsia" w:asciiTheme="minorEastAsia" w:hAnsiTheme="minorEastAsia"/>
          <w:sz w:val="24"/>
        </w:rPr>
        <w:t>1、响应文件递交截止及磋商开始时间：</w:t>
      </w:r>
      <w:r>
        <w:rPr>
          <w:rFonts w:hint="eastAsia" w:asciiTheme="minorEastAsia" w:hAnsiTheme="minorEastAsia"/>
          <w:sz w:val="24"/>
          <w:highlight w:val="yellow"/>
        </w:rPr>
        <w:t>20</w:t>
      </w:r>
      <w:r>
        <w:rPr>
          <w:rFonts w:asciiTheme="minorEastAsia" w:hAnsiTheme="minorEastAsia"/>
          <w:sz w:val="24"/>
          <w:highlight w:val="yellow"/>
        </w:rPr>
        <w:t>25</w:t>
      </w:r>
      <w:r>
        <w:rPr>
          <w:rFonts w:hint="eastAsia" w:asciiTheme="minorEastAsia" w:hAnsiTheme="minorEastAsia"/>
          <w:sz w:val="24"/>
          <w:highlight w:val="yellow"/>
        </w:rPr>
        <w:t>年</w:t>
      </w:r>
      <w:r>
        <w:rPr>
          <w:rFonts w:hint="eastAsia" w:asciiTheme="minorEastAsia" w:hAnsiTheme="minorEastAsia"/>
          <w:sz w:val="24"/>
          <w:highlight w:val="yellow"/>
          <w:lang w:val="en-US" w:eastAsia="zh-CN"/>
        </w:rPr>
        <w:t>6</w:t>
      </w:r>
      <w:r>
        <w:rPr>
          <w:rFonts w:hint="eastAsia" w:asciiTheme="minorEastAsia" w:hAnsiTheme="minorEastAsia"/>
          <w:sz w:val="24"/>
          <w:highlight w:val="yellow"/>
        </w:rPr>
        <w:t>月</w:t>
      </w:r>
      <w:r>
        <w:rPr>
          <w:rFonts w:hint="eastAsia" w:asciiTheme="minorEastAsia" w:hAnsiTheme="minorEastAsia"/>
          <w:sz w:val="24"/>
          <w:highlight w:val="yellow"/>
          <w:lang w:val="en-US" w:eastAsia="zh-CN"/>
        </w:rPr>
        <w:t>18</w:t>
      </w:r>
      <w:r>
        <w:rPr>
          <w:rFonts w:hint="eastAsia" w:asciiTheme="minorEastAsia" w:hAnsiTheme="minorEastAsia"/>
          <w:sz w:val="24"/>
          <w:highlight w:val="yellow"/>
        </w:rPr>
        <w:t>日09：30</w:t>
      </w:r>
      <w:r>
        <w:rPr>
          <w:rFonts w:hint="eastAsia" w:asciiTheme="minorEastAsia" w:hAnsiTheme="minorEastAsia"/>
          <w:sz w:val="24"/>
        </w:rPr>
        <w:t>，</w:t>
      </w:r>
      <w:r>
        <w:rPr>
          <w:rFonts w:hint="eastAsia" w:asciiTheme="minorEastAsia" w:hAnsiTheme="minorEastAsia"/>
          <w:color w:val="FF0000"/>
          <w:sz w:val="24"/>
        </w:rPr>
        <w:t>逾期系统中将无法递交采购文件，且响应文件不符合采购规定，则被拒绝。</w:t>
      </w:r>
    </w:p>
    <w:p w14:paraId="5F08C9C0">
      <w:pPr>
        <w:spacing w:line="276" w:lineRule="auto"/>
        <w:ind w:firstLine="480" w:firstLineChars="200"/>
        <w:rPr>
          <w:rFonts w:asciiTheme="minorEastAsia" w:hAnsiTheme="minorEastAsia"/>
          <w:sz w:val="24"/>
        </w:rPr>
      </w:pPr>
      <w:r>
        <w:rPr>
          <w:rFonts w:hint="eastAsia" w:asciiTheme="minorEastAsia" w:hAnsiTheme="minorEastAsia"/>
          <w:sz w:val="24"/>
        </w:rPr>
        <w:t xml:space="preserve">2、磋商地点：政府采购云平台（http：//www.zcygov.cn）开标大厅供应商需要在具备有摄像头及语音功能且互联网网络状况良好的电脑登录“政采云”平台远程开标大厅参与本次磋商，否则后果自负。 </w:t>
      </w:r>
    </w:p>
    <w:p w14:paraId="6F30B632">
      <w:pPr>
        <w:spacing w:line="276" w:lineRule="auto"/>
        <w:ind w:firstLine="480" w:firstLineChars="200"/>
        <w:rPr>
          <w:rFonts w:asciiTheme="minorEastAsia" w:hAnsiTheme="minorEastAsia"/>
          <w:sz w:val="24"/>
        </w:rPr>
      </w:pPr>
      <w:r>
        <w:rPr>
          <w:rFonts w:hint="eastAsia" w:asciiTheme="minorEastAsia" w:hAnsiTheme="minorEastAsia"/>
          <w:sz w:val="24"/>
        </w:rPr>
        <w:t>开标大厅菜单路径：应用中心—项目采购—开标评标</w:t>
      </w:r>
    </w:p>
    <w:p w14:paraId="3ACA8823">
      <w:pPr>
        <w:pStyle w:val="6"/>
        <w:ind w:firstLine="432" w:firstLineChars="180"/>
        <w:rPr>
          <w:rFonts w:ascii="Times New Roman" w:hAnsi="Times New Roman" w:eastAsia="宋体" w:cs="Times New Roman"/>
        </w:rPr>
      </w:pPr>
      <w:r>
        <w:rPr>
          <w:rFonts w:ascii="Times New Roman" w:hAnsi="Times New Roman" w:eastAsia="宋体" w:cs="Times New Roman"/>
        </w:rPr>
        <w:br w:type="page"/>
      </w:r>
    </w:p>
    <w:p w14:paraId="06D576D1">
      <w:pPr>
        <w:pStyle w:val="17"/>
        <w:rPr>
          <w:rFonts w:ascii="Times New Roman" w:hAnsi="Times New Roman" w:eastAsia="宋体" w:cs="Times New Roman"/>
          <w:b w:val="0"/>
          <w:sz w:val="28"/>
        </w:rPr>
      </w:pPr>
      <w:bookmarkStart w:id="14" w:name="_Toc499216471"/>
      <w:bookmarkStart w:id="15" w:name="_Toc103068836"/>
      <w:bookmarkStart w:id="16" w:name="_Toc115756021"/>
      <w:r>
        <w:rPr>
          <w:rFonts w:ascii="Times New Roman" w:hAnsi="宋体" w:eastAsia="宋体" w:cs="Times New Roman"/>
        </w:rPr>
        <w:t>第二部分报价须知</w:t>
      </w:r>
      <w:bookmarkEnd w:id="14"/>
      <w:bookmarkEnd w:id="15"/>
      <w:bookmarkEnd w:id="16"/>
    </w:p>
    <w:p w14:paraId="463BEA12">
      <w:pPr>
        <w:pStyle w:val="27"/>
        <w:rPr>
          <w:rFonts w:ascii="Times New Roman" w:hAnsi="Times New Roman" w:eastAsia="宋体" w:cs="Times New Roman"/>
          <w:color w:val="auto"/>
        </w:rPr>
      </w:pPr>
      <w:bookmarkStart w:id="17" w:name="_Toc103068837"/>
      <w:bookmarkStart w:id="18" w:name="_Toc499216472"/>
      <w:bookmarkStart w:id="19" w:name="_Toc115756022"/>
      <w:r>
        <w:rPr>
          <w:rFonts w:ascii="Times New Roman" w:hAnsi="宋体" w:eastAsia="宋体" w:cs="Times New Roman"/>
          <w:color w:val="auto"/>
        </w:rPr>
        <w:t>一、总则</w:t>
      </w:r>
      <w:bookmarkEnd w:id="17"/>
      <w:bookmarkEnd w:id="18"/>
      <w:bookmarkEnd w:id="19"/>
    </w:p>
    <w:p w14:paraId="038F8C95">
      <w:pPr>
        <w:pStyle w:val="28"/>
        <w:rPr>
          <w:rFonts w:ascii="Times New Roman" w:hAnsi="Times New Roman" w:eastAsia="宋体" w:cs="Times New Roman"/>
          <w:color w:val="auto"/>
        </w:rPr>
      </w:pPr>
      <w:r>
        <w:rPr>
          <w:rFonts w:ascii="Times New Roman" w:eastAsia="宋体" w:cs="Times New Roman"/>
          <w:color w:val="auto"/>
        </w:rPr>
        <w:t>适用范围</w:t>
      </w:r>
    </w:p>
    <w:p w14:paraId="3510F404">
      <w:pPr>
        <w:pStyle w:val="29"/>
        <w:ind w:firstLine="480"/>
        <w:rPr>
          <w:rFonts w:ascii="Times New Roman" w:hAnsi="Times New Roman" w:eastAsia="宋体" w:cs="Times New Roman"/>
        </w:rPr>
      </w:pPr>
      <w:r>
        <w:rPr>
          <w:rFonts w:ascii="Times New Roman" w:hAnsi="宋体" w:eastAsia="宋体" w:cs="Times New Roman"/>
        </w:rPr>
        <w:t>本文件适用于本次所有服务及相关货物的采购。</w:t>
      </w:r>
    </w:p>
    <w:p w14:paraId="666E06A8">
      <w:pPr>
        <w:pStyle w:val="28"/>
        <w:rPr>
          <w:rFonts w:ascii="Times New Roman" w:hAnsi="Times New Roman" w:eastAsia="宋体" w:cs="Times New Roman"/>
          <w:color w:val="auto"/>
        </w:rPr>
      </w:pPr>
      <w:r>
        <w:rPr>
          <w:rFonts w:ascii="Times New Roman" w:eastAsia="宋体" w:cs="Times New Roman"/>
          <w:color w:val="auto"/>
        </w:rPr>
        <w:t>定义</w:t>
      </w:r>
    </w:p>
    <w:p w14:paraId="260246A1">
      <w:pPr>
        <w:pStyle w:val="30"/>
        <w:ind w:firstLine="480"/>
        <w:rPr>
          <w:rFonts w:ascii="Times New Roman" w:hAnsi="Times New Roman" w:eastAsia="宋体" w:cs="Times New Roman"/>
        </w:rPr>
      </w:pPr>
      <w:r>
        <w:rPr>
          <w:rFonts w:ascii="Times New Roman" w:hAnsi="Times New Roman" w:eastAsia="宋体" w:cs="Times New Roman"/>
        </w:rPr>
        <w:t>2.1“</w:t>
      </w:r>
      <w:r>
        <w:rPr>
          <w:rFonts w:ascii="Times New Roman" w:hAnsi="宋体" w:eastAsia="宋体" w:cs="Times New Roman"/>
        </w:rPr>
        <w:t>采购单位</w:t>
      </w:r>
      <w:r>
        <w:rPr>
          <w:rFonts w:ascii="Times New Roman" w:hAnsi="Times New Roman" w:eastAsia="宋体" w:cs="Times New Roman"/>
        </w:rPr>
        <w:t>”</w:t>
      </w:r>
      <w:r>
        <w:rPr>
          <w:rFonts w:ascii="Times New Roman" w:hAnsi="宋体" w:eastAsia="宋体" w:cs="Times New Roman"/>
        </w:rPr>
        <w:t>指组织本次采购的国家体育总局体育器材装备中心。</w:t>
      </w:r>
    </w:p>
    <w:p w14:paraId="405C6209">
      <w:pPr>
        <w:pStyle w:val="30"/>
        <w:ind w:firstLine="480"/>
        <w:rPr>
          <w:rFonts w:ascii="Times New Roman" w:hAnsi="Times New Roman" w:eastAsia="宋体" w:cs="Times New Roman"/>
        </w:rPr>
      </w:pPr>
      <w:r>
        <w:rPr>
          <w:rFonts w:ascii="Times New Roman" w:hAnsi="Times New Roman" w:eastAsia="宋体" w:cs="Times New Roman"/>
        </w:rPr>
        <w:t>2.2“</w:t>
      </w:r>
      <w:r>
        <w:rPr>
          <w:rFonts w:ascii="Times New Roman" w:hAnsi="宋体" w:eastAsia="宋体" w:cs="Times New Roman"/>
        </w:rPr>
        <w:t>采购人</w:t>
      </w:r>
      <w:r>
        <w:rPr>
          <w:rFonts w:ascii="Times New Roman" w:hAnsi="Times New Roman" w:eastAsia="宋体" w:cs="Times New Roman"/>
        </w:rPr>
        <w:t>”</w:t>
      </w:r>
      <w:r>
        <w:rPr>
          <w:rFonts w:ascii="Times New Roman" w:hAnsi="宋体" w:eastAsia="宋体" w:cs="Times New Roman"/>
        </w:rPr>
        <w:t>指</w:t>
      </w:r>
      <w:r>
        <w:rPr>
          <w:rFonts w:hint="eastAsia"/>
        </w:rPr>
        <w:t>国家体育总局</w:t>
      </w:r>
      <w:r>
        <w:rPr>
          <w:rFonts w:ascii="Times New Roman" w:hAnsi="宋体" w:eastAsia="宋体" w:cs="Times New Roman"/>
        </w:rPr>
        <w:t>。</w:t>
      </w:r>
    </w:p>
    <w:p w14:paraId="3329BB0D">
      <w:pPr>
        <w:pStyle w:val="30"/>
        <w:ind w:firstLine="480"/>
        <w:rPr>
          <w:rFonts w:ascii="Times New Roman" w:hAnsi="Times New Roman" w:eastAsia="宋体" w:cs="Times New Roman"/>
        </w:rPr>
      </w:pPr>
      <w:r>
        <w:rPr>
          <w:rFonts w:ascii="Times New Roman" w:hAnsi="Times New Roman" w:eastAsia="宋体" w:cs="Times New Roman"/>
        </w:rPr>
        <w:t>2.3“</w:t>
      </w:r>
      <w:r>
        <w:rPr>
          <w:rFonts w:ascii="Times New Roman" w:hAnsi="宋体" w:eastAsia="宋体" w:cs="Times New Roman"/>
        </w:rPr>
        <w:t>采购货物</w:t>
      </w:r>
      <w:r>
        <w:rPr>
          <w:rFonts w:ascii="Times New Roman" w:hAnsi="Times New Roman" w:eastAsia="宋体" w:cs="Times New Roman"/>
        </w:rPr>
        <w:t>”</w:t>
      </w:r>
      <w:r>
        <w:rPr>
          <w:rFonts w:ascii="Times New Roman" w:hAnsi="宋体" w:eastAsia="宋体" w:cs="Times New Roman"/>
        </w:rPr>
        <w:t>指本采购文件第三部分所述所有货物。</w:t>
      </w:r>
    </w:p>
    <w:p w14:paraId="62F9BC02">
      <w:pPr>
        <w:pStyle w:val="30"/>
        <w:ind w:firstLine="480"/>
        <w:rPr>
          <w:rFonts w:ascii="Times New Roman" w:hAnsi="Times New Roman" w:eastAsia="宋体" w:cs="Times New Roman"/>
        </w:rPr>
      </w:pPr>
      <w:r>
        <w:rPr>
          <w:rFonts w:ascii="Times New Roman" w:hAnsi="Times New Roman" w:eastAsia="宋体" w:cs="Times New Roman"/>
        </w:rPr>
        <w:t>2.4 “</w:t>
      </w:r>
      <w:r>
        <w:rPr>
          <w:rFonts w:ascii="Times New Roman" w:hAnsi="宋体" w:eastAsia="宋体" w:cs="Times New Roman"/>
        </w:rPr>
        <w:t>服务</w:t>
      </w:r>
      <w:r>
        <w:rPr>
          <w:rFonts w:ascii="Times New Roman" w:hAnsi="Times New Roman" w:eastAsia="宋体" w:cs="Times New Roman"/>
        </w:rPr>
        <w:t>”</w:t>
      </w:r>
      <w:r>
        <w:rPr>
          <w:rFonts w:ascii="Times New Roman" w:hAnsi="宋体" w:eastAsia="宋体" w:cs="Times New Roman"/>
        </w:rPr>
        <w:t>指本采购文件第三部分</w:t>
      </w:r>
      <w:r>
        <w:rPr>
          <w:rFonts w:ascii="Times New Roman" w:hAnsi="宋体" w:eastAsia="宋体" w:cs="Times New Roman"/>
          <w:bCs/>
        </w:rPr>
        <w:t>报价人应该履行的承诺和义务。</w:t>
      </w:r>
    </w:p>
    <w:p w14:paraId="21AE9436">
      <w:pPr>
        <w:pStyle w:val="30"/>
        <w:ind w:firstLine="480"/>
        <w:rPr>
          <w:rFonts w:ascii="Times New Roman" w:hAnsi="Times New Roman" w:eastAsia="宋体" w:cs="Times New Roman"/>
        </w:rPr>
      </w:pPr>
      <w:r>
        <w:rPr>
          <w:rFonts w:ascii="Times New Roman" w:hAnsi="Times New Roman" w:eastAsia="宋体" w:cs="Times New Roman"/>
        </w:rPr>
        <w:t>2.5“</w:t>
      </w:r>
      <w:r>
        <w:rPr>
          <w:rFonts w:ascii="Times New Roman" w:hAnsi="宋体" w:eastAsia="宋体" w:cs="Times New Roman"/>
        </w:rPr>
        <w:t>潜在报价人</w:t>
      </w:r>
      <w:r>
        <w:rPr>
          <w:rFonts w:ascii="Times New Roman" w:hAnsi="Times New Roman" w:eastAsia="宋体" w:cs="Times New Roman"/>
        </w:rPr>
        <w:t>”</w:t>
      </w:r>
      <w:r>
        <w:rPr>
          <w:rFonts w:ascii="Times New Roman" w:hAnsi="宋体" w:eastAsia="宋体" w:cs="Times New Roman"/>
        </w:rPr>
        <w:t>指已报名登记的供应商。</w:t>
      </w:r>
    </w:p>
    <w:p w14:paraId="41789C48">
      <w:pPr>
        <w:pStyle w:val="30"/>
        <w:ind w:firstLine="480"/>
        <w:rPr>
          <w:rFonts w:ascii="Times New Roman" w:hAnsi="Times New Roman" w:eastAsia="宋体" w:cs="Times New Roman"/>
        </w:rPr>
      </w:pPr>
      <w:r>
        <w:rPr>
          <w:rFonts w:ascii="Times New Roman" w:hAnsi="Times New Roman" w:eastAsia="宋体" w:cs="Times New Roman"/>
        </w:rPr>
        <w:t>2.6“</w:t>
      </w:r>
      <w:r>
        <w:rPr>
          <w:rFonts w:ascii="Times New Roman" w:hAnsi="宋体" w:eastAsia="宋体" w:cs="Times New Roman"/>
        </w:rPr>
        <w:t>报价人</w:t>
      </w:r>
      <w:r>
        <w:rPr>
          <w:rFonts w:ascii="Times New Roman" w:hAnsi="Times New Roman" w:eastAsia="宋体" w:cs="Times New Roman"/>
        </w:rPr>
        <w:t>”</w:t>
      </w:r>
      <w:r>
        <w:rPr>
          <w:rFonts w:ascii="Times New Roman" w:hAnsi="宋体" w:eastAsia="宋体" w:cs="Times New Roman"/>
        </w:rPr>
        <w:t>指已报名登记并提交响应文件的供应商。</w:t>
      </w:r>
    </w:p>
    <w:p w14:paraId="4B1046A1">
      <w:pPr>
        <w:pStyle w:val="28"/>
        <w:rPr>
          <w:rFonts w:ascii="Times New Roman" w:hAnsi="Times New Roman" w:eastAsia="宋体" w:cs="Times New Roman"/>
          <w:color w:val="auto"/>
        </w:rPr>
      </w:pPr>
      <w:r>
        <w:rPr>
          <w:rFonts w:ascii="Times New Roman" w:eastAsia="宋体" w:cs="Times New Roman"/>
          <w:color w:val="auto"/>
        </w:rPr>
        <w:t>采购方式</w:t>
      </w:r>
    </w:p>
    <w:p w14:paraId="4A726B79">
      <w:pPr>
        <w:pStyle w:val="29"/>
        <w:ind w:firstLine="480"/>
        <w:rPr>
          <w:rFonts w:ascii="Times New Roman" w:hAnsi="Times New Roman" w:eastAsia="宋体" w:cs="Times New Roman"/>
        </w:rPr>
      </w:pPr>
      <w:r>
        <w:rPr>
          <w:rFonts w:ascii="Times New Roman" w:hAnsi="宋体" w:eastAsia="宋体" w:cs="Times New Roman"/>
        </w:rPr>
        <w:t>本次采购按照公开、公正、公平的竞争原则，采用竞争性磋商方式进行国内采购。</w:t>
      </w:r>
    </w:p>
    <w:p w14:paraId="2291EAC2">
      <w:pPr>
        <w:pStyle w:val="28"/>
        <w:rPr>
          <w:rFonts w:ascii="Times New Roman" w:hAnsi="Times New Roman" w:eastAsia="宋体" w:cs="Times New Roman"/>
          <w:color w:val="auto"/>
        </w:rPr>
      </w:pPr>
      <w:r>
        <w:rPr>
          <w:rFonts w:ascii="Times New Roman" w:eastAsia="宋体" w:cs="Times New Roman"/>
          <w:color w:val="auto"/>
        </w:rPr>
        <w:t>语言</w:t>
      </w:r>
    </w:p>
    <w:p w14:paraId="52E7DA3C">
      <w:pPr>
        <w:pStyle w:val="29"/>
        <w:ind w:firstLine="480"/>
        <w:rPr>
          <w:rFonts w:ascii="Times New Roman" w:hAnsi="Times New Roman" w:eastAsia="宋体" w:cs="Times New Roman"/>
        </w:rPr>
      </w:pPr>
      <w:r>
        <w:rPr>
          <w:rFonts w:ascii="Times New Roman" w:hAnsi="宋体" w:eastAsia="宋体" w:cs="Times New Roman"/>
        </w:rPr>
        <w:t>响应文件及报价人与采购单位之间的与响应文件有关的往来函电和文件均须使用中文。</w:t>
      </w:r>
    </w:p>
    <w:p w14:paraId="23AC0DC2">
      <w:pPr>
        <w:pStyle w:val="28"/>
        <w:rPr>
          <w:rFonts w:ascii="Times New Roman" w:hAnsi="Times New Roman" w:eastAsia="宋体" w:cs="Times New Roman"/>
          <w:color w:val="auto"/>
        </w:rPr>
      </w:pPr>
      <w:r>
        <w:rPr>
          <w:rFonts w:hint="eastAsia" w:ascii="Times New Roman" w:eastAsia="宋体" w:cs="Times New Roman"/>
          <w:color w:val="auto"/>
        </w:rPr>
        <w:t>服务</w:t>
      </w:r>
      <w:r>
        <w:rPr>
          <w:rFonts w:ascii="Times New Roman" w:eastAsia="宋体" w:cs="Times New Roman"/>
          <w:color w:val="auto"/>
        </w:rPr>
        <w:t>时间和地点</w:t>
      </w:r>
    </w:p>
    <w:p w14:paraId="1A989CC7">
      <w:pPr>
        <w:pStyle w:val="29"/>
        <w:ind w:firstLine="480"/>
        <w:rPr>
          <w:rFonts w:ascii="Times New Roman" w:hAnsi="Times New Roman" w:eastAsia="宋体" w:cs="Times New Roman"/>
        </w:rPr>
      </w:pPr>
      <w:r>
        <w:rPr>
          <w:rFonts w:ascii="Times New Roman" w:hAnsi="Times New Roman" w:eastAsia="宋体" w:cs="Times New Roman"/>
        </w:rPr>
        <w:t>5.1</w:t>
      </w:r>
      <w:r>
        <w:rPr>
          <w:rFonts w:ascii="Times New Roman" w:cs="Times New Roman"/>
        </w:rPr>
        <w:t>计划完成时间：</w:t>
      </w:r>
      <w:r>
        <w:rPr>
          <w:rFonts w:hint="eastAsia" w:ascii="Times New Roman" w:cs="Times New Roman"/>
          <w:u w:val="single"/>
        </w:rPr>
        <w:t>详见第三部分</w:t>
      </w:r>
      <w:r>
        <w:rPr>
          <w:rFonts w:ascii="Times New Roman" w:cs="Times New Roman"/>
          <w:u w:val="single"/>
        </w:rPr>
        <w:t>采购</w:t>
      </w:r>
      <w:r>
        <w:rPr>
          <w:rFonts w:hint="eastAsia" w:ascii="Times New Roman" w:cs="Times New Roman"/>
          <w:u w:val="single"/>
        </w:rPr>
        <w:t>需</w:t>
      </w:r>
      <w:r>
        <w:rPr>
          <w:rFonts w:ascii="Times New Roman" w:cs="Times New Roman"/>
          <w:u w:val="single"/>
        </w:rPr>
        <w:t>求</w:t>
      </w:r>
      <w:r>
        <w:rPr>
          <w:rFonts w:ascii="Times New Roman" w:cs="Times New Roman"/>
        </w:rPr>
        <w:t>。</w:t>
      </w:r>
    </w:p>
    <w:p w14:paraId="6BC334D7">
      <w:pPr>
        <w:pStyle w:val="29"/>
        <w:ind w:firstLine="480"/>
        <w:rPr>
          <w:rFonts w:ascii="Times New Roman" w:hAnsi="Times New Roman" w:eastAsia="宋体" w:cs="Times New Roman"/>
        </w:rPr>
      </w:pPr>
      <w:r>
        <w:rPr>
          <w:rFonts w:ascii="Times New Roman" w:hAnsi="Times New Roman" w:eastAsia="宋体" w:cs="Times New Roman"/>
        </w:rPr>
        <w:t>5.2</w:t>
      </w:r>
      <w:r>
        <w:rPr>
          <w:rFonts w:hint="eastAsia" w:ascii="Times New Roman" w:cs="Times New Roman"/>
        </w:rPr>
        <w:t>服务</w:t>
      </w:r>
      <w:r>
        <w:rPr>
          <w:rFonts w:ascii="Times New Roman" w:cs="Times New Roman"/>
        </w:rPr>
        <w:t>地点：</w:t>
      </w:r>
      <w:r>
        <w:rPr>
          <w:rFonts w:ascii="Times New Roman" w:cs="Times New Roman"/>
          <w:u w:val="single"/>
        </w:rPr>
        <w:t>采购人指定国内地点。</w:t>
      </w:r>
    </w:p>
    <w:p w14:paraId="3ACEFEF0">
      <w:pPr>
        <w:pStyle w:val="27"/>
        <w:rPr>
          <w:rFonts w:ascii="Times New Roman" w:hAnsi="Times New Roman" w:eastAsia="宋体" w:cs="Times New Roman"/>
          <w:color w:val="auto"/>
        </w:rPr>
      </w:pPr>
      <w:bookmarkStart w:id="20" w:name="_Toc115756023"/>
      <w:bookmarkStart w:id="21" w:name="_Toc499216473"/>
      <w:bookmarkStart w:id="22" w:name="_Toc103068838"/>
      <w:r>
        <w:rPr>
          <w:rFonts w:ascii="Times New Roman" w:hAnsi="宋体" w:eastAsia="宋体" w:cs="Times New Roman"/>
          <w:color w:val="auto"/>
        </w:rPr>
        <w:t>二、采购信息说明</w:t>
      </w:r>
      <w:bookmarkEnd w:id="20"/>
      <w:bookmarkEnd w:id="21"/>
      <w:bookmarkEnd w:id="22"/>
    </w:p>
    <w:p w14:paraId="32170725">
      <w:pPr>
        <w:pStyle w:val="28"/>
        <w:rPr>
          <w:rFonts w:ascii="Times New Roman" w:hAnsi="Times New Roman" w:eastAsia="宋体" w:cs="Times New Roman"/>
          <w:color w:val="auto"/>
        </w:rPr>
      </w:pPr>
      <w:r>
        <w:rPr>
          <w:rFonts w:ascii="Times New Roman" w:eastAsia="宋体" w:cs="Times New Roman"/>
          <w:color w:val="auto"/>
        </w:rPr>
        <w:t>采购信息的内容</w:t>
      </w:r>
    </w:p>
    <w:p w14:paraId="3879D4A2">
      <w:pPr>
        <w:pStyle w:val="30"/>
        <w:ind w:firstLine="480"/>
        <w:rPr>
          <w:rFonts w:ascii="Times New Roman" w:hAnsi="Times New Roman" w:eastAsia="宋体" w:cs="Times New Roman"/>
        </w:rPr>
      </w:pPr>
      <w:r>
        <w:rPr>
          <w:rFonts w:ascii="Times New Roman" w:hAnsi="Times New Roman" w:eastAsia="宋体" w:cs="Times New Roman"/>
        </w:rPr>
        <w:t>6.1</w:t>
      </w:r>
      <w:r>
        <w:rPr>
          <w:rFonts w:ascii="Times New Roman" w:hAnsi="宋体" w:eastAsia="宋体" w:cs="Times New Roman"/>
        </w:rPr>
        <w:t>本项目的竞争性磋商文件包括下列文件：</w:t>
      </w:r>
    </w:p>
    <w:p w14:paraId="34DF1B8D">
      <w:pPr>
        <w:pStyle w:val="29"/>
        <w:ind w:firstLine="480"/>
        <w:rPr>
          <w:rFonts w:ascii="Times New Roman" w:hAnsi="Times New Roman" w:eastAsia="宋体" w:cs="Times New Roman"/>
        </w:rPr>
      </w:pPr>
      <w:r>
        <w:rPr>
          <w:rFonts w:ascii="Times New Roman" w:hAnsi="宋体" w:eastAsia="宋体" w:cs="Times New Roman"/>
        </w:rPr>
        <w:t>第一部分采购公告</w:t>
      </w:r>
    </w:p>
    <w:p w14:paraId="6E30BBBF">
      <w:pPr>
        <w:pStyle w:val="29"/>
        <w:ind w:firstLine="480"/>
        <w:rPr>
          <w:rFonts w:ascii="Times New Roman" w:hAnsi="Times New Roman" w:eastAsia="宋体" w:cs="Times New Roman"/>
        </w:rPr>
      </w:pPr>
      <w:r>
        <w:rPr>
          <w:rFonts w:ascii="Times New Roman" w:hAnsi="宋体" w:eastAsia="宋体" w:cs="Times New Roman"/>
        </w:rPr>
        <w:t>第二部分报价须知</w:t>
      </w:r>
    </w:p>
    <w:p w14:paraId="5E9F922F">
      <w:pPr>
        <w:pStyle w:val="29"/>
        <w:ind w:firstLine="480"/>
        <w:rPr>
          <w:rFonts w:ascii="Times New Roman" w:hAnsi="Times New Roman" w:eastAsia="宋体" w:cs="Times New Roman"/>
        </w:rPr>
      </w:pPr>
      <w:r>
        <w:rPr>
          <w:rFonts w:ascii="Times New Roman" w:hAnsi="宋体" w:eastAsia="宋体" w:cs="Times New Roman"/>
        </w:rPr>
        <w:t>第三部分项目需求</w:t>
      </w:r>
    </w:p>
    <w:p w14:paraId="2AB80265">
      <w:pPr>
        <w:pStyle w:val="29"/>
        <w:ind w:firstLine="480"/>
        <w:rPr>
          <w:rFonts w:ascii="Times New Roman" w:hAnsi="Times New Roman" w:eastAsia="宋体" w:cs="Times New Roman"/>
        </w:rPr>
      </w:pPr>
      <w:r>
        <w:rPr>
          <w:rFonts w:ascii="Times New Roman" w:hAnsi="宋体" w:eastAsia="宋体" w:cs="Times New Roman"/>
        </w:rPr>
        <w:t>第四部分磋商程序和评审方法、标准</w:t>
      </w:r>
    </w:p>
    <w:p w14:paraId="7040B70D">
      <w:pPr>
        <w:pStyle w:val="29"/>
        <w:ind w:firstLine="480"/>
        <w:rPr>
          <w:rFonts w:ascii="Times New Roman" w:hAnsi="Times New Roman" w:eastAsia="宋体" w:cs="Times New Roman"/>
        </w:rPr>
      </w:pPr>
      <w:r>
        <w:rPr>
          <w:rFonts w:ascii="Times New Roman" w:hAnsi="宋体" w:eastAsia="宋体" w:cs="Times New Roman"/>
        </w:rPr>
        <w:t>第五部分响应文件格式</w:t>
      </w:r>
    </w:p>
    <w:p w14:paraId="7DBB702B">
      <w:pPr>
        <w:pStyle w:val="29"/>
        <w:ind w:firstLine="480"/>
        <w:rPr>
          <w:rFonts w:ascii="Times New Roman" w:hAnsi="Times New Roman" w:eastAsia="宋体" w:cs="Times New Roman"/>
        </w:rPr>
      </w:pPr>
      <w:r>
        <w:rPr>
          <w:rFonts w:ascii="Times New Roman" w:hAnsi="宋体" w:eastAsia="宋体" w:cs="Times New Roman"/>
        </w:rPr>
        <w:t>第六部分合同草案条款</w:t>
      </w:r>
    </w:p>
    <w:p w14:paraId="1ACB2AF8">
      <w:pPr>
        <w:pStyle w:val="29"/>
        <w:ind w:firstLine="480"/>
        <w:rPr>
          <w:rFonts w:ascii="Times New Roman" w:hAnsi="Times New Roman" w:eastAsia="宋体" w:cs="Times New Roman"/>
        </w:rPr>
      </w:pPr>
      <w:r>
        <w:rPr>
          <w:rFonts w:ascii="Times New Roman" w:hAnsi="宋体" w:eastAsia="宋体" w:cs="Times New Roman"/>
        </w:rPr>
        <w:t>第七部分相关材料</w:t>
      </w:r>
    </w:p>
    <w:p w14:paraId="7F3C1D9E">
      <w:pPr>
        <w:pStyle w:val="30"/>
        <w:ind w:firstLine="480"/>
        <w:rPr>
          <w:rFonts w:ascii="Times New Roman" w:hAnsi="Times New Roman" w:eastAsia="宋体" w:cs="Times New Roman"/>
        </w:rPr>
      </w:pPr>
      <w:r>
        <w:rPr>
          <w:rFonts w:ascii="Times New Roman" w:hAnsi="Times New Roman" w:eastAsia="宋体" w:cs="Times New Roman"/>
        </w:rPr>
        <w:t xml:space="preserve">6.2 </w:t>
      </w:r>
      <w:r>
        <w:rPr>
          <w:rFonts w:ascii="Times New Roman" w:hAnsi="宋体" w:eastAsia="宋体" w:cs="Times New Roman"/>
        </w:rPr>
        <w:t>报价人应认真审阅竞争性磋商文件中所有的须知、条件、格式、项目、技术要求等。</w:t>
      </w:r>
    </w:p>
    <w:p w14:paraId="40493913">
      <w:pPr>
        <w:pStyle w:val="30"/>
        <w:ind w:firstLine="480"/>
        <w:rPr>
          <w:rFonts w:ascii="Times New Roman" w:hAnsi="Times New Roman" w:eastAsia="宋体" w:cs="Times New Roman"/>
        </w:rPr>
      </w:pPr>
      <w:r>
        <w:rPr>
          <w:rFonts w:ascii="Times New Roman" w:hAnsi="Times New Roman" w:eastAsia="宋体" w:cs="Times New Roman"/>
        </w:rPr>
        <w:t xml:space="preserve">6.3 </w:t>
      </w:r>
      <w:bookmarkStart w:id="23" w:name="_Toc115756024"/>
      <w:r>
        <w:rPr>
          <w:rFonts w:ascii="Times New Roman" w:hAnsi="宋体" w:eastAsia="宋体" w:cs="Times New Roman"/>
        </w:rPr>
        <w:t>报价人应认真检查竞争性磋商文件是否完整，若发现缺页或附件不全时，应及时向采购单位提出，以便补齐。</w:t>
      </w:r>
    </w:p>
    <w:p w14:paraId="541F5F59">
      <w:pPr>
        <w:pStyle w:val="28"/>
        <w:rPr>
          <w:rFonts w:ascii="Times New Roman" w:hAnsi="Times New Roman" w:eastAsia="宋体" w:cs="Times New Roman"/>
          <w:color w:val="auto"/>
        </w:rPr>
      </w:pPr>
      <w:r>
        <w:rPr>
          <w:rFonts w:ascii="Times New Roman" w:eastAsia="宋体" w:cs="Times New Roman"/>
          <w:color w:val="auto"/>
        </w:rPr>
        <w:t>竞争性磋商文件的澄清、修改</w:t>
      </w:r>
    </w:p>
    <w:p w14:paraId="5299C42E">
      <w:pPr>
        <w:pStyle w:val="30"/>
        <w:ind w:firstLine="480"/>
        <w:rPr>
          <w:rFonts w:ascii="Times New Roman" w:hAnsi="Times New Roman" w:eastAsia="宋体" w:cs="Times New Roman"/>
        </w:rPr>
      </w:pPr>
      <w:r>
        <w:rPr>
          <w:rFonts w:ascii="Times New Roman" w:hAnsi="Times New Roman" w:eastAsia="宋体" w:cs="Times New Roman"/>
        </w:rPr>
        <w:t xml:space="preserve">7.1 </w:t>
      </w:r>
      <w:r>
        <w:rPr>
          <w:rFonts w:ascii="Times New Roman" w:hAnsi="宋体" w:eastAsia="宋体" w:cs="Times New Roman"/>
        </w:rPr>
        <w:t>任何要求对竞争性磋商文件进行澄清的潜在报价人，均应在递交首次响应文件截止时间至少</w:t>
      </w:r>
      <w:r>
        <w:rPr>
          <w:rFonts w:ascii="Times New Roman" w:hAnsi="Times New Roman" w:eastAsia="宋体" w:cs="Times New Roman"/>
        </w:rPr>
        <w:t>5</w:t>
      </w:r>
      <w:r>
        <w:rPr>
          <w:rFonts w:ascii="Times New Roman" w:hAnsi="宋体" w:eastAsia="宋体" w:cs="Times New Roman"/>
        </w:rPr>
        <w:t>日前，以书面形式通知采购单位，或在磋商过程中向磋商小组提出。</w:t>
      </w:r>
    </w:p>
    <w:p w14:paraId="7007F34C">
      <w:pPr>
        <w:pStyle w:val="30"/>
        <w:ind w:firstLine="480"/>
        <w:rPr>
          <w:rFonts w:ascii="Times New Roman" w:hAnsi="Times New Roman" w:eastAsia="宋体" w:cs="Times New Roman"/>
          <w:lang w:val="zh-CN"/>
        </w:rPr>
      </w:pPr>
      <w:r>
        <w:rPr>
          <w:rFonts w:ascii="Times New Roman" w:hAnsi="Times New Roman" w:eastAsia="宋体" w:cs="Times New Roman"/>
        </w:rPr>
        <w:t xml:space="preserve">7.2 </w:t>
      </w:r>
      <w:r>
        <w:rPr>
          <w:rFonts w:ascii="Times New Roman" w:hAnsi="宋体" w:eastAsia="宋体" w:cs="Times New Roman"/>
        </w:rPr>
        <w:t>对在</w:t>
      </w:r>
      <w:r>
        <w:rPr>
          <w:rFonts w:ascii="Times New Roman" w:hAnsi="宋体" w:eastAsia="宋体" w:cs="Times New Roman"/>
          <w:lang w:val="zh-CN"/>
        </w:rPr>
        <w:t>递交首次响应文件截止时间之前收到的澄清要求，采购单位认为不必要进行澄清及</w:t>
      </w:r>
      <w:r>
        <w:rPr>
          <w:rFonts w:ascii="Times New Roman" w:hAnsi="Times New Roman" w:eastAsia="宋体" w:cs="Times New Roman"/>
          <w:lang w:val="zh-CN"/>
        </w:rPr>
        <w:t>/</w:t>
      </w:r>
      <w:r>
        <w:rPr>
          <w:rFonts w:ascii="Times New Roman" w:hAnsi="宋体" w:eastAsia="宋体" w:cs="Times New Roman"/>
          <w:lang w:val="zh-CN"/>
        </w:rPr>
        <w:t>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Style w:val="24"/>
          <w:rFonts w:ascii="Times New Roman" w:hAnsi="宋体" w:eastAsia="宋体" w:cs="Times New Roman"/>
          <w:color w:val="auto"/>
          <w:szCs w:val="21"/>
          <w:u w:val="none"/>
          <w:lang w:val="zh-CN"/>
        </w:rPr>
        <w:t>中国政府采购网</w:t>
      </w:r>
      <w:r>
        <w:rPr>
          <w:rStyle w:val="24"/>
          <w:rFonts w:ascii="Times New Roman" w:hAnsi="宋体" w:eastAsia="宋体" w:cs="Times New Roman"/>
          <w:color w:val="auto"/>
          <w:szCs w:val="21"/>
          <w:u w:val="none"/>
          <w:lang w:val="zh-CN"/>
        </w:rPr>
        <w:fldChar w:fldCharType="end"/>
      </w:r>
      <w:r>
        <w:rPr>
          <w:rFonts w:ascii="Times New Roman" w:hAnsi="宋体" w:eastAsia="宋体" w:cs="Times New Roman"/>
          <w:lang w:val="zh-CN"/>
        </w:rPr>
        <w:t>公告等书面方式送达要求澄清的报价人或全体潜在报价人。</w:t>
      </w:r>
    </w:p>
    <w:p w14:paraId="7C0D9B99">
      <w:pPr>
        <w:pStyle w:val="30"/>
        <w:ind w:firstLine="480"/>
        <w:rPr>
          <w:rFonts w:ascii="Times New Roman" w:hAnsi="Times New Roman" w:eastAsia="宋体" w:cs="Times New Roman"/>
          <w:lang w:val="zh-CN"/>
        </w:rPr>
      </w:pPr>
      <w:r>
        <w:rPr>
          <w:rFonts w:ascii="Times New Roman" w:hAnsi="Times New Roman" w:eastAsia="宋体" w:cs="Times New Roman"/>
          <w:lang w:val="zh-CN"/>
        </w:rPr>
        <w:t xml:space="preserve">7.3 </w:t>
      </w:r>
      <w:r>
        <w:rPr>
          <w:rFonts w:ascii="Times New Roman" w:hAnsi="宋体" w:eastAsia="宋体" w:cs="Times New Roman"/>
          <w:lang w:val="zh-CN"/>
        </w:rPr>
        <w:t>在递交首次响应文件截止之日前，采购单位或磋商小组均可对发出的竞争性磋商文件以补充文件形式进行必要的澄清或修改，并按照</w:t>
      </w:r>
      <w:r>
        <w:rPr>
          <w:rFonts w:ascii="Times New Roman" w:hAnsi="Times New Roman" w:eastAsia="宋体" w:cs="Times New Roman"/>
          <w:lang w:val="zh-CN"/>
        </w:rPr>
        <w:t>7.2</w:t>
      </w:r>
      <w:r>
        <w:rPr>
          <w:rFonts w:ascii="Times New Roman" w:hAnsi="宋体" w:eastAsia="宋体" w:cs="Times New Roman"/>
          <w:lang w:val="zh-CN"/>
        </w:rPr>
        <w:t>款方式将澄清或修改内容通知所有潜在报价人。</w:t>
      </w:r>
      <w:r>
        <w:rPr>
          <w:rFonts w:ascii="Times New Roman" w:hAnsi="宋体" w:eastAsia="宋体" w:cs="Times New Roman"/>
          <w:kern w:val="0"/>
        </w:rPr>
        <w:t>澄清或者修改的内容可能影响响应文件编制的，采购单位应当在提交首次响应文件截止时间至少</w:t>
      </w:r>
      <w:r>
        <w:rPr>
          <w:rFonts w:ascii="Times New Roman" w:hAnsi="Times New Roman" w:eastAsia="宋体" w:cs="Times New Roman"/>
          <w:kern w:val="0"/>
        </w:rPr>
        <w:t>5</w:t>
      </w:r>
      <w:r>
        <w:rPr>
          <w:rFonts w:ascii="Times New Roman" w:hAnsi="宋体" w:eastAsia="宋体" w:cs="Times New Roman"/>
          <w:kern w:val="0"/>
        </w:rPr>
        <w:t>日前，以书面形式通知所有获取磋商文件的供应商；不足</w:t>
      </w:r>
      <w:r>
        <w:rPr>
          <w:rFonts w:ascii="Times New Roman" w:hAnsi="Times New Roman" w:eastAsia="宋体" w:cs="Times New Roman"/>
          <w:kern w:val="0"/>
        </w:rPr>
        <w:t>5</w:t>
      </w:r>
      <w:r>
        <w:rPr>
          <w:rFonts w:ascii="Times New Roman" w:hAnsi="宋体" w:eastAsia="宋体" w:cs="Times New Roman"/>
          <w:kern w:val="0"/>
        </w:rPr>
        <w:t>日的，采购单位应当顺延提交首次响应文件截止时间。</w:t>
      </w:r>
    </w:p>
    <w:p w14:paraId="3117397D">
      <w:pPr>
        <w:pStyle w:val="30"/>
        <w:ind w:firstLine="480"/>
        <w:rPr>
          <w:rFonts w:ascii="Times New Roman" w:hAnsi="Times New Roman" w:eastAsia="宋体" w:cs="Times New Roman"/>
          <w:lang w:val="zh-CN"/>
        </w:rPr>
      </w:pPr>
      <w:r>
        <w:rPr>
          <w:rFonts w:ascii="Times New Roman" w:hAnsi="Times New Roman" w:eastAsia="宋体" w:cs="Times New Roman"/>
          <w:lang w:val="zh-CN"/>
        </w:rPr>
        <w:t xml:space="preserve">7.4 </w:t>
      </w:r>
      <w:r>
        <w:rPr>
          <w:rFonts w:ascii="Times New Roman" w:hAnsi="宋体" w:eastAsia="宋体" w:cs="Times New Roman"/>
          <w:lang w:val="zh-CN"/>
        </w:rPr>
        <w:t>澄清或者修改的内容为竞争性磋商文件的组成部分。</w:t>
      </w:r>
    </w:p>
    <w:p w14:paraId="63054274">
      <w:pPr>
        <w:pStyle w:val="30"/>
        <w:ind w:firstLine="480"/>
        <w:rPr>
          <w:rFonts w:ascii="Times New Roman" w:hAnsi="Times New Roman" w:eastAsia="宋体" w:cs="Times New Roman"/>
          <w:lang w:val="zh-CN"/>
        </w:rPr>
      </w:pPr>
      <w:r>
        <w:rPr>
          <w:rFonts w:ascii="Times New Roman" w:hAnsi="Times New Roman" w:eastAsia="宋体" w:cs="Times New Roman"/>
          <w:lang w:val="zh-CN"/>
        </w:rPr>
        <w:t xml:space="preserve">7.5 </w:t>
      </w:r>
      <w:r>
        <w:rPr>
          <w:rFonts w:ascii="Times New Roman" w:hAnsi="宋体" w:eastAsia="宋体" w:cs="Times New Roman"/>
          <w:lang w:val="zh-CN"/>
        </w:rPr>
        <w:t>采购单位可以视采购具体情况，在竞争性磋商文件要求递交首次响应文件截止时间前，有权决定延长递交磋商文件截止时间，并按照</w:t>
      </w:r>
      <w:r>
        <w:rPr>
          <w:rFonts w:ascii="Times New Roman" w:hAnsi="Times New Roman" w:eastAsia="宋体" w:cs="Times New Roman"/>
          <w:lang w:val="zh-CN"/>
        </w:rPr>
        <w:t>7.2</w:t>
      </w:r>
      <w:r>
        <w:rPr>
          <w:rFonts w:ascii="Times New Roman" w:hAnsi="宋体" w:eastAsia="宋体" w:cs="Times New Roman"/>
          <w:lang w:val="zh-CN"/>
        </w:rPr>
        <w:t>款方式将变更时间通知所有潜在报价人。</w:t>
      </w:r>
    </w:p>
    <w:p w14:paraId="5BD3585F">
      <w:pPr>
        <w:pStyle w:val="27"/>
        <w:rPr>
          <w:rFonts w:ascii="Times New Roman" w:hAnsi="Times New Roman" w:eastAsia="宋体" w:cs="Times New Roman"/>
          <w:color w:val="auto"/>
        </w:rPr>
      </w:pPr>
      <w:bookmarkStart w:id="24" w:name="_Toc499216474"/>
      <w:bookmarkStart w:id="25" w:name="_Toc103068839"/>
      <w:r>
        <w:rPr>
          <w:rFonts w:ascii="Times New Roman" w:hAnsi="宋体" w:eastAsia="宋体" w:cs="Times New Roman"/>
          <w:color w:val="auto"/>
        </w:rPr>
        <w:t>三、响应文件的编写</w:t>
      </w:r>
      <w:bookmarkEnd w:id="23"/>
      <w:bookmarkEnd w:id="24"/>
      <w:bookmarkEnd w:id="25"/>
    </w:p>
    <w:p w14:paraId="55F2147E">
      <w:pPr>
        <w:pStyle w:val="28"/>
        <w:rPr>
          <w:rFonts w:ascii="Times New Roman" w:hAnsi="Times New Roman" w:eastAsia="宋体" w:cs="Times New Roman"/>
          <w:color w:val="auto"/>
        </w:rPr>
      </w:pPr>
      <w:r>
        <w:rPr>
          <w:rFonts w:ascii="Times New Roman" w:eastAsia="宋体" w:cs="Times New Roman"/>
          <w:color w:val="auto"/>
        </w:rPr>
        <w:t>要求</w:t>
      </w:r>
    </w:p>
    <w:p w14:paraId="430919C3">
      <w:pPr>
        <w:pStyle w:val="29"/>
        <w:ind w:firstLine="480"/>
        <w:rPr>
          <w:rFonts w:ascii="Times New Roman" w:hAnsi="Times New Roman" w:eastAsia="宋体" w:cs="Times New Roman"/>
        </w:rPr>
      </w:pPr>
      <w:r>
        <w:rPr>
          <w:rFonts w:ascii="Times New Roman" w:hAnsi="宋体" w:eastAsia="宋体" w:cs="Times New Roman"/>
        </w:rPr>
        <w:t>报价人应仔细阅读竞争性磋商文件的所有内容，按竞争性磋商文件的要求编制响应文件，并保证所提供的全部资料的真实性、完整性及有效性，以使其报价对竞争性磋商文件做出实质性响应。</w:t>
      </w:r>
    </w:p>
    <w:p w14:paraId="4F2E2E92">
      <w:pPr>
        <w:pStyle w:val="28"/>
        <w:rPr>
          <w:rFonts w:ascii="Times New Roman" w:hAnsi="Times New Roman" w:eastAsia="宋体" w:cs="Times New Roman"/>
          <w:color w:val="auto"/>
        </w:rPr>
      </w:pPr>
      <w:r>
        <w:rPr>
          <w:rFonts w:ascii="Times New Roman" w:eastAsia="宋体" w:cs="Times New Roman"/>
          <w:color w:val="auto"/>
        </w:rPr>
        <w:t>响应文件的组成</w:t>
      </w:r>
    </w:p>
    <w:p w14:paraId="39BD83FC">
      <w:pPr>
        <w:pStyle w:val="30"/>
        <w:ind w:firstLine="480"/>
        <w:rPr>
          <w:rFonts w:ascii="Times New Roman" w:hAnsi="Times New Roman" w:eastAsia="宋体" w:cs="Times New Roman"/>
        </w:rPr>
      </w:pPr>
      <w:r>
        <w:rPr>
          <w:rFonts w:ascii="Times New Roman" w:hAnsi="Times New Roman" w:eastAsia="宋体" w:cs="Times New Roman"/>
        </w:rPr>
        <w:t xml:space="preserve"> “</w:t>
      </w:r>
      <w:r>
        <w:rPr>
          <w:rFonts w:ascii="Times New Roman" w:hAnsi="宋体" w:eastAsia="宋体" w:cs="Times New Roman"/>
        </w:rPr>
        <w:t>响应文件</w:t>
      </w:r>
      <w:r>
        <w:rPr>
          <w:rFonts w:ascii="Times New Roman" w:hAnsi="Times New Roman" w:eastAsia="宋体" w:cs="Times New Roman"/>
        </w:rPr>
        <w:t>”</w:t>
      </w:r>
      <w:r>
        <w:rPr>
          <w:rFonts w:ascii="Times New Roman" w:hAnsi="宋体" w:eastAsia="宋体" w:cs="Times New Roman"/>
        </w:rPr>
        <w:t>至少应包括下列部分</w:t>
      </w:r>
      <w:r>
        <w:rPr>
          <w:rFonts w:ascii="Times New Roman" w:hAnsi="宋体" w:eastAsia="宋体" w:cs="Times New Roman"/>
          <w:b/>
        </w:rPr>
        <w:t>（每页需加盖报价人公章）</w:t>
      </w:r>
      <w:r>
        <w:rPr>
          <w:rFonts w:ascii="Times New Roman" w:hAnsi="宋体" w:eastAsia="宋体" w:cs="Times New Roman"/>
        </w:rPr>
        <w:t>：</w:t>
      </w:r>
    </w:p>
    <w:p w14:paraId="367D386F">
      <w:pPr>
        <w:pStyle w:val="29"/>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*报价人有效营业执照副本</w:t>
      </w:r>
      <w:r>
        <w:rPr>
          <w:rFonts w:hint="eastAsia" w:ascii="Times New Roman" w:hAnsi="Times New Roman" w:eastAsia="宋体" w:cs="Times New Roman"/>
        </w:rPr>
        <w:t>或事业单位法人证书副本复印件或社会团体法人登记证书副本复印件；</w:t>
      </w:r>
    </w:p>
    <w:p w14:paraId="7CEAC4A6">
      <w:pPr>
        <w:pStyle w:val="29"/>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*法定代表人证明书或授权委托书（如非法定代表人亲自参与磋商时提供）；</w:t>
      </w:r>
    </w:p>
    <w:p w14:paraId="55871BB3">
      <w:pPr>
        <w:pStyle w:val="29"/>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*报价人简介（规模、实力、提供服务能力等）（不限于报价人资格声明）；</w:t>
      </w:r>
    </w:p>
    <w:p w14:paraId="7B2A9C9D">
      <w:pPr>
        <w:pStyle w:val="29"/>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*报价人递交本采购项目响应文件截止日一年内任意一个月依法交纳税收（个人所得税除外）和社会保障资金的相关证明材料复印件（加盖报价人公章）；</w:t>
      </w:r>
    </w:p>
    <w:p w14:paraId="68703651">
      <w:pPr>
        <w:pStyle w:val="29"/>
        <w:numPr>
          <w:ilvl w:val="0"/>
          <w:numId w:val="5"/>
        </w:numPr>
        <w:tabs>
          <w:tab w:val="left" w:pos="851"/>
          <w:tab w:val="left" w:pos="1134"/>
        </w:tabs>
        <w:ind w:left="0" w:firstLine="480" w:firstLineChars="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报价人基本银行账户开户银行出具的有效期内银行资信证明，或者报价人</w:t>
      </w:r>
      <w:r>
        <w:rPr>
          <w:rFonts w:hint="eastAsia" w:ascii="Times New Roman" w:hAnsi="Times New Roman" w:eastAsia="宋体" w:cs="Times New Roman"/>
        </w:rPr>
        <w:t>2</w:t>
      </w:r>
      <w:r>
        <w:rPr>
          <w:rFonts w:ascii="Times New Roman" w:hAnsi="Times New Roman" w:eastAsia="宋体" w:cs="Times New Roman"/>
        </w:rPr>
        <w:t>0</w:t>
      </w:r>
      <w:r>
        <w:rPr>
          <w:rFonts w:hint="eastAsia" w:ascii="Times New Roman" w:hAnsi="Times New Roman" w:eastAsia="宋体" w:cs="Times New Roman"/>
        </w:rPr>
        <w:t>2</w:t>
      </w:r>
      <w:r>
        <w:rPr>
          <w:rFonts w:ascii="Times New Roman" w:hAnsi="Times New Roman" w:eastAsia="宋体" w:cs="Times New Roman"/>
        </w:rPr>
        <w:t>3年度或2024年度经会计师事务所审计的财务报告复印件；</w:t>
      </w:r>
    </w:p>
    <w:p w14:paraId="33E0AF7F">
      <w:pPr>
        <w:pStyle w:val="29"/>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*报价人参加此项政府采购活动前3年内在经营活动中没有重大违法记录的书面声明；</w:t>
      </w:r>
    </w:p>
    <w:p w14:paraId="4DB96E75">
      <w:pPr>
        <w:pStyle w:val="29"/>
        <w:numPr>
          <w:ilvl w:val="0"/>
          <w:numId w:val="5"/>
        </w:numPr>
        <w:tabs>
          <w:tab w:val="left" w:pos="851"/>
          <w:tab w:val="left" w:pos="1134"/>
        </w:tabs>
        <w:ind w:left="0" w:firstLine="480" w:firstLineChars="0"/>
        <w:rPr>
          <w:rFonts w:ascii="Times New Roman" w:hAnsi="Times New Roman" w:eastAsia="宋体" w:cs="Times New Roman"/>
        </w:rPr>
      </w:pPr>
      <w:r>
        <w:rPr>
          <w:rFonts w:hint="eastAsia" w:ascii="Times New Roman" w:hAnsi="Times New Roman" w:eastAsia="宋体" w:cs="Times New Roman"/>
        </w:rPr>
        <w:t>*报价人关于一旦成为成交供应商，将按采购人要求和每期培训实际效果对方案进行完善，直至达到培训预期效果的书面承诺；</w:t>
      </w:r>
    </w:p>
    <w:p w14:paraId="5DCF57BE">
      <w:pPr>
        <w:pStyle w:val="29"/>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*报价明细表，须分项目详细列出</w:t>
      </w:r>
      <w:r>
        <w:rPr>
          <w:rFonts w:hint="eastAsia" w:ascii="Times New Roman" w:hAnsi="Times New Roman" w:eastAsia="宋体" w:cs="Times New Roman"/>
        </w:rPr>
        <w:t>各类费用开支</w:t>
      </w:r>
      <w:r>
        <w:rPr>
          <w:rFonts w:ascii="Times New Roman" w:hAnsi="Times New Roman" w:eastAsia="宋体" w:cs="Times New Roman"/>
        </w:rPr>
        <w:t>；</w:t>
      </w:r>
    </w:p>
    <w:p w14:paraId="7665FAAC">
      <w:pPr>
        <w:pStyle w:val="29"/>
        <w:numPr>
          <w:ilvl w:val="0"/>
          <w:numId w:val="5"/>
        </w:numPr>
        <w:tabs>
          <w:tab w:val="left" w:pos="851"/>
          <w:tab w:val="left" w:pos="1134"/>
        </w:tabs>
        <w:ind w:left="0" w:firstLine="480" w:firstLineChars="0"/>
        <w:rPr>
          <w:rFonts w:ascii="Times New Roman" w:hAnsi="Times New Roman" w:eastAsia="宋体" w:cs="Times New Roman"/>
        </w:rPr>
      </w:pPr>
      <w:r>
        <w:rPr>
          <w:rFonts w:hint="eastAsia" w:ascii="Times New Roman" w:hAnsi="Times New Roman" w:eastAsia="宋体" w:cs="Times New Roman"/>
        </w:rPr>
        <w:t>报价</w:t>
      </w:r>
      <w:r>
        <w:rPr>
          <w:rFonts w:ascii="Times New Roman" w:hAnsi="Times New Roman" w:eastAsia="宋体" w:cs="Times New Roman"/>
        </w:rPr>
        <w:t>人20</w:t>
      </w:r>
      <w:r>
        <w:rPr>
          <w:rFonts w:hint="eastAsia" w:ascii="Times New Roman" w:hAnsi="Times New Roman" w:eastAsia="宋体" w:cs="Times New Roman"/>
        </w:rPr>
        <w:t>2</w:t>
      </w:r>
      <w:r>
        <w:rPr>
          <w:rFonts w:ascii="Times New Roman" w:hAnsi="Times New Roman" w:eastAsia="宋体" w:cs="Times New Roman"/>
        </w:rPr>
        <w:t>2年</w:t>
      </w:r>
      <w:r>
        <w:rPr>
          <w:rFonts w:hint="eastAsia" w:ascii="Times New Roman" w:hAnsi="Times New Roman" w:eastAsia="宋体" w:cs="Times New Roman"/>
        </w:rPr>
        <w:t>1</w:t>
      </w:r>
      <w:r>
        <w:rPr>
          <w:rFonts w:ascii="Times New Roman" w:hAnsi="Times New Roman" w:eastAsia="宋体" w:cs="Times New Roman"/>
        </w:rPr>
        <w:t>月1日起至本采购项目</w:t>
      </w:r>
      <w:r>
        <w:rPr>
          <w:rFonts w:hint="eastAsia" w:ascii="Times New Roman" w:hAnsi="Times New Roman" w:eastAsia="宋体" w:cs="Times New Roman"/>
        </w:rPr>
        <w:t>磋商</w:t>
      </w:r>
      <w:r>
        <w:rPr>
          <w:rFonts w:ascii="Times New Roman" w:hAnsi="Times New Roman" w:eastAsia="宋体" w:cs="Times New Roman"/>
        </w:rPr>
        <w:t>响应文件递交截止日期</w:t>
      </w:r>
      <w:r>
        <w:rPr>
          <w:rFonts w:hint="eastAsia" w:ascii="Times New Roman" w:hAnsi="Times New Roman" w:eastAsia="宋体" w:cs="Times New Roman"/>
        </w:rPr>
        <w:t>间培训</w:t>
      </w:r>
      <w:r>
        <w:rPr>
          <w:rFonts w:ascii="Times New Roman" w:hAnsi="Times New Roman" w:eastAsia="宋体" w:cs="Times New Roman"/>
        </w:rPr>
        <w:t>类项目业绩证明材料</w:t>
      </w:r>
      <w:r>
        <w:rPr>
          <w:rFonts w:hint="eastAsia" w:ascii="Times New Roman" w:hAnsi="Times New Roman" w:eastAsia="宋体" w:cs="Times New Roman"/>
        </w:rPr>
        <w:t>（包括但不限于关于培训事宜的委托函、通知、合同复印件等证明文件）</w:t>
      </w:r>
      <w:r>
        <w:rPr>
          <w:rFonts w:ascii="Times New Roman" w:hAnsi="Times New Roman" w:eastAsia="宋体" w:cs="Times New Roman"/>
        </w:rPr>
        <w:t>，</w:t>
      </w:r>
      <w:r>
        <w:rPr>
          <w:rFonts w:hint="eastAsia" w:ascii="Times New Roman" w:hAnsi="Times New Roman" w:eastAsia="宋体" w:cs="Times New Roman"/>
        </w:rPr>
        <w:t>证明</w:t>
      </w:r>
      <w:r>
        <w:rPr>
          <w:rFonts w:ascii="Times New Roman" w:hAnsi="Times New Roman" w:eastAsia="宋体" w:cs="Times New Roman"/>
        </w:rPr>
        <w:t>文件签署日期应在</w:t>
      </w:r>
      <w:r>
        <w:rPr>
          <w:rFonts w:hint="eastAsia" w:ascii="Times New Roman" w:hAnsi="Times New Roman" w:eastAsia="宋体" w:cs="Times New Roman"/>
        </w:rPr>
        <w:t>20</w:t>
      </w:r>
      <w:r>
        <w:rPr>
          <w:rFonts w:ascii="Times New Roman" w:hAnsi="Times New Roman" w:eastAsia="宋体" w:cs="Times New Roman"/>
        </w:rPr>
        <w:t>22年</w:t>
      </w:r>
      <w:r>
        <w:rPr>
          <w:rFonts w:hint="eastAsia" w:ascii="Times New Roman" w:hAnsi="Times New Roman" w:eastAsia="宋体" w:cs="Times New Roman"/>
        </w:rPr>
        <w:t>1</w:t>
      </w:r>
      <w:r>
        <w:rPr>
          <w:rFonts w:ascii="Times New Roman" w:hAnsi="Times New Roman" w:eastAsia="宋体" w:cs="Times New Roman"/>
        </w:rPr>
        <w:t>月1日至本采购项目</w:t>
      </w:r>
      <w:r>
        <w:rPr>
          <w:rFonts w:hint="eastAsia" w:ascii="Times New Roman" w:hAnsi="Times New Roman" w:eastAsia="宋体" w:cs="Times New Roman"/>
        </w:rPr>
        <w:t>磋商</w:t>
      </w:r>
      <w:r>
        <w:rPr>
          <w:rFonts w:ascii="Times New Roman" w:hAnsi="Times New Roman" w:eastAsia="宋体" w:cs="Times New Roman"/>
        </w:rPr>
        <w:t>响应文件递交截止日期期间，否则不予认定</w:t>
      </w:r>
      <w:r>
        <w:rPr>
          <w:rFonts w:hint="eastAsia" w:ascii="Times New Roman" w:hAnsi="Times New Roman" w:eastAsia="宋体" w:cs="Times New Roman"/>
        </w:rPr>
        <w:t>。合同复印件应清楚显示：合同双方名称、服务内容、合同签订时间、合同总金额</w:t>
      </w:r>
      <w:r>
        <w:rPr>
          <w:rFonts w:hint="eastAsia" w:ascii="宋体" w:hAnsi="宋体" w:eastAsia="宋体" w:cs="Times New Roman"/>
        </w:rPr>
        <w:t>等</w:t>
      </w:r>
      <w:r>
        <w:rPr>
          <w:rFonts w:hint="eastAsia" w:ascii="Times New Roman" w:hAnsi="Times New Roman" w:eastAsia="宋体" w:cs="Times New Roman"/>
        </w:rPr>
        <w:t>；</w:t>
      </w:r>
    </w:p>
    <w:p w14:paraId="414E92D8">
      <w:pPr>
        <w:pStyle w:val="29"/>
        <w:numPr>
          <w:ilvl w:val="0"/>
          <w:numId w:val="5"/>
        </w:numPr>
        <w:tabs>
          <w:tab w:val="left" w:pos="851"/>
          <w:tab w:val="left" w:pos="1134"/>
        </w:tabs>
        <w:ind w:left="0" w:firstLine="480" w:firstLineChars="0"/>
        <w:rPr>
          <w:rFonts w:ascii="Times New Roman" w:hAnsi="Times New Roman" w:eastAsia="宋体" w:cs="Times New Roman"/>
        </w:rPr>
      </w:pPr>
      <w:r>
        <w:rPr>
          <w:rFonts w:hint="eastAsia" w:ascii="Times New Roman" w:hAnsi="Times New Roman" w:eastAsia="宋体" w:cs="Times New Roman"/>
        </w:rPr>
        <w:t>报价人针对本采购文件第三部分的采购需求制定具体的服务方案，服务方案应阐述报价人对本项目的需求理解、培训组织和培训计划安排、师资力量或资源、具体授课教师的概况和工作单位、培训形式、培训地点、具体课程设置和课时安排、后勤安排及保障管理方案、培训后预期效果；</w:t>
      </w:r>
    </w:p>
    <w:p w14:paraId="7E6433C5">
      <w:pPr>
        <w:pStyle w:val="29"/>
        <w:numPr>
          <w:ilvl w:val="0"/>
          <w:numId w:val="5"/>
        </w:numPr>
        <w:tabs>
          <w:tab w:val="left" w:pos="851"/>
          <w:tab w:val="left" w:pos="1134"/>
        </w:tabs>
        <w:ind w:left="0" w:firstLine="480" w:firstLineChars="0"/>
        <w:rPr>
          <w:rFonts w:ascii="Times New Roman" w:hAnsi="Times New Roman" w:eastAsia="宋体" w:cs="Times New Roman"/>
        </w:rPr>
      </w:pPr>
      <w:r>
        <w:rPr>
          <w:rFonts w:hint="eastAsia" w:ascii="Times New Roman" w:hAnsi="Times New Roman" w:eastAsia="宋体" w:cs="Times New Roman"/>
        </w:rPr>
        <w:t>报价人参与本项目的</w:t>
      </w:r>
      <w:bookmarkStart w:id="26" w:name="OLE_LINK1"/>
      <w:r>
        <w:rPr>
          <w:rFonts w:hint="eastAsia" w:ascii="Times New Roman" w:hAnsi="Times New Roman" w:eastAsia="宋体" w:cs="Times New Roman"/>
        </w:rPr>
        <w:t>团队情况，包括团队架构、</w:t>
      </w:r>
      <w:r>
        <w:rPr>
          <w:rFonts w:ascii="Times New Roman" w:hAnsi="Times New Roman" w:eastAsia="宋体" w:cs="Times New Roman"/>
        </w:rPr>
        <w:t>人员配置及数量</w:t>
      </w:r>
      <w:r>
        <w:rPr>
          <w:rFonts w:hint="eastAsia" w:ascii="Times New Roman" w:hAnsi="Times New Roman" w:eastAsia="宋体" w:cs="Times New Roman"/>
        </w:rPr>
        <w:t>、项目负责人及团队人员信息和业绩经验等资料；</w:t>
      </w:r>
      <w:bookmarkEnd w:id="26"/>
    </w:p>
    <w:p w14:paraId="6522FB75">
      <w:pPr>
        <w:pStyle w:val="29"/>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中小企业声明函（</w:t>
      </w:r>
      <w:r>
        <w:rPr>
          <w:rFonts w:ascii="Times New Roman" w:hAnsi="Times New Roman" w:eastAsia="宋体" w:cs="Times New Roman"/>
          <w:b/>
          <w:u w:val="single"/>
        </w:rPr>
        <w:t>如报价人满足中小微企业条件时提供，不提供中小企业声明函不予认定</w:t>
      </w:r>
      <w:r>
        <w:rPr>
          <w:rFonts w:ascii="Times New Roman" w:hAnsi="Times New Roman" w:eastAsia="宋体" w:cs="Times New Roman"/>
        </w:rPr>
        <w:t>）；</w:t>
      </w:r>
    </w:p>
    <w:p w14:paraId="0A15B11E">
      <w:pPr>
        <w:pStyle w:val="29"/>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残疾人福利性单位声明函（如报价人满足残疾人福利性单位条件时提供）；</w:t>
      </w:r>
    </w:p>
    <w:p w14:paraId="7D3877CE">
      <w:pPr>
        <w:pStyle w:val="29"/>
        <w:numPr>
          <w:ilvl w:val="0"/>
          <w:numId w:val="5"/>
        </w:numPr>
        <w:tabs>
          <w:tab w:val="left" w:pos="851"/>
          <w:tab w:val="left" w:pos="1134"/>
        </w:tabs>
        <w:ind w:left="0" w:firstLine="480" w:firstLineChars="0"/>
        <w:rPr>
          <w:rFonts w:ascii="Times New Roman" w:hAnsi="Times New Roman" w:cs="Times New Roman"/>
        </w:rPr>
      </w:pPr>
      <w:r>
        <w:rPr>
          <w:rFonts w:ascii="Times New Roman" w:hAnsi="Times New Roman" w:cs="Times New Roman"/>
        </w:rPr>
        <w:t>报价人认为需要提供的其它说明和资料。</w:t>
      </w:r>
    </w:p>
    <w:p w14:paraId="7A59049B">
      <w:pPr>
        <w:pStyle w:val="29"/>
        <w:ind w:firstLine="482"/>
        <w:rPr>
          <w:rFonts w:ascii="Times New Roman" w:hAnsi="Times New Roman" w:eastAsia="宋体" w:cs="Times New Roman"/>
          <w:b/>
        </w:rPr>
      </w:pPr>
      <w:r>
        <w:rPr>
          <w:rFonts w:ascii="Times New Roman" w:hAnsi="宋体" w:eastAsia="宋体" w:cs="Times New Roman"/>
          <w:b/>
        </w:rPr>
        <w:t>以上内容，凡加</w:t>
      </w:r>
      <w:r>
        <w:rPr>
          <w:rFonts w:ascii="Times New Roman" w:hAnsi="Times New Roman" w:eastAsia="宋体" w:cs="Times New Roman"/>
          <w:b/>
        </w:rPr>
        <w:t>*</w:t>
      </w:r>
      <w:r>
        <w:rPr>
          <w:rFonts w:ascii="Times New Roman" w:hAnsi="宋体" w:eastAsia="宋体" w:cs="Times New Roman"/>
          <w:b/>
        </w:rPr>
        <w:t>项目若有缺失或无效</w:t>
      </w:r>
      <w:r>
        <w:rPr>
          <w:rFonts w:ascii="Times New Roman" w:hAnsi="宋体" w:eastAsia="宋体" w:cs="Times New Roman"/>
          <w:b/>
          <w:bCs/>
        </w:rPr>
        <w:t>，</w:t>
      </w:r>
      <w:r>
        <w:rPr>
          <w:rFonts w:ascii="Times New Roman" w:hAnsi="宋体" w:eastAsia="宋体" w:cs="Times New Roman"/>
          <w:b/>
        </w:rPr>
        <w:t>将导致磋商响应文件无效。</w:t>
      </w:r>
    </w:p>
    <w:p w14:paraId="4412A85E">
      <w:pPr>
        <w:pStyle w:val="28"/>
        <w:rPr>
          <w:rFonts w:ascii="Times New Roman" w:hAnsi="Times New Roman" w:eastAsia="宋体" w:cs="Times New Roman"/>
          <w:color w:val="auto"/>
        </w:rPr>
      </w:pPr>
      <w:r>
        <w:rPr>
          <w:rFonts w:ascii="Times New Roman" w:eastAsia="宋体" w:cs="Times New Roman"/>
          <w:color w:val="auto"/>
        </w:rPr>
        <w:t>响应文件格式</w:t>
      </w:r>
    </w:p>
    <w:p w14:paraId="1AD1F3F2">
      <w:pPr>
        <w:pStyle w:val="30"/>
        <w:ind w:firstLine="480"/>
        <w:rPr>
          <w:rFonts w:ascii="Times New Roman" w:hAnsi="Times New Roman" w:eastAsia="宋体" w:cs="Times New Roman"/>
          <w:b/>
        </w:rPr>
      </w:pPr>
      <w:r>
        <w:rPr>
          <w:rFonts w:ascii="Times New Roman" w:hAnsi="Times New Roman" w:eastAsia="宋体" w:cs="Times New Roman"/>
        </w:rPr>
        <w:t>10.1</w:t>
      </w:r>
      <w:r>
        <w:rPr>
          <w:rFonts w:ascii="Times New Roman" w:hAnsi="宋体" w:eastAsia="宋体" w:cs="Times New Roman"/>
        </w:rPr>
        <w:t>竞争性磋商文件中凡提供响应文件格式的内容，报价人应按提供的格式填写，其余未提供格式的内容由报价人自行设计编写。</w:t>
      </w:r>
    </w:p>
    <w:p w14:paraId="03883D92">
      <w:pPr>
        <w:pStyle w:val="30"/>
        <w:ind w:firstLine="480"/>
        <w:rPr>
          <w:rFonts w:ascii="Times New Roman" w:hAnsi="Times New Roman" w:eastAsia="宋体" w:cs="Times New Roman"/>
        </w:rPr>
      </w:pPr>
      <w:r>
        <w:rPr>
          <w:rFonts w:ascii="Times New Roman" w:hAnsi="Times New Roman" w:eastAsia="宋体" w:cs="Times New Roman"/>
        </w:rPr>
        <w:t xml:space="preserve">10.2 </w:t>
      </w:r>
      <w:r>
        <w:rPr>
          <w:rFonts w:ascii="Times New Roman" w:hAnsi="宋体" w:eastAsia="宋体" w:cs="Times New Roman"/>
        </w:rPr>
        <w:t>响应文件应编排清楚，编制目录，易于阅读和评审。</w:t>
      </w:r>
    </w:p>
    <w:p w14:paraId="1CAEB56D">
      <w:pPr>
        <w:pStyle w:val="28"/>
        <w:rPr>
          <w:rFonts w:ascii="Times New Roman" w:hAnsi="Times New Roman" w:eastAsia="宋体" w:cs="Times New Roman"/>
          <w:color w:val="auto"/>
        </w:rPr>
      </w:pPr>
      <w:r>
        <w:rPr>
          <w:rFonts w:ascii="Times New Roman" w:eastAsia="宋体" w:cs="Times New Roman"/>
          <w:color w:val="auto"/>
        </w:rPr>
        <w:t>报价</w:t>
      </w:r>
    </w:p>
    <w:p w14:paraId="7572D097">
      <w:pPr>
        <w:pStyle w:val="30"/>
        <w:ind w:firstLine="480"/>
        <w:rPr>
          <w:rFonts w:ascii="Times New Roman" w:hAnsi="Times New Roman" w:eastAsia="宋体" w:cs="Times New Roman"/>
        </w:rPr>
      </w:pPr>
      <w:r>
        <w:rPr>
          <w:rFonts w:ascii="Times New Roman" w:hAnsi="Times New Roman" w:eastAsia="宋体" w:cs="Times New Roman"/>
        </w:rPr>
        <w:t>11.1</w:t>
      </w:r>
      <w:r>
        <w:rPr>
          <w:rFonts w:ascii="Times New Roman" w:hAnsi="宋体" w:eastAsia="宋体" w:cs="Times New Roman"/>
        </w:rPr>
        <w:t>报价方应提供以人民币为结算单位的报价。</w:t>
      </w:r>
    </w:p>
    <w:p w14:paraId="50B92152">
      <w:pPr>
        <w:pStyle w:val="30"/>
        <w:ind w:firstLine="480"/>
        <w:rPr>
          <w:rFonts w:ascii="Times New Roman" w:hAnsi="Times New Roman" w:eastAsia="宋体" w:cs="Times New Roman"/>
        </w:rPr>
      </w:pPr>
      <w:r>
        <w:rPr>
          <w:rFonts w:ascii="Times New Roman" w:hAnsi="Times New Roman" w:eastAsia="宋体" w:cs="Times New Roman"/>
        </w:rPr>
        <w:t>11.2</w:t>
      </w:r>
      <w:r>
        <w:rPr>
          <w:rFonts w:ascii="Times New Roman" w:hAnsi="宋体" w:eastAsia="宋体" w:cs="Times New Roman"/>
        </w:rPr>
        <w:t>报价企业的报价应为完成本项目所需的全部费用，包括但不限于以下费用：</w:t>
      </w:r>
    </w:p>
    <w:p w14:paraId="6940395A">
      <w:pPr>
        <w:pStyle w:val="30"/>
        <w:ind w:firstLine="480"/>
        <w:rPr>
          <w:rFonts w:ascii="Times New Roman" w:hAnsi="Times New Roman" w:eastAsia="宋体" w:cs="Times New Roman"/>
        </w:rPr>
      </w:pPr>
      <w:r>
        <w:rPr>
          <w:rFonts w:hint="eastAsia" w:ascii="宋体" w:hAnsi="宋体" w:eastAsia="宋体"/>
        </w:rPr>
        <w:t>人工费、差旅费、咨询费、委托专家等第三方相关费用、保险、税金、利润等全部费用。</w:t>
      </w:r>
    </w:p>
    <w:p w14:paraId="5FE5277B">
      <w:pPr>
        <w:spacing w:line="360" w:lineRule="auto"/>
        <w:ind w:right="-46" w:firstLine="420"/>
        <w:rPr>
          <w:rFonts w:ascii="Times New Roman" w:hAnsi="宋体" w:eastAsia="宋体" w:cs="Times New Roman"/>
          <w:sz w:val="24"/>
        </w:rPr>
      </w:pPr>
      <w:r>
        <w:rPr>
          <w:rFonts w:ascii="Times New Roman" w:hAnsi="Times New Roman" w:eastAsia="宋体" w:cs="Times New Roman"/>
          <w:sz w:val="24"/>
        </w:rPr>
        <w:t>11.3</w:t>
      </w:r>
      <w:r>
        <w:rPr>
          <w:rFonts w:ascii="Times New Roman" w:hAnsi="宋体" w:eastAsia="宋体" w:cs="Times New Roman"/>
          <w:sz w:val="24"/>
        </w:rPr>
        <w:t>自响应文件递交截止日期算起，响应文件有效期为</w:t>
      </w:r>
      <w:r>
        <w:rPr>
          <w:rFonts w:ascii="Times New Roman" w:hAnsi="Times New Roman" w:eastAsia="宋体" w:cs="Times New Roman"/>
          <w:sz w:val="24"/>
        </w:rPr>
        <w:t>90</w:t>
      </w:r>
      <w:r>
        <w:rPr>
          <w:rFonts w:ascii="Times New Roman" w:hAnsi="宋体" w:eastAsia="宋体" w:cs="Times New Roman"/>
          <w:sz w:val="24"/>
        </w:rPr>
        <w:t>日历天。</w:t>
      </w:r>
    </w:p>
    <w:p w14:paraId="75288833">
      <w:pPr>
        <w:spacing w:line="360" w:lineRule="auto"/>
        <w:ind w:right="-46" w:firstLine="420"/>
        <w:rPr>
          <w:rFonts w:hint="eastAsia" w:ascii="Times New Roman" w:hAnsi="Times New Roman" w:eastAsia="宋体" w:cs="Times New Roman"/>
          <w:sz w:val="24"/>
        </w:rPr>
      </w:pPr>
      <w:r>
        <w:rPr>
          <w:rFonts w:hint="eastAsia" w:ascii="Times New Roman" w:hAnsi="Times New Roman" w:eastAsia="宋体" w:cs="Times New Roman"/>
          <w:sz w:val="24"/>
        </w:rPr>
        <w:t>11.4本次采购收取采购代理服务费，采购代理服务费按照</w:t>
      </w:r>
      <w:r>
        <w:rPr>
          <w:rFonts w:ascii="Times New Roman" w:hAnsi="Times New Roman" w:eastAsia="宋体" w:cs="Times New Roman"/>
          <w:sz w:val="24"/>
        </w:rPr>
        <w:t>差额定率累进计费方式</w:t>
      </w:r>
      <w:r>
        <w:rPr>
          <w:rFonts w:hint="eastAsia" w:ascii="Times New Roman" w:hAnsi="Times New Roman" w:eastAsia="宋体" w:cs="Times New Roman"/>
          <w:sz w:val="24"/>
        </w:rPr>
        <w:t>计取，由成交人在采购结果公告后7个工作日内向采购单位一次支付。</w:t>
      </w:r>
    </w:p>
    <w:tbl>
      <w:tblPr>
        <w:tblStyle w:val="19"/>
        <w:tblpPr w:leftFromText="180" w:rightFromText="180" w:vertAnchor="text" w:horzAnchor="page" w:tblpX="2474" w:tblpY="19"/>
        <w:tblOverlap w:val="never"/>
        <w:tblW w:w="4093" w:type="pct"/>
        <w:tblInd w:w="0" w:type="dxa"/>
        <w:tblLayout w:type="fixed"/>
        <w:tblCellMar>
          <w:top w:w="0" w:type="dxa"/>
          <w:left w:w="108" w:type="dxa"/>
          <w:bottom w:w="0" w:type="dxa"/>
          <w:right w:w="108" w:type="dxa"/>
        </w:tblCellMar>
      </w:tblPr>
      <w:tblGrid>
        <w:gridCol w:w="873"/>
        <w:gridCol w:w="2665"/>
        <w:gridCol w:w="1838"/>
        <w:gridCol w:w="2691"/>
      </w:tblGrid>
      <w:tr w14:paraId="3B465683">
        <w:tblPrEx>
          <w:tblCellMar>
            <w:top w:w="0" w:type="dxa"/>
            <w:left w:w="108" w:type="dxa"/>
            <w:bottom w:w="0" w:type="dxa"/>
            <w:right w:w="108" w:type="dxa"/>
          </w:tblCellMar>
        </w:tblPrEx>
        <w:trPr>
          <w:trHeight w:val="795" w:hRule="atLeast"/>
        </w:trPr>
        <w:tc>
          <w:tcPr>
            <w:tcW w:w="541"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D3BE956">
            <w:pPr>
              <w:keepNext/>
              <w:keepLines/>
              <w:snapToGrid w:val="0"/>
              <w:spacing w:before="260" w:after="260"/>
              <w:jc w:val="center"/>
              <w:outlineLvl w:val="1"/>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档次</w:t>
            </w:r>
          </w:p>
        </w:tc>
        <w:tc>
          <w:tcPr>
            <w:tcW w:w="1651"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AFF472C">
            <w:pPr>
              <w:keepNext/>
              <w:keepLines/>
              <w:snapToGrid w:val="0"/>
              <w:spacing w:before="260" w:after="260"/>
              <w:jc w:val="center"/>
              <w:outlineLvl w:val="1"/>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采购金额（万元）</w:t>
            </w:r>
          </w:p>
        </w:tc>
        <w:tc>
          <w:tcPr>
            <w:tcW w:w="113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9BCD8E2">
            <w:pPr>
              <w:keepNext/>
              <w:keepLines/>
              <w:snapToGrid w:val="0"/>
              <w:spacing w:before="260" w:after="260"/>
              <w:jc w:val="center"/>
              <w:outlineLvl w:val="1"/>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服务费计费率</w:t>
            </w:r>
          </w:p>
        </w:tc>
        <w:tc>
          <w:tcPr>
            <w:tcW w:w="1668"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FAB82CB">
            <w:pPr>
              <w:keepNext/>
              <w:keepLines/>
              <w:snapToGrid w:val="0"/>
              <w:spacing w:before="260" w:after="260"/>
              <w:jc w:val="center"/>
              <w:outlineLvl w:val="1"/>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累计服务费（</w:t>
            </w:r>
            <w:r>
              <w:rPr>
                <w:rFonts w:hint="eastAsia" w:asciiTheme="minorEastAsia" w:hAnsiTheme="minorEastAsia" w:eastAsiaTheme="minorEastAsia" w:cstheme="minorEastAsia"/>
                <w:b/>
                <w:bCs/>
                <w:color w:val="000000"/>
                <w:szCs w:val="21"/>
                <w:lang w:val="en-US" w:eastAsia="zh-CN"/>
              </w:rPr>
              <w:t>万</w:t>
            </w:r>
            <w:r>
              <w:rPr>
                <w:rFonts w:hint="eastAsia" w:asciiTheme="minorEastAsia" w:hAnsiTheme="minorEastAsia" w:eastAsiaTheme="minorEastAsia" w:cstheme="minorEastAsia"/>
                <w:b/>
                <w:bCs/>
                <w:color w:val="000000"/>
                <w:szCs w:val="21"/>
              </w:rPr>
              <w:t>元）</w:t>
            </w:r>
          </w:p>
        </w:tc>
      </w:tr>
      <w:tr w14:paraId="55062847">
        <w:tblPrEx>
          <w:tblCellMar>
            <w:top w:w="0" w:type="dxa"/>
            <w:left w:w="108" w:type="dxa"/>
            <w:bottom w:w="0" w:type="dxa"/>
            <w:right w:w="108" w:type="dxa"/>
          </w:tblCellMar>
        </w:tblPrEx>
        <w:trPr>
          <w:trHeight w:val="702"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76A3">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F91C">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415979FA">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1.50%</w:t>
            </w:r>
          </w:p>
        </w:tc>
        <w:tc>
          <w:tcPr>
            <w:tcW w:w="1668" w:type="pct"/>
            <w:tcBorders>
              <w:top w:val="single" w:color="000000" w:sz="4" w:space="0"/>
              <w:left w:val="single" w:color="000000" w:sz="4" w:space="0"/>
              <w:bottom w:val="single" w:color="000000" w:sz="4" w:space="0"/>
              <w:right w:val="single" w:color="000000" w:sz="4" w:space="0"/>
            </w:tcBorders>
            <w:vAlign w:val="center"/>
          </w:tcPr>
          <w:p w14:paraId="2F566C45">
            <w:pPr>
              <w:keepNext/>
              <w:keepLines/>
              <w:snapToGrid w:val="0"/>
              <w:spacing w:before="260" w:after="260"/>
              <w:jc w:val="center"/>
              <w:outlineLvl w:val="1"/>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最多</w:t>
            </w: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.5</w:t>
            </w:r>
          </w:p>
        </w:tc>
      </w:tr>
      <w:tr w14:paraId="7FA36491">
        <w:tblPrEx>
          <w:tblCellMar>
            <w:top w:w="0" w:type="dxa"/>
            <w:left w:w="108" w:type="dxa"/>
            <w:bottom w:w="0" w:type="dxa"/>
            <w:right w:w="108" w:type="dxa"/>
          </w:tblCellMar>
        </w:tblPrEx>
        <w:trPr>
          <w:trHeight w:val="59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5DB2">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FC5E">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超过 100-500以下 </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13F0C6B9">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0.80%</w:t>
            </w:r>
          </w:p>
        </w:tc>
        <w:tc>
          <w:tcPr>
            <w:tcW w:w="1668" w:type="pct"/>
            <w:tcBorders>
              <w:top w:val="single" w:color="000000" w:sz="4" w:space="0"/>
              <w:left w:val="single" w:color="000000" w:sz="4" w:space="0"/>
              <w:bottom w:val="single" w:color="000000" w:sz="4" w:space="0"/>
              <w:right w:val="single" w:color="000000" w:sz="4" w:space="0"/>
            </w:tcBorders>
            <w:vAlign w:val="center"/>
          </w:tcPr>
          <w:p w14:paraId="78D3F732">
            <w:pPr>
              <w:keepNext/>
              <w:keepLines/>
              <w:snapToGrid w:val="0"/>
              <w:spacing w:before="260" w:after="260"/>
              <w:jc w:val="center"/>
              <w:outlineLvl w:val="1"/>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最多</w:t>
            </w:r>
            <w:r>
              <w:rPr>
                <w:rFonts w:hint="eastAsia" w:asciiTheme="minorEastAsia" w:hAnsiTheme="minorEastAsia" w:eastAsiaTheme="minorEastAsia" w:cstheme="minorEastAsia"/>
                <w:color w:val="000000"/>
                <w:szCs w:val="21"/>
              </w:rPr>
              <w:t>4</w:t>
            </w:r>
            <w:r>
              <w:rPr>
                <w:rFonts w:hint="eastAsia" w:asciiTheme="minorEastAsia" w:hAnsiTheme="minorEastAsia" w:eastAsiaTheme="minorEastAsia" w:cstheme="minorEastAsia"/>
                <w:color w:val="000000"/>
                <w:szCs w:val="21"/>
                <w:lang w:val="en-US" w:eastAsia="zh-CN"/>
              </w:rPr>
              <w:t>.7</w:t>
            </w:r>
          </w:p>
        </w:tc>
      </w:tr>
      <w:tr w14:paraId="5C824E70">
        <w:tblPrEx>
          <w:tblCellMar>
            <w:top w:w="0" w:type="dxa"/>
            <w:left w:w="108" w:type="dxa"/>
            <w:bottom w:w="0" w:type="dxa"/>
            <w:right w:w="108" w:type="dxa"/>
          </w:tblCellMar>
        </w:tblPrEx>
        <w:trPr>
          <w:trHeight w:val="602"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92BB">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C86A">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超过 500-1000以下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2DBAB610">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0.45%</w:t>
            </w:r>
          </w:p>
        </w:tc>
        <w:tc>
          <w:tcPr>
            <w:tcW w:w="1668" w:type="pct"/>
            <w:tcBorders>
              <w:top w:val="single" w:color="000000" w:sz="4" w:space="0"/>
              <w:left w:val="single" w:color="000000" w:sz="4" w:space="0"/>
              <w:bottom w:val="single" w:color="000000" w:sz="4" w:space="0"/>
              <w:right w:val="single" w:color="000000" w:sz="4" w:space="0"/>
            </w:tcBorders>
            <w:vAlign w:val="center"/>
          </w:tcPr>
          <w:p w14:paraId="29D2800C">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最多</w:t>
            </w:r>
            <w:r>
              <w:rPr>
                <w:rFonts w:hint="eastAsia" w:asciiTheme="minorEastAsia" w:hAnsiTheme="minorEastAsia" w:eastAsiaTheme="minorEastAsia" w:cstheme="minorEastAsia"/>
                <w:color w:val="000000"/>
                <w:szCs w:val="21"/>
              </w:rPr>
              <w:t>6</w:t>
            </w:r>
            <w:r>
              <w:rPr>
                <w:rFonts w:hint="eastAsia" w:asciiTheme="minorEastAsia" w:hAnsiTheme="minorEastAsia" w:eastAsiaTheme="minorEastAsia" w:cstheme="minorEastAsia"/>
                <w:color w:val="000000"/>
                <w:szCs w:val="21"/>
                <w:lang w:val="en-US" w:eastAsia="zh-CN"/>
              </w:rPr>
              <w:t>.</w:t>
            </w:r>
            <w:r>
              <w:rPr>
                <w:rFonts w:hint="eastAsia" w:asciiTheme="minorEastAsia" w:hAnsiTheme="minorEastAsia" w:eastAsiaTheme="minorEastAsia" w:cstheme="minorEastAsia"/>
                <w:color w:val="000000"/>
                <w:szCs w:val="21"/>
              </w:rPr>
              <w:t>95</w:t>
            </w:r>
          </w:p>
        </w:tc>
      </w:tr>
      <w:tr w14:paraId="14791EF7">
        <w:tblPrEx>
          <w:tblCellMar>
            <w:top w:w="0" w:type="dxa"/>
            <w:left w:w="108" w:type="dxa"/>
            <w:bottom w:w="0" w:type="dxa"/>
            <w:right w:w="108" w:type="dxa"/>
          </w:tblCellMar>
        </w:tblPrEx>
        <w:trPr>
          <w:trHeight w:val="616"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EAAB">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A839">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超过1000-5000以下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707EF23F">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0.25%</w:t>
            </w:r>
          </w:p>
        </w:tc>
        <w:tc>
          <w:tcPr>
            <w:tcW w:w="1668" w:type="pct"/>
            <w:tcBorders>
              <w:top w:val="single" w:color="000000" w:sz="4" w:space="0"/>
              <w:left w:val="single" w:color="000000" w:sz="4" w:space="0"/>
              <w:bottom w:val="single" w:color="000000" w:sz="4" w:space="0"/>
              <w:right w:val="single" w:color="000000" w:sz="4" w:space="0"/>
            </w:tcBorders>
            <w:vAlign w:val="center"/>
          </w:tcPr>
          <w:p w14:paraId="3299CCB0">
            <w:pPr>
              <w:keepNext/>
              <w:keepLines/>
              <w:snapToGrid w:val="0"/>
              <w:spacing w:before="260" w:after="260"/>
              <w:jc w:val="center"/>
              <w:outlineLvl w:val="1"/>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最多</w:t>
            </w:r>
            <w:r>
              <w:rPr>
                <w:rFonts w:hint="eastAsia" w:asciiTheme="minorEastAsia" w:hAnsiTheme="minorEastAsia" w:eastAsiaTheme="minorEastAsia" w:cstheme="minorEastAsia"/>
                <w:color w:val="000000"/>
                <w:szCs w:val="21"/>
              </w:rPr>
              <w:t>16</w:t>
            </w:r>
            <w:r>
              <w:rPr>
                <w:rFonts w:hint="eastAsia" w:asciiTheme="minorEastAsia" w:hAnsiTheme="minorEastAsia" w:eastAsiaTheme="minorEastAsia" w:cstheme="minorEastAsia"/>
                <w:color w:val="000000"/>
                <w:szCs w:val="21"/>
                <w:lang w:val="en-US" w:eastAsia="zh-CN"/>
              </w:rPr>
              <w:t>.</w:t>
            </w:r>
            <w:r>
              <w:rPr>
                <w:rFonts w:hint="eastAsia" w:asciiTheme="minorEastAsia" w:hAnsiTheme="minorEastAsia" w:eastAsiaTheme="minorEastAsia" w:cstheme="minorEastAsia"/>
                <w:color w:val="000000"/>
                <w:szCs w:val="21"/>
              </w:rPr>
              <w:t>95</w:t>
            </w:r>
          </w:p>
        </w:tc>
      </w:tr>
      <w:tr w14:paraId="6FF1D475">
        <w:tblPrEx>
          <w:tblCellMar>
            <w:top w:w="0" w:type="dxa"/>
            <w:left w:w="108" w:type="dxa"/>
            <w:bottom w:w="0" w:type="dxa"/>
            <w:right w:w="108" w:type="dxa"/>
          </w:tblCellMar>
        </w:tblPrEx>
        <w:trPr>
          <w:trHeight w:val="319" w:hRule="atLeast"/>
        </w:trPr>
        <w:tc>
          <w:tcPr>
            <w:tcW w:w="5000" w:type="pct"/>
            <w:gridSpan w:val="4"/>
            <w:tcBorders>
              <w:top w:val="single" w:color="000000" w:sz="4" w:space="0"/>
              <w:left w:val="single" w:color="000000" w:sz="4" w:space="0"/>
              <w:bottom w:val="single" w:color="000000" w:sz="4" w:space="0"/>
              <w:right w:val="single" w:color="000000" w:sz="4" w:space="0"/>
            </w:tcBorders>
          </w:tcPr>
          <w:p w14:paraId="57D05675">
            <w:pPr>
              <w:keepNext/>
              <w:keepLines/>
              <w:snapToGrid w:val="0"/>
              <w:spacing w:before="260" w:after="260" w:line="276" w:lineRule="auto"/>
              <w:jc w:val="left"/>
              <w:outlineLvl w:val="1"/>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采购代理服务费按差额定率累进法计算</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1.差额定率累进法：按资产金额大小划分收费档次，分档计算收费额，各档累加为收费总额。</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2.假设采购成交金额为5000万元，那么按照一定的要求可以计算得到相关结果：</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①100万元以下部分： 100×1.5%=1.5万元；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②100万元-500万元部分： 400×</w:t>
            </w:r>
            <w:r>
              <w:rPr>
                <w:rFonts w:hint="eastAsia" w:asciiTheme="minorEastAsia" w:hAnsiTheme="minorEastAsia" w:eastAsiaTheme="minorEastAsia" w:cstheme="minorEastAsia"/>
                <w:color w:val="000000"/>
                <w:sz w:val="24"/>
                <w:lang w:val="en-US" w:eastAsia="zh-CN"/>
              </w:rPr>
              <w:t>0</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8</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③500万元-1000万元部分： 500×0.</w:t>
            </w:r>
            <w:r>
              <w:rPr>
                <w:rFonts w:hint="eastAsia" w:asciiTheme="minorEastAsia" w:hAnsiTheme="minorEastAsia" w:eastAsiaTheme="minorEastAsia" w:cstheme="minorEastAsia"/>
                <w:color w:val="000000"/>
                <w:sz w:val="24"/>
                <w:lang w:val="en-US" w:eastAsia="zh-CN"/>
              </w:rPr>
              <w:t>45</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2.2</w:t>
            </w:r>
            <w:r>
              <w:rPr>
                <w:rFonts w:hint="eastAsia" w:asciiTheme="minorEastAsia" w:hAnsiTheme="minorEastAsia" w:eastAsiaTheme="minorEastAsia" w:cstheme="minorEastAsia"/>
                <w:color w:val="000000"/>
                <w:sz w:val="24"/>
              </w:rPr>
              <w:t>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④1000万元-5000万元部分： 4000×0.</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5%=</w:t>
            </w:r>
            <w:r>
              <w:rPr>
                <w:rFonts w:hint="eastAsia" w:asciiTheme="minorEastAsia" w:hAnsiTheme="minorEastAsia" w:eastAsiaTheme="minorEastAsia" w:cstheme="minorEastAsia"/>
                <w:color w:val="000000"/>
                <w:sz w:val="24"/>
                <w:lang w:val="en-US" w:eastAsia="zh-CN"/>
              </w:rPr>
              <w:t>10</w:t>
            </w:r>
            <w:r>
              <w:rPr>
                <w:rFonts w:hint="eastAsia" w:asciiTheme="minorEastAsia" w:hAnsiTheme="minorEastAsia" w:eastAsiaTheme="minorEastAsia" w:cstheme="minorEastAsia"/>
                <w:color w:val="000000"/>
                <w:sz w:val="24"/>
              </w:rPr>
              <w:t>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⑤合计：1.5+</w:t>
            </w:r>
            <w:r>
              <w:rPr>
                <w:rFonts w:hint="eastAsia" w:asciiTheme="minorEastAsia" w:hAnsiTheme="minorEastAsia" w:eastAsiaTheme="minorEastAsia" w:cstheme="minorEastAsia"/>
                <w:color w:val="000000"/>
                <w:sz w:val="24"/>
                <w:lang w:val="en-US" w:eastAsia="zh-CN"/>
              </w:rPr>
              <w:t>3.2</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2.2</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10</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16</w:t>
            </w:r>
            <w:r>
              <w:rPr>
                <w:rFonts w:hint="eastAsia" w:asciiTheme="minorEastAsia" w:hAnsiTheme="minorEastAsia" w:eastAsiaTheme="minorEastAsia" w:cstheme="minorEastAsia"/>
                <w:color w:val="000000"/>
                <w:sz w:val="24"/>
              </w:rPr>
              <w:t>.9</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万。</w:t>
            </w:r>
          </w:p>
          <w:p w14:paraId="7CCE4268">
            <w:pPr>
              <w:pStyle w:val="8"/>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kern w:val="2"/>
                <w:sz w:val="24"/>
                <w:szCs w:val="24"/>
                <w:lang w:val="en-US" w:eastAsia="zh-CN" w:bidi="ar-SA"/>
              </w:rPr>
              <w:t>3.若采购成交额不足100万元，服务费按照最终采购成交额×1.5%计算。</w:t>
            </w:r>
          </w:p>
        </w:tc>
      </w:tr>
    </w:tbl>
    <w:p w14:paraId="2E9ABEB6">
      <w:pPr>
        <w:spacing w:line="360" w:lineRule="auto"/>
        <w:ind w:right="-46" w:firstLine="420"/>
        <w:rPr>
          <w:rFonts w:hint="eastAsia" w:ascii="Times New Roman" w:hAnsi="Times New Roman" w:eastAsia="宋体" w:cs="Times New Roman"/>
          <w:sz w:val="24"/>
        </w:rPr>
      </w:pPr>
    </w:p>
    <w:p w14:paraId="6D2C5EE8">
      <w:pPr>
        <w:spacing w:line="360" w:lineRule="auto"/>
        <w:ind w:right="-46" w:firstLine="420"/>
        <w:rPr>
          <w:rFonts w:hint="eastAsia" w:ascii="Times New Roman" w:hAnsi="Times New Roman" w:eastAsia="宋体" w:cs="Times New Roman"/>
          <w:sz w:val="24"/>
        </w:rPr>
      </w:pPr>
    </w:p>
    <w:p w14:paraId="4BF7E4D9">
      <w:pPr>
        <w:spacing w:line="360" w:lineRule="auto"/>
        <w:ind w:right="-46" w:firstLine="420"/>
        <w:rPr>
          <w:rFonts w:hint="eastAsia" w:ascii="Times New Roman" w:hAnsi="Times New Roman" w:eastAsia="宋体" w:cs="Times New Roman"/>
          <w:sz w:val="24"/>
        </w:rPr>
      </w:pPr>
    </w:p>
    <w:p w14:paraId="07C93618">
      <w:pPr>
        <w:spacing w:line="360" w:lineRule="auto"/>
        <w:ind w:right="-46" w:firstLine="420"/>
        <w:rPr>
          <w:rFonts w:hint="eastAsia" w:ascii="Times New Roman" w:hAnsi="Times New Roman" w:eastAsia="宋体" w:cs="Times New Roman"/>
          <w:sz w:val="24"/>
        </w:rPr>
      </w:pPr>
    </w:p>
    <w:p w14:paraId="73D483B3">
      <w:pPr>
        <w:spacing w:line="360" w:lineRule="auto"/>
        <w:ind w:right="-46" w:firstLine="420"/>
        <w:rPr>
          <w:rFonts w:hint="eastAsia" w:ascii="Times New Roman" w:hAnsi="Times New Roman" w:eastAsia="宋体" w:cs="Times New Roman"/>
          <w:sz w:val="24"/>
        </w:rPr>
      </w:pPr>
    </w:p>
    <w:p w14:paraId="75EA023D">
      <w:pPr>
        <w:spacing w:line="360" w:lineRule="auto"/>
        <w:ind w:right="-46" w:firstLine="420"/>
        <w:rPr>
          <w:rFonts w:hint="eastAsia" w:ascii="Times New Roman" w:hAnsi="Times New Roman" w:eastAsia="宋体" w:cs="Times New Roman"/>
          <w:sz w:val="24"/>
        </w:rPr>
      </w:pPr>
    </w:p>
    <w:p w14:paraId="4D8A1A1E">
      <w:pPr>
        <w:spacing w:line="360" w:lineRule="auto"/>
        <w:ind w:right="-46" w:firstLine="420"/>
        <w:rPr>
          <w:rFonts w:hint="eastAsia" w:ascii="Times New Roman" w:hAnsi="Times New Roman" w:eastAsia="宋体" w:cs="Times New Roman"/>
          <w:sz w:val="24"/>
        </w:rPr>
      </w:pPr>
    </w:p>
    <w:p w14:paraId="48645790">
      <w:pPr>
        <w:spacing w:line="360" w:lineRule="auto"/>
        <w:ind w:right="-46" w:firstLine="420"/>
        <w:rPr>
          <w:rFonts w:hint="eastAsia" w:ascii="Times New Roman" w:hAnsi="Times New Roman" w:eastAsia="宋体" w:cs="Times New Roman"/>
          <w:sz w:val="24"/>
        </w:rPr>
      </w:pPr>
    </w:p>
    <w:p w14:paraId="16430D6E">
      <w:pPr>
        <w:spacing w:line="360" w:lineRule="auto"/>
        <w:ind w:right="-46" w:firstLine="420"/>
        <w:rPr>
          <w:rFonts w:hint="eastAsia" w:ascii="Times New Roman" w:hAnsi="Times New Roman" w:eastAsia="宋体" w:cs="Times New Roman"/>
          <w:sz w:val="24"/>
        </w:rPr>
      </w:pPr>
    </w:p>
    <w:p w14:paraId="4EE07FF3">
      <w:pPr>
        <w:spacing w:line="360" w:lineRule="auto"/>
        <w:ind w:right="-46" w:firstLine="420"/>
        <w:rPr>
          <w:rFonts w:hint="eastAsia" w:ascii="Times New Roman" w:hAnsi="Times New Roman" w:eastAsia="宋体" w:cs="Times New Roman"/>
          <w:sz w:val="24"/>
        </w:rPr>
      </w:pPr>
    </w:p>
    <w:p w14:paraId="0DBE1035">
      <w:pPr>
        <w:spacing w:line="360" w:lineRule="auto"/>
        <w:ind w:right="-46" w:firstLine="420"/>
        <w:rPr>
          <w:rFonts w:hint="eastAsia" w:ascii="Times New Roman" w:hAnsi="Times New Roman" w:eastAsia="宋体" w:cs="Times New Roman"/>
          <w:sz w:val="24"/>
        </w:rPr>
      </w:pPr>
    </w:p>
    <w:p w14:paraId="40C652EF">
      <w:pPr>
        <w:spacing w:line="360" w:lineRule="auto"/>
        <w:ind w:right="-46" w:firstLine="420"/>
        <w:rPr>
          <w:rFonts w:hint="eastAsia" w:ascii="Times New Roman" w:hAnsi="Times New Roman" w:eastAsia="宋体" w:cs="Times New Roman"/>
          <w:sz w:val="24"/>
        </w:rPr>
      </w:pPr>
    </w:p>
    <w:p w14:paraId="5770F549">
      <w:pPr>
        <w:spacing w:line="360" w:lineRule="auto"/>
        <w:ind w:right="-46" w:firstLine="420"/>
        <w:rPr>
          <w:rFonts w:hint="eastAsia" w:ascii="Times New Roman" w:hAnsi="Times New Roman" w:eastAsia="宋体" w:cs="Times New Roman"/>
          <w:sz w:val="24"/>
        </w:rPr>
      </w:pPr>
    </w:p>
    <w:p w14:paraId="12F34B1C">
      <w:pPr>
        <w:spacing w:line="360" w:lineRule="auto"/>
        <w:ind w:right="-46" w:firstLine="420"/>
        <w:rPr>
          <w:rFonts w:hint="eastAsia" w:ascii="Times New Roman" w:hAnsi="Times New Roman" w:eastAsia="宋体" w:cs="Times New Roman"/>
          <w:sz w:val="24"/>
        </w:rPr>
      </w:pPr>
    </w:p>
    <w:p w14:paraId="6EF44762">
      <w:pPr>
        <w:spacing w:line="360" w:lineRule="auto"/>
        <w:ind w:right="-46" w:firstLine="420"/>
        <w:rPr>
          <w:rFonts w:hint="eastAsia" w:ascii="Times New Roman" w:hAnsi="Times New Roman" w:eastAsia="宋体" w:cs="Times New Roman"/>
          <w:sz w:val="24"/>
        </w:rPr>
      </w:pPr>
    </w:p>
    <w:p w14:paraId="0DFECFDA">
      <w:pPr>
        <w:spacing w:line="360" w:lineRule="auto"/>
        <w:ind w:right="-46" w:firstLine="420"/>
        <w:rPr>
          <w:rFonts w:hint="eastAsia" w:ascii="Times New Roman" w:hAnsi="Times New Roman" w:eastAsia="宋体" w:cs="Times New Roman"/>
          <w:sz w:val="24"/>
        </w:rPr>
      </w:pPr>
    </w:p>
    <w:p w14:paraId="10E9F12D">
      <w:pPr>
        <w:spacing w:line="360" w:lineRule="auto"/>
        <w:ind w:right="-46" w:firstLine="420"/>
        <w:rPr>
          <w:rFonts w:hint="eastAsia" w:ascii="Times New Roman" w:hAnsi="Times New Roman" w:eastAsia="宋体" w:cs="Times New Roman"/>
          <w:sz w:val="24"/>
        </w:rPr>
      </w:pPr>
    </w:p>
    <w:p w14:paraId="1CA7643C">
      <w:pPr>
        <w:spacing w:line="360" w:lineRule="auto"/>
        <w:ind w:right="-46" w:firstLine="420"/>
        <w:rPr>
          <w:rFonts w:hint="eastAsia" w:ascii="Times New Roman" w:hAnsi="Times New Roman" w:eastAsia="宋体" w:cs="Times New Roman"/>
          <w:sz w:val="24"/>
        </w:rPr>
      </w:pPr>
    </w:p>
    <w:p w14:paraId="7C17D201">
      <w:pPr>
        <w:spacing w:line="360" w:lineRule="auto"/>
        <w:ind w:right="-46" w:firstLine="420"/>
        <w:rPr>
          <w:rFonts w:hint="eastAsia" w:ascii="Times New Roman" w:hAnsi="Times New Roman" w:eastAsia="宋体" w:cs="Times New Roman"/>
          <w:sz w:val="24"/>
        </w:rPr>
      </w:pPr>
    </w:p>
    <w:p w14:paraId="1963DB9B">
      <w:pPr>
        <w:spacing w:line="360" w:lineRule="auto"/>
        <w:ind w:right="-46" w:firstLine="420"/>
        <w:rPr>
          <w:rFonts w:hint="eastAsia" w:ascii="Times New Roman" w:hAnsi="Times New Roman" w:eastAsia="宋体" w:cs="Times New Roman"/>
          <w:sz w:val="24"/>
        </w:rPr>
      </w:pPr>
    </w:p>
    <w:p w14:paraId="05725C3D">
      <w:pPr>
        <w:spacing w:line="360" w:lineRule="auto"/>
        <w:ind w:right="-46" w:firstLine="420"/>
        <w:rPr>
          <w:rFonts w:ascii="Times New Roman" w:hAnsi="Times New Roman" w:eastAsia="宋体" w:cs="Times New Roman"/>
          <w:sz w:val="24"/>
        </w:rPr>
      </w:pPr>
      <w:r>
        <w:rPr>
          <w:rFonts w:ascii="Times New Roman" w:hAnsi="Times New Roman" w:eastAsia="宋体" w:cs="Times New Roman"/>
          <w:sz w:val="24"/>
        </w:rPr>
        <w:t>收款单位：国家体育总局体育器材装备中心</w:t>
      </w:r>
    </w:p>
    <w:p w14:paraId="0F494763">
      <w:pPr>
        <w:spacing w:line="360" w:lineRule="auto"/>
        <w:ind w:right="-46" w:firstLine="420"/>
        <w:rPr>
          <w:rFonts w:ascii="Times New Roman" w:hAnsi="Times New Roman" w:eastAsia="宋体" w:cs="Times New Roman"/>
          <w:sz w:val="24"/>
        </w:rPr>
      </w:pPr>
      <w:r>
        <w:rPr>
          <w:rFonts w:ascii="Times New Roman" w:hAnsi="Times New Roman" w:eastAsia="宋体" w:cs="Times New Roman"/>
          <w:sz w:val="24"/>
        </w:rPr>
        <w:t>开户行：工行北京体育馆路支行</w:t>
      </w:r>
    </w:p>
    <w:p w14:paraId="09444F6D">
      <w:pPr>
        <w:spacing w:line="360" w:lineRule="auto"/>
        <w:ind w:right="-46" w:firstLine="420"/>
        <w:rPr>
          <w:rFonts w:ascii="Times New Roman" w:hAnsi="Times New Roman" w:eastAsia="宋体" w:cs="Times New Roman"/>
          <w:b/>
          <w:sz w:val="24"/>
        </w:rPr>
      </w:pPr>
      <w:r>
        <w:rPr>
          <w:rFonts w:ascii="Times New Roman" w:hAnsi="Times New Roman" w:eastAsia="宋体" w:cs="Times New Roman"/>
          <w:sz w:val="24"/>
        </w:rPr>
        <w:t>银行账号：0200008109089053553</w:t>
      </w:r>
    </w:p>
    <w:p w14:paraId="1CA7AD64">
      <w:pPr>
        <w:pStyle w:val="28"/>
        <w:rPr>
          <w:rFonts w:ascii="Times New Roman" w:hAnsi="宋体" w:eastAsia="宋体" w:cs="Times New Roman"/>
          <w:color w:val="auto"/>
        </w:rPr>
      </w:pPr>
      <w:bookmarkStart w:id="27" w:name="_Toc115756027"/>
      <w:bookmarkStart w:id="28" w:name="_Toc499216476"/>
      <w:r>
        <w:rPr>
          <w:rFonts w:hint="default" w:ascii="Times New Roman" w:hAnsi="宋体" w:eastAsia="宋体" w:cs="Times New Roman"/>
          <w:color w:val="auto"/>
        </w:rPr>
        <w:t>响应文件的递交</w:t>
      </w:r>
    </w:p>
    <w:p w14:paraId="74E85B70">
      <w:pPr>
        <w:tabs>
          <w:tab w:val="left" w:pos="567"/>
        </w:tabs>
        <w:spacing w:line="500" w:lineRule="exact"/>
        <w:ind w:left="622"/>
        <w:jc w:val="left"/>
        <w:rPr>
          <w:rFonts w:ascii="宋体" w:hAnsi="宋体" w:eastAsia="宋体" w:cs="宋体"/>
          <w:b/>
          <w:bCs/>
          <w:sz w:val="24"/>
        </w:rPr>
      </w:pPr>
      <w:r>
        <w:rPr>
          <w:rFonts w:hint="eastAsia" w:ascii="宋体" w:hAnsi="宋体" w:eastAsia="宋体" w:cs="宋体"/>
          <w:b/>
          <w:bCs/>
          <w:sz w:val="24"/>
        </w:rPr>
        <w:t>12.1 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制作流程可参考</w:t>
      </w:r>
      <w:r>
        <w:rPr>
          <w:rFonts w:hint="eastAsia" w:asciiTheme="minorEastAsia" w:hAnsiTheme="minorEastAsia" w:cstheme="minorEastAsia"/>
        </w:rPr>
        <w:fldChar w:fldCharType="begin"/>
      </w:r>
      <w:r>
        <w:rPr>
          <w:rFonts w:hint="eastAsia" w:asciiTheme="minorEastAsia" w:hAnsiTheme="minorEastAsia" w:cstheme="minorEastAsia"/>
        </w:rPr>
        <w:instrText xml:space="preserve"> HYPERLINK "https://service.zcygov.cn/" \l "/knowledges/CW1EtGwBFdiHxlNd6I3m/6IMVAG0BFdiHxlNdQ8Na" </w:instrText>
      </w:r>
      <w:r>
        <w:rPr>
          <w:rFonts w:hint="eastAsia" w:asciiTheme="minorEastAsia" w:hAnsiTheme="minorEastAsia" w:cstheme="minorEastAsia"/>
        </w:rPr>
        <w:fldChar w:fldCharType="separate"/>
      </w:r>
      <w:r>
        <w:rPr>
          <w:rStyle w:val="24"/>
          <w:rFonts w:hint="eastAsia" w:asciiTheme="minorEastAsia" w:hAnsiTheme="minorEastAsia" w:cstheme="minorEastAsia"/>
          <w:sz w:val="24"/>
        </w:rPr>
        <w:t>https://service.zcygov.cn/#/knowledges/CW1EtGwBFdiHxlNd6I3m/6IMVAG0BFdiHxlNdQ8Na</w:t>
      </w:r>
      <w:r>
        <w:rPr>
          <w:rStyle w:val="24"/>
          <w:rFonts w:hint="eastAsia" w:asciiTheme="minorEastAsia" w:hAnsiTheme="minorEastAsia" w:cstheme="minorEastAsia"/>
          <w:sz w:val="24"/>
        </w:rPr>
        <w:fldChar w:fldCharType="end"/>
      </w:r>
      <w:r>
        <w:rPr>
          <w:rFonts w:hint="eastAsia" w:asciiTheme="minorEastAsia" w:hAnsiTheme="minorEastAsia" w:cstheme="minorEastAsia"/>
          <w:sz w:val="24"/>
        </w:rPr>
        <w:t>。</w:t>
      </w:r>
    </w:p>
    <w:p w14:paraId="28640B6F">
      <w:pPr>
        <w:spacing w:line="500" w:lineRule="exact"/>
        <w:ind w:left="622"/>
        <w:jc w:val="left"/>
        <w:rPr>
          <w:rFonts w:ascii="宋体" w:hAnsi="宋体" w:eastAsia="宋体" w:cs="宋体"/>
          <w:b/>
          <w:bCs/>
          <w:sz w:val="24"/>
        </w:rPr>
      </w:pPr>
      <w:r>
        <w:rPr>
          <w:rFonts w:hint="eastAsia" w:ascii="宋体" w:hAnsi="宋体" w:eastAsia="宋体" w:cs="宋体"/>
          <w:b/>
          <w:bCs/>
          <w:sz w:val="24"/>
        </w:rPr>
        <w:t>12.2 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具体CA办理流程可上政采云平台或拨打客服电话4008817190咨询。</w:t>
      </w:r>
    </w:p>
    <w:p w14:paraId="4DBEA5C2">
      <w:pPr>
        <w:spacing w:line="500" w:lineRule="exact"/>
        <w:ind w:left="622"/>
        <w:jc w:val="left"/>
        <w:rPr>
          <w:rFonts w:ascii="宋体" w:hAnsi="宋体" w:eastAsia="宋体" w:cs="宋体"/>
          <w:b/>
          <w:bCs/>
          <w:sz w:val="24"/>
        </w:rPr>
      </w:pPr>
      <w:r>
        <w:rPr>
          <w:rFonts w:hint="eastAsia" w:ascii="宋体" w:hAnsi="宋体" w:eastAsia="宋体" w:cs="宋体"/>
          <w:b/>
          <w:bCs/>
          <w:sz w:val="24"/>
        </w:rPr>
        <w:t>12.3 为确保网上操作合法、有效和安全，请供应商确保在电子响应过程中能够对相关数据电文进行加密和使用电子签章，妥善保管CA数字证书并使用有效的CA数字证书参与整个采购活动。</w:t>
      </w:r>
    </w:p>
    <w:p w14:paraId="6AE5E0BB">
      <w:pPr>
        <w:spacing w:line="500" w:lineRule="exact"/>
        <w:ind w:left="622"/>
        <w:jc w:val="left"/>
        <w:rPr>
          <w:rFonts w:ascii="宋体" w:hAnsi="宋体" w:eastAsia="宋体" w:cs="宋体"/>
          <w:b/>
          <w:bCs/>
          <w:sz w:val="24"/>
        </w:rPr>
      </w:pPr>
      <w:r>
        <w:rPr>
          <w:rFonts w:hint="eastAsia" w:ascii="宋体" w:hAnsi="宋体" w:eastAsia="宋体" w:cs="宋体"/>
          <w:b/>
          <w:bCs/>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3EA5F1C0">
      <w:pPr>
        <w:spacing w:line="500" w:lineRule="exact"/>
        <w:ind w:left="622"/>
        <w:jc w:val="left"/>
        <w:rPr>
          <w:rFonts w:ascii="宋体" w:hAnsi="宋体" w:eastAsia="宋体" w:cs="宋体"/>
          <w:b/>
          <w:bCs/>
          <w:color w:val="000000"/>
          <w:sz w:val="24"/>
        </w:rPr>
      </w:pPr>
      <w:r>
        <w:rPr>
          <w:rFonts w:ascii="宋体" w:hAnsi="宋体" w:eastAsia="宋体" w:cs="宋体"/>
          <w:bCs/>
          <w:sz w:val="24"/>
        </w:rPr>
        <w:t>12.4</w:t>
      </w:r>
      <w:r>
        <w:rPr>
          <w:rFonts w:ascii="宋体" w:hAnsi="宋体" w:eastAsia="宋体" w:cs="宋体"/>
          <w:b/>
          <w:bCs w:val="0"/>
          <w:color w:val="FF0000"/>
          <w:sz w:val="24"/>
        </w:rPr>
        <w:t xml:space="preserve"> </w:t>
      </w:r>
      <w:r>
        <w:rPr>
          <w:rFonts w:hint="eastAsia" w:ascii="宋体" w:hAnsi="宋体" w:eastAsia="宋体" w:cs="宋体"/>
          <w:b/>
          <w:bCs w:val="0"/>
          <w:color w:val="FF0000"/>
          <w:sz w:val="24"/>
          <w:highlight w:val="yellow"/>
        </w:rPr>
        <w:t>递交截止时间：</w:t>
      </w:r>
      <w:r>
        <w:rPr>
          <w:rFonts w:ascii="宋体" w:hAnsi="宋体" w:eastAsia="宋体" w:cs="宋体"/>
          <w:b/>
          <w:bCs w:val="0"/>
          <w:color w:val="FF0000"/>
          <w:sz w:val="24"/>
          <w:highlight w:val="yellow"/>
        </w:rPr>
        <w:t>202</w:t>
      </w:r>
      <w:r>
        <w:rPr>
          <w:rFonts w:hint="eastAsia" w:ascii="宋体" w:hAnsi="宋体" w:eastAsia="宋体" w:cs="宋体"/>
          <w:b/>
          <w:bCs w:val="0"/>
          <w:color w:val="FF0000"/>
          <w:sz w:val="24"/>
          <w:highlight w:val="yellow"/>
          <w:lang w:val="en-US" w:eastAsia="zh-CN"/>
        </w:rPr>
        <w:t>5</w:t>
      </w:r>
      <w:r>
        <w:rPr>
          <w:rFonts w:hint="eastAsia" w:ascii="宋体" w:hAnsi="宋体" w:eastAsia="宋体" w:cs="宋体"/>
          <w:b/>
          <w:bCs w:val="0"/>
          <w:color w:val="FF0000"/>
          <w:sz w:val="24"/>
          <w:highlight w:val="yellow"/>
        </w:rPr>
        <w:t>年</w:t>
      </w:r>
      <w:r>
        <w:rPr>
          <w:rFonts w:hint="eastAsia" w:ascii="宋体" w:hAnsi="宋体" w:eastAsia="宋体" w:cs="宋体"/>
          <w:b/>
          <w:bCs w:val="0"/>
          <w:color w:val="FF0000"/>
          <w:sz w:val="24"/>
          <w:highlight w:val="yellow"/>
          <w:lang w:val="en-US" w:eastAsia="zh-CN"/>
        </w:rPr>
        <w:t>6</w:t>
      </w:r>
      <w:r>
        <w:rPr>
          <w:rFonts w:hint="eastAsia" w:ascii="宋体" w:hAnsi="宋体" w:eastAsia="宋体" w:cs="宋体"/>
          <w:b/>
          <w:bCs w:val="0"/>
          <w:color w:val="FF0000"/>
          <w:sz w:val="24"/>
          <w:highlight w:val="yellow"/>
        </w:rPr>
        <w:t>月</w:t>
      </w:r>
      <w:r>
        <w:rPr>
          <w:rFonts w:hint="eastAsia" w:ascii="宋体" w:hAnsi="宋体" w:eastAsia="宋体" w:cs="宋体"/>
          <w:b/>
          <w:bCs w:val="0"/>
          <w:color w:val="FF0000"/>
          <w:sz w:val="24"/>
          <w:highlight w:val="yellow"/>
          <w:lang w:val="en-US" w:eastAsia="zh-CN"/>
        </w:rPr>
        <w:t>18</w:t>
      </w:r>
      <w:r>
        <w:rPr>
          <w:rFonts w:hint="eastAsia" w:ascii="宋体" w:hAnsi="宋体" w:eastAsia="宋体" w:cs="宋体"/>
          <w:b/>
          <w:bCs w:val="0"/>
          <w:color w:val="FF0000"/>
          <w:sz w:val="24"/>
          <w:highlight w:val="yellow"/>
        </w:rPr>
        <w:t>日，</w:t>
      </w:r>
      <w:r>
        <w:rPr>
          <w:rFonts w:hint="eastAsia" w:ascii="宋体" w:hAnsi="宋体" w:eastAsia="宋体" w:cs="宋体"/>
          <w:bCs/>
          <w:sz w:val="24"/>
        </w:rPr>
        <w:t>逾期递交或响应文件不符合采购规定，则被拒绝。</w:t>
      </w:r>
    </w:p>
    <w:p w14:paraId="5EFFB7D3">
      <w:pPr>
        <w:pStyle w:val="28"/>
        <w:rPr>
          <w:rFonts w:ascii="Times New Roman" w:hAnsi="宋体" w:eastAsia="宋体" w:cs="Times New Roman"/>
          <w:color w:val="auto"/>
        </w:rPr>
      </w:pPr>
      <w:r>
        <w:rPr>
          <w:rFonts w:hint="default" w:ascii="Times New Roman" w:hAnsi="宋体" w:eastAsia="宋体" w:cs="Times New Roman"/>
          <w:color w:val="auto"/>
        </w:rPr>
        <w:t>CA证书在线解密：</w:t>
      </w:r>
    </w:p>
    <w:p w14:paraId="133C130A">
      <w:pPr>
        <w:pStyle w:val="30"/>
        <w:ind w:firstLine="480"/>
        <w:rPr>
          <w:rFonts w:hint="eastAsia" w:ascii="Times New Roman" w:hAnsi="宋体" w:eastAsia="宋体" w:cs="Times New Roman"/>
        </w:rPr>
      </w:pPr>
      <w:r>
        <w:rPr>
          <w:rFonts w:hint="eastAsia" w:ascii="Times New Roman" w:hAnsi="宋体" w:eastAsia="宋体" w:cs="Times New Roman"/>
        </w:rPr>
        <w:t xml:space="preserve">首次响应文件开启时，须要供应商携带制作响应文件时用来加密的有效数字证书（CA认证）登录“政采云”平台电子开标大厅现场按规定时间对加密的响应文件进行解密，否则后果自负。 </w:t>
      </w:r>
    </w:p>
    <w:p w14:paraId="66FA77FA">
      <w:pPr>
        <w:pStyle w:val="28"/>
        <w:rPr>
          <w:rFonts w:ascii="Times New Roman" w:hAnsi="宋体" w:eastAsia="宋体" w:cs="Times New Roman"/>
        </w:rPr>
      </w:pPr>
      <w:r>
        <w:rPr>
          <w:rFonts w:hint="eastAsia" w:ascii="Times New Roman" w:hAnsi="宋体" w:eastAsia="宋体" w:cs="Times New Roman"/>
        </w:rPr>
        <w:t xml:space="preserve">供应商需要在具备有摄像头及语音功能且互联网网络状况良好的电脑登录“政采云”平台远程开标大厅参与本次磋商，否则后果自负。 </w:t>
      </w:r>
    </w:p>
    <w:p w14:paraId="2D78E4C6">
      <w:pPr>
        <w:pStyle w:val="27"/>
        <w:rPr>
          <w:rFonts w:ascii="Times New Roman" w:hAnsi="Times New Roman" w:eastAsia="宋体" w:cs="Times New Roman"/>
          <w:color w:val="auto"/>
        </w:rPr>
      </w:pPr>
      <w:bookmarkStart w:id="29" w:name="_Toc103068840"/>
      <w:r>
        <w:rPr>
          <w:rFonts w:ascii="Times New Roman" w:hAnsi="宋体" w:eastAsia="宋体" w:cs="Times New Roman"/>
          <w:color w:val="auto"/>
        </w:rPr>
        <w:t>五、合同的</w:t>
      </w:r>
      <w:bookmarkEnd w:id="27"/>
      <w:r>
        <w:rPr>
          <w:rFonts w:ascii="Times New Roman" w:hAnsi="宋体" w:eastAsia="宋体" w:cs="Times New Roman"/>
          <w:color w:val="auto"/>
        </w:rPr>
        <w:t>签订和履行</w:t>
      </w:r>
      <w:bookmarkEnd w:id="28"/>
      <w:bookmarkEnd w:id="29"/>
    </w:p>
    <w:p w14:paraId="11ED526E">
      <w:pPr>
        <w:pStyle w:val="28"/>
        <w:rPr>
          <w:rFonts w:ascii="Times New Roman" w:eastAsia="宋体" w:cs="Times New Roman"/>
          <w:color w:val="auto"/>
        </w:rPr>
      </w:pPr>
      <w:r>
        <w:rPr>
          <w:rFonts w:ascii="Times New Roman" w:eastAsia="宋体" w:cs="Times New Roman"/>
          <w:color w:val="auto"/>
        </w:rPr>
        <w:t>成交结果公告和通知方式</w:t>
      </w:r>
    </w:p>
    <w:p w14:paraId="58800FEA">
      <w:pPr>
        <w:pStyle w:val="30"/>
        <w:ind w:firstLine="480"/>
        <w:rPr>
          <w:rFonts w:ascii="Times New Roman" w:hAnsi="Times New Roman" w:eastAsia="宋体" w:cs="Times New Roman"/>
        </w:rPr>
      </w:pPr>
      <w:r>
        <w:rPr>
          <w:rFonts w:ascii="Times New Roman" w:hAnsi="Times New Roman" w:eastAsia="宋体" w:cs="Times New Roman"/>
        </w:rPr>
        <w:t>15.1</w:t>
      </w:r>
      <w:r>
        <w:rPr>
          <w:rFonts w:ascii="Times New Roman" w:hAnsi="宋体" w:eastAsia="宋体" w:cs="Times New Roman"/>
        </w:rPr>
        <w:t>采购单位在成交人确定后</w:t>
      </w:r>
      <w:r>
        <w:rPr>
          <w:rFonts w:ascii="Times New Roman" w:hAnsi="Times New Roman" w:eastAsia="宋体" w:cs="Times New Roman"/>
        </w:rPr>
        <w:t>2</w:t>
      </w:r>
      <w:r>
        <w:rPr>
          <w:rFonts w:ascii="Times New Roman" w:hAnsi="宋体" w:eastAsia="宋体" w:cs="Times New Roman"/>
        </w:rPr>
        <w:t>个工作日内，在中国政府采购网公告成交结果。同时向成交人发出</w:t>
      </w:r>
      <w:r>
        <w:rPr>
          <w:rFonts w:ascii="Times New Roman" w:hAnsi="Times New Roman" w:eastAsia="宋体" w:cs="Times New Roman"/>
        </w:rPr>
        <w:t>“</w:t>
      </w:r>
      <w:r>
        <w:rPr>
          <w:rFonts w:ascii="Times New Roman" w:hAnsi="宋体" w:eastAsia="宋体" w:cs="Times New Roman"/>
        </w:rPr>
        <w:t>成交通知书</w:t>
      </w:r>
      <w:r>
        <w:rPr>
          <w:rFonts w:ascii="Times New Roman" w:hAnsi="Times New Roman" w:eastAsia="宋体" w:cs="Times New Roman"/>
        </w:rPr>
        <w:t>”</w:t>
      </w:r>
      <w:r>
        <w:rPr>
          <w:rFonts w:ascii="Times New Roman" w:hAnsi="宋体" w:eastAsia="宋体" w:cs="Times New Roman"/>
        </w:rPr>
        <w:t>，成交人应在收到通知书当日以书面形式确认。采购单位对未成交的报价人不作未成交原因的解释。</w:t>
      </w:r>
    </w:p>
    <w:p w14:paraId="43EF6890">
      <w:pPr>
        <w:pStyle w:val="30"/>
        <w:ind w:firstLine="480"/>
        <w:rPr>
          <w:rFonts w:ascii="Times New Roman" w:hAnsi="Times New Roman" w:eastAsia="宋体" w:cs="Times New Roman"/>
        </w:rPr>
      </w:pPr>
      <w:r>
        <w:rPr>
          <w:rFonts w:ascii="Times New Roman" w:hAnsi="Times New Roman" w:eastAsia="宋体" w:cs="Times New Roman"/>
        </w:rPr>
        <w:t>15.2“</w:t>
      </w:r>
      <w:r>
        <w:rPr>
          <w:rFonts w:ascii="Times New Roman" w:hAnsi="宋体" w:eastAsia="宋体" w:cs="Times New Roman"/>
        </w:rPr>
        <w:t>成交通知书</w:t>
      </w:r>
      <w:r>
        <w:rPr>
          <w:rFonts w:ascii="Times New Roman" w:hAnsi="Times New Roman" w:eastAsia="宋体" w:cs="Times New Roman"/>
        </w:rPr>
        <w:t>”</w:t>
      </w:r>
      <w:r>
        <w:rPr>
          <w:rFonts w:ascii="Times New Roman" w:hAnsi="宋体" w:eastAsia="宋体" w:cs="Times New Roman"/>
        </w:rPr>
        <w:t>将作为签订合同的重要依据，当</w:t>
      </w:r>
      <w:r>
        <w:rPr>
          <w:rFonts w:ascii="Times New Roman" w:hAnsi="Times New Roman" w:eastAsia="宋体" w:cs="Times New Roman"/>
        </w:rPr>
        <w:t>“</w:t>
      </w:r>
      <w:r>
        <w:rPr>
          <w:rFonts w:ascii="Times New Roman" w:hAnsi="宋体" w:eastAsia="宋体" w:cs="Times New Roman"/>
        </w:rPr>
        <w:t>成交通知书</w:t>
      </w:r>
      <w:r>
        <w:rPr>
          <w:rFonts w:ascii="Times New Roman" w:hAnsi="Times New Roman" w:eastAsia="宋体" w:cs="Times New Roman"/>
        </w:rPr>
        <w:t>”</w:t>
      </w:r>
      <w:r>
        <w:rPr>
          <w:rFonts w:ascii="Times New Roman" w:hAnsi="宋体" w:eastAsia="宋体" w:cs="Times New Roman"/>
        </w:rPr>
        <w:t>与合同有差别时，以合同为准，合同将作为成交人的最终供货依据。</w:t>
      </w:r>
    </w:p>
    <w:p w14:paraId="528B2D02">
      <w:pPr>
        <w:pStyle w:val="28"/>
        <w:rPr>
          <w:rFonts w:ascii="Times New Roman" w:eastAsia="宋体" w:cs="Times New Roman"/>
          <w:color w:val="auto"/>
        </w:rPr>
      </w:pPr>
      <w:r>
        <w:rPr>
          <w:rFonts w:ascii="Times New Roman" w:eastAsia="宋体" w:cs="Times New Roman"/>
          <w:color w:val="auto"/>
        </w:rPr>
        <w:t>合同的签订</w:t>
      </w:r>
    </w:p>
    <w:p w14:paraId="404A979E">
      <w:pPr>
        <w:pStyle w:val="30"/>
        <w:ind w:firstLine="480"/>
        <w:rPr>
          <w:rFonts w:ascii="Times New Roman" w:hAnsi="Times New Roman" w:eastAsia="宋体" w:cs="Times New Roman"/>
        </w:rPr>
      </w:pPr>
      <w:r>
        <w:rPr>
          <w:rFonts w:ascii="Times New Roman" w:hAnsi="Times New Roman" w:eastAsia="宋体" w:cs="Times New Roman"/>
        </w:rPr>
        <w:t>16.1</w:t>
      </w:r>
      <w:r>
        <w:rPr>
          <w:rFonts w:ascii="Times New Roman" w:hAnsi="宋体" w:eastAsia="宋体" w:cs="Times New Roman"/>
        </w:rPr>
        <w:t>成交人在收到成交通知书</w:t>
      </w:r>
      <w:r>
        <w:rPr>
          <w:rFonts w:ascii="Times New Roman" w:hAnsi="Times New Roman" w:eastAsia="宋体" w:cs="Times New Roman"/>
        </w:rPr>
        <w:t>30</w:t>
      </w:r>
      <w:r>
        <w:rPr>
          <w:rFonts w:ascii="Times New Roman" w:hAnsi="宋体" w:eastAsia="宋体" w:cs="Times New Roman"/>
        </w:rPr>
        <w:t>天内，须与采购单位按照磋商文件确定的合同文本以及采购标的、规格型号、采购金额、采购数量、技术和服务要求等事项签订政府采购合同。成交人不得在收到成交通知书后，再与采购单位、采购人达成背离磋商文件确定的合同文本以及采购标的、规格型号、采购金额、采购数量、技术和服务要求等实质性内容的其它协议或类似约定。</w:t>
      </w:r>
    </w:p>
    <w:p w14:paraId="08A765D6">
      <w:pPr>
        <w:pStyle w:val="30"/>
        <w:ind w:firstLine="480"/>
        <w:rPr>
          <w:rFonts w:ascii="Times New Roman" w:hAnsi="Times New Roman" w:eastAsia="宋体" w:cs="Times New Roman"/>
        </w:rPr>
      </w:pPr>
      <w:r>
        <w:rPr>
          <w:rFonts w:ascii="Times New Roman" w:hAnsi="Times New Roman" w:eastAsia="宋体" w:cs="Times New Roman"/>
        </w:rPr>
        <w:t>16.2</w:t>
      </w:r>
      <w:r>
        <w:rPr>
          <w:rFonts w:ascii="Times New Roman" w:hAnsi="宋体" w:eastAsia="宋体" w:cs="Times New Roman"/>
        </w:rPr>
        <w:t>采购合同经采购人和成交人双方法定代表人或其授权代表签字并加盖单位公章后生效。</w:t>
      </w:r>
    </w:p>
    <w:p w14:paraId="18FA89A1">
      <w:pPr>
        <w:pStyle w:val="30"/>
        <w:ind w:firstLine="480"/>
        <w:rPr>
          <w:rFonts w:ascii="Times New Roman" w:hAnsi="Times New Roman" w:eastAsia="宋体" w:cs="Times New Roman"/>
        </w:rPr>
      </w:pPr>
      <w:r>
        <w:rPr>
          <w:rFonts w:ascii="Times New Roman" w:hAnsi="Times New Roman" w:eastAsia="宋体" w:cs="Times New Roman"/>
        </w:rPr>
        <w:t>16.3</w:t>
      </w:r>
      <w:r>
        <w:rPr>
          <w:rFonts w:ascii="Times New Roman" w:hAnsi="宋体" w:eastAsia="宋体" w:cs="Times New Roman"/>
        </w:rPr>
        <w:t>竞争性磋商文件、成交人的响应文件及其澄清文件等，均为签订经济合同的依据。</w:t>
      </w:r>
    </w:p>
    <w:p w14:paraId="5E7E9285">
      <w:pPr>
        <w:pStyle w:val="28"/>
        <w:rPr>
          <w:rFonts w:ascii="Times New Roman" w:eastAsia="宋体" w:cs="Times New Roman"/>
          <w:color w:val="auto"/>
        </w:rPr>
      </w:pPr>
      <w:r>
        <w:rPr>
          <w:rFonts w:ascii="Times New Roman" w:eastAsia="宋体" w:cs="Times New Roman"/>
          <w:color w:val="auto"/>
        </w:rPr>
        <w:t>合同的履行</w:t>
      </w:r>
    </w:p>
    <w:p w14:paraId="38C7D886">
      <w:pPr>
        <w:spacing w:line="360" w:lineRule="auto"/>
        <w:ind w:firstLine="480" w:firstLineChars="200"/>
        <w:rPr>
          <w:rFonts w:ascii="Times New Roman" w:hAnsi="Times New Roman" w:eastAsia="宋体" w:cs="Times New Roman"/>
          <w:sz w:val="24"/>
        </w:rPr>
      </w:pPr>
      <w:r>
        <w:rPr>
          <w:rFonts w:ascii="Times New Roman" w:hAnsi="宋体" w:eastAsia="宋体" w:cs="Times New Roman"/>
          <w:sz w:val="24"/>
        </w:rPr>
        <w:t>采购项目完成后，应通知采购人对采购项目进行现场验收。采购人依据合同规定及时支付成交人的货款，采购人在合同期内按合同要求对成交人的履约情况进行监督、检查。</w:t>
      </w:r>
    </w:p>
    <w:p w14:paraId="65CA6F35">
      <w:pPr>
        <w:pStyle w:val="27"/>
        <w:rPr>
          <w:rFonts w:ascii="Times New Roman" w:hAnsi="Times New Roman" w:eastAsia="宋体" w:cs="Times New Roman"/>
          <w:color w:val="auto"/>
        </w:rPr>
      </w:pPr>
      <w:bookmarkStart w:id="30" w:name="_Toc499216477"/>
      <w:bookmarkStart w:id="31" w:name="_Toc103068841"/>
      <w:r>
        <w:rPr>
          <w:rFonts w:ascii="Times New Roman" w:hAnsi="宋体" w:eastAsia="宋体" w:cs="Times New Roman"/>
          <w:color w:val="auto"/>
        </w:rPr>
        <w:t>六、质疑和投诉</w:t>
      </w:r>
      <w:bookmarkEnd w:id="30"/>
      <w:bookmarkEnd w:id="31"/>
    </w:p>
    <w:p w14:paraId="22193EFD">
      <w:pPr>
        <w:pStyle w:val="28"/>
        <w:rPr>
          <w:rFonts w:ascii="Times New Roman" w:eastAsia="宋体" w:cs="Times New Roman"/>
          <w:color w:val="auto"/>
        </w:rPr>
      </w:pPr>
      <w:r>
        <w:rPr>
          <w:rFonts w:ascii="Times New Roman" w:eastAsia="宋体" w:cs="Times New Roman"/>
          <w:color w:val="auto"/>
        </w:rPr>
        <w:t>质疑和投诉</w:t>
      </w:r>
    </w:p>
    <w:p w14:paraId="3D92379E">
      <w:pPr>
        <w:pStyle w:val="30"/>
        <w:ind w:firstLine="480"/>
        <w:rPr>
          <w:rFonts w:ascii="Times New Roman" w:hAnsi="Times New Roman" w:eastAsia="宋体" w:cs="Times New Roman"/>
        </w:rPr>
      </w:pPr>
      <w:r>
        <w:rPr>
          <w:rFonts w:ascii="Times New Roman" w:hAnsi="Times New Roman" w:eastAsia="宋体" w:cs="Times New Roman"/>
        </w:rPr>
        <w:t>18.1</w:t>
      </w:r>
      <w:r>
        <w:rPr>
          <w:rFonts w:ascii="Times New Roman" w:hAnsi="宋体" w:eastAsia="宋体" w:cs="Times New Roman"/>
        </w:rPr>
        <w:t>报价人对采购事项有疑问的，可以向采购单位提出询问。采购单位将依法做出答复，但答复的内容不涉及商业秘密。</w:t>
      </w:r>
    </w:p>
    <w:p w14:paraId="2D6C7BB8">
      <w:pPr>
        <w:pStyle w:val="30"/>
        <w:ind w:firstLine="480"/>
        <w:rPr>
          <w:rFonts w:ascii="Times New Roman" w:hAnsi="Times New Roman" w:eastAsia="宋体" w:cs="Times New Roman"/>
          <w:lang w:val="zh-CN"/>
        </w:rPr>
      </w:pPr>
      <w:r>
        <w:rPr>
          <w:rFonts w:ascii="Times New Roman" w:hAnsi="Times New Roman" w:eastAsia="宋体" w:cs="Times New Roman"/>
        </w:rPr>
        <w:t>18.2</w:t>
      </w:r>
      <w:r>
        <w:rPr>
          <w:rFonts w:ascii="Times New Roman" w:hAnsi="宋体" w:eastAsia="宋体" w:cs="Times New Roman"/>
          <w:lang w:val="zh-CN"/>
        </w:rPr>
        <w:t>报价人认为采购文件、采购过程和成交结果使自己的合法权益受到损害的，可以在知道或者应当知道其权益受到损害之日起</w:t>
      </w:r>
      <w:r>
        <w:rPr>
          <w:rFonts w:ascii="Times New Roman" w:hAnsi="Times New Roman" w:eastAsia="宋体" w:cs="Times New Roman"/>
          <w:lang w:val="zh-CN"/>
        </w:rPr>
        <w:t>7</w:t>
      </w:r>
      <w:r>
        <w:rPr>
          <w:rFonts w:ascii="Times New Roman" w:hAnsi="宋体" w:eastAsia="宋体" w:cs="Times New Roman"/>
          <w:lang w:val="zh-CN"/>
        </w:rPr>
        <w:t>个工作日内，以书面形式向采购单位提出质疑并要求答复。</w:t>
      </w:r>
    </w:p>
    <w:p w14:paraId="35D31B16">
      <w:pPr>
        <w:pStyle w:val="30"/>
        <w:ind w:firstLine="480"/>
        <w:rPr>
          <w:rFonts w:ascii="Times New Roman" w:hAnsi="Times New Roman" w:eastAsia="宋体" w:cs="Times New Roman"/>
          <w:lang w:val="zh-CN"/>
        </w:rPr>
      </w:pPr>
      <w:r>
        <w:rPr>
          <w:rFonts w:ascii="Times New Roman" w:hAnsi="Times New Roman" w:eastAsia="宋体" w:cs="Times New Roman"/>
          <w:lang w:val="zh-CN"/>
        </w:rPr>
        <w:t>18.3</w:t>
      </w:r>
      <w:r>
        <w:rPr>
          <w:rFonts w:ascii="Times New Roman" w:hAnsi="宋体" w:eastAsia="宋体" w:cs="Times New Roman"/>
          <w:lang w:val="zh-CN"/>
        </w:rPr>
        <w:t>报价人不得虚假质疑和恶意质疑，并对质疑内容的真实性承担责任。</w:t>
      </w:r>
      <w:r>
        <w:rPr>
          <w:rFonts w:ascii="Times New Roman" w:hAnsi="宋体" w:eastAsia="宋体" w:cs="Times New Roman"/>
        </w:rPr>
        <w:t>报价人或者其他利害关系人通过捏造事实、伪造证明材料等方式提出质疑或投诉，阻碍采购活动正常进行的，属于严重不良行为，采购单位将提请财政部门列入不良行为记录名单，并依法予以处罚。</w:t>
      </w:r>
    </w:p>
    <w:p w14:paraId="7EC2DB47">
      <w:pPr>
        <w:pStyle w:val="30"/>
        <w:ind w:firstLine="480"/>
        <w:rPr>
          <w:rFonts w:ascii="Times New Roman" w:hAnsi="Times New Roman" w:eastAsia="宋体" w:cs="Times New Roman"/>
        </w:rPr>
      </w:pPr>
      <w:r>
        <w:rPr>
          <w:rFonts w:ascii="Times New Roman" w:hAnsi="Times New Roman" w:eastAsia="宋体" w:cs="Times New Roman"/>
        </w:rPr>
        <w:t>18.4</w:t>
      </w:r>
      <w:r>
        <w:rPr>
          <w:rFonts w:ascii="Times New Roman" w:hAnsi="宋体" w:eastAsia="宋体" w:cs="Times New Roman"/>
        </w:rPr>
        <w:t>采购单位将在收到书面质疑后</w:t>
      </w:r>
      <w:r>
        <w:rPr>
          <w:rFonts w:ascii="Times New Roman" w:hAnsi="Times New Roman" w:eastAsia="宋体" w:cs="Times New Roman"/>
        </w:rPr>
        <w:t>7</w:t>
      </w:r>
      <w:r>
        <w:rPr>
          <w:rFonts w:ascii="Times New Roman" w:hAnsi="宋体" w:eastAsia="宋体" w:cs="Times New Roman"/>
        </w:rPr>
        <w:t>个工作日内审查质疑事项，做出答复或相关处理决定，并以书面形式通知质疑报价人和其他有关报价人，但答复的内容不涉及商业秘密。</w:t>
      </w:r>
    </w:p>
    <w:p w14:paraId="14632D27">
      <w:pPr>
        <w:pStyle w:val="30"/>
        <w:ind w:firstLine="480"/>
        <w:rPr>
          <w:rFonts w:ascii="Times New Roman" w:hAnsi="Times New Roman" w:eastAsia="宋体" w:cs="Times New Roman"/>
        </w:rPr>
      </w:pPr>
      <w:r>
        <w:rPr>
          <w:rFonts w:ascii="Times New Roman" w:hAnsi="Times New Roman" w:eastAsia="宋体" w:cs="Times New Roman"/>
        </w:rPr>
        <w:t xml:space="preserve">18.5 </w:t>
      </w:r>
      <w:r>
        <w:rPr>
          <w:rFonts w:ascii="Times New Roman" w:hAnsi="宋体" w:eastAsia="宋体" w:cs="Times New Roman"/>
        </w:rPr>
        <w:t>质疑报价人对采购单位的答复不满意以及采购单位未在规定的时间内做出答复的，可以在答复期满后</w:t>
      </w:r>
      <w:r>
        <w:rPr>
          <w:rFonts w:ascii="Times New Roman" w:hAnsi="Times New Roman" w:eastAsia="宋体" w:cs="Times New Roman"/>
        </w:rPr>
        <w:t>15</w:t>
      </w:r>
      <w:r>
        <w:rPr>
          <w:rFonts w:ascii="Times New Roman" w:hAnsi="宋体" w:eastAsia="宋体" w:cs="Times New Roman"/>
        </w:rPr>
        <w:t>个工作日内向财政部投诉。</w:t>
      </w:r>
    </w:p>
    <w:p w14:paraId="3BC7FC79">
      <w:pPr>
        <w:pStyle w:val="27"/>
        <w:rPr>
          <w:rFonts w:ascii="Times New Roman" w:hAnsi="Times New Roman" w:eastAsia="宋体" w:cs="Times New Roman"/>
          <w:color w:val="auto"/>
        </w:rPr>
      </w:pPr>
      <w:bookmarkStart w:id="32" w:name="_Toc103068842"/>
      <w:bookmarkStart w:id="33" w:name="_Toc499216478"/>
      <w:r>
        <w:rPr>
          <w:rFonts w:ascii="Times New Roman" w:hAnsi="宋体" w:eastAsia="宋体" w:cs="Times New Roman"/>
          <w:color w:val="auto"/>
        </w:rPr>
        <w:t>七、其它须知</w:t>
      </w:r>
      <w:bookmarkEnd w:id="32"/>
      <w:bookmarkEnd w:id="33"/>
    </w:p>
    <w:p w14:paraId="022D767E">
      <w:pPr>
        <w:pStyle w:val="28"/>
        <w:rPr>
          <w:rFonts w:ascii="Times New Roman" w:eastAsia="宋体" w:cs="Times New Roman"/>
          <w:color w:val="auto"/>
        </w:rPr>
      </w:pPr>
      <w:r>
        <w:rPr>
          <w:rFonts w:ascii="Times New Roman" w:eastAsia="宋体" w:cs="Times New Roman"/>
          <w:color w:val="auto"/>
        </w:rPr>
        <w:t>关于关联企业</w:t>
      </w:r>
    </w:p>
    <w:p w14:paraId="25276CA8">
      <w:pPr>
        <w:pStyle w:val="28"/>
        <w:numPr>
          <w:ilvl w:val="0"/>
          <w:numId w:val="0"/>
        </w:numPr>
        <w:ind w:firstLine="470" w:firstLineChars="196"/>
        <w:rPr>
          <w:rFonts w:ascii="Times New Roman" w:hAnsi="Times New Roman" w:eastAsia="宋体" w:cs="Times New Roman"/>
          <w:b w:val="0"/>
          <w:bCs w:val="0"/>
          <w:color w:val="auto"/>
        </w:rPr>
      </w:pPr>
      <w:r>
        <w:rPr>
          <w:rFonts w:ascii="Times New Roman" w:eastAsia="宋体" w:cs="Times New Roman"/>
          <w:b w:val="0"/>
          <w:bCs w:val="0"/>
          <w:color w:val="auto"/>
        </w:rPr>
        <w:t>存在法定代表人为同一个人的两个及两个以上法人，或母公司、全资子公司及其控股公司关联关系的企业，不得同时对同一采购项目中同一分包报价。如同时报价，磋商小组有权视情况决定是否允许其自行决定撤回部分报价人只保留其中一家，或直接决定一并拒绝。</w:t>
      </w:r>
    </w:p>
    <w:p w14:paraId="74803B4D">
      <w:pPr>
        <w:pStyle w:val="28"/>
        <w:rPr>
          <w:rFonts w:ascii="Times New Roman" w:eastAsia="宋体" w:cs="Times New Roman"/>
          <w:color w:val="auto"/>
        </w:rPr>
      </w:pPr>
      <w:r>
        <w:rPr>
          <w:rFonts w:ascii="Times New Roman" w:eastAsia="宋体" w:cs="Times New Roman"/>
          <w:color w:val="auto"/>
        </w:rPr>
        <w:t>关于信用信息查询和使用</w:t>
      </w:r>
    </w:p>
    <w:p w14:paraId="766FFABF">
      <w:pPr>
        <w:spacing w:line="360" w:lineRule="auto"/>
        <w:ind w:firstLine="470" w:firstLineChars="196"/>
        <w:rPr>
          <w:rFonts w:ascii="Times New Roman" w:hAnsi="Times New Roman" w:eastAsia="宋体" w:cs="Times New Roman"/>
          <w:bCs/>
          <w:sz w:val="24"/>
        </w:rPr>
      </w:pPr>
      <w:r>
        <w:rPr>
          <w:rFonts w:ascii="Times New Roman" w:hAnsi="宋体" w:eastAsia="宋体" w:cs="Times New Roman"/>
          <w:bCs/>
          <w:sz w:val="24"/>
        </w:rPr>
        <w:t>项目评审组织人员于符合性审查前（含）通过</w:t>
      </w:r>
      <w:r>
        <w:rPr>
          <w:rFonts w:ascii="Times New Roman" w:hAnsi="Times New Roman" w:eastAsia="宋体" w:cs="Times New Roman"/>
          <w:bCs/>
          <w:sz w:val="24"/>
        </w:rPr>
        <w:t>“</w:t>
      </w:r>
      <w:r>
        <w:rPr>
          <w:rFonts w:ascii="Times New Roman" w:hAnsi="宋体" w:eastAsia="宋体" w:cs="Times New Roman"/>
          <w:bCs/>
          <w:sz w:val="24"/>
        </w:rPr>
        <w:t>信用中国</w:t>
      </w:r>
      <w:r>
        <w:rPr>
          <w:rFonts w:ascii="Times New Roman" w:hAnsi="Times New Roman" w:eastAsia="宋体" w:cs="Times New Roman"/>
          <w:bCs/>
          <w:sz w:val="24"/>
        </w:rPr>
        <w:t>”</w:t>
      </w:r>
      <w:r>
        <w:rPr>
          <w:rFonts w:ascii="Times New Roman" w:hAnsi="宋体" w:eastAsia="宋体" w:cs="Times New Roman"/>
          <w:bCs/>
          <w:sz w:val="24"/>
        </w:rPr>
        <w:t>网站</w:t>
      </w:r>
      <w:r>
        <w:rPr>
          <w:rFonts w:ascii="Times New Roman" w:hAnsi="Times New Roman" w:eastAsia="宋体" w:cs="Times New Roman"/>
          <w:bCs/>
          <w:sz w:val="24"/>
        </w:rPr>
        <w:t>(www.creditchina.gov.cn)</w:t>
      </w:r>
      <w:r>
        <w:rPr>
          <w:rFonts w:ascii="Times New Roman" w:hAnsi="宋体" w:eastAsia="宋体" w:cs="Times New Roman"/>
          <w:bCs/>
          <w:sz w:val="24"/>
        </w:rPr>
        <w:t>、中国政府采购网</w:t>
      </w:r>
      <w:r>
        <w:rPr>
          <w:rFonts w:ascii="Times New Roman" w:hAnsi="Times New Roman" w:eastAsia="宋体" w:cs="Times New Roman"/>
          <w:bCs/>
          <w:sz w:val="24"/>
        </w:rPr>
        <w:t>(www.ccgp.gov.cn)</w:t>
      </w:r>
      <w:r>
        <w:rPr>
          <w:rFonts w:ascii="Times New Roman" w:hAnsi="宋体" w:eastAsia="宋体" w:cs="Times New Roman"/>
          <w:bCs/>
          <w:sz w:val="24"/>
        </w:rPr>
        <w:t>渠道查询</w:t>
      </w:r>
      <w:r>
        <w:rPr>
          <w:rFonts w:hint="eastAsia" w:ascii="Times New Roman" w:hAnsi="宋体" w:eastAsia="宋体" w:cs="Times New Roman"/>
          <w:bCs/>
          <w:sz w:val="24"/>
        </w:rPr>
        <w:t>报价</w:t>
      </w:r>
      <w:r>
        <w:rPr>
          <w:rFonts w:ascii="Times New Roman" w:hAnsi="宋体" w:eastAsia="宋体" w:cs="Times New Roman"/>
          <w:bCs/>
          <w:sz w:val="24"/>
        </w:rPr>
        <w:t>人信用记录，经查询列入失信被执行人、重大税收违法案件当事人名单、政府采购严重违法失信行为记录名单，其报价将被拒绝。</w:t>
      </w:r>
      <w:r>
        <w:rPr>
          <w:rFonts w:ascii="Times New Roman" w:hAnsi="Times New Roman" w:eastAsia="宋体" w:cs="Times New Roman"/>
          <w:bCs/>
          <w:sz w:val="24"/>
        </w:rPr>
        <w:t>”</w:t>
      </w:r>
    </w:p>
    <w:p w14:paraId="40F3624E">
      <w:pPr>
        <w:pStyle w:val="28"/>
        <w:rPr>
          <w:rFonts w:ascii="Times New Roman" w:eastAsia="宋体" w:cs="Times New Roman"/>
          <w:color w:val="auto"/>
        </w:rPr>
      </w:pPr>
      <w:r>
        <w:rPr>
          <w:rFonts w:ascii="Times New Roman" w:eastAsia="宋体" w:cs="Times New Roman"/>
          <w:color w:val="auto"/>
        </w:rPr>
        <w:t>中小微型企业规定</w:t>
      </w:r>
    </w:p>
    <w:p w14:paraId="540F19FC">
      <w:pPr>
        <w:pStyle w:val="28"/>
        <w:numPr>
          <w:ilvl w:val="0"/>
          <w:numId w:val="0"/>
        </w:numPr>
        <w:ind w:firstLine="480" w:firstLineChars="200"/>
        <w:rPr>
          <w:rFonts w:ascii="Times New Roman" w:hAnsi="Times New Roman" w:eastAsia="宋体" w:cs="Times New Roman"/>
          <w:b w:val="0"/>
          <w:color w:val="auto"/>
        </w:rPr>
      </w:pPr>
      <w:r>
        <w:rPr>
          <w:rFonts w:hint="eastAsia" w:ascii="Times New Roman" w:hAnsi="Times New Roman" w:eastAsia="宋体" w:cs="Times New Roman"/>
          <w:b w:val="0"/>
          <w:color w:val="auto"/>
        </w:rPr>
        <w:t>2</w:t>
      </w:r>
      <w:r>
        <w:rPr>
          <w:rFonts w:ascii="Times New Roman" w:hAnsi="Times New Roman" w:eastAsia="宋体" w:cs="Times New Roman"/>
          <w:b w:val="0"/>
          <w:color w:val="auto"/>
        </w:rPr>
        <w:t>1</w:t>
      </w:r>
      <w:r>
        <w:rPr>
          <w:rFonts w:hint="eastAsia" w:ascii="Times New Roman" w:hAnsi="Times New Roman" w:eastAsia="宋体" w:cs="Times New Roman"/>
          <w:b w:val="0"/>
          <w:color w:val="auto"/>
        </w:rPr>
        <w:t>.1 根据工信部等部委发布的《关于印发中小企业划型标准规定的通知》（工信部联企业〔2011〕300号），符合相关条件的为中小微型企业。本项目</w:t>
      </w:r>
      <w:r>
        <w:rPr>
          <w:rFonts w:ascii="Times New Roman" w:hAnsi="Times New Roman" w:eastAsia="宋体" w:cs="Times New Roman"/>
          <w:b w:val="0"/>
          <w:color w:val="auto"/>
        </w:rPr>
        <w:t>采购标的对应的中小企业划分标准所属行业</w:t>
      </w:r>
      <w:r>
        <w:rPr>
          <w:rFonts w:hint="eastAsia" w:ascii="Times New Roman" w:hAnsi="Times New Roman" w:eastAsia="宋体" w:cs="Times New Roman"/>
          <w:b w:val="0"/>
          <w:color w:val="auto"/>
        </w:rPr>
        <w:t>为其他未列明行业，符合条件的企业应根据招标文件附件中的格式要求提供《中小企业声明函》，没有按要求提供上述材料的不被认定为中小微型企业。</w:t>
      </w:r>
    </w:p>
    <w:p w14:paraId="6264B59B">
      <w:pPr>
        <w:pStyle w:val="28"/>
        <w:numPr>
          <w:ilvl w:val="0"/>
          <w:numId w:val="0"/>
        </w:numPr>
        <w:ind w:firstLine="480" w:firstLineChars="200"/>
        <w:rPr>
          <w:rFonts w:ascii="Times New Roman" w:hAnsi="Times New Roman" w:eastAsia="宋体" w:cs="Times New Roman"/>
          <w:b w:val="0"/>
          <w:color w:val="auto"/>
        </w:rPr>
      </w:pPr>
      <w:r>
        <w:rPr>
          <w:rFonts w:hint="eastAsia" w:ascii="Times New Roman" w:hAnsi="Times New Roman" w:eastAsia="宋体" w:cs="Times New Roman"/>
          <w:b w:val="0"/>
          <w:color w:val="auto"/>
        </w:rPr>
        <w:t>2</w:t>
      </w:r>
      <w:r>
        <w:rPr>
          <w:rFonts w:ascii="Times New Roman" w:hAnsi="Times New Roman" w:eastAsia="宋体" w:cs="Times New Roman"/>
          <w:b w:val="0"/>
          <w:color w:val="auto"/>
        </w:rPr>
        <w:t>1</w:t>
      </w:r>
      <w:r>
        <w:rPr>
          <w:rFonts w:hint="eastAsia" w:ascii="Times New Roman" w:hAnsi="Times New Roman" w:eastAsia="宋体" w:cs="Times New Roman"/>
          <w:b w:val="0"/>
          <w:color w:val="auto"/>
        </w:rPr>
        <w:t>.2 根据财政部发布的《政府采购促进中小企业发展管理办法》（财库[2020]46号规定，对于非专门面向此类企业的项目，对小型和微型企业产品的价格给予</w:t>
      </w:r>
      <w:r>
        <w:rPr>
          <w:rFonts w:ascii="Times New Roman" w:hAnsi="Times New Roman" w:eastAsia="宋体" w:cs="Times New Roman"/>
          <w:b w:val="0"/>
          <w:color w:val="auto"/>
          <w:u w:val="single"/>
        </w:rPr>
        <w:t>6%</w:t>
      </w:r>
      <w:r>
        <w:rPr>
          <w:rFonts w:hint="eastAsia" w:ascii="Times New Roman" w:hAnsi="Times New Roman" w:eastAsia="宋体" w:cs="Times New Roman"/>
          <w:b w:val="0"/>
          <w:color w:val="auto"/>
        </w:rPr>
        <w:t>的扣除，用扣除后的价格参与评审。</w:t>
      </w:r>
    </w:p>
    <w:p w14:paraId="4C97EC13">
      <w:pPr>
        <w:pStyle w:val="28"/>
        <w:numPr>
          <w:ilvl w:val="0"/>
          <w:numId w:val="0"/>
        </w:numPr>
        <w:ind w:firstLine="480" w:firstLineChars="200"/>
        <w:rPr>
          <w:rFonts w:ascii="Times New Roman" w:eastAsia="宋体" w:cs="Times New Roman"/>
          <w:color w:val="auto"/>
        </w:rPr>
      </w:pPr>
      <w:r>
        <w:rPr>
          <w:rFonts w:hint="eastAsia" w:ascii="Times New Roman" w:hAnsi="Times New Roman" w:eastAsia="宋体" w:cs="Times New Roman"/>
          <w:b w:val="0"/>
          <w:color w:val="auto"/>
        </w:rPr>
        <w:t>2</w:t>
      </w:r>
      <w:r>
        <w:rPr>
          <w:rFonts w:ascii="Times New Roman" w:hAnsi="Times New Roman" w:eastAsia="宋体" w:cs="Times New Roman"/>
          <w:b w:val="0"/>
          <w:color w:val="auto"/>
        </w:rPr>
        <w:t>1</w:t>
      </w:r>
      <w:r>
        <w:rPr>
          <w:rFonts w:hint="eastAsia" w:ascii="Times New Roman" w:hAnsi="Times New Roman" w:eastAsia="宋体" w:cs="Times New Roman"/>
          <w:b w:val="0"/>
          <w:color w:val="auto"/>
        </w:rPr>
        <w:t>.3.根据财库[2014]68号的相关规定，在政府采购活动中，监狱企业视同小型、微型企业，享受评审中价格扣除政策，在报价文件中提供由省级以上监狱管理局、戒毒管理局（含新疆生产建设兵团）出具的属于监狱企业的证明文件格式自拟）。</w:t>
      </w:r>
    </w:p>
    <w:p w14:paraId="7B487CE6">
      <w:pPr>
        <w:pStyle w:val="28"/>
        <w:rPr>
          <w:rFonts w:ascii="Times New Roman" w:eastAsia="宋体" w:cs="Times New Roman"/>
          <w:color w:val="auto"/>
        </w:rPr>
      </w:pPr>
      <w:r>
        <w:rPr>
          <w:rFonts w:ascii="Times New Roman" w:eastAsia="宋体" w:cs="Times New Roman"/>
          <w:color w:val="auto"/>
        </w:rPr>
        <w:t>节能环保要求</w:t>
      </w:r>
    </w:p>
    <w:p w14:paraId="26EC8841">
      <w:pPr>
        <w:pStyle w:val="28"/>
        <w:numPr>
          <w:ilvl w:val="0"/>
          <w:numId w:val="0"/>
        </w:numPr>
        <w:ind w:firstLine="480" w:firstLineChars="200"/>
        <w:rPr>
          <w:rFonts w:ascii="Times New Roman" w:eastAsia="宋体" w:cs="Times New Roman"/>
          <w:b w:val="0"/>
          <w:color w:val="auto"/>
        </w:rPr>
      </w:pPr>
      <w:r>
        <w:rPr>
          <w:rFonts w:hint="eastAsia" w:ascii="Times New Roman" w:eastAsia="宋体" w:cs="Times New Roman"/>
          <w:b w:val="0"/>
          <w:color w:val="auto"/>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5B33F376">
      <w:pPr>
        <w:pStyle w:val="28"/>
        <w:rPr>
          <w:rFonts w:ascii="Times New Roman" w:eastAsia="宋体" w:cs="Times New Roman"/>
          <w:color w:val="auto"/>
        </w:rPr>
      </w:pPr>
      <w:r>
        <w:rPr>
          <w:rFonts w:ascii="Times New Roman" w:eastAsia="宋体" w:cs="Times New Roman"/>
          <w:color w:val="auto"/>
        </w:rPr>
        <w:t>残疾人福利性单位规定</w:t>
      </w:r>
    </w:p>
    <w:p w14:paraId="730FEB80">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 xml:space="preserve">23.1 </w:t>
      </w:r>
      <w:r>
        <w:rPr>
          <w:rFonts w:ascii="Times New Roman" w:hAnsi="宋体" w:eastAsia="宋体" w:cs="Times New Roman"/>
          <w:bCs/>
          <w:sz w:val="24"/>
        </w:rPr>
        <w:t>根据《财政部民政部中国残疾人联合会关于促进残疾人就业政府采购政策的通知》（财库【</w:t>
      </w:r>
      <w:r>
        <w:rPr>
          <w:rFonts w:ascii="Times New Roman" w:hAnsi="Times New Roman" w:eastAsia="宋体" w:cs="Times New Roman"/>
          <w:bCs/>
          <w:sz w:val="24"/>
        </w:rPr>
        <w:t>2017</w:t>
      </w:r>
      <w:r>
        <w:rPr>
          <w:rFonts w:ascii="Times New Roman" w:hAnsi="宋体" w:eastAsia="宋体" w:cs="Times New Roman"/>
          <w:bCs/>
          <w:sz w:val="24"/>
        </w:rPr>
        <w:t>】</w:t>
      </w:r>
      <w:r>
        <w:rPr>
          <w:rFonts w:ascii="Times New Roman" w:hAnsi="Times New Roman" w:eastAsia="宋体" w:cs="Times New Roman"/>
          <w:bCs/>
          <w:sz w:val="24"/>
        </w:rPr>
        <w:t>141</w:t>
      </w:r>
      <w:r>
        <w:rPr>
          <w:rFonts w:ascii="Times New Roman" w:hAnsi="宋体" w:eastAsia="宋体" w:cs="Times New Roman"/>
          <w:bCs/>
          <w:sz w:val="24"/>
        </w:rPr>
        <w:t>号），符合相关条件的享受政府采购支持政策的残疾人福利性单位应根据</w:t>
      </w:r>
      <w:r>
        <w:rPr>
          <w:rFonts w:hint="eastAsia" w:ascii="Times New Roman" w:hAnsi="宋体" w:eastAsia="宋体" w:cs="Times New Roman"/>
          <w:bCs/>
          <w:sz w:val="24"/>
        </w:rPr>
        <w:t>磋商</w:t>
      </w:r>
      <w:r>
        <w:rPr>
          <w:rFonts w:ascii="Times New Roman" w:hAnsi="宋体" w:eastAsia="宋体" w:cs="Times New Roman"/>
          <w:bCs/>
          <w:sz w:val="24"/>
        </w:rPr>
        <w:t>文件附件</w:t>
      </w:r>
      <w:r>
        <w:rPr>
          <w:rFonts w:hint="eastAsia" w:ascii="Times New Roman" w:hAnsi="Times New Roman" w:eastAsia="宋体" w:cs="Times New Roman"/>
          <w:bCs/>
          <w:sz w:val="24"/>
        </w:rPr>
        <w:t>七</w:t>
      </w:r>
      <w:r>
        <w:rPr>
          <w:rFonts w:ascii="Times New Roman" w:hAnsi="宋体" w:eastAsia="宋体" w:cs="Times New Roman"/>
          <w:bCs/>
          <w:sz w:val="24"/>
        </w:rPr>
        <w:t>的格式要求提供《残疾人福利性单位声明函》并对声明的真实性负责，没有按要求提供《残疾人福利性单位声明函》的不被认定为残疾人福利性单位。中标供应商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14:paraId="44CA9472">
      <w:pPr>
        <w:spacing w:line="360" w:lineRule="auto"/>
        <w:ind w:firstLine="480" w:firstLineChars="200"/>
        <w:rPr>
          <w:rFonts w:ascii="Times New Roman" w:hAnsi="宋体" w:eastAsia="宋体" w:cs="Times New Roman"/>
        </w:rPr>
      </w:pPr>
      <w:r>
        <w:rPr>
          <w:rFonts w:ascii="Times New Roman" w:hAnsi="Times New Roman" w:eastAsia="宋体" w:cs="Times New Roman"/>
          <w:bCs/>
          <w:sz w:val="24"/>
        </w:rPr>
        <w:t xml:space="preserve">23.2 </w:t>
      </w:r>
      <w:r>
        <w:rPr>
          <w:rFonts w:ascii="Times New Roman" w:hAnsi="宋体" w:eastAsia="宋体" w:cs="Times New Roman"/>
          <w:bCs/>
          <w:sz w:val="24"/>
        </w:rPr>
        <w:t>根据《财政部民政部中国残疾人联合会关于促进残疾人就业政府采购政策的通知》（财库【</w:t>
      </w:r>
      <w:r>
        <w:rPr>
          <w:rFonts w:ascii="Times New Roman" w:hAnsi="Times New Roman" w:eastAsia="宋体" w:cs="Times New Roman"/>
          <w:bCs/>
          <w:sz w:val="24"/>
        </w:rPr>
        <w:t>2017</w:t>
      </w:r>
      <w:r>
        <w:rPr>
          <w:rFonts w:ascii="Times New Roman" w:hAnsi="宋体" w:eastAsia="宋体" w:cs="Times New Roman"/>
          <w:bCs/>
          <w:sz w:val="24"/>
        </w:rPr>
        <w:t>】</w:t>
      </w:r>
      <w:r>
        <w:rPr>
          <w:rFonts w:ascii="Times New Roman" w:hAnsi="Times New Roman" w:eastAsia="宋体" w:cs="Times New Roman"/>
          <w:bCs/>
          <w:sz w:val="24"/>
        </w:rPr>
        <w:t>141</w:t>
      </w:r>
      <w:r>
        <w:rPr>
          <w:rFonts w:ascii="Times New Roman" w:hAnsi="宋体" w:eastAsia="宋体" w:cs="Times New Roman"/>
          <w:bCs/>
          <w:sz w:val="24"/>
        </w:rPr>
        <w:t>号），对于非专门面向此类企业的项目，对残疾人福利性单位产品的价格给予</w:t>
      </w:r>
      <w:r>
        <w:rPr>
          <w:rFonts w:ascii="Times New Roman" w:hAnsi="Times New Roman" w:eastAsia="宋体" w:cs="Times New Roman"/>
          <w:bCs/>
          <w:sz w:val="24"/>
        </w:rPr>
        <w:t>6%</w:t>
      </w:r>
      <w:r>
        <w:rPr>
          <w:rFonts w:ascii="Times New Roman" w:hAnsi="宋体" w:eastAsia="宋体" w:cs="Times New Roman"/>
          <w:bCs/>
          <w:sz w:val="24"/>
        </w:rPr>
        <w:t>的扣除，用扣除后的价格参与评审。残疾人福利性单位属于小型、微型企业的，不重复享受政策。</w:t>
      </w:r>
      <w:bookmarkStart w:id="34" w:name="_Toc499216479"/>
      <w:bookmarkStart w:id="35" w:name="_Toc147024753"/>
    </w:p>
    <w:p w14:paraId="2AADB880">
      <w:pPr>
        <w:pStyle w:val="17"/>
        <w:rPr>
          <w:rFonts w:ascii="Times New Roman" w:hAnsi="宋体" w:eastAsia="宋体" w:cs="Times New Roman"/>
        </w:rPr>
      </w:pPr>
      <w:r>
        <w:rPr>
          <w:rFonts w:ascii="Times New Roman" w:hAnsi="宋体" w:eastAsia="宋体" w:cs="Times New Roman"/>
        </w:rPr>
        <w:br w:type="page"/>
      </w:r>
    </w:p>
    <w:p w14:paraId="658BCD3B">
      <w:pPr>
        <w:pStyle w:val="17"/>
        <w:rPr>
          <w:rFonts w:ascii="Times New Roman" w:hAnsi="宋体" w:eastAsia="宋体" w:cs="Times New Roman"/>
        </w:rPr>
      </w:pPr>
      <w:bookmarkStart w:id="36" w:name="_Toc103068843"/>
      <w:r>
        <w:rPr>
          <w:rFonts w:ascii="Times New Roman" w:hAnsi="宋体" w:eastAsia="宋体" w:cs="Times New Roman"/>
        </w:rPr>
        <w:t>第三部分</w:t>
      </w:r>
      <w:r>
        <w:rPr>
          <w:rFonts w:hint="eastAsia" w:ascii="Times New Roman" w:hAnsi="宋体" w:eastAsia="宋体" w:cs="Times New Roman"/>
        </w:rPr>
        <w:t xml:space="preserve"> </w:t>
      </w:r>
      <w:r>
        <w:rPr>
          <w:rFonts w:ascii="Times New Roman" w:hAnsi="宋体" w:eastAsia="宋体" w:cs="Times New Roman"/>
        </w:rPr>
        <w:t>采购需求</w:t>
      </w:r>
      <w:bookmarkEnd w:id="34"/>
      <w:bookmarkEnd w:id="36"/>
    </w:p>
    <w:p w14:paraId="3F4D3C41">
      <w:pPr>
        <w:spacing w:line="360" w:lineRule="auto"/>
        <w:ind w:firstLine="480" w:firstLineChars="200"/>
        <w:rPr>
          <w:rFonts w:ascii="Times New Roman" w:hAnsi="宋体" w:eastAsia="宋体" w:cs="Times New Roman"/>
          <w:sz w:val="24"/>
        </w:rPr>
      </w:pPr>
    </w:p>
    <w:p w14:paraId="110D7211">
      <w:pPr>
        <w:spacing w:line="360" w:lineRule="auto"/>
        <w:ind w:firstLine="480" w:firstLineChars="200"/>
        <w:rPr>
          <w:rFonts w:ascii="Times New Roman" w:hAnsi="Times New Roman" w:eastAsia="宋体" w:cs="Times New Roman"/>
          <w:sz w:val="24"/>
        </w:rPr>
      </w:pPr>
      <w:r>
        <w:rPr>
          <w:rFonts w:hint="eastAsia" w:ascii="Times New Roman" w:hAnsi="宋体" w:eastAsia="宋体" w:cs="Times New Roman"/>
          <w:sz w:val="24"/>
        </w:rPr>
        <w:t>为持续做好全国各级各类体校校长及教练员培训工作，切实提高体校校长的管理水平和教练员执教能力，依据体育总局202</w:t>
      </w:r>
      <w:r>
        <w:rPr>
          <w:rFonts w:ascii="Times New Roman" w:hAnsi="宋体" w:eastAsia="宋体" w:cs="Times New Roman"/>
          <w:sz w:val="24"/>
        </w:rPr>
        <w:t>5</w:t>
      </w:r>
      <w:r>
        <w:rPr>
          <w:rFonts w:hint="eastAsia" w:ascii="Times New Roman" w:hAnsi="宋体" w:eastAsia="宋体" w:cs="Times New Roman"/>
          <w:sz w:val="24"/>
        </w:rPr>
        <w:t>年培训计划，将举办</w:t>
      </w:r>
      <w:r>
        <w:rPr>
          <w:rFonts w:ascii="Times New Roman" w:hAnsi="宋体" w:eastAsia="宋体" w:cs="Times New Roman"/>
          <w:sz w:val="24"/>
        </w:rPr>
        <w:t>2025</w:t>
      </w:r>
      <w:r>
        <w:rPr>
          <w:rFonts w:hint="eastAsia" w:ascii="Times New Roman" w:hAnsi="宋体" w:eastAsia="宋体" w:cs="Times New Roman"/>
          <w:sz w:val="24"/>
        </w:rPr>
        <w:t>年全国各级各类体校校长及教练员培训班等。</w:t>
      </w:r>
    </w:p>
    <w:p w14:paraId="4BDDB198">
      <w:pPr>
        <w:spacing w:line="360" w:lineRule="auto"/>
        <w:ind w:firstLine="480" w:firstLineChars="200"/>
        <w:rPr>
          <w:rFonts w:ascii="Times New Roman" w:hAnsi="Times New Roman" w:eastAsia="宋体" w:cs="Times New Roman"/>
          <w:sz w:val="24"/>
        </w:rPr>
      </w:pPr>
      <w:r>
        <w:rPr>
          <w:rFonts w:ascii="Times New Roman" w:hAnsi="宋体" w:eastAsia="宋体" w:cs="Times New Roman"/>
          <w:sz w:val="24"/>
        </w:rPr>
        <w:t>一、目标与任务</w:t>
      </w:r>
    </w:p>
    <w:p w14:paraId="12F2EFA2">
      <w:pPr>
        <w:spacing w:line="360" w:lineRule="auto"/>
        <w:ind w:firstLine="480" w:firstLineChars="200"/>
        <w:rPr>
          <w:rFonts w:ascii="Times New Roman" w:hAnsi="Times New Roman" w:eastAsia="宋体" w:cs="Times New Roman"/>
          <w:sz w:val="24"/>
        </w:rPr>
      </w:pPr>
      <w:r>
        <w:rPr>
          <w:rFonts w:hint="eastAsia" w:ascii="Times New Roman" w:hAnsi="宋体" w:eastAsia="宋体" w:cs="Times New Roman"/>
          <w:sz w:val="24"/>
        </w:rPr>
        <w:t>为进一步提高体校教练员、管理人员的业务能力和管理水平，20</w:t>
      </w:r>
      <w:r>
        <w:rPr>
          <w:rFonts w:ascii="Times New Roman" w:hAnsi="宋体" w:eastAsia="宋体" w:cs="Times New Roman"/>
          <w:sz w:val="24"/>
        </w:rPr>
        <w:t>25</w:t>
      </w:r>
      <w:r>
        <w:rPr>
          <w:rFonts w:hint="eastAsia" w:ascii="Times New Roman" w:hAnsi="宋体" w:eastAsia="宋体" w:cs="Times New Roman"/>
          <w:sz w:val="24"/>
        </w:rPr>
        <w:t>年将继续开展全国各级各类体校校长培训、体校教练员体能培训、体校科学化选材与训练培训等。</w:t>
      </w:r>
    </w:p>
    <w:p w14:paraId="0CDFE469">
      <w:pPr>
        <w:numPr>
          <w:ilvl w:val="0"/>
          <w:numId w:val="6"/>
        </w:num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培训对象</w:t>
      </w:r>
    </w:p>
    <w:p w14:paraId="13025CB2">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（一）20</w:t>
      </w:r>
      <w:r>
        <w:rPr>
          <w:rFonts w:ascii="Times New Roman" w:hAnsi="宋体" w:eastAsia="宋体" w:cs="Times New Roman"/>
          <w:sz w:val="24"/>
        </w:rPr>
        <w:t>25</w:t>
      </w:r>
      <w:r>
        <w:rPr>
          <w:rFonts w:hint="eastAsia" w:ascii="Times New Roman" w:hAnsi="宋体" w:eastAsia="宋体" w:cs="Times New Roman"/>
          <w:sz w:val="24"/>
        </w:rPr>
        <w:t>年全国各级各类体校校长培训班以省市级体校校长、县区级体校校长、分管训练的副校长、分管文化教育的副校长为主，计划培训</w:t>
      </w:r>
      <w:r>
        <w:rPr>
          <w:rFonts w:ascii="Times New Roman" w:hAnsi="宋体" w:eastAsia="宋体" w:cs="Times New Roman"/>
          <w:sz w:val="24"/>
        </w:rPr>
        <w:t>400</w:t>
      </w:r>
      <w:r>
        <w:rPr>
          <w:rFonts w:hint="eastAsia" w:ascii="Times New Roman" w:hAnsi="宋体" w:eastAsia="宋体" w:cs="Times New Roman"/>
          <w:sz w:val="24"/>
        </w:rPr>
        <w:t>人。</w:t>
      </w:r>
    </w:p>
    <w:p w14:paraId="5CAAD9ED">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（四）20</w:t>
      </w:r>
      <w:r>
        <w:rPr>
          <w:rFonts w:ascii="Times New Roman" w:hAnsi="宋体" w:eastAsia="宋体" w:cs="Times New Roman"/>
          <w:sz w:val="24"/>
        </w:rPr>
        <w:t>25</w:t>
      </w:r>
      <w:r>
        <w:rPr>
          <w:rFonts w:hint="eastAsia" w:ascii="Times New Roman" w:hAnsi="宋体" w:eastAsia="宋体" w:cs="Times New Roman"/>
          <w:sz w:val="24"/>
        </w:rPr>
        <w:t>年全国各级各类体校教练员体能培训班，培训对象以各级各类体校教练员为主，计划培训80人。</w:t>
      </w:r>
    </w:p>
    <w:p w14:paraId="761D8505">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（五）202</w:t>
      </w:r>
      <w:r>
        <w:rPr>
          <w:rFonts w:ascii="Times New Roman" w:hAnsi="宋体" w:eastAsia="宋体" w:cs="Times New Roman"/>
          <w:sz w:val="24"/>
        </w:rPr>
        <w:t>5</w:t>
      </w:r>
      <w:r>
        <w:rPr>
          <w:rFonts w:hint="eastAsia" w:ascii="Times New Roman" w:hAnsi="宋体" w:eastAsia="宋体" w:cs="Times New Roman"/>
          <w:sz w:val="24"/>
        </w:rPr>
        <w:t>年全国各级各类体校选材与训练培训班，以体校教练员为主，计划培训80人。</w:t>
      </w:r>
    </w:p>
    <w:p w14:paraId="6584FD9C">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三、</w:t>
      </w:r>
      <w:r>
        <w:rPr>
          <w:rFonts w:ascii="Times New Roman" w:hAnsi="宋体" w:eastAsia="宋体" w:cs="Times New Roman"/>
          <w:sz w:val="24"/>
        </w:rPr>
        <w:t>培训</w:t>
      </w:r>
      <w:r>
        <w:rPr>
          <w:rFonts w:hint="eastAsia" w:ascii="Times New Roman" w:hAnsi="宋体" w:eastAsia="宋体" w:cs="Times New Roman"/>
          <w:sz w:val="24"/>
        </w:rPr>
        <w:t>内容及</w:t>
      </w:r>
      <w:r>
        <w:rPr>
          <w:rFonts w:ascii="Times New Roman" w:hAnsi="宋体" w:eastAsia="宋体" w:cs="Times New Roman"/>
          <w:sz w:val="24"/>
        </w:rPr>
        <w:t>组织形式</w:t>
      </w:r>
    </w:p>
    <w:p w14:paraId="28FCB1DE">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（一）全国各级各类体校校长培训班</w:t>
      </w:r>
    </w:p>
    <w:p w14:paraId="014059CF">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培训班将采用线下定点集中方式，内容涵盖体校管理与发展、体校改革创新、竞技体育后备人才培养、反兴奋剂与赛风赛纪、科技助力体校发展、体育仲裁制度与青少年体育、体教融合、选材与育才、教练员队伍管理、运动训练、心理健康、文化教学、教育改革等专题课程。培训将注重理论与实践相结合，综合运用理论教学、案例分析、经验分享、专题研讨等多种形式。按照培训计划要求每期培训班80人，时间含报到离会共5天，共举办</w:t>
      </w:r>
      <w:r>
        <w:rPr>
          <w:rFonts w:ascii="Times New Roman" w:hAnsi="宋体" w:eastAsia="宋体" w:cs="Times New Roman"/>
          <w:sz w:val="24"/>
        </w:rPr>
        <w:t>5</w:t>
      </w:r>
      <w:r>
        <w:rPr>
          <w:rFonts w:hint="eastAsia" w:ascii="Times New Roman" w:hAnsi="宋体" w:eastAsia="宋体" w:cs="Times New Roman"/>
          <w:sz w:val="24"/>
        </w:rPr>
        <w:t>期，每天上、下午两个单元，每个单元4小时。</w:t>
      </w:r>
    </w:p>
    <w:p w14:paraId="1CC20A9B">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（二）全国各级各类体校教练员体能培训班</w:t>
      </w:r>
    </w:p>
    <w:p w14:paraId="5B1D9CD2">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培训班将采用线下定点集中授课的方式，主要围绕儿童青少年体能基础内容等，具体包括：理论专题讲座、案例分析、实操课等。计划培训80人，时间含报到离会共5天，每天上下午两个单元，每个单元4小时</w:t>
      </w:r>
      <w:r>
        <w:rPr>
          <w:rFonts w:ascii="Times New Roman" w:hAnsi="宋体" w:eastAsia="宋体" w:cs="Times New Roman"/>
          <w:sz w:val="24"/>
        </w:rPr>
        <w:t>。</w:t>
      </w:r>
    </w:p>
    <w:p w14:paraId="1A1618B1">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（三）全国各级各类体校科学选材培训班</w:t>
      </w:r>
    </w:p>
    <w:p w14:paraId="5CBE0BC6">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培训班采用定点集中课堂专题理论讲授与研讨相结合，涵盖收集与分析、训练负荷监控与调节、竞赛与训练环境模拟应用、运动训练科技应用等内容，具体包括：理论专题讲座、案例分析、问题研讨等方式。计划培训80人，时间含报到离会共5天，每天上下午两个单元，每个单元4小时。</w:t>
      </w:r>
    </w:p>
    <w:p w14:paraId="1E3C22DA">
      <w:pPr>
        <w:spacing w:line="360" w:lineRule="auto"/>
        <w:ind w:left="420" w:leftChars="200"/>
        <w:rPr>
          <w:rFonts w:ascii="Times New Roman" w:hAnsi="宋体" w:eastAsia="宋体" w:cs="Times New Roman"/>
          <w:sz w:val="24"/>
        </w:rPr>
      </w:pPr>
      <w:r>
        <w:rPr>
          <w:rFonts w:hint="eastAsia" w:ascii="Times New Roman" w:hAnsi="宋体" w:eastAsia="宋体" w:cs="Times New Roman"/>
          <w:sz w:val="24"/>
        </w:rPr>
        <w:t>四、考核与结业</w:t>
      </w:r>
    </w:p>
    <w:p w14:paraId="39141711">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培训根据培训期间听讲、讨论、出勤等情况对学员进行综合考核，合格者方准予结业。</w:t>
      </w:r>
    </w:p>
    <w:p w14:paraId="52C5C6B5">
      <w:pPr>
        <w:spacing w:line="360" w:lineRule="auto"/>
        <w:ind w:firstLine="480" w:firstLineChars="200"/>
        <w:rPr>
          <w:rFonts w:ascii="Times New Roman" w:hAnsi="Times New Roman" w:eastAsia="宋体" w:cs="Times New Roman"/>
          <w:sz w:val="24"/>
        </w:rPr>
      </w:pPr>
      <w:r>
        <w:rPr>
          <w:rFonts w:hint="eastAsia" w:ascii="Times New Roman" w:hAnsi="宋体" w:eastAsia="宋体" w:cs="Times New Roman"/>
          <w:sz w:val="24"/>
        </w:rPr>
        <w:t>五</w:t>
      </w:r>
      <w:r>
        <w:rPr>
          <w:rFonts w:ascii="Times New Roman" w:hAnsi="宋体" w:eastAsia="宋体" w:cs="Times New Roman"/>
          <w:sz w:val="24"/>
        </w:rPr>
        <w:t>、培训经费</w:t>
      </w:r>
    </w:p>
    <w:p w14:paraId="0864FE4D">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全国各级各类体校校长培训班5期、全国各级各类体校教练员体能培训班1期、全国各级各类体校科学化选材与训练培训班1期，共</w:t>
      </w:r>
      <w:r>
        <w:rPr>
          <w:rFonts w:ascii="Times New Roman" w:hAnsi="宋体" w:eastAsia="宋体" w:cs="Times New Roman"/>
          <w:sz w:val="24"/>
        </w:rPr>
        <w:t>7</w:t>
      </w:r>
      <w:r>
        <w:rPr>
          <w:rFonts w:hint="eastAsia" w:ascii="Times New Roman" w:hAnsi="宋体" w:eastAsia="宋体" w:cs="Times New Roman"/>
          <w:sz w:val="24"/>
        </w:rPr>
        <w:t>期培训班，总经费</w:t>
      </w:r>
      <w:r>
        <w:rPr>
          <w:rFonts w:ascii="Times New Roman" w:hAnsi="宋体" w:eastAsia="宋体" w:cs="Times New Roman"/>
          <w:sz w:val="24"/>
        </w:rPr>
        <w:t>154</w:t>
      </w:r>
      <w:r>
        <w:rPr>
          <w:rFonts w:hint="eastAsia" w:ascii="Times New Roman" w:hAnsi="宋体" w:eastAsia="宋体" w:cs="Times New Roman"/>
          <w:sz w:val="24"/>
        </w:rPr>
        <w:t>万元。（其中培训班</w:t>
      </w:r>
      <w:r>
        <w:rPr>
          <w:rFonts w:ascii="Times New Roman" w:hAnsi="宋体" w:eastAsia="宋体" w:cs="Times New Roman"/>
          <w:sz w:val="24"/>
        </w:rPr>
        <w:t>学员的食宿、教师劳务费必须依照</w:t>
      </w:r>
      <w:r>
        <w:rPr>
          <w:rFonts w:hint="eastAsia" w:ascii="Times New Roman" w:hAnsi="宋体" w:eastAsia="宋体" w:cs="Times New Roman"/>
          <w:sz w:val="24"/>
        </w:rPr>
        <w:t>国家培训费标准执行）。</w:t>
      </w:r>
    </w:p>
    <w:p w14:paraId="257C7CB5">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六、服务期限</w:t>
      </w:r>
    </w:p>
    <w:p w14:paraId="33C8F017">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自签订合同之日起至202</w:t>
      </w:r>
      <w:r>
        <w:rPr>
          <w:rFonts w:ascii="Times New Roman" w:hAnsi="宋体" w:eastAsia="宋体" w:cs="Times New Roman"/>
          <w:sz w:val="24"/>
        </w:rPr>
        <w:t>5</w:t>
      </w:r>
      <w:r>
        <w:rPr>
          <w:rFonts w:hint="eastAsia" w:ascii="Times New Roman" w:hAnsi="宋体" w:eastAsia="宋体" w:cs="Times New Roman"/>
          <w:sz w:val="24"/>
        </w:rPr>
        <w:t>年12月31日。</w:t>
      </w:r>
    </w:p>
    <w:p w14:paraId="3EAF6F02">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七、相关要求</w:t>
      </w:r>
    </w:p>
    <w:p w14:paraId="6B427298">
      <w:pPr>
        <w:spacing w:line="360" w:lineRule="auto"/>
        <w:ind w:firstLine="480" w:firstLineChars="200"/>
        <w:rPr>
          <w:rFonts w:ascii="Times New Roman" w:hAnsi="宋体" w:eastAsia="宋体" w:cs="Times New Roman"/>
          <w:sz w:val="24"/>
        </w:rPr>
      </w:pPr>
      <w:r>
        <w:rPr>
          <w:rFonts w:ascii="Times New Roman" w:hAnsi="宋体" w:eastAsia="宋体" w:cs="Times New Roman"/>
          <w:sz w:val="24"/>
        </w:rPr>
        <w:t>1</w:t>
      </w:r>
      <w:r>
        <w:rPr>
          <w:rFonts w:hint="eastAsia" w:ascii="Times New Roman" w:hAnsi="宋体" w:eastAsia="宋体" w:cs="Times New Roman"/>
          <w:sz w:val="24"/>
        </w:rPr>
        <w:t>、成交供应商需具备线下培训班管理经验及能力，确保线下培训完成质量。</w:t>
      </w:r>
    </w:p>
    <w:p w14:paraId="6F332D5F">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2、成交</w:t>
      </w:r>
      <w:r>
        <w:rPr>
          <w:rFonts w:ascii="Times New Roman" w:hAnsi="宋体" w:eastAsia="宋体" w:cs="Times New Roman"/>
          <w:sz w:val="24"/>
        </w:rPr>
        <w:t>供应商</w:t>
      </w:r>
      <w:r>
        <w:rPr>
          <w:rFonts w:hint="eastAsia" w:ascii="Times New Roman" w:hAnsi="宋体" w:eastAsia="宋体" w:cs="Times New Roman"/>
          <w:sz w:val="24"/>
        </w:rPr>
        <w:t>应保证授课教师按采购人需求按时授课，未经采购人同意不得擅自调换授课教师或变更培训内容。</w:t>
      </w:r>
    </w:p>
    <w:p w14:paraId="196094F8">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3、成交</w:t>
      </w:r>
      <w:r>
        <w:rPr>
          <w:rFonts w:ascii="Times New Roman" w:hAnsi="宋体" w:eastAsia="宋体" w:cs="Times New Roman"/>
          <w:sz w:val="24"/>
        </w:rPr>
        <w:t>供应商</w:t>
      </w:r>
      <w:r>
        <w:rPr>
          <w:rFonts w:hint="eastAsia" w:ascii="Times New Roman" w:hAnsi="宋体" w:eastAsia="宋体" w:cs="Times New Roman"/>
          <w:sz w:val="24"/>
        </w:rPr>
        <w:t>应配备班主任及服务人员对培训班进行日常管理，并对培训班参训人员进行安全教育和后勤保障，确保参训人员的人身及财产安全。</w:t>
      </w:r>
    </w:p>
    <w:p w14:paraId="293FA086">
      <w:pPr>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4、成交</w:t>
      </w:r>
      <w:r>
        <w:rPr>
          <w:rFonts w:ascii="Times New Roman" w:hAnsi="宋体" w:eastAsia="宋体" w:cs="Times New Roman"/>
          <w:sz w:val="24"/>
        </w:rPr>
        <w:t>供应商</w:t>
      </w:r>
      <w:r>
        <w:rPr>
          <w:rFonts w:hint="eastAsia" w:ascii="Times New Roman" w:hAnsi="宋体" w:eastAsia="宋体" w:cs="Times New Roman"/>
          <w:sz w:val="24"/>
        </w:rPr>
        <w:t>在培训班结束后向采购人提交培训总结报告。</w:t>
      </w:r>
    </w:p>
    <w:p w14:paraId="08FDF186">
      <w:pPr>
        <w:spacing w:line="360" w:lineRule="auto"/>
        <w:ind w:firstLine="465"/>
        <w:rPr>
          <w:rFonts w:ascii="宋体" w:hAnsi="宋体"/>
          <w:sz w:val="24"/>
        </w:rPr>
      </w:pPr>
      <w:r>
        <w:rPr>
          <w:rFonts w:ascii="宋体" w:hAnsi="宋体"/>
          <w:sz w:val="24"/>
        </w:rPr>
        <w:br w:type="page"/>
      </w:r>
    </w:p>
    <w:p w14:paraId="1127680A">
      <w:pPr>
        <w:pStyle w:val="17"/>
        <w:rPr>
          <w:rFonts w:ascii="Times New Roman" w:hAnsi="Times New Roman" w:eastAsia="宋体" w:cs="Times New Roman"/>
        </w:rPr>
      </w:pPr>
      <w:bookmarkStart w:id="37" w:name="_Toc103068844"/>
      <w:bookmarkStart w:id="38" w:name="_Toc499216481"/>
      <w:r>
        <w:rPr>
          <w:rFonts w:ascii="Times New Roman" w:hAnsi="Times New Roman" w:eastAsia="宋体" w:cs="Times New Roman"/>
        </w:rPr>
        <w:t>第四部分磋商程序和评审方法、标准</w:t>
      </w:r>
      <w:bookmarkEnd w:id="35"/>
      <w:bookmarkEnd w:id="37"/>
      <w:bookmarkEnd w:id="38"/>
    </w:p>
    <w:p w14:paraId="2FCF109D">
      <w:pPr>
        <w:pStyle w:val="27"/>
        <w:rPr>
          <w:rFonts w:ascii="Times New Roman" w:hAnsi="Times New Roman" w:eastAsia="宋体" w:cs="Times New Roman"/>
          <w:color w:val="auto"/>
          <w:sz w:val="24"/>
        </w:rPr>
      </w:pPr>
      <w:bookmarkStart w:id="39" w:name="_Toc103068845"/>
      <w:bookmarkStart w:id="40" w:name="_Toc38269024"/>
      <w:bookmarkStart w:id="41" w:name="_Toc499216482"/>
      <w:r>
        <w:rPr>
          <w:rFonts w:ascii="Times New Roman" w:hAnsi="Times New Roman" w:eastAsia="宋体" w:cs="Times New Roman"/>
          <w:color w:val="auto"/>
          <w:sz w:val="24"/>
        </w:rPr>
        <w:t>一、磋商程序及说明</w:t>
      </w:r>
      <w:bookmarkEnd w:id="39"/>
      <w:bookmarkEnd w:id="40"/>
      <w:bookmarkEnd w:id="41"/>
    </w:p>
    <w:p w14:paraId="35BD2DBA">
      <w:pPr>
        <w:tabs>
          <w:tab w:val="left" w:pos="1680"/>
        </w:tabs>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（一）磋商的准备</w:t>
      </w:r>
    </w:p>
    <w:p w14:paraId="3590187B">
      <w:pPr>
        <w:tabs>
          <w:tab w:val="left" w:pos="1680"/>
        </w:tabs>
        <w:spacing w:line="540" w:lineRule="exact"/>
        <w:ind w:firstLine="600" w:firstLineChars="250"/>
        <w:rPr>
          <w:rFonts w:ascii="Times New Roman" w:hAnsi="Times New Roman" w:eastAsia="宋体" w:cs="Times New Roman"/>
          <w:sz w:val="24"/>
        </w:rPr>
      </w:pPr>
      <w:r>
        <w:rPr>
          <w:rFonts w:ascii="Times New Roman" w:hAnsi="Times New Roman" w:eastAsia="宋体" w:cs="Times New Roman"/>
          <w:sz w:val="24"/>
        </w:rPr>
        <w:t>磋商前，采购单位人员向磋商小组成员宣布磋商纪律和磋商工作规则，并遵照执行。磋商小组成员签署《评审人员承诺书》。磋商小组成员对与自己有利害关系的磋商项目应当主动提出回避。</w:t>
      </w:r>
    </w:p>
    <w:p w14:paraId="7407ED57">
      <w:pPr>
        <w:tabs>
          <w:tab w:val="left" w:pos="1680"/>
        </w:tabs>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（二）磋商程序</w:t>
      </w:r>
    </w:p>
    <w:p w14:paraId="6F290775">
      <w:pPr>
        <w:tabs>
          <w:tab w:val="left" w:pos="1680"/>
        </w:tabs>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磋商小组所有成员集中评审响应文件及集中与单一报价人分别进行磋商，并给予所有参加磋商的报价人平等的磋商机会。</w:t>
      </w:r>
    </w:p>
    <w:p w14:paraId="1410003A">
      <w:pPr>
        <w:pStyle w:val="9"/>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kern w:val="2"/>
          <w:sz w:val="24"/>
          <w:szCs w:val="24"/>
        </w:rPr>
        <w:t>磋商小组首先对所有响应文件进行资格性和符合性审查。资格性审查，指对响应文件提供的资格证明文件进行审查，</w:t>
      </w:r>
      <w:r>
        <w:rPr>
          <w:rFonts w:ascii="Times New Roman" w:hAnsi="Times New Roman" w:eastAsia="宋体" w:cs="Times New Roman"/>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14:paraId="44E57A20">
      <w:pPr>
        <w:pStyle w:val="9"/>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2、磋商</w:t>
      </w:r>
    </w:p>
    <w:p w14:paraId="328AFB49">
      <w:pPr>
        <w:pStyle w:val="9"/>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按照报价人报名顺序、递交响应文件顺序或者随机方式等确定参加磋商的报价人的磋商顺序。</w:t>
      </w:r>
    </w:p>
    <w:p w14:paraId="18D6FB4F">
      <w:pPr>
        <w:pStyle w:val="9"/>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所有磋商小组成员集中与每位实质性响应供应商分别进行单独磋商：</w:t>
      </w:r>
    </w:p>
    <w:p w14:paraId="0A73CCBC">
      <w:pPr>
        <w:pStyle w:val="9"/>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Ansi="Times New Roman" w:cs="Times New Roman"/>
          <w:b/>
          <w:bCs/>
          <w:kern w:val="2"/>
          <w:sz w:val="24"/>
          <w:szCs w:val="24"/>
        </w:rPr>
        <w:t>报价人</w:t>
      </w:r>
      <w:r>
        <w:rPr>
          <w:rFonts w:ascii="Times New Roman" w:hAnsi="Times New Roman" w:eastAsia="宋体" w:cs="Times New Roman"/>
          <w:b/>
          <w:bCs/>
          <w:sz w:val="24"/>
          <w:szCs w:val="24"/>
        </w:rPr>
        <w:t>代表向磋商小组介绍</w:t>
      </w:r>
      <w:r>
        <w:rPr>
          <w:rFonts w:hint="eastAsia" w:ascii="Times New Roman" w:hAnsi="Times New Roman" w:eastAsia="宋体" w:cs="Times New Roman"/>
          <w:b/>
          <w:bCs/>
          <w:sz w:val="24"/>
          <w:szCs w:val="24"/>
        </w:rPr>
        <w:t>对本采购文件第三部分的采购内容做方案陈述</w:t>
      </w:r>
      <w:r>
        <w:rPr>
          <w:rFonts w:ascii="Times New Roman" w:hAnsi="Times New Roman" w:eastAsia="宋体" w:cs="Times New Roman"/>
          <w:b/>
          <w:bCs/>
          <w:sz w:val="24"/>
          <w:szCs w:val="24"/>
        </w:rPr>
        <w:t>，每家报价人限时</w:t>
      </w:r>
      <w:r>
        <w:rPr>
          <w:rFonts w:ascii="Times New Roman" w:hAnsi="Times New Roman" w:cs="Times New Roman"/>
          <w:b/>
          <w:bCs/>
          <w:sz w:val="24"/>
          <w:szCs w:val="24"/>
        </w:rPr>
        <w:t>1</w:t>
      </w:r>
      <w:r>
        <w:rPr>
          <w:rFonts w:ascii="Times New Roman" w:hAnsi="Times New Roman" w:eastAsia="宋体" w:cs="Times New Roman"/>
          <w:b/>
          <w:bCs/>
          <w:sz w:val="24"/>
          <w:szCs w:val="24"/>
        </w:rPr>
        <w:t>0分钟。报价人应力求在规定时间内充分阐述其方案实施并准备回答磋商小组的问题。</w:t>
      </w:r>
    </w:p>
    <w:p w14:paraId="17820345">
      <w:pPr>
        <w:pStyle w:val="9"/>
        <w:spacing w:line="360" w:lineRule="auto"/>
        <w:ind w:firstLine="480" w:firstLineChars="200"/>
        <w:rPr>
          <w:rFonts w:ascii="Times New Roman" w:hAnsi="Times New Roman" w:eastAsia="宋体" w:cs="Times New Roman"/>
          <w:kern w:val="2"/>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磋商小组就报价人</w:t>
      </w:r>
      <w:r>
        <w:rPr>
          <w:rFonts w:hint="eastAsia" w:ascii="Times New Roman" w:hAnsi="Times New Roman" w:eastAsia="宋体" w:cs="Times New Roman"/>
          <w:sz w:val="24"/>
          <w:szCs w:val="24"/>
        </w:rPr>
        <w:t>服务</w:t>
      </w:r>
      <w:r>
        <w:rPr>
          <w:rFonts w:ascii="Times New Roman" w:hAnsi="Times New Roman" w:eastAsia="宋体" w:cs="Times New Roman"/>
          <w:sz w:val="24"/>
          <w:szCs w:val="24"/>
        </w:rPr>
        <w:t>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ascii="Times New Roman" w:hAnsi="Times New Roman" w:eastAsia="宋体" w:cs="Times New Roman"/>
          <w:kern w:val="2"/>
          <w:sz w:val="24"/>
          <w:szCs w:val="24"/>
        </w:rPr>
        <w:t>磋商文件不能详细列明采购标的的技术、服务要求，需经磋商由供应商提供最终</w:t>
      </w:r>
      <w:r>
        <w:rPr>
          <w:rFonts w:hint="eastAsia" w:ascii="Times New Roman" w:hAnsi="Times New Roman" w:eastAsia="宋体" w:cs="Times New Roman"/>
          <w:kern w:val="2"/>
          <w:sz w:val="24"/>
          <w:szCs w:val="24"/>
        </w:rPr>
        <w:t>服务</w:t>
      </w:r>
      <w:r>
        <w:rPr>
          <w:rFonts w:ascii="Times New Roman" w:hAnsi="Times New Roman" w:eastAsia="宋体" w:cs="Times New Roman"/>
          <w:kern w:val="2"/>
          <w:sz w:val="24"/>
          <w:szCs w:val="24"/>
        </w:rPr>
        <w:t>方案或解决方案；需要质疑、询问供应商的事项；其它需要磋商的事项。</w:t>
      </w:r>
    </w:p>
    <w:p w14:paraId="71C41FAB">
      <w:pPr>
        <w:pStyle w:val="9"/>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）在与所有有效报价人分别磋商后，磋商小组应当按照少数服从多数的原则投票推荐3家以上供应商的</w:t>
      </w:r>
      <w:r>
        <w:rPr>
          <w:rFonts w:hint="eastAsia" w:ascii="Times New Roman" w:hAnsi="Times New Roman" w:eastAsia="宋体" w:cs="Times New Roman"/>
          <w:kern w:val="2"/>
          <w:sz w:val="24"/>
          <w:szCs w:val="24"/>
        </w:rPr>
        <w:t>服务</w:t>
      </w:r>
      <w:r>
        <w:rPr>
          <w:rFonts w:ascii="Times New Roman" w:hAnsi="Times New Roman" w:eastAsia="宋体" w:cs="Times New Roman"/>
          <w:kern w:val="2"/>
          <w:sz w:val="24"/>
          <w:szCs w:val="24"/>
        </w:rPr>
        <w:t>方案或解决方案，并要求其在规定时间内提交最后报价。提交最后报价的报价人不得少于3家。最后报价应以书面形式提交，并须由其法定代表人或其授权代表签字确认。</w:t>
      </w:r>
    </w:p>
    <w:p w14:paraId="0BFFC668">
      <w:pPr>
        <w:pStyle w:val="9"/>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4</w:t>
      </w:r>
      <w:r>
        <w:rPr>
          <w:rFonts w:ascii="Times New Roman" w:hAnsi="Times New Roman" w:eastAsia="宋体" w:cs="Times New Roman"/>
          <w:kern w:val="2"/>
          <w:sz w:val="24"/>
          <w:szCs w:val="24"/>
        </w:rPr>
        <w:t>）经磋商确定最终采购需求和提交最后报价的供应商后，磋商小组采用综合评分法对提交最后报价的供应商的响应文件和最后报价进行综合评分。</w:t>
      </w:r>
    </w:p>
    <w:p w14:paraId="6E6B2AD1">
      <w:pPr>
        <w:pStyle w:val="9"/>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5</w:t>
      </w:r>
      <w:r>
        <w:rPr>
          <w:rFonts w:ascii="Times New Roman" w:hAnsi="Times New Roman" w:eastAsia="宋体" w:cs="Times New Roman"/>
          <w:kern w:val="2"/>
          <w:sz w:val="24"/>
          <w:szCs w:val="24"/>
        </w:rPr>
        <w:t>）磋商小组根据综合评分情况，按照评审得分由高到低确定</w:t>
      </w:r>
      <w:r>
        <w:rPr>
          <w:rFonts w:hint="eastAsia" w:ascii="Times New Roman" w:hAnsi="Times New Roman" w:eastAsia="宋体" w:cs="Times New Roman"/>
          <w:kern w:val="2"/>
          <w:sz w:val="24"/>
          <w:szCs w:val="24"/>
        </w:rPr>
        <w:t>两</w:t>
      </w:r>
      <w:r>
        <w:rPr>
          <w:rFonts w:ascii="Times New Roman" w:hAnsi="Times New Roman" w:eastAsia="宋体" w:cs="Times New Roman"/>
          <w:kern w:val="2"/>
          <w:sz w:val="24"/>
          <w:szCs w:val="24"/>
        </w:rPr>
        <w:t>名成交候选供应商，并编写评审报告。评审得分相同的，按照最后报价由低到高的顺序确定，评审得分且最后报价相同的，按照技术指标优劣顺序确定成交候选供应商。评审报告由磋商小组全体人员签字。</w:t>
      </w:r>
      <w:r>
        <w:rPr>
          <w:rFonts w:ascii="Times New Roman" w:hAnsi="Times New Roman" w:eastAsia="宋体" w:cs="Times New Roman"/>
          <w:sz w:val="24"/>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056861E">
      <w:pPr>
        <w:pStyle w:val="9"/>
        <w:spacing w:line="360" w:lineRule="auto"/>
        <w:ind w:firstLine="480"/>
        <w:rPr>
          <w:rFonts w:ascii="Times New Roman" w:hAnsi="Times New Roman" w:eastAsia="宋体" w:cs="Times New Roman"/>
          <w:kern w:val="2"/>
          <w:sz w:val="24"/>
          <w:szCs w:val="24"/>
        </w:rPr>
      </w:pPr>
      <w:r>
        <w:rPr>
          <w:rFonts w:ascii="Times New Roman" w:hAnsi="Times New Roman" w:eastAsia="宋体" w:cs="Times New Roman"/>
          <w:kern w:val="2"/>
          <w:sz w:val="24"/>
          <w:szCs w:val="24"/>
        </w:rPr>
        <w:t>（三）其它须知事项</w:t>
      </w:r>
    </w:p>
    <w:p w14:paraId="3263FFD8">
      <w:pPr>
        <w:pStyle w:val="9"/>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1、竞争性磋商文件和响应文件的澄清或修正</w:t>
      </w:r>
    </w:p>
    <w:p w14:paraId="415ADE3B">
      <w:pPr>
        <w:pStyle w:val="9"/>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60C5254">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磋商小组在对响应文件的有效性、完整性和响应程度进行审查时，可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报价人的澄清、说明或者更正应当由法定代表人或其授权代表签字或者加盖公章。</w:t>
      </w:r>
    </w:p>
    <w:p w14:paraId="31BF32A3">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0F06740E">
      <w:pPr>
        <w:adjustRightInd w:val="0"/>
        <w:snapToGrid w:val="0"/>
        <w:spacing w:line="360" w:lineRule="auto"/>
        <w:ind w:firstLine="480" w:firstLineChars="200"/>
        <w:rPr>
          <w:rFonts w:ascii="Times New Roman" w:hAnsi="Times New Roman" w:eastAsia="宋体" w:cs="Times New Roman"/>
          <w:b/>
          <w:bCs/>
          <w:sz w:val="24"/>
        </w:rPr>
      </w:pPr>
      <w:r>
        <w:rPr>
          <w:rFonts w:ascii="Times New Roman" w:hAnsi="Times New Roman" w:eastAsia="宋体" w:cs="Times New Roman"/>
          <w:sz w:val="24"/>
        </w:rPr>
        <w:t>3、</w:t>
      </w:r>
      <w:r>
        <w:rPr>
          <w:rFonts w:ascii="Times New Roman" w:hAnsi="Times New Roman" w:eastAsia="宋体" w:cs="Times New Roman"/>
          <w:b/>
          <w:bCs/>
          <w:sz w:val="24"/>
        </w:rPr>
        <w:t>对最后报价，采购单位不接受可选择的报价方案和报价。</w:t>
      </w:r>
    </w:p>
    <w:p w14:paraId="059EF297">
      <w:pPr>
        <w:pStyle w:val="27"/>
        <w:rPr>
          <w:rFonts w:ascii="Times New Roman" w:hAnsi="Times New Roman" w:eastAsia="宋体" w:cs="Times New Roman"/>
          <w:color w:val="auto"/>
        </w:rPr>
      </w:pPr>
      <w:bookmarkStart w:id="42" w:name="_Toc38269025"/>
      <w:bookmarkStart w:id="43" w:name="_Toc499216483"/>
      <w:bookmarkStart w:id="44" w:name="_Toc103068846"/>
      <w:r>
        <w:rPr>
          <w:rFonts w:ascii="Times New Roman" w:hAnsi="Times New Roman" w:eastAsia="宋体" w:cs="Times New Roman"/>
          <w:color w:val="auto"/>
        </w:rPr>
        <w:t>二、评审方法及标准</w:t>
      </w:r>
      <w:bookmarkEnd w:id="42"/>
      <w:bookmarkEnd w:id="43"/>
      <w:bookmarkEnd w:id="44"/>
    </w:p>
    <w:p w14:paraId="3DCD327E">
      <w:pPr>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rPr>
        <w:t>（一）评审总则</w:t>
      </w:r>
    </w:p>
    <w:p w14:paraId="0416E8FD">
      <w:pPr>
        <w:pStyle w:val="30"/>
        <w:ind w:firstLine="480"/>
        <w:rPr>
          <w:rFonts w:ascii="Times New Roman" w:hAnsi="Times New Roman" w:eastAsia="宋体" w:cs="Times New Roman"/>
        </w:rPr>
      </w:pPr>
      <w:r>
        <w:rPr>
          <w:rFonts w:ascii="Times New Roman" w:hAnsi="Times New Roman" w:eastAsia="宋体" w:cs="Times New Roman"/>
        </w:rPr>
        <w:t>第一条本项目依据《中华人民共和国政府采购法》、《政府采购竞争性磋商采购方式管理暂行办法》及相应法规、文件，本着公开、公正、公平、科学合理、反不正当竞争的原则，制定评审方法及标准。</w:t>
      </w:r>
    </w:p>
    <w:p w14:paraId="7DF4E3E2">
      <w:pPr>
        <w:spacing w:line="360" w:lineRule="auto"/>
        <w:ind w:firstLine="470" w:firstLineChars="196"/>
        <w:rPr>
          <w:rFonts w:ascii="Times New Roman" w:hAnsi="Times New Roman" w:eastAsia="宋体" w:cs="Times New Roman"/>
          <w:b/>
          <w:sz w:val="24"/>
        </w:rPr>
      </w:pPr>
      <w:r>
        <w:rPr>
          <w:rFonts w:ascii="Times New Roman" w:hAnsi="Times New Roman" w:eastAsia="宋体" w:cs="Times New Roman"/>
          <w:sz w:val="24"/>
        </w:rPr>
        <w:t>第二条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14:paraId="36D75B39">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第三条磋商小组成员应当按照客观、公正、审慎的原则，根据磋商文件规定的评审程序、评审方法和评审标准进行独立评审。</w:t>
      </w:r>
    </w:p>
    <w:p w14:paraId="7ED378F0">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第四条磋商小组将综合分析报价人的各项指标，而不以单项指标的优劣评选出预成交人。</w:t>
      </w:r>
    </w:p>
    <w:p w14:paraId="11D38A39">
      <w:pPr>
        <w:adjustRightInd w:val="0"/>
        <w:snapToGrid w:val="0"/>
        <w:spacing w:line="360" w:lineRule="auto"/>
        <w:ind w:right="-11" w:firstLine="472" w:firstLineChars="196"/>
        <w:rPr>
          <w:rFonts w:ascii="Times New Roman" w:hAnsi="Times New Roman" w:eastAsia="宋体" w:cs="Times New Roman"/>
          <w:sz w:val="24"/>
        </w:rPr>
      </w:pPr>
      <w:bookmarkStart w:id="45" w:name="_Toc326336888"/>
      <w:bookmarkStart w:id="46" w:name="_Toc360545786"/>
      <w:r>
        <w:rPr>
          <w:rFonts w:ascii="Times New Roman" w:hAnsi="Times New Roman" w:eastAsia="宋体" w:cs="Times New Roman"/>
          <w:b/>
          <w:bCs/>
          <w:sz w:val="24"/>
        </w:rPr>
        <w:t>（二）评审办法：</w:t>
      </w:r>
      <w:bookmarkEnd w:id="45"/>
      <w:bookmarkEnd w:id="46"/>
    </w:p>
    <w:p w14:paraId="7B6A6A1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本项目采用百分制综合评分法进行评审，即在最大限度地满足竞争性磋商文件实质性要求前提下，按照竞争性磋商文件中规定的各项因素进行综合评审后，以评审得分最高的报价人作为成交供应商的评审办法。</w:t>
      </w:r>
    </w:p>
    <w:p w14:paraId="3C742BA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2、本次评审分为商务、技术和价格三部分，评审因素及具体分值分配如下（打分时保留小数点后一位）：</w:t>
      </w:r>
    </w:p>
    <w:tbl>
      <w:tblPr>
        <w:tblStyle w:val="19"/>
        <w:tblW w:w="10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481"/>
        <w:gridCol w:w="7518"/>
        <w:gridCol w:w="903"/>
      </w:tblGrid>
      <w:tr w14:paraId="17BC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87" w:type="dxa"/>
            <w:vAlign w:val="center"/>
          </w:tcPr>
          <w:p w14:paraId="4FBC5E7E">
            <w:pPr>
              <w:spacing w:line="360" w:lineRule="auto"/>
              <w:rPr>
                <w:rFonts w:ascii="宋体" w:hAnsi="宋体" w:eastAsia="宋体" w:cs="Times New Roman"/>
                <w:sz w:val="24"/>
              </w:rPr>
            </w:pPr>
            <w:r>
              <w:rPr>
                <w:rFonts w:ascii="Times New Roman" w:hAnsi="Times New Roman" w:eastAsia="宋体" w:cs="Times New Roman"/>
                <w:sz w:val="24"/>
              </w:rPr>
              <w:br w:type="page"/>
            </w:r>
            <w:bookmarkStart w:id="47" w:name="_Toc115756053"/>
            <w:bookmarkStart w:id="48" w:name="_Toc499216484"/>
            <w:r>
              <w:rPr>
                <w:rFonts w:hint="eastAsia" w:ascii="宋体" w:hAnsi="宋体" w:eastAsia="宋体" w:cs="Times New Roman"/>
                <w:sz w:val="24"/>
              </w:rPr>
              <w:t>序号</w:t>
            </w:r>
          </w:p>
        </w:tc>
        <w:tc>
          <w:tcPr>
            <w:tcW w:w="1481" w:type="dxa"/>
            <w:vAlign w:val="center"/>
          </w:tcPr>
          <w:p w14:paraId="0881EF07">
            <w:pPr>
              <w:spacing w:line="360" w:lineRule="auto"/>
              <w:jc w:val="center"/>
              <w:rPr>
                <w:rFonts w:ascii="宋体" w:hAnsi="宋体" w:eastAsia="宋体" w:cs="Times New Roman"/>
                <w:sz w:val="24"/>
              </w:rPr>
            </w:pPr>
            <w:r>
              <w:rPr>
                <w:rFonts w:hint="eastAsia" w:ascii="宋体" w:hAnsi="宋体" w:eastAsia="宋体" w:cs="Times New Roman"/>
                <w:sz w:val="24"/>
              </w:rPr>
              <w:t>评分因素</w:t>
            </w:r>
          </w:p>
        </w:tc>
        <w:tc>
          <w:tcPr>
            <w:tcW w:w="7518" w:type="dxa"/>
            <w:vAlign w:val="center"/>
          </w:tcPr>
          <w:p w14:paraId="7BBB9E8E">
            <w:pPr>
              <w:spacing w:line="360" w:lineRule="auto"/>
              <w:jc w:val="center"/>
              <w:rPr>
                <w:rFonts w:ascii="宋体" w:hAnsi="宋体" w:eastAsia="宋体" w:cs="Times New Roman"/>
                <w:sz w:val="24"/>
              </w:rPr>
            </w:pPr>
            <w:r>
              <w:rPr>
                <w:rFonts w:hint="eastAsia" w:ascii="宋体" w:hAnsi="宋体" w:eastAsia="宋体" w:cs="Times New Roman"/>
                <w:sz w:val="24"/>
              </w:rPr>
              <w:t>评分标准说明</w:t>
            </w:r>
          </w:p>
        </w:tc>
        <w:tc>
          <w:tcPr>
            <w:tcW w:w="903" w:type="dxa"/>
            <w:vAlign w:val="center"/>
          </w:tcPr>
          <w:p w14:paraId="67BEA492">
            <w:pPr>
              <w:spacing w:line="360" w:lineRule="auto"/>
              <w:jc w:val="center"/>
              <w:rPr>
                <w:rFonts w:ascii="宋体" w:hAnsi="宋体" w:eastAsia="宋体" w:cs="Times New Roman"/>
                <w:sz w:val="24"/>
              </w:rPr>
            </w:pPr>
            <w:r>
              <w:rPr>
                <w:rFonts w:hint="eastAsia" w:ascii="宋体" w:hAnsi="宋体" w:eastAsia="宋体" w:cs="Times New Roman"/>
                <w:sz w:val="24"/>
              </w:rPr>
              <w:t>分值</w:t>
            </w:r>
          </w:p>
        </w:tc>
      </w:tr>
      <w:tr w14:paraId="599F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87" w:type="dxa"/>
            <w:vAlign w:val="center"/>
          </w:tcPr>
          <w:p w14:paraId="30BA41ED">
            <w:pPr>
              <w:spacing w:line="360" w:lineRule="auto"/>
              <w:rPr>
                <w:rFonts w:ascii="宋体" w:hAnsi="宋体" w:eastAsia="宋体" w:cs="Times New Roman"/>
                <w:sz w:val="24"/>
              </w:rPr>
            </w:pPr>
            <w:r>
              <w:rPr>
                <w:rFonts w:hint="eastAsia" w:ascii="宋体" w:hAnsi="宋体" w:eastAsia="宋体" w:cs="Times New Roman"/>
                <w:sz w:val="24"/>
              </w:rPr>
              <w:t>一、商务部分（</w:t>
            </w:r>
            <w:r>
              <w:rPr>
                <w:rFonts w:hint="eastAsia" w:ascii="宋体" w:hAnsi="宋体" w:eastAsia="宋体" w:cs="Times New Roman"/>
                <w:sz w:val="24"/>
                <w:lang w:val="en-US" w:eastAsia="zh-CN"/>
              </w:rPr>
              <w:t>15</w:t>
            </w:r>
            <w:r>
              <w:rPr>
                <w:rFonts w:ascii="宋体" w:hAnsi="宋体" w:eastAsia="宋体" w:cs="Times New Roman"/>
                <w:sz w:val="24"/>
              </w:rPr>
              <w:t>分</w:t>
            </w:r>
            <w:r>
              <w:rPr>
                <w:rFonts w:hint="eastAsia" w:ascii="宋体" w:hAnsi="宋体" w:eastAsia="宋体" w:cs="Times New Roman"/>
                <w:sz w:val="24"/>
              </w:rPr>
              <w:t>）</w:t>
            </w:r>
          </w:p>
        </w:tc>
        <w:tc>
          <w:tcPr>
            <w:tcW w:w="1481" w:type="dxa"/>
            <w:vAlign w:val="center"/>
          </w:tcPr>
          <w:p w14:paraId="747FE79A">
            <w:pPr>
              <w:spacing w:line="360" w:lineRule="auto"/>
              <w:rPr>
                <w:rFonts w:ascii="宋体" w:hAnsi="宋体" w:eastAsia="宋体" w:cs="Times New Roman"/>
                <w:sz w:val="24"/>
              </w:rPr>
            </w:pPr>
            <w:r>
              <w:rPr>
                <w:rFonts w:hint="eastAsia" w:ascii="宋体" w:hAnsi="宋体" w:eastAsia="宋体" w:cs="Times New Roman"/>
                <w:sz w:val="24"/>
              </w:rPr>
              <w:t>1、同类型项目业绩</w:t>
            </w:r>
          </w:p>
        </w:tc>
        <w:tc>
          <w:tcPr>
            <w:tcW w:w="7518" w:type="dxa"/>
            <w:vAlign w:val="center"/>
          </w:tcPr>
          <w:p w14:paraId="69E4FC39">
            <w:pPr>
              <w:spacing w:line="360" w:lineRule="auto"/>
              <w:rPr>
                <w:rFonts w:ascii="宋体" w:hAnsi="宋体" w:eastAsia="宋体" w:cs="Times New Roman"/>
                <w:sz w:val="24"/>
              </w:rPr>
            </w:pPr>
            <w:r>
              <w:rPr>
                <w:rFonts w:hint="eastAsia" w:ascii="Times New Roman" w:hAnsi="Times New Roman" w:eastAsia="宋体" w:cs="Times New Roman"/>
                <w:sz w:val="24"/>
              </w:rPr>
              <w:t>报价</w:t>
            </w:r>
            <w:r>
              <w:rPr>
                <w:rFonts w:ascii="Times New Roman" w:hAnsi="Times New Roman" w:eastAsia="宋体" w:cs="Times New Roman"/>
                <w:sz w:val="24"/>
              </w:rPr>
              <w:t>人2022年</w:t>
            </w:r>
            <w:r>
              <w:rPr>
                <w:rFonts w:hint="eastAsia" w:ascii="Times New Roman" w:hAnsi="Times New Roman" w:eastAsia="宋体" w:cs="Times New Roman"/>
                <w:sz w:val="24"/>
              </w:rPr>
              <w:t>1</w:t>
            </w:r>
            <w:r>
              <w:rPr>
                <w:rFonts w:ascii="Times New Roman" w:hAnsi="Times New Roman" w:eastAsia="宋体" w:cs="Times New Roman"/>
                <w:sz w:val="24"/>
              </w:rPr>
              <w:t>月1日起至本采购项目</w:t>
            </w:r>
            <w:r>
              <w:rPr>
                <w:rFonts w:hint="eastAsia" w:ascii="Times New Roman" w:hAnsi="Times New Roman" w:eastAsia="宋体" w:cs="Times New Roman"/>
                <w:sz w:val="24"/>
              </w:rPr>
              <w:t>磋商</w:t>
            </w:r>
            <w:r>
              <w:rPr>
                <w:rFonts w:ascii="Times New Roman" w:hAnsi="Times New Roman" w:eastAsia="宋体" w:cs="Times New Roman"/>
                <w:sz w:val="24"/>
              </w:rPr>
              <w:t>响应文件递交截止日期</w:t>
            </w:r>
            <w:r>
              <w:rPr>
                <w:rFonts w:hint="eastAsia" w:ascii="Times New Roman" w:hAnsi="Times New Roman" w:eastAsia="宋体" w:cs="Times New Roman"/>
                <w:sz w:val="24"/>
              </w:rPr>
              <w:t>培训</w:t>
            </w:r>
            <w:r>
              <w:rPr>
                <w:rFonts w:ascii="Times New Roman" w:hAnsi="Times New Roman" w:eastAsia="宋体" w:cs="Times New Roman"/>
                <w:sz w:val="24"/>
              </w:rPr>
              <w:t>项目业绩</w:t>
            </w:r>
            <w:r>
              <w:rPr>
                <w:rFonts w:hint="eastAsia" w:ascii="宋体" w:hAnsi="宋体" w:eastAsia="宋体" w:cs="Times New Roman"/>
                <w:color w:val="000000"/>
                <w:sz w:val="24"/>
              </w:rPr>
              <w:t>（根据提供的关于培训事宜的委托函、通知、合同复印件等证明材料，</w:t>
            </w:r>
            <w:r>
              <w:rPr>
                <w:rFonts w:hint="eastAsia" w:ascii="Times New Roman" w:hAnsi="Times New Roman" w:eastAsia="宋体" w:cs="Times New Roman"/>
                <w:sz w:val="24"/>
              </w:rPr>
              <w:t>证明</w:t>
            </w:r>
            <w:r>
              <w:rPr>
                <w:rFonts w:ascii="Times New Roman" w:hAnsi="Times New Roman" w:eastAsia="宋体" w:cs="Times New Roman"/>
                <w:sz w:val="24"/>
              </w:rPr>
              <w:t>材料签署日期应在2022年1月1日至本采购项目</w:t>
            </w:r>
            <w:r>
              <w:rPr>
                <w:rFonts w:hint="eastAsia" w:ascii="Times New Roman" w:hAnsi="Times New Roman" w:eastAsia="宋体" w:cs="Times New Roman"/>
                <w:sz w:val="24"/>
              </w:rPr>
              <w:t>磋商</w:t>
            </w:r>
            <w:r>
              <w:rPr>
                <w:rFonts w:ascii="Times New Roman" w:hAnsi="Times New Roman" w:eastAsia="宋体" w:cs="Times New Roman"/>
                <w:sz w:val="24"/>
              </w:rPr>
              <w:t>响应文件递交截止日期期间，否则不予认定</w:t>
            </w:r>
            <w:r>
              <w:rPr>
                <w:rFonts w:hint="eastAsia" w:ascii="Times New Roman" w:hAnsi="Times New Roman" w:eastAsia="宋体" w:cs="Times New Roman"/>
                <w:sz w:val="24"/>
              </w:rPr>
              <w:t>），</w:t>
            </w:r>
            <w:r>
              <w:rPr>
                <w:rFonts w:hint="eastAsia" w:ascii="宋体" w:hAnsi="宋体" w:eastAsia="宋体" w:cs="Times New Roman"/>
                <w:sz w:val="24"/>
              </w:rPr>
              <w:t>每符合要求的一个项目业绩计3分，累计得分最高为15分</w:t>
            </w:r>
          </w:p>
        </w:tc>
        <w:tc>
          <w:tcPr>
            <w:tcW w:w="903" w:type="dxa"/>
            <w:vAlign w:val="center"/>
          </w:tcPr>
          <w:p w14:paraId="10AD0B86">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5</w:t>
            </w:r>
            <w:r>
              <w:rPr>
                <w:rFonts w:hint="eastAsia" w:ascii="Times New Roman" w:hAnsi="Times New Roman" w:eastAsia="宋体" w:cs="Times New Roman"/>
                <w:sz w:val="24"/>
              </w:rPr>
              <w:t>分</w:t>
            </w:r>
          </w:p>
        </w:tc>
      </w:tr>
      <w:tr w14:paraId="1037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887" w:type="dxa"/>
            <w:vMerge w:val="restart"/>
            <w:vAlign w:val="center"/>
          </w:tcPr>
          <w:p w14:paraId="56664935">
            <w:pPr>
              <w:spacing w:line="360" w:lineRule="auto"/>
              <w:rPr>
                <w:rFonts w:ascii="宋体" w:hAnsi="宋体" w:eastAsia="宋体" w:cs="Times New Roman"/>
                <w:sz w:val="24"/>
              </w:rPr>
            </w:pPr>
            <w:r>
              <w:rPr>
                <w:rFonts w:hint="eastAsia" w:ascii="宋体" w:hAnsi="宋体" w:eastAsia="宋体" w:cs="Times New Roman"/>
                <w:sz w:val="24"/>
              </w:rPr>
              <w:t>二、技术服务部分（</w:t>
            </w:r>
            <w:r>
              <w:rPr>
                <w:rFonts w:hint="eastAsia" w:ascii="宋体" w:hAnsi="宋体" w:eastAsia="宋体" w:cs="Times New Roman"/>
                <w:sz w:val="24"/>
                <w:lang w:val="en-US" w:eastAsia="zh-CN"/>
              </w:rPr>
              <w:t>75</w:t>
            </w:r>
            <w:r>
              <w:rPr>
                <w:rFonts w:ascii="宋体" w:hAnsi="宋体" w:eastAsia="宋体" w:cs="Times New Roman"/>
                <w:sz w:val="24"/>
              </w:rPr>
              <w:t>分</w:t>
            </w:r>
            <w:r>
              <w:rPr>
                <w:rFonts w:hint="eastAsia" w:ascii="宋体" w:hAnsi="宋体" w:eastAsia="宋体" w:cs="Times New Roman"/>
                <w:sz w:val="24"/>
              </w:rPr>
              <w:t>）</w:t>
            </w:r>
          </w:p>
        </w:tc>
        <w:tc>
          <w:tcPr>
            <w:tcW w:w="1481" w:type="dxa"/>
            <w:vMerge w:val="restart"/>
            <w:vAlign w:val="center"/>
          </w:tcPr>
          <w:p w14:paraId="2D1353B1">
            <w:pPr>
              <w:pStyle w:val="50"/>
              <w:numPr>
                <w:ilvl w:val="0"/>
                <w:numId w:val="7"/>
              </w:numPr>
              <w:spacing w:line="360" w:lineRule="auto"/>
              <w:ind w:firstLineChars="0"/>
              <w:rPr>
                <w:rFonts w:ascii="宋体" w:hAnsi="宋体"/>
                <w:sz w:val="24"/>
                <w:szCs w:val="24"/>
              </w:rPr>
            </w:pPr>
            <w:r>
              <w:rPr>
                <w:rFonts w:hint="eastAsia" w:ascii="宋体" w:hAnsi="宋体"/>
                <w:sz w:val="24"/>
                <w:szCs w:val="24"/>
              </w:rPr>
              <w:t>培训服务方案</w:t>
            </w:r>
          </w:p>
        </w:tc>
        <w:tc>
          <w:tcPr>
            <w:tcW w:w="7518" w:type="dxa"/>
            <w:vAlign w:val="center"/>
          </w:tcPr>
          <w:p w14:paraId="54E59B13">
            <w:pPr>
              <w:pStyle w:val="53"/>
              <w:numPr>
                <w:ilvl w:val="-1"/>
                <w:numId w:val="0"/>
              </w:numPr>
              <w:spacing w:line="324" w:lineRule="auto"/>
              <w:ind w:left="0" w:firstLine="0" w:firstLineChars="0"/>
              <w:rPr>
                <w:rFonts w:hint="eastAsia" w:ascii="宋体" w:hAnsi="宋体"/>
                <w:b/>
                <w:bCs/>
                <w:sz w:val="24"/>
                <w:lang w:val="en-US" w:eastAsia="zh-CN"/>
              </w:rPr>
            </w:pPr>
            <w:r>
              <w:rPr>
                <w:rFonts w:hint="eastAsia" w:ascii="宋体" w:hAnsi="宋体"/>
                <w:b/>
                <w:bCs/>
                <w:sz w:val="24"/>
              </w:rPr>
              <w:t>培训</w:t>
            </w:r>
            <w:r>
              <w:rPr>
                <w:rFonts w:hint="eastAsia" w:ascii="宋体" w:hAnsi="宋体"/>
                <w:b/>
                <w:bCs/>
                <w:sz w:val="24"/>
                <w:lang w:val="en-US" w:eastAsia="zh-CN"/>
              </w:rPr>
              <w:t>服务方案</w:t>
            </w:r>
            <w:r>
              <w:rPr>
                <w:rFonts w:hint="eastAsia" w:ascii="宋体" w:hAnsi="宋体"/>
                <w:b/>
                <w:bCs/>
                <w:sz w:val="24"/>
              </w:rPr>
              <w:t>与体育总局培训</w:t>
            </w:r>
            <w:r>
              <w:rPr>
                <w:rFonts w:hint="eastAsia" w:ascii="宋体" w:hAnsi="宋体"/>
                <w:b/>
                <w:bCs/>
                <w:sz w:val="24"/>
                <w:lang w:val="en-US" w:eastAsia="zh-CN"/>
              </w:rPr>
              <w:t>项目需求</w:t>
            </w:r>
            <w:r>
              <w:rPr>
                <w:rFonts w:hint="eastAsia" w:ascii="宋体" w:hAnsi="宋体"/>
                <w:b/>
                <w:bCs/>
                <w:sz w:val="24"/>
              </w:rPr>
              <w:t>契合度</w:t>
            </w:r>
            <w:r>
              <w:rPr>
                <w:rFonts w:hint="eastAsia" w:ascii="宋体" w:hAnsi="宋体"/>
                <w:b/>
                <w:bCs/>
                <w:sz w:val="24"/>
                <w:lang w:val="en-US" w:eastAsia="zh-CN"/>
              </w:rPr>
              <w:t>评分标准。</w:t>
            </w:r>
          </w:p>
          <w:p w14:paraId="0C72C9EE">
            <w:pPr>
              <w:pStyle w:val="53"/>
              <w:numPr>
                <w:ilvl w:val="-1"/>
                <w:numId w:val="0"/>
              </w:numPr>
              <w:spacing w:line="324" w:lineRule="auto"/>
              <w:ind w:left="0" w:firstLine="0" w:firstLineChars="0"/>
              <w:rPr>
                <w:rFonts w:hint="eastAsia" w:ascii="宋体" w:hAnsi="宋体"/>
                <w:sz w:val="24"/>
              </w:rPr>
            </w:pPr>
            <w:r>
              <w:rPr>
                <w:rFonts w:hint="eastAsia" w:ascii="宋体" w:hAnsi="宋体"/>
                <w:sz w:val="24"/>
                <w:lang w:val="en-US" w:eastAsia="zh-CN"/>
              </w:rPr>
              <w:t>15</w:t>
            </w:r>
            <w:r>
              <w:rPr>
                <w:rFonts w:hint="eastAsia" w:ascii="宋体" w:hAnsi="宋体"/>
                <w:sz w:val="24"/>
              </w:rPr>
              <w:t>分：服务方案非常全面，深入透彻地分析了项目需求，显示出极高的专业性和针对性，完全契合项目要求。</w:t>
            </w:r>
          </w:p>
          <w:p w14:paraId="1D133480">
            <w:pPr>
              <w:pStyle w:val="53"/>
              <w:numPr>
                <w:ilvl w:val="-1"/>
                <w:numId w:val="0"/>
              </w:numPr>
              <w:spacing w:line="324" w:lineRule="auto"/>
              <w:ind w:left="0" w:firstLine="0" w:firstLineChars="0"/>
              <w:rPr>
                <w:rFonts w:hint="eastAsia" w:ascii="宋体" w:hAnsi="宋体"/>
                <w:sz w:val="24"/>
              </w:rPr>
            </w:pPr>
            <w:r>
              <w:rPr>
                <w:rFonts w:hint="eastAsia" w:ascii="宋体" w:hAnsi="宋体"/>
                <w:sz w:val="24"/>
                <w:lang w:val="en-US" w:eastAsia="zh-CN"/>
              </w:rPr>
              <w:t>12</w:t>
            </w:r>
            <w:r>
              <w:rPr>
                <w:rFonts w:hint="eastAsia" w:ascii="宋体" w:hAnsi="宋体"/>
                <w:sz w:val="24"/>
              </w:rPr>
              <w:t>分：服务方案全面，对项目需求有较为深入的分析，能够很地满足项目的主要要求。</w:t>
            </w:r>
          </w:p>
          <w:p w14:paraId="1B9EB95D">
            <w:pPr>
              <w:pStyle w:val="53"/>
              <w:numPr>
                <w:ilvl w:val="-1"/>
                <w:numId w:val="0"/>
              </w:numPr>
              <w:spacing w:line="324" w:lineRule="auto"/>
              <w:ind w:left="0" w:firstLine="0" w:firstLineChars="0"/>
              <w:rPr>
                <w:rFonts w:hint="eastAsia" w:ascii="宋体" w:hAnsi="宋体"/>
                <w:sz w:val="24"/>
              </w:rPr>
            </w:pPr>
            <w:r>
              <w:rPr>
                <w:rFonts w:hint="eastAsia" w:ascii="宋体" w:hAnsi="宋体"/>
                <w:sz w:val="24"/>
                <w:lang w:val="en-US" w:eastAsia="zh-CN"/>
              </w:rPr>
              <w:t>9</w:t>
            </w:r>
            <w:r>
              <w:rPr>
                <w:rFonts w:hint="eastAsia" w:ascii="宋体" w:hAnsi="宋体"/>
                <w:sz w:val="24"/>
              </w:rPr>
              <w:t>分：服务方案涵盖了大部分项目要求，对项目需求有基本的分析，但仍有部分未完全契合。</w:t>
            </w:r>
          </w:p>
          <w:p w14:paraId="02B66FB4">
            <w:pPr>
              <w:pStyle w:val="53"/>
              <w:numPr>
                <w:ilvl w:val="-1"/>
                <w:numId w:val="0"/>
              </w:numPr>
              <w:spacing w:line="324" w:lineRule="auto"/>
              <w:ind w:left="0" w:firstLine="0" w:firstLineChars="0"/>
              <w:rPr>
                <w:rFonts w:hint="eastAsia" w:ascii="宋体" w:hAnsi="宋体"/>
                <w:sz w:val="24"/>
              </w:rPr>
            </w:pPr>
            <w:r>
              <w:rPr>
                <w:rFonts w:hint="eastAsia" w:ascii="宋体" w:hAnsi="宋体"/>
                <w:sz w:val="24"/>
                <w:lang w:val="en-US" w:eastAsia="zh-CN"/>
              </w:rPr>
              <w:t>6</w:t>
            </w:r>
            <w:r>
              <w:rPr>
                <w:rFonts w:hint="eastAsia" w:ascii="宋体" w:hAnsi="宋体"/>
                <w:sz w:val="24"/>
              </w:rPr>
              <w:t>分：服务方案仅涵盖了部分项目要求，对项目需求的理解有限，契合度一般。</w:t>
            </w:r>
          </w:p>
          <w:p w14:paraId="38CFBE24">
            <w:pPr>
              <w:pStyle w:val="53"/>
              <w:numPr>
                <w:ilvl w:val="-1"/>
                <w:numId w:val="0"/>
              </w:numPr>
              <w:spacing w:line="324" w:lineRule="auto"/>
              <w:ind w:left="0" w:firstLine="0" w:firstLineChars="0"/>
              <w:rPr>
                <w:rFonts w:hint="eastAsia" w:ascii="宋体" w:hAnsi="宋体"/>
                <w:sz w:val="24"/>
              </w:rPr>
            </w:pPr>
            <w:r>
              <w:rPr>
                <w:rFonts w:hint="eastAsia" w:ascii="宋体" w:hAnsi="宋体"/>
                <w:sz w:val="24"/>
                <w:lang w:val="en-US" w:eastAsia="zh-CN"/>
              </w:rPr>
              <w:t>3</w:t>
            </w:r>
            <w:r>
              <w:rPr>
                <w:rFonts w:hint="eastAsia" w:ascii="宋体" w:hAnsi="宋体"/>
                <w:sz w:val="24"/>
              </w:rPr>
              <w:t>分：服务方案涵盖的项目要求非常有限，对项目需求的理解存在明显偏差，契合度较差。</w:t>
            </w:r>
          </w:p>
          <w:p w14:paraId="597E742F">
            <w:pPr>
              <w:pStyle w:val="53"/>
              <w:numPr>
                <w:ilvl w:val="-1"/>
                <w:numId w:val="0"/>
              </w:numPr>
              <w:spacing w:line="324" w:lineRule="auto"/>
              <w:ind w:left="0" w:firstLine="0" w:firstLineChars="0"/>
              <w:rPr>
                <w:rFonts w:ascii="宋体" w:hAnsi="宋体"/>
                <w:sz w:val="24"/>
              </w:rPr>
            </w:pPr>
            <w:r>
              <w:rPr>
                <w:rFonts w:hint="eastAsia" w:ascii="宋体" w:hAnsi="宋体"/>
                <w:sz w:val="24"/>
              </w:rPr>
              <w:t>0分：没有提供服务方案或对项目需求完全缺乏理解，与项目要求完全不契合。</w:t>
            </w:r>
          </w:p>
        </w:tc>
        <w:tc>
          <w:tcPr>
            <w:tcW w:w="903" w:type="dxa"/>
            <w:vAlign w:val="center"/>
          </w:tcPr>
          <w:p w14:paraId="633C0278">
            <w:pPr>
              <w:spacing w:line="324" w:lineRule="auto"/>
              <w:jc w:val="center"/>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分</w:t>
            </w:r>
          </w:p>
        </w:tc>
      </w:tr>
      <w:tr w14:paraId="6487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87" w:type="dxa"/>
            <w:vMerge w:val="continue"/>
            <w:vAlign w:val="center"/>
          </w:tcPr>
          <w:p w14:paraId="3F7ABC01">
            <w:pPr>
              <w:pStyle w:val="43"/>
              <w:spacing w:line="360" w:lineRule="auto"/>
              <w:ind w:firstLine="480"/>
              <w:rPr>
                <w:rFonts w:ascii="宋体" w:hAnsi="宋体"/>
                <w:sz w:val="24"/>
              </w:rPr>
            </w:pPr>
          </w:p>
        </w:tc>
        <w:tc>
          <w:tcPr>
            <w:tcW w:w="1481" w:type="dxa"/>
            <w:vMerge w:val="continue"/>
            <w:vAlign w:val="center"/>
          </w:tcPr>
          <w:p w14:paraId="628B46BB">
            <w:pPr>
              <w:pStyle w:val="43"/>
              <w:numPr>
                <w:ilvl w:val="2"/>
                <w:numId w:val="7"/>
              </w:numPr>
              <w:spacing w:line="360" w:lineRule="auto"/>
              <w:ind w:firstLineChars="0"/>
              <w:rPr>
                <w:rFonts w:ascii="宋体" w:hAnsi="宋体"/>
                <w:sz w:val="24"/>
              </w:rPr>
            </w:pPr>
          </w:p>
        </w:tc>
        <w:tc>
          <w:tcPr>
            <w:tcW w:w="7518" w:type="dxa"/>
            <w:vAlign w:val="center"/>
          </w:tcPr>
          <w:p w14:paraId="1EC91BB0">
            <w:pPr>
              <w:pStyle w:val="53"/>
              <w:numPr>
                <w:ilvl w:val="-1"/>
                <w:numId w:val="0"/>
              </w:numPr>
              <w:spacing w:line="324" w:lineRule="auto"/>
              <w:ind w:left="14" w:firstLine="0" w:firstLineChars="0"/>
              <w:rPr>
                <w:rFonts w:hint="eastAsia" w:ascii="宋体" w:hAnsi="宋体"/>
                <w:b/>
                <w:bCs/>
                <w:sz w:val="24"/>
                <w:lang w:eastAsia="zh-CN"/>
              </w:rPr>
            </w:pPr>
            <w:r>
              <w:rPr>
                <w:rFonts w:hint="eastAsia" w:ascii="宋体" w:hAnsi="宋体"/>
                <w:b/>
                <w:bCs/>
                <w:sz w:val="24"/>
              </w:rPr>
              <w:t>培训课程内容设计分级评分标准</w:t>
            </w:r>
            <w:r>
              <w:rPr>
                <w:rFonts w:hint="eastAsia" w:ascii="宋体" w:hAnsi="宋体"/>
                <w:b/>
                <w:bCs/>
                <w:sz w:val="24"/>
                <w:lang w:eastAsia="zh-CN"/>
              </w:rPr>
              <w:t>。</w:t>
            </w:r>
          </w:p>
          <w:p w14:paraId="544766D3">
            <w:pPr>
              <w:pStyle w:val="53"/>
              <w:numPr>
                <w:ilvl w:val="-1"/>
                <w:numId w:val="0"/>
              </w:numPr>
              <w:spacing w:line="324" w:lineRule="auto"/>
              <w:ind w:left="14" w:firstLine="0" w:firstLineChars="0"/>
              <w:rPr>
                <w:rFonts w:hint="eastAsia" w:ascii="宋体" w:hAnsi="宋体"/>
                <w:sz w:val="24"/>
              </w:rPr>
            </w:pPr>
            <w:r>
              <w:rPr>
                <w:rFonts w:hint="eastAsia" w:ascii="宋体" w:hAnsi="宋体"/>
                <w:sz w:val="24"/>
              </w:rPr>
              <w:t>12分：课程内容设计非常出色，完全满足项目需求。内容丰富，具有相当深度，并且采用了多种有效的教学形式。</w:t>
            </w:r>
          </w:p>
          <w:p w14:paraId="6EFE732B">
            <w:pPr>
              <w:pStyle w:val="53"/>
              <w:numPr>
                <w:ilvl w:val="-1"/>
                <w:numId w:val="0"/>
              </w:numPr>
              <w:spacing w:line="324" w:lineRule="auto"/>
              <w:ind w:left="14" w:firstLine="0" w:firstLineChars="0"/>
              <w:rPr>
                <w:rFonts w:hint="eastAsia" w:ascii="宋体" w:hAnsi="宋体"/>
                <w:sz w:val="24"/>
              </w:rPr>
            </w:pPr>
            <w:r>
              <w:rPr>
                <w:rFonts w:hint="eastAsia" w:ascii="宋体" w:hAnsi="宋体"/>
                <w:sz w:val="24"/>
              </w:rPr>
              <w:t>8分：课程内容设计基本满足项目需求，内容较为基础但全面，需要在教学形式上加以创新以提升教学效果。</w:t>
            </w:r>
          </w:p>
          <w:p w14:paraId="0140A323">
            <w:pPr>
              <w:pStyle w:val="53"/>
              <w:numPr>
                <w:ilvl w:val="-1"/>
                <w:numId w:val="0"/>
              </w:numPr>
              <w:spacing w:line="324" w:lineRule="auto"/>
              <w:ind w:left="14" w:firstLine="0" w:firstLineChars="0"/>
              <w:rPr>
                <w:rFonts w:hint="eastAsia" w:ascii="宋体" w:hAnsi="宋体"/>
                <w:sz w:val="24"/>
              </w:rPr>
            </w:pPr>
            <w:r>
              <w:rPr>
                <w:rFonts w:hint="eastAsia" w:ascii="宋体" w:hAnsi="宋体"/>
                <w:sz w:val="24"/>
              </w:rPr>
              <w:t>4分：课程内容设计</w:t>
            </w:r>
            <w:r>
              <w:rPr>
                <w:rFonts w:hint="eastAsia" w:ascii="宋体" w:hAnsi="宋体"/>
                <w:sz w:val="24"/>
                <w:lang w:val="en-US" w:eastAsia="zh-CN"/>
              </w:rPr>
              <w:t>不足</w:t>
            </w:r>
            <w:r>
              <w:rPr>
                <w:rFonts w:hint="eastAsia" w:ascii="宋体" w:hAnsi="宋体"/>
                <w:sz w:val="24"/>
              </w:rPr>
              <w:t>，只涵盖了项目的有限需求。内容和教学形式都缺乏深度和广度，需要大幅度提升。</w:t>
            </w:r>
          </w:p>
          <w:p w14:paraId="598B4BD9">
            <w:pPr>
              <w:pStyle w:val="53"/>
              <w:numPr>
                <w:ilvl w:val="-1"/>
                <w:numId w:val="0"/>
              </w:numPr>
              <w:spacing w:line="324" w:lineRule="auto"/>
              <w:ind w:left="14" w:firstLine="0" w:firstLineChars="0"/>
              <w:rPr>
                <w:rFonts w:ascii="宋体" w:hAnsi="宋体"/>
                <w:sz w:val="24"/>
              </w:rPr>
            </w:pPr>
            <w:r>
              <w:rPr>
                <w:rFonts w:hint="eastAsia" w:ascii="宋体" w:hAnsi="宋体"/>
                <w:sz w:val="24"/>
              </w:rPr>
              <w:t>0分：课程内容设计严重不足</w:t>
            </w:r>
            <w:r>
              <w:rPr>
                <w:rFonts w:hint="eastAsia" w:ascii="宋体" w:hAnsi="宋体"/>
                <w:sz w:val="24"/>
                <w:lang w:val="en-US" w:eastAsia="zh-CN"/>
              </w:rPr>
              <w:t>或</w:t>
            </w:r>
            <w:r>
              <w:rPr>
                <w:rFonts w:hint="eastAsia" w:ascii="宋体" w:hAnsi="宋体"/>
                <w:sz w:val="24"/>
              </w:rPr>
              <w:t>没有提供有效的课程内容设计，或者设计与项目需求完全不符。需要重新进行全面的设计和规划。</w:t>
            </w:r>
          </w:p>
        </w:tc>
        <w:tc>
          <w:tcPr>
            <w:tcW w:w="903" w:type="dxa"/>
            <w:vAlign w:val="center"/>
          </w:tcPr>
          <w:p w14:paraId="792D93AE">
            <w:pPr>
              <w:pStyle w:val="53"/>
              <w:spacing w:line="324" w:lineRule="auto"/>
              <w:ind w:firstLine="0" w:firstLineChars="0"/>
              <w:jc w:val="center"/>
              <w:rPr>
                <w:rFonts w:ascii="宋体" w:hAnsi="宋体"/>
                <w:sz w:val="24"/>
              </w:rPr>
            </w:pPr>
            <w:r>
              <w:rPr>
                <w:rFonts w:ascii="宋体" w:hAnsi="宋体"/>
                <w:sz w:val="24"/>
              </w:rPr>
              <w:t xml:space="preserve"> 1</w:t>
            </w:r>
            <w:r>
              <w:rPr>
                <w:rFonts w:hint="eastAsia" w:ascii="宋体" w:hAnsi="宋体"/>
                <w:sz w:val="24"/>
                <w:lang w:val="en-US" w:eastAsia="zh-CN"/>
              </w:rPr>
              <w:t>2</w:t>
            </w:r>
            <w:r>
              <w:rPr>
                <w:rFonts w:hint="eastAsia" w:ascii="宋体" w:hAnsi="宋体"/>
                <w:sz w:val="24"/>
              </w:rPr>
              <w:t>分</w:t>
            </w:r>
          </w:p>
        </w:tc>
      </w:tr>
      <w:tr w14:paraId="4E28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887" w:type="dxa"/>
            <w:vMerge w:val="continue"/>
            <w:vAlign w:val="center"/>
          </w:tcPr>
          <w:p w14:paraId="3C59074A">
            <w:pPr>
              <w:pStyle w:val="43"/>
              <w:spacing w:line="360" w:lineRule="auto"/>
              <w:ind w:firstLine="480"/>
              <w:rPr>
                <w:rFonts w:ascii="宋体" w:hAnsi="宋体"/>
                <w:sz w:val="24"/>
              </w:rPr>
            </w:pPr>
          </w:p>
        </w:tc>
        <w:tc>
          <w:tcPr>
            <w:tcW w:w="1481" w:type="dxa"/>
            <w:vMerge w:val="continue"/>
            <w:vAlign w:val="center"/>
          </w:tcPr>
          <w:p w14:paraId="3E797CD9">
            <w:pPr>
              <w:pStyle w:val="43"/>
              <w:numPr>
                <w:ilvl w:val="2"/>
                <w:numId w:val="7"/>
              </w:numPr>
              <w:spacing w:line="360" w:lineRule="auto"/>
              <w:ind w:firstLineChars="0"/>
              <w:rPr>
                <w:rFonts w:ascii="宋体" w:hAnsi="宋体"/>
                <w:sz w:val="24"/>
              </w:rPr>
            </w:pPr>
          </w:p>
        </w:tc>
        <w:tc>
          <w:tcPr>
            <w:tcW w:w="7518" w:type="dxa"/>
            <w:vAlign w:val="center"/>
          </w:tcPr>
          <w:p w14:paraId="53CC0CFC">
            <w:pPr>
              <w:pStyle w:val="53"/>
              <w:numPr>
                <w:ilvl w:val="-1"/>
                <w:numId w:val="0"/>
              </w:numPr>
              <w:spacing w:line="324" w:lineRule="auto"/>
              <w:ind w:left="0" w:firstLine="0" w:firstLineChars="0"/>
              <w:rPr>
                <w:rFonts w:ascii="宋体" w:hAnsi="宋体"/>
                <w:b/>
                <w:bCs/>
                <w:sz w:val="24"/>
              </w:rPr>
            </w:pPr>
            <w:r>
              <w:rPr>
                <w:rFonts w:hint="eastAsia" w:ascii="宋体" w:hAnsi="宋体"/>
                <w:b/>
                <w:bCs/>
                <w:sz w:val="24"/>
              </w:rPr>
              <w:t>培训实施计划</w:t>
            </w:r>
            <w:r>
              <w:rPr>
                <w:rFonts w:hint="eastAsia" w:ascii="宋体" w:hAnsi="宋体"/>
                <w:b/>
                <w:bCs/>
                <w:sz w:val="24"/>
                <w:lang w:val="en-US" w:eastAsia="zh-CN"/>
              </w:rPr>
              <w:t>分级</w:t>
            </w:r>
            <w:r>
              <w:rPr>
                <w:rFonts w:hint="eastAsia" w:ascii="宋体" w:hAnsi="宋体"/>
                <w:b/>
                <w:bCs/>
                <w:sz w:val="24"/>
              </w:rPr>
              <w:t>评分</w:t>
            </w:r>
            <w:r>
              <w:rPr>
                <w:rFonts w:hint="eastAsia" w:ascii="宋体" w:hAnsi="宋体"/>
                <w:b/>
                <w:bCs/>
                <w:sz w:val="24"/>
                <w:lang w:val="en-US" w:eastAsia="zh-CN"/>
              </w:rPr>
              <w:t>标准。</w:t>
            </w:r>
          </w:p>
          <w:p w14:paraId="24B2F0AF">
            <w:pPr>
              <w:pStyle w:val="53"/>
              <w:numPr>
                <w:ilvl w:val="-1"/>
                <w:numId w:val="0"/>
              </w:numPr>
              <w:spacing w:line="324" w:lineRule="auto"/>
              <w:ind w:left="0" w:firstLine="0" w:firstLineChars="0"/>
              <w:rPr>
                <w:rFonts w:hint="eastAsia" w:ascii="宋体" w:hAnsi="宋体"/>
                <w:sz w:val="24"/>
              </w:rPr>
            </w:pPr>
            <w:r>
              <w:rPr>
                <w:rFonts w:hint="eastAsia" w:ascii="宋体" w:hAnsi="宋体"/>
                <w:sz w:val="24"/>
              </w:rPr>
              <w:t>12分：培训实施计划完善，详细规划了培训的目标、内容、方法、时间表、资源分配等各个方面。计划具有高度的可操作性和合理性，考虑了各种可能的风险和应对措施。完全符合项目需求，且能够确保培训效果的最大化。</w:t>
            </w:r>
          </w:p>
          <w:p w14:paraId="22398E35">
            <w:pPr>
              <w:pStyle w:val="53"/>
              <w:numPr>
                <w:ilvl w:val="-1"/>
                <w:numId w:val="0"/>
              </w:numPr>
              <w:spacing w:line="324" w:lineRule="auto"/>
              <w:ind w:left="0" w:firstLine="0" w:firstLineChars="0"/>
              <w:rPr>
                <w:rFonts w:hint="eastAsia" w:ascii="宋体" w:hAnsi="宋体"/>
                <w:sz w:val="24"/>
              </w:rPr>
            </w:pPr>
            <w:r>
              <w:rPr>
                <w:rFonts w:hint="eastAsia" w:ascii="宋体" w:hAnsi="宋体"/>
                <w:sz w:val="24"/>
              </w:rPr>
              <w:t>8分：培训实施计划涵盖了主要的培训内容和步骤，但可能在一些细节上不够详尽。计划的基本框架合理，具有一定的可操作性，但可能需要针对具体情况进行微调。基本满足项目需求，但可能需要额外的努力以达到最佳培训效果。</w:t>
            </w:r>
          </w:p>
          <w:p w14:paraId="5503B8CC">
            <w:pPr>
              <w:pStyle w:val="53"/>
              <w:numPr>
                <w:ilvl w:val="-1"/>
                <w:numId w:val="0"/>
              </w:numPr>
              <w:spacing w:line="324" w:lineRule="auto"/>
              <w:ind w:left="0" w:firstLine="0" w:firstLineChars="0"/>
              <w:rPr>
                <w:rFonts w:hint="eastAsia" w:ascii="宋体" w:hAnsi="宋体"/>
                <w:sz w:val="24"/>
              </w:rPr>
            </w:pPr>
            <w:r>
              <w:rPr>
                <w:rFonts w:hint="eastAsia" w:ascii="宋体" w:hAnsi="宋体"/>
                <w:sz w:val="24"/>
              </w:rPr>
              <w:t>4分：培训实施计划仅涵盖了部分关键内容，整体规划不够全面。计划的可操作性有限，需要进一步的明确和补充才能有效实施。虽然基本满足项目的一些基本需求，但培训效果可能大打折扣。</w:t>
            </w:r>
          </w:p>
          <w:p w14:paraId="55664EBA">
            <w:pPr>
              <w:pStyle w:val="53"/>
              <w:numPr>
                <w:ilvl w:val="-1"/>
                <w:numId w:val="0"/>
              </w:numPr>
              <w:spacing w:line="324" w:lineRule="auto"/>
              <w:ind w:left="0" w:firstLine="0" w:firstLineChars="0"/>
              <w:rPr>
                <w:rFonts w:ascii="宋体" w:hAnsi="宋体"/>
                <w:sz w:val="24"/>
              </w:rPr>
            </w:pPr>
            <w:r>
              <w:rPr>
                <w:rFonts w:hint="eastAsia" w:ascii="宋体" w:hAnsi="宋体"/>
                <w:sz w:val="24"/>
              </w:rPr>
              <w:t>0分：没有提供有效的培训实施计划或计划完全不可行。完全缺乏可操作性和合理性，无法满足项目需求。无法进行有效的培训实施。</w:t>
            </w:r>
          </w:p>
        </w:tc>
        <w:tc>
          <w:tcPr>
            <w:tcW w:w="903" w:type="dxa"/>
            <w:vAlign w:val="center"/>
          </w:tcPr>
          <w:p w14:paraId="75B57A7C">
            <w:pPr>
              <w:pStyle w:val="53"/>
              <w:spacing w:line="324" w:lineRule="auto"/>
              <w:ind w:firstLine="0" w:firstLineChars="0"/>
              <w:jc w:val="center"/>
              <w:rPr>
                <w:rFonts w:ascii="宋体" w:hAnsi="宋体"/>
                <w:sz w:val="24"/>
              </w:rPr>
            </w:pPr>
            <w:r>
              <w:rPr>
                <w:rFonts w:ascii="宋体" w:hAnsi="宋体"/>
                <w:sz w:val="24"/>
              </w:rPr>
              <w:t xml:space="preserve"> 12</w:t>
            </w:r>
            <w:r>
              <w:rPr>
                <w:rFonts w:hint="eastAsia" w:ascii="宋体" w:hAnsi="宋体"/>
                <w:sz w:val="24"/>
              </w:rPr>
              <w:t>分</w:t>
            </w:r>
          </w:p>
        </w:tc>
      </w:tr>
      <w:tr w14:paraId="1738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887" w:type="dxa"/>
            <w:vMerge w:val="continue"/>
            <w:vAlign w:val="center"/>
          </w:tcPr>
          <w:p w14:paraId="11565E59">
            <w:pPr>
              <w:spacing w:line="360" w:lineRule="auto"/>
              <w:rPr>
                <w:rFonts w:ascii="宋体" w:hAnsi="宋体" w:eastAsia="宋体" w:cs="Times New Roman"/>
                <w:sz w:val="24"/>
              </w:rPr>
            </w:pPr>
          </w:p>
        </w:tc>
        <w:tc>
          <w:tcPr>
            <w:tcW w:w="1481" w:type="dxa"/>
            <w:vMerge w:val="continue"/>
            <w:vAlign w:val="center"/>
          </w:tcPr>
          <w:p w14:paraId="396E26BE">
            <w:pPr>
              <w:pStyle w:val="43"/>
              <w:numPr>
                <w:ilvl w:val="0"/>
                <w:numId w:val="7"/>
              </w:numPr>
              <w:spacing w:line="360" w:lineRule="auto"/>
              <w:ind w:firstLineChars="0"/>
              <w:rPr>
                <w:sz w:val="24"/>
              </w:rPr>
            </w:pPr>
          </w:p>
        </w:tc>
        <w:tc>
          <w:tcPr>
            <w:tcW w:w="7518" w:type="dxa"/>
            <w:vAlign w:val="center"/>
          </w:tcPr>
          <w:p w14:paraId="210C37E0">
            <w:pPr>
              <w:pStyle w:val="53"/>
              <w:numPr>
                <w:ilvl w:val="-1"/>
                <w:numId w:val="0"/>
              </w:numPr>
              <w:spacing w:line="324" w:lineRule="auto"/>
              <w:ind w:left="0" w:firstLine="0" w:firstLineChars="0"/>
              <w:rPr>
                <w:rFonts w:hint="eastAsia" w:ascii="宋体" w:hAnsi="宋体"/>
                <w:b/>
                <w:bCs/>
                <w:sz w:val="24"/>
              </w:rPr>
            </w:pPr>
            <w:r>
              <w:rPr>
                <w:rFonts w:hint="eastAsia" w:ascii="宋体" w:hAnsi="宋体"/>
                <w:b/>
                <w:bCs/>
                <w:sz w:val="24"/>
              </w:rPr>
              <w:t>培训保障服务方案</w:t>
            </w:r>
            <w:r>
              <w:rPr>
                <w:rFonts w:hint="eastAsia" w:ascii="宋体" w:hAnsi="宋体"/>
                <w:b/>
                <w:bCs/>
                <w:sz w:val="24"/>
                <w:lang w:val="en-US" w:eastAsia="zh-CN"/>
              </w:rPr>
              <w:t>分级评分标准，</w:t>
            </w:r>
            <w:r>
              <w:rPr>
                <w:rFonts w:hint="eastAsia" w:ascii="宋体" w:hAnsi="宋体"/>
                <w:b/>
                <w:bCs/>
                <w:sz w:val="24"/>
              </w:rPr>
              <w:t>包括组织管理、线下培训接待、食宿、风险管控等。</w:t>
            </w:r>
          </w:p>
          <w:p w14:paraId="1577CBAA">
            <w:pPr>
              <w:pStyle w:val="53"/>
              <w:numPr>
                <w:ilvl w:val="-1"/>
                <w:numId w:val="0"/>
              </w:numPr>
              <w:spacing w:line="324" w:lineRule="auto"/>
              <w:ind w:left="0" w:firstLine="0" w:firstLineChars="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分：培训保障服务方案非常全面，组织管理流程清晰明确。线下培训接待准备充分，有完善的应急预案。食宿安排既考虑到了舒适性又兼顾了多样性</w:t>
            </w:r>
            <w:r>
              <w:rPr>
                <w:rFonts w:hint="eastAsia" w:ascii="宋体" w:hAnsi="宋体"/>
                <w:sz w:val="24"/>
                <w:lang w:eastAsia="zh-CN"/>
              </w:rPr>
              <w:t>。</w:t>
            </w:r>
            <w:r>
              <w:rPr>
                <w:rFonts w:hint="eastAsia" w:ascii="宋体" w:hAnsi="宋体"/>
                <w:sz w:val="24"/>
              </w:rPr>
              <w:t>风险管控方案全面，针对各种可能出现的情况制定了应对措施，确保了培训过程的安全与顺利。</w:t>
            </w:r>
          </w:p>
          <w:p w14:paraId="390721E0">
            <w:pPr>
              <w:pStyle w:val="53"/>
              <w:numPr>
                <w:ilvl w:val="-1"/>
                <w:numId w:val="0"/>
              </w:numPr>
              <w:spacing w:line="324" w:lineRule="auto"/>
              <w:ind w:left="0" w:firstLine="0" w:firstLineChars="0"/>
              <w:rPr>
                <w:rFonts w:hint="eastAsia" w:ascii="宋体" w:hAnsi="宋体"/>
                <w:sz w:val="24"/>
              </w:rPr>
            </w:pPr>
            <w:r>
              <w:rPr>
                <w:rFonts w:hint="eastAsia" w:ascii="宋体" w:hAnsi="宋体"/>
                <w:sz w:val="24"/>
                <w:lang w:val="en-US" w:eastAsia="zh-CN"/>
              </w:rPr>
              <w:t>8</w:t>
            </w:r>
            <w:r>
              <w:rPr>
                <w:rFonts w:hint="eastAsia" w:ascii="宋体" w:hAnsi="宋体"/>
                <w:sz w:val="24"/>
              </w:rPr>
              <w:t>分：培训保障服务方案较为全面，线下培训接待流程明确，食宿安排合理，风险管控措施也比较到位。</w:t>
            </w:r>
          </w:p>
          <w:p w14:paraId="7385537B">
            <w:pPr>
              <w:pStyle w:val="53"/>
              <w:numPr>
                <w:ilvl w:val="-1"/>
                <w:numId w:val="0"/>
              </w:numPr>
              <w:spacing w:line="324" w:lineRule="auto"/>
              <w:ind w:left="0" w:firstLine="0" w:firstLineChars="0"/>
              <w:rPr>
                <w:rFonts w:hint="eastAsia" w:ascii="宋体" w:hAnsi="宋体"/>
                <w:sz w:val="24"/>
              </w:rPr>
            </w:pPr>
            <w:r>
              <w:rPr>
                <w:rFonts w:hint="eastAsia" w:ascii="宋体" w:hAnsi="宋体"/>
                <w:sz w:val="24"/>
                <w:lang w:val="en-US" w:eastAsia="zh-CN"/>
              </w:rPr>
              <w:t>4</w:t>
            </w:r>
            <w:r>
              <w:rPr>
                <w:rFonts w:hint="eastAsia" w:ascii="宋体" w:hAnsi="宋体"/>
                <w:sz w:val="24"/>
              </w:rPr>
              <w:t>分：培训保障服务方案有基本的论述，组织管理有大致的框架，但在具体执行层面可能不够详细。线下培训接待有基本的流程和准备，食宿安排能够满足大多数学员的需求。对风险有一定的认识和基本的管控措施，但方案不够全面或具体。</w:t>
            </w:r>
          </w:p>
          <w:p w14:paraId="6B629E5D">
            <w:pPr>
              <w:pStyle w:val="53"/>
              <w:numPr>
                <w:ilvl w:val="-1"/>
                <w:numId w:val="0"/>
              </w:numPr>
              <w:spacing w:line="324" w:lineRule="auto"/>
              <w:ind w:left="0" w:firstLine="0" w:firstLineChars="0"/>
              <w:rPr>
                <w:rFonts w:ascii="宋体" w:hAnsi="宋体"/>
                <w:sz w:val="24"/>
              </w:rPr>
            </w:pPr>
            <w:r>
              <w:rPr>
                <w:rFonts w:hint="eastAsia" w:ascii="宋体" w:hAnsi="宋体"/>
                <w:sz w:val="24"/>
              </w:rPr>
              <w:t>0分：没有提供有效的培训保障服务方案或方案内容完全不可行。组织管理、线下接待、食宿安排和风险管控等方面均未得到充分考虑和规划，或者方案存在严重缺陷，无法满足培训的基本需求。</w:t>
            </w:r>
          </w:p>
        </w:tc>
        <w:tc>
          <w:tcPr>
            <w:tcW w:w="903" w:type="dxa"/>
            <w:vAlign w:val="center"/>
          </w:tcPr>
          <w:p w14:paraId="5DCCDCA1">
            <w:pPr>
              <w:pStyle w:val="53"/>
              <w:spacing w:line="324" w:lineRule="auto"/>
              <w:ind w:firstLine="0" w:firstLineChars="0"/>
              <w:jc w:val="center"/>
              <w:rPr>
                <w:rFonts w:ascii="宋体" w:hAnsi="宋体"/>
                <w:sz w:val="24"/>
              </w:rPr>
            </w:pPr>
            <w:r>
              <w:rPr>
                <w:rFonts w:ascii="宋体" w:hAnsi="宋体"/>
                <w:sz w:val="24"/>
              </w:rPr>
              <w:t xml:space="preserve"> 1</w:t>
            </w:r>
            <w:r>
              <w:rPr>
                <w:rFonts w:hint="eastAsia" w:ascii="宋体" w:hAnsi="宋体"/>
                <w:sz w:val="24"/>
                <w:lang w:val="en-US" w:eastAsia="zh-CN"/>
              </w:rPr>
              <w:t>2</w:t>
            </w:r>
            <w:r>
              <w:rPr>
                <w:rFonts w:hint="eastAsia" w:ascii="宋体" w:hAnsi="宋体"/>
                <w:sz w:val="24"/>
              </w:rPr>
              <w:t>分</w:t>
            </w:r>
          </w:p>
        </w:tc>
      </w:tr>
      <w:tr w14:paraId="1F02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887" w:type="dxa"/>
            <w:vMerge w:val="continue"/>
            <w:vAlign w:val="center"/>
          </w:tcPr>
          <w:p w14:paraId="7FDFD40B">
            <w:pPr>
              <w:spacing w:line="360" w:lineRule="auto"/>
              <w:rPr>
                <w:rFonts w:ascii="宋体" w:hAnsi="宋体" w:eastAsia="宋体" w:cs="Times New Roman"/>
                <w:sz w:val="24"/>
              </w:rPr>
            </w:pPr>
          </w:p>
        </w:tc>
        <w:tc>
          <w:tcPr>
            <w:tcW w:w="1481" w:type="dxa"/>
            <w:vAlign w:val="center"/>
          </w:tcPr>
          <w:p w14:paraId="48D69BF6">
            <w:pPr>
              <w:pStyle w:val="50"/>
              <w:numPr>
                <w:ilvl w:val="0"/>
                <w:numId w:val="7"/>
              </w:numPr>
              <w:spacing w:line="324" w:lineRule="auto"/>
              <w:ind w:firstLineChars="0"/>
              <w:jc w:val="left"/>
              <w:rPr>
                <w:rFonts w:ascii="宋体" w:hAnsi="宋体"/>
                <w:sz w:val="24"/>
                <w:szCs w:val="24"/>
              </w:rPr>
            </w:pPr>
            <w:r>
              <w:rPr>
                <w:rFonts w:ascii="宋体" w:hAnsi="宋体"/>
                <w:sz w:val="24"/>
                <w:szCs w:val="24"/>
              </w:rPr>
              <w:t>授课教师资源</w:t>
            </w:r>
          </w:p>
        </w:tc>
        <w:tc>
          <w:tcPr>
            <w:tcW w:w="7518" w:type="dxa"/>
            <w:vAlign w:val="center"/>
          </w:tcPr>
          <w:p w14:paraId="6AFC0A15">
            <w:pPr>
              <w:spacing w:line="324" w:lineRule="auto"/>
              <w:rPr>
                <w:rFonts w:hint="default" w:ascii="宋体" w:hAnsi="宋体"/>
                <w:b/>
                <w:bCs/>
                <w:sz w:val="24"/>
                <w:lang w:val="en-US" w:eastAsia="zh-CN"/>
              </w:rPr>
            </w:pPr>
            <w:r>
              <w:rPr>
                <w:rFonts w:hint="eastAsia" w:ascii="宋体" w:hAnsi="宋体"/>
                <w:b/>
                <w:bCs/>
                <w:sz w:val="24"/>
                <w:lang w:val="en-US" w:eastAsia="zh-CN"/>
              </w:rPr>
              <w:t>授课教师资源及对本项目拟配备的授课教师计划分级评分标准。</w:t>
            </w:r>
          </w:p>
          <w:p w14:paraId="57C1CF49">
            <w:pPr>
              <w:spacing w:line="324" w:lineRule="auto"/>
              <w:rPr>
                <w:rFonts w:hint="eastAsia" w:ascii="宋体" w:hAnsi="宋体"/>
                <w:sz w:val="24"/>
              </w:rPr>
            </w:pPr>
            <w:r>
              <w:rPr>
                <w:rFonts w:hint="eastAsia" w:ascii="宋体" w:hAnsi="宋体"/>
                <w:sz w:val="24"/>
              </w:rPr>
              <w:t>12</w:t>
            </w:r>
            <w:r>
              <w:rPr>
                <w:rFonts w:hint="eastAsia" w:ascii="宋体" w:hAnsi="宋体"/>
                <w:sz w:val="24"/>
                <w:lang w:val="en-US" w:eastAsia="zh-CN"/>
              </w:rPr>
              <w:t>分：</w:t>
            </w:r>
            <w:r>
              <w:rPr>
                <w:rFonts w:hint="eastAsia" w:ascii="宋体" w:hAnsi="宋体"/>
                <w:sz w:val="24"/>
              </w:rPr>
              <w:t>授课教师资源丰富，且为本项目培训班拟配备的授课教师均具备深厚的专业背景和丰富的授课经验，能够提供高质量的教学内容。</w:t>
            </w:r>
          </w:p>
          <w:p w14:paraId="3E024476">
            <w:pPr>
              <w:spacing w:line="324" w:lineRule="auto"/>
              <w:rPr>
                <w:rFonts w:hint="eastAsia" w:ascii="宋体" w:hAnsi="宋体"/>
                <w:sz w:val="24"/>
              </w:rPr>
            </w:pPr>
            <w:r>
              <w:rPr>
                <w:rFonts w:hint="eastAsia" w:ascii="宋体" w:hAnsi="宋体"/>
                <w:sz w:val="24"/>
              </w:rPr>
              <w:t>8分：授课教师资源比较丰富，教师具有一定的教学经验和专业能力，能够满足培训班的基本要求，并提供稳定的教学质量。</w:t>
            </w:r>
          </w:p>
          <w:p w14:paraId="5F292B87">
            <w:pPr>
              <w:spacing w:line="324" w:lineRule="auto"/>
              <w:rPr>
                <w:rFonts w:hint="eastAsia" w:ascii="宋体" w:hAnsi="宋体" w:eastAsiaTheme="minorEastAsia"/>
                <w:sz w:val="24"/>
                <w:lang w:eastAsia="zh-CN"/>
              </w:rPr>
            </w:pPr>
            <w:r>
              <w:rPr>
                <w:rFonts w:hint="eastAsia" w:ascii="宋体" w:hAnsi="宋体"/>
                <w:sz w:val="24"/>
              </w:rPr>
              <w:t>4分：授课教师资源相对有限，教师的类似培训经验也比较少。能够完成基本的教学任务</w:t>
            </w:r>
            <w:r>
              <w:rPr>
                <w:rFonts w:hint="eastAsia" w:ascii="宋体" w:hAnsi="宋体"/>
                <w:sz w:val="24"/>
                <w:lang w:eastAsia="zh-CN"/>
              </w:rPr>
              <w:t>。</w:t>
            </w:r>
          </w:p>
          <w:p w14:paraId="2B1547C8">
            <w:pPr>
              <w:spacing w:line="324" w:lineRule="auto"/>
              <w:rPr>
                <w:rFonts w:ascii="宋体" w:hAnsi="宋体"/>
                <w:sz w:val="24"/>
              </w:rPr>
            </w:pPr>
            <w:r>
              <w:rPr>
                <w:rFonts w:hint="eastAsia" w:ascii="宋体" w:hAnsi="宋体"/>
                <w:sz w:val="24"/>
              </w:rPr>
              <w:t>0分：几乎没有可用的授课教师资源，或者配备的教师完全缺乏相关的培训经验。培训的质量和效果都无法得到保证。</w:t>
            </w:r>
          </w:p>
        </w:tc>
        <w:tc>
          <w:tcPr>
            <w:tcW w:w="903" w:type="dxa"/>
            <w:vAlign w:val="center"/>
          </w:tcPr>
          <w:p w14:paraId="24D51E90">
            <w:pPr>
              <w:spacing w:line="324" w:lineRule="auto"/>
              <w:jc w:val="center"/>
              <w:rPr>
                <w:rFonts w:ascii="宋体" w:hAnsi="宋体" w:eastAsia="宋体" w:cs="Times New Roman"/>
                <w:sz w:val="24"/>
              </w:rPr>
            </w:pPr>
            <w:r>
              <w:rPr>
                <w:rFonts w:ascii="宋体" w:hAnsi="宋体" w:eastAsia="宋体" w:cs="Times New Roman"/>
                <w:sz w:val="24"/>
              </w:rPr>
              <w:t xml:space="preserve">12 </w:t>
            </w:r>
            <w:r>
              <w:rPr>
                <w:rFonts w:hint="eastAsia" w:ascii="宋体" w:hAnsi="宋体" w:eastAsia="宋体" w:cs="Times New Roman"/>
                <w:sz w:val="24"/>
                <w:lang w:val="zh-CN"/>
              </w:rPr>
              <w:t>分</w:t>
            </w:r>
          </w:p>
        </w:tc>
      </w:tr>
      <w:tr w14:paraId="6B7E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887" w:type="dxa"/>
            <w:vMerge w:val="continue"/>
            <w:vAlign w:val="center"/>
          </w:tcPr>
          <w:p w14:paraId="35DC3F6E">
            <w:pPr>
              <w:spacing w:line="360" w:lineRule="auto"/>
              <w:rPr>
                <w:rFonts w:ascii="宋体" w:hAnsi="宋体" w:eastAsia="宋体" w:cs="Times New Roman"/>
                <w:sz w:val="24"/>
              </w:rPr>
            </w:pPr>
          </w:p>
        </w:tc>
        <w:tc>
          <w:tcPr>
            <w:tcW w:w="1481" w:type="dxa"/>
            <w:vAlign w:val="center"/>
          </w:tcPr>
          <w:p w14:paraId="5D7A295D">
            <w:pPr>
              <w:pStyle w:val="50"/>
              <w:numPr>
                <w:ilvl w:val="0"/>
                <w:numId w:val="7"/>
              </w:numPr>
              <w:spacing w:line="324" w:lineRule="auto"/>
              <w:ind w:firstLineChars="0"/>
              <w:jc w:val="left"/>
              <w:rPr>
                <w:rFonts w:ascii="宋体" w:hAnsi="宋体"/>
                <w:sz w:val="24"/>
                <w:szCs w:val="24"/>
              </w:rPr>
            </w:pPr>
            <w:r>
              <w:rPr>
                <w:rFonts w:hint="eastAsia" w:ascii="宋体" w:hAnsi="宋体"/>
                <w:sz w:val="24"/>
                <w:szCs w:val="24"/>
              </w:rPr>
              <w:t>项目团队情况</w:t>
            </w:r>
          </w:p>
        </w:tc>
        <w:tc>
          <w:tcPr>
            <w:tcW w:w="7518" w:type="dxa"/>
            <w:vAlign w:val="center"/>
          </w:tcPr>
          <w:p w14:paraId="34FD1F1B">
            <w:pPr>
              <w:spacing w:line="324" w:lineRule="auto"/>
              <w:rPr>
                <w:rFonts w:hint="eastAsia" w:ascii="宋体" w:hAnsi="宋体"/>
                <w:b/>
                <w:bCs/>
                <w:sz w:val="24"/>
              </w:rPr>
            </w:pPr>
            <w:r>
              <w:rPr>
                <w:rFonts w:hint="eastAsia" w:ascii="宋体" w:hAnsi="宋体"/>
                <w:b/>
                <w:bCs/>
                <w:sz w:val="24"/>
              </w:rPr>
              <w:t>项目团队人员配备岗位合理性</w:t>
            </w:r>
            <w:r>
              <w:rPr>
                <w:rFonts w:hint="eastAsia" w:ascii="宋体" w:hAnsi="宋体"/>
                <w:b/>
                <w:bCs/>
                <w:sz w:val="24"/>
                <w:lang w:val="en-US" w:eastAsia="zh-CN"/>
              </w:rPr>
              <w:t>分级评分标准</w:t>
            </w:r>
            <w:r>
              <w:rPr>
                <w:rFonts w:hint="eastAsia" w:ascii="宋体" w:hAnsi="宋体"/>
                <w:b/>
                <w:bCs/>
                <w:sz w:val="24"/>
              </w:rPr>
              <w:t>，</w:t>
            </w:r>
            <w:r>
              <w:rPr>
                <w:rFonts w:hint="eastAsia" w:ascii="宋体" w:hAnsi="宋体"/>
                <w:b/>
                <w:bCs/>
                <w:sz w:val="24"/>
                <w:lang w:val="en-US" w:eastAsia="zh-CN"/>
              </w:rPr>
              <w:t>包括</w:t>
            </w:r>
            <w:r>
              <w:rPr>
                <w:rFonts w:hint="eastAsia" w:ascii="宋体" w:hAnsi="宋体"/>
                <w:b/>
                <w:bCs/>
                <w:sz w:val="24"/>
              </w:rPr>
              <w:t>人员基本情况、资质和从业经验业绩，项目服务团队人数等。</w:t>
            </w:r>
          </w:p>
          <w:p w14:paraId="32A0B06E">
            <w:pPr>
              <w:spacing w:line="324" w:lineRule="auto"/>
              <w:rPr>
                <w:rFonts w:hint="eastAsia" w:ascii="宋体" w:hAnsi="宋体"/>
                <w:sz w:val="24"/>
              </w:rPr>
            </w:pPr>
            <w:r>
              <w:rPr>
                <w:rFonts w:hint="eastAsia" w:ascii="宋体" w:hAnsi="宋体"/>
                <w:sz w:val="24"/>
              </w:rPr>
              <w:t>12分：服务团队人员数量</w:t>
            </w:r>
            <w:r>
              <w:rPr>
                <w:rFonts w:hint="eastAsia" w:ascii="宋体" w:hAnsi="宋体"/>
                <w:sz w:val="24"/>
                <w:lang w:val="en-US" w:eastAsia="zh-CN"/>
              </w:rPr>
              <w:t>充足</w:t>
            </w:r>
            <w:r>
              <w:rPr>
                <w:rFonts w:hint="eastAsia" w:ascii="宋体" w:hAnsi="宋体"/>
                <w:sz w:val="24"/>
              </w:rPr>
              <w:t>，且团队成员均具备丰富的类似项目经验。团队成员的资质和从业经验业绩突出，能够充分满足项目的各项需求，确保项目的顺利进行和高质量完成。</w:t>
            </w:r>
          </w:p>
          <w:p w14:paraId="437C659D">
            <w:pPr>
              <w:spacing w:line="324" w:lineRule="auto"/>
              <w:rPr>
                <w:rFonts w:hint="eastAsia" w:ascii="宋体" w:hAnsi="宋体"/>
                <w:sz w:val="24"/>
              </w:rPr>
            </w:pPr>
            <w:r>
              <w:rPr>
                <w:rFonts w:hint="eastAsia" w:ascii="宋体" w:hAnsi="宋体"/>
                <w:sz w:val="24"/>
              </w:rPr>
              <w:t>8分：服务团队人员数量适中，部分成员具有类似的项目经验。团队成员的资质和从业经验业绩尚可，基本能够满足项目的需求，但在某些方面可能需要额外的支持和协助。</w:t>
            </w:r>
            <w:r>
              <w:rPr>
                <w:rFonts w:hint="eastAsia" w:ascii="宋体" w:hAnsi="宋体"/>
                <w:sz w:val="24"/>
                <w:lang w:val="en-US" w:eastAsia="zh-CN"/>
              </w:rPr>
              <w:t>4</w:t>
            </w:r>
            <w:r>
              <w:rPr>
                <w:rFonts w:hint="eastAsia" w:ascii="宋体" w:hAnsi="宋体"/>
                <w:sz w:val="24"/>
              </w:rPr>
              <w:t>分：服务团队人员数量相对较少，类似项目经验有限。团队成员的资质和从业经验业绩一般，虽然能够勉强满足项目的基本需求，但可能存在一定的风险和挑战。</w:t>
            </w:r>
          </w:p>
          <w:p w14:paraId="7FEC8324">
            <w:pPr>
              <w:spacing w:line="324" w:lineRule="auto"/>
              <w:rPr>
                <w:rFonts w:ascii="宋体" w:hAnsi="宋体"/>
                <w:sz w:val="24"/>
              </w:rPr>
            </w:pPr>
            <w:r>
              <w:rPr>
                <w:rFonts w:hint="eastAsia" w:ascii="宋体" w:hAnsi="宋体"/>
                <w:sz w:val="24"/>
              </w:rPr>
              <w:t>0分：服务团队人员数量极少或几乎没有，完全缺乏类似的项目经验。团队成员的资质和从业经验业绩极差或无法评估，无法满足项目的任何需求。</w:t>
            </w:r>
          </w:p>
        </w:tc>
        <w:tc>
          <w:tcPr>
            <w:tcW w:w="903" w:type="dxa"/>
            <w:vAlign w:val="center"/>
          </w:tcPr>
          <w:p w14:paraId="1C04495B">
            <w:pPr>
              <w:spacing w:line="324" w:lineRule="auto"/>
              <w:jc w:val="center"/>
              <w:rPr>
                <w:rFonts w:ascii="宋体" w:hAnsi="宋体" w:eastAsia="宋体" w:cs="Times New Roman"/>
                <w:sz w:val="24"/>
              </w:rPr>
            </w:pPr>
            <w:r>
              <w:rPr>
                <w:rFonts w:ascii="宋体" w:hAnsi="宋体" w:eastAsia="宋体" w:cs="Times New Roman"/>
                <w:sz w:val="24"/>
              </w:rPr>
              <w:t xml:space="preserve"> 12</w:t>
            </w:r>
            <w:r>
              <w:rPr>
                <w:rFonts w:hint="eastAsia" w:ascii="宋体" w:hAnsi="宋体" w:eastAsia="宋体" w:cs="Times New Roman"/>
                <w:sz w:val="24"/>
                <w:lang w:val="zh-CN"/>
              </w:rPr>
              <w:t>分</w:t>
            </w:r>
          </w:p>
        </w:tc>
      </w:tr>
      <w:tr w14:paraId="7FA7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2368" w:type="dxa"/>
            <w:gridSpan w:val="2"/>
            <w:vAlign w:val="center"/>
          </w:tcPr>
          <w:p w14:paraId="00A9DB0D">
            <w:pPr>
              <w:spacing w:line="360" w:lineRule="auto"/>
              <w:rPr>
                <w:rFonts w:ascii="宋体" w:hAnsi="宋体" w:eastAsia="宋体" w:cs="Times New Roman"/>
                <w:sz w:val="24"/>
              </w:rPr>
            </w:pPr>
            <w:r>
              <w:rPr>
                <w:rFonts w:hint="eastAsia" w:ascii="宋体" w:hAnsi="宋体" w:eastAsia="宋体" w:cs="Times New Roman"/>
                <w:sz w:val="24"/>
              </w:rPr>
              <w:t>三、价格部分（</w:t>
            </w:r>
            <w:r>
              <w:rPr>
                <w:rFonts w:ascii="宋体" w:hAnsi="宋体" w:eastAsia="宋体" w:cs="Times New Roman"/>
                <w:sz w:val="24"/>
              </w:rPr>
              <w:t>10分</w:t>
            </w:r>
            <w:r>
              <w:rPr>
                <w:rFonts w:hint="eastAsia" w:ascii="宋体" w:hAnsi="宋体" w:eastAsia="宋体" w:cs="Times New Roman"/>
                <w:sz w:val="24"/>
              </w:rPr>
              <w:t>）</w:t>
            </w:r>
          </w:p>
        </w:tc>
        <w:tc>
          <w:tcPr>
            <w:tcW w:w="7518" w:type="dxa"/>
            <w:vAlign w:val="center"/>
          </w:tcPr>
          <w:p w14:paraId="0F454024">
            <w:pPr>
              <w:spacing w:line="360" w:lineRule="auto"/>
              <w:jc w:val="left"/>
              <w:rPr>
                <w:rFonts w:ascii="宋体" w:hAnsi="宋体" w:eastAsia="宋体" w:cs="Times New Roman"/>
                <w:sz w:val="24"/>
              </w:rPr>
            </w:pPr>
            <w:r>
              <w:rPr>
                <w:rFonts w:hint="eastAsia" w:ascii="宋体" w:hAnsi="宋体" w:eastAsia="宋体" w:cs="Times New Roman"/>
                <w:sz w:val="24"/>
              </w:rPr>
              <w:t>满足竞争性磋商文件要求且报价最低的最后报价为评价基准价，其价格为满分。其他报价人的价格分统一按照下列公式计算：报价得分＝（评标基准价</w:t>
            </w:r>
            <w:r>
              <w:rPr>
                <w:rFonts w:ascii="宋体" w:hAnsi="宋体" w:eastAsia="宋体" w:cs="Times New Roman"/>
                <w:sz w:val="24"/>
              </w:rPr>
              <w:t>/</w:t>
            </w:r>
            <w:r>
              <w:rPr>
                <w:rFonts w:hint="eastAsia" w:ascii="宋体" w:hAnsi="宋体" w:eastAsia="宋体" w:cs="Times New Roman"/>
                <w:sz w:val="24"/>
              </w:rPr>
              <w:t>磋商最后报价）</w:t>
            </w:r>
            <w:r>
              <w:rPr>
                <w:rFonts w:hint="eastAsia" w:ascii="宋体" w:hAnsi="宋体" w:eastAsia="宋体" w:cs="Arial"/>
                <w:sz w:val="24"/>
              </w:rPr>
              <w:t>×</w:t>
            </w:r>
            <w:r>
              <w:rPr>
                <w:rFonts w:ascii="宋体" w:hAnsi="宋体" w:eastAsia="宋体" w:cs="Times New Roman"/>
                <w:sz w:val="24"/>
              </w:rPr>
              <w:t>10</w:t>
            </w:r>
          </w:p>
        </w:tc>
        <w:tc>
          <w:tcPr>
            <w:tcW w:w="903" w:type="dxa"/>
            <w:vAlign w:val="center"/>
          </w:tcPr>
          <w:p w14:paraId="6EBA6451">
            <w:pPr>
              <w:spacing w:line="324" w:lineRule="auto"/>
              <w:jc w:val="center"/>
              <w:rPr>
                <w:rFonts w:ascii="宋体" w:hAnsi="宋体" w:eastAsia="宋体" w:cs="Times New Roman"/>
                <w:sz w:val="24"/>
              </w:rPr>
            </w:pPr>
            <w:r>
              <w:rPr>
                <w:rFonts w:ascii="宋体" w:hAnsi="宋体" w:eastAsia="宋体" w:cs="Times New Roman"/>
                <w:sz w:val="24"/>
              </w:rPr>
              <w:t>10</w:t>
            </w:r>
            <w:r>
              <w:rPr>
                <w:rFonts w:hint="eastAsia" w:ascii="宋体" w:hAnsi="宋体" w:eastAsia="宋体" w:cs="Times New Roman"/>
                <w:sz w:val="24"/>
              </w:rPr>
              <w:t>分</w:t>
            </w:r>
          </w:p>
        </w:tc>
      </w:tr>
      <w:tr w14:paraId="192A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9886" w:type="dxa"/>
            <w:gridSpan w:val="3"/>
            <w:vAlign w:val="center"/>
          </w:tcPr>
          <w:p w14:paraId="545F1776">
            <w:pPr>
              <w:spacing w:line="360" w:lineRule="auto"/>
              <w:jc w:val="center"/>
              <w:rPr>
                <w:rFonts w:ascii="宋体" w:hAnsi="宋体" w:eastAsia="宋体" w:cs="Times New Roman"/>
                <w:sz w:val="24"/>
              </w:rPr>
            </w:pPr>
            <w:r>
              <w:rPr>
                <w:rFonts w:hint="eastAsia" w:ascii="宋体" w:hAnsi="宋体" w:eastAsia="宋体" w:cs="Times New Roman"/>
                <w:sz w:val="24"/>
              </w:rPr>
              <w:t>总分</w:t>
            </w:r>
          </w:p>
        </w:tc>
        <w:tc>
          <w:tcPr>
            <w:tcW w:w="903" w:type="dxa"/>
            <w:vAlign w:val="center"/>
          </w:tcPr>
          <w:p w14:paraId="5F13E44E">
            <w:pPr>
              <w:spacing w:line="324" w:lineRule="auto"/>
              <w:jc w:val="center"/>
              <w:rPr>
                <w:rFonts w:ascii="宋体" w:hAnsi="宋体" w:eastAsia="宋体" w:cs="Times New Roman"/>
                <w:sz w:val="24"/>
              </w:rPr>
            </w:pPr>
            <w:r>
              <w:rPr>
                <w:rFonts w:hint="eastAsia" w:ascii="宋体" w:hAnsi="宋体" w:eastAsia="宋体" w:cs="Times New Roman"/>
                <w:sz w:val="24"/>
              </w:rPr>
              <w:t>100分</w:t>
            </w:r>
          </w:p>
        </w:tc>
      </w:tr>
    </w:tbl>
    <w:p w14:paraId="0ACD461E">
      <w:pPr>
        <w:pStyle w:val="17"/>
        <w:jc w:val="left"/>
        <w:rPr>
          <w:rFonts w:ascii="Times New Roman" w:hAnsi="Times New Roman" w:eastAsia="宋体" w:cs="Times New Roman"/>
        </w:rPr>
      </w:pPr>
      <w:r>
        <w:rPr>
          <w:rFonts w:ascii="Times New Roman" w:hAnsi="Times New Roman" w:eastAsia="宋体" w:cs="Times New Roman"/>
        </w:rPr>
        <w:br w:type="page"/>
      </w:r>
    </w:p>
    <w:p w14:paraId="000797C3">
      <w:pPr>
        <w:pStyle w:val="17"/>
        <w:rPr>
          <w:rFonts w:ascii="Times New Roman" w:hAnsi="Times New Roman" w:eastAsia="宋体" w:cs="Times New Roman"/>
        </w:rPr>
      </w:pPr>
      <w:bookmarkStart w:id="49" w:name="_Toc103068847"/>
      <w:r>
        <w:rPr>
          <w:rFonts w:ascii="Times New Roman" w:hAnsi="Times New Roman" w:eastAsia="宋体" w:cs="Times New Roman"/>
        </w:rPr>
        <w:t>第五部分响应文件格式</w:t>
      </w:r>
      <w:bookmarkEnd w:id="47"/>
      <w:bookmarkEnd w:id="48"/>
      <w:bookmarkEnd w:id="49"/>
    </w:p>
    <w:p w14:paraId="3E55C36B">
      <w:pPr>
        <w:pStyle w:val="27"/>
        <w:rPr>
          <w:rFonts w:ascii="Times New Roman" w:hAnsi="Times New Roman" w:eastAsia="宋体" w:cs="Times New Roman"/>
          <w:color w:val="auto"/>
          <w:sz w:val="30"/>
        </w:rPr>
      </w:pPr>
      <w:bookmarkStart w:id="50" w:name="_Toc499216485"/>
      <w:bookmarkStart w:id="51" w:name="_Toc103068848"/>
      <w:r>
        <w:rPr>
          <w:rFonts w:ascii="Times New Roman" w:hAnsi="Times New Roman" w:eastAsia="宋体" w:cs="Times New Roman"/>
          <w:color w:val="auto"/>
        </w:rPr>
        <w:t>报价人提交文件须知</w:t>
      </w:r>
      <w:bookmarkEnd w:id="50"/>
      <w:bookmarkEnd w:id="51"/>
    </w:p>
    <w:p w14:paraId="7B36C6D2">
      <w:pPr>
        <w:pStyle w:val="30"/>
        <w:ind w:firstLine="480"/>
        <w:rPr>
          <w:rFonts w:ascii="Times New Roman" w:hAnsi="Times New Roman" w:eastAsia="宋体" w:cs="Times New Roman"/>
        </w:rPr>
      </w:pPr>
      <w:r>
        <w:rPr>
          <w:rFonts w:ascii="Times New Roman" w:hAnsi="Times New Roman" w:eastAsia="宋体" w:cs="Times New Roman"/>
        </w:rPr>
        <w:t>1.报价人应按照以下顺序填写和提交下述规定的全部格式文件，本文件第9条规定提交的其他有关资料未给出格式文件的，由报价人自行设计编写。混乱的编排导致响应文件被误读或查找不到，后果由报价人承担。</w:t>
      </w:r>
    </w:p>
    <w:p w14:paraId="7F7663CA">
      <w:pPr>
        <w:pStyle w:val="30"/>
        <w:ind w:firstLine="480"/>
        <w:rPr>
          <w:rFonts w:ascii="Times New Roman" w:hAnsi="Times New Roman" w:eastAsia="宋体" w:cs="Times New Roman"/>
        </w:rPr>
      </w:pPr>
      <w:r>
        <w:rPr>
          <w:rFonts w:ascii="Times New Roman" w:hAnsi="Times New Roman" w:eastAsia="宋体" w:cs="Times New Roman"/>
        </w:rPr>
        <w:t>2.所附表格中要求回答的全部问题和信息都必须正面回答。</w:t>
      </w:r>
    </w:p>
    <w:p w14:paraId="7BDF462C">
      <w:pPr>
        <w:pStyle w:val="30"/>
        <w:ind w:firstLine="480"/>
        <w:rPr>
          <w:rFonts w:ascii="Times New Roman" w:hAnsi="Times New Roman" w:eastAsia="宋体" w:cs="Times New Roman"/>
        </w:rPr>
      </w:pPr>
      <w:r>
        <w:rPr>
          <w:rFonts w:ascii="Times New Roman" w:hAnsi="Times New Roman" w:eastAsia="宋体" w:cs="Times New Roman"/>
        </w:rPr>
        <w:t>3.本资格声明的签字人应保证全部声明和问题的回答是真实的和准确的。</w:t>
      </w:r>
    </w:p>
    <w:p w14:paraId="3F9407B0">
      <w:pPr>
        <w:pStyle w:val="30"/>
        <w:ind w:firstLine="480"/>
        <w:rPr>
          <w:rFonts w:ascii="Times New Roman" w:hAnsi="Times New Roman" w:eastAsia="宋体" w:cs="Times New Roman"/>
          <w:b/>
        </w:rPr>
      </w:pPr>
      <w:r>
        <w:rPr>
          <w:rFonts w:ascii="Times New Roman" w:hAnsi="Times New Roman" w:eastAsia="宋体" w:cs="Times New Roman"/>
        </w:rPr>
        <w:t>4．报价人提交的材料将被保密保存，且不退还。</w:t>
      </w:r>
    </w:p>
    <w:p w14:paraId="2CF7AE99">
      <w:pPr>
        <w:pStyle w:val="30"/>
        <w:ind w:firstLine="480"/>
        <w:rPr>
          <w:rFonts w:ascii="Times New Roman" w:hAnsi="Times New Roman" w:eastAsia="宋体" w:cs="Times New Roman"/>
        </w:rPr>
      </w:pPr>
      <w:r>
        <w:rPr>
          <w:rFonts w:ascii="Times New Roman" w:hAnsi="Times New Roman" w:eastAsia="宋体" w:cs="Times New Roman"/>
        </w:rPr>
        <w:t>5.全部文件应按报价须知中规定的语言和份数提交。</w:t>
      </w:r>
    </w:p>
    <w:p w14:paraId="34F1FE3F">
      <w:pPr>
        <w:pStyle w:val="4"/>
        <w:jc w:val="center"/>
        <w:rPr>
          <w:rFonts w:ascii="Times New Roman" w:hAnsi="Times New Roman" w:eastAsia="宋体" w:cs="Times New Roman"/>
          <w:sz w:val="28"/>
          <w:szCs w:val="28"/>
        </w:rPr>
      </w:pPr>
      <w:r>
        <w:rPr>
          <w:rFonts w:ascii="Times New Roman" w:hAnsi="Times New Roman" w:eastAsia="宋体" w:cs="Times New Roman"/>
          <w:sz w:val="28"/>
          <w:szCs w:val="28"/>
        </w:rPr>
        <w:br w:type="page"/>
      </w:r>
      <w:bookmarkStart w:id="52" w:name="_Toc499216486"/>
      <w:bookmarkStart w:id="53" w:name="_Toc103068849"/>
      <w:bookmarkStart w:id="54" w:name="_Toc115756054"/>
      <w:r>
        <w:rPr>
          <w:rFonts w:ascii="Times New Roman" w:hAnsi="Times New Roman" w:eastAsia="宋体" w:cs="Times New Roman"/>
          <w:sz w:val="28"/>
          <w:szCs w:val="28"/>
        </w:rPr>
        <w:t>附件一（封面）</w:t>
      </w:r>
      <w:bookmarkEnd w:id="52"/>
      <w:bookmarkEnd w:id="53"/>
      <w:bookmarkEnd w:id="54"/>
    </w:p>
    <w:p w14:paraId="42B3887C">
      <w:pPr>
        <w:pStyle w:val="31"/>
        <w:spacing w:line="500" w:lineRule="exact"/>
        <w:jc w:val="both"/>
        <w:rPr>
          <w:rFonts w:ascii="Times New Roman" w:hAnsi="Times New Roman" w:eastAsia="宋体" w:cs="Times New Roman"/>
          <w:b/>
          <w:sz w:val="24"/>
        </w:rPr>
      </w:pPr>
    </w:p>
    <w:p w14:paraId="7C87CF77">
      <w:pPr>
        <w:pStyle w:val="31"/>
        <w:spacing w:line="500" w:lineRule="exact"/>
        <w:rPr>
          <w:rFonts w:ascii="Times New Roman" w:hAnsi="Times New Roman" w:eastAsia="宋体" w:cs="Times New Roman"/>
          <w:b/>
          <w:sz w:val="24"/>
        </w:rPr>
      </w:pPr>
    </w:p>
    <w:p w14:paraId="012F00F2">
      <w:pPr>
        <w:pStyle w:val="31"/>
        <w:rPr>
          <w:rFonts w:ascii="Times New Roman" w:hAnsi="Times New Roman" w:eastAsia="宋体" w:cs="Times New Roman"/>
          <w:b/>
          <w:sz w:val="24"/>
        </w:rPr>
      </w:pPr>
    </w:p>
    <w:p w14:paraId="0343E902">
      <w:pPr>
        <w:pStyle w:val="31"/>
        <w:rPr>
          <w:rFonts w:ascii="Times New Roman" w:hAnsi="Times New Roman" w:eastAsia="宋体" w:cs="Times New Roman"/>
          <w:b/>
          <w:sz w:val="72"/>
        </w:rPr>
      </w:pPr>
      <w:r>
        <w:rPr>
          <w:rFonts w:ascii="Times New Roman" w:hAnsi="Times New Roman" w:eastAsia="宋体" w:cs="Times New Roman"/>
          <w:b/>
          <w:sz w:val="72"/>
        </w:rPr>
        <w:t>响应文件</w:t>
      </w:r>
    </w:p>
    <w:p w14:paraId="5F4EA1D5">
      <w:pPr>
        <w:pStyle w:val="31"/>
        <w:spacing w:line="500" w:lineRule="exact"/>
        <w:jc w:val="both"/>
        <w:rPr>
          <w:rFonts w:ascii="Times New Roman" w:hAnsi="Times New Roman" w:eastAsia="宋体" w:cs="Times New Roman"/>
          <w:b/>
          <w:sz w:val="24"/>
        </w:rPr>
      </w:pPr>
    </w:p>
    <w:p w14:paraId="66A33EE1">
      <w:pPr>
        <w:pStyle w:val="31"/>
        <w:spacing w:line="500" w:lineRule="exact"/>
        <w:jc w:val="both"/>
        <w:rPr>
          <w:rFonts w:ascii="Times New Roman" w:hAnsi="Times New Roman" w:eastAsia="宋体" w:cs="Times New Roman"/>
          <w:b/>
          <w:sz w:val="24"/>
        </w:rPr>
      </w:pPr>
    </w:p>
    <w:p w14:paraId="1FB02ECF">
      <w:pPr>
        <w:spacing w:line="500" w:lineRule="exact"/>
        <w:ind w:left="2800" w:firstLine="50"/>
        <w:rPr>
          <w:rFonts w:ascii="Times New Roman" w:hAnsi="Times New Roman" w:eastAsia="宋体" w:cs="Times New Roman"/>
          <w:b/>
          <w:bCs/>
          <w:sz w:val="28"/>
          <w:szCs w:val="28"/>
          <w:u w:val="single"/>
        </w:rPr>
      </w:pPr>
      <w:r>
        <w:rPr>
          <w:rFonts w:ascii="Times New Roman" w:hAnsi="Times New Roman" w:eastAsia="宋体" w:cs="Times New Roman"/>
          <w:b/>
          <w:sz w:val="28"/>
          <w:szCs w:val="28"/>
        </w:rPr>
        <w:t>采购项目：</w:t>
      </w:r>
    </w:p>
    <w:p w14:paraId="45007259">
      <w:pPr>
        <w:spacing w:line="500" w:lineRule="exact"/>
        <w:ind w:left="2800" w:firstLine="50"/>
        <w:rPr>
          <w:rFonts w:ascii="Times New Roman" w:hAnsi="Times New Roman" w:eastAsia="宋体" w:cs="Times New Roman"/>
          <w:b/>
          <w:bCs/>
          <w:sz w:val="28"/>
          <w:szCs w:val="28"/>
          <w:u w:val="single"/>
        </w:rPr>
      </w:pPr>
      <w:r>
        <w:rPr>
          <w:rFonts w:ascii="Times New Roman" w:hAnsi="Times New Roman" w:eastAsia="宋体" w:cs="Times New Roman"/>
          <w:b/>
          <w:sz w:val="28"/>
          <w:szCs w:val="28"/>
        </w:rPr>
        <w:t>项目编号：</w:t>
      </w:r>
    </w:p>
    <w:p w14:paraId="3D2F8E2F">
      <w:pPr>
        <w:pStyle w:val="32"/>
        <w:spacing w:line="500" w:lineRule="exact"/>
        <w:rPr>
          <w:rFonts w:ascii="Times New Roman" w:hAnsi="Times New Roman" w:eastAsia="宋体" w:cs="Times New Roman"/>
          <w:b/>
        </w:rPr>
      </w:pPr>
    </w:p>
    <w:p w14:paraId="646E7059">
      <w:pPr>
        <w:pStyle w:val="32"/>
        <w:spacing w:line="500" w:lineRule="exact"/>
        <w:rPr>
          <w:rFonts w:ascii="Times New Roman" w:hAnsi="Times New Roman" w:eastAsia="宋体" w:cs="Times New Roman"/>
          <w:b/>
        </w:rPr>
      </w:pPr>
    </w:p>
    <w:p w14:paraId="7BD8E6E9">
      <w:pPr>
        <w:pStyle w:val="32"/>
        <w:spacing w:line="360" w:lineRule="auto"/>
        <w:rPr>
          <w:rFonts w:ascii="Times New Roman" w:hAnsi="Times New Roman" w:eastAsia="宋体" w:cs="Times New Roman"/>
          <w:sz w:val="28"/>
          <w:u w:val="single"/>
        </w:rPr>
      </w:pPr>
      <w:r>
        <w:rPr>
          <w:rFonts w:ascii="Times New Roman" w:hAnsi="Times New Roman" w:eastAsia="宋体" w:cs="Times New Roman"/>
          <w:sz w:val="28"/>
        </w:rPr>
        <w:t>报价人全称：</w:t>
      </w:r>
    </w:p>
    <w:p w14:paraId="4B1F7E04">
      <w:pPr>
        <w:pStyle w:val="32"/>
        <w:spacing w:line="360" w:lineRule="auto"/>
        <w:rPr>
          <w:rFonts w:ascii="Times New Roman" w:hAnsi="Times New Roman" w:eastAsia="宋体" w:cs="Times New Roman"/>
          <w:sz w:val="28"/>
        </w:rPr>
      </w:pPr>
      <w:r>
        <w:rPr>
          <w:rFonts w:ascii="Times New Roman" w:hAnsi="Times New Roman" w:eastAsia="宋体" w:cs="Times New Roman"/>
          <w:sz w:val="28"/>
        </w:rPr>
        <w:t>（盖章）</w:t>
      </w:r>
    </w:p>
    <w:p w14:paraId="12324595">
      <w:pPr>
        <w:pStyle w:val="32"/>
        <w:spacing w:line="360" w:lineRule="auto"/>
        <w:rPr>
          <w:rFonts w:ascii="Times New Roman" w:hAnsi="Times New Roman" w:eastAsia="宋体" w:cs="Times New Roman"/>
          <w:sz w:val="28"/>
          <w:u w:val="single"/>
        </w:rPr>
      </w:pPr>
      <w:r>
        <w:rPr>
          <w:rFonts w:ascii="Times New Roman" w:hAnsi="Times New Roman" w:eastAsia="宋体" w:cs="Times New Roman"/>
          <w:sz w:val="28"/>
        </w:rPr>
        <w:t>法人代表：</w:t>
      </w:r>
    </w:p>
    <w:p w14:paraId="2DA42EB6">
      <w:pPr>
        <w:pStyle w:val="32"/>
        <w:spacing w:line="360" w:lineRule="auto"/>
        <w:rPr>
          <w:rFonts w:ascii="Times New Roman" w:hAnsi="Times New Roman" w:eastAsia="宋体" w:cs="Times New Roman"/>
          <w:sz w:val="28"/>
        </w:rPr>
      </w:pPr>
      <w:r>
        <w:rPr>
          <w:rFonts w:ascii="Times New Roman" w:hAnsi="Times New Roman" w:eastAsia="宋体" w:cs="Times New Roman"/>
          <w:sz w:val="28"/>
        </w:rPr>
        <w:t>（签字）</w:t>
      </w:r>
    </w:p>
    <w:p w14:paraId="0EA0BDD5">
      <w:pPr>
        <w:pStyle w:val="32"/>
        <w:spacing w:line="360" w:lineRule="auto"/>
        <w:rPr>
          <w:rFonts w:ascii="Times New Roman" w:hAnsi="Times New Roman" w:eastAsia="宋体" w:cs="Times New Roman"/>
          <w:sz w:val="28"/>
          <w:u w:val="single"/>
        </w:rPr>
      </w:pPr>
      <w:r>
        <w:rPr>
          <w:rFonts w:ascii="Times New Roman" w:hAnsi="Times New Roman" w:eastAsia="宋体" w:cs="Times New Roman"/>
          <w:sz w:val="28"/>
        </w:rPr>
        <w:t>授权代表：</w:t>
      </w:r>
    </w:p>
    <w:p w14:paraId="479F5352">
      <w:pPr>
        <w:pStyle w:val="32"/>
        <w:spacing w:line="360" w:lineRule="auto"/>
        <w:rPr>
          <w:rFonts w:ascii="Times New Roman" w:hAnsi="Times New Roman" w:eastAsia="宋体" w:cs="Times New Roman"/>
          <w:sz w:val="28"/>
        </w:rPr>
      </w:pPr>
      <w:r>
        <w:rPr>
          <w:rFonts w:ascii="Times New Roman" w:hAnsi="Times New Roman" w:eastAsia="宋体" w:cs="Times New Roman"/>
          <w:sz w:val="28"/>
        </w:rPr>
        <w:t>（签字）</w:t>
      </w:r>
    </w:p>
    <w:p w14:paraId="464C3A72">
      <w:pPr>
        <w:pStyle w:val="32"/>
        <w:spacing w:line="360" w:lineRule="auto"/>
        <w:rPr>
          <w:rFonts w:ascii="Times New Roman" w:hAnsi="Times New Roman" w:eastAsia="宋体" w:cs="Times New Roman"/>
          <w:sz w:val="28"/>
        </w:rPr>
      </w:pPr>
      <w:r>
        <w:rPr>
          <w:rFonts w:ascii="Times New Roman" w:hAnsi="Times New Roman" w:eastAsia="宋体" w:cs="Times New Roman"/>
          <w:sz w:val="28"/>
        </w:rPr>
        <w:t>报价时间：</w:t>
      </w:r>
    </w:p>
    <w:p w14:paraId="756AF017">
      <w:pPr>
        <w:pStyle w:val="32"/>
        <w:spacing w:line="360" w:lineRule="auto"/>
        <w:rPr>
          <w:rFonts w:ascii="Times New Roman" w:hAnsi="Times New Roman" w:eastAsia="宋体" w:cs="Times New Roman"/>
          <w:sz w:val="28"/>
          <w:u w:val="single"/>
        </w:rPr>
      </w:pPr>
      <w:r>
        <w:rPr>
          <w:rFonts w:ascii="Times New Roman" w:hAnsi="Times New Roman" w:eastAsia="宋体" w:cs="Times New Roman"/>
          <w:sz w:val="28"/>
        </w:rPr>
        <w:t>报价人地址：</w:t>
      </w:r>
    </w:p>
    <w:p w14:paraId="2289A9E7">
      <w:pPr>
        <w:spacing w:line="360" w:lineRule="auto"/>
        <w:rPr>
          <w:rFonts w:ascii="Times New Roman" w:hAnsi="Times New Roman" w:eastAsia="宋体" w:cs="Times New Roman"/>
          <w:sz w:val="28"/>
          <w:u w:val="single"/>
        </w:rPr>
      </w:pPr>
      <w:r>
        <w:rPr>
          <w:rFonts w:ascii="Times New Roman" w:hAnsi="Times New Roman" w:eastAsia="宋体" w:cs="Times New Roman"/>
          <w:sz w:val="28"/>
        </w:rPr>
        <w:t>联系电话：</w:t>
      </w:r>
    </w:p>
    <w:p w14:paraId="1647CD06">
      <w:pPr>
        <w:spacing w:line="500" w:lineRule="exact"/>
        <w:rPr>
          <w:rFonts w:ascii="Times New Roman" w:hAnsi="Times New Roman" w:eastAsia="宋体" w:cs="Times New Roman"/>
          <w:sz w:val="28"/>
          <w:u w:val="single"/>
        </w:rPr>
      </w:pPr>
    </w:p>
    <w:p w14:paraId="5B912B4E">
      <w:pPr>
        <w:spacing w:line="500" w:lineRule="exact"/>
        <w:rPr>
          <w:rFonts w:ascii="Times New Roman" w:hAnsi="Times New Roman" w:eastAsia="宋体" w:cs="Times New Roman"/>
          <w:sz w:val="28"/>
          <w:u w:val="single"/>
        </w:rPr>
      </w:pPr>
    </w:p>
    <w:p w14:paraId="6B373E27">
      <w:pPr>
        <w:pStyle w:val="4"/>
        <w:jc w:val="center"/>
        <w:rPr>
          <w:rFonts w:ascii="Times New Roman" w:hAnsi="Times New Roman" w:eastAsia="宋体" w:cs="Times New Roman"/>
          <w:sz w:val="28"/>
          <w:szCs w:val="28"/>
        </w:rPr>
      </w:pPr>
      <w:bookmarkStart w:id="55" w:name="_Toc499216487"/>
      <w:bookmarkStart w:id="56" w:name="_Toc132786437"/>
      <w:bookmarkStart w:id="57" w:name="_Toc103068850"/>
      <w:r>
        <w:rPr>
          <w:rFonts w:ascii="Times New Roman" w:hAnsi="Times New Roman" w:eastAsia="宋体" w:cs="Times New Roman"/>
          <w:sz w:val="28"/>
          <w:szCs w:val="28"/>
        </w:rPr>
        <w:t>附件二法定代表人证明书</w:t>
      </w:r>
      <w:bookmarkEnd w:id="55"/>
      <w:bookmarkEnd w:id="56"/>
      <w:bookmarkEnd w:id="57"/>
    </w:p>
    <w:p w14:paraId="415850CF">
      <w:pPr>
        <w:spacing w:line="360" w:lineRule="auto"/>
        <w:rPr>
          <w:rFonts w:ascii="Times New Roman" w:hAnsi="Times New Roman" w:eastAsia="宋体" w:cs="Times New Roman"/>
          <w:sz w:val="24"/>
        </w:rPr>
      </w:pPr>
      <w:r>
        <w:rPr>
          <w:rFonts w:ascii="Times New Roman" w:hAnsi="Times New Roman" w:eastAsia="宋体" w:cs="Times New Roman"/>
          <w:sz w:val="24"/>
        </w:rPr>
        <w:t>国家体育总局体育器材装备中心：</w:t>
      </w:r>
    </w:p>
    <w:p w14:paraId="7420EBBD">
      <w:pPr>
        <w:spacing w:line="500" w:lineRule="exact"/>
        <w:ind w:firstLine="2652" w:firstLineChars="1105"/>
        <w:rPr>
          <w:rFonts w:ascii="Times New Roman" w:hAnsi="Times New Roman" w:eastAsia="宋体" w:cs="Times New Roman"/>
          <w:sz w:val="24"/>
        </w:rPr>
      </w:pPr>
      <w:r>
        <w:rPr>
          <w:rFonts w:ascii="Times New Roman" w:hAnsi="Times New Roman" w:eastAsia="宋体" w:cs="Times New Roman"/>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6350" r="0" b="635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yw9fg9gBAADcAwAADgAAAGRycy9lMm9Eb2MueG1srVNNb9sw&#10;DL0P2H8QdF/sGOjaGXF6aNZdii3Ath+gSLQtQF8Q1Tj596NkN2u7Sw7zQSYl8pHvidrcn6xhR4io&#10;vev4elVzBk56pd3Q8d+/Hj/dcYZJOCWMd9DxMyC/3378sJlCC40fvVEQGYE4bKfQ8TGl0FYVyhGs&#10;wJUP4Oiw99GKRG4cKhXFROjWVE1df64mH1WIXgIi7e7mQ74gxmsAfd9rCTsvny24NKNGMCIRJRx1&#10;QL4t3fY9yPSj7xESMx0npqmsVITsQ16r7Ua0QxRh1HJpQVzTwjtOVmhHRS9QO5EEe476HyirZfTo&#10;+7SS3lYzkaIIsVjX77T5OYoAhQtJjeEiOv4/WPn9uI9MK5qEW86csHTjT9oBa7I0U8CWIh7cPi4e&#10;hn3MPE99tPlPDNipyHm+yAmnxCRtruvm7rYmpeXLWfU3MURM38Bblo2OG6pZBBTHJ0xUjEJfQnId&#10;49jU8S83zQ3BCRq7nq6bTBuodXRDyUVvtHrUxuQMjMPhwUR2FPnqy5cpEe6bsFxkJ3Cc48rRPBQj&#10;CPXVKZbOgTRx9BZ4bsGC4swAPZ1sEaBok9DmmkgqbVxOgDKYC8+s8axqtg5enYvYVfbo0kvHy4Dm&#10;qXrtk/36UW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Q4Y87VAAAACAEAAA8AAAAAAAAAAQAg&#10;AAAAIgAAAGRycy9kb3ducmV2LnhtbFBLAQIUABQAAAAIAIdO4kDLD1+D2AEAANwDAAAOAAAAAAAA&#10;AAEAIAAAACQBAABkcnMvZTJvRG9jLnhtbFBLBQYAAAAABgAGAFkBAABuBQAAAAA=&#10;">
                <v:fill on="f" focussize="0,0"/>
                <v:stroke color="#000000" joinstyle="round"/>
                <v:imagedata o:title=""/>
                <o:lock v:ext="edit" aspectratio="f"/>
              </v:line>
            </w:pict>
          </mc:Fallback>
        </mc:AlternateContent>
      </w:r>
      <w:r>
        <w:rPr>
          <w:rFonts w:ascii="Times New Roman" w:hAnsi="Times New Roman" w:eastAsia="宋体" w:cs="Times New Roman"/>
          <w:sz w:val="24"/>
        </w:rPr>
        <w:t>（姓名、性别、年龄）在我单位任（职务名称）职务，是我单位的法定代表人。</w:t>
      </w:r>
      <w:r>
        <w:rPr>
          <w:rFonts w:ascii="Times New Roman" w:hAnsi="Times New Roman" w:eastAsia="宋体" w:cs="Times New Roman"/>
          <w:sz w:val="24"/>
        </w:rPr>
        <w:br w:type="textWrapping"/>
      </w:r>
      <w:r>
        <w:rPr>
          <w:rFonts w:ascii="Times New Roman" w:hAnsi="Times New Roman" w:eastAsia="宋体" w:cs="Times New Roman"/>
          <w:sz w:val="24"/>
        </w:rPr>
        <w:t>　　特此证明。</w:t>
      </w:r>
      <w:r>
        <w:rPr>
          <w:rFonts w:ascii="Times New Roman" w:hAnsi="Times New Roman" w:eastAsia="宋体" w:cs="Times New Roman"/>
          <w:sz w:val="24"/>
        </w:rPr>
        <w:br w:type="textWrapping"/>
      </w:r>
    </w:p>
    <w:p w14:paraId="2E00A9FF">
      <w:pPr>
        <w:spacing w:line="500" w:lineRule="exact"/>
        <w:ind w:firstLine="720" w:firstLineChars="300"/>
        <w:rPr>
          <w:rFonts w:ascii="Times New Roman" w:hAnsi="Times New Roman" w:eastAsia="宋体" w:cs="Times New Roman"/>
          <w:sz w:val="24"/>
        </w:rPr>
      </w:pPr>
    </w:p>
    <w:p w14:paraId="6A866AAF">
      <w:pPr>
        <w:spacing w:line="500" w:lineRule="exact"/>
        <w:rPr>
          <w:rFonts w:ascii="Times New Roman" w:hAnsi="Times New Roman" w:eastAsia="宋体" w:cs="Times New Roman"/>
          <w:sz w:val="24"/>
        </w:rPr>
      </w:pPr>
      <w:r>
        <w:rPr>
          <w:rFonts w:ascii="Times New Roman" w:hAnsi="Times New Roman" w:eastAsia="宋体" w:cs="Times New Roman"/>
          <w:sz w:val="24"/>
        </w:rPr>
        <w:t>法定代表人住址：法定代表人身份证号：</w:t>
      </w:r>
      <w:r>
        <w:rPr>
          <w:rFonts w:ascii="Times New Roman" w:hAnsi="Times New Roman" w:eastAsia="宋体" w:cs="Times New Roman"/>
          <w:sz w:val="24"/>
          <w:u w:val="single"/>
        </w:rPr>
        <w:t>（</w:t>
      </w:r>
      <w:r>
        <w:rPr>
          <w:rFonts w:ascii="Times New Roman" w:hAnsi="Times New Roman" w:eastAsia="宋体" w:cs="Times New Roman"/>
          <w:sz w:val="24"/>
        </w:rPr>
        <w:t>身份证复印件附后）</w:t>
      </w:r>
    </w:p>
    <w:p w14:paraId="41B7AD9E">
      <w:pPr>
        <w:spacing w:line="500" w:lineRule="exact"/>
        <w:rPr>
          <w:rFonts w:ascii="Times New Roman" w:hAnsi="Times New Roman" w:eastAsia="宋体" w:cs="Times New Roman"/>
          <w:sz w:val="24"/>
          <w:u w:val="single"/>
        </w:rPr>
      </w:pPr>
      <w:r>
        <w:rPr>
          <w:rFonts w:ascii="Times New Roman" w:hAnsi="Times New Roman" w:eastAsia="宋体" w:cs="Times New Roman"/>
          <w:sz w:val="24"/>
        </w:rPr>
        <w:t>法定代表人电话：</w:t>
      </w:r>
      <w:r>
        <w:rPr>
          <w:rFonts w:ascii="Times New Roman" w:hAnsi="Times New Roman" w:eastAsia="宋体" w:cs="Times New Roman"/>
          <w:sz w:val="24"/>
        </w:rPr>
        <w:br w:type="textWrapping"/>
      </w:r>
      <w:r>
        <w:rPr>
          <w:rFonts w:ascii="Times New Roman" w:hAnsi="Times New Roman" w:eastAsia="宋体" w:cs="Times New Roman"/>
          <w:sz w:val="24"/>
        </w:rPr>
        <w:t>报价人全称（公章）：</w:t>
      </w:r>
    </w:p>
    <w:p w14:paraId="3E8C4B68">
      <w:pPr>
        <w:spacing w:line="500" w:lineRule="exact"/>
        <w:rPr>
          <w:rFonts w:ascii="Times New Roman" w:hAnsi="Times New Roman" w:eastAsia="宋体" w:cs="Times New Roman"/>
          <w:sz w:val="24"/>
        </w:rPr>
      </w:pPr>
      <w:r>
        <w:rPr>
          <w:rFonts w:ascii="Times New Roman" w:hAnsi="Times New Roman" w:eastAsia="宋体" w:cs="Times New Roman"/>
          <w:sz w:val="24"/>
        </w:rPr>
        <w:t>日期：年月日</w:t>
      </w:r>
    </w:p>
    <w:p w14:paraId="2735B9C9">
      <w:pPr>
        <w:spacing w:line="500" w:lineRule="exact"/>
        <w:rPr>
          <w:rFonts w:ascii="Times New Roman" w:hAnsi="Times New Roman" w:eastAsia="宋体" w:cs="Times New Roman"/>
        </w:rPr>
      </w:pPr>
    </w:p>
    <w:p w14:paraId="5325282A">
      <w:pPr>
        <w:pStyle w:val="4"/>
        <w:jc w:val="center"/>
        <w:rPr>
          <w:rStyle w:val="33"/>
          <w:rFonts w:ascii="Times New Roman" w:hAnsi="Times New Roman" w:eastAsia="宋体" w:cs="Times New Roman"/>
          <w:b w:val="0"/>
          <w:bCs w:val="0"/>
          <w:color w:val="auto"/>
          <w:szCs w:val="28"/>
        </w:rPr>
      </w:pPr>
      <w:bookmarkStart w:id="58" w:name="_Toc103068851"/>
      <w:bookmarkStart w:id="59" w:name="_Toc499216488"/>
      <w:bookmarkStart w:id="60" w:name="_Toc132786438"/>
      <w:r>
        <w:rPr>
          <w:rFonts w:ascii="Times New Roman" w:hAnsi="Times New Roman" w:eastAsia="宋体" w:cs="Times New Roman"/>
          <w:sz w:val="28"/>
          <w:szCs w:val="28"/>
        </w:rPr>
        <w:t>附件三法定代表人的授权委托书</w:t>
      </w:r>
      <w:bookmarkEnd w:id="58"/>
      <w:bookmarkEnd w:id="59"/>
      <w:bookmarkEnd w:id="60"/>
    </w:p>
    <w:p w14:paraId="5382AC6C">
      <w:pPr>
        <w:pStyle w:val="4"/>
        <w:jc w:val="center"/>
        <w:rPr>
          <w:rFonts w:ascii="Times New Roman" w:hAnsi="Times New Roman" w:eastAsia="宋体" w:cs="Times New Roman"/>
          <w:sz w:val="28"/>
          <w:szCs w:val="28"/>
        </w:rPr>
      </w:pPr>
      <w:bookmarkStart w:id="61" w:name="_Toc103068852"/>
      <w:r>
        <w:rPr>
          <w:rFonts w:ascii="Times New Roman" w:hAnsi="Times New Roman" w:eastAsia="宋体" w:cs="Times New Roman"/>
          <w:sz w:val="28"/>
          <w:szCs w:val="28"/>
        </w:rPr>
        <w:t>（如非法定代表人亲自参与磋商时提供，加盖单位公章）</w:t>
      </w:r>
      <w:bookmarkEnd w:id="61"/>
    </w:p>
    <w:p w14:paraId="571D8AEB">
      <w:pPr>
        <w:spacing w:line="500" w:lineRule="exact"/>
        <w:jc w:val="center"/>
        <w:rPr>
          <w:rFonts w:ascii="Times New Roman" w:hAnsi="Times New Roman" w:eastAsia="宋体" w:cs="Times New Roman"/>
          <w:b/>
          <w:bCs/>
          <w:sz w:val="24"/>
        </w:rPr>
      </w:pPr>
    </w:p>
    <w:p w14:paraId="2367317D">
      <w:pPr>
        <w:spacing w:line="500" w:lineRule="exact"/>
        <w:rPr>
          <w:rFonts w:ascii="宋体" w:hAnsi="宋体"/>
          <w:sz w:val="24"/>
        </w:rPr>
      </w:pPr>
      <w:r>
        <w:rPr>
          <w:rFonts w:hint="eastAsia" w:ascii="宋体" w:hAnsi="宋体"/>
          <w:sz w:val="24"/>
        </w:rPr>
        <w:t>国家体育总局体育器材装备中心：</w:t>
      </w:r>
    </w:p>
    <w:p w14:paraId="48E25343">
      <w:pPr>
        <w:spacing w:line="500" w:lineRule="exact"/>
        <w:ind w:firstLine="480" w:firstLineChars="200"/>
        <w:rPr>
          <w:rFonts w:ascii="宋体" w:hAnsi="宋体"/>
          <w:sz w:val="24"/>
        </w:rPr>
      </w:pPr>
      <w:r>
        <w:rPr>
          <w:rFonts w:hint="eastAsia" w:ascii="宋体" w:hAnsi="宋体"/>
          <w:sz w:val="24"/>
        </w:rPr>
        <w:t>本授权委托书声明：注册于（报价人地址）的（报价人名称）法定代表人（法定代表人姓名、职务）代表本公司授权在下面签字的（报价人代表职务、姓名）为本公司的合法代理人，就贵方组织的</w:t>
      </w:r>
      <w:r>
        <w:rPr>
          <w:rFonts w:hint="eastAsia" w:ascii="宋体" w:hAnsi="宋体"/>
          <w:bCs/>
          <w:sz w:val="24"/>
        </w:rPr>
        <w:t>（项目名称）</w:t>
      </w:r>
      <w:r>
        <w:rPr>
          <w:rFonts w:hint="eastAsia" w:ascii="宋体" w:hAnsi="宋体"/>
          <w:sz w:val="24"/>
        </w:rPr>
        <w:t>项目，采购编号：，以本公司名义参加竞争性谈判。谈判代表在报价、谈判过程中签署的一切文件及成交后签定的采购合同，以及处理与之有关的一切事务，我公司均予以承认。授权代表无转委托权。</w:t>
      </w:r>
    </w:p>
    <w:p w14:paraId="2DA11CCA">
      <w:pPr>
        <w:spacing w:line="360" w:lineRule="auto"/>
        <w:ind w:firstLine="480" w:firstLineChars="200"/>
        <w:rPr>
          <w:rFonts w:ascii="宋体" w:hAnsi="宋体"/>
          <w:sz w:val="24"/>
        </w:rPr>
      </w:pPr>
      <w:r>
        <w:rPr>
          <w:rFonts w:hint="eastAsia" w:ascii="宋体" w:hAnsi="宋体"/>
          <w:sz w:val="24"/>
        </w:rPr>
        <w:t xml:space="preserve">    本授权书于年月日签字生效，特此声明。</w:t>
      </w:r>
    </w:p>
    <w:p w14:paraId="18DA36FE">
      <w:pPr>
        <w:spacing w:line="500" w:lineRule="exact"/>
        <w:rPr>
          <w:rFonts w:ascii="宋体" w:hAnsi="宋体"/>
          <w:sz w:val="24"/>
        </w:rPr>
      </w:pPr>
    </w:p>
    <w:p w14:paraId="067C7E4D">
      <w:pPr>
        <w:spacing w:line="500" w:lineRule="exact"/>
        <w:rPr>
          <w:rFonts w:ascii="宋体" w:hAnsi="宋体"/>
          <w:sz w:val="24"/>
        </w:rPr>
      </w:pPr>
    </w:p>
    <w:p w14:paraId="71060325">
      <w:pPr>
        <w:spacing w:line="500" w:lineRule="exact"/>
        <w:rPr>
          <w:rFonts w:ascii="宋体" w:hAnsi="宋体"/>
          <w:sz w:val="24"/>
          <w:u w:val="single"/>
        </w:rPr>
      </w:pPr>
      <w:r>
        <w:rPr>
          <w:rFonts w:hint="eastAsia" w:ascii="宋体" w:hAnsi="宋体"/>
          <w:sz w:val="24"/>
        </w:rPr>
        <w:t>法定代表人印刷体姓名：  签字：</w:t>
      </w:r>
    </w:p>
    <w:p w14:paraId="0EB3A4F8">
      <w:pPr>
        <w:spacing w:line="500" w:lineRule="exact"/>
        <w:rPr>
          <w:rFonts w:ascii="宋体" w:hAnsi="宋体"/>
          <w:sz w:val="24"/>
          <w:u w:val="single"/>
        </w:rPr>
      </w:pPr>
      <w:r>
        <w:rPr>
          <w:rFonts w:hint="eastAsia" w:ascii="宋体" w:hAnsi="宋体"/>
          <w:sz w:val="24"/>
        </w:rPr>
        <w:t>报价人代表印刷体姓名：  签字：   职务：</w:t>
      </w:r>
    </w:p>
    <w:p w14:paraId="1CCC81C2">
      <w:pPr>
        <w:spacing w:line="500" w:lineRule="exact"/>
        <w:rPr>
          <w:rFonts w:ascii="宋体" w:hAnsi="宋体"/>
          <w:sz w:val="24"/>
        </w:rPr>
      </w:pPr>
      <w:r>
        <w:rPr>
          <w:rFonts w:hint="eastAsia" w:ascii="宋体" w:hAnsi="宋体"/>
          <w:sz w:val="24"/>
        </w:rPr>
        <w:t>报价人代表身份证号：（身份证复印件附后）</w:t>
      </w:r>
    </w:p>
    <w:p w14:paraId="6C9AA3C6">
      <w:pPr>
        <w:spacing w:line="500" w:lineRule="exact"/>
        <w:rPr>
          <w:rFonts w:ascii="宋体" w:hAnsi="宋体"/>
          <w:sz w:val="24"/>
          <w:u w:val="single"/>
        </w:rPr>
      </w:pPr>
      <w:r>
        <w:rPr>
          <w:rFonts w:hint="eastAsia" w:ascii="宋体" w:hAnsi="宋体"/>
          <w:sz w:val="24"/>
        </w:rPr>
        <w:t>报价人全称（公章）：</w:t>
      </w:r>
    </w:p>
    <w:p w14:paraId="0389DAE5">
      <w:pPr>
        <w:spacing w:line="500" w:lineRule="exact"/>
        <w:rPr>
          <w:rFonts w:ascii="Times New Roman" w:hAnsi="Times New Roman" w:eastAsia="宋体" w:cs="Times New Roman"/>
          <w:sz w:val="24"/>
          <w:u w:val="single"/>
        </w:rPr>
      </w:pPr>
    </w:p>
    <w:p w14:paraId="5A9F2F53">
      <w:pPr>
        <w:widowControl/>
        <w:jc w:val="left"/>
        <w:rPr>
          <w:rFonts w:ascii="Times New Roman" w:hAnsi="Times New Roman" w:eastAsia="宋体" w:cs="Times New Roman"/>
          <w:b/>
          <w:bCs/>
          <w:kern w:val="0"/>
          <w:sz w:val="28"/>
          <w:szCs w:val="28"/>
        </w:rPr>
      </w:pPr>
      <w:bookmarkStart w:id="62" w:name="_Toc132786448"/>
      <w:bookmarkStart w:id="63" w:name="_Toc499216490"/>
    </w:p>
    <w:p w14:paraId="27E75C78">
      <w:pPr>
        <w:pStyle w:val="4"/>
        <w:jc w:val="center"/>
        <w:rPr>
          <w:rFonts w:ascii="Times New Roman" w:hAnsi="Times New Roman" w:eastAsia="宋体" w:cs="Times New Roman"/>
          <w:sz w:val="28"/>
          <w:szCs w:val="28"/>
        </w:rPr>
      </w:pPr>
      <w:bookmarkStart w:id="64" w:name="_Toc103068853"/>
      <w:r>
        <w:rPr>
          <w:rFonts w:ascii="Times New Roman" w:hAnsi="Times New Roman" w:eastAsia="宋体" w:cs="Times New Roman"/>
          <w:sz w:val="28"/>
          <w:szCs w:val="28"/>
        </w:rPr>
        <w:t>附件四报价明细表</w:t>
      </w:r>
      <w:bookmarkEnd w:id="62"/>
      <w:bookmarkEnd w:id="63"/>
      <w:bookmarkEnd w:id="64"/>
    </w:p>
    <w:p w14:paraId="71D32ED9">
      <w:pPr>
        <w:tabs>
          <w:tab w:val="left" w:pos="1680"/>
        </w:tabs>
        <w:rPr>
          <w:rFonts w:ascii="Times New Roman" w:hAnsi="Times New Roman" w:eastAsia="宋体" w:cs="Times New Roman"/>
          <w:sz w:val="24"/>
        </w:rPr>
      </w:pPr>
      <w:r>
        <w:rPr>
          <w:rFonts w:ascii="Times New Roman" w:hAnsi="Times New Roman" w:eastAsia="宋体" w:cs="Times New Roman"/>
          <w:sz w:val="24"/>
        </w:rPr>
        <w:t>项目名称：</w:t>
      </w:r>
      <w:r>
        <w:rPr>
          <w:rFonts w:ascii="Times New Roman" w:hAnsi="Times New Roman" w:eastAsia="宋体" w:cs="Times New Roman"/>
          <w:sz w:val="24"/>
        </w:rPr>
        <w:tab/>
      </w:r>
    </w:p>
    <w:p w14:paraId="4DB93112">
      <w:pPr>
        <w:rPr>
          <w:rFonts w:ascii="Times New Roman" w:hAnsi="Times New Roman" w:eastAsia="宋体" w:cs="Times New Roman"/>
          <w:sz w:val="24"/>
        </w:rPr>
      </w:pPr>
      <w:r>
        <w:rPr>
          <w:rFonts w:ascii="Times New Roman" w:hAnsi="Times New Roman" w:eastAsia="宋体" w:cs="Times New Roman"/>
          <w:sz w:val="24"/>
        </w:rPr>
        <w:t>采购编号：</w:t>
      </w:r>
    </w:p>
    <w:p w14:paraId="549C4B4A">
      <w:pPr>
        <w:rPr>
          <w:rFonts w:ascii="Times New Roman" w:hAnsi="Times New Roman" w:eastAsia="宋体" w:cs="Times New Roman"/>
          <w:sz w:val="24"/>
        </w:rPr>
      </w:pPr>
    </w:p>
    <w:p w14:paraId="0B01483A">
      <w:pPr>
        <w:rPr>
          <w:rFonts w:ascii="Times New Roman" w:hAnsi="Times New Roman" w:eastAsia="宋体" w:cs="Times New Roman"/>
          <w:sz w:val="24"/>
        </w:rPr>
      </w:pPr>
      <w:r>
        <w:rPr>
          <w:rFonts w:ascii="Times New Roman" w:hAnsi="Times New Roman" w:eastAsia="宋体" w:cs="Times New Roman"/>
          <w:sz w:val="24"/>
        </w:rPr>
        <w:t>价格单位：人民币元</w:t>
      </w:r>
    </w:p>
    <w:p w14:paraId="4B3C9397">
      <w:pPr>
        <w:rPr>
          <w:sz w:val="24"/>
        </w:rPr>
      </w:pPr>
    </w:p>
    <w:tbl>
      <w:tblPr>
        <w:tblStyle w:val="19"/>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4"/>
        <w:gridCol w:w="1559"/>
        <w:gridCol w:w="982"/>
        <w:gridCol w:w="1217"/>
        <w:gridCol w:w="1217"/>
        <w:gridCol w:w="1844"/>
      </w:tblGrid>
      <w:tr w14:paraId="60E3E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DF6DC5F">
            <w:pPr>
              <w:autoSpaceDE w:val="0"/>
              <w:autoSpaceDN w:val="0"/>
              <w:adjustRightInd w:val="0"/>
              <w:snapToGrid w:val="0"/>
              <w:spacing w:before="156" w:beforeLines="50" w:line="300" w:lineRule="auto"/>
              <w:jc w:val="center"/>
              <w:rPr>
                <w:rFonts w:ascii="黑体" w:eastAsia="黑体"/>
                <w:kern w:val="0"/>
                <w:sz w:val="22"/>
              </w:rPr>
            </w:pPr>
            <w:r>
              <w:rPr>
                <w:rFonts w:hint="eastAsia" w:ascii="黑体" w:eastAsia="黑体"/>
                <w:kern w:val="0"/>
                <w:sz w:val="22"/>
              </w:rPr>
              <w:t>序号</w:t>
            </w:r>
          </w:p>
        </w:tc>
        <w:tc>
          <w:tcPr>
            <w:tcW w:w="1794" w:type="dxa"/>
          </w:tcPr>
          <w:p w14:paraId="32712485">
            <w:pPr>
              <w:autoSpaceDE w:val="0"/>
              <w:autoSpaceDN w:val="0"/>
              <w:adjustRightInd w:val="0"/>
              <w:snapToGrid w:val="0"/>
              <w:spacing w:before="156" w:beforeLines="50" w:line="300" w:lineRule="auto"/>
              <w:jc w:val="center"/>
              <w:rPr>
                <w:rFonts w:ascii="黑体" w:eastAsia="黑体"/>
                <w:kern w:val="0"/>
                <w:sz w:val="22"/>
              </w:rPr>
            </w:pPr>
            <w:r>
              <w:rPr>
                <w:rFonts w:hint="eastAsia" w:ascii="黑体" w:eastAsia="黑体"/>
                <w:kern w:val="0"/>
                <w:sz w:val="22"/>
              </w:rPr>
              <w:t>项目名称</w:t>
            </w:r>
          </w:p>
        </w:tc>
        <w:tc>
          <w:tcPr>
            <w:tcW w:w="1559" w:type="dxa"/>
          </w:tcPr>
          <w:p w14:paraId="3992CD78">
            <w:pPr>
              <w:autoSpaceDE w:val="0"/>
              <w:autoSpaceDN w:val="0"/>
              <w:adjustRightInd w:val="0"/>
              <w:snapToGrid w:val="0"/>
              <w:spacing w:before="156" w:beforeLines="50" w:line="300" w:lineRule="auto"/>
              <w:jc w:val="center"/>
              <w:rPr>
                <w:rFonts w:ascii="黑体" w:eastAsia="黑体"/>
                <w:kern w:val="0"/>
                <w:sz w:val="22"/>
              </w:rPr>
            </w:pPr>
            <w:r>
              <w:rPr>
                <w:rFonts w:hint="eastAsia" w:ascii="黑体" w:eastAsia="黑体"/>
                <w:kern w:val="0"/>
                <w:sz w:val="22"/>
              </w:rPr>
              <w:t>工作描述</w:t>
            </w:r>
          </w:p>
        </w:tc>
        <w:tc>
          <w:tcPr>
            <w:tcW w:w="982" w:type="dxa"/>
          </w:tcPr>
          <w:p w14:paraId="4FE1558D">
            <w:pPr>
              <w:autoSpaceDE w:val="0"/>
              <w:autoSpaceDN w:val="0"/>
              <w:adjustRightInd w:val="0"/>
              <w:snapToGrid w:val="0"/>
              <w:spacing w:before="156" w:beforeLines="50" w:line="300" w:lineRule="auto"/>
              <w:jc w:val="center"/>
              <w:rPr>
                <w:rFonts w:ascii="黑体" w:eastAsia="黑体"/>
                <w:kern w:val="0"/>
                <w:sz w:val="22"/>
              </w:rPr>
            </w:pPr>
            <w:r>
              <w:rPr>
                <w:rFonts w:hint="eastAsia" w:ascii="黑体" w:eastAsia="黑体"/>
                <w:kern w:val="0"/>
                <w:sz w:val="22"/>
              </w:rPr>
              <w:t>数  量</w:t>
            </w:r>
          </w:p>
        </w:tc>
        <w:tc>
          <w:tcPr>
            <w:tcW w:w="1217" w:type="dxa"/>
          </w:tcPr>
          <w:p w14:paraId="129BDDB7">
            <w:pPr>
              <w:autoSpaceDE w:val="0"/>
              <w:autoSpaceDN w:val="0"/>
              <w:adjustRightInd w:val="0"/>
              <w:snapToGrid w:val="0"/>
              <w:spacing w:before="156" w:beforeLines="50" w:line="300" w:lineRule="auto"/>
              <w:jc w:val="center"/>
              <w:rPr>
                <w:rFonts w:ascii="黑体" w:eastAsia="黑体"/>
                <w:kern w:val="0"/>
                <w:sz w:val="22"/>
              </w:rPr>
            </w:pPr>
            <w:r>
              <w:rPr>
                <w:rFonts w:hint="eastAsia" w:ascii="黑体" w:eastAsia="黑体"/>
                <w:kern w:val="0"/>
                <w:sz w:val="22"/>
              </w:rPr>
              <w:t>单  价</w:t>
            </w:r>
          </w:p>
        </w:tc>
        <w:tc>
          <w:tcPr>
            <w:tcW w:w="1217" w:type="dxa"/>
          </w:tcPr>
          <w:p w14:paraId="009560A5">
            <w:pPr>
              <w:autoSpaceDE w:val="0"/>
              <w:autoSpaceDN w:val="0"/>
              <w:adjustRightInd w:val="0"/>
              <w:snapToGrid w:val="0"/>
              <w:spacing w:before="156" w:beforeLines="50" w:line="300" w:lineRule="auto"/>
              <w:jc w:val="center"/>
              <w:rPr>
                <w:rFonts w:ascii="黑体" w:eastAsia="黑体"/>
                <w:kern w:val="0"/>
                <w:sz w:val="22"/>
              </w:rPr>
            </w:pPr>
            <w:r>
              <w:rPr>
                <w:rFonts w:hint="eastAsia" w:ascii="黑体" w:eastAsia="黑体"/>
                <w:kern w:val="0"/>
                <w:sz w:val="22"/>
              </w:rPr>
              <w:t>合  计</w:t>
            </w:r>
          </w:p>
        </w:tc>
        <w:tc>
          <w:tcPr>
            <w:tcW w:w="1844" w:type="dxa"/>
          </w:tcPr>
          <w:p w14:paraId="7DA93F07">
            <w:pPr>
              <w:autoSpaceDE w:val="0"/>
              <w:autoSpaceDN w:val="0"/>
              <w:adjustRightInd w:val="0"/>
              <w:snapToGrid w:val="0"/>
              <w:spacing w:before="156" w:beforeLines="50" w:line="300" w:lineRule="auto"/>
              <w:jc w:val="center"/>
              <w:rPr>
                <w:rFonts w:ascii="黑体" w:eastAsia="黑体"/>
                <w:kern w:val="0"/>
                <w:sz w:val="22"/>
              </w:rPr>
            </w:pPr>
            <w:r>
              <w:rPr>
                <w:rFonts w:hint="eastAsia" w:ascii="黑体" w:eastAsia="黑体"/>
                <w:kern w:val="0"/>
                <w:sz w:val="22"/>
              </w:rPr>
              <w:t>说  明</w:t>
            </w:r>
          </w:p>
        </w:tc>
      </w:tr>
      <w:tr w14:paraId="0AE79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2EFF56B">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6AA6DBD7">
            <w:pPr>
              <w:autoSpaceDE w:val="0"/>
              <w:autoSpaceDN w:val="0"/>
              <w:adjustRightInd w:val="0"/>
              <w:snapToGrid w:val="0"/>
              <w:spacing w:before="156" w:beforeLines="50" w:line="300" w:lineRule="auto"/>
              <w:jc w:val="left"/>
              <w:rPr>
                <w:rFonts w:ascii="黑体" w:eastAsia="黑体"/>
                <w:kern w:val="0"/>
                <w:sz w:val="24"/>
              </w:rPr>
            </w:pPr>
          </w:p>
        </w:tc>
        <w:tc>
          <w:tcPr>
            <w:tcW w:w="1559" w:type="dxa"/>
          </w:tcPr>
          <w:p w14:paraId="1E4CBC5F">
            <w:pPr>
              <w:autoSpaceDE w:val="0"/>
              <w:autoSpaceDN w:val="0"/>
              <w:adjustRightInd w:val="0"/>
              <w:snapToGrid w:val="0"/>
              <w:spacing w:before="156" w:beforeLines="50" w:line="300" w:lineRule="auto"/>
              <w:jc w:val="left"/>
              <w:rPr>
                <w:rFonts w:ascii="黑体" w:eastAsia="黑体"/>
                <w:kern w:val="0"/>
                <w:sz w:val="24"/>
              </w:rPr>
            </w:pPr>
          </w:p>
        </w:tc>
        <w:tc>
          <w:tcPr>
            <w:tcW w:w="982" w:type="dxa"/>
          </w:tcPr>
          <w:p w14:paraId="00E34642">
            <w:pPr>
              <w:autoSpaceDE w:val="0"/>
              <w:autoSpaceDN w:val="0"/>
              <w:adjustRightInd w:val="0"/>
              <w:snapToGrid w:val="0"/>
              <w:spacing w:before="156" w:beforeLines="50" w:line="300" w:lineRule="auto"/>
              <w:jc w:val="left"/>
              <w:rPr>
                <w:rFonts w:ascii="黑体" w:eastAsia="黑体"/>
                <w:kern w:val="0"/>
                <w:sz w:val="24"/>
              </w:rPr>
            </w:pPr>
          </w:p>
        </w:tc>
        <w:tc>
          <w:tcPr>
            <w:tcW w:w="1217" w:type="dxa"/>
          </w:tcPr>
          <w:p w14:paraId="2A0AF8DE">
            <w:pPr>
              <w:autoSpaceDE w:val="0"/>
              <w:autoSpaceDN w:val="0"/>
              <w:adjustRightInd w:val="0"/>
              <w:snapToGrid w:val="0"/>
              <w:spacing w:before="156" w:beforeLines="50" w:line="300" w:lineRule="auto"/>
              <w:jc w:val="left"/>
              <w:rPr>
                <w:rFonts w:ascii="黑体" w:eastAsia="黑体"/>
                <w:kern w:val="0"/>
                <w:sz w:val="24"/>
              </w:rPr>
            </w:pPr>
          </w:p>
        </w:tc>
        <w:tc>
          <w:tcPr>
            <w:tcW w:w="1217" w:type="dxa"/>
          </w:tcPr>
          <w:p w14:paraId="01FA1A8B">
            <w:pPr>
              <w:autoSpaceDE w:val="0"/>
              <w:autoSpaceDN w:val="0"/>
              <w:adjustRightInd w:val="0"/>
              <w:snapToGrid w:val="0"/>
              <w:spacing w:before="156" w:beforeLines="50" w:line="300" w:lineRule="auto"/>
              <w:jc w:val="left"/>
              <w:rPr>
                <w:rFonts w:ascii="黑体" w:eastAsia="黑体"/>
                <w:kern w:val="0"/>
                <w:sz w:val="24"/>
              </w:rPr>
            </w:pPr>
          </w:p>
        </w:tc>
        <w:tc>
          <w:tcPr>
            <w:tcW w:w="1844" w:type="dxa"/>
          </w:tcPr>
          <w:p w14:paraId="72D906D2">
            <w:pPr>
              <w:autoSpaceDE w:val="0"/>
              <w:autoSpaceDN w:val="0"/>
              <w:adjustRightInd w:val="0"/>
              <w:snapToGrid w:val="0"/>
              <w:spacing w:before="156" w:beforeLines="50" w:line="300" w:lineRule="auto"/>
              <w:jc w:val="left"/>
              <w:rPr>
                <w:rFonts w:ascii="黑体" w:eastAsia="黑体"/>
                <w:kern w:val="0"/>
                <w:sz w:val="24"/>
              </w:rPr>
            </w:pPr>
          </w:p>
        </w:tc>
      </w:tr>
      <w:tr w14:paraId="3A12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0B0ADBD">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45062857">
            <w:pPr>
              <w:autoSpaceDE w:val="0"/>
              <w:autoSpaceDN w:val="0"/>
              <w:adjustRightInd w:val="0"/>
              <w:snapToGrid w:val="0"/>
              <w:spacing w:before="156" w:beforeLines="50" w:line="300" w:lineRule="auto"/>
              <w:jc w:val="left"/>
              <w:rPr>
                <w:rFonts w:ascii="黑体" w:eastAsia="黑体"/>
                <w:kern w:val="0"/>
                <w:sz w:val="24"/>
              </w:rPr>
            </w:pPr>
          </w:p>
        </w:tc>
        <w:tc>
          <w:tcPr>
            <w:tcW w:w="1559" w:type="dxa"/>
          </w:tcPr>
          <w:p w14:paraId="1846750A">
            <w:pPr>
              <w:autoSpaceDE w:val="0"/>
              <w:autoSpaceDN w:val="0"/>
              <w:adjustRightInd w:val="0"/>
              <w:snapToGrid w:val="0"/>
              <w:spacing w:before="156" w:beforeLines="50" w:line="300" w:lineRule="auto"/>
              <w:jc w:val="left"/>
              <w:rPr>
                <w:rFonts w:ascii="黑体" w:eastAsia="黑体"/>
                <w:kern w:val="0"/>
                <w:sz w:val="24"/>
              </w:rPr>
            </w:pPr>
          </w:p>
        </w:tc>
        <w:tc>
          <w:tcPr>
            <w:tcW w:w="982" w:type="dxa"/>
          </w:tcPr>
          <w:p w14:paraId="6204B588">
            <w:pPr>
              <w:autoSpaceDE w:val="0"/>
              <w:autoSpaceDN w:val="0"/>
              <w:adjustRightInd w:val="0"/>
              <w:snapToGrid w:val="0"/>
              <w:spacing w:before="156" w:beforeLines="50" w:line="300" w:lineRule="auto"/>
              <w:jc w:val="left"/>
              <w:rPr>
                <w:rFonts w:ascii="黑体" w:eastAsia="黑体"/>
                <w:kern w:val="0"/>
                <w:sz w:val="24"/>
              </w:rPr>
            </w:pPr>
          </w:p>
        </w:tc>
        <w:tc>
          <w:tcPr>
            <w:tcW w:w="1217" w:type="dxa"/>
          </w:tcPr>
          <w:p w14:paraId="69B50562">
            <w:pPr>
              <w:autoSpaceDE w:val="0"/>
              <w:autoSpaceDN w:val="0"/>
              <w:adjustRightInd w:val="0"/>
              <w:snapToGrid w:val="0"/>
              <w:spacing w:before="156" w:beforeLines="50" w:line="300" w:lineRule="auto"/>
              <w:jc w:val="left"/>
              <w:rPr>
                <w:rFonts w:ascii="黑体" w:eastAsia="黑体"/>
                <w:kern w:val="0"/>
                <w:sz w:val="24"/>
              </w:rPr>
            </w:pPr>
          </w:p>
        </w:tc>
        <w:tc>
          <w:tcPr>
            <w:tcW w:w="1217" w:type="dxa"/>
          </w:tcPr>
          <w:p w14:paraId="609C7EC7">
            <w:pPr>
              <w:autoSpaceDE w:val="0"/>
              <w:autoSpaceDN w:val="0"/>
              <w:adjustRightInd w:val="0"/>
              <w:snapToGrid w:val="0"/>
              <w:spacing w:before="156" w:beforeLines="50" w:line="300" w:lineRule="auto"/>
              <w:jc w:val="left"/>
              <w:rPr>
                <w:rFonts w:ascii="黑体" w:eastAsia="黑体"/>
                <w:kern w:val="0"/>
                <w:sz w:val="24"/>
              </w:rPr>
            </w:pPr>
          </w:p>
        </w:tc>
        <w:tc>
          <w:tcPr>
            <w:tcW w:w="1844" w:type="dxa"/>
          </w:tcPr>
          <w:p w14:paraId="6EB893FF">
            <w:pPr>
              <w:autoSpaceDE w:val="0"/>
              <w:autoSpaceDN w:val="0"/>
              <w:adjustRightInd w:val="0"/>
              <w:snapToGrid w:val="0"/>
              <w:spacing w:before="156" w:beforeLines="50" w:line="300" w:lineRule="auto"/>
              <w:jc w:val="left"/>
              <w:rPr>
                <w:rFonts w:ascii="黑体" w:eastAsia="黑体"/>
                <w:kern w:val="0"/>
                <w:sz w:val="24"/>
              </w:rPr>
            </w:pPr>
          </w:p>
        </w:tc>
      </w:tr>
      <w:tr w14:paraId="4BE92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69A3A4C">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15BB61A9">
            <w:pPr>
              <w:autoSpaceDE w:val="0"/>
              <w:autoSpaceDN w:val="0"/>
              <w:adjustRightInd w:val="0"/>
              <w:snapToGrid w:val="0"/>
              <w:spacing w:before="156" w:beforeLines="50" w:line="300" w:lineRule="auto"/>
              <w:jc w:val="left"/>
              <w:rPr>
                <w:rFonts w:ascii="黑体" w:eastAsia="黑体"/>
                <w:kern w:val="0"/>
                <w:sz w:val="24"/>
              </w:rPr>
            </w:pPr>
          </w:p>
        </w:tc>
        <w:tc>
          <w:tcPr>
            <w:tcW w:w="1559" w:type="dxa"/>
          </w:tcPr>
          <w:p w14:paraId="509E412C">
            <w:pPr>
              <w:autoSpaceDE w:val="0"/>
              <w:autoSpaceDN w:val="0"/>
              <w:adjustRightInd w:val="0"/>
              <w:snapToGrid w:val="0"/>
              <w:spacing w:before="156" w:beforeLines="50" w:line="300" w:lineRule="auto"/>
              <w:jc w:val="left"/>
              <w:rPr>
                <w:rFonts w:ascii="黑体" w:eastAsia="黑体"/>
                <w:kern w:val="0"/>
                <w:sz w:val="24"/>
              </w:rPr>
            </w:pPr>
          </w:p>
        </w:tc>
        <w:tc>
          <w:tcPr>
            <w:tcW w:w="982" w:type="dxa"/>
          </w:tcPr>
          <w:p w14:paraId="62371856">
            <w:pPr>
              <w:autoSpaceDE w:val="0"/>
              <w:autoSpaceDN w:val="0"/>
              <w:adjustRightInd w:val="0"/>
              <w:snapToGrid w:val="0"/>
              <w:spacing w:before="156" w:beforeLines="50" w:line="300" w:lineRule="auto"/>
              <w:jc w:val="left"/>
              <w:rPr>
                <w:rFonts w:ascii="黑体" w:eastAsia="黑体"/>
                <w:kern w:val="0"/>
                <w:sz w:val="24"/>
              </w:rPr>
            </w:pPr>
          </w:p>
        </w:tc>
        <w:tc>
          <w:tcPr>
            <w:tcW w:w="1217" w:type="dxa"/>
          </w:tcPr>
          <w:p w14:paraId="76AD95E6">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7C5C7FA7">
            <w:pPr>
              <w:autoSpaceDE w:val="0"/>
              <w:autoSpaceDN w:val="0"/>
              <w:adjustRightInd w:val="0"/>
              <w:snapToGrid w:val="0"/>
              <w:spacing w:before="156" w:beforeLines="50" w:line="300" w:lineRule="auto"/>
              <w:jc w:val="left"/>
              <w:rPr>
                <w:rFonts w:ascii="黑体" w:eastAsia="黑体"/>
                <w:b/>
                <w:bCs/>
                <w:kern w:val="0"/>
                <w:sz w:val="24"/>
              </w:rPr>
            </w:pPr>
          </w:p>
        </w:tc>
        <w:tc>
          <w:tcPr>
            <w:tcW w:w="1844" w:type="dxa"/>
          </w:tcPr>
          <w:p w14:paraId="039A277A">
            <w:pPr>
              <w:autoSpaceDE w:val="0"/>
              <w:autoSpaceDN w:val="0"/>
              <w:adjustRightInd w:val="0"/>
              <w:snapToGrid w:val="0"/>
              <w:spacing w:before="156" w:beforeLines="50" w:line="300" w:lineRule="auto"/>
              <w:jc w:val="left"/>
              <w:rPr>
                <w:rFonts w:ascii="黑体" w:eastAsia="黑体"/>
                <w:b/>
                <w:bCs/>
                <w:kern w:val="0"/>
                <w:sz w:val="24"/>
              </w:rPr>
            </w:pPr>
          </w:p>
        </w:tc>
      </w:tr>
      <w:tr w14:paraId="4D865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A5FB355">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546FA85B">
            <w:pPr>
              <w:autoSpaceDE w:val="0"/>
              <w:autoSpaceDN w:val="0"/>
              <w:adjustRightInd w:val="0"/>
              <w:snapToGrid w:val="0"/>
              <w:spacing w:before="156" w:beforeLines="50" w:line="300" w:lineRule="auto"/>
              <w:jc w:val="left"/>
              <w:rPr>
                <w:rFonts w:ascii="黑体" w:eastAsia="黑体"/>
                <w:kern w:val="0"/>
                <w:sz w:val="24"/>
              </w:rPr>
            </w:pPr>
          </w:p>
        </w:tc>
        <w:tc>
          <w:tcPr>
            <w:tcW w:w="1559" w:type="dxa"/>
          </w:tcPr>
          <w:p w14:paraId="5A9A9B26">
            <w:pPr>
              <w:autoSpaceDE w:val="0"/>
              <w:autoSpaceDN w:val="0"/>
              <w:adjustRightInd w:val="0"/>
              <w:snapToGrid w:val="0"/>
              <w:spacing w:before="156" w:beforeLines="50" w:line="300" w:lineRule="auto"/>
              <w:jc w:val="left"/>
              <w:rPr>
                <w:rFonts w:ascii="黑体" w:eastAsia="黑体"/>
                <w:kern w:val="0"/>
                <w:sz w:val="24"/>
              </w:rPr>
            </w:pPr>
          </w:p>
        </w:tc>
        <w:tc>
          <w:tcPr>
            <w:tcW w:w="982" w:type="dxa"/>
          </w:tcPr>
          <w:p w14:paraId="783EF6D0">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228F8CFD">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78209076">
            <w:pPr>
              <w:autoSpaceDE w:val="0"/>
              <w:autoSpaceDN w:val="0"/>
              <w:adjustRightInd w:val="0"/>
              <w:snapToGrid w:val="0"/>
              <w:spacing w:before="156" w:beforeLines="50" w:line="300" w:lineRule="auto"/>
              <w:jc w:val="left"/>
              <w:rPr>
                <w:rFonts w:ascii="黑体" w:eastAsia="黑体"/>
                <w:b/>
                <w:bCs/>
                <w:kern w:val="0"/>
                <w:sz w:val="24"/>
              </w:rPr>
            </w:pPr>
          </w:p>
        </w:tc>
        <w:tc>
          <w:tcPr>
            <w:tcW w:w="1844" w:type="dxa"/>
          </w:tcPr>
          <w:p w14:paraId="1452F4CF">
            <w:pPr>
              <w:autoSpaceDE w:val="0"/>
              <w:autoSpaceDN w:val="0"/>
              <w:adjustRightInd w:val="0"/>
              <w:snapToGrid w:val="0"/>
              <w:spacing w:before="156" w:beforeLines="50" w:line="300" w:lineRule="auto"/>
              <w:jc w:val="left"/>
              <w:rPr>
                <w:rFonts w:ascii="黑体" w:eastAsia="黑体"/>
                <w:b/>
                <w:bCs/>
                <w:kern w:val="0"/>
                <w:sz w:val="24"/>
              </w:rPr>
            </w:pPr>
          </w:p>
        </w:tc>
      </w:tr>
      <w:tr w14:paraId="2776E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61430BA">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3F9E2EF4">
            <w:pPr>
              <w:autoSpaceDE w:val="0"/>
              <w:autoSpaceDN w:val="0"/>
              <w:adjustRightInd w:val="0"/>
              <w:snapToGrid w:val="0"/>
              <w:spacing w:before="156" w:beforeLines="50" w:line="300" w:lineRule="auto"/>
              <w:jc w:val="left"/>
              <w:rPr>
                <w:rFonts w:ascii="黑体" w:eastAsia="黑体"/>
                <w:b/>
                <w:bCs/>
                <w:kern w:val="0"/>
                <w:sz w:val="24"/>
              </w:rPr>
            </w:pPr>
          </w:p>
        </w:tc>
        <w:tc>
          <w:tcPr>
            <w:tcW w:w="1559" w:type="dxa"/>
          </w:tcPr>
          <w:p w14:paraId="327C293F">
            <w:pPr>
              <w:autoSpaceDE w:val="0"/>
              <w:autoSpaceDN w:val="0"/>
              <w:adjustRightInd w:val="0"/>
              <w:snapToGrid w:val="0"/>
              <w:spacing w:before="156" w:beforeLines="50" w:line="300" w:lineRule="auto"/>
              <w:jc w:val="left"/>
              <w:rPr>
                <w:rFonts w:ascii="黑体" w:eastAsia="黑体"/>
                <w:b/>
                <w:bCs/>
                <w:kern w:val="0"/>
                <w:sz w:val="24"/>
              </w:rPr>
            </w:pPr>
          </w:p>
        </w:tc>
        <w:tc>
          <w:tcPr>
            <w:tcW w:w="982" w:type="dxa"/>
          </w:tcPr>
          <w:p w14:paraId="60473139">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263841A8">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573B9DBA">
            <w:pPr>
              <w:autoSpaceDE w:val="0"/>
              <w:autoSpaceDN w:val="0"/>
              <w:adjustRightInd w:val="0"/>
              <w:snapToGrid w:val="0"/>
              <w:spacing w:before="156" w:beforeLines="50" w:line="300" w:lineRule="auto"/>
              <w:jc w:val="left"/>
              <w:rPr>
                <w:rFonts w:ascii="黑体" w:eastAsia="黑体"/>
                <w:b/>
                <w:bCs/>
                <w:kern w:val="0"/>
                <w:sz w:val="24"/>
              </w:rPr>
            </w:pPr>
          </w:p>
        </w:tc>
        <w:tc>
          <w:tcPr>
            <w:tcW w:w="1844" w:type="dxa"/>
          </w:tcPr>
          <w:p w14:paraId="251EBE4A">
            <w:pPr>
              <w:autoSpaceDE w:val="0"/>
              <w:autoSpaceDN w:val="0"/>
              <w:adjustRightInd w:val="0"/>
              <w:snapToGrid w:val="0"/>
              <w:spacing w:before="156" w:beforeLines="50" w:line="300" w:lineRule="auto"/>
              <w:jc w:val="left"/>
              <w:rPr>
                <w:rFonts w:ascii="黑体" w:eastAsia="黑体"/>
                <w:b/>
                <w:bCs/>
                <w:kern w:val="0"/>
                <w:sz w:val="24"/>
              </w:rPr>
            </w:pPr>
          </w:p>
        </w:tc>
      </w:tr>
      <w:tr w14:paraId="679BA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8B8F655">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0ACED481">
            <w:pPr>
              <w:autoSpaceDE w:val="0"/>
              <w:autoSpaceDN w:val="0"/>
              <w:adjustRightInd w:val="0"/>
              <w:snapToGrid w:val="0"/>
              <w:spacing w:before="156" w:beforeLines="50" w:line="300" w:lineRule="auto"/>
              <w:jc w:val="left"/>
              <w:rPr>
                <w:rFonts w:ascii="黑体" w:eastAsia="黑体"/>
                <w:b/>
                <w:bCs/>
                <w:kern w:val="0"/>
                <w:sz w:val="24"/>
              </w:rPr>
            </w:pPr>
          </w:p>
        </w:tc>
        <w:tc>
          <w:tcPr>
            <w:tcW w:w="1559" w:type="dxa"/>
          </w:tcPr>
          <w:p w14:paraId="3BBB0020">
            <w:pPr>
              <w:autoSpaceDE w:val="0"/>
              <w:autoSpaceDN w:val="0"/>
              <w:adjustRightInd w:val="0"/>
              <w:snapToGrid w:val="0"/>
              <w:spacing w:before="156" w:beforeLines="50" w:line="300" w:lineRule="auto"/>
              <w:jc w:val="left"/>
              <w:rPr>
                <w:rFonts w:ascii="黑体" w:eastAsia="黑体"/>
                <w:b/>
                <w:bCs/>
                <w:kern w:val="0"/>
                <w:sz w:val="24"/>
              </w:rPr>
            </w:pPr>
          </w:p>
        </w:tc>
        <w:tc>
          <w:tcPr>
            <w:tcW w:w="982" w:type="dxa"/>
          </w:tcPr>
          <w:p w14:paraId="1000AC5C">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04E10C02">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48966040">
            <w:pPr>
              <w:autoSpaceDE w:val="0"/>
              <w:autoSpaceDN w:val="0"/>
              <w:adjustRightInd w:val="0"/>
              <w:snapToGrid w:val="0"/>
              <w:spacing w:before="156" w:beforeLines="50" w:line="300" w:lineRule="auto"/>
              <w:jc w:val="left"/>
              <w:rPr>
                <w:rFonts w:ascii="黑体" w:eastAsia="黑体"/>
                <w:b/>
                <w:bCs/>
                <w:kern w:val="0"/>
                <w:sz w:val="24"/>
              </w:rPr>
            </w:pPr>
          </w:p>
        </w:tc>
        <w:tc>
          <w:tcPr>
            <w:tcW w:w="1844" w:type="dxa"/>
          </w:tcPr>
          <w:p w14:paraId="4BF74194">
            <w:pPr>
              <w:autoSpaceDE w:val="0"/>
              <w:autoSpaceDN w:val="0"/>
              <w:adjustRightInd w:val="0"/>
              <w:snapToGrid w:val="0"/>
              <w:spacing w:before="156" w:beforeLines="50" w:line="300" w:lineRule="auto"/>
              <w:jc w:val="left"/>
              <w:rPr>
                <w:rFonts w:ascii="黑体" w:eastAsia="黑体"/>
                <w:b/>
                <w:bCs/>
                <w:kern w:val="0"/>
                <w:sz w:val="24"/>
              </w:rPr>
            </w:pPr>
          </w:p>
        </w:tc>
      </w:tr>
      <w:tr w14:paraId="0B8C1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A1A9390">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489BEF14">
            <w:pPr>
              <w:autoSpaceDE w:val="0"/>
              <w:autoSpaceDN w:val="0"/>
              <w:adjustRightInd w:val="0"/>
              <w:snapToGrid w:val="0"/>
              <w:spacing w:before="156" w:beforeLines="50" w:line="300" w:lineRule="auto"/>
              <w:jc w:val="left"/>
              <w:rPr>
                <w:rFonts w:ascii="黑体" w:eastAsia="黑体"/>
                <w:b/>
                <w:bCs/>
                <w:kern w:val="0"/>
                <w:sz w:val="24"/>
              </w:rPr>
            </w:pPr>
          </w:p>
        </w:tc>
        <w:tc>
          <w:tcPr>
            <w:tcW w:w="1559" w:type="dxa"/>
          </w:tcPr>
          <w:p w14:paraId="212F9E18">
            <w:pPr>
              <w:autoSpaceDE w:val="0"/>
              <w:autoSpaceDN w:val="0"/>
              <w:adjustRightInd w:val="0"/>
              <w:snapToGrid w:val="0"/>
              <w:spacing w:before="156" w:beforeLines="50" w:line="300" w:lineRule="auto"/>
              <w:jc w:val="left"/>
              <w:rPr>
                <w:rFonts w:ascii="黑体" w:eastAsia="黑体"/>
                <w:b/>
                <w:bCs/>
                <w:kern w:val="0"/>
                <w:sz w:val="24"/>
              </w:rPr>
            </w:pPr>
          </w:p>
        </w:tc>
        <w:tc>
          <w:tcPr>
            <w:tcW w:w="982" w:type="dxa"/>
          </w:tcPr>
          <w:p w14:paraId="3AD0D1AA">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78084384">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70131A35">
            <w:pPr>
              <w:autoSpaceDE w:val="0"/>
              <w:autoSpaceDN w:val="0"/>
              <w:adjustRightInd w:val="0"/>
              <w:snapToGrid w:val="0"/>
              <w:spacing w:before="156" w:beforeLines="50" w:line="300" w:lineRule="auto"/>
              <w:jc w:val="left"/>
              <w:rPr>
                <w:rFonts w:ascii="黑体" w:eastAsia="黑体"/>
                <w:b/>
                <w:bCs/>
                <w:kern w:val="0"/>
                <w:sz w:val="24"/>
              </w:rPr>
            </w:pPr>
          </w:p>
        </w:tc>
        <w:tc>
          <w:tcPr>
            <w:tcW w:w="1844" w:type="dxa"/>
          </w:tcPr>
          <w:p w14:paraId="27E15BD1">
            <w:pPr>
              <w:autoSpaceDE w:val="0"/>
              <w:autoSpaceDN w:val="0"/>
              <w:adjustRightInd w:val="0"/>
              <w:snapToGrid w:val="0"/>
              <w:spacing w:before="156" w:beforeLines="50" w:line="300" w:lineRule="auto"/>
              <w:jc w:val="left"/>
              <w:rPr>
                <w:rFonts w:ascii="黑体" w:eastAsia="黑体"/>
                <w:b/>
                <w:bCs/>
                <w:kern w:val="0"/>
                <w:sz w:val="24"/>
              </w:rPr>
            </w:pPr>
          </w:p>
        </w:tc>
      </w:tr>
      <w:tr w14:paraId="33C9C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978B3C3">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46950A18">
            <w:pPr>
              <w:autoSpaceDE w:val="0"/>
              <w:autoSpaceDN w:val="0"/>
              <w:adjustRightInd w:val="0"/>
              <w:snapToGrid w:val="0"/>
              <w:spacing w:before="156" w:beforeLines="50" w:line="300" w:lineRule="auto"/>
              <w:jc w:val="left"/>
              <w:rPr>
                <w:rFonts w:ascii="黑体" w:eastAsia="黑体"/>
                <w:b/>
                <w:bCs/>
                <w:kern w:val="0"/>
                <w:sz w:val="24"/>
              </w:rPr>
            </w:pPr>
          </w:p>
        </w:tc>
        <w:tc>
          <w:tcPr>
            <w:tcW w:w="1559" w:type="dxa"/>
          </w:tcPr>
          <w:p w14:paraId="5EB114C8">
            <w:pPr>
              <w:autoSpaceDE w:val="0"/>
              <w:autoSpaceDN w:val="0"/>
              <w:adjustRightInd w:val="0"/>
              <w:snapToGrid w:val="0"/>
              <w:spacing w:before="156" w:beforeLines="50" w:line="300" w:lineRule="auto"/>
              <w:jc w:val="left"/>
              <w:rPr>
                <w:rFonts w:ascii="黑体" w:eastAsia="黑体"/>
                <w:b/>
                <w:bCs/>
                <w:kern w:val="0"/>
                <w:sz w:val="24"/>
              </w:rPr>
            </w:pPr>
          </w:p>
        </w:tc>
        <w:tc>
          <w:tcPr>
            <w:tcW w:w="982" w:type="dxa"/>
          </w:tcPr>
          <w:p w14:paraId="4A77233C">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578F81D2">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37744B01">
            <w:pPr>
              <w:autoSpaceDE w:val="0"/>
              <w:autoSpaceDN w:val="0"/>
              <w:adjustRightInd w:val="0"/>
              <w:snapToGrid w:val="0"/>
              <w:spacing w:before="156" w:beforeLines="50" w:line="300" w:lineRule="auto"/>
              <w:jc w:val="left"/>
              <w:rPr>
                <w:rFonts w:ascii="黑体" w:eastAsia="黑体"/>
                <w:b/>
                <w:bCs/>
                <w:kern w:val="0"/>
                <w:sz w:val="24"/>
              </w:rPr>
            </w:pPr>
          </w:p>
        </w:tc>
        <w:tc>
          <w:tcPr>
            <w:tcW w:w="1844" w:type="dxa"/>
          </w:tcPr>
          <w:p w14:paraId="036E268E">
            <w:pPr>
              <w:autoSpaceDE w:val="0"/>
              <w:autoSpaceDN w:val="0"/>
              <w:adjustRightInd w:val="0"/>
              <w:snapToGrid w:val="0"/>
              <w:spacing w:before="156" w:beforeLines="50" w:line="300" w:lineRule="auto"/>
              <w:jc w:val="left"/>
              <w:rPr>
                <w:rFonts w:ascii="黑体" w:eastAsia="黑体"/>
                <w:b/>
                <w:bCs/>
                <w:kern w:val="0"/>
                <w:sz w:val="24"/>
              </w:rPr>
            </w:pPr>
          </w:p>
        </w:tc>
      </w:tr>
      <w:tr w14:paraId="6D3C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F5B7AAC">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537E04E8">
            <w:pPr>
              <w:autoSpaceDE w:val="0"/>
              <w:autoSpaceDN w:val="0"/>
              <w:adjustRightInd w:val="0"/>
              <w:snapToGrid w:val="0"/>
              <w:spacing w:before="156" w:beforeLines="50" w:line="300" w:lineRule="auto"/>
              <w:jc w:val="left"/>
              <w:rPr>
                <w:rFonts w:ascii="黑体" w:eastAsia="黑体"/>
                <w:b/>
                <w:bCs/>
                <w:kern w:val="0"/>
                <w:sz w:val="24"/>
              </w:rPr>
            </w:pPr>
          </w:p>
        </w:tc>
        <w:tc>
          <w:tcPr>
            <w:tcW w:w="1559" w:type="dxa"/>
          </w:tcPr>
          <w:p w14:paraId="248F0BC1">
            <w:pPr>
              <w:autoSpaceDE w:val="0"/>
              <w:autoSpaceDN w:val="0"/>
              <w:adjustRightInd w:val="0"/>
              <w:snapToGrid w:val="0"/>
              <w:spacing w:before="156" w:beforeLines="50" w:line="300" w:lineRule="auto"/>
              <w:jc w:val="left"/>
              <w:rPr>
                <w:rFonts w:ascii="黑体" w:eastAsia="黑体"/>
                <w:b/>
                <w:bCs/>
                <w:kern w:val="0"/>
                <w:sz w:val="24"/>
              </w:rPr>
            </w:pPr>
          </w:p>
        </w:tc>
        <w:tc>
          <w:tcPr>
            <w:tcW w:w="982" w:type="dxa"/>
          </w:tcPr>
          <w:p w14:paraId="1EC2ABEE">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2D4A8182">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1E572CF9">
            <w:pPr>
              <w:autoSpaceDE w:val="0"/>
              <w:autoSpaceDN w:val="0"/>
              <w:adjustRightInd w:val="0"/>
              <w:snapToGrid w:val="0"/>
              <w:spacing w:before="156" w:beforeLines="50" w:line="300" w:lineRule="auto"/>
              <w:jc w:val="left"/>
              <w:rPr>
                <w:rFonts w:ascii="黑体" w:eastAsia="黑体"/>
                <w:b/>
                <w:bCs/>
                <w:kern w:val="0"/>
                <w:sz w:val="24"/>
              </w:rPr>
            </w:pPr>
          </w:p>
        </w:tc>
        <w:tc>
          <w:tcPr>
            <w:tcW w:w="1844" w:type="dxa"/>
          </w:tcPr>
          <w:p w14:paraId="116510A5">
            <w:pPr>
              <w:autoSpaceDE w:val="0"/>
              <w:autoSpaceDN w:val="0"/>
              <w:adjustRightInd w:val="0"/>
              <w:snapToGrid w:val="0"/>
              <w:spacing w:before="156" w:beforeLines="50" w:line="300" w:lineRule="auto"/>
              <w:jc w:val="left"/>
              <w:rPr>
                <w:rFonts w:ascii="黑体" w:eastAsia="黑体"/>
                <w:b/>
                <w:bCs/>
                <w:kern w:val="0"/>
                <w:sz w:val="24"/>
              </w:rPr>
            </w:pPr>
          </w:p>
        </w:tc>
      </w:tr>
      <w:tr w14:paraId="0A61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CBC3025">
            <w:pPr>
              <w:autoSpaceDE w:val="0"/>
              <w:autoSpaceDN w:val="0"/>
              <w:adjustRightInd w:val="0"/>
              <w:snapToGrid w:val="0"/>
              <w:spacing w:before="156" w:beforeLines="50" w:line="300" w:lineRule="auto"/>
              <w:jc w:val="left"/>
              <w:rPr>
                <w:rFonts w:ascii="黑体" w:eastAsia="黑体"/>
                <w:kern w:val="0"/>
                <w:sz w:val="24"/>
              </w:rPr>
            </w:pPr>
          </w:p>
        </w:tc>
        <w:tc>
          <w:tcPr>
            <w:tcW w:w="1794" w:type="dxa"/>
          </w:tcPr>
          <w:p w14:paraId="1A8FD07D">
            <w:pPr>
              <w:autoSpaceDE w:val="0"/>
              <w:autoSpaceDN w:val="0"/>
              <w:adjustRightInd w:val="0"/>
              <w:snapToGrid w:val="0"/>
              <w:spacing w:before="156" w:beforeLines="50" w:line="300" w:lineRule="auto"/>
              <w:jc w:val="left"/>
              <w:rPr>
                <w:rFonts w:ascii="黑体" w:eastAsia="黑体"/>
                <w:b/>
                <w:bCs/>
                <w:kern w:val="0"/>
                <w:sz w:val="24"/>
              </w:rPr>
            </w:pPr>
          </w:p>
        </w:tc>
        <w:tc>
          <w:tcPr>
            <w:tcW w:w="1559" w:type="dxa"/>
          </w:tcPr>
          <w:p w14:paraId="1A3E051C">
            <w:pPr>
              <w:autoSpaceDE w:val="0"/>
              <w:autoSpaceDN w:val="0"/>
              <w:adjustRightInd w:val="0"/>
              <w:snapToGrid w:val="0"/>
              <w:spacing w:before="156" w:beforeLines="50" w:line="300" w:lineRule="auto"/>
              <w:jc w:val="left"/>
              <w:rPr>
                <w:rFonts w:ascii="黑体" w:eastAsia="黑体"/>
                <w:b/>
                <w:bCs/>
                <w:kern w:val="0"/>
                <w:sz w:val="24"/>
              </w:rPr>
            </w:pPr>
          </w:p>
        </w:tc>
        <w:tc>
          <w:tcPr>
            <w:tcW w:w="982" w:type="dxa"/>
          </w:tcPr>
          <w:p w14:paraId="5856B167">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10E09908">
            <w:pPr>
              <w:autoSpaceDE w:val="0"/>
              <w:autoSpaceDN w:val="0"/>
              <w:adjustRightInd w:val="0"/>
              <w:snapToGrid w:val="0"/>
              <w:spacing w:before="156" w:beforeLines="50" w:line="300" w:lineRule="auto"/>
              <w:jc w:val="left"/>
              <w:rPr>
                <w:rFonts w:ascii="黑体" w:eastAsia="黑体"/>
                <w:b/>
                <w:bCs/>
                <w:kern w:val="0"/>
                <w:sz w:val="24"/>
              </w:rPr>
            </w:pPr>
          </w:p>
        </w:tc>
        <w:tc>
          <w:tcPr>
            <w:tcW w:w="1217" w:type="dxa"/>
          </w:tcPr>
          <w:p w14:paraId="135B8EDE">
            <w:pPr>
              <w:autoSpaceDE w:val="0"/>
              <w:autoSpaceDN w:val="0"/>
              <w:adjustRightInd w:val="0"/>
              <w:snapToGrid w:val="0"/>
              <w:spacing w:before="156" w:beforeLines="50" w:line="300" w:lineRule="auto"/>
              <w:jc w:val="left"/>
              <w:rPr>
                <w:rFonts w:ascii="黑体" w:eastAsia="黑体"/>
                <w:b/>
                <w:bCs/>
                <w:kern w:val="0"/>
                <w:sz w:val="24"/>
              </w:rPr>
            </w:pPr>
          </w:p>
        </w:tc>
        <w:tc>
          <w:tcPr>
            <w:tcW w:w="1844" w:type="dxa"/>
          </w:tcPr>
          <w:p w14:paraId="3A848EA6">
            <w:pPr>
              <w:autoSpaceDE w:val="0"/>
              <w:autoSpaceDN w:val="0"/>
              <w:adjustRightInd w:val="0"/>
              <w:snapToGrid w:val="0"/>
              <w:spacing w:before="156" w:beforeLines="50" w:line="300" w:lineRule="auto"/>
              <w:jc w:val="left"/>
              <w:rPr>
                <w:rFonts w:ascii="黑体" w:eastAsia="黑体"/>
                <w:b/>
                <w:bCs/>
                <w:kern w:val="0"/>
                <w:sz w:val="24"/>
              </w:rPr>
            </w:pPr>
          </w:p>
        </w:tc>
      </w:tr>
    </w:tbl>
    <w:p w14:paraId="52A2A93C">
      <w:pPr>
        <w:ind w:firstLine="240" w:firstLineChars="100"/>
        <w:rPr>
          <w:rFonts w:ascii="宋体" w:hAnsi="宋体"/>
          <w:sz w:val="24"/>
        </w:rPr>
      </w:pPr>
    </w:p>
    <w:p w14:paraId="454333A5">
      <w:pPr>
        <w:ind w:firstLine="240" w:firstLineChars="100"/>
        <w:rPr>
          <w:rFonts w:ascii="宋体" w:hAnsi="宋体"/>
          <w:sz w:val="24"/>
          <w:u w:val="single"/>
        </w:rPr>
      </w:pPr>
      <w:r>
        <w:rPr>
          <w:rFonts w:hint="eastAsia" w:ascii="宋体" w:hAnsi="宋体"/>
          <w:sz w:val="24"/>
        </w:rPr>
        <w:t>总计：人民币元</w:t>
      </w:r>
    </w:p>
    <w:p w14:paraId="3E211A68">
      <w:pPr>
        <w:spacing w:line="360" w:lineRule="auto"/>
        <w:ind w:firstLine="240" w:firstLineChars="100"/>
        <w:rPr>
          <w:rFonts w:ascii="Times New Roman" w:hAnsi="Times New Roman" w:eastAsia="宋体" w:cs="Times New Roman"/>
          <w:kern w:val="0"/>
          <w:sz w:val="24"/>
        </w:rPr>
      </w:pPr>
    </w:p>
    <w:p w14:paraId="16FEDCFA">
      <w:pPr>
        <w:spacing w:line="360" w:lineRule="auto"/>
        <w:ind w:firstLine="240" w:firstLineChars="100"/>
        <w:rPr>
          <w:rFonts w:ascii="宋体" w:hAnsi="Arial" w:cs="宋体"/>
          <w:kern w:val="0"/>
          <w:sz w:val="24"/>
        </w:rPr>
      </w:pPr>
      <w:r>
        <w:rPr>
          <w:rFonts w:ascii="Times New Roman" w:hAnsi="Times New Roman" w:eastAsia="宋体" w:cs="Times New Roman"/>
          <w:kern w:val="0"/>
          <w:sz w:val="24"/>
        </w:rPr>
        <w:t>注：1、</w:t>
      </w:r>
      <w:r>
        <w:rPr>
          <w:rFonts w:hint="eastAsia" w:ascii="宋体" w:hAnsi="Arial" w:cs="宋体"/>
          <w:kern w:val="0"/>
          <w:sz w:val="24"/>
        </w:rPr>
        <w:t>项目报价应该包括报价人认为能完成本项目的所有报价项目（包括但不限于人工费、差旅费、咨询费、委托专家等第三方相关费用、保险、税金、利润等全部费用）的费用</w:t>
      </w:r>
      <w:r>
        <w:rPr>
          <w:rFonts w:ascii="宋体" w:hAnsi="Arial" w:cs="宋体"/>
          <w:kern w:val="0"/>
          <w:sz w:val="24"/>
        </w:rPr>
        <w:t>。</w:t>
      </w:r>
    </w:p>
    <w:p w14:paraId="4A702A74">
      <w:pPr>
        <w:pStyle w:val="29"/>
        <w:tabs>
          <w:tab w:val="left" w:pos="4524"/>
        </w:tabs>
        <w:ind w:firstLine="600" w:firstLineChars="250"/>
        <w:rPr>
          <w:rFonts w:ascii="Times New Roman" w:hAnsi="Times New Roman" w:eastAsia="宋体" w:cs="Times New Roman"/>
          <w:kern w:val="0"/>
        </w:rPr>
      </w:pPr>
      <w:r>
        <w:rPr>
          <w:rFonts w:ascii="Times New Roman" w:hAnsi="Times New Roman" w:eastAsia="宋体" w:cs="Times New Roman"/>
        </w:rPr>
        <w:t>2、</w:t>
      </w:r>
      <w:r>
        <w:rPr>
          <w:rFonts w:ascii="Times New Roman" w:hAnsi="Times New Roman" w:eastAsia="宋体" w:cs="Times New Roman"/>
          <w:kern w:val="0"/>
        </w:rPr>
        <w:t>表格不够可以自行加页</w:t>
      </w:r>
      <w:r>
        <w:rPr>
          <w:rFonts w:hint="eastAsia" w:ascii="Times New Roman" w:hAnsi="Times New Roman" w:eastAsia="宋体" w:cs="Times New Roman"/>
          <w:kern w:val="0"/>
        </w:rPr>
        <w:t>。</w:t>
      </w:r>
      <w:r>
        <w:rPr>
          <w:rFonts w:ascii="Times New Roman" w:hAnsi="Times New Roman" w:eastAsia="宋体" w:cs="Times New Roman"/>
          <w:kern w:val="0"/>
        </w:rPr>
        <w:tab/>
      </w:r>
    </w:p>
    <w:p w14:paraId="4C19707E">
      <w:pPr>
        <w:spacing w:line="360" w:lineRule="auto"/>
        <w:ind w:firstLine="240" w:firstLineChars="100"/>
        <w:rPr>
          <w:sz w:val="24"/>
        </w:rPr>
      </w:pPr>
    </w:p>
    <w:p w14:paraId="06FD6F23">
      <w:pPr>
        <w:spacing w:line="360" w:lineRule="auto"/>
        <w:ind w:firstLine="240" w:firstLineChars="100"/>
        <w:rPr>
          <w:rFonts w:ascii="宋体" w:hAnsi="宋体"/>
          <w:sz w:val="24"/>
          <w:u w:val="single"/>
        </w:rPr>
      </w:pPr>
      <w:r>
        <w:rPr>
          <w:rFonts w:hint="eastAsia" w:ascii="宋体" w:hAnsi="宋体"/>
          <w:sz w:val="24"/>
        </w:rPr>
        <w:t>报价人全称（公章）：</w:t>
      </w:r>
    </w:p>
    <w:p w14:paraId="439D51A1">
      <w:pPr>
        <w:spacing w:line="360" w:lineRule="auto"/>
        <w:ind w:firstLine="240" w:firstLineChars="100"/>
        <w:rPr>
          <w:rFonts w:ascii="宋体" w:hAnsi="宋体"/>
          <w:sz w:val="24"/>
          <w:u w:val="single"/>
        </w:rPr>
      </w:pPr>
      <w:r>
        <w:rPr>
          <w:rFonts w:hint="eastAsia"/>
          <w:sz w:val="24"/>
        </w:rPr>
        <w:t>法定代表人或授权</w:t>
      </w:r>
      <w:r>
        <w:rPr>
          <w:rFonts w:hint="eastAsia" w:ascii="宋体" w:hAnsi="宋体"/>
          <w:sz w:val="24"/>
        </w:rPr>
        <w:t>代表签字：</w:t>
      </w:r>
    </w:p>
    <w:p w14:paraId="05516502">
      <w:pPr>
        <w:spacing w:line="360" w:lineRule="auto"/>
        <w:ind w:firstLine="240" w:firstLineChars="100"/>
        <w:rPr>
          <w:rFonts w:ascii="宋体" w:hAnsi="宋体"/>
          <w:sz w:val="24"/>
          <w:u w:val="single"/>
        </w:rPr>
      </w:pPr>
      <w:r>
        <w:rPr>
          <w:rFonts w:hint="eastAsia" w:ascii="宋体" w:hAnsi="宋体"/>
          <w:sz w:val="24"/>
        </w:rPr>
        <w:t>日期：</w:t>
      </w:r>
    </w:p>
    <w:p w14:paraId="1E9CB733">
      <w:pPr>
        <w:spacing w:line="360" w:lineRule="auto"/>
        <w:ind w:firstLine="240" w:firstLineChars="100"/>
        <w:rPr>
          <w:rFonts w:ascii="Times New Roman" w:hAnsi="Times New Roman" w:eastAsia="宋体" w:cs="Times New Roman"/>
          <w:sz w:val="24"/>
        </w:rPr>
      </w:pPr>
    </w:p>
    <w:p w14:paraId="7D2CDF37">
      <w:pPr>
        <w:spacing w:line="360" w:lineRule="auto"/>
        <w:ind w:firstLine="240" w:firstLineChars="100"/>
        <w:rPr>
          <w:rFonts w:ascii="Times New Roman" w:hAnsi="Times New Roman" w:eastAsia="宋体" w:cs="Times New Roman"/>
          <w:sz w:val="24"/>
        </w:rPr>
      </w:pPr>
    </w:p>
    <w:p w14:paraId="3D7C29F5">
      <w:pPr>
        <w:spacing w:line="360" w:lineRule="auto"/>
        <w:ind w:firstLine="240" w:firstLineChars="100"/>
        <w:rPr>
          <w:rFonts w:ascii="Times New Roman" w:hAnsi="Times New Roman" w:eastAsia="宋体" w:cs="Times New Roman"/>
          <w:sz w:val="24"/>
        </w:rPr>
      </w:pPr>
    </w:p>
    <w:p w14:paraId="5F6261E9">
      <w:pPr>
        <w:pStyle w:val="4"/>
        <w:numPr>
          <w:ilvl w:val="5"/>
          <w:numId w:val="0"/>
        </w:numPr>
        <w:jc w:val="center"/>
        <w:rPr>
          <w:rFonts w:ascii="Times New Roman" w:hAnsi="Times New Roman" w:eastAsia="宋体" w:cs="Times New Roman"/>
          <w:sz w:val="24"/>
          <w:u w:val="single"/>
        </w:rPr>
      </w:pPr>
      <w:bookmarkStart w:id="65" w:name="_Toc103068854"/>
      <w:r>
        <w:rPr>
          <w:rFonts w:hint="eastAsia" w:ascii="Times New Roman" w:hAnsi="Times New Roman" w:eastAsia="宋体" w:cs="Times New Roman"/>
          <w:sz w:val="28"/>
          <w:szCs w:val="28"/>
        </w:rPr>
        <w:t>附件五</w:t>
      </w:r>
      <w:bookmarkStart w:id="66" w:name="_Toc499216491"/>
      <w:r>
        <w:rPr>
          <w:rFonts w:ascii="Times New Roman" w:hAnsi="Times New Roman" w:eastAsia="宋体" w:cs="Times New Roman"/>
          <w:sz w:val="28"/>
          <w:szCs w:val="28"/>
        </w:rPr>
        <w:t>报价人资格声明</w:t>
      </w:r>
      <w:bookmarkEnd w:id="65"/>
      <w:bookmarkEnd w:id="66"/>
    </w:p>
    <w:p w14:paraId="5C53138A">
      <w:pPr>
        <w:spacing w:before="60" w:after="60"/>
        <w:rPr>
          <w:rFonts w:ascii="宋体" w:hAnsi="宋体"/>
          <w:szCs w:val="21"/>
        </w:rPr>
      </w:pPr>
      <w:bookmarkStart w:id="67" w:name="_Toc145215446"/>
      <w:bookmarkStart w:id="68" w:name="_Toc499216495"/>
      <w:bookmarkStart w:id="69" w:name="_Toc150737675"/>
      <w:bookmarkStart w:id="70" w:name="_Toc201641339"/>
      <w:r>
        <w:rPr>
          <w:rFonts w:hint="eastAsia" w:ascii="宋体" w:hAnsi="宋体"/>
          <w:szCs w:val="21"/>
        </w:rPr>
        <w:t>1、名称及基本情况：</w:t>
      </w:r>
    </w:p>
    <w:p w14:paraId="7A21848C">
      <w:pPr>
        <w:spacing w:before="100" w:after="100"/>
        <w:rPr>
          <w:rFonts w:ascii="宋体" w:hAnsi="宋体"/>
          <w:szCs w:val="21"/>
        </w:rPr>
      </w:pPr>
      <w:r>
        <w:rPr>
          <w:rFonts w:hint="eastAsia" w:ascii="宋体" w:hAnsi="宋体"/>
          <w:szCs w:val="21"/>
        </w:rPr>
        <w:t>（1）报价人全称：</w:t>
      </w:r>
    </w:p>
    <w:p w14:paraId="72E6F2E1">
      <w:pPr>
        <w:tabs>
          <w:tab w:val="left" w:pos="4320"/>
        </w:tabs>
        <w:spacing w:before="100" w:after="100"/>
        <w:rPr>
          <w:rFonts w:ascii="宋体" w:hAnsi="宋体"/>
          <w:szCs w:val="21"/>
        </w:rPr>
      </w:pPr>
      <w:r>
        <w:rPr>
          <w:rFonts w:hint="eastAsia" w:ascii="宋体" w:hAnsi="宋体"/>
          <w:szCs w:val="21"/>
        </w:rPr>
        <w:t>（2）地址：</w:t>
      </w:r>
      <w:r>
        <w:rPr>
          <w:rFonts w:hint="eastAsia" w:ascii="宋体" w:hAnsi="宋体"/>
          <w:szCs w:val="21"/>
        </w:rPr>
        <w:tab/>
      </w:r>
      <w:r>
        <w:rPr>
          <w:rFonts w:hint="eastAsia" w:ascii="宋体" w:hAnsi="宋体"/>
          <w:szCs w:val="21"/>
        </w:rPr>
        <w:t>邮编：</w:t>
      </w:r>
    </w:p>
    <w:p w14:paraId="2100A40A">
      <w:pPr>
        <w:tabs>
          <w:tab w:val="left" w:pos="600"/>
          <w:tab w:val="left" w:pos="4320"/>
        </w:tabs>
        <w:spacing w:before="100" w:after="100"/>
        <w:ind w:firstLine="525" w:firstLineChars="250"/>
        <w:rPr>
          <w:rFonts w:ascii="宋体" w:hAnsi="宋体"/>
          <w:szCs w:val="21"/>
        </w:rPr>
      </w:pPr>
      <w:r>
        <w:rPr>
          <w:rFonts w:hint="eastAsia" w:ascii="宋体" w:hAnsi="宋体"/>
          <w:szCs w:val="21"/>
        </w:rPr>
        <w:t>电话：  传真：</w:t>
      </w:r>
    </w:p>
    <w:p w14:paraId="30A1E8AD">
      <w:pPr>
        <w:spacing w:before="100" w:after="100"/>
        <w:rPr>
          <w:rFonts w:ascii="宋体" w:hAnsi="宋体"/>
          <w:szCs w:val="21"/>
          <w:u w:val="single"/>
        </w:rPr>
      </w:pPr>
      <w:r>
        <w:rPr>
          <w:rFonts w:hint="eastAsia" w:ascii="宋体" w:hAnsi="宋体"/>
          <w:szCs w:val="21"/>
        </w:rPr>
        <w:t>（3）成立和/或注册日期：</w:t>
      </w:r>
    </w:p>
    <w:p w14:paraId="4E6814E8">
      <w:pPr>
        <w:spacing w:before="100" w:after="100"/>
        <w:rPr>
          <w:rFonts w:ascii="宋体" w:hAnsi="宋体"/>
          <w:szCs w:val="21"/>
        </w:rPr>
      </w:pPr>
      <w:r>
        <w:rPr>
          <w:rFonts w:hint="eastAsia" w:ascii="宋体" w:hAnsi="宋体"/>
          <w:szCs w:val="21"/>
        </w:rPr>
        <w:t>（4）公司性质：</w:t>
      </w:r>
    </w:p>
    <w:p w14:paraId="09F6DCE1">
      <w:pPr>
        <w:spacing w:before="100" w:after="100"/>
        <w:rPr>
          <w:rFonts w:ascii="宋体" w:hAnsi="宋体"/>
          <w:szCs w:val="21"/>
        </w:rPr>
      </w:pPr>
      <w:r>
        <w:rPr>
          <w:rFonts w:hint="eastAsia" w:ascii="宋体" w:hAnsi="宋体"/>
          <w:szCs w:val="21"/>
        </w:rPr>
        <w:t>（5）法定代表人：</w:t>
      </w:r>
    </w:p>
    <w:p w14:paraId="5E8459FC">
      <w:pPr>
        <w:spacing w:before="100" w:after="100"/>
        <w:rPr>
          <w:rFonts w:ascii="宋体" w:hAnsi="宋体"/>
          <w:szCs w:val="21"/>
          <w:u w:val="single"/>
        </w:rPr>
      </w:pPr>
      <w:r>
        <w:rPr>
          <w:rFonts w:hint="eastAsia" w:ascii="宋体" w:hAnsi="宋体"/>
          <w:szCs w:val="21"/>
        </w:rPr>
        <w:t>（6）职员人数：</w:t>
      </w:r>
    </w:p>
    <w:p w14:paraId="167D05DF">
      <w:pPr>
        <w:spacing w:before="100" w:after="100"/>
        <w:rPr>
          <w:rFonts w:ascii="宋体" w:hAnsi="宋体"/>
          <w:szCs w:val="21"/>
          <w:u w:val="single"/>
        </w:rPr>
      </w:pPr>
      <w:r>
        <w:rPr>
          <w:rFonts w:hint="eastAsia" w:ascii="宋体" w:hAnsi="宋体"/>
          <w:szCs w:val="21"/>
        </w:rPr>
        <w:t>（7）专业技术人员人数：</w:t>
      </w:r>
    </w:p>
    <w:p w14:paraId="5556F003">
      <w:pPr>
        <w:spacing w:before="100" w:after="100"/>
        <w:rPr>
          <w:rFonts w:ascii="宋体" w:hAnsi="宋体"/>
          <w:szCs w:val="21"/>
          <w:u w:val="single"/>
        </w:rPr>
      </w:pPr>
      <w:r>
        <w:rPr>
          <w:rFonts w:hint="eastAsia" w:ascii="宋体" w:hAnsi="宋体"/>
          <w:szCs w:val="21"/>
        </w:rPr>
        <w:t>（7）注册资本：</w:t>
      </w:r>
    </w:p>
    <w:p w14:paraId="03427F2E">
      <w:pPr>
        <w:spacing w:before="100" w:after="100"/>
        <w:rPr>
          <w:rFonts w:ascii="宋体" w:hAnsi="宋体"/>
          <w:szCs w:val="21"/>
          <w:u w:val="single"/>
        </w:rPr>
      </w:pPr>
      <w:r>
        <w:rPr>
          <w:rFonts w:hint="eastAsia" w:ascii="宋体" w:hAnsi="宋体"/>
          <w:szCs w:val="21"/>
        </w:rPr>
        <w:t>（8）实收资本：</w:t>
      </w:r>
    </w:p>
    <w:p w14:paraId="2915C441">
      <w:pPr>
        <w:spacing w:before="100" w:after="100"/>
        <w:rPr>
          <w:rFonts w:ascii="宋体" w:hAnsi="宋体"/>
          <w:szCs w:val="21"/>
        </w:rPr>
      </w:pPr>
      <w:r>
        <w:rPr>
          <w:rFonts w:hint="eastAsia" w:ascii="宋体" w:hAnsi="宋体"/>
          <w:szCs w:val="21"/>
        </w:rPr>
        <w:t>（9）近一年资产负债表：</w:t>
      </w:r>
    </w:p>
    <w:p w14:paraId="4316C277">
      <w:pPr>
        <w:spacing w:before="100" w:after="100"/>
        <w:ind w:firstLine="240"/>
        <w:rPr>
          <w:rFonts w:ascii="宋体" w:hAnsi="宋体"/>
          <w:szCs w:val="21"/>
        </w:rPr>
      </w:pPr>
      <w:r>
        <w:rPr>
          <w:rFonts w:hint="eastAsia" w:ascii="宋体" w:hAnsi="宋体"/>
          <w:szCs w:val="21"/>
        </w:rPr>
        <w:t>&lt;1&gt; 固定资产：</w:t>
      </w:r>
    </w:p>
    <w:p w14:paraId="5B2F1955">
      <w:pPr>
        <w:spacing w:before="100" w:after="100"/>
        <w:ind w:firstLine="240"/>
        <w:rPr>
          <w:rFonts w:ascii="宋体" w:hAnsi="宋体"/>
          <w:szCs w:val="21"/>
        </w:rPr>
      </w:pPr>
      <w:r>
        <w:rPr>
          <w:rFonts w:hint="eastAsia" w:ascii="宋体" w:hAnsi="宋体"/>
          <w:szCs w:val="21"/>
        </w:rPr>
        <w:t xml:space="preserve">         原值：</w:t>
      </w:r>
    </w:p>
    <w:p w14:paraId="38EBC45F">
      <w:pPr>
        <w:spacing w:before="100" w:after="100"/>
        <w:ind w:firstLine="240"/>
        <w:rPr>
          <w:rFonts w:ascii="宋体" w:hAnsi="宋体"/>
          <w:szCs w:val="21"/>
        </w:rPr>
      </w:pPr>
      <w:r>
        <w:rPr>
          <w:rFonts w:hint="eastAsia" w:ascii="宋体" w:hAnsi="宋体"/>
          <w:szCs w:val="21"/>
        </w:rPr>
        <w:t xml:space="preserve">         净值：</w:t>
      </w:r>
    </w:p>
    <w:p w14:paraId="47D938F8">
      <w:pPr>
        <w:spacing w:before="100" w:after="100"/>
        <w:ind w:firstLine="240"/>
        <w:rPr>
          <w:rFonts w:ascii="宋体" w:hAnsi="宋体"/>
          <w:szCs w:val="21"/>
        </w:rPr>
      </w:pPr>
      <w:r>
        <w:rPr>
          <w:rFonts w:hint="eastAsia" w:ascii="宋体" w:hAnsi="宋体"/>
          <w:szCs w:val="21"/>
        </w:rPr>
        <w:t>&lt;2&gt; 流动资金：</w:t>
      </w:r>
    </w:p>
    <w:p w14:paraId="736B4E5E">
      <w:pPr>
        <w:spacing w:before="100" w:after="100"/>
        <w:ind w:firstLine="240"/>
        <w:rPr>
          <w:rFonts w:ascii="宋体" w:hAnsi="宋体"/>
          <w:szCs w:val="21"/>
        </w:rPr>
      </w:pPr>
      <w:r>
        <w:rPr>
          <w:rFonts w:hint="eastAsia" w:ascii="宋体" w:hAnsi="宋体"/>
          <w:szCs w:val="21"/>
        </w:rPr>
        <w:t>&lt;3&gt; 长期负债：</w:t>
      </w:r>
    </w:p>
    <w:p w14:paraId="76AA68E7">
      <w:pPr>
        <w:spacing w:before="100" w:after="100"/>
        <w:ind w:firstLine="240"/>
        <w:rPr>
          <w:rFonts w:ascii="宋体" w:hAnsi="宋体"/>
          <w:szCs w:val="21"/>
          <w:u w:val="single"/>
        </w:rPr>
      </w:pPr>
      <w:r>
        <w:rPr>
          <w:rFonts w:hint="eastAsia" w:ascii="宋体" w:hAnsi="宋体"/>
          <w:szCs w:val="21"/>
        </w:rPr>
        <w:t>&lt;4&gt; 短期负债：</w:t>
      </w:r>
    </w:p>
    <w:p w14:paraId="02875065">
      <w:pPr>
        <w:spacing w:before="100" w:after="100"/>
        <w:rPr>
          <w:rFonts w:ascii="宋体" w:hAnsi="宋体"/>
          <w:szCs w:val="21"/>
        </w:rPr>
      </w:pPr>
      <w:r>
        <w:rPr>
          <w:rFonts w:hint="eastAsia" w:ascii="宋体" w:hAnsi="宋体"/>
          <w:szCs w:val="21"/>
        </w:rPr>
        <w:t xml:space="preserve">2、与提供所采购服务有关的情况： </w:t>
      </w:r>
    </w:p>
    <w:p w14:paraId="1C23EA84">
      <w:pPr>
        <w:spacing w:before="100" w:after="100"/>
        <w:rPr>
          <w:rFonts w:ascii="宋体" w:hAnsi="宋体"/>
          <w:szCs w:val="21"/>
        </w:rPr>
      </w:pPr>
      <w:r>
        <w:rPr>
          <w:rFonts w:hint="eastAsia" w:ascii="宋体" w:hAnsi="宋体"/>
          <w:szCs w:val="21"/>
        </w:rPr>
        <w:t>（1）提供此类服务的经验（包括年限、业绩等）：</w:t>
      </w:r>
    </w:p>
    <w:p w14:paraId="28E889CC">
      <w:pPr>
        <w:spacing w:before="100" w:after="100"/>
        <w:ind w:firstLine="478" w:firstLineChars="228"/>
        <w:rPr>
          <w:rFonts w:ascii="宋体" w:hAnsi="宋体"/>
          <w:szCs w:val="21"/>
          <w:u w:val="single"/>
        </w:rPr>
      </w:pPr>
      <w:r>
        <w:rPr>
          <w:rFonts w:hint="eastAsia" w:ascii="宋体" w:hAnsi="宋体"/>
          <w:szCs w:val="21"/>
          <w:u w:val="single"/>
        </w:rPr>
        <w:t>　　　　　　　　　　　　　　　　　　　　　　　　　　　　　　　</w:t>
      </w:r>
    </w:p>
    <w:p w14:paraId="7BFB184B">
      <w:pPr>
        <w:spacing w:before="100" w:after="100"/>
        <w:ind w:firstLine="478" w:firstLineChars="228"/>
        <w:rPr>
          <w:rFonts w:ascii="宋体" w:hAnsi="宋体"/>
          <w:szCs w:val="21"/>
          <w:u w:val="single"/>
        </w:rPr>
      </w:pPr>
      <w:r>
        <w:rPr>
          <w:rFonts w:hint="eastAsia" w:ascii="宋体" w:hAnsi="宋体"/>
          <w:szCs w:val="21"/>
          <w:u w:val="single"/>
        </w:rPr>
        <w:t>　　　　　　　　　　　　　　　　　　　　　　　　　　　　　　　</w:t>
      </w:r>
    </w:p>
    <w:p w14:paraId="6ADFF67F">
      <w:pPr>
        <w:spacing w:before="100" w:after="100"/>
        <w:rPr>
          <w:rFonts w:ascii="宋体" w:hAnsi="宋体"/>
          <w:szCs w:val="21"/>
        </w:rPr>
      </w:pPr>
      <w:r>
        <w:rPr>
          <w:rFonts w:hint="eastAsia" w:ascii="宋体" w:hAnsi="宋体"/>
          <w:szCs w:val="21"/>
        </w:rPr>
        <w:t>（2）拥有第三方合作资源的情况（可另行附表）：</w:t>
      </w:r>
    </w:p>
    <w:p w14:paraId="2D004CB7">
      <w:pPr>
        <w:spacing w:before="100" w:after="100"/>
        <w:ind w:firstLine="478" w:firstLineChars="228"/>
        <w:rPr>
          <w:rFonts w:ascii="宋体" w:hAnsi="宋体"/>
          <w:szCs w:val="21"/>
          <w:u w:val="single"/>
        </w:rPr>
      </w:pPr>
      <w:r>
        <w:rPr>
          <w:rFonts w:hint="eastAsia" w:ascii="宋体" w:hAnsi="宋体"/>
          <w:szCs w:val="21"/>
          <w:u w:val="single"/>
        </w:rPr>
        <w:t>　　　　　　　　　　　　　　　　　　　　　　　　　　　　　　　</w:t>
      </w:r>
    </w:p>
    <w:p w14:paraId="7F8BD594">
      <w:pPr>
        <w:spacing w:before="100" w:after="100"/>
        <w:ind w:firstLine="720"/>
        <w:rPr>
          <w:rFonts w:ascii="宋体" w:hAnsi="宋体"/>
          <w:szCs w:val="21"/>
          <w:u w:val="single"/>
        </w:rPr>
      </w:pPr>
      <w:r>
        <w:rPr>
          <w:rFonts w:hint="eastAsia" w:ascii="宋体" w:hAnsi="宋体"/>
          <w:szCs w:val="21"/>
          <w:u w:val="single"/>
        </w:rPr>
        <w:t>　　　　　　　　　　　　　　　　　　　　　　　　　　　　　　　</w:t>
      </w:r>
    </w:p>
    <w:p w14:paraId="328D8B73">
      <w:pPr>
        <w:spacing w:before="100" w:after="100"/>
        <w:ind w:left="410" w:hanging="410"/>
        <w:rPr>
          <w:rFonts w:ascii="宋体" w:hAnsi="宋体"/>
          <w:szCs w:val="21"/>
        </w:rPr>
      </w:pPr>
      <w:r>
        <w:rPr>
          <w:rFonts w:hint="eastAsia" w:ascii="宋体" w:hAnsi="宋体"/>
          <w:szCs w:val="21"/>
        </w:rPr>
        <w:t>3、报价人认为需要声明的其他情况：</w:t>
      </w:r>
    </w:p>
    <w:p w14:paraId="7B2B77D7">
      <w:pPr>
        <w:ind w:firstLine="315" w:firstLineChars="150"/>
        <w:rPr>
          <w:rFonts w:ascii="宋体" w:hAnsi="宋体"/>
          <w:szCs w:val="21"/>
        </w:rPr>
      </w:pPr>
    </w:p>
    <w:p w14:paraId="4DA174BB">
      <w:pPr>
        <w:spacing w:before="100" w:after="100"/>
        <w:rPr>
          <w:rFonts w:ascii="宋体" w:hAnsi="宋体"/>
          <w:szCs w:val="21"/>
        </w:rPr>
      </w:pPr>
      <w:r>
        <w:rPr>
          <w:rFonts w:hint="eastAsia" w:ascii="宋体" w:hAnsi="宋体"/>
          <w:szCs w:val="21"/>
        </w:rPr>
        <w:t xml:space="preserve">    兹证明上述声明是真实的、正确的，并提供了全部能提供的资料和数据，我们同意遵照贵方要求出示有关证明文件。</w:t>
      </w:r>
    </w:p>
    <w:p w14:paraId="46080D10">
      <w:pPr>
        <w:spacing w:before="100" w:after="100"/>
        <w:rPr>
          <w:rFonts w:ascii="宋体" w:hAnsi="宋体"/>
          <w:szCs w:val="21"/>
        </w:rPr>
      </w:pPr>
    </w:p>
    <w:p w14:paraId="3DEA0491">
      <w:pPr>
        <w:spacing w:before="100" w:after="100"/>
        <w:ind w:firstLine="840" w:firstLineChars="400"/>
        <w:rPr>
          <w:rFonts w:ascii="宋体" w:hAnsi="宋体"/>
          <w:szCs w:val="21"/>
        </w:rPr>
      </w:pPr>
      <w:r>
        <w:rPr>
          <w:rFonts w:hint="eastAsia" w:ascii="宋体" w:hAnsi="宋体"/>
          <w:szCs w:val="21"/>
        </w:rPr>
        <w:t>报价人全称（公章）：</w:t>
      </w:r>
    </w:p>
    <w:p w14:paraId="55BDFBC7">
      <w:pPr>
        <w:spacing w:before="100" w:after="100"/>
        <w:rPr>
          <w:rFonts w:ascii="宋体" w:hAnsi="宋体"/>
          <w:szCs w:val="21"/>
        </w:rPr>
      </w:pPr>
      <w:r>
        <w:rPr>
          <w:rFonts w:hint="eastAsia" w:ascii="宋体" w:hAnsi="宋体"/>
          <w:szCs w:val="21"/>
        </w:rPr>
        <w:t xml:space="preserve">        法定代表人或授权的报价人代表签字：</w:t>
      </w:r>
    </w:p>
    <w:p w14:paraId="7470D79C">
      <w:pPr>
        <w:spacing w:before="100" w:after="100"/>
        <w:rPr>
          <w:rFonts w:ascii="宋体" w:hAnsi="宋体"/>
          <w:szCs w:val="21"/>
        </w:rPr>
      </w:pPr>
      <w:r>
        <w:rPr>
          <w:rFonts w:hint="eastAsia" w:ascii="宋体" w:hAnsi="宋体"/>
          <w:szCs w:val="21"/>
        </w:rPr>
        <w:t xml:space="preserve">        日期：年月日        </w:t>
      </w:r>
    </w:p>
    <w:p w14:paraId="280C5F1A">
      <w:pPr>
        <w:pStyle w:val="4"/>
        <w:jc w:val="center"/>
        <w:rPr>
          <w:rFonts w:ascii="Times New Roman" w:hAnsi="Times New Roman" w:eastAsia="宋体" w:cs="Times New Roman"/>
          <w:sz w:val="28"/>
          <w:szCs w:val="28"/>
        </w:rPr>
      </w:pPr>
      <w:bookmarkStart w:id="71" w:name="_Toc103068855"/>
      <w:bookmarkStart w:id="72" w:name="_Toc499216492"/>
      <w:r>
        <w:rPr>
          <w:rFonts w:ascii="Times New Roman" w:hAnsi="Times New Roman" w:eastAsia="宋体" w:cs="Times New Roman"/>
          <w:sz w:val="28"/>
          <w:szCs w:val="28"/>
        </w:rPr>
        <w:t>附件</w:t>
      </w:r>
      <w:r>
        <w:rPr>
          <w:rFonts w:hint="eastAsia" w:ascii="Times New Roman" w:hAnsi="Times New Roman" w:eastAsia="宋体" w:cs="Times New Roman"/>
          <w:sz w:val="28"/>
          <w:szCs w:val="28"/>
        </w:rPr>
        <w:t xml:space="preserve">六 </w:t>
      </w:r>
      <w:r>
        <w:rPr>
          <w:rFonts w:ascii="Times New Roman" w:hAnsi="Times New Roman" w:eastAsia="宋体" w:cs="Times New Roman"/>
          <w:sz w:val="28"/>
          <w:szCs w:val="28"/>
        </w:rPr>
        <w:t xml:space="preserve"> 中小企业声明</w:t>
      </w:r>
      <w:bookmarkEnd w:id="71"/>
      <w:bookmarkEnd w:id="72"/>
    </w:p>
    <w:p w14:paraId="7DA943C8">
      <w:pPr>
        <w:spacing w:line="588" w:lineRule="exact"/>
        <w:jc w:val="center"/>
        <w:rPr>
          <w:rFonts w:ascii="Times New Roman" w:hAnsi="Times New Roman" w:eastAsia="宋体" w:cs="Times New Roman"/>
          <w:b/>
          <w:spacing w:val="6"/>
          <w:sz w:val="24"/>
        </w:rPr>
      </w:pPr>
      <w:r>
        <w:rPr>
          <w:rFonts w:ascii="Times New Roman" w:hAnsi="Times New Roman" w:eastAsia="宋体" w:cs="Times New Roman"/>
          <w:b/>
          <w:spacing w:val="6"/>
          <w:sz w:val="24"/>
        </w:rPr>
        <w:t>（如供应商不属于中、小、微型企业的无需填写）</w:t>
      </w:r>
    </w:p>
    <w:p w14:paraId="1436D74E">
      <w:pPr>
        <w:jc w:val="center"/>
        <w:rPr>
          <w:rFonts w:hint="eastAsia" w:ascii="Times New Roman" w:hAnsi="Times New Roman" w:eastAsia="宋体" w:cs="Times New Roman"/>
          <w:b/>
          <w:bCs/>
          <w:kern w:val="0"/>
          <w:sz w:val="28"/>
          <w:szCs w:val="28"/>
          <w:lang w:val="en-US" w:eastAsia="zh-CN" w:bidi="ar-SA"/>
        </w:rPr>
      </w:pPr>
    </w:p>
    <w:p w14:paraId="36103D08">
      <w:pPr>
        <w:jc w:val="center"/>
        <w:rPr>
          <w:rFonts w:hint="eastAsia"/>
          <w:lang w:val="en-US" w:eastAsia="zh-CN"/>
        </w:rPr>
      </w:pPr>
      <w:r>
        <w:rPr>
          <w:rFonts w:hint="eastAsia" w:ascii="Times New Roman" w:hAnsi="Times New Roman" w:eastAsia="宋体" w:cs="Times New Roman"/>
          <w:b/>
          <w:bCs/>
          <w:kern w:val="0"/>
          <w:sz w:val="28"/>
          <w:szCs w:val="28"/>
          <w:lang w:val="en-US" w:eastAsia="zh-CN" w:bidi="ar-SA"/>
        </w:rPr>
        <w:t>中小企业声明函（工程、服务）</w:t>
      </w:r>
    </w:p>
    <w:p w14:paraId="7BE1D68B">
      <w:pPr>
        <w:rPr>
          <w:rFonts w:hint="eastAsia"/>
          <w:lang w:val="en-US" w:eastAsia="zh-CN"/>
        </w:rPr>
      </w:pPr>
    </w:p>
    <w:p w14:paraId="09AB68FA">
      <w:pPr>
        <w:spacing w:line="360" w:lineRule="auto"/>
        <w:ind w:firstLine="504" w:firstLineChars="200"/>
        <w:rPr>
          <w:rFonts w:hint="eastAsia"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本公司（联合体）郑重声明，根据《政府采购促进中小企业发展管理办法》（财库（2020）46号》的规定，本公司</w:t>
      </w:r>
      <w:r>
        <w:rPr>
          <w:rFonts w:hint="eastAsia" w:ascii="Times New Roman" w:hAnsi="Times New Roman" w:eastAsia="宋体" w:cs="Times New Roman"/>
          <w:bCs/>
          <w:i/>
          <w:iCs/>
          <w:spacing w:val="6"/>
          <w:sz w:val="24"/>
          <w:u w:val="single"/>
          <w:lang w:val="en-US" w:eastAsia="zh-CN"/>
        </w:rPr>
        <w:t>（联合体）</w:t>
      </w:r>
      <w:r>
        <w:rPr>
          <w:rFonts w:hint="eastAsia" w:ascii="Times New Roman" w:hAnsi="Times New Roman" w:eastAsia="宋体" w:cs="Times New Roman"/>
          <w:bCs/>
          <w:spacing w:val="6"/>
          <w:sz w:val="24"/>
          <w:lang w:val="en-US" w:eastAsia="zh-CN"/>
        </w:rPr>
        <w:t>参加</w:t>
      </w:r>
      <w:r>
        <w:rPr>
          <w:rFonts w:hint="eastAsia" w:ascii="Times New Roman" w:hAnsi="Times New Roman" w:eastAsia="宋体" w:cs="Times New Roman"/>
          <w:bCs/>
          <w:i/>
          <w:iCs/>
          <w:spacing w:val="6"/>
          <w:sz w:val="24"/>
          <w:u w:val="single"/>
          <w:lang w:val="en-US" w:eastAsia="zh-CN"/>
        </w:rPr>
        <w:t>（单位名称）</w:t>
      </w:r>
      <w:r>
        <w:rPr>
          <w:rFonts w:hint="eastAsia" w:ascii="Times New Roman" w:hAnsi="Times New Roman" w:eastAsia="宋体" w:cs="Times New Roman"/>
          <w:bCs/>
          <w:spacing w:val="6"/>
          <w:sz w:val="24"/>
          <w:lang w:val="en-US" w:eastAsia="zh-CN"/>
        </w:rPr>
        <w:t>的</w:t>
      </w:r>
      <w:r>
        <w:rPr>
          <w:rFonts w:hint="eastAsia" w:ascii="Times New Roman" w:hAnsi="Times New Roman" w:eastAsia="宋体" w:cs="Times New Roman"/>
          <w:bCs/>
          <w:i/>
          <w:iCs/>
          <w:spacing w:val="6"/>
          <w:sz w:val="24"/>
          <w:u w:val="single"/>
          <w:lang w:val="en-US" w:eastAsia="zh-CN"/>
        </w:rPr>
        <w:t>（项目名称）</w:t>
      </w:r>
      <w:r>
        <w:rPr>
          <w:rFonts w:hint="eastAsia" w:ascii="Times New Roman" w:hAnsi="Times New Roman" w:eastAsia="宋体" w:cs="Times New Roman"/>
          <w:bCs/>
          <w:spacing w:val="6"/>
          <w:sz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BA4E9A3">
      <w:pPr>
        <w:spacing w:line="360" w:lineRule="auto"/>
        <w:ind w:firstLine="504" w:firstLineChars="200"/>
        <w:rPr>
          <w:rFonts w:hint="eastAsia"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1.</w:t>
      </w:r>
      <w:r>
        <w:rPr>
          <w:rFonts w:hint="eastAsia" w:ascii="Times New Roman" w:hAnsi="Times New Roman" w:eastAsia="宋体" w:cs="Times New Roman"/>
          <w:bCs/>
          <w:i/>
          <w:iCs/>
          <w:spacing w:val="6"/>
          <w:sz w:val="24"/>
          <w:u w:val="single"/>
          <w:lang w:val="en-US" w:eastAsia="zh-CN"/>
        </w:rPr>
        <w:t>（标的名称）</w:t>
      </w:r>
      <w:r>
        <w:rPr>
          <w:rFonts w:hint="eastAsia" w:ascii="Times New Roman" w:hAnsi="Times New Roman" w:eastAsia="宋体" w:cs="Times New Roman"/>
          <w:bCs/>
          <w:spacing w:val="6"/>
          <w:sz w:val="24"/>
          <w:lang w:val="en-US" w:eastAsia="zh-CN"/>
        </w:rPr>
        <w:t>，属于</w:t>
      </w:r>
      <w:r>
        <w:rPr>
          <w:rFonts w:hint="eastAsia" w:ascii="Times New Roman" w:hAnsi="Times New Roman" w:eastAsia="宋体" w:cs="Times New Roman"/>
          <w:bCs/>
          <w:i/>
          <w:iCs/>
          <w:spacing w:val="6"/>
          <w:sz w:val="24"/>
          <w:u w:val="single"/>
          <w:lang w:val="en-US" w:eastAsia="zh-CN"/>
        </w:rPr>
        <w:t>（采购文件中明确的所属行业）</w:t>
      </w:r>
      <w:r>
        <w:rPr>
          <w:rFonts w:hint="eastAsia" w:ascii="Times New Roman" w:hAnsi="Times New Roman" w:eastAsia="宋体" w:cs="Times New Roman"/>
          <w:bCs/>
          <w:spacing w:val="6"/>
          <w:sz w:val="24"/>
          <w:lang w:val="en-US" w:eastAsia="zh-CN"/>
        </w:rPr>
        <w:t>；承建（承接）企业为</w:t>
      </w:r>
      <w:r>
        <w:rPr>
          <w:rFonts w:hint="eastAsia" w:ascii="Times New Roman" w:hAnsi="Times New Roman" w:eastAsia="宋体" w:cs="Times New Roman"/>
          <w:bCs/>
          <w:i/>
          <w:iCs/>
          <w:spacing w:val="6"/>
          <w:sz w:val="24"/>
          <w:u w:val="single"/>
          <w:lang w:val="en-US" w:eastAsia="zh-CN"/>
        </w:rPr>
        <w:t>（企业名称）</w:t>
      </w:r>
      <w:r>
        <w:rPr>
          <w:rFonts w:hint="eastAsia" w:ascii="Times New Roman" w:hAnsi="Times New Roman" w:eastAsia="宋体" w:cs="Times New Roman"/>
          <w:bCs/>
          <w:spacing w:val="6"/>
          <w:sz w:val="24"/>
          <w:lang w:val="en-US" w:eastAsia="zh-CN"/>
        </w:rPr>
        <w:t>，从业人员</w:t>
      </w:r>
      <w:r>
        <w:rPr>
          <w:rFonts w:hint="eastAsia" w:ascii="Times New Roman" w:hAnsi="Times New Roman" w:eastAsia="宋体" w:cs="Times New Roman"/>
          <w:bCs/>
          <w:spacing w:val="6"/>
          <w:sz w:val="24"/>
          <w:u w:val="single"/>
          <w:lang w:val="en-US" w:eastAsia="zh-CN"/>
        </w:rPr>
        <w:t xml:space="preserve">   </w:t>
      </w:r>
      <w:r>
        <w:rPr>
          <w:rFonts w:hint="eastAsia" w:ascii="Times New Roman" w:hAnsi="Times New Roman" w:eastAsia="宋体" w:cs="Times New Roman"/>
          <w:bCs/>
          <w:spacing w:val="6"/>
          <w:sz w:val="24"/>
          <w:lang w:val="en-US" w:eastAsia="zh-CN"/>
        </w:rPr>
        <w:t>人，营业收入为</w:t>
      </w:r>
      <w:r>
        <w:rPr>
          <w:rFonts w:hint="eastAsia" w:ascii="Times New Roman" w:hAnsi="Times New Roman" w:eastAsia="宋体" w:cs="Times New Roman"/>
          <w:bCs/>
          <w:spacing w:val="6"/>
          <w:sz w:val="24"/>
          <w:u w:val="single"/>
          <w:lang w:val="en-US" w:eastAsia="zh-CN"/>
        </w:rPr>
        <w:t xml:space="preserve">    </w:t>
      </w:r>
      <w:r>
        <w:rPr>
          <w:rFonts w:hint="eastAsia" w:ascii="Times New Roman" w:hAnsi="Times New Roman" w:eastAsia="宋体" w:cs="Times New Roman"/>
          <w:bCs/>
          <w:spacing w:val="6"/>
          <w:sz w:val="24"/>
          <w:lang w:val="en-US" w:eastAsia="zh-CN"/>
        </w:rPr>
        <w:t>万元，资产总额为</w:t>
      </w:r>
      <w:r>
        <w:rPr>
          <w:rFonts w:hint="eastAsia" w:ascii="Times New Roman" w:hAnsi="Times New Roman" w:eastAsia="宋体" w:cs="Times New Roman"/>
          <w:bCs/>
          <w:spacing w:val="6"/>
          <w:sz w:val="24"/>
          <w:u w:val="single"/>
          <w:lang w:val="en-US" w:eastAsia="zh-CN"/>
        </w:rPr>
        <w:t xml:space="preserve">    </w:t>
      </w:r>
      <w:r>
        <w:rPr>
          <w:rFonts w:hint="eastAsia" w:ascii="Times New Roman" w:hAnsi="Times New Roman" w:eastAsia="宋体" w:cs="Times New Roman"/>
          <w:bCs/>
          <w:spacing w:val="6"/>
          <w:sz w:val="24"/>
          <w:lang w:val="en-US" w:eastAsia="zh-CN"/>
        </w:rPr>
        <w:t>万元，属于</w:t>
      </w:r>
      <w:r>
        <w:rPr>
          <w:rFonts w:hint="eastAsia" w:ascii="Times New Roman" w:hAnsi="Times New Roman" w:eastAsia="宋体" w:cs="Times New Roman"/>
          <w:bCs/>
          <w:i/>
          <w:iCs/>
          <w:spacing w:val="6"/>
          <w:sz w:val="24"/>
          <w:u w:val="single"/>
          <w:lang w:val="en-US" w:eastAsia="zh-CN"/>
        </w:rPr>
        <w:t>（中型企业、小型企业、微型企业）</w:t>
      </w:r>
      <w:r>
        <w:rPr>
          <w:rFonts w:hint="eastAsia" w:ascii="Times New Roman" w:hAnsi="Times New Roman" w:eastAsia="宋体" w:cs="Times New Roman"/>
          <w:bCs/>
          <w:spacing w:val="6"/>
          <w:sz w:val="24"/>
          <w:lang w:val="en-US" w:eastAsia="zh-CN"/>
        </w:rPr>
        <w:t>；</w:t>
      </w:r>
    </w:p>
    <w:p w14:paraId="3279C301">
      <w:pPr>
        <w:spacing w:line="360" w:lineRule="auto"/>
        <w:ind w:firstLine="504" w:firstLineChars="200"/>
        <w:rPr>
          <w:rFonts w:hint="eastAsia"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2.</w:t>
      </w:r>
      <w:r>
        <w:rPr>
          <w:rFonts w:hint="eastAsia" w:ascii="Times New Roman" w:hAnsi="Times New Roman" w:eastAsia="宋体" w:cs="Times New Roman"/>
          <w:bCs/>
          <w:i/>
          <w:iCs/>
          <w:spacing w:val="6"/>
          <w:sz w:val="24"/>
          <w:u w:val="single"/>
          <w:lang w:val="en-US" w:eastAsia="zh-CN"/>
        </w:rPr>
        <w:t>（标的名称）</w:t>
      </w:r>
      <w:r>
        <w:rPr>
          <w:rFonts w:hint="eastAsia" w:ascii="Times New Roman" w:hAnsi="Times New Roman" w:eastAsia="宋体" w:cs="Times New Roman"/>
          <w:bCs/>
          <w:spacing w:val="6"/>
          <w:sz w:val="24"/>
          <w:lang w:val="en-US" w:eastAsia="zh-CN"/>
        </w:rPr>
        <w:t>，属于</w:t>
      </w:r>
      <w:r>
        <w:rPr>
          <w:rFonts w:hint="eastAsia" w:ascii="Times New Roman" w:hAnsi="Times New Roman" w:eastAsia="宋体" w:cs="Times New Roman"/>
          <w:bCs/>
          <w:i/>
          <w:iCs/>
          <w:spacing w:val="6"/>
          <w:sz w:val="24"/>
          <w:u w:val="single"/>
          <w:lang w:val="en-US" w:eastAsia="zh-CN"/>
        </w:rPr>
        <w:t>（采购文件中明确的所属行业）</w:t>
      </w:r>
      <w:r>
        <w:rPr>
          <w:rFonts w:hint="eastAsia" w:ascii="Times New Roman" w:hAnsi="Times New Roman" w:eastAsia="宋体" w:cs="Times New Roman"/>
          <w:bCs/>
          <w:spacing w:val="6"/>
          <w:sz w:val="24"/>
          <w:lang w:val="en-US" w:eastAsia="zh-CN"/>
        </w:rPr>
        <w:t>；承建（承接）企业为</w:t>
      </w:r>
      <w:r>
        <w:rPr>
          <w:rFonts w:hint="eastAsia" w:ascii="Times New Roman" w:hAnsi="Times New Roman" w:eastAsia="宋体" w:cs="Times New Roman"/>
          <w:bCs/>
          <w:i/>
          <w:iCs/>
          <w:spacing w:val="6"/>
          <w:sz w:val="24"/>
          <w:u w:val="single"/>
          <w:lang w:val="en-US" w:eastAsia="zh-CN"/>
        </w:rPr>
        <w:t>（企业名称）</w:t>
      </w:r>
      <w:r>
        <w:rPr>
          <w:rFonts w:hint="eastAsia" w:ascii="Times New Roman" w:hAnsi="Times New Roman" w:eastAsia="宋体" w:cs="Times New Roman"/>
          <w:bCs/>
          <w:spacing w:val="6"/>
          <w:sz w:val="24"/>
          <w:lang w:val="en-US" w:eastAsia="zh-CN"/>
        </w:rPr>
        <w:t>，从业人员</w:t>
      </w:r>
      <w:r>
        <w:rPr>
          <w:rFonts w:hint="eastAsia" w:ascii="Times New Roman" w:hAnsi="Times New Roman" w:eastAsia="宋体" w:cs="Times New Roman"/>
          <w:bCs/>
          <w:spacing w:val="6"/>
          <w:sz w:val="24"/>
          <w:u w:val="single"/>
          <w:lang w:val="en-US" w:eastAsia="zh-CN"/>
        </w:rPr>
        <w:t xml:space="preserve">   </w:t>
      </w:r>
      <w:r>
        <w:rPr>
          <w:rFonts w:hint="eastAsia" w:ascii="Times New Roman" w:hAnsi="Times New Roman" w:eastAsia="宋体" w:cs="Times New Roman"/>
          <w:bCs/>
          <w:spacing w:val="6"/>
          <w:sz w:val="24"/>
          <w:lang w:val="en-US" w:eastAsia="zh-CN"/>
        </w:rPr>
        <w:t>人，营业收入为</w:t>
      </w:r>
      <w:r>
        <w:rPr>
          <w:rFonts w:hint="eastAsia" w:ascii="Times New Roman" w:hAnsi="Times New Roman" w:eastAsia="宋体" w:cs="Times New Roman"/>
          <w:bCs/>
          <w:spacing w:val="6"/>
          <w:sz w:val="24"/>
          <w:u w:val="single"/>
          <w:lang w:val="en-US" w:eastAsia="zh-CN"/>
        </w:rPr>
        <w:t xml:space="preserve">    </w:t>
      </w:r>
      <w:r>
        <w:rPr>
          <w:rFonts w:hint="eastAsia" w:ascii="Times New Roman" w:hAnsi="Times New Roman" w:eastAsia="宋体" w:cs="Times New Roman"/>
          <w:bCs/>
          <w:spacing w:val="6"/>
          <w:sz w:val="24"/>
          <w:lang w:val="en-US" w:eastAsia="zh-CN"/>
        </w:rPr>
        <w:t>万元，资产总额为</w:t>
      </w:r>
      <w:r>
        <w:rPr>
          <w:rFonts w:hint="eastAsia" w:ascii="Times New Roman" w:hAnsi="Times New Roman" w:eastAsia="宋体" w:cs="Times New Roman"/>
          <w:bCs/>
          <w:spacing w:val="6"/>
          <w:sz w:val="24"/>
          <w:u w:val="single"/>
          <w:lang w:val="en-US" w:eastAsia="zh-CN"/>
        </w:rPr>
        <w:t xml:space="preserve">    </w:t>
      </w:r>
      <w:r>
        <w:rPr>
          <w:rFonts w:hint="eastAsia" w:ascii="Times New Roman" w:hAnsi="Times New Roman" w:eastAsia="宋体" w:cs="Times New Roman"/>
          <w:bCs/>
          <w:spacing w:val="6"/>
          <w:sz w:val="24"/>
          <w:lang w:val="en-US" w:eastAsia="zh-CN"/>
        </w:rPr>
        <w:t>万元，属于</w:t>
      </w:r>
      <w:r>
        <w:rPr>
          <w:rFonts w:hint="eastAsia" w:ascii="Times New Roman" w:hAnsi="Times New Roman" w:eastAsia="宋体" w:cs="Times New Roman"/>
          <w:bCs/>
          <w:i/>
          <w:iCs/>
          <w:spacing w:val="6"/>
          <w:sz w:val="24"/>
          <w:u w:val="single"/>
          <w:lang w:val="en-US" w:eastAsia="zh-CN"/>
        </w:rPr>
        <w:t>（中型企业、小型企业、微型企业）</w:t>
      </w:r>
      <w:r>
        <w:rPr>
          <w:rFonts w:hint="eastAsia" w:ascii="Times New Roman" w:hAnsi="Times New Roman" w:eastAsia="宋体" w:cs="Times New Roman"/>
          <w:bCs/>
          <w:spacing w:val="6"/>
          <w:sz w:val="24"/>
          <w:lang w:val="en-US" w:eastAsia="zh-CN"/>
        </w:rPr>
        <w:t>；</w:t>
      </w:r>
    </w:p>
    <w:p w14:paraId="73490A80">
      <w:pPr>
        <w:spacing w:line="360" w:lineRule="auto"/>
        <w:ind w:firstLine="504" w:firstLineChars="200"/>
        <w:rPr>
          <w:rFonts w:hint="eastAsia"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w:t>
      </w:r>
    </w:p>
    <w:p w14:paraId="7470425A">
      <w:pPr>
        <w:spacing w:line="360" w:lineRule="auto"/>
        <w:ind w:firstLine="504" w:firstLineChars="200"/>
        <w:rPr>
          <w:rFonts w:hint="eastAsia"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以上企业，不属于大企业的分支机构，不存在控股股东为大企业的情形，也不存在与大企业的负责人为同一人的情形。</w:t>
      </w:r>
    </w:p>
    <w:p w14:paraId="79D684D8">
      <w:pPr>
        <w:spacing w:line="360" w:lineRule="auto"/>
        <w:ind w:firstLine="504" w:firstLineChars="200"/>
        <w:rPr>
          <w:rFonts w:hint="eastAsia"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本企业对上述声明内容的真实性负责。如有虚假，将依法承担相应责任。</w:t>
      </w:r>
    </w:p>
    <w:p w14:paraId="5ED7B21B">
      <w:pPr>
        <w:wordWrap w:val="0"/>
        <w:spacing w:line="360" w:lineRule="auto"/>
        <w:ind w:firstLine="504" w:firstLineChars="200"/>
        <w:jc w:val="right"/>
        <w:rPr>
          <w:rFonts w:hint="default"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 xml:space="preserve">企业名称（盖章）：     </w:t>
      </w:r>
    </w:p>
    <w:p w14:paraId="2C99D322">
      <w:pPr>
        <w:wordWrap w:val="0"/>
        <w:spacing w:line="360" w:lineRule="auto"/>
        <w:ind w:firstLine="504" w:firstLineChars="200"/>
        <w:jc w:val="right"/>
        <w:rPr>
          <w:rFonts w:hint="default"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 xml:space="preserve">日期：               </w:t>
      </w:r>
    </w:p>
    <w:p w14:paraId="18B57829">
      <w:pPr>
        <w:rPr>
          <w:rFonts w:ascii="Times New Roman" w:hAnsi="Times New Roman" w:eastAsia="宋体" w:cs="Times New Roman"/>
        </w:rPr>
      </w:pPr>
    </w:p>
    <w:p w14:paraId="74A0C327">
      <w:pPr>
        <w:pStyle w:val="4"/>
        <w:jc w:val="center"/>
        <w:rPr>
          <w:rFonts w:ascii="Times New Roman" w:hAnsi="Times New Roman" w:eastAsia="宋体" w:cs="Times New Roman"/>
          <w:b w:val="0"/>
          <w:sz w:val="28"/>
          <w:szCs w:val="28"/>
        </w:rPr>
      </w:pPr>
      <w:bookmarkStart w:id="73" w:name="_Toc103068856"/>
      <w:bookmarkStart w:id="74" w:name="_Toc499216494"/>
      <w:r>
        <w:rPr>
          <w:rFonts w:ascii="Times New Roman" w:hAnsi="Times New Roman" w:eastAsia="宋体" w:cs="Times New Roman"/>
          <w:sz w:val="28"/>
          <w:szCs w:val="28"/>
        </w:rPr>
        <w:t>附件</w:t>
      </w:r>
      <w:r>
        <w:rPr>
          <w:rFonts w:hint="eastAsia" w:ascii="Times New Roman" w:hAnsi="Times New Roman" w:eastAsia="宋体" w:cs="Times New Roman"/>
          <w:sz w:val="28"/>
          <w:szCs w:val="28"/>
        </w:rPr>
        <w:t>七</w:t>
      </w:r>
      <w:r>
        <w:rPr>
          <w:rFonts w:ascii="Times New Roman" w:hAnsi="Times New Roman" w:eastAsia="宋体" w:cs="Times New Roman"/>
          <w:spacing w:val="6"/>
          <w:sz w:val="28"/>
          <w:szCs w:val="28"/>
        </w:rPr>
        <w:t>残疾人福利性单位声明函</w:t>
      </w:r>
      <w:bookmarkEnd w:id="73"/>
      <w:bookmarkEnd w:id="74"/>
    </w:p>
    <w:p w14:paraId="566B92D2">
      <w:pPr>
        <w:spacing w:line="588" w:lineRule="exact"/>
        <w:jc w:val="center"/>
        <w:rPr>
          <w:rFonts w:ascii="Times New Roman" w:hAnsi="Times New Roman" w:eastAsia="宋体" w:cs="Times New Roman"/>
          <w:b/>
          <w:spacing w:val="6"/>
          <w:sz w:val="24"/>
        </w:rPr>
      </w:pPr>
      <w:r>
        <w:rPr>
          <w:rFonts w:ascii="Times New Roman" w:hAnsi="Times New Roman" w:eastAsia="宋体" w:cs="Times New Roman"/>
          <w:b/>
          <w:spacing w:val="6"/>
          <w:sz w:val="24"/>
        </w:rPr>
        <w:t>（如报价人满足残疾人福利性单位条件时提供）</w:t>
      </w:r>
    </w:p>
    <w:p w14:paraId="77EC729A">
      <w:pPr>
        <w:spacing w:line="360" w:lineRule="auto"/>
        <w:ind w:firstLine="504" w:firstLineChars="200"/>
        <w:rPr>
          <w:rFonts w:ascii="Times New Roman" w:hAnsi="Times New Roman" w:eastAsia="宋体" w:cs="Times New Roman"/>
          <w:bCs/>
          <w:spacing w:val="6"/>
          <w:sz w:val="24"/>
        </w:rPr>
      </w:pPr>
      <w:r>
        <w:rPr>
          <w:rFonts w:ascii="Times New Roman" w:hAnsi="Times New Roman" w:eastAsia="宋体" w:cs="Times New Roman"/>
          <w:bCs/>
          <w:spacing w:val="6"/>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F588DD">
      <w:pPr>
        <w:spacing w:line="360" w:lineRule="auto"/>
        <w:ind w:firstLine="504" w:firstLineChars="200"/>
        <w:rPr>
          <w:rFonts w:ascii="Times New Roman" w:hAnsi="Times New Roman" w:eastAsia="宋体" w:cs="Times New Roman"/>
          <w:bCs/>
          <w:spacing w:val="6"/>
          <w:sz w:val="24"/>
        </w:rPr>
      </w:pPr>
      <w:r>
        <w:rPr>
          <w:rFonts w:ascii="Times New Roman" w:hAnsi="Times New Roman" w:eastAsia="宋体" w:cs="Times New Roman"/>
          <w:bCs/>
          <w:spacing w:val="6"/>
          <w:sz w:val="24"/>
        </w:rPr>
        <w:t>本单位对上述声明的真实性负责。如有虚假，将依法承担相应责任。</w:t>
      </w:r>
    </w:p>
    <w:p w14:paraId="1A905723">
      <w:pPr>
        <w:spacing w:line="360" w:lineRule="auto"/>
        <w:rPr>
          <w:rFonts w:ascii="Times New Roman" w:hAnsi="Times New Roman" w:eastAsia="宋体" w:cs="Times New Roman"/>
          <w:bCs/>
          <w:spacing w:val="6"/>
          <w:sz w:val="24"/>
        </w:rPr>
      </w:pPr>
    </w:p>
    <w:p w14:paraId="2E6B8CD1">
      <w:pPr>
        <w:tabs>
          <w:tab w:val="left" w:pos="4860"/>
        </w:tabs>
        <w:spacing w:line="360" w:lineRule="auto"/>
        <w:ind w:right="1560" w:firstLine="504" w:firstLineChars="200"/>
        <w:jc w:val="center"/>
        <w:rPr>
          <w:rFonts w:ascii="Times New Roman" w:hAnsi="Times New Roman" w:eastAsia="宋体" w:cs="Times New Roman"/>
          <w:spacing w:val="6"/>
          <w:sz w:val="24"/>
        </w:rPr>
      </w:pPr>
      <w:r>
        <w:rPr>
          <w:rFonts w:ascii="Times New Roman" w:hAnsi="Times New Roman" w:eastAsia="宋体" w:cs="Times New Roman"/>
          <w:spacing w:val="6"/>
          <w:sz w:val="24"/>
        </w:rPr>
        <w:t>单位名称（盖章）：</w:t>
      </w:r>
    </w:p>
    <w:p w14:paraId="6F06031E">
      <w:pPr>
        <w:tabs>
          <w:tab w:val="left" w:pos="4860"/>
        </w:tabs>
        <w:spacing w:line="360" w:lineRule="auto"/>
        <w:ind w:right="1560" w:firstLine="504" w:firstLineChars="200"/>
        <w:jc w:val="center"/>
        <w:rPr>
          <w:rFonts w:ascii="Times New Roman" w:hAnsi="Times New Roman" w:eastAsia="宋体" w:cs="Times New Roman"/>
          <w:spacing w:val="6"/>
          <w:sz w:val="24"/>
        </w:rPr>
      </w:pPr>
      <w:r>
        <w:rPr>
          <w:rFonts w:ascii="Times New Roman" w:hAnsi="Times New Roman" w:eastAsia="宋体" w:cs="Times New Roman"/>
          <w:spacing w:val="6"/>
          <w:sz w:val="24"/>
        </w:rPr>
        <w:t>日期：</w:t>
      </w:r>
    </w:p>
    <w:p w14:paraId="54B283E4">
      <w:pPr>
        <w:tabs>
          <w:tab w:val="left" w:pos="4860"/>
        </w:tabs>
        <w:spacing w:line="360" w:lineRule="auto"/>
        <w:ind w:right="1560" w:firstLine="504" w:firstLineChars="200"/>
        <w:jc w:val="center"/>
        <w:rPr>
          <w:rFonts w:ascii="Times New Roman" w:hAnsi="Times New Roman" w:eastAsia="宋体" w:cs="Times New Roman"/>
          <w:spacing w:val="6"/>
          <w:sz w:val="24"/>
        </w:rPr>
      </w:pPr>
      <w:r>
        <w:rPr>
          <w:rFonts w:ascii="Times New Roman" w:hAnsi="Times New Roman" w:eastAsia="宋体" w:cs="Times New Roman"/>
          <w:spacing w:val="6"/>
          <w:sz w:val="24"/>
        </w:rPr>
        <w:br w:type="page"/>
      </w:r>
    </w:p>
    <w:bookmarkEnd w:id="67"/>
    <w:bookmarkEnd w:id="68"/>
    <w:bookmarkEnd w:id="69"/>
    <w:bookmarkEnd w:id="70"/>
    <w:p w14:paraId="5F7AB48B">
      <w:pPr>
        <w:pStyle w:val="17"/>
        <w:rPr>
          <w:rFonts w:ascii="Times New Roman" w:hAnsi="Times New Roman" w:eastAsia="宋体" w:cs="Times New Roman"/>
          <w:color w:val="000000"/>
        </w:rPr>
      </w:pPr>
      <w:bookmarkStart w:id="75" w:name="_Toc103068857"/>
      <w:bookmarkStart w:id="76" w:name="_Toc10730560"/>
      <w:r>
        <w:rPr>
          <w:rFonts w:ascii="Times New Roman" w:hAnsi="Times New Roman" w:eastAsia="宋体" w:cs="Times New Roman"/>
          <w:color w:val="000000"/>
        </w:rPr>
        <w:t>第六部分  合同草案条款</w:t>
      </w:r>
      <w:bookmarkEnd w:id="75"/>
      <w:bookmarkEnd w:id="76"/>
    </w:p>
    <w:p w14:paraId="016D15DC">
      <w:pPr>
        <w:ind w:right="480"/>
        <w:jc w:val="right"/>
        <w:rPr>
          <w:rFonts w:ascii="Times New Roman" w:hAnsi="Times New Roman" w:cs="Times New Roman"/>
          <w:bCs/>
          <w:color w:val="000000"/>
          <w:sz w:val="24"/>
        </w:rPr>
      </w:pPr>
      <w:r>
        <w:rPr>
          <w:rFonts w:ascii="Times New Roman" w:hAnsi="Times New Roman" w:cs="Times New Roman"/>
          <w:bCs/>
          <w:color w:val="000000"/>
          <w:sz w:val="24"/>
        </w:rPr>
        <w:t>合同编号：</w:t>
      </w:r>
    </w:p>
    <w:p w14:paraId="50EC58D6">
      <w:pPr>
        <w:spacing w:line="360" w:lineRule="auto"/>
        <w:rPr>
          <w:rFonts w:ascii="宋体" w:hAnsi="宋体" w:eastAsia="宋体"/>
          <w:b/>
          <w:color w:val="000000"/>
          <w:sz w:val="24"/>
        </w:rPr>
      </w:pPr>
      <w:r>
        <w:rPr>
          <w:rFonts w:hint="eastAsia" w:ascii="宋体" w:hAnsi="宋体" w:eastAsia="宋体" w:cs="宋体"/>
          <w:sz w:val="24"/>
        </w:rPr>
        <w:t>甲方（采购人）：国家体育总局</w:t>
      </w:r>
    </w:p>
    <w:p w14:paraId="1618E143">
      <w:pPr>
        <w:spacing w:line="360" w:lineRule="auto"/>
        <w:rPr>
          <w:rFonts w:ascii="宋体" w:hAnsi="宋体" w:eastAsia="宋体" w:cs="宋体"/>
          <w:sz w:val="24"/>
        </w:rPr>
      </w:pPr>
      <w:r>
        <w:rPr>
          <w:rFonts w:hint="eastAsia" w:ascii="宋体" w:hAnsi="宋体" w:eastAsia="宋体" w:cs="宋体"/>
          <w:sz w:val="24"/>
        </w:rPr>
        <w:t>乙方（成交单位）：</w:t>
      </w:r>
    </w:p>
    <w:p w14:paraId="53868C46">
      <w:pPr>
        <w:spacing w:line="360" w:lineRule="auto"/>
        <w:ind w:firstLine="480" w:firstLineChars="200"/>
        <w:rPr>
          <w:rFonts w:ascii="宋体" w:hAnsi="宋体" w:eastAsia="宋体" w:cs="宋体"/>
          <w:sz w:val="24"/>
        </w:rPr>
      </w:pPr>
      <w:r>
        <w:rPr>
          <w:rFonts w:hint="eastAsia" w:ascii="宋体" w:hAnsi="宋体" w:eastAsia="宋体" w:cs="宋体"/>
          <w:bCs/>
          <w:sz w:val="24"/>
        </w:rPr>
        <w:t>为了保证本合同项目的顺利进行，根据《中华人民共和国政府采购法》、《中华人民共和国民法典》等相关法律、法规的规定及甲方关于</w:t>
      </w:r>
      <w:r>
        <w:rPr>
          <w:rFonts w:hint="eastAsia" w:ascii="宋体" w:hAnsi="宋体" w:eastAsia="宋体" w:cs="宋体"/>
          <w:bCs/>
          <w:sz w:val="24"/>
          <w:u w:val="single"/>
        </w:rPr>
        <w:t>“             ”</w:t>
      </w:r>
      <w:r>
        <w:rPr>
          <w:rFonts w:hint="eastAsia" w:ascii="宋体" w:hAnsi="宋体" w:eastAsia="宋体" w:cs="宋体"/>
          <w:bCs/>
          <w:sz w:val="24"/>
        </w:rPr>
        <w:t>项目的成交结果和竞争性磋商文件</w:t>
      </w:r>
      <w:r>
        <w:rPr>
          <w:rFonts w:ascii="宋体" w:hAnsi="宋体" w:eastAsia="宋体" w:cs="宋体"/>
          <w:bCs/>
          <w:sz w:val="24"/>
        </w:rPr>
        <w:t>(</w:t>
      </w:r>
      <w:r>
        <w:rPr>
          <w:rFonts w:hint="eastAsia" w:ascii="宋体" w:hAnsi="宋体" w:eastAsia="宋体" w:cs="宋体"/>
          <w:bCs/>
          <w:sz w:val="24"/>
        </w:rPr>
        <w:t>采购编号：</w:t>
      </w:r>
      <w:r>
        <w:rPr>
          <w:rFonts w:ascii="宋体" w:hAnsi="宋体" w:eastAsia="宋体" w:cs="宋体"/>
          <w:bCs/>
          <w:sz w:val="24"/>
        </w:rPr>
        <w:t>)</w:t>
      </w:r>
      <w:r>
        <w:rPr>
          <w:rFonts w:hint="eastAsia" w:ascii="宋体" w:hAnsi="宋体" w:eastAsia="宋体" w:cs="宋体"/>
          <w:bCs/>
          <w:sz w:val="24"/>
        </w:rPr>
        <w:t>的要求，经甲乙双方协商一致，签订本合同，共同遵守。</w:t>
      </w:r>
    </w:p>
    <w:p w14:paraId="6BC03776">
      <w:pPr>
        <w:tabs>
          <w:tab w:val="left" w:pos="900"/>
        </w:tabs>
        <w:spacing w:line="360" w:lineRule="auto"/>
        <w:ind w:firstLine="542" w:firstLineChars="225"/>
        <w:rPr>
          <w:rFonts w:ascii="宋体" w:hAnsi="宋体" w:eastAsia="宋体" w:cs="宋体"/>
          <w:b/>
          <w:sz w:val="24"/>
        </w:rPr>
      </w:pPr>
      <w:r>
        <w:rPr>
          <w:rFonts w:ascii="宋体" w:hAnsi="宋体" w:eastAsia="宋体" w:cs="宋体"/>
          <w:b/>
          <w:sz w:val="24"/>
        </w:rPr>
        <w:t>1.</w:t>
      </w:r>
      <w:r>
        <w:rPr>
          <w:rFonts w:hint="eastAsia" w:ascii="宋体" w:hAnsi="宋体" w:eastAsia="宋体" w:cs="宋体"/>
          <w:b/>
          <w:sz w:val="24"/>
        </w:rPr>
        <w:t>定义</w:t>
      </w:r>
    </w:p>
    <w:p w14:paraId="481CA87F">
      <w:pPr>
        <w:spacing w:line="360" w:lineRule="auto"/>
        <w:ind w:firstLine="480" w:firstLineChars="200"/>
        <w:rPr>
          <w:rFonts w:ascii="宋体" w:hAnsi="宋体" w:eastAsia="宋体" w:cs="宋体"/>
          <w:bCs/>
          <w:sz w:val="24"/>
        </w:rPr>
      </w:pPr>
      <w:r>
        <w:rPr>
          <w:rFonts w:hint="eastAsia" w:ascii="宋体" w:hAnsi="宋体" w:eastAsia="宋体" w:cs="宋体"/>
          <w:bCs/>
          <w:sz w:val="24"/>
        </w:rPr>
        <w:t>本合同中的下列术语应解释为：</w:t>
      </w:r>
    </w:p>
    <w:p w14:paraId="0E78E914">
      <w:pPr>
        <w:spacing w:line="360" w:lineRule="auto"/>
        <w:ind w:firstLine="540" w:firstLineChars="225"/>
        <w:rPr>
          <w:rFonts w:ascii="宋体" w:hAnsi="宋体" w:eastAsia="宋体" w:cs="宋体"/>
          <w:sz w:val="24"/>
        </w:rPr>
      </w:pPr>
      <w:r>
        <w:rPr>
          <w:rFonts w:ascii="宋体" w:hAnsi="宋体" w:eastAsia="宋体" w:cs="宋体"/>
          <w:sz w:val="24"/>
        </w:rPr>
        <w:t xml:space="preserve">1.1 </w:t>
      </w:r>
      <w:r>
        <w:rPr>
          <w:rFonts w:hint="eastAsia" w:ascii="宋体" w:hAnsi="宋体" w:eastAsia="宋体" w:cs="宋体"/>
          <w:sz w:val="24"/>
        </w:rPr>
        <w:t>“合同”系指本合同，包括本合同附带的所有附件、附录和构成合同的其它文件，除非另有特别说明或限定。</w:t>
      </w:r>
    </w:p>
    <w:p w14:paraId="4F926F0B">
      <w:pPr>
        <w:spacing w:line="360" w:lineRule="auto"/>
        <w:ind w:firstLine="540" w:firstLineChars="225"/>
        <w:rPr>
          <w:rFonts w:ascii="宋体" w:hAnsi="宋体" w:eastAsia="宋体" w:cs="宋体"/>
          <w:sz w:val="24"/>
        </w:rPr>
      </w:pPr>
      <w:r>
        <w:rPr>
          <w:rFonts w:ascii="宋体" w:hAnsi="宋体" w:eastAsia="宋体" w:cs="宋体"/>
          <w:sz w:val="24"/>
        </w:rPr>
        <w:t xml:space="preserve">1.2 </w:t>
      </w:r>
      <w:r>
        <w:rPr>
          <w:rFonts w:hint="eastAsia" w:ascii="宋体" w:hAnsi="宋体" w:eastAsia="宋体" w:cs="宋体"/>
          <w:sz w:val="24"/>
        </w:rPr>
        <w:t>“合同款”系指根据本合同约定，甲方需就乙方提供的服务内容向乙方支付的款项。</w:t>
      </w:r>
    </w:p>
    <w:p w14:paraId="3FBADD7A">
      <w:pPr>
        <w:spacing w:line="360" w:lineRule="auto"/>
        <w:ind w:firstLine="540" w:firstLineChars="225"/>
        <w:rPr>
          <w:rFonts w:ascii="宋体" w:hAnsi="宋体" w:eastAsia="宋体" w:cs="宋体"/>
          <w:sz w:val="24"/>
        </w:rPr>
      </w:pPr>
      <w:r>
        <w:rPr>
          <w:rFonts w:ascii="宋体" w:hAnsi="宋体" w:eastAsia="宋体" w:cs="宋体"/>
          <w:sz w:val="24"/>
        </w:rPr>
        <w:t xml:space="preserve">1.3 </w:t>
      </w:r>
      <w:r>
        <w:rPr>
          <w:rFonts w:hint="eastAsia" w:ascii="宋体" w:hAnsi="宋体" w:eastAsia="宋体" w:cs="宋体"/>
          <w:sz w:val="24"/>
        </w:rPr>
        <w:t>“人员”系指作为雇员由乙方雇佣并被分配执行本合同服务内容的人员。</w:t>
      </w:r>
    </w:p>
    <w:p w14:paraId="7ECF5B0C">
      <w:pPr>
        <w:spacing w:line="360" w:lineRule="auto"/>
        <w:ind w:firstLine="540" w:firstLineChars="225"/>
        <w:rPr>
          <w:rFonts w:ascii="宋体" w:hAnsi="宋体" w:eastAsia="宋体" w:cs="宋体"/>
          <w:sz w:val="24"/>
        </w:rPr>
      </w:pPr>
      <w:r>
        <w:rPr>
          <w:rFonts w:ascii="宋体" w:hAnsi="宋体" w:eastAsia="宋体" w:cs="宋体"/>
          <w:sz w:val="24"/>
        </w:rPr>
        <w:t xml:space="preserve">1.4 </w:t>
      </w:r>
      <w:r>
        <w:rPr>
          <w:rFonts w:hint="eastAsia" w:ascii="宋体" w:hAnsi="宋体" w:eastAsia="宋体" w:cs="宋体"/>
          <w:sz w:val="24"/>
        </w:rPr>
        <w:t>“服务”系指由乙方根据本合同服务内容要求所实施的工作。</w:t>
      </w:r>
    </w:p>
    <w:p w14:paraId="73E4D15E">
      <w:pPr>
        <w:spacing w:line="360" w:lineRule="auto"/>
        <w:ind w:firstLine="540" w:firstLineChars="225"/>
        <w:rPr>
          <w:rFonts w:ascii="宋体" w:hAnsi="宋体" w:eastAsia="宋体" w:cs="宋体"/>
          <w:sz w:val="24"/>
        </w:rPr>
      </w:pPr>
      <w:r>
        <w:rPr>
          <w:rFonts w:ascii="宋体" w:hAnsi="宋体" w:eastAsia="宋体" w:cs="宋体"/>
          <w:sz w:val="24"/>
        </w:rPr>
        <w:t xml:space="preserve">1.5 </w:t>
      </w:r>
      <w:r>
        <w:rPr>
          <w:rFonts w:hint="eastAsia" w:ascii="宋体" w:hAnsi="宋体" w:eastAsia="宋体" w:cs="宋体"/>
          <w:sz w:val="24"/>
        </w:rPr>
        <w:t>“甲方”系指与供应单位签署服务合同的单位（含最终用户），即买方。</w:t>
      </w:r>
    </w:p>
    <w:p w14:paraId="2C4106A6">
      <w:pPr>
        <w:spacing w:line="360" w:lineRule="auto"/>
        <w:ind w:firstLine="540" w:firstLineChars="225"/>
        <w:rPr>
          <w:rFonts w:ascii="宋体" w:hAnsi="宋体" w:eastAsia="宋体" w:cs="宋体"/>
          <w:sz w:val="24"/>
        </w:rPr>
      </w:pPr>
      <w:r>
        <w:rPr>
          <w:rFonts w:ascii="宋体" w:hAnsi="宋体" w:eastAsia="宋体" w:cs="宋体"/>
          <w:sz w:val="24"/>
        </w:rPr>
        <w:t xml:space="preserve">1.6 </w:t>
      </w:r>
      <w:r>
        <w:rPr>
          <w:rFonts w:hint="eastAsia" w:ascii="宋体" w:hAnsi="宋体" w:eastAsia="宋体" w:cs="宋体"/>
          <w:sz w:val="24"/>
        </w:rPr>
        <w:t>“乙方”系指根据合同约定提供服务的供应单位，即卖方。</w:t>
      </w:r>
    </w:p>
    <w:p w14:paraId="55A8DFC0">
      <w:pPr>
        <w:spacing w:line="360" w:lineRule="auto"/>
        <w:ind w:firstLine="540" w:firstLineChars="225"/>
        <w:rPr>
          <w:rFonts w:ascii="宋体" w:hAnsi="宋体" w:eastAsia="宋体" w:cs="宋体"/>
          <w:sz w:val="24"/>
        </w:rPr>
      </w:pPr>
      <w:r>
        <w:rPr>
          <w:rFonts w:ascii="宋体" w:hAnsi="宋体" w:eastAsia="宋体" w:cs="宋体"/>
          <w:sz w:val="24"/>
        </w:rPr>
        <w:t xml:space="preserve">1.7 </w:t>
      </w:r>
      <w:r>
        <w:rPr>
          <w:rFonts w:hint="eastAsia" w:ascii="宋体" w:hAnsi="宋体" w:eastAsia="宋体" w:cs="宋体"/>
          <w:sz w:val="24"/>
        </w:rPr>
        <w:t>“现场”系指合同约定服务内容实施地点。</w:t>
      </w:r>
    </w:p>
    <w:p w14:paraId="4A9CB399">
      <w:pPr>
        <w:snapToGrid w:val="0"/>
        <w:spacing w:line="360" w:lineRule="auto"/>
        <w:ind w:firstLine="540" w:firstLineChars="225"/>
        <w:rPr>
          <w:rFonts w:ascii="宋体" w:hAnsi="宋体" w:eastAsia="宋体" w:cs="宋体"/>
          <w:sz w:val="24"/>
        </w:rPr>
      </w:pPr>
      <w:r>
        <w:rPr>
          <w:rFonts w:ascii="宋体" w:hAnsi="宋体" w:eastAsia="宋体" w:cs="宋体"/>
          <w:sz w:val="24"/>
        </w:rPr>
        <w:t xml:space="preserve">1.8 </w:t>
      </w:r>
      <w:r>
        <w:rPr>
          <w:rFonts w:hint="eastAsia" w:ascii="宋体" w:hAnsi="宋体" w:eastAsia="宋体" w:cs="宋体"/>
          <w:sz w:val="24"/>
        </w:rPr>
        <w:t>“必要的支持”系为保证乙方执行合同项下的服务所必须，甲方免费提供的数据、服务、设备以及便利。</w:t>
      </w:r>
    </w:p>
    <w:p w14:paraId="78A2CF2B">
      <w:pPr>
        <w:snapToGrid w:val="0"/>
        <w:spacing w:line="360" w:lineRule="auto"/>
        <w:ind w:firstLine="540" w:firstLineChars="225"/>
        <w:rPr>
          <w:rFonts w:ascii="宋体" w:hAnsi="宋体" w:eastAsia="宋体" w:cs="宋体"/>
          <w:sz w:val="24"/>
        </w:rPr>
      </w:pPr>
      <w:r>
        <w:rPr>
          <w:rFonts w:ascii="宋体" w:hAnsi="宋体" w:eastAsia="宋体" w:cs="宋体"/>
          <w:sz w:val="24"/>
        </w:rPr>
        <w:t>1.9</w:t>
      </w:r>
      <w:r>
        <w:rPr>
          <w:rFonts w:hint="eastAsia" w:ascii="宋体" w:hAnsi="宋体" w:eastAsia="宋体" w:cs="宋体"/>
          <w:sz w:val="24"/>
        </w:rPr>
        <w:t>“项目”系指项目。</w:t>
      </w:r>
    </w:p>
    <w:p w14:paraId="18F2959E">
      <w:pPr>
        <w:tabs>
          <w:tab w:val="left" w:pos="851"/>
        </w:tabs>
        <w:spacing w:line="360" w:lineRule="auto"/>
        <w:ind w:firstLine="482" w:firstLineChars="200"/>
        <w:rPr>
          <w:rFonts w:ascii="宋体" w:hAnsi="宋体" w:eastAsia="宋体" w:cs="宋体"/>
          <w:b/>
          <w:sz w:val="24"/>
        </w:rPr>
      </w:pPr>
      <w:r>
        <w:rPr>
          <w:rFonts w:ascii="宋体" w:hAnsi="宋体" w:eastAsia="宋体" w:cs="宋体"/>
          <w:b/>
          <w:kern w:val="0"/>
          <w:sz w:val="24"/>
        </w:rPr>
        <w:t>2.</w:t>
      </w:r>
      <w:r>
        <w:rPr>
          <w:rFonts w:hint="eastAsia" w:ascii="宋体" w:hAnsi="宋体" w:eastAsia="宋体" w:cs="宋体"/>
          <w:b/>
          <w:sz w:val="24"/>
        </w:rPr>
        <w:t>项目概括：</w:t>
      </w:r>
    </w:p>
    <w:p w14:paraId="2D627E94">
      <w:pPr>
        <w:snapToGrid w:val="0"/>
        <w:spacing w:line="360" w:lineRule="auto"/>
        <w:ind w:firstLine="540" w:firstLineChars="225"/>
        <w:rPr>
          <w:rFonts w:ascii="宋体" w:hAnsi="宋体" w:eastAsia="宋体" w:cs="宋体"/>
          <w:sz w:val="24"/>
        </w:rPr>
      </w:pPr>
      <w:r>
        <w:rPr>
          <w:rFonts w:ascii="宋体" w:hAnsi="宋体" w:eastAsia="宋体" w:cs="宋体"/>
          <w:sz w:val="24"/>
        </w:rPr>
        <w:t xml:space="preserve">2.1 </w:t>
      </w:r>
      <w:r>
        <w:rPr>
          <w:rFonts w:hint="eastAsia" w:ascii="宋体" w:hAnsi="宋体" w:eastAsia="宋体" w:cs="宋体"/>
          <w:sz w:val="24"/>
        </w:rPr>
        <w:t>项目简介：</w:t>
      </w:r>
    </w:p>
    <w:p w14:paraId="369EC5BD">
      <w:pPr>
        <w:snapToGrid w:val="0"/>
        <w:spacing w:line="360" w:lineRule="auto"/>
        <w:ind w:firstLine="540" w:firstLineChars="225"/>
        <w:rPr>
          <w:rFonts w:ascii="宋体" w:hAnsi="宋体" w:eastAsia="宋体" w:cs="宋体"/>
          <w:sz w:val="24"/>
        </w:rPr>
      </w:pPr>
      <w:r>
        <w:rPr>
          <w:rFonts w:ascii="宋体" w:hAnsi="宋体" w:eastAsia="宋体" w:cs="宋体"/>
          <w:sz w:val="24"/>
        </w:rPr>
        <w:t xml:space="preserve">2.2 </w:t>
      </w:r>
      <w:r>
        <w:rPr>
          <w:rFonts w:hint="eastAsia" w:ascii="宋体" w:hAnsi="宋体" w:eastAsia="宋体" w:cs="宋体"/>
          <w:sz w:val="24"/>
        </w:rPr>
        <w:t>期限：</w:t>
      </w:r>
    </w:p>
    <w:p w14:paraId="0414B290">
      <w:pPr>
        <w:snapToGrid w:val="0"/>
        <w:spacing w:line="360" w:lineRule="auto"/>
        <w:ind w:firstLine="540" w:firstLineChars="225"/>
        <w:rPr>
          <w:rFonts w:ascii="宋体" w:hAnsi="宋体" w:eastAsia="宋体" w:cs="宋体"/>
          <w:sz w:val="24"/>
        </w:rPr>
      </w:pPr>
      <w:r>
        <w:rPr>
          <w:rFonts w:ascii="宋体" w:hAnsi="宋体" w:eastAsia="宋体" w:cs="宋体"/>
          <w:sz w:val="24"/>
        </w:rPr>
        <w:t>2.3</w:t>
      </w:r>
      <w:r>
        <w:rPr>
          <w:rFonts w:hint="eastAsia" w:ascii="宋体" w:hAnsi="宋体" w:eastAsia="宋体" w:cs="宋体"/>
          <w:sz w:val="24"/>
        </w:rPr>
        <w:t>地点：</w:t>
      </w:r>
    </w:p>
    <w:p w14:paraId="2912FC0E">
      <w:pPr>
        <w:snapToGrid w:val="0"/>
        <w:spacing w:line="360" w:lineRule="auto"/>
        <w:ind w:firstLine="482" w:firstLineChars="200"/>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服务内容及要求</w:t>
      </w:r>
    </w:p>
    <w:p w14:paraId="585C7256">
      <w:pPr>
        <w:spacing w:line="360" w:lineRule="auto"/>
        <w:ind w:firstLine="540" w:firstLineChars="225"/>
        <w:rPr>
          <w:rFonts w:ascii="宋体" w:hAnsi="宋体" w:eastAsia="宋体" w:cs="宋体"/>
          <w:sz w:val="24"/>
        </w:rPr>
      </w:pPr>
      <w:r>
        <w:rPr>
          <w:rFonts w:hint="eastAsia" w:ascii="宋体" w:hAnsi="宋体" w:eastAsia="宋体" w:cs="宋体"/>
          <w:sz w:val="24"/>
        </w:rPr>
        <w:t>3.1培训对象：</w:t>
      </w:r>
    </w:p>
    <w:p w14:paraId="6D9B317E">
      <w:pPr>
        <w:spacing w:line="360" w:lineRule="auto"/>
        <w:ind w:firstLine="540" w:firstLineChars="225"/>
        <w:rPr>
          <w:rFonts w:ascii="宋体" w:hAnsi="宋体" w:eastAsia="宋体" w:cs="宋体"/>
          <w:sz w:val="24"/>
        </w:rPr>
      </w:pPr>
      <w:r>
        <w:rPr>
          <w:rFonts w:hint="eastAsia" w:ascii="宋体" w:hAnsi="宋体" w:eastAsia="宋体" w:cs="宋体"/>
          <w:sz w:val="24"/>
        </w:rPr>
        <w:t>3.2培训时间：</w:t>
      </w:r>
    </w:p>
    <w:p w14:paraId="75C6B052">
      <w:pPr>
        <w:spacing w:line="360" w:lineRule="auto"/>
        <w:ind w:firstLine="540" w:firstLineChars="225"/>
        <w:rPr>
          <w:rFonts w:ascii="宋体" w:hAnsi="宋体" w:eastAsia="宋体" w:cs="宋体"/>
          <w:sz w:val="24"/>
        </w:rPr>
      </w:pPr>
      <w:r>
        <w:rPr>
          <w:rFonts w:hint="eastAsia" w:ascii="宋体" w:hAnsi="宋体" w:eastAsia="宋体" w:cs="宋体"/>
          <w:sz w:val="24"/>
        </w:rPr>
        <w:t>3.3培训内容：</w:t>
      </w:r>
    </w:p>
    <w:p w14:paraId="62673C3D">
      <w:pPr>
        <w:spacing w:line="360" w:lineRule="auto"/>
        <w:ind w:firstLine="540" w:firstLineChars="225"/>
        <w:rPr>
          <w:rFonts w:ascii="宋体" w:hAnsi="宋体" w:eastAsia="宋体" w:cs="宋体"/>
          <w:sz w:val="24"/>
        </w:rPr>
      </w:pPr>
      <w:r>
        <w:rPr>
          <w:rFonts w:hint="eastAsia" w:ascii="宋体" w:hAnsi="宋体" w:eastAsia="宋体" w:cs="宋体"/>
          <w:sz w:val="24"/>
        </w:rPr>
        <w:t>3.4培训形式：</w:t>
      </w:r>
    </w:p>
    <w:p w14:paraId="2D7ED324">
      <w:pPr>
        <w:tabs>
          <w:tab w:val="left" w:pos="5865"/>
        </w:tabs>
        <w:spacing w:line="360" w:lineRule="auto"/>
        <w:ind w:firstLine="482" w:firstLineChars="200"/>
        <w:rPr>
          <w:rFonts w:ascii="宋体" w:hAnsi="宋体" w:eastAsia="宋体" w:cs="宋体"/>
          <w:b/>
          <w:sz w:val="24"/>
        </w:rPr>
      </w:pPr>
      <w:r>
        <w:rPr>
          <w:rFonts w:hint="eastAsia" w:ascii="宋体" w:hAnsi="宋体" w:eastAsia="宋体" w:cs="宋体"/>
          <w:b/>
          <w:sz w:val="24"/>
        </w:rPr>
        <w:t>4</w:t>
      </w:r>
      <w:r>
        <w:rPr>
          <w:rFonts w:ascii="宋体" w:hAnsi="宋体" w:eastAsia="宋体" w:cs="宋体"/>
          <w:b/>
          <w:sz w:val="24"/>
        </w:rPr>
        <w:t xml:space="preserve">. </w:t>
      </w:r>
      <w:r>
        <w:rPr>
          <w:rFonts w:hint="eastAsia" w:ascii="宋体" w:hAnsi="宋体" w:eastAsia="宋体" w:cs="宋体"/>
          <w:b/>
          <w:sz w:val="24"/>
        </w:rPr>
        <w:t>双方权利和义务</w:t>
      </w:r>
      <w:r>
        <w:rPr>
          <w:rFonts w:ascii="宋体" w:hAnsi="宋体" w:eastAsia="宋体" w:cs="宋体"/>
          <w:b/>
          <w:sz w:val="24"/>
        </w:rPr>
        <w:tab/>
      </w:r>
    </w:p>
    <w:p w14:paraId="7576E3E4">
      <w:pPr>
        <w:tabs>
          <w:tab w:val="left" w:pos="5865"/>
        </w:tabs>
        <w:spacing w:line="360" w:lineRule="auto"/>
        <w:ind w:firstLine="480" w:firstLineChars="200"/>
        <w:rPr>
          <w:rFonts w:ascii="宋体" w:hAnsi="宋体" w:eastAsia="宋体" w:cs="宋体"/>
          <w:b/>
          <w:sz w:val="24"/>
        </w:rPr>
      </w:pPr>
      <w:r>
        <w:rPr>
          <w:rFonts w:hint="eastAsia" w:ascii="宋体" w:hAnsi="宋体" w:eastAsia="宋体" w:cs="宋体"/>
          <w:sz w:val="24"/>
        </w:rPr>
        <w:t>4</w:t>
      </w:r>
      <w:r>
        <w:rPr>
          <w:rFonts w:ascii="宋体" w:hAnsi="宋体" w:eastAsia="宋体" w:cs="宋体"/>
          <w:sz w:val="24"/>
        </w:rPr>
        <w:t>.1</w:t>
      </w:r>
      <w:r>
        <w:rPr>
          <w:rFonts w:hint="eastAsia" w:ascii="宋体" w:hAnsi="宋体" w:eastAsia="宋体" w:cs="宋体"/>
          <w:b/>
          <w:sz w:val="24"/>
        </w:rPr>
        <w:t>甲方权利与义务：</w:t>
      </w:r>
    </w:p>
    <w:p w14:paraId="6D119D88">
      <w:pPr>
        <w:tabs>
          <w:tab w:val="left" w:pos="720"/>
        </w:tabs>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.1.1 </w:t>
      </w:r>
      <w:r>
        <w:rPr>
          <w:rFonts w:hint="eastAsia" w:ascii="宋体" w:hAnsi="宋体" w:eastAsia="宋体" w:cs="宋体"/>
          <w:sz w:val="24"/>
        </w:rPr>
        <w:t>甲方有权利对培训班整体工作方案、培训计划、实施方案进行审定并进行及时监督。</w:t>
      </w:r>
    </w:p>
    <w:p w14:paraId="57D56669">
      <w:pPr>
        <w:tabs>
          <w:tab w:val="left" w:pos="720"/>
        </w:tabs>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xml:space="preserve">.1.2 </w:t>
      </w:r>
      <w:r>
        <w:rPr>
          <w:rFonts w:hint="eastAsia" w:ascii="宋体" w:hAnsi="宋体" w:eastAsia="宋体" w:cs="宋体"/>
          <w:sz w:val="24"/>
        </w:rPr>
        <w:t>甲方有权对培训质量进行监督，对不符合培训要求的情况，甲方有权提出要求进行整改。</w:t>
      </w:r>
    </w:p>
    <w:p w14:paraId="30C6BBAA">
      <w:pPr>
        <w:tabs>
          <w:tab w:val="left" w:pos="720"/>
        </w:tabs>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.1.3</w:t>
      </w:r>
      <w:r>
        <w:rPr>
          <w:rFonts w:hint="eastAsia" w:ascii="宋体" w:hAnsi="宋体" w:eastAsia="宋体" w:cs="宋体"/>
          <w:sz w:val="24"/>
        </w:rPr>
        <w:t>甲方有权利根据实际情况向乙方提出修改意见，经双方协商后实施。</w:t>
      </w:r>
    </w:p>
    <w:p w14:paraId="531A235A">
      <w:pPr>
        <w:tabs>
          <w:tab w:val="left" w:pos="720"/>
        </w:tabs>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.1.4</w:t>
      </w:r>
      <w:r>
        <w:rPr>
          <w:rFonts w:hint="eastAsia" w:ascii="宋体" w:hAnsi="宋体" w:eastAsia="宋体" w:cs="宋体"/>
          <w:sz w:val="24"/>
        </w:rPr>
        <w:t>甲方非因不可抗力因素如需延期开展培训项目活动，应提前</w:t>
      </w:r>
      <w:r>
        <w:rPr>
          <w:rFonts w:ascii="宋体" w:hAnsi="宋体" w:eastAsia="宋体" w:cs="宋体"/>
          <w:sz w:val="24"/>
          <w:u w:val="single"/>
        </w:rPr>
        <w:t xml:space="preserve"> </w:t>
      </w:r>
      <w:r>
        <w:rPr>
          <w:rFonts w:hint="eastAsia" w:ascii="宋体" w:hAnsi="宋体" w:eastAsia="宋体" w:cs="宋体"/>
          <w:sz w:val="24"/>
          <w:u w:val="single"/>
        </w:rPr>
        <w:t>15</w:t>
      </w:r>
      <w:r>
        <w:rPr>
          <w:rFonts w:hint="eastAsia" w:ascii="宋体" w:hAnsi="宋体" w:eastAsia="宋体" w:cs="宋体"/>
          <w:sz w:val="24"/>
        </w:rPr>
        <w:t>日告知乙方，双方协商修改培训安排。</w:t>
      </w:r>
    </w:p>
    <w:p w14:paraId="2CCB0F2F">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.1.5</w:t>
      </w:r>
      <w:r>
        <w:rPr>
          <w:rFonts w:hint="eastAsia" w:ascii="宋体" w:hAnsi="宋体" w:eastAsia="宋体" w:cs="宋体"/>
          <w:sz w:val="24"/>
        </w:rPr>
        <w:t>甲方应按照协议约定，为乙方开展工作提供必要的便利条件。。</w:t>
      </w:r>
    </w:p>
    <w:p w14:paraId="05124F9A">
      <w:pPr>
        <w:tabs>
          <w:tab w:val="left" w:pos="720"/>
        </w:tabs>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.1.6</w:t>
      </w:r>
      <w:r>
        <w:rPr>
          <w:rFonts w:hint="eastAsia" w:ascii="宋体" w:hAnsi="宋体" w:eastAsia="宋体" w:cs="宋体"/>
          <w:sz w:val="24"/>
        </w:rPr>
        <w:t>甲方应按合同约定履行付款的义务。</w:t>
      </w:r>
    </w:p>
    <w:p w14:paraId="2A846C09">
      <w:pPr>
        <w:spacing w:line="360" w:lineRule="auto"/>
        <w:ind w:firstLine="482" w:firstLineChars="200"/>
        <w:rPr>
          <w:rFonts w:ascii="宋体" w:hAnsi="宋体" w:eastAsia="宋体" w:cs="宋体"/>
          <w:b/>
          <w:sz w:val="24"/>
        </w:rPr>
      </w:pPr>
      <w:r>
        <w:rPr>
          <w:rFonts w:hint="eastAsia" w:ascii="宋体" w:hAnsi="宋体" w:eastAsia="宋体" w:cs="宋体"/>
          <w:b/>
          <w:sz w:val="24"/>
        </w:rPr>
        <w:t>4</w:t>
      </w:r>
      <w:r>
        <w:rPr>
          <w:rFonts w:ascii="宋体" w:hAnsi="宋体" w:eastAsia="宋体" w:cs="宋体"/>
          <w:b/>
          <w:sz w:val="24"/>
        </w:rPr>
        <w:t xml:space="preserve">.2 </w:t>
      </w:r>
      <w:r>
        <w:rPr>
          <w:rFonts w:hint="eastAsia" w:ascii="宋体" w:hAnsi="宋体" w:eastAsia="宋体" w:cs="宋体"/>
          <w:b/>
          <w:sz w:val="24"/>
        </w:rPr>
        <w:t>乙方权利与义务：</w:t>
      </w:r>
    </w:p>
    <w:p w14:paraId="35316BBD">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.2.1</w:t>
      </w:r>
      <w:r>
        <w:rPr>
          <w:rFonts w:hint="eastAsia" w:ascii="宋体" w:hAnsi="宋体" w:eastAsia="宋体" w:cs="宋体"/>
          <w:sz w:val="24"/>
        </w:rPr>
        <w:t>乙方应按照甲方要求制定整体培训工作方案和培训计划，并按照双方确认的培训方案组织实施和管理。</w:t>
      </w:r>
    </w:p>
    <w:p w14:paraId="43FEFCAA">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.2.2</w:t>
      </w:r>
      <w:r>
        <w:rPr>
          <w:rFonts w:hint="eastAsia" w:ascii="宋体" w:hAnsi="宋体" w:eastAsia="宋体" w:cs="宋体"/>
          <w:sz w:val="24"/>
        </w:rPr>
        <w:t>乙方应保证授课教师按本协议书规定按时授课，未经甲方同意不得擅自调换授课教师或变更培训内容。</w:t>
      </w:r>
    </w:p>
    <w:p w14:paraId="282FD8C8">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.2.3</w:t>
      </w:r>
      <w:r>
        <w:rPr>
          <w:rFonts w:hint="eastAsia" w:ascii="宋体" w:hAnsi="宋体" w:eastAsia="宋体" w:cs="宋体"/>
          <w:sz w:val="24"/>
        </w:rPr>
        <w:t>乙方配备班主任及服务人员对培训班进行日常管理，并对参训人员进行安全教育和后勤保障，确保参训人员的人身及财产安全。</w:t>
      </w:r>
    </w:p>
    <w:p w14:paraId="4E9C2E06">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w:t>
      </w:r>
      <w:r>
        <w:rPr>
          <w:rFonts w:hint="eastAsia" w:ascii="宋体" w:hAnsi="宋体" w:eastAsia="宋体" w:cs="宋体"/>
          <w:sz w:val="24"/>
        </w:rPr>
        <w:t>4乙方在培训班结束后向甲方提交培训总结报告。</w:t>
      </w:r>
    </w:p>
    <w:p w14:paraId="589E6CF4">
      <w:pPr>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w:t>
      </w:r>
      <w:r>
        <w:rPr>
          <w:rFonts w:hint="eastAsia" w:ascii="宋体" w:hAnsi="宋体" w:eastAsia="宋体" w:cs="宋体"/>
          <w:sz w:val="24"/>
        </w:rPr>
        <w:t>5培训过程中，如遇突发问题等特殊情况，乙方应及时向甲方报告，双方协商解决。</w:t>
      </w:r>
    </w:p>
    <w:p w14:paraId="50C69F23">
      <w:pPr>
        <w:tabs>
          <w:tab w:val="left" w:pos="720"/>
        </w:tabs>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w:t>
      </w:r>
      <w:r>
        <w:rPr>
          <w:rFonts w:hint="eastAsia" w:ascii="宋体" w:hAnsi="宋体" w:eastAsia="宋体" w:cs="宋体"/>
          <w:sz w:val="24"/>
        </w:rPr>
        <w:t>6乙方应按合同约定履行其他的相应义务。</w:t>
      </w:r>
    </w:p>
    <w:p w14:paraId="6ED3DB07">
      <w:pPr>
        <w:snapToGrid w:val="0"/>
        <w:spacing w:line="360" w:lineRule="auto"/>
        <w:ind w:firstLine="482" w:firstLineChars="200"/>
        <w:rPr>
          <w:rFonts w:ascii="宋体" w:hAnsi="宋体" w:eastAsia="宋体" w:cs="宋体"/>
          <w:sz w:val="24"/>
        </w:rPr>
      </w:pPr>
      <w:r>
        <w:rPr>
          <w:rFonts w:hint="eastAsia" w:ascii="宋体" w:hAnsi="宋体" w:eastAsia="宋体" w:cs="宋体"/>
          <w:b/>
          <w:bCs/>
          <w:sz w:val="24"/>
        </w:rPr>
        <w:t>5</w:t>
      </w:r>
      <w:r>
        <w:rPr>
          <w:rFonts w:ascii="宋体" w:hAnsi="宋体" w:eastAsia="宋体" w:cs="宋体"/>
          <w:b/>
          <w:bCs/>
          <w:sz w:val="24"/>
        </w:rPr>
        <w:t>.</w:t>
      </w:r>
      <w:r>
        <w:rPr>
          <w:rFonts w:hint="eastAsia" w:ascii="宋体" w:hAnsi="宋体" w:eastAsia="宋体" w:cs="宋体"/>
          <w:b/>
          <w:bCs/>
          <w:sz w:val="24"/>
        </w:rPr>
        <w:t>服务费及资金付款进度</w:t>
      </w:r>
    </w:p>
    <w:p w14:paraId="5086892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 xml:space="preserve">.1 </w:t>
      </w:r>
      <w:r>
        <w:rPr>
          <w:rFonts w:hint="eastAsia" w:ascii="宋体" w:hAnsi="宋体" w:eastAsia="宋体" w:cs="宋体"/>
          <w:sz w:val="24"/>
        </w:rPr>
        <w:t>本次项目的费用为人民币_________</w:t>
      </w:r>
      <w:r>
        <w:rPr>
          <w:rFonts w:ascii="宋体" w:hAnsi="宋体" w:eastAsia="宋体" w:cs="宋体"/>
          <w:sz w:val="24"/>
        </w:rPr>
        <w:t>_____</w:t>
      </w:r>
      <w:r>
        <w:rPr>
          <w:rFonts w:hint="eastAsia" w:ascii="宋体" w:hAnsi="宋体" w:eastAsia="宋体" w:cs="宋体"/>
          <w:sz w:val="24"/>
        </w:rPr>
        <w:t>万元，包括但不限于执行该项目所产生的课程录制费、视频制作费、网络技术服务费、人员费用、场地租赁费、讲课费、交通费、食宿费、办公用品费等，费用明细见合同附件。</w:t>
      </w:r>
    </w:p>
    <w:p w14:paraId="5448E03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 xml:space="preserve">.2 </w:t>
      </w:r>
      <w:r>
        <w:rPr>
          <w:rFonts w:hint="eastAsia" w:ascii="宋体" w:hAnsi="宋体" w:eastAsia="宋体" w:cs="宋体"/>
          <w:sz w:val="24"/>
        </w:rPr>
        <w:t>甲方同意在本合同签订后十五个工作日内，支付乙方总金额</w:t>
      </w:r>
      <w:r>
        <w:rPr>
          <w:rFonts w:hint="eastAsia" w:ascii="宋体" w:hAnsi="宋体" w:eastAsia="宋体" w:cs="宋体"/>
          <w:sz w:val="24"/>
          <w:u w:val="single"/>
        </w:rPr>
        <w:t xml:space="preserve">     %</w:t>
      </w:r>
      <w:r>
        <w:rPr>
          <w:rFonts w:hint="eastAsia" w:ascii="宋体" w:hAnsi="宋体" w:eastAsia="宋体" w:cs="宋体"/>
          <w:sz w:val="24"/>
        </w:rPr>
        <w:t>的首付款，乙方需自收取该笔款项后之日起十五个工作日内出具符合甲方要求的合法等额的发票。</w:t>
      </w:r>
    </w:p>
    <w:p w14:paraId="0ACE23D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 xml:space="preserve">.3 </w:t>
      </w:r>
      <w:r>
        <w:rPr>
          <w:rFonts w:hint="eastAsia" w:ascii="宋体" w:hAnsi="宋体" w:eastAsia="宋体" w:cs="宋体"/>
          <w:sz w:val="24"/>
        </w:rPr>
        <w:t>培训班结束后，乙方向甲方提交总结报告，甲方根据培训情况及乙方提交的总结对乙方服务情况做总体评估后向乙方支付总金额</w:t>
      </w:r>
      <w:r>
        <w:rPr>
          <w:rFonts w:hint="eastAsia" w:ascii="宋体" w:hAnsi="宋体" w:eastAsia="宋体" w:cs="宋体"/>
          <w:sz w:val="24"/>
          <w:u w:val="single"/>
        </w:rPr>
        <w:t xml:space="preserve">     %</w:t>
      </w:r>
      <w:r>
        <w:rPr>
          <w:rFonts w:hint="eastAsia" w:ascii="宋体" w:hAnsi="宋体" w:eastAsia="宋体" w:cs="宋体"/>
          <w:sz w:val="24"/>
        </w:rPr>
        <w:t>的余款，如乙方存在任何违约行为或培训效果未达到甲方要求，甲方有权酌情从余款中扣除部分作为违约金。乙方应在甲方付款前向甲方开具正规、合法发票，否则甲方有权暂不付款且不承担逾期付款的违约责任。乙方必须将培训费用全部用于培训相关事项，不得挪作他用。</w:t>
      </w:r>
    </w:p>
    <w:p w14:paraId="214135F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 xml:space="preserve">.4 </w:t>
      </w:r>
      <w:r>
        <w:rPr>
          <w:rFonts w:hint="eastAsia" w:ascii="宋体" w:hAnsi="宋体" w:eastAsia="宋体" w:cs="宋体"/>
          <w:sz w:val="24"/>
        </w:rPr>
        <w:t>银行信息：甲方应将本合同项下所有费用付至乙方以下银行账户。</w:t>
      </w:r>
    </w:p>
    <w:p w14:paraId="5DBEFB52">
      <w:pPr>
        <w:snapToGrid w:val="0"/>
        <w:spacing w:line="360" w:lineRule="auto"/>
        <w:ind w:left="479" w:leftChars="228"/>
        <w:rPr>
          <w:rFonts w:ascii="宋体" w:hAnsi="宋体" w:eastAsia="宋体" w:cs="宋体"/>
          <w:sz w:val="24"/>
        </w:rPr>
      </w:pPr>
      <w:r>
        <w:rPr>
          <w:rFonts w:hint="eastAsia" w:ascii="宋体" w:hAnsi="宋体" w:eastAsia="宋体" w:cs="宋体"/>
          <w:sz w:val="24"/>
        </w:rPr>
        <w:t>账户名称：</w:t>
      </w:r>
      <w:r>
        <w:rPr>
          <w:rFonts w:ascii="宋体" w:hAnsi="宋体" w:eastAsia="宋体" w:cs="宋体"/>
          <w:sz w:val="24"/>
        </w:rPr>
        <w:br w:type="textWrapping"/>
      </w:r>
      <w:r>
        <w:rPr>
          <w:rFonts w:hint="eastAsia" w:ascii="宋体" w:hAnsi="宋体" w:eastAsia="宋体" w:cs="宋体"/>
          <w:sz w:val="24"/>
        </w:rPr>
        <w:t>账号：</w:t>
      </w:r>
    </w:p>
    <w:p w14:paraId="02BC6F6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开户行：</w:t>
      </w:r>
    </w:p>
    <w:p w14:paraId="120A8A81">
      <w:pPr>
        <w:snapToGrid w:val="0"/>
        <w:spacing w:line="360" w:lineRule="auto"/>
        <w:ind w:firstLine="482" w:firstLineChars="200"/>
        <w:rPr>
          <w:rFonts w:ascii="宋体" w:hAnsi="宋体" w:eastAsia="宋体" w:cs="宋体"/>
          <w:sz w:val="24"/>
        </w:rPr>
      </w:pPr>
      <w:r>
        <w:rPr>
          <w:rFonts w:hint="eastAsia" w:ascii="宋体" w:hAnsi="宋体" w:eastAsia="宋体" w:cs="宋体"/>
          <w:b/>
          <w:bCs/>
          <w:sz w:val="24"/>
        </w:rPr>
        <w:t>6</w:t>
      </w:r>
      <w:r>
        <w:rPr>
          <w:rFonts w:ascii="宋体" w:hAnsi="宋体" w:eastAsia="宋体" w:cs="宋体"/>
          <w:b/>
          <w:bCs/>
          <w:sz w:val="24"/>
        </w:rPr>
        <w:t>.</w:t>
      </w:r>
      <w:r>
        <w:rPr>
          <w:rFonts w:hint="eastAsia" w:ascii="宋体" w:hAnsi="宋体" w:eastAsia="宋体" w:cs="宋体"/>
          <w:b/>
          <w:bCs/>
          <w:sz w:val="24"/>
        </w:rPr>
        <w:t>合同终止和违约责任</w:t>
      </w:r>
    </w:p>
    <w:p w14:paraId="3970204D">
      <w:pPr>
        <w:snapToGrid w:val="0"/>
        <w:spacing w:line="360" w:lineRule="auto"/>
        <w:rPr>
          <w:rFonts w:ascii="宋体" w:hAnsi="宋体" w:eastAsia="宋体" w:cs="宋体"/>
          <w:sz w:val="24"/>
        </w:rPr>
      </w:pPr>
      <w:r>
        <w:rPr>
          <w:rFonts w:hint="eastAsia" w:ascii="宋体" w:hAnsi="宋体" w:eastAsia="宋体" w:cs="宋体"/>
          <w:sz w:val="24"/>
        </w:rPr>
        <w:t>在下述条件下，本合同书可提前终止：</w:t>
      </w:r>
    </w:p>
    <w:p w14:paraId="1D94059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.1 </w:t>
      </w:r>
      <w:r>
        <w:rPr>
          <w:rFonts w:hint="eastAsia" w:ascii="宋体" w:hAnsi="宋体" w:eastAsia="宋体" w:cs="宋体"/>
          <w:sz w:val="24"/>
        </w:rPr>
        <w:t>如果一方破产，或正在进行清算程序，或其财产的实质性部分被没收或扣押，则另一方可经书面通知该方而立即终止本合同，并有权要求其赔偿由此造成的损失；</w:t>
      </w:r>
    </w:p>
    <w:p w14:paraId="52A811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.2 </w:t>
      </w:r>
      <w:r>
        <w:rPr>
          <w:rFonts w:hint="eastAsia" w:ascii="宋体" w:hAnsi="宋体" w:eastAsia="宋体" w:cs="宋体"/>
          <w:sz w:val="24"/>
        </w:rPr>
        <w:t>如果一方的所有权、组织结构、控制与管理发生重大变化，而导致其不能履行本合同的，则另一方可经书面通知该方而立即终止本合同，并有权要求其赔偿由此造成的损失；</w:t>
      </w:r>
    </w:p>
    <w:p w14:paraId="14A6089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.3 </w:t>
      </w:r>
      <w:r>
        <w:rPr>
          <w:rFonts w:hint="eastAsia" w:ascii="宋体" w:hAnsi="宋体" w:eastAsia="宋体" w:cs="宋体"/>
          <w:sz w:val="24"/>
        </w:rPr>
        <w:t>除本合同另有约定外，如果一方违反本合同书任何约定并在收到另一方向其发出的书面通知后十五天内仍不纠正违约行为，则另一方可经书面通知该方而立即终止本合同，并有权要求其赔偿由此造成的损失。</w:t>
      </w:r>
    </w:p>
    <w:p w14:paraId="40A3538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.4 </w:t>
      </w:r>
      <w:r>
        <w:rPr>
          <w:rFonts w:hint="eastAsia" w:ascii="宋体" w:hAnsi="宋体" w:eastAsia="宋体" w:cs="宋体"/>
          <w:sz w:val="24"/>
        </w:rPr>
        <w:t>如果本合同一方不按照合同约定履行义务，则应按照下述规定承担违约责任：</w:t>
      </w:r>
    </w:p>
    <w:p w14:paraId="54C84C5E">
      <w:pPr>
        <w:snapToGrid w:val="0"/>
        <w:spacing w:line="360" w:lineRule="auto"/>
        <w:ind w:firstLine="540" w:firstLineChars="225"/>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.4.1 </w:t>
      </w:r>
      <w:r>
        <w:rPr>
          <w:rFonts w:hint="eastAsia" w:ascii="宋体" w:hAnsi="宋体" w:eastAsia="宋体" w:cs="宋体"/>
          <w:sz w:val="24"/>
        </w:rPr>
        <w:t>如果乙方未能履行合同或履行合同不符合约定，甲方应就此向乙方发出书面通知，指出乙方没有适当履行的合同条款，并要求纠正。如果乙方确属违约，并且乙方在收到甲方书面通知之日起十日内仍不纠正违约行为或已无法纠正，甲方有权要求乙方承担金额最高不超过服务费总额</w:t>
      </w:r>
      <w:r>
        <w:rPr>
          <w:rFonts w:ascii="宋体" w:hAnsi="宋体" w:eastAsia="宋体" w:cs="宋体"/>
          <w:sz w:val="24"/>
        </w:rPr>
        <w:t>30</w:t>
      </w:r>
      <w:r>
        <w:rPr>
          <w:rFonts w:hint="eastAsia" w:ascii="宋体" w:hAnsi="宋体" w:eastAsia="宋体" w:cs="宋体"/>
          <w:sz w:val="24"/>
        </w:rPr>
        <w:t>％的违约金。</w:t>
      </w:r>
    </w:p>
    <w:p w14:paraId="23268253">
      <w:pPr>
        <w:snapToGrid w:val="0"/>
        <w:spacing w:line="360" w:lineRule="auto"/>
        <w:ind w:firstLine="540" w:firstLineChars="225"/>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.4.2 </w:t>
      </w:r>
      <w:r>
        <w:rPr>
          <w:rFonts w:hint="eastAsia" w:ascii="宋体" w:hAnsi="宋体" w:eastAsia="宋体" w:cs="宋体"/>
          <w:sz w:val="24"/>
        </w:rPr>
        <w:t>甲方应当根据本合同约定按时向乙方付款，无正当理由迟延付款的，每迟延支付一日，应支付迟延付款金额</w:t>
      </w:r>
      <w:r>
        <w:rPr>
          <w:rFonts w:ascii="宋体" w:hAnsi="宋体" w:eastAsia="宋体" w:cs="宋体"/>
          <w:sz w:val="24"/>
        </w:rPr>
        <w:t>0.1</w:t>
      </w:r>
      <w:r>
        <w:rPr>
          <w:rFonts w:hint="eastAsia" w:ascii="宋体" w:hAnsi="宋体" w:eastAsia="宋体" w:cs="宋体"/>
          <w:sz w:val="24"/>
        </w:rPr>
        <w:t>‰的违约金。</w:t>
      </w:r>
    </w:p>
    <w:p w14:paraId="17626B45">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7</w:t>
      </w:r>
      <w:r>
        <w:rPr>
          <w:rFonts w:ascii="宋体" w:hAnsi="宋体" w:eastAsia="宋体" w:cs="宋体"/>
          <w:b/>
          <w:bCs/>
          <w:sz w:val="24"/>
        </w:rPr>
        <w:t>.</w:t>
      </w:r>
      <w:r>
        <w:rPr>
          <w:rFonts w:hint="eastAsia" w:ascii="宋体" w:hAnsi="宋体" w:eastAsia="宋体" w:cs="宋体"/>
          <w:b/>
          <w:bCs/>
          <w:sz w:val="24"/>
        </w:rPr>
        <w:t>不可抗力</w:t>
      </w:r>
    </w:p>
    <w:p w14:paraId="35B9E3A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 xml:space="preserve">.1 </w:t>
      </w:r>
      <w:r>
        <w:rPr>
          <w:rFonts w:hint="eastAsia" w:ascii="宋体" w:hAnsi="宋体" w:eastAsia="宋体" w:cs="宋体"/>
          <w:sz w:val="24"/>
        </w:rPr>
        <w:t>“不可抗力”是指本合同签订后不可预见并且其发生和后果是双方无法避免和克服的事件，该等事件在合同签署后发生，并造成一方不能履行其在合同书项下的全部或部分义务。该等事件包括地震、台风、洪水、火灾、战争、瘟疫、流行病（包括非典型肺炎或类似流行传染病）、动乱、罢工以及法律规定为“不可抗力”的其他事件。</w:t>
      </w:r>
    </w:p>
    <w:p w14:paraId="375E356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 xml:space="preserve">.2 </w:t>
      </w:r>
      <w:r>
        <w:rPr>
          <w:rFonts w:hint="eastAsia" w:ascii="宋体" w:hAnsi="宋体" w:eastAsia="宋体" w:cs="宋体"/>
          <w:sz w:val="24"/>
        </w:rPr>
        <w:t>如一项不可抗力事件发生并因此影响任何一方履行其在本合同项下的义务，则该项义务的履行在不可抗力事件导致的延迟期内可暂时中止，且该等不履行不视为对合同的违反。受到不可抗力事件影响的一方应当立即以书面形式将该不可抗力事件的发生通知另一方，并在此后十五日内提供该不可抗力事件发生和持续时间的充分证据。</w:t>
      </w:r>
    </w:p>
    <w:p w14:paraId="3432DCA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 xml:space="preserve">.3 </w:t>
      </w:r>
      <w:r>
        <w:rPr>
          <w:rFonts w:hint="eastAsia" w:ascii="宋体" w:hAnsi="宋体" w:eastAsia="宋体" w:cs="宋体"/>
          <w:sz w:val="24"/>
        </w:rPr>
        <w:t>发生不可抗力事件后，双方应相互协商以寻求公平的解决方法并应尽力将不可抗力所造成的影响减至最低。如果不可抗力的发生严重阻碍了合同的履行，且自不可抗力发生之日起三十日内双方仍无法找到公平的解决方法，则任何一方可提前终止本合同书。在此情况下，乙方应当退还甲方已经支付的款项（扣除乙方为本项目所已经实际支付的必要成本）。</w:t>
      </w:r>
    </w:p>
    <w:p w14:paraId="1E47A34C">
      <w:pPr>
        <w:autoSpaceDE w:val="0"/>
        <w:autoSpaceDN w:val="0"/>
        <w:adjustRightInd w:val="0"/>
        <w:spacing w:line="360" w:lineRule="auto"/>
        <w:ind w:firstLine="482" w:firstLineChars="200"/>
        <w:rPr>
          <w:rFonts w:ascii="宋体" w:hAnsi="宋体" w:eastAsia="宋体"/>
          <w:b/>
          <w:bCs/>
          <w:color w:val="000000"/>
          <w:kern w:val="0"/>
          <w:sz w:val="24"/>
        </w:rPr>
      </w:pPr>
      <w:r>
        <w:rPr>
          <w:rFonts w:hint="eastAsia" w:ascii="宋体" w:hAnsi="宋体" w:eastAsia="宋体" w:cs="宋体"/>
          <w:b/>
          <w:bCs/>
          <w:color w:val="000000"/>
          <w:kern w:val="0"/>
          <w:sz w:val="24"/>
          <w:lang w:val="zh-CN"/>
        </w:rPr>
        <w:t>8</w:t>
      </w:r>
      <w:r>
        <w:rPr>
          <w:rFonts w:ascii="宋体" w:hAnsi="宋体" w:eastAsia="宋体" w:cs="宋体"/>
          <w:b/>
          <w:bCs/>
          <w:color w:val="000000"/>
          <w:kern w:val="0"/>
          <w:sz w:val="24"/>
          <w:lang w:val="zh-CN"/>
        </w:rPr>
        <w:t>.</w:t>
      </w:r>
      <w:r>
        <w:rPr>
          <w:rFonts w:hint="eastAsia" w:ascii="宋体" w:hAnsi="宋体" w:eastAsia="宋体" w:cs="宋体"/>
          <w:b/>
          <w:bCs/>
          <w:color w:val="000000"/>
          <w:kern w:val="0"/>
          <w:sz w:val="24"/>
          <w:lang w:val="zh-CN"/>
        </w:rPr>
        <w:t>知识产权</w:t>
      </w:r>
    </w:p>
    <w:p w14:paraId="3D507007">
      <w:pPr>
        <w:autoSpaceDE w:val="0"/>
        <w:autoSpaceDN w:val="0"/>
        <w:adjustRightInd w:val="0"/>
        <w:spacing w:line="360" w:lineRule="auto"/>
        <w:ind w:firstLine="560"/>
        <w:rPr>
          <w:rFonts w:ascii="宋体" w:hAnsi="宋体" w:eastAsia="宋体" w:cs="宋体"/>
          <w:color w:val="000000"/>
          <w:kern w:val="0"/>
          <w:sz w:val="24"/>
          <w:lang w:val="zh-CN"/>
        </w:rPr>
      </w:pPr>
      <w:r>
        <w:rPr>
          <w:rFonts w:hint="eastAsia" w:ascii="宋体" w:hAnsi="宋体" w:eastAsia="宋体" w:cs="宋体"/>
          <w:color w:val="000000"/>
          <w:kern w:val="0"/>
          <w:sz w:val="24"/>
          <w:lang w:val="zh-CN"/>
        </w:rPr>
        <w:t>8</w:t>
      </w:r>
      <w:r>
        <w:rPr>
          <w:rFonts w:ascii="宋体" w:hAnsi="宋体" w:eastAsia="宋体" w:cs="宋体"/>
          <w:color w:val="000000"/>
          <w:kern w:val="0"/>
          <w:sz w:val="24"/>
          <w:lang w:val="zh-CN"/>
        </w:rPr>
        <w:t>.1</w:t>
      </w:r>
      <w:r>
        <w:rPr>
          <w:rFonts w:hint="eastAsia" w:ascii="宋体" w:hAnsi="宋体" w:eastAsia="宋体" w:cs="宋体"/>
          <w:color w:val="000000"/>
          <w:kern w:val="0"/>
          <w:sz w:val="24"/>
          <w:lang w:val="zh-CN"/>
        </w:rPr>
        <w:t>协议双方保证，一方向另一方提供的文件、资料及服务成果不会侵犯任何第三方的知识产权或其他合法权益，若因此给另一方造成损失的，由提供方依法承担相应法律责任。</w:t>
      </w:r>
    </w:p>
    <w:p w14:paraId="51E69914">
      <w:pPr>
        <w:autoSpaceDE w:val="0"/>
        <w:autoSpaceDN w:val="0"/>
        <w:adjustRightInd w:val="0"/>
        <w:spacing w:line="360" w:lineRule="auto"/>
        <w:ind w:firstLine="560"/>
        <w:rPr>
          <w:rFonts w:ascii="宋体" w:hAnsi="宋体" w:eastAsia="宋体"/>
          <w:color w:val="000000"/>
          <w:kern w:val="0"/>
          <w:sz w:val="30"/>
          <w:szCs w:val="30"/>
        </w:rPr>
      </w:pPr>
      <w:r>
        <w:rPr>
          <w:rFonts w:hint="eastAsia" w:ascii="宋体" w:hAnsi="宋体" w:eastAsia="宋体" w:cs="宋体"/>
          <w:color w:val="000000"/>
          <w:kern w:val="0"/>
          <w:sz w:val="24"/>
          <w:lang w:val="zh-CN"/>
        </w:rPr>
        <w:t>8</w:t>
      </w:r>
      <w:r>
        <w:rPr>
          <w:rFonts w:ascii="宋体" w:hAnsi="宋体" w:eastAsia="宋体" w:cs="宋体"/>
          <w:color w:val="000000"/>
          <w:kern w:val="0"/>
          <w:sz w:val="24"/>
          <w:lang w:val="zh-CN"/>
        </w:rPr>
        <w:t xml:space="preserve">.2 </w:t>
      </w:r>
      <w:r>
        <w:rPr>
          <w:rFonts w:hint="eastAsia" w:ascii="宋体" w:hAnsi="宋体" w:eastAsia="宋体" w:cs="宋体"/>
          <w:color w:val="000000"/>
          <w:kern w:val="0"/>
          <w:sz w:val="24"/>
          <w:lang w:val="zh-CN"/>
        </w:rPr>
        <w:t>培训中形成的讲课视频等服务成果的知识产权归甲方所有，未经甲方同意，乙方不得转让、许可或以其他方式提供给任何第三方使用。</w:t>
      </w:r>
    </w:p>
    <w:p w14:paraId="168B7A9F">
      <w:pPr>
        <w:numPr>
          <w:ilvl w:val="0"/>
          <w:numId w:val="8"/>
        </w:numPr>
        <w:snapToGrid w:val="0"/>
        <w:spacing w:line="360" w:lineRule="auto"/>
        <w:ind w:firstLine="542" w:firstLineChars="225"/>
        <w:rPr>
          <w:rFonts w:ascii="宋体" w:hAnsi="宋体" w:eastAsia="宋体" w:cs="宋体"/>
          <w:b/>
          <w:bCs/>
          <w:sz w:val="24"/>
        </w:rPr>
      </w:pPr>
      <w:r>
        <w:rPr>
          <w:rFonts w:hint="eastAsia" w:ascii="宋体" w:hAnsi="宋体" w:eastAsia="宋体" w:cs="宋体"/>
          <w:b/>
          <w:bCs/>
          <w:sz w:val="24"/>
        </w:rPr>
        <w:t>保密条款</w:t>
      </w:r>
    </w:p>
    <w:p w14:paraId="7FEBDDE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双方对在履行本协议中接触到的对方商业秘密、技术信息等未公开发布的一切信息进行保密，非经对方同意不得向第三方泄漏或用于本协议以外目的。双方应保证本方雇员、代理人和关联方履行上述义务。本条义务不因本协议的解除、终止、撤销而消灭。</w:t>
      </w:r>
    </w:p>
    <w:p w14:paraId="16AC02D1">
      <w:pPr>
        <w:spacing w:line="360" w:lineRule="auto"/>
        <w:ind w:firstLine="482" w:firstLineChars="200"/>
        <w:rPr>
          <w:rFonts w:ascii="宋体" w:hAnsi="宋体" w:eastAsia="宋体" w:cs="宋体"/>
          <w:b/>
          <w:bCs/>
          <w:sz w:val="24"/>
        </w:rPr>
      </w:pPr>
      <w:r>
        <w:rPr>
          <w:rFonts w:hint="eastAsia" w:ascii="宋体" w:hAnsi="宋体" w:eastAsia="宋体" w:cs="宋体"/>
          <w:b/>
          <w:bCs/>
          <w:sz w:val="24"/>
        </w:rPr>
        <w:t>10.争议解决</w:t>
      </w:r>
    </w:p>
    <w:p w14:paraId="5FF4CBFD">
      <w:pPr>
        <w:spacing w:line="360" w:lineRule="auto"/>
        <w:ind w:firstLine="480" w:firstLineChars="200"/>
        <w:rPr>
          <w:rFonts w:ascii="宋体" w:hAnsi="宋体" w:eastAsia="宋体" w:cs="宋体"/>
          <w:sz w:val="24"/>
        </w:rPr>
      </w:pPr>
      <w:r>
        <w:rPr>
          <w:rFonts w:hint="eastAsia" w:ascii="宋体" w:hAnsi="宋体" w:eastAsia="宋体" w:cs="宋体"/>
          <w:sz w:val="24"/>
        </w:rPr>
        <w:t>如果甲乙双方就本合同的履行发生任何争议，双方应首先通过友好协商解决该等争议。如果在协商开始的</w:t>
      </w:r>
      <w:r>
        <w:rPr>
          <w:rFonts w:ascii="宋体" w:hAnsi="宋体" w:eastAsia="宋体" w:cs="宋体"/>
          <w:sz w:val="24"/>
        </w:rPr>
        <w:t>30</w:t>
      </w:r>
      <w:r>
        <w:rPr>
          <w:rFonts w:hint="eastAsia" w:ascii="宋体" w:hAnsi="宋体" w:eastAsia="宋体" w:cs="宋体"/>
          <w:sz w:val="24"/>
        </w:rPr>
        <w:t>日内双方无法解决争议，</w:t>
      </w:r>
      <w:r>
        <w:rPr>
          <w:rFonts w:ascii="宋体" w:hAnsi="宋体" w:eastAsia="宋体" w:cs="宋体"/>
          <w:sz w:val="24"/>
        </w:rPr>
        <w:t>则各方同意在甲方住所地有管辖权的人民法院提起诉讼。在诉讼期间，除了必须在诉讼过程中进行解决的那部分问题外，合同其余部分应继续履行。</w:t>
      </w:r>
    </w:p>
    <w:p w14:paraId="4D428E5D">
      <w:pPr>
        <w:spacing w:line="360" w:lineRule="auto"/>
        <w:ind w:firstLine="482" w:firstLineChars="200"/>
        <w:rPr>
          <w:rFonts w:ascii="宋体" w:hAnsi="宋体" w:eastAsia="宋体" w:cs="宋体"/>
          <w:b/>
          <w:bCs/>
          <w:sz w:val="24"/>
        </w:rPr>
      </w:pPr>
      <w:r>
        <w:rPr>
          <w:rFonts w:hint="eastAsia" w:ascii="宋体" w:hAnsi="宋体" w:eastAsia="宋体" w:cs="宋体"/>
          <w:b/>
          <w:bCs/>
          <w:sz w:val="24"/>
        </w:rPr>
        <w:t>11.免责条款</w:t>
      </w:r>
    </w:p>
    <w:p w14:paraId="0D5C5D61">
      <w:pPr>
        <w:spacing w:line="360" w:lineRule="auto"/>
        <w:ind w:firstLine="480" w:firstLineChars="200"/>
        <w:rPr>
          <w:rFonts w:ascii="宋体" w:hAnsi="宋体" w:eastAsia="宋体" w:cs="宋体"/>
          <w:sz w:val="24"/>
        </w:rPr>
      </w:pPr>
      <w:r>
        <w:rPr>
          <w:rFonts w:ascii="宋体" w:hAnsi="宋体" w:eastAsia="宋体" w:cs="宋体"/>
          <w:sz w:val="24"/>
        </w:rPr>
        <w:t>甲乙双方任何一方因为政府行为、罢工、洪水、火灾、爆炸、雷电、地震风暴、停电、通讯线路中断等不可预见、不可避免、不可克服的不可抗力事件影响，从而全部或部分不能履行本协议或迟延履行本协议的，双方互不承担责任，但受不可抗力影响的一方应在事件发生后具备条件的第一时间知会另一方面，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协议的履行，除非此</w:t>
      </w:r>
      <w:r>
        <w:rPr>
          <w:rFonts w:hint="eastAsia" w:ascii="宋体" w:hAnsi="宋体" w:eastAsia="宋体" w:cs="宋体"/>
          <w:sz w:val="24"/>
        </w:rPr>
        <w:t>合同</w:t>
      </w:r>
      <w:r>
        <w:rPr>
          <w:rFonts w:ascii="宋体" w:hAnsi="宋体" w:eastAsia="宋体" w:cs="宋体"/>
          <w:sz w:val="24"/>
        </w:rPr>
        <w:t>履行已不可能或者不必要。</w:t>
      </w:r>
    </w:p>
    <w:p w14:paraId="2B7712AE">
      <w:pPr>
        <w:snapToGrid w:val="0"/>
        <w:spacing w:line="360" w:lineRule="auto"/>
        <w:ind w:firstLine="542" w:firstLineChars="225"/>
        <w:rPr>
          <w:rFonts w:ascii="宋体" w:hAnsi="宋体" w:eastAsia="宋体" w:cs="宋体"/>
          <w:sz w:val="24"/>
        </w:rPr>
      </w:pPr>
      <w:r>
        <w:rPr>
          <w:rFonts w:ascii="宋体" w:hAnsi="宋体" w:eastAsia="宋体" w:cs="宋体"/>
          <w:b/>
          <w:kern w:val="0"/>
          <w:sz w:val="24"/>
        </w:rPr>
        <w:t>1</w:t>
      </w:r>
      <w:r>
        <w:rPr>
          <w:rFonts w:hint="eastAsia" w:ascii="宋体" w:hAnsi="宋体" w:eastAsia="宋体" w:cs="宋体"/>
          <w:b/>
          <w:kern w:val="0"/>
          <w:sz w:val="24"/>
        </w:rPr>
        <w:t>2</w:t>
      </w:r>
      <w:r>
        <w:rPr>
          <w:rFonts w:ascii="宋体" w:hAnsi="宋体" w:eastAsia="宋体" w:cs="宋体"/>
          <w:b/>
          <w:kern w:val="0"/>
          <w:sz w:val="24"/>
        </w:rPr>
        <w:t>.</w:t>
      </w:r>
      <w:r>
        <w:rPr>
          <w:rFonts w:hint="eastAsia" w:ascii="宋体" w:hAnsi="宋体" w:eastAsia="宋体" w:cs="宋体"/>
          <w:b/>
          <w:kern w:val="0"/>
          <w:sz w:val="24"/>
        </w:rPr>
        <w:t>合同生效及其它</w:t>
      </w:r>
    </w:p>
    <w:p w14:paraId="121458C8">
      <w:pPr>
        <w:snapToGrid w:val="0"/>
        <w:spacing w:line="360" w:lineRule="auto"/>
        <w:ind w:firstLine="540" w:firstLineChars="225"/>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2</w:t>
      </w:r>
      <w:r>
        <w:rPr>
          <w:rFonts w:ascii="宋体" w:hAnsi="宋体" w:eastAsia="宋体" w:cs="宋体"/>
          <w:sz w:val="24"/>
        </w:rPr>
        <w:t xml:space="preserve">.1 </w:t>
      </w:r>
      <w:r>
        <w:rPr>
          <w:rFonts w:hint="eastAsia" w:ascii="宋体" w:hAnsi="宋体" w:eastAsia="宋体" w:cs="宋体"/>
          <w:sz w:val="24"/>
        </w:rPr>
        <w:t>双方本着善意和合作的目的，同意就本项目组织中发生的不可预见的变化进行友好协商，并签署书面确认，以修正并取代本合同的约定。如没有签署书面确认，双方以本合同为准。</w:t>
      </w:r>
    </w:p>
    <w:p w14:paraId="319EB3A5">
      <w:pPr>
        <w:snapToGrid w:val="0"/>
        <w:spacing w:line="360" w:lineRule="auto"/>
        <w:ind w:firstLine="540" w:firstLineChars="225"/>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2</w:t>
      </w:r>
      <w:r>
        <w:rPr>
          <w:rFonts w:ascii="宋体" w:hAnsi="宋体" w:eastAsia="宋体" w:cs="宋体"/>
          <w:sz w:val="24"/>
        </w:rPr>
        <w:t>.2</w:t>
      </w:r>
      <w:r>
        <w:rPr>
          <w:rFonts w:hint="eastAsia" w:ascii="宋体" w:hAnsi="宋体" w:eastAsia="宋体" w:cs="宋体"/>
          <w:sz w:val="24"/>
        </w:rPr>
        <w:t>本合同一式四份，甲方持三份、乙方持一份，经双方签字盖章后即发生法律效力，且均具有同等法律效力。</w:t>
      </w:r>
    </w:p>
    <w:p w14:paraId="305E8341">
      <w:pPr>
        <w:snapToGrid w:val="0"/>
        <w:spacing w:line="360" w:lineRule="auto"/>
        <w:ind w:firstLine="540" w:firstLineChars="225"/>
        <w:rPr>
          <w:rFonts w:ascii="宋体" w:hAnsi="宋体" w:eastAsia="宋体" w:cs="宋体"/>
          <w:sz w:val="24"/>
        </w:rPr>
      </w:pPr>
      <w:r>
        <w:rPr>
          <w:rFonts w:hint="eastAsia" w:ascii="宋体" w:hAnsi="宋体" w:eastAsia="宋体" w:cs="宋体"/>
          <w:sz w:val="24"/>
        </w:rPr>
        <w:t>12.3本合同涉及的竞争性磋商文件、响应文件及其澄清、说明或者补正文件均为本合同不可分割的部分，与本合同具有同等法律效力。</w:t>
      </w:r>
    </w:p>
    <w:p w14:paraId="34DE24F0">
      <w:pPr>
        <w:snapToGrid w:val="0"/>
        <w:spacing w:line="360" w:lineRule="auto"/>
        <w:ind w:firstLine="540" w:firstLineChars="225"/>
        <w:rPr>
          <w:rFonts w:ascii="宋体" w:hAnsi="宋体" w:eastAsia="宋体" w:cs="宋体"/>
          <w:sz w:val="24"/>
        </w:rPr>
      </w:pPr>
      <w:r>
        <w:rPr>
          <w:rFonts w:hint="eastAsia" w:ascii="宋体" w:hAnsi="宋体" w:eastAsia="宋体" w:cs="宋体"/>
          <w:sz w:val="24"/>
        </w:rPr>
        <w:t>12.4本合同中的附件均未本合同不可不可分割的部分，与本合同具有同等法律效力。</w:t>
      </w:r>
    </w:p>
    <w:p w14:paraId="493BDA3D">
      <w:pPr>
        <w:snapToGrid w:val="0"/>
        <w:spacing w:line="360" w:lineRule="auto"/>
        <w:ind w:firstLine="540" w:firstLineChars="225"/>
        <w:rPr>
          <w:rFonts w:ascii="宋体" w:hAnsi="宋体" w:eastAsia="宋体" w:cs="宋体"/>
          <w:sz w:val="24"/>
        </w:rPr>
      </w:pPr>
    </w:p>
    <w:p w14:paraId="183021D7">
      <w:pPr>
        <w:spacing w:line="360" w:lineRule="auto"/>
        <w:rPr>
          <w:rFonts w:ascii="宋体" w:hAnsi="宋体" w:eastAsia="宋体" w:cs="宋体"/>
          <w:sz w:val="24"/>
        </w:rPr>
      </w:pPr>
      <w:r>
        <w:rPr>
          <w:rFonts w:hint="eastAsia" w:ascii="宋体" w:hAnsi="宋体" w:eastAsia="宋体" w:cs="宋体"/>
          <w:sz w:val="24"/>
        </w:rPr>
        <w:t>甲方（采购人）：国家体育总局（公章）</w:t>
      </w:r>
      <w:r>
        <w:rPr>
          <w:rFonts w:ascii="宋体" w:hAnsi="宋体" w:eastAsia="宋体" w:cs="宋体"/>
          <w:sz w:val="24"/>
        </w:rPr>
        <w:tab/>
      </w:r>
    </w:p>
    <w:p w14:paraId="098EFA1E">
      <w:pPr>
        <w:spacing w:line="360" w:lineRule="auto"/>
        <w:ind w:firstLine="540" w:firstLineChars="225"/>
        <w:rPr>
          <w:rFonts w:ascii="宋体" w:hAnsi="宋体" w:eastAsia="宋体" w:cs="宋体"/>
          <w:sz w:val="24"/>
          <w:u w:val="single"/>
        </w:rPr>
      </w:pPr>
      <w:r>
        <w:rPr>
          <w:rFonts w:hint="eastAsia" w:ascii="宋体" w:hAnsi="宋体" w:eastAsia="宋体" w:cs="宋体"/>
          <w:sz w:val="24"/>
        </w:rPr>
        <w:t>法定代表或授权代表：　　　　　　</w:t>
      </w:r>
      <w:r>
        <w:rPr>
          <w:rFonts w:ascii="宋体" w:hAnsi="宋体" w:eastAsia="宋体" w:cs="宋体"/>
          <w:sz w:val="24"/>
        </w:rPr>
        <w:tab/>
      </w:r>
    </w:p>
    <w:p w14:paraId="4D1E0F8A">
      <w:pPr>
        <w:spacing w:line="360" w:lineRule="auto"/>
        <w:ind w:firstLine="540" w:firstLineChars="225"/>
        <w:rPr>
          <w:rFonts w:ascii="宋体" w:hAnsi="宋体" w:eastAsia="宋体" w:cs="宋体"/>
          <w:sz w:val="24"/>
        </w:rPr>
      </w:pPr>
      <w:r>
        <w:rPr>
          <w:rFonts w:hint="eastAsia" w:ascii="宋体" w:hAnsi="宋体" w:eastAsia="宋体" w:cs="宋体"/>
          <w:sz w:val="24"/>
        </w:rPr>
        <w:t>签订时间：</w:t>
      </w:r>
      <w:r>
        <w:rPr>
          <w:rFonts w:ascii="宋体" w:hAnsi="宋体" w:eastAsia="宋体" w:cs="宋体"/>
          <w:sz w:val="24"/>
        </w:rPr>
        <w:t>2025</w:t>
      </w:r>
      <w:r>
        <w:rPr>
          <w:rFonts w:hint="eastAsia" w:ascii="宋体" w:hAnsi="宋体" w:eastAsia="宋体" w:cs="宋体"/>
          <w:sz w:val="24"/>
        </w:rPr>
        <w:t xml:space="preserve">年 </w:t>
      </w:r>
      <w:r>
        <w:rPr>
          <w:rFonts w:ascii="宋体" w:hAnsi="宋体" w:eastAsia="宋体" w:cs="宋体"/>
          <w:sz w:val="24"/>
        </w:rPr>
        <w:t xml:space="preserve"> </w:t>
      </w:r>
      <w:r>
        <w:rPr>
          <w:rFonts w:hint="eastAsia" w:ascii="宋体" w:hAnsi="宋体" w:eastAsia="宋体" w:cs="宋体"/>
          <w:sz w:val="24"/>
        </w:rPr>
        <w:t xml:space="preserve">月 </w:t>
      </w:r>
      <w:r>
        <w:rPr>
          <w:rFonts w:ascii="宋体" w:hAnsi="宋体" w:eastAsia="宋体" w:cs="宋体"/>
          <w:sz w:val="24"/>
        </w:rPr>
        <w:t xml:space="preserve"> </w:t>
      </w:r>
      <w:r>
        <w:rPr>
          <w:rFonts w:hint="eastAsia" w:ascii="宋体" w:hAnsi="宋体" w:eastAsia="宋体" w:cs="宋体"/>
          <w:sz w:val="24"/>
        </w:rPr>
        <w:t>日</w:t>
      </w:r>
    </w:p>
    <w:p w14:paraId="1546F548">
      <w:pPr>
        <w:spacing w:line="360" w:lineRule="auto"/>
        <w:ind w:firstLine="540" w:firstLineChars="225"/>
        <w:rPr>
          <w:rFonts w:ascii="宋体" w:hAnsi="宋体" w:eastAsia="宋体" w:cs="宋体"/>
          <w:sz w:val="24"/>
        </w:rPr>
      </w:pPr>
    </w:p>
    <w:p w14:paraId="5E3C7DF5">
      <w:pPr>
        <w:spacing w:line="360" w:lineRule="auto"/>
        <w:rPr>
          <w:rFonts w:ascii="宋体" w:hAnsi="宋体" w:eastAsia="宋体" w:cs="宋体"/>
          <w:sz w:val="24"/>
        </w:rPr>
      </w:pPr>
      <w:r>
        <w:rPr>
          <w:rFonts w:hint="eastAsia" w:ascii="宋体" w:hAnsi="宋体" w:eastAsia="宋体" w:cs="宋体"/>
          <w:sz w:val="24"/>
        </w:rPr>
        <w:t>乙方（成交人）：（公章）</w:t>
      </w:r>
    </w:p>
    <w:p w14:paraId="51B8FFB0">
      <w:pPr>
        <w:spacing w:line="360" w:lineRule="auto"/>
        <w:ind w:firstLine="540" w:firstLineChars="225"/>
        <w:rPr>
          <w:rFonts w:ascii="宋体" w:hAnsi="宋体" w:eastAsia="宋体" w:cs="宋体"/>
          <w:sz w:val="24"/>
        </w:rPr>
      </w:pPr>
      <w:r>
        <w:rPr>
          <w:rFonts w:hint="eastAsia" w:ascii="宋体" w:hAnsi="宋体" w:eastAsia="宋体" w:cs="宋体"/>
          <w:sz w:val="24"/>
        </w:rPr>
        <w:t>法定代表或授权代表：</w:t>
      </w:r>
    </w:p>
    <w:p w14:paraId="4135DB0E">
      <w:pPr>
        <w:spacing w:line="360" w:lineRule="auto"/>
        <w:ind w:firstLine="540" w:firstLineChars="225"/>
        <w:rPr>
          <w:rFonts w:ascii="宋体" w:hAnsi="宋体" w:eastAsia="宋体" w:cs="宋体"/>
          <w:sz w:val="24"/>
        </w:rPr>
      </w:pPr>
      <w:r>
        <w:rPr>
          <w:rFonts w:hint="eastAsia" w:ascii="宋体" w:hAnsi="宋体" w:eastAsia="宋体" w:cs="宋体"/>
          <w:sz w:val="24"/>
        </w:rPr>
        <w:t>签订时间：</w:t>
      </w:r>
      <w:r>
        <w:rPr>
          <w:rFonts w:ascii="宋体" w:hAnsi="宋体" w:eastAsia="宋体" w:cs="宋体"/>
          <w:sz w:val="24"/>
        </w:rPr>
        <w:t>2025</w:t>
      </w:r>
      <w:r>
        <w:rPr>
          <w:rFonts w:hint="eastAsia" w:ascii="宋体" w:hAnsi="宋体" w:eastAsia="宋体" w:cs="宋体"/>
          <w:sz w:val="24"/>
        </w:rPr>
        <w:t xml:space="preserve">年 </w:t>
      </w:r>
      <w:r>
        <w:rPr>
          <w:rFonts w:ascii="宋体" w:hAnsi="宋体" w:eastAsia="宋体" w:cs="宋体"/>
          <w:sz w:val="24"/>
        </w:rPr>
        <w:t xml:space="preserve"> </w:t>
      </w:r>
      <w:r>
        <w:rPr>
          <w:rFonts w:hint="eastAsia" w:ascii="宋体" w:hAnsi="宋体" w:eastAsia="宋体" w:cs="宋体"/>
          <w:sz w:val="24"/>
        </w:rPr>
        <w:t xml:space="preserve">月 </w:t>
      </w:r>
      <w:r>
        <w:rPr>
          <w:rFonts w:ascii="宋体" w:hAnsi="宋体" w:eastAsia="宋体" w:cs="宋体"/>
          <w:sz w:val="24"/>
        </w:rPr>
        <w:t xml:space="preserve"> </w:t>
      </w:r>
      <w:r>
        <w:rPr>
          <w:rFonts w:hint="eastAsia" w:ascii="宋体" w:hAnsi="宋体" w:eastAsia="宋体" w:cs="宋体"/>
          <w:sz w:val="24"/>
        </w:rPr>
        <w:t>日</w:t>
      </w:r>
    </w:p>
    <w:p w14:paraId="4A2172F0">
      <w:pPr>
        <w:tabs>
          <w:tab w:val="left" w:pos="4860"/>
        </w:tabs>
        <w:spacing w:line="360" w:lineRule="auto"/>
        <w:ind w:right="1560" w:firstLine="504" w:firstLineChars="200"/>
        <w:jc w:val="center"/>
        <w:rPr>
          <w:rFonts w:ascii="Times New Roman" w:hAnsi="Times New Roman" w:eastAsia="宋体" w:cs="Times New Roman"/>
          <w:bCs/>
          <w:spacing w:val="6"/>
          <w:sz w:val="24"/>
        </w:rPr>
      </w:pPr>
    </w:p>
    <w:sectPr>
      <w:footerReference r:id="rId5" w:type="first"/>
      <w:footerReference r:id="rId3" w:type="default"/>
      <w:footerReference r:id="rId4" w:type="even"/>
      <w:pgSz w:w="11907" w:h="16840"/>
      <w:pgMar w:top="1021" w:right="1134" w:bottom="1021" w:left="1134" w:header="567" w:footer="598"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14:paraId="37B9FB22">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74E409C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5670">
    <w:pPr>
      <w:pStyle w:val="11"/>
      <w:framePr w:wrap="around" w:vAnchor="text" w:hAnchor="margin" w:xAlign="right" w:y="1"/>
      <w:rPr>
        <w:rStyle w:val="23"/>
      </w:rPr>
    </w:pPr>
    <w:r>
      <w:fldChar w:fldCharType="begin"/>
    </w:r>
    <w:r>
      <w:rPr>
        <w:rStyle w:val="23"/>
      </w:rPr>
      <w:instrText xml:space="preserve">PAGE  </w:instrText>
    </w:r>
    <w:r>
      <w:fldChar w:fldCharType="separate"/>
    </w:r>
    <w:r>
      <w:rPr>
        <w:rStyle w:val="23"/>
        <w:lang w:val="zh-CN"/>
      </w:rPr>
      <w:t>1</w:t>
    </w:r>
    <w:r>
      <w:fldChar w:fldCharType="end"/>
    </w:r>
  </w:p>
  <w:p w14:paraId="7404C45A">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BB9C">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135C0"/>
    <w:multiLevelType w:val="singleLevel"/>
    <w:tmpl w:val="980135C0"/>
    <w:lvl w:ilvl="0" w:tentative="0">
      <w:start w:val="2"/>
      <w:numFmt w:val="decimal"/>
      <w:suff w:val="nothing"/>
      <w:lvlText w:val="%1、"/>
      <w:lvlJc w:val="left"/>
    </w:lvl>
  </w:abstractNum>
  <w:abstractNum w:abstractNumId="1">
    <w:nsid w:val="B46556B2"/>
    <w:multiLevelType w:val="singleLevel"/>
    <w:tmpl w:val="B46556B2"/>
    <w:lvl w:ilvl="0" w:tentative="0">
      <w:start w:val="9"/>
      <w:numFmt w:val="decimal"/>
      <w:lvlText w:val="%1."/>
      <w:lvlJc w:val="left"/>
      <w:pPr>
        <w:tabs>
          <w:tab w:val="left" w:pos="312"/>
        </w:tabs>
      </w:pPr>
    </w:lvl>
  </w:abstractNum>
  <w:abstractNum w:abstractNumId="2">
    <w:nsid w:val="16988E5E"/>
    <w:multiLevelType w:val="singleLevel"/>
    <w:tmpl w:val="16988E5E"/>
    <w:lvl w:ilvl="0" w:tentative="0">
      <w:start w:val="2"/>
      <w:numFmt w:val="chineseCounting"/>
      <w:suff w:val="nothing"/>
      <w:lvlText w:val="%1、"/>
      <w:lvlJc w:val="left"/>
      <w:rPr>
        <w:rFonts w:hint="eastAsia"/>
      </w:rPr>
    </w:lvl>
  </w:abstractNum>
  <w:abstractNum w:abstractNumId="3">
    <w:nsid w:val="2B3C49E1"/>
    <w:multiLevelType w:val="multilevel"/>
    <w:tmpl w:val="2B3C49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1D6D28"/>
    <w:multiLevelType w:val="multilevel"/>
    <w:tmpl w:val="3F1D6D2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044164E"/>
    <w:multiLevelType w:val="singleLevel"/>
    <w:tmpl w:val="5044164E"/>
    <w:lvl w:ilvl="0" w:tentative="0">
      <w:start w:val="1"/>
      <w:numFmt w:val="decimal"/>
      <w:pStyle w:val="28"/>
      <w:lvlText w:val="%1．"/>
      <w:lvlJc w:val="left"/>
      <w:pPr>
        <w:tabs>
          <w:tab w:val="left" w:pos="622"/>
        </w:tabs>
        <w:ind w:left="622" w:hanging="480"/>
      </w:pPr>
      <w:rPr>
        <w:rFonts w:hint="eastAsia"/>
      </w:rPr>
    </w:lvl>
  </w:abstractNum>
  <w:abstractNum w:abstractNumId="6">
    <w:nsid w:val="656D6133"/>
    <w:multiLevelType w:val="multilevel"/>
    <w:tmpl w:val="656D6133"/>
    <w:lvl w:ilvl="0" w:tentative="0">
      <w:start w:val="1"/>
      <w:numFmt w:val="decimal"/>
      <w:lvlText w:val="%1、"/>
      <w:lvlJc w:val="left"/>
      <w:pPr>
        <w:ind w:left="360" w:hanging="360"/>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4"/>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783D077B"/>
    <w:multiLevelType w:val="multilevel"/>
    <w:tmpl w:val="783D077B"/>
    <w:lvl w:ilvl="0" w:tentative="0">
      <w:start w:val="1"/>
      <w:numFmt w:val="decimal"/>
      <w:lvlText w:val="%1、"/>
      <w:lvlJc w:val="left"/>
      <w:pPr>
        <w:tabs>
          <w:tab w:val="left" w:pos="360"/>
        </w:tabs>
        <w:ind w:left="360" w:hanging="360"/>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7"/>
  </w:num>
  <w:num w:numId="4">
    <w:abstractNumId w:val="0"/>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MjEwOWIwMjk2Zjc3YzNiMDg3MjkyNzg3YmRjYTQifQ=="/>
  </w:docVars>
  <w:rsids>
    <w:rsidRoot w:val="4FF671E4"/>
    <w:rsid w:val="0000135C"/>
    <w:rsid w:val="00004916"/>
    <w:rsid w:val="00006785"/>
    <w:rsid w:val="000068CC"/>
    <w:rsid w:val="000079C7"/>
    <w:rsid w:val="00023B2B"/>
    <w:rsid w:val="0004336E"/>
    <w:rsid w:val="00043B6D"/>
    <w:rsid w:val="000445BD"/>
    <w:rsid w:val="0004724F"/>
    <w:rsid w:val="000501F5"/>
    <w:rsid w:val="00051E68"/>
    <w:rsid w:val="000522C8"/>
    <w:rsid w:val="0005333D"/>
    <w:rsid w:val="00061ECB"/>
    <w:rsid w:val="000725FA"/>
    <w:rsid w:val="0007311D"/>
    <w:rsid w:val="0007476B"/>
    <w:rsid w:val="00084CD6"/>
    <w:rsid w:val="00086B43"/>
    <w:rsid w:val="00091A40"/>
    <w:rsid w:val="00091CCA"/>
    <w:rsid w:val="00094ED0"/>
    <w:rsid w:val="000960BD"/>
    <w:rsid w:val="00096534"/>
    <w:rsid w:val="000A0A04"/>
    <w:rsid w:val="000A10F8"/>
    <w:rsid w:val="000A16F9"/>
    <w:rsid w:val="000A2C1D"/>
    <w:rsid w:val="000A5632"/>
    <w:rsid w:val="000B283A"/>
    <w:rsid w:val="000B5D69"/>
    <w:rsid w:val="000B759B"/>
    <w:rsid w:val="000C1AB2"/>
    <w:rsid w:val="000C25B6"/>
    <w:rsid w:val="000C6767"/>
    <w:rsid w:val="000D08A7"/>
    <w:rsid w:val="000D2024"/>
    <w:rsid w:val="000D5299"/>
    <w:rsid w:val="000D52F4"/>
    <w:rsid w:val="000D59E4"/>
    <w:rsid w:val="000E00F3"/>
    <w:rsid w:val="000E6E49"/>
    <w:rsid w:val="000F0167"/>
    <w:rsid w:val="000F2511"/>
    <w:rsid w:val="00104D7B"/>
    <w:rsid w:val="001064FF"/>
    <w:rsid w:val="001104E8"/>
    <w:rsid w:val="00110943"/>
    <w:rsid w:val="00112B40"/>
    <w:rsid w:val="00117DFA"/>
    <w:rsid w:val="001258B0"/>
    <w:rsid w:val="0012711D"/>
    <w:rsid w:val="00140699"/>
    <w:rsid w:val="00141B53"/>
    <w:rsid w:val="00142EBD"/>
    <w:rsid w:val="00143437"/>
    <w:rsid w:val="00146133"/>
    <w:rsid w:val="00152123"/>
    <w:rsid w:val="0015404B"/>
    <w:rsid w:val="00161D07"/>
    <w:rsid w:val="0016537D"/>
    <w:rsid w:val="00166815"/>
    <w:rsid w:val="00174656"/>
    <w:rsid w:val="00180A67"/>
    <w:rsid w:val="001828F9"/>
    <w:rsid w:val="001838FE"/>
    <w:rsid w:val="00190642"/>
    <w:rsid w:val="0019395C"/>
    <w:rsid w:val="001949BC"/>
    <w:rsid w:val="001A0366"/>
    <w:rsid w:val="001A3350"/>
    <w:rsid w:val="001A3870"/>
    <w:rsid w:val="001B7285"/>
    <w:rsid w:val="001C383B"/>
    <w:rsid w:val="001C7446"/>
    <w:rsid w:val="001C756B"/>
    <w:rsid w:val="001C7838"/>
    <w:rsid w:val="001D0399"/>
    <w:rsid w:val="001D16F5"/>
    <w:rsid w:val="001E2C42"/>
    <w:rsid w:val="001E4AD9"/>
    <w:rsid w:val="001E5F32"/>
    <w:rsid w:val="001E6A6B"/>
    <w:rsid w:val="001E72C5"/>
    <w:rsid w:val="001E7C9C"/>
    <w:rsid w:val="001F1820"/>
    <w:rsid w:val="001F7BBE"/>
    <w:rsid w:val="00204A56"/>
    <w:rsid w:val="00206956"/>
    <w:rsid w:val="00207203"/>
    <w:rsid w:val="0020745D"/>
    <w:rsid w:val="002078C4"/>
    <w:rsid w:val="002128E0"/>
    <w:rsid w:val="002141EE"/>
    <w:rsid w:val="00220EC4"/>
    <w:rsid w:val="0022110A"/>
    <w:rsid w:val="0022239E"/>
    <w:rsid w:val="00223306"/>
    <w:rsid w:val="002241BF"/>
    <w:rsid w:val="00225D01"/>
    <w:rsid w:val="002313C3"/>
    <w:rsid w:val="00233583"/>
    <w:rsid w:val="00237252"/>
    <w:rsid w:val="00237EE7"/>
    <w:rsid w:val="002408D3"/>
    <w:rsid w:val="002408DD"/>
    <w:rsid w:val="0024535C"/>
    <w:rsid w:val="00252BA4"/>
    <w:rsid w:val="00253D39"/>
    <w:rsid w:val="002566E8"/>
    <w:rsid w:val="0026292A"/>
    <w:rsid w:val="00264B70"/>
    <w:rsid w:val="002671A4"/>
    <w:rsid w:val="00270D08"/>
    <w:rsid w:val="00275141"/>
    <w:rsid w:val="00277E2C"/>
    <w:rsid w:val="002877E9"/>
    <w:rsid w:val="002915D4"/>
    <w:rsid w:val="002927C3"/>
    <w:rsid w:val="002A0578"/>
    <w:rsid w:val="002A4497"/>
    <w:rsid w:val="002B498B"/>
    <w:rsid w:val="002C0E34"/>
    <w:rsid w:val="002D0285"/>
    <w:rsid w:val="002D095C"/>
    <w:rsid w:val="002D2793"/>
    <w:rsid w:val="002D679E"/>
    <w:rsid w:val="002E3130"/>
    <w:rsid w:val="002F0069"/>
    <w:rsid w:val="002F38AF"/>
    <w:rsid w:val="0030049F"/>
    <w:rsid w:val="00303C75"/>
    <w:rsid w:val="00304A43"/>
    <w:rsid w:val="0031511D"/>
    <w:rsid w:val="0031535C"/>
    <w:rsid w:val="0031641F"/>
    <w:rsid w:val="00317C3C"/>
    <w:rsid w:val="003206FF"/>
    <w:rsid w:val="003210D1"/>
    <w:rsid w:val="00332160"/>
    <w:rsid w:val="0033284B"/>
    <w:rsid w:val="00344334"/>
    <w:rsid w:val="0035175D"/>
    <w:rsid w:val="003522EC"/>
    <w:rsid w:val="00352622"/>
    <w:rsid w:val="00352A6B"/>
    <w:rsid w:val="00352DEF"/>
    <w:rsid w:val="00354382"/>
    <w:rsid w:val="00354DF7"/>
    <w:rsid w:val="00362BF9"/>
    <w:rsid w:val="0037346F"/>
    <w:rsid w:val="00373837"/>
    <w:rsid w:val="0037551C"/>
    <w:rsid w:val="00376B3A"/>
    <w:rsid w:val="00377C92"/>
    <w:rsid w:val="00377E2E"/>
    <w:rsid w:val="00385C39"/>
    <w:rsid w:val="00387519"/>
    <w:rsid w:val="003917AD"/>
    <w:rsid w:val="0039399F"/>
    <w:rsid w:val="003946A1"/>
    <w:rsid w:val="00395A3E"/>
    <w:rsid w:val="00395E98"/>
    <w:rsid w:val="003A05D0"/>
    <w:rsid w:val="003A3C8C"/>
    <w:rsid w:val="003B4280"/>
    <w:rsid w:val="003B7F91"/>
    <w:rsid w:val="003C2000"/>
    <w:rsid w:val="003D0A7B"/>
    <w:rsid w:val="003D3A2B"/>
    <w:rsid w:val="003D4DFD"/>
    <w:rsid w:val="003D7943"/>
    <w:rsid w:val="003E0287"/>
    <w:rsid w:val="003E1964"/>
    <w:rsid w:val="003E23CB"/>
    <w:rsid w:val="003E428F"/>
    <w:rsid w:val="003E6D1B"/>
    <w:rsid w:val="00400F62"/>
    <w:rsid w:val="00406756"/>
    <w:rsid w:val="00406FC3"/>
    <w:rsid w:val="00407CB0"/>
    <w:rsid w:val="0041206B"/>
    <w:rsid w:val="00412DB3"/>
    <w:rsid w:val="00413B42"/>
    <w:rsid w:val="00415575"/>
    <w:rsid w:val="00416CB7"/>
    <w:rsid w:val="00420295"/>
    <w:rsid w:val="00420C87"/>
    <w:rsid w:val="004214E2"/>
    <w:rsid w:val="00423AC2"/>
    <w:rsid w:val="00424C86"/>
    <w:rsid w:val="0043178F"/>
    <w:rsid w:val="00431E3A"/>
    <w:rsid w:val="0043290E"/>
    <w:rsid w:val="00443EB0"/>
    <w:rsid w:val="004458E1"/>
    <w:rsid w:val="0045607B"/>
    <w:rsid w:val="0045678E"/>
    <w:rsid w:val="00460F1C"/>
    <w:rsid w:val="004729D0"/>
    <w:rsid w:val="00474AB4"/>
    <w:rsid w:val="00477208"/>
    <w:rsid w:val="00477A9E"/>
    <w:rsid w:val="00483EFA"/>
    <w:rsid w:val="004A07FD"/>
    <w:rsid w:val="004A122F"/>
    <w:rsid w:val="004A56AF"/>
    <w:rsid w:val="004B10E8"/>
    <w:rsid w:val="004B4471"/>
    <w:rsid w:val="004C1616"/>
    <w:rsid w:val="004C62DF"/>
    <w:rsid w:val="004D08C1"/>
    <w:rsid w:val="004D547E"/>
    <w:rsid w:val="004D6E96"/>
    <w:rsid w:val="004E14CB"/>
    <w:rsid w:val="004E15BC"/>
    <w:rsid w:val="004E2143"/>
    <w:rsid w:val="004E268A"/>
    <w:rsid w:val="004F0545"/>
    <w:rsid w:val="004F45E2"/>
    <w:rsid w:val="00502B4C"/>
    <w:rsid w:val="00502DC8"/>
    <w:rsid w:val="00503C18"/>
    <w:rsid w:val="005055F0"/>
    <w:rsid w:val="00507798"/>
    <w:rsid w:val="00511167"/>
    <w:rsid w:val="00511323"/>
    <w:rsid w:val="005123FC"/>
    <w:rsid w:val="00517EC1"/>
    <w:rsid w:val="00522C10"/>
    <w:rsid w:val="0052394C"/>
    <w:rsid w:val="00523F68"/>
    <w:rsid w:val="0053102E"/>
    <w:rsid w:val="00533062"/>
    <w:rsid w:val="00533635"/>
    <w:rsid w:val="005367B5"/>
    <w:rsid w:val="00542014"/>
    <w:rsid w:val="00542FB5"/>
    <w:rsid w:val="005509A0"/>
    <w:rsid w:val="00551716"/>
    <w:rsid w:val="00551C35"/>
    <w:rsid w:val="00554E64"/>
    <w:rsid w:val="00554F9D"/>
    <w:rsid w:val="00555FBC"/>
    <w:rsid w:val="00556183"/>
    <w:rsid w:val="00563EA1"/>
    <w:rsid w:val="00565C0E"/>
    <w:rsid w:val="00565F28"/>
    <w:rsid w:val="00570CCE"/>
    <w:rsid w:val="00570FEF"/>
    <w:rsid w:val="00571FD9"/>
    <w:rsid w:val="0057249C"/>
    <w:rsid w:val="00572F4D"/>
    <w:rsid w:val="005742B7"/>
    <w:rsid w:val="005863E0"/>
    <w:rsid w:val="00587415"/>
    <w:rsid w:val="005874B5"/>
    <w:rsid w:val="00594151"/>
    <w:rsid w:val="005A3FD1"/>
    <w:rsid w:val="005A7F89"/>
    <w:rsid w:val="005B1F40"/>
    <w:rsid w:val="005B53AF"/>
    <w:rsid w:val="005B6D2B"/>
    <w:rsid w:val="005C35A9"/>
    <w:rsid w:val="005C5576"/>
    <w:rsid w:val="005C5BAA"/>
    <w:rsid w:val="005C5BF8"/>
    <w:rsid w:val="005C5D3E"/>
    <w:rsid w:val="005E10F0"/>
    <w:rsid w:val="005E30B9"/>
    <w:rsid w:val="005E4443"/>
    <w:rsid w:val="005E4DDF"/>
    <w:rsid w:val="005E5442"/>
    <w:rsid w:val="005E54A0"/>
    <w:rsid w:val="005E78EA"/>
    <w:rsid w:val="005E7E0E"/>
    <w:rsid w:val="005F3C89"/>
    <w:rsid w:val="005F464B"/>
    <w:rsid w:val="005F579C"/>
    <w:rsid w:val="005F5C67"/>
    <w:rsid w:val="005F6E45"/>
    <w:rsid w:val="005F757A"/>
    <w:rsid w:val="00615878"/>
    <w:rsid w:val="00616359"/>
    <w:rsid w:val="00621649"/>
    <w:rsid w:val="00622BF6"/>
    <w:rsid w:val="00622F74"/>
    <w:rsid w:val="00624983"/>
    <w:rsid w:val="00624DD6"/>
    <w:rsid w:val="00626600"/>
    <w:rsid w:val="00627497"/>
    <w:rsid w:val="0063556A"/>
    <w:rsid w:val="00641780"/>
    <w:rsid w:val="0064775B"/>
    <w:rsid w:val="006505DA"/>
    <w:rsid w:val="00650A5F"/>
    <w:rsid w:val="00655E08"/>
    <w:rsid w:val="00657793"/>
    <w:rsid w:val="00657CA6"/>
    <w:rsid w:val="00662A7B"/>
    <w:rsid w:val="00671AE5"/>
    <w:rsid w:val="00672804"/>
    <w:rsid w:val="00674F4A"/>
    <w:rsid w:val="00675F19"/>
    <w:rsid w:val="0067648C"/>
    <w:rsid w:val="00682952"/>
    <w:rsid w:val="006A04F8"/>
    <w:rsid w:val="006A25DC"/>
    <w:rsid w:val="006A3E99"/>
    <w:rsid w:val="006B5E89"/>
    <w:rsid w:val="006C090D"/>
    <w:rsid w:val="006C382F"/>
    <w:rsid w:val="006C7B00"/>
    <w:rsid w:val="006D6B41"/>
    <w:rsid w:val="006E103E"/>
    <w:rsid w:val="006E4D04"/>
    <w:rsid w:val="006E65F5"/>
    <w:rsid w:val="006E6F74"/>
    <w:rsid w:val="006E7E6B"/>
    <w:rsid w:val="006F6828"/>
    <w:rsid w:val="007069F2"/>
    <w:rsid w:val="00707963"/>
    <w:rsid w:val="0071786D"/>
    <w:rsid w:val="00717BA0"/>
    <w:rsid w:val="007204BE"/>
    <w:rsid w:val="00732E8A"/>
    <w:rsid w:val="00734DA7"/>
    <w:rsid w:val="00745D58"/>
    <w:rsid w:val="007525E5"/>
    <w:rsid w:val="007703B0"/>
    <w:rsid w:val="00770510"/>
    <w:rsid w:val="0077308B"/>
    <w:rsid w:val="00773772"/>
    <w:rsid w:val="007808F7"/>
    <w:rsid w:val="00781939"/>
    <w:rsid w:val="007841DB"/>
    <w:rsid w:val="007843D2"/>
    <w:rsid w:val="007924DC"/>
    <w:rsid w:val="00792FA5"/>
    <w:rsid w:val="007A2AC4"/>
    <w:rsid w:val="007A5A9E"/>
    <w:rsid w:val="007A7504"/>
    <w:rsid w:val="007A7D1E"/>
    <w:rsid w:val="007B1E47"/>
    <w:rsid w:val="007B3403"/>
    <w:rsid w:val="007B359F"/>
    <w:rsid w:val="007C7664"/>
    <w:rsid w:val="007D6B51"/>
    <w:rsid w:val="007E28FC"/>
    <w:rsid w:val="007E3A4D"/>
    <w:rsid w:val="007F57E9"/>
    <w:rsid w:val="00805783"/>
    <w:rsid w:val="00806AF5"/>
    <w:rsid w:val="00817056"/>
    <w:rsid w:val="0082604E"/>
    <w:rsid w:val="00837EF3"/>
    <w:rsid w:val="00843BB6"/>
    <w:rsid w:val="008476E7"/>
    <w:rsid w:val="00847730"/>
    <w:rsid w:val="00847A49"/>
    <w:rsid w:val="00853A6E"/>
    <w:rsid w:val="0085534B"/>
    <w:rsid w:val="00861D0F"/>
    <w:rsid w:val="00862DCE"/>
    <w:rsid w:val="008631DB"/>
    <w:rsid w:val="00863F05"/>
    <w:rsid w:val="00872EFD"/>
    <w:rsid w:val="008742F3"/>
    <w:rsid w:val="00875F18"/>
    <w:rsid w:val="00881858"/>
    <w:rsid w:val="00882F0A"/>
    <w:rsid w:val="00886355"/>
    <w:rsid w:val="008906E6"/>
    <w:rsid w:val="00893163"/>
    <w:rsid w:val="00893C78"/>
    <w:rsid w:val="008A0452"/>
    <w:rsid w:val="008A3066"/>
    <w:rsid w:val="008A6E24"/>
    <w:rsid w:val="008A6E4F"/>
    <w:rsid w:val="008A7255"/>
    <w:rsid w:val="008A7DA1"/>
    <w:rsid w:val="008B0C41"/>
    <w:rsid w:val="008B0DC3"/>
    <w:rsid w:val="008B1988"/>
    <w:rsid w:val="008B501A"/>
    <w:rsid w:val="008B57B2"/>
    <w:rsid w:val="008B6464"/>
    <w:rsid w:val="008B664A"/>
    <w:rsid w:val="008C3347"/>
    <w:rsid w:val="008C4962"/>
    <w:rsid w:val="008D001D"/>
    <w:rsid w:val="008D76B5"/>
    <w:rsid w:val="008D7A0F"/>
    <w:rsid w:val="008D7F77"/>
    <w:rsid w:val="008E1B8A"/>
    <w:rsid w:val="008E1C5F"/>
    <w:rsid w:val="008E2A4D"/>
    <w:rsid w:val="008E5010"/>
    <w:rsid w:val="008F2532"/>
    <w:rsid w:val="008F7A4B"/>
    <w:rsid w:val="0090169E"/>
    <w:rsid w:val="009070C0"/>
    <w:rsid w:val="00911B4C"/>
    <w:rsid w:val="009121C1"/>
    <w:rsid w:val="00921006"/>
    <w:rsid w:val="00922468"/>
    <w:rsid w:val="0092330F"/>
    <w:rsid w:val="00927803"/>
    <w:rsid w:val="0093129E"/>
    <w:rsid w:val="00934447"/>
    <w:rsid w:val="0093633F"/>
    <w:rsid w:val="009363F7"/>
    <w:rsid w:val="00937291"/>
    <w:rsid w:val="0093755B"/>
    <w:rsid w:val="00944B08"/>
    <w:rsid w:val="00945144"/>
    <w:rsid w:val="00951648"/>
    <w:rsid w:val="009525AD"/>
    <w:rsid w:val="0095768A"/>
    <w:rsid w:val="00961473"/>
    <w:rsid w:val="009614F9"/>
    <w:rsid w:val="009676C6"/>
    <w:rsid w:val="00972C13"/>
    <w:rsid w:val="00976B95"/>
    <w:rsid w:val="00980B20"/>
    <w:rsid w:val="00982C2F"/>
    <w:rsid w:val="0098465A"/>
    <w:rsid w:val="00985CFE"/>
    <w:rsid w:val="00991838"/>
    <w:rsid w:val="0099331A"/>
    <w:rsid w:val="009953FA"/>
    <w:rsid w:val="009A035E"/>
    <w:rsid w:val="009A1B75"/>
    <w:rsid w:val="009A337B"/>
    <w:rsid w:val="009B15C0"/>
    <w:rsid w:val="009B7B33"/>
    <w:rsid w:val="009C3B5C"/>
    <w:rsid w:val="009C5C90"/>
    <w:rsid w:val="009C75F6"/>
    <w:rsid w:val="009C7B54"/>
    <w:rsid w:val="009C7C44"/>
    <w:rsid w:val="009D7195"/>
    <w:rsid w:val="009E083A"/>
    <w:rsid w:val="009E5D08"/>
    <w:rsid w:val="00A1251D"/>
    <w:rsid w:val="00A12768"/>
    <w:rsid w:val="00A12A9F"/>
    <w:rsid w:val="00A145DC"/>
    <w:rsid w:val="00A2001C"/>
    <w:rsid w:val="00A209FC"/>
    <w:rsid w:val="00A218BF"/>
    <w:rsid w:val="00A26157"/>
    <w:rsid w:val="00A308BF"/>
    <w:rsid w:val="00A3217D"/>
    <w:rsid w:val="00A34A68"/>
    <w:rsid w:val="00A40ED6"/>
    <w:rsid w:val="00A41872"/>
    <w:rsid w:val="00A44E78"/>
    <w:rsid w:val="00A45CBD"/>
    <w:rsid w:val="00A46651"/>
    <w:rsid w:val="00A47245"/>
    <w:rsid w:val="00A61309"/>
    <w:rsid w:val="00A62035"/>
    <w:rsid w:val="00A62969"/>
    <w:rsid w:val="00A67C2E"/>
    <w:rsid w:val="00A72ED4"/>
    <w:rsid w:val="00A73FB5"/>
    <w:rsid w:val="00A75838"/>
    <w:rsid w:val="00A77210"/>
    <w:rsid w:val="00A7795E"/>
    <w:rsid w:val="00A77F5D"/>
    <w:rsid w:val="00A80652"/>
    <w:rsid w:val="00A936FE"/>
    <w:rsid w:val="00A948B1"/>
    <w:rsid w:val="00A95977"/>
    <w:rsid w:val="00AA276A"/>
    <w:rsid w:val="00AA2BB2"/>
    <w:rsid w:val="00AA2BE7"/>
    <w:rsid w:val="00AB0704"/>
    <w:rsid w:val="00AB2F13"/>
    <w:rsid w:val="00AC01D4"/>
    <w:rsid w:val="00AC29E7"/>
    <w:rsid w:val="00AD02B2"/>
    <w:rsid w:val="00AD0AB5"/>
    <w:rsid w:val="00AD751A"/>
    <w:rsid w:val="00AD754B"/>
    <w:rsid w:val="00AE4775"/>
    <w:rsid w:val="00AE5A22"/>
    <w:rsid w:val="00AF27A9"/>
    <w:rsid w:val="00AF5751"/>
    <w:rsid w:val="00AF6155"/>
    <w:rsid w:val="00AF7A01"/>
    <w:rsid w:val="00AF7AC2"/>
    <w:rsid w:val="00B10810"/>
    <w:rsid w:val="00B114EE"/>
    <w:rsid w:val="00B122B1"/>
    <w:rsid w:val="00B1244C"/>
    <w:rsid w:val="00B1752C"/>
    <w:rsid w:val="00B17CC0"/>
    <w:rsid w:val="00B2205F"/>
    <w:rsid w:val="00B27361"/>
    <w:rsid w:val="00B316B7"/>
    <w:rsid w:val="00B34853"/>
    <w:rsid w:val="00B44C3F"/>
    <w:rsid w:val="00B4647B"/>
    <w:rsid w:val="00B52E97"/>
    <w:rsid w:val="00B534BC"/>
    <w:rsid w:val="00B610F6"/>
    <w:rsid w:val="00B61342"/>
    <w:rsid w:val="00B62185"/>
    <w:rsid w:val="00B62EED"/>
    <w:rsid w:val="00B64E76"/>
    <w:rsid w:val="00B67E1B"/>
    <w:rsid w:val="00B70F7B"/>
    <w:rsid w:val="00B718E6"/>
    <w:rsid w:val="00B71D42"/>
    <w:rsid w:val="00B75D17"/>
    <w:rsid w:val="00B81F7D"/>
    <w:rsid w:val="00B90A21"/>
    <w:rsid w:val="00B94F45"/>
    <w:rsid w:val="00BA231D"/>
    <w:rsid w:val="00BA57DA"/>
    <w:rsid w:val="00BB0717"/>
    <w:rsid w:val="00BB4BCC"/>
    <w:rsid w:val="00BC045B"/>
    <w:rsid w:val="00BC0E03"/>
    <w:rsid w:val="00BC1297"/>
    <w:rsid w:val="00BC14CA"/>
    <w:rsid w:val="00BC4CF1"/>
    <w:rsid w:val="00BD0A58"/>
    <w:rsid w:val="00BD125F"/>
    <w:rsid w:val="00BD21EC"/>
    <w:rsid w:val="00BD3083"/>
    <w:rsid w:val="00BD4DE2"/>
    <w:rsid w:val="00BD4E4F"/>
    <w:rsid w:val="00BD5401"/>
    <w:rsid w:val="00BE15FC"/>
    <w:rsid w:val="00BE4C22"/>
    <w:rsid w:val="00BE6433"/>
    <w:rsid w:val="00BE6DCD"/>
    <w:rsid w:val="00BF098F"/>
    <w:rsid w:val="00BF3313"/>
    <w:rsid w:val="00C02B6D"/>
    <w:rsid w:val="00C22D9A"/>
    <w:rsid w:val="00C27950"/>
    <w:rsid w:val="00C2796B"/>
    <w:rsid w:val="00C27A8A"/>
    <w:rsid w:val="00C34DAF"/>
    <w:rsid w:val="00C37216"/>
    <w:rsid w:val="00C47586"/>
    <w:rsid w:val="00C546FC"/>
    <w:rsid w:val="00C5517C"/>
    <w:rsid w:val="00C56CEE"/>
    <w:rsid w:val="00C57CCD"/>
    <w:rsid w:val="00C642C1"/>
    <w:rsid w:val="00C64D60"/>
    <w:rsid w:val="00C744FA"/>
    <w:rsid w:val="00C8199B"/>
    <w:rsid w:val="00C83AD4"/>
    <w:rsid w:val="00C85E98"/>
    <w:rsid w:val="00CA3DE4"/>
    <w:rsid w:val="00CA613C"/>
    <w:rsid w:val="00CA6679"/>
    <w:rsid w:val="00CB0D4C"/>
    <w:rsid w:val="00CB15FF"/>
    <w:rsid w:val="00CB6BDD"/>
    <w:rsid w:val="00CC514D"/>
    <w:rsid w:val="00CD2614"/>
    <w:rsid w:val="00CD5A04"/>
    <w:rsid w:val="00CE147C"/>
    <w:rsid w:val="00CE3559"/>
    <w:rsid w:val="00CF1BD8"/>
    <w:rsid w:val="00CF4509"/>
    <w:rsid w:val="00CF4CE6"/>
    <w:rsid w:val="00CF698B"/>
    <w:rsid w:val="00D02204"/>
    <w:rsid w:val="00D02790"/>
    <w:rsid w:val="00D13BBE"/>
    <w:rsid w:val="00D22C5A"/>
    <w:rsid w:val="00D258C1"/>
    <w:rsid w:val="00D279ED"/>
    <w:rsid w:val="00D310B0"/>
    <w:rsid w:val="00D3347C"/>
    <w:rsid w:val="00D346BE"/>
    <w:rsid w:val="00D45C9F"/>
    <w:rsid w:val="00D47E3E"/>
    <w:rsid w:val="00D50410"/>
    <w:rsid w:val="00D5362E"/>
    <w:rsid w:val="00D549F3"/>
    <w:rsid w:val="00D57A41"/>
    <w:rsid w:val="00D830B8"/>
    <w:rsid w:val="00D85A11"/>
    <w:rsid w:val="00D867B4"/>
    <w:rsid w:val="00D9023E"/>
    <w:rsid w:val="00D90F35"/>
    <w:rsid w:val="00D9481E"/>
    <w:rsid w:val="00D9499F"/>
    <w:rsid w:val="00D964EA"/>
    <w:rsid w:val="00DA0C5A"/>
    <w:rsid w:val="00DA30BC"/>
    <w:rsid w:val="00DA4201"/>
    <w:rsid w:val="00DA4ADA"/>
    <w:rsid w:val="00DB049F"/>
    <w:rsid w:val="00DB1A56"/>
    <w:rsid w:val="00DB3131"/>
    <w:rsid w:val="00DC53A3"/>
    <w:rsid w:val="00DD0A66"/>
    <w:rsid w:val="00DD454E"/>
    <w:rsid w:val="00DD5882"/>
    <w:rsid w:val="00DE0D9B"/>
    <w:rsid w:val="00DE336A"/>
    <w:rsid w:val="00DE4F09"/>
    <w:rsid w:val="00DF45D2"/>
    <w:rsid w:val="00E009FC"/>
    <w:rsid w:val="00E0499F"/>
    <w:rsid w:val="00E053E4"/>
    <w:rsid w:val="00E077B9"/>
    <w:rsid w:val="00E07E59"/>
    <w:rsid w:val="00E1215B"/>
    <w:rsid w:val="00E15F91"/>
    <w:rsid w:val="00E253B6"/>
    <w:rsid w:val="00E30C60"/>
    <w:rsid w:val="00E3163B"/>
    <w:rsid w:val="00E31E56"/>
    <w:rsid w:val="00E33D11"/>
    <w:rsid w:val="00E3500D"/>
    <w:rsid w:val="00E6138A"/>
    <w:rsid w:val="00E632A6"/>
    <w:rsid w:val="00E67693"/>
    <w:rsid w:val="00E67E60"/>
    <w:rsid w:val="00E70FEE"/>
    <w:rsid w:val="00E718ED"/>
    <w:rsid w:val="00E767B8"/>
    <w:rsid w:val="00E76DC7"/>
    <w:rsid w:val="00E85ED9"/>
    <w:rsid w:val="00E905CE"/>
    <w:rsid w:val="00E906C1"/>
    <w:rsid w:val="00E93DFC"/>
    <w:rsid w:val="00E95900"/>
    <w:rsid w:val="00E95B41"/>
    <w:rsid w:val="00E96FAD"/>
    <w:rsid w:val="00EA2CF3"/>
    <w:rsid w:val="00EA32F4"/>
    <w:rsid w:val="00EA4828"/>
    <w:rsid w:val="00EB3910"/>
    <w:rsid w:val="00EB667F"/>
    <w:rsid w:val="00EB786B"/>
    <w:rsid w:val="00EC0A3F"/>
    <w:rsid w:val="00ED143A"/>
    <w:rsid w:val="00ED335F"/>
    <w:rsid w:val="00ED4158"/>
    <w:rsid w:val="00ED60EF"/>
    <w:rsid w:val="00ED6E3B"/>
    <w:rsid w:val="00EF3D0A"/>
    <w:rsid w:val="00EF3F04"/>
    <w:rsid w:val="00EF4FEA"/>
    <w:rsid w:val="00EF5B00"/>
    <w:rsid w:val="00EF5F7A"/>
    <w:rsid w:val="00EF7DAB"/>
    <w:rsid w:val="00F003F2"/>
    <w:rsid w:val="00F0408B"/>
    <w:rsid w:val="00F06B88"/>
    <w:rsid w:val="00F072E8"/>
    <w:rsid w:val="00F10F99"/>
    <w:rsid w:val="00F137F6"/>
    <w:rsid w:val="00F14B23"/>
    <w:rsid w:val="00F215DE"/>
    <w:rsid w:val="00F21AF7"/>
    <w:rsid w:val="00F226E4"/>
    <w:rsid w:val="00F24966"/>
    <w:rsid w:val="00F259E9"/>
    <w:rsid w:val="00F2751E"/>
    <w:rsid w:val="00F3170A"/>
    <w:rsid w:val="00F44E4A"/>
    <w:rsid w:val="00F45569"/>
    <w:rsid w:val="00F46E16"/>
    <w:rsid w:val="00F53418"/>
    <w:rsid w:val="00F53D11"/>
    <w:rsid w:val="00F60BF7"/>
    <w:rsid w:val="00F60D5D"/>
    <w:rsid w:val="00F70E23"/>
    <w:rsid w:val="00F715F9"/>
    <w:rsid w:val="00F75C2D"/>
    <w:rsid w:val="00F8655D"/>
    <w:rsid w:val="00F86771"/>
    <w:rsid w:val="00F873DD"/>
    <w:rsid w:val="00F93E3E"/>
    <w:rsid w:val="00F9603C"/>
    <w:rsid w:val="00F967F7"/>
    <w:rsid w:val="00FA1114"/>
    <w:rsid w:val="00FC0B69"/>
    <w:rsid w:val="00FC29E9"/>
    <w:rsid w:val="00FC37B0"/>
    <w:rsid w:val="00FC7D7C"/>
    <w:rsid w:val="00FE49CC"/>
    <w:rsid w:val="00FE6870"/>
    <w:rsid w:val="00FF276B"/>
    <w:rsid w:val="00FF2F1E"/>
    <w:rsid w:val="00FF4E39"/>
    <w:rsid w:val="00FF661B"/>
    <w:rsid w:val="02C874AC"/>
    <w:rsid w:val="02F532C8"/>
    <w:rsid w:val="05F45A09"/>
    <w:rsid w:val="072C0FCD"/>
    <w:rsid w:val="07943762"/>
    <w:rsid w:val="08CC5E55"/>
    <w:rsid w:val="0D731909"/>
    <w:rsid w:val="0EBB6876"/>
    <w:rsid w:val="0F8D06EA"/>
    <w:rsid w:val="11A5330C"/>
    <w:rsid w:val="12401321"/>
    <w:rsid w:val="153B3608"/>
    <w:rsid w:val="184C1AA1"/>
    <w:rsid w:val="1A1F2BFD"/>
    <w:rsid w:val="1C910E47"/>
    <w:rsid w:val="1D174D78"/>
    <w:rsid w:val="200D799B"/>
    <w:rsid w:val="229B58DF"/>
    <w:rsid w:val="23707D7C"/>
    <w:rsid w:val="264E0B88"/>
    <w:rsid w:val="27BF5A1F"/>
    <w:rsid w:val="296621EF"/>
    <w:rsid w:val="2B9441B3"/>
    <w:rsid w:val="2E2F0CC0"/>
    <w:rsid w:val="2FDA281E"/>
    <w:rsid w:val="30E358C3"/>
    <w:rsid w:val="31661DFE"/>
    <w:rsid w:val="32987598"/>
    <w:rsid w:val="362A49AB"/>
    <w:rsid w:val="37AD376A"/>
    <w:rsid w:val="384A6493"/>
    <w:rsid w:val="3877096F"/>
    <w:rsid w:val="39287A87"/>
    <w:rsid w:val="3A0B0650"/>
    <w:rsid w:val="3BB32DE6"/>
    <w:rsid w:val="3CAE5BC2"/>
    <w:rsid w:val="3E2C1115"/>
    <w:rsid w:val="402A6D50"/>
    <w:rsid w:val="40CB0C34"/>
    <w:rsid w:val="41693E7D"/>
    <w:rsid w:val="43044FF0"/>
    <w:rsid w:val="44C530B9"/>
    <w:rsid w:val="45982413"/>
    <w:rsid w:val="47BB36B5"/>
    <w:rsid w:val="47FB2640"/>
    <w:rsid w:val="48E5345B"/>
    <w:rsid w:val="49FB0193"/>
    <w:rsid w:val="4AAE7FF2"/>
    <w:rsid w:val="4B185AA1"/>
    <w:rsid w:val="4E330FF8"/>
    <w:rsid w:val="4FF671E4"/>
    <w:rsid w:val="5031639A"/>
    <w:rsid w:val="51367529"/>
    <w:rsid w:val="5164091A"/>
    <w:rsid w:val="523045A5"/>
    <w:rsid w:val="52ED2B91"/>
    <w:rsid w:val="539C2C19"/>
    <w:rsid w:val="55FD6F50"/>
    <w:rsid w:val="5728063B"/>
    <w:rsid w:val="5765719A"/>
    <w:rsid w:val="5D656FA2"/>
    <w:rsid w:val="5F305DE0"/>
    <w:rsid w:val="5FFB4B3F"/>
    <w:rsid w:val="611469B0"/>
    <w:rsid w:val="6550357D"/>
    <w:rsid w:val="664470C6"/>
    <w:rsid w:val="66F81D11"/>
    <w:rsid w:val="68BA370D"/>
    <w:rsid w:val="68E64CF1"/>
    <w:rsid w:val="6A5DBEB0"/>
    <w:rsid w:val="6C3A75AA"/>
    <w:rsid w:val="6E7C68E8"/>
    <w:rsid w:val="6F9F2654"/>
    <w:rsid w:val="740106DF"/>
    <w:rsid w:val="7A1B0F00"/>
    <w:rsid w:val="7B116B6D"/>
    <w:rsid w:val="7B3F2D4C"/>
    <w:rsid w:val="7BE9680A"/>
    <w:rsid w:val="7FF77D6E"/>
    <w:rsid w:val="CFC92445"/>
    <w:rsid w:val="FBE2547D"/>
    <w:rsid w:val="FCCBE7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6"/>
    <w:basedOn w:val="1"/>
    <w:next w:val="1"/>
    <w:link w:val="34"/>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1"/>
    <w:semiHidden/>
    <w:unhideWhenUsed/>
    <w:qFormat/>
    <w:uiPriority w:val="0"/>
    <w:pPr>
      <w:jc w:val="left"/>
    </w:pPr>
  </w:style>
  <w:style w:type="paragraph" w:styleId="6">
    <w:name w:val="Body Text"/>
    <w:basedOn w:val="1"/>
    <w:qFormat/>
    <w:uiPriority w:val="0"/>
    <w:pPr>
      <w:tabs>
        <w:tab w:val="left" w:pos="1155"/>
      </w:tabs>
      <w:spacing w:line="420" w:lineRule="exact"/>
    </w:pPr>
    <w:rPr>
      <w:rFonts w:ascii="宋体"/>
      <w:sz w:val="24"/>
    </w:rPr>
  </w:style>
  <w:style w:type="paragraph" w:styleId="7">
    <w:name w:val="Body Text Indent"/>
    <w:basedOn w:val="1"/>
    <w:qFormat/>
    <w:uiPriority w:val="0"/>
    <w:pPr>
      <w:widowControl/>
      <w:ind w:firstLine="360"/>
      <w:jc w:val="left"/>
    </w:pPr>
    <w:rPr>
      <w:kern w:val="0"/>
      <w:sz w:val="24"/>
    </w:rPr>
  </w:style>
  <w:style w:type="paragraph" w:styleId="8">
    <w:name w:val="index 4"/>
    <w:basedOn w:val="1"/>
    <w:next w:val="1"/>
    <w:unhideWhenUsed/>
    <w:qFormat/>
    <w:uiPriority w:val="99"/>
    <w:pPr>
      <w:ind w:firstLine="595" w:firstLineChars="186"/>
    </w:pPr>
  </w:style>
  <w:style w:type="paragraph" w:styleId="9">
    <w:name w:val="Plain Text"/>
    <w:basedOn w:val="1"/>
    <w:link w:val="48"/>
    <w:qFormat/>
    <w:uiPriority w:val="0"/>
    <w:rPr>
      <w:rFonts w:ascii="宋体" w:hAnsi="Courier New" w:eastAsia="Times New Roman"/>
      <w:kern w:val="0"/>
      <w:szCs w:val="21"/>
      <w:lang w:val="zh-CN"/>
    </w:rPr>
  </w:style>
  <w:style w:type="paragraph" w:styleId="10">
    <w:name w:val="Balloon Text"/>
    <w:basedOn w:val="1"/>
    <w:link w:val="36"/>
    <w:qFormat/>
    <w:uiPriority w:val="0"/>
    <w:rPr>
      <w:sz w:val="18"/>
      <w:szCs w:val="18"/>
    </w:rPr>
  </w:style>
  <w:style w:type="paragraph" w:styleId="11">
    <w:name w:val="footer"/>
    <w:basedOn w:val="1"/>
    <w:link w:val="54"/>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pPr>
      <w:spacing w:before="120" w:after="120"/>
      <w:jc w:val="left"/>
    </w:pPr>
    <w:rPr>
      <w:b/>
      <w:bCs/>
      <w:caps/>
    </w:rPr>
  </w:style>
  <w:style w:type="paragraph" w:styleId="14">
    <w:name w:val="toc 6"/>
    <w:basedOn w:val="1"/>
    <w:next w:val="1"/>
    <w:qFormat/>
    <w:uiPriority w:val="39"/>
    <w:pPr>
      <w:ind w:left="1050"/>
      <w:jc w:val="left"/>
    </w:pPr>
    <w:rPr>
      <w:szCs w:val="21"/>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7">
    <w:name w:val="Title"/>
    <w:basedOn w:val="1"/>
    <w:link w:val="40"/>
    <w:qFormat/>
    <w:uiPriority w:val="0"/>
    <w:pPr>
      <w:spacing w:before="240" w:after="60"/>
      <w:jc w:val="center"/>
      <w:outlineLvl w:val="0"/>
    </w:pPr>
    <w:rPr>
      <w:rFonts w:ascii="Arial" w:hAnsi="Arial" w:cs="Arial"/>
      <w:b/>
      <w:bCs/>
      <w:sz w:val="32"/>
      <w:szCs w:val="32"/>
    </w:rPr>
  </w:style>
  <w:style w:type="paragraph" w:styleId="18">
    <w:name w:val="annotation subject"/>
    <w:basedOn w:val="5"/>
    <w:next w:val="5"/>
    <w:link w:val="52"/>
    <w:semiHidden/>
    <w:unhideWhenUsed/>
    <w:qFormat/>
    <w:uiPriority w:val="0"/>
    <w:rPr>
      <w:b/>
      <w:bCs/>
    </w:rPr>
  </w:style>
  <w:style w:type="table" w:styleId="20">
    <w:name w:val="Table Grid"/>
    <w:basedOn w:val="19"/>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qFormat/>
    <w:uiPriority w:val="0"/>
  </w:style>
  <w:style w:type="character" w:styleId="24">
    <w:name w:val="Hyperlink"/>
    <w:basedOn w:val="21"/>
    <w:qFormat/>
    <w:uiPriority w:val="99"/>
    <w:rPr>
      <w:color w:val="0000FF"/>
      <w:u w:val="single"/>
    </w:rPr>
  </w:style>
  <w:style w:type="character" w:styleId="25">
    <w:name w:val="annotation reference"/>
    <w:basedOn w:val="21"/>
    <w:semiHidden/>
    <w:unhideWhenUsed/>
    <w:qFormat/>
    <w:uiPriority w:val="0"/>
    <w:rPr>
      <w:sz w:val="21"/>
      <w:szCs w:val="21"/>
    </w:rPr>
  </w:style>
  <w:style w:type="paragraph" w:customStyle="1" w:styleId="26">
    <w:name w:val="样式2"/>
    <w:basedOn w:val="4"/>
    <w:link w:val="33"/>
    <w:qFormat/>
    <w:uiPriority w:val="0"/>
    <w:pPr>
      <w:spacing w:before="120" w:after="60" w:line="240" w:lineRule="auto"/>
    </w:pPr>
    <w:rPr>
      <w:color w:val="000000"/>
      <w:sz w:val="28"/>
    </w:rPr>
  </w:style>
  <w:style w:type="paragraph" w:customStyle="1" w:styleId="27">
    <w:name w:val="样式 标题 6 + 黑色"/>
    <w:basedOn w:val="4"/>
    <w:qFormat/>
    <w:uiPriority w:val="0"/>
    <w:pPr>
      <w:spacing w:before="120" w:after="60"/>
    </w:pPr>
    <w:rPr>
      <w:color w:val="000000"/>
      <w:sz w:val="28"/>
    </w:rPr>
  </w:style>
  <w:style w:type="paragraph" w:customStyle="1" w:styleId="28">
    <w:name w:val="样式4"/>
    <w:basedOn w:val="1"/>
    <w:qFormat/>
    <w:uiPriority w:val="0"/>
    <w:pPr>
      <w:numPr>
        <w:ilvl w:val="0"/>
        <w:numId w:val="2"/>
      </w:numPr>
      <w:spacing w:line="500" w:lineRule="exact"/>
      <w:jc w:val="left"/>
    </w:pPr>
    <w:rPr>
      <w:rFonts w:ascii="宋体" w:hAnsi="宋体"/>
      <w:b/>
      <w:bCs/>
      <w:color w:val="000000"/>
      <w:sz w:val="24"/>
    </w:rPr>
  </w:style>
  <w:style w:type="paragraph" w:customStyle="1" w:styleId="29">
    <w:name w:val="样式6"/>
    <w:basedOn w:val="1"/>
    <w:qFormat/>
    <w:uiPriority w:val="0"/>
    <w:pPr>
      <w:spacing w:line="360" w:lineRule="auto"/>
      <w:ind w:firstLine="200" w:firstLineChars="200"/>
      <w:jc w:val="left"/>
    </w:pPr>
    <w:rPr>
      <w:sz w:val="24"/>
    </w:rPr>
  </w:style>
  <w:style w:type="paragraph" w:customStyle="1" w:styleId="30">
    <w:name w:val="样式5"/>
    <w:basedOn w:val="1"/>
    <w:qFormat/>
    <w:uiPriority w:val="0"/>
    <w:pPr>
      <w:spacing w:line="360" w:lineRule="auto"/>
      <w:ind w:firstLine="200" w:firstLineChars="200"/>
      <w:jc w:val="left"/>
    </w:pPr>
    <w:rPr>
      <w:sz w:val="24"/>
    </w:rPr>
  </w:style>
  <w:style w:type="paragraph" w:customStyle="1" w:styleId="31">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2">
    <w:name w:val="缺省文本"/>
    <w:basedOn w:val="1"/>
    <w:qFormat/>
    <w:uiPriority w:val="0"/>
    <w:pPr>
      <w:autoSpaceDE w:val="0"/>
      <w:autoSpaceDN w:val="0"/>
      <w:adjustRightInd w:val="0"/>
      <w:jc w:val="left"/>
    </w:pPr>
    <w:rPr>
      <w:kern w:val="0"/>
      <w:sz w:val="24"/>
      <w:szCs w:val="20"/>
    </w:rPr>
  </w:style>
  <w:style w:type="character" w:customStyle="1" w:styleId="33">
    <w:name w:val="样式2 Char"/>
    <w:basedOn w:val="34"/>
    <w:link w:val="26"/>
    <w:qFormat/>
    <w:uiPriority w:val="0"/>
    <w:rPr>
      <w:rFonts w:ascii="Arial" w:hAnsi="Arial"/>
      <w:color w:val="000000"/>
      <w:sz w:val="28"/>
      <w:szCs w:val="24"/>
    </w:rPr>
  </w:style>
  <w:style w:type="character" w:customStyle="1" w:styleId="34">
    <w:name w:val="标题 6 字符"/>
    <w:basedOn w:val="21"/>
    <w:link w:val="4"/>
    <w:qFormat/>
    <w:uiPriority w:val="0"/>
    <w:rPr>
      <w:rFonts w:ascii="Arial" w:hAnsi="Arial"/>
      <w:b/>
      <w:bCs/>
      <w:sz w:val="32"/>
      <w:szCs w:val="24"/>
    </w:rPr>
  </w:style>
  <w:style w:type="paragraph" w:customStyle="1" w:styleId="35">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36">
    <w:name w:val="批注框文本 字符"/>
    <w:basedOn w:val="21"/>
    <w:link w:val="10"/>
    <w:qFormat/>
    <w:uiPriority w:val="0"/>
    <w:rPr>
      <w:kern w:val="2"/>
      <w:sz w:val="18"/>
      <w:szCs w:val="18"/>
    </w:rPr>
  </w:style>
  <w:style w:type="paragraph" w:customStyle="1" w:styleId="37">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8">
    <w:name w:val="列出段落1"/>
    <w:basedOn w:val="1"/>
    <w:qFormat/>
    <w:uiPriority w:val="34"/>
    <w:pPr>
      <w:ind w:firstLine="420" w:firstLineChars="200"/>
    </w:pPr>
    <w:rPr>
      <w:szCs w:val="22"/>
    </w:rPr>
  </w:style>
  <w:style w:type="paragraph" w:customStyle="1" w:styleId="39">
    <w:name w:val="列出段落2"/>
    <w:basedOn w:val="1"/>
    <w:unhideWhenUsed/>
    <w:qFormat/>
    <w:uiPriority w:val="99"/>
    <w:pPr>
      <w:ind w:firstLine="420" w:firstLineChars="200"/>
    </w:pPr>
  </w:style>
  <w:style w:type="character" w:customStyle="1" w:styleId="40">
    <w:name w:val="标题 字符"/>
    <w:link w:val="17"/>
    <w:qFormat/>
    <w:uiPriority w:val="0"/>
    <w:rPr>
      <w:rFonts w:ascii="Arial" w:hAnsi="Arial" w:cs="Arial"/>
      <w:b/>
      <w:bCs/>
      <w:kern w:val="2"/>
      <w:sz w:val="32"/>
      <w:szCs w:val="32"/>
    </w:rPr>
  </w:style>
  <w:style w:type="paragraph" w:customStyle="1" w:styleId="41">
    <w:name w:val="列出段落3"/>
    <w:basedOn w:val="1"/>
    <w:unhideWhenUsed/>
    <w:qFormat/>
    <w:uiPriority w:val="99"/>
    <w:pPr>
      <w:ind w:firstLine="420" w:firstLineChars="200"/>
    </w:pPr>
  </w:style>
  <w:style w:type="paragraph" w:customStyle="1" w:styleId="42">
    <w:name w:val="样式1"/>
    <w:basedOn w:val="1"/>
    <w:qFormat/>
    <w:uiPriority w:val="0"/>
    <w:pPr>
      <w:tabs>
        <w:tab w:val="left" w:pos="420"/>
      </w:tabs>
      <w:adjustRightInd w:val="0"/>
      <w:ind w:left="420" w:hanging="420"/>
      <w:textAlignment w:val="baseline"/>
    </w:pPr>
    <w:rPr>
      <w:rFonts w:ascii="宋体" w:hAnsi="宋体"/>
      <w:kern w:val="0"/>
      <w:szCs w:val="21"/>
    </w:rPr>
  </w:style>
  <w:style w:type="paragraph" w:styleId="43">
    <w:name w:val="List Paragraph"/>
    <w:basedOn w:val="1"/>
    <w:link w:val="49"/>
    <w:unhideWhenUsed/>
    <w:qFormat/>
    <w:uiPriority w:val="34"/>
    <w:pPr>
      <w:ind w:firstLine="420" w:firstLineChars="200"/>
    </w:pPr>
    <w:rPr>
      <w:rFonts w:ascii="Times New Roman" w:hAnsi="Times New Roman" w:eastAsia="宋体" w:cs="Times New Roman"/>
    </w:rPr>
  </w:style>
  <w:style w:type="paragraph" w:customStyle="1" w:styleId="44">
    <w:name w:val="样式 宋体 五号 行距: 单倍行距"/>
    <w:basedOn w:val="1"/>
    <w:qFormat/>
    <w:uiPriority w:val="0"/>
    <w:pPr>
      <w:adjustRightInd w:val="0"/>
      <w:jc w:val="left"/>
      <w:textAlignment w:val="baseline"/>
    </w:pPr>
    <w:rPr>
      <w:rFonts w:ascii="宋体" w:hAnsi="宋体" w:eastAsia="宋体" w:cs="宋体"/>
      <w:kern w:val="0"/>
      <w:szCs w:val="20"/>
    </w:rPr>
  </w:style>
  <w:style w:type="character" w:customStyle="1" w:styleId="45">
    <w:name w:val="标题 1 字符"/>
    <w:basedOn w:val="21"/>
    <w:link w:val="2"/>
    <w:qFormat/>
    <w:uiPriority w:val="0"/>
    <w:rPr>
      <w:b/>
      <w:bCs/>
      <w:kern w:val="44"/>
      <w:sz w:val="44"/>
      <w:szCs w:val="44"/>
    </w:rPr>
  </w:style>
  <w:style w:type="character" w:customStyle="1" w:styleId="46">
    <w:name w:val="标题 2 字符"/>
    <w:basedOn w:val="21"/>
    <w:link w:val="3"/>
    <w:semiHidden/>
    <w:qFormat/>
    <w:uiPriority w:val="0"/>
    <w:rPr>
      <w:rFonts w:asciiTheme="majorHAnsi" w:hAnsiTheme="majorHAnsi" w:eastAsiaTheme="majorEastAsia" w:cstheme="majorBidi"/>
      <w:b/>
      <w:bCs/>
      <w:kern w:val="2"/>
      <w:sz w:val="32"/>
      <w:szCs w:val="32"/>
    </w:rPr>
  </w:style>
  <w:style w:type="character" w:customStyle="1" w:styleId="47">
    <w:name w:val="apple-converted-space"/>
    <w:basedOn w:val="21"/>
    <w:qFormat/>
    <w:uiPriority w:val="0"/>
    <w:rPr>
      <w:rFonts w:cs="Times New Roman"/>
    </w:rPr>
  </w:style>
  <w:style w:type="character" w:customStyle="1" w:styleId="48">
    <w:name w:val="纯文本 字符"/>
    <w:link w:val="9"/>
    <w:qFormat/>
    <w:uiPriority w:val="0"/>
    <w:rPr>
      <w:rFonts w:ascii="宋体" w:hAnsi="Courier New" w:eastAsia="Times New Roman"/>
      <w:sz w:val="21"/>
      <w:szCs w:val="21"/>
      <w:lang w:val="zh-CN"/>
    </w:rPr>
  </w:style>
  <w:style w:type="character" w:customStyle="1" w:styleId="49">
    <w:name w:val="列表段落 字符"/>
    <w:link w:val="43"/>
    <w:qFormat/>
    <w:uiPriority w:val="34"/>
    <w:rPr>
      <w:rFonts w:ascii="Times New Roman" w:hAnsi="Times New Roman" w:eastAsia="宋体" w:cs="Times New Roman"/>
      <w:kern w:val="2"/>
      <w:sz w:val="21"/>
      <w:szCs w:val="24"/>
    </w:rPr>
  </w:style>
  <w:style w:type="paragraph" w:customStyle="1" w:styleId="50">
    <w:name w:val="列出段落4"/>
    <w:basedOn w:val="1"/>
    <w:qFormat/>
    <w:uiPriority w:val="0"/>
    <w:pPr>
      <w:ind w:firstLine="420" w:firstLineChars="200"/>
    </w:pPr>
    <w:rPr>
      <w:rFonts w:ascii="Calibri" w:hAnsi="Calibri" w:eastAsia="宋体" w:cs="Times New Roman"/>
      <w:szCs w:val="22"/>
    </w:rPr>
  </w:style>
  <w:style w:type="character" w:customStyle="1" w:styleId="51">
    <w:name w:val="批注文字 字符"/>
    <w:basedOn w:val="21"/>
    <w:link w:val="5"/>
    <w:semiHidden/>
    <w:qFormat/>
    <w:uiPriority w:val="0"/>
    <w:rPr>
      <w:kern w:val="2"/>
      <w:sz w:val="21"/>
      <w:szCs w:val="24"/>
    </w:rPr>
  </w:style>
  <w:style w:type="character" w:customStyle="1" w:styleId="52">
    <w:name w:val="批注主题 字符"/>
    <w:basedOn w:val="51"/>
    <w:link w:val="18"/>
    <w:semiHidden/>
    <w:qFormat/>
    <w:uiPriority w:val="0"/>
    <w:rPr>
      <w:b/>
      <w:bCs/>
      <w:kern w:val="2"/>
      <w:sz w:val="21"/>
      <w:szCs w:val="24"/>
    </w:rPr>
  </w:style>
  <w:style w:type="paragraph" w:customStyle="1" w:styleId="53">
    <w:name w:val="列表段落1"/>
    <w:basedOn w:val="1"/>
    <w:unhideWhenUsed/>
    <w:qFormat/>
    <w:uiPriority w:val="34"/>
    <w:pPr>
      <w:ind w:firstLine="420" w:firstLineChars="200"/>
    </w:pPr>
    <w:rPr>
      <w:rFonts w:ascii="Times New Roman" w:hAnsi="Times New Roman" w:eastAsia="宋体" w:cs="Times New Roman"/>
    </w:rPr>
  </w:style>
  <w:style w:type="character" w:customStyle="1" w:styleId="54">
    <w:name w:val="页脚 字符"/>
    <w:basedOn w:val="21"/>
    <w:link w:val="11"/>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16E3E-95AE-4278-8324-38A286F8A9BD}">
  <ds:schemaRefs/>
</ds:datastoreItem>
</file>

<file path=docProps/app.xml><?xml version="1.0" encoding="utf-8"?>
<Properties xmlns="http://schemas.openxmlformats.org/officeDocument/2006/extended-properties" xmlns:vt="http://schemas.openxmlformats.org/officeDocument/2006/docPropsVTypes">
  <Template>Normal.dotm</Template>
  <Company>Ignition</Company>
  <Pages>32</Pages>
  <Words>17364</Words>
  <Characters>18374</Characters>
  <Lines>522</Lines>
  <Paragraphs>510</Paragraphs>
  <TotalTime>14</TotalTime>
  <ScaleCrop>false</ScaleCrop>
  <LinksUpToDate>false</LinksUpToDate>
  <CharactersWithSpaces>18957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2018-11-21T20:24:00Z</dcterms:created>
  <dc:creator>dell</dc:creator>
  <cp:lastModifiedBy>陈岳</cp:lastModifiedBy>
  <cp:lastPrinted>2020-04-21T14:04:00Z</cp:lastPrinted>
  <dcterms:modified xsi:type="dcterms:W3CDTF">2025-06-03T07:17:04Z</dcterms:modified>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6741249D1BE34989B9B0D99C63201B18_13</vt:lpwstr>
  </property>
  <property fmtid="{D5CDD505-2E9C-101B-9397-08002B2CF9AE}" pid="4" name="KSOTemplateDocerSaveRecord">
    <vt:lpwstr>eyJoZGlkIjoiMzEwNTM5NzYwMDRjMzkwZTVkZjY2ODkwMGIxNGU0OTUiLCJ1c2VySWQiOiI2NjQ3MTI3NjcifQ==</vt:lpwstr>
  </property>
</Properties>
</file>